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418" w:leftChars="-199" w:firstLine="0" w:firstLineChars="0"/>
        <w:jc w:val="center"/>
        <w:textAlignment w:val="auto"/>
        <w:rPr>
          <w:rFonts w:hint="eastAsia" w:ascii="宋体" w:hAnsi="宋体" w:eastAsia="宋体" w:cs="宋体"/>
          <w:b/>
          <w:sz w:val="56"/>
          <w:szCs w:val="56"/>
          <w:lang w:val="en-US" w:eastAsia="zh-Hans"/>
        </w:rPr>
      </w:pPr>
      <w:r>
        <w:rPr>
          <w:rFonts w:hint="eastAsia" w:ascii="宋体" w:hAnsi="宋体" w:cs="宋体"/>
          <w:b/>
          <w:sz w:val="56"/>
          <w:szCs w:val="56"/>
          <w:lang w:eastAsia="zh-CN"/>
        </w:rPr>
        <w:t>城区第三水厂至温泉镇中山大学南</w:t>
      </w:r>
      <w:r>
        <w:rPr>
          <w:rFonts w:hint="default" w:ascii="宋体" w:hAnsi="宋体" w:cs="宋体"/>
          <w:b/>
          <w:sz w:val="56"/>
          <w:szCs w:val="56"/>
          <w:lang w:eastAsia="zh-CN"/>
        </w:rPr>
        <w:t xml:space="preserve">   </w:t>
      </w:r>
      <w:r>
        <w:rPr>
          <w:rFonts w:hint="eastAsia" w:ascii="宋体" w:hAnsi="宋体" w:cs="宋体"/>
          <w:b/>
          <w:sz w:val="56"/>
          <w:szCs w:val="56"/>
          <w:lang w:eastAsia="zh-CN"/>
        </w:rPr>
        <w:t>方学院及龙岗墟供水管网工程</w:t>
      </w:r>
      <w:r>
        <w:rPr>
          <w:rFonts w:hint="eastAsia" w:ascii="宋体" w:hAnsi="宋体" w:cs="宋体"/>
          <w:b/>
          <w:sz w:val="56"/>
          <w:szCs w:val="56"/>
          <w:lang w:val="en-US" w:eastAsia="zh-Hans"/>
        </w:rPr>
        <w:t>监理</w:t>
      </w:r>
    </w:p>
    <w:p>
      <w:pPr>
        <w:pStyle w:val="2"/>
        <w:rPr>
          <w:rFonts w:hint="eastAsia" w:ascii="宋体" w:hAnsi="宋体" w:cs="宋体"/>
          <w:b/>
          <w:sz w:val="48"/>
          <w:szCs w:val="48"/>
        </w:rPr>
      </w:pPr>
    </w:p>
    <w:p>
      <w:pPr>
        <w:pStyle w:val="2"/>
        <w:rPr>
          <w:rFonts w:hint="eastAsia" w:ascii="宋体" w:hAnsi="宋体" w:cs="宋体"/>
          <w:b/>
          <w:sz w:val="48"/>
          <w:szCs w:val="48"/>
        </w:rPr>
      </w:pPr>
    </w:p>
    <w:p>
      <w:pPr>
        <w:spacing w:line="360" w:lineRule="auto"/>
        <w:jc w:val="center"/>
        <w:rPr>
          <w:rFonts w:hint="eastAsia" w:ascii="宋体" w:hAnsi="宋体" w:cs="宋体"/>
          <w:b/>
          <w:bCs/>
          <w:spacing w:val="26"/>
          <w:sz w:val="110"/>
          <w:szCs w:val="110"/>
          <w14:shadow w14:blurRad="50800" w14:dist="38100" w14:dir="2700000" w14:sx="100000" w14:sy="100000" w14:kx="0" w14:ky="0" w14:algn="tl">
            <w14:srgbClr w14:val="000000">
              <w14:alpha w14:val="60000"/>
            </w14:srgbClr>
          </w14:shadow>
        </w:rPr>
      </w:pPr>
    </w:p>
    <w:p>
      <w:pPr>
        <w:spacing w:line="360" w:lineRule="auto"/>
        <w:jc w:val="center"/>
        <w:rPr>
          <w:rFonts w:hint="eastAsia" w:ascii="宋体" w:hAnsi="宋体" w:eastAsia="宋体" w:cs="宋体"/>
          <w:b/>
          <w:bCs/>
          <w:spacing w:val="26"/>
          <w:sz w:val="110"/>
          <w:szCs w:val="110"/>
          <w:lang w:eastAsia="zh-Hans"/>
          <w14:shadow w14:blurRad="50800" w14:dist="38100" w14:dir="2700000" w14:sx="100000" w14:sy="100000" w14:kx="0" w14:ky="0" w14:algn="tl">
            <w14:srgbClr w14:val="000000">
              <w14:alpha w14:val="60000"/>
            </w14:srgbClr>
          </w14:shadow>
        </w:rPr>
      </w:pPr>
      <w:r>
        <w:rPr>
          <w:rFonts w:hint="eastAsia" w:ascii="宋体" w:hAnsi="宋体" w:cs="宋体"/>
          <w:b/>
          <w:bCs/>
          <w:spacing w:val="26"/>
          <w:sz w:val="110"/>
          <w:szCs w:val="110"/>
          <w14:shadow w14:blurRad="50800" w14:dist="38100" w14:dir="2700000" w14:sx="100000" w14:sy="100000" w14:kx="0" w14:ky="0" w14:algn="tl">
            <w14:srgbClr w14:val="000000">
              <w14:alpha w14:val="60000"/>
            </w14:srgbClr>
          </w14:shadow>
        </w:rPr>
        <w:t>招标</w:t>
      </w:r>
      <w:r>
        <w:rPr>
          <w:rFonts w:hint="eastAsia" w:ascii="宋体" w:hAnsi="宋体" w:cs="宋体"/>
          <w:b/>
          <w:bCs/>
          <w:spacing w:val="26"/>
          <w:sz w:val="110"/>
          <w:szCs w:val="110"/>
          <w:lang w:val="en-US" w:eastAsia="zh-Hans"/>
          <w14:shadow w14:blurRad="50800" w14:dist="38100" w14:dir="2700000" w14:sx="100000" w14:sy="100000" w14:kx="0" w14:ky="0" w14:algn="tl">
            <w14:srgbClr w14:val="000000">
              <w14:alpha w14:val="60000"/>
            </w14:srgbClr>
          </w14:shadow>
        </w:rPr>
        <w:t>文件</w:t>
      </w:r>
    </w:p>
    <w:p>
      <w:pPr>
        <w:spacing w:line="360" w:lineRule="auto"/>
        <w:jc w:val="left"/>
        <w:rPr>
          <w:rFonts w:hint="eastAsia" w:ascii="宋体" w:hAnsi="宋体" w:cs="宋体"/>
          <w:sz w:val="30"/>
          <w:szCs w:val="30"/>
        </w:rPr>
      </w:pPr>
    </w:p>
    <w:p>
      <w:pPr>
        <w:pStyle w:val="2"/>
        <w:rPr>
          <w:rFonts w:hint="eastAsia" w:ascii="宋体" w:hAnsi="宋体" w:cs="宋体"/>
          <w:sz w:val="30"/>
          <w:szCs w:val="30"/>
        </w:rPr>
      </w:pPr>
    </w:p>
    <w:p>
      <w:pPr>
        <w:pStyle w:val="2"/>
        <w:rPr>
          <w:rFonts w:hint="eastAsia" w:ascii="宋体" w:hAnsi="宋体" w:cs="宋体"/>
        </w:rPr>
      </w:pPr>
    </w:p>
    <w:p>
      <w:pPr>
        <w:spacing w:line="360" w:lineRule="auto"/>
        <w:ind w:firstLine="900" w:firstLineChars="300"/>
        <w:rPr>
          <w:rFonts w:hint="eastAsia" w:ascii="宋体" w:hAnsi="宋体" w:cs="宋体"/>
          <w:sz w:val="30"/>
          <w:szCs w:val="30"/>
        </w:rPr>
      </w:pPr>
    </w:p>
    <w:p>
      <w:pPr>
        <w:spacing w:line="360" w:lineRule="auto"/>
        <w:ind w:firstLine="900" w:firstLineChars="300"/>
        <w:rPr>
          <w:rFonts w:hint="default" w:ascii="宋体" w:hAnsi="宋体" w:eastAsia="宋体" w:cs="宋体"/>
          <w:kern w:val="0"/>
          <w:sz w:val="30"/>
          <w:szCs w:val="30"/>
          <w:u w:val="single"/>
          <w:lang w:eastAsia="zh-CN"/>
        </w:rPr>
      </w:pPr>
      <w:r>
        <w:rPr>
          <w:rFonts w:hint="eastAsia" w:ascii="宋体" w:hAnsi="宋体" w:cs="宋体"/>
          <w:sz w:val="30"/>
          <w:szCs w:val="30"/>
        </w:rPr>
        <w:t>招  标 单 位：</w:t>
      </w:r>
      <w:r>
        <w:rPr>
          <w:rFonts w:hint="default" w:ascii="宋体" w:hAnsi="宋体" w:cs="宋体"/>
          <w:kern w:val="0"/>
          <w:sz w:val="30"/>
          <w:szCs w:val="30"/>
          <w:u w:val="single"/>
          <w:lang w:eastAsia="zh-CN"/>
        </w:rPr>
        <w:t>广州从化城乡自来水有限公司</w:t>
      </w:r>
    </w:p>
    <w:p>
      <w:pPr>
        <w:spacing w:line="360" w:lineRule="auto"/>
        <w:ind w:firstLine="900" w:firstLineChars="300"/>
        <w:jc w:val="left"/>
        <w:rPr>
          <w:rFonts w:hint="eastAsia" w:ascii="宋体" w:hAnsi="宋体" w:eastAsia="宋体" w:cs="宋体"/>
          <w:sz w:val="30"/>
          <w:szCs w:val="30"/>
          <w:u w:val="single"/>
          <w:lang w:eastAsia="zh-CN"/>
        </w:rPr>
      </w:pPr>
      <w:r>
        <w:rPr>
          <w:rFonts w:hint="eastAsia" w:ascii="宋体" w:hAnsi="宋体" w:cs="宋体"/>
          <w:sz w:val="30"/>
          <w:szCs w:val="30"/>
        </w:rPr>
        <w:t>招标代理单位：</w:t>
      </w:r>
      <w:r>
        <w:rPr>
          <w:rFonts w:hint="eastAsia" w:ascii="宋体" w:hAnsi="宋体" w:cs="宋体"/>
          <w:kern w:val="0"/>
          <w:sz w:val="30"/>
          <w:szCs w:val="30"/>
          <w:u w:val="single"/>
          <w:lang w:eastAsia="zh-CN"/>
        </w:rPr>
        <w:t>上海正弘建设工程顾问有限公司</w:t>
      </w:r>
    </w:p>
    <w:p>
      <w:pPr>
        <w:pStyle w:val="14"/>
        <w:spacing w:line="360" w:lineRule="auto"/>
        <w:ind w:firstLine="900" w:firstLineChars="300"/>
        <w:jc w:val="left"/>
        <w:rPr>
          <w:rFonts w:hint="eastAsia" w:eastAsia="宋体" w:cs="宋体"/>
          <w:sz w:val="30"/>
          <w:szCs w:val="30"/>
        </w:rPr>
      </w:pPr>
      <w:r>
        <w:rPr>
          <w:rFonts w:hint="eastAsia" w:eastAsia="宋体" w:cs="宋体"/>
          <w:kern w:val="2"/>
          <w:sz w:val="30"/>
          <w:szCs w:val="30"/>
          <w:u w:val="none"/>
        </w:rPr>
        <w:t>日        期</w:t>
      </w:r>
      <w:r>
        <w:rPr>
          <w:rFonts w:hint="eastAsia" w:eastAsia="宋体" w:cs="宋体"/>
          <w:sz w:val="30"/>
          <w:szCs w:val="30"/>
          <w:u w:val="none"/>
        </w:rPr>
        <w:t>：</w:t>
      </w:r>
      <w:r>
        <w:rPr>
          <w:rFonts w:hint="eastAsia" w:eastAsia="宋体" w:cs="宋体"/>
          <w:sz w:val="30"/>
          <w:szCs w:val="30"/>
        </w:rPr>
        <w:t>2022年</w:t>
      </w:r>
      <w:r>
        <w:rPr>
          <w:rFonts w:hint="default" w:eastAsia="宋体" w:cs="宋体"/>
          <w:sz w:val="30"/>
          <w:szCs w:val="30"/>
          <w:lang w:eastAsia="zh-CN"/>
        </w:rPr>
        <w:t>9</w:t>
      </w:r>
      <w:r>
        <w:rPr>
          <w:rFonts w:hint="eastAsia" w:eastAsia="宋体" w:cs="宋体"/>
          <w:sz w:val="30"/>
          <w:szCs w:val="30"/>
        </w:rPr>
        <w:t>月</w:t>
      </w:r>
    </w:p>
    <w:p>
      <w:pPr>
        <w:pStyle w:val="13"/>
        <w:rPr>
          <w:rFonts w:hint="eastAsia" w:cs="宋体"/>
          <w:color w:val="auto"/>
          <w:highlight w:val="none"/>
        </w:rPr>
      </w:pPr>
      <w:r>
        <w:rPr>
          <w:rFonts w:hint="eastAsia" w:cs="宋体"/>
          <w:color w:val="auto"/>
          <w:highlight w:val="none"/>
        </w:rPr>
        <w:br w:type="page"/>
      </w:r>
      <w:r>
        <w:rPr>
          <w:rFonts w:hint="eastAsia" w:cs="宋体"/>
          <w:color w:val="auto"/>
          <w:highlight w:val="none"/>
        </w:rPr>
        <w:t>目  录</w:t>
      </w:r>
    </w:p>
    <w:p>
      <w:pPr>
        <w:pStyle w:val="13"/>
        <w:rPr>
          <w:rFonts w:hint="eastAsia" w:cs="宋体"/>
          <w:color w:val="auto"/>
          <w:highlight w:val="none"/>
        </w:rPr>
      </w:pPr>
    </w:p>
    <w:p>
      <w:pPr>
        <w:jc w:val="center"/>
        <w:rPr>
          <w:rFonts w:hint="eastAsia" w:ascii="宋体" w:hAnsi="宋体" w:cs="宋体"/>
          <w:color w:val="auto"/>
          <w:highlight w:val="none"/>
        </w:rPr>
      </w:pP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_Toc23733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第1章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_Toc23733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_Toc23990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第2章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_Toc8579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第3章 评标办法（综合评估法）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1</w:t>
      </w: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_Toc6074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第4章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0</w:t>
      </w: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_Toc16338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第5章 委托人要求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1</w:t>
      </w:r>
    </w:p>
    <w:p>
      <w:pPr>
        <w:pStyle w:val="21"/>
        <w:tabs>
          <w:tab w:val="right" w:leader="dot" w:pos="8402"/>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_Toc3416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第6章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5</w:t>
      </w:r>
    </w:p>
    <w:p>
      <w:pPr>
        <w:pStyle w:val="21"/>
        <w:tabs>
          <w:tab w:val="right" w:leader="dot" w:pos="8402"/>
        </w:tabs>
        <w:spacing w:line="480" w:lineRule="auto"/>
        <w:rPr>
          <w:rFonts w:hint="eastAsia" w:ascii="宋体" w:hAnsi="宋体" w:cs="宋体"/>
          <w:color w:val="auto"/>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_Toc18500 </w:instrText>
      </w:r>
      <w:r>
        <w:rPr>
          <w:rFonts w:hint="eastAsia" w:ascii="宋体" w:hAnsi="宋体" w:cs="宋体"/>
          <w:color w:val="auto"/>
          <w:sz w:val="24"/>
          <w:szCs w:val="24"/>
          <w:highlight w:val="none"/>
        </w:rPr>
        <w:fldChar w:fldCharType="separate"/>
      </w:r>
      <w:r>
        <w:rPr>
          <w:rFonts w:hint="eastAsia" w:ascii="宋体" w:hAnsi="宋体" w:cs="宋体"/>
          <w:color w:val="auto"/>
          <w:kern w:val="44"/>
          <w:sz w:val="24"/>
          <w:szCs w:val="24"/>
          <w:highlight w:val="none"/>
        </w:rPr>
        <w:t>第7章 否决性条款汇总</w:t>
      </w:r>
      <w:r>
        <w:rPr>
          <w:rFonts w:hint="eastAsia" w:ascii="宋体" w:hAnsi="宋体" w:cs="宋体"/>
          <w:color w:val="auto"/>
          <w:sz w:val="24"/>
          <w:szCs w:val="24"/>
          <w:highlight w:val="none"/>
        </w:rPr>
        <w:tab/>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4</w:t>
      </w:r>
    </w:p>
    <w:p>
      <w:pPr>
        <w:rPr>
          <w:rFonts w:hint="eastAsia" w:ascii="宋体" w:hAnsi="宋体" w:cs="宋体"/>
          <w:color w:val="auto"/>
          <w:highlight w:val="none"/>
        </w:rPr>
        <w:sectPr>
          <w:headerReference r:id="rId3" w:type="default"/>
          <w:footerReference r:id="rId4" w:type="default"/>
          <w:footerReference r:id="rId5" w:type="even"/>
          <w:pgSz w:w="11906" w:h="16838"/>
          <w:pgMar w:top="1247" w:right="1752" w:bottom="1247" w:left="1752" w:header="851" w:footer="992" w:gutter="0"/>
          <w:pgNumType w:start="0"/>
          <w:cols w:space="720" w:num="1"/>
          <w:titlePg/>
          <w:docGrid w:type="lines" w:linePitch="312" w:charSpace="0"/>
        </w:sectPr>
      </w:pPr>
      <w:r>
        <w:rPr>
          <w:rFonts w:hint="eastAsia" w:ascii="宋体" w:hAnsi="宋体" w:cs="宋体"/>
          <w:color w:val="auto"/>
          <w:highlight w:val="none"/>
        </w:rPr>
        <w:fldChar w:fldCharType="end"/>
      </w:r>
    </w:p>
    <w:p>
      <w:pPr>
        <w:pStyle w:val="3"/>
        <w:rPr>
          <w:rFonts w:ascii="宋体" w:hAnsi="宋体" w:eastAsia="宋体" w:cs="宋体"/>
          <w:color w:val="auto"/>
          <w:highlight w:val="none"/>
        </w:rPr>
      </w:pPr>
      <w:bookmarkStart w:id="0" w:name="_Toc24279"/>
      <w:bookmarkStart w:id="1" w:name="_Toc23733"/>
      <w:bookmarkStart w:id="2" w:name="_第1章  投标邀请函"/>
      <w:bookmarkStart w:id="3" w:name="_Toc210124370"/>
      <w:r>
        <w:rPr>
          <w:rFonts w:hint="eastAsia" w:ascii="宋体" w:hAnsi="宋体" w:eastAsia="宋体" w:cs="宋体"/>
          <w:color w:val="auto"/>
          <w:highlight w:val="none"/>
        </w:rPr>
        <w:t xml:space="preserve">第1章 </w:t>
      </w:r>
      <w:r>
        <w:rPr>
          <w:rFonts w:hint="eastAsia" w:ascii="宋体" w:hAnsi="宋体" w:eastAsia="宋体" w:cs="宋体"/>
          <w:b w:val="0"/>
          <w:color w:val="auto"/>
          <w:highlight w:val="none"/>
        </w:rPr>
        <w:t xml:space="preserve"> </w:t>
      </w:r>
      <w:bookmarkEnd w:id="0"/>
      <w:r>
        <w:rPr>
          <w:rFonts w:hint="eastAsia" w:ascii="宋体" w:hAnsi="宋体" w:eastAsia="宋体" w:cs="宋体"/>
          <w:color w:val="auto"/>
          <w:highlight w:val="none"/>
        </w:rPr>
        <w:t>招标公告</w:t>
      </w:r>
      <w:bookmarkEnd w:id="1"/>
    </w:p>
    <w:p>
      <w:pPr>
        <w:jc w:val="center"/>
        <w:rPr>
          <w:rFonts w:hint="eastAsia" w:ascii="Tahoma" w:hAnsi="Tahoma"/>
          <w:color w:val="auto"/>
          <w:sz w:val="24"/>
          <w:highlight w:val="none"/>
        </w:rPr>
      </w:pPr>
      <w:r>
        <w:rPr>
          <w:rFonts w:hint="eastAsia" w:ascii="Tahoma" w:hAnsi="Tahoma"/>
          <w:color w:val="auto"/>
          <w:sz w:val="24"/>
          <w:highlight w:val="none"/>
        </w:rPr>
        <w:t>详见招标公告</w:t>
      </w:r>
    </w:p>
    <w:bookmarkEnd w:id="2"/>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 w:name="_Toc30167"/>
      <w:bookmarkStart w:id="5" w:name="_Toc23990"/>
      <w:r>
        <w:rPr>
          <w:rFonts w:hint="eastAsia" w:ascii="宋体" w:hAnsi="宋体" w:eastAsia="宋体" w:cs="宋体"/>
          <w:color w:val="auto"/>
          <w:highlight w:val="none"/>
        </w:rPr>
        <w:t>第2章 投标人须知</w:t>
      </w:r>
      <w:bookmarkEnd w:id="3"/>
      <w:bookmarkEnd w:id="4"/>
      <w:bookmarkEnd w:id="5"/>
    </w:p>
    <w:p>
      <w:pPr>
        <w:pStyle w:val="4"/>
        <w:jc w:val="center"/>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投标人须知前附表</w:t>
      </w:r>
    </w:p>
    <w:tbl>
      <w:tblPr>
        <w:tblStyle w:val="18"/>
        <w:tblW w:w="8588" w:type="dxa"/>
        <w:tblInd w:w="0" w:type="dxa"/>
        <w:tblLayout w:type="fixed"/>
        <w:tblCellMar>
          <w:top w:w="0" w:type="dxa"/>
          <w:left w:w="108" w:type="dxa"/>
          <w:bottom w:w="0" w:type="dxa"/>
          <w:right w:w="108" w:type="dxa"/>
        </w:tblCellMar>
      </w:tblPr>
      <w:tblGrid>
        <w:gridCol w:w="993"/>
        <w:gridCol w:w="2122"/>
        <w:gridCol w:w="5473"/>
      </w:tblGrid>
      <w:tr>
        <w:trPr>
          <w:tblHeader/>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名称：</w:t>
            </w:r>
            <w:r>
              <w:rPr>
                <w:rFonts w:hint="default" w:ascii="宋体" w:hAnsi="宋体" w:cs="宋体"/>
                <w:color w:val="auto"/>
                <w:szCs w:val="21"/>
                <w:highlight w:val="none"/>
              </w:rPr>
              <w:t>广州从化城乡自来水有限公司</w:t>
            </w:r>
            <w:r>
              <w:rPr>
                <w:rFonts w:hint="eastAsia" w:ascii="宋体" w:hAnsi="宋体" w:cs="宋体"/>
                <w:color w:val="auto"/>
                <w:szCs w:val="21"/>
                <w:highlight w:val="none"/>
              </w:rPr>
              <w:t xml:space="preserve"> </w:t>
            </w:r>
          </w:p>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地址：</w:t>
            </w:r>
            <w:r>
              <w:rPr>
                <w:rFonts w:hint="default" w:ascii="宋体" w:hAnsi="宋体" w:cs="宋体"/>
                <w:color w:val="auto"/>
                <w:szCs w:val="21"/>
                <w:highlight w:val="none"/>
              </w:rPr>
              <w:t>广州市从化区城郊街河滨北路402号</w:t>
            </w:r>
          </w:p>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联系人：</w:t>
            </w:r>
            <w:r>
              <w:rPr>
                <w:rFonts w:hint="default" w:ascii="宋体" w:hAnsi="宋体" w:cs="宋体"/>
                <w:color w:val="auto"/>
                <w:kern w:val="0"/>
                <w:highlight w:val="none"/>
              </w:rPr>
              <w:t>何工</w:t>
            </w:r>
          </w:p>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电话：</w:t>
            </w:r>
            <w:r>
              <w:rPr>
                <w:rFonts w:hint="default" w:ascii="宋体" w:hAnsi="宋体" w:cs="宋体"/>
                <w:color w:val="auto"/>
                <w:szCs w:val="21"/>
                <w:highlight w:val="none"/>
              </w:rPr>
              <w:t>020-87920286</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招标代理机构：</w:t>
            </w:r>
            <w:r>
              <w:rPr>
                <w:rFonts w:hint="default" w:ascii="宋体" w:hAnsi="宋体" w:cs="宋体"/>
                <w:color w:val="auto"/>
                <w:kern w:val="0"/>
                <w:highlight w:val="none"/>
              </w:rPr>
              <w:t>上海正弘建设工程顾问有限公司</w:t>
            </w:r>
          </w:p>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地址：</w:t>
            </w:r>
            <w:r>
              <w:rPr>
                <w:rFonts w:hint="default" w:ascii="宋体" w:hAnsi="宋体" w:cs="宋体"/>
                <w:color w:val="auto"/>
                <w:szCs w:val="21"/>
                <w:highlight w:val="none"/>
              </w:rPr>
              <w:t>广州市环市东路450号广东华信中心3楼</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default" w:ascii="宋体" w:hAnsi="宋体" w:cs="宋体"/>
                <w:color w:val="auto"/>
                <w:kern w:val="0"/>
                <w:highlight w:val="none"/>
              </w:rPr>
              <w:t>卢工</w:t>
            </w:r>
            <w:r>
              <w:rPr>
                <w:rFonts w:hint="eastAsia" w:ascii="宋体" w:hAnsi="宋体" w:cs="宋体"/>
                <w:color w:val="auto"/>
                <w:szCs w:val="21"/>
                <w:highlight w:val="none"/>
              </w:rPr>
              <w:t xml:space="preserve">           </w:t>
            </w:r>
          </w:p>
          <w:p>
            <w:pPr>
              <w:spacing w:before="62" w:beforeLines="20" w:after="62" w:afterLines="20" w:line="360" w:lineRule="auto"/>
              <w:ind w:left="42" w:leftChars="20" w:right="42" w:rightChars="20"/>
              <w:rPr>
                <w:rFonts w:hint="default"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kern w:val="0"/>
                <w:highlight w:val="none"/>
              </w:rPr>
              <w:t>020-83239099-811</w:t>
            </w:r>
          </w:p>
        </w:tc>
      </w:tr>
      <w:tr>
        <w:trPr>
          <w:trHeight w:val="49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hint="default" w:ascii="宋体" w:hAnsi="宋体" w:cs="宋体"/>
                <w:color w:val="auto"/>
                <w:szCs w:val="21"/>
                <w:highlight w:val="none"/>
              </w:rPr>
            </w:pPr>
            <w:r>
              <w:rPr>
                <w:rFonts w:hint="default" w:ascii="宋体" w:hAnsi="宋体" w:cs="宋体"/>
                <w:bCs/>
                <w:color w:val="auto"/>
                <w:szCs w:val="21"/>
                <w:highlight w:val="none"/>
              </w:rPr>
              <w:t>城区第三水厂至温泉镇中山大学南方学院及龙岗墟供水管网工程监理</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广州市从化区</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color w:val="auto"/>
                <w:highlight w:val="none"/>
              </w:rPr>
              <w:t>详见本工程招标公告。</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ascii="宋体" w:hAnsi="宋体" w:cs="宋体"/>
                <w:color w:val="auto"/>
                <w:szCs w:val="21"/>
                <w:highlight w:val="none"/>
                <w:u w:val="single"/>
              </w:rPr>
            </w:pPr>
            <w:r>
              <w:rPr>
                <w:rFonts w:hint="eastAsia" w:ascii="宋体" w:hAnsi="宋体" w:cs="宋体"/>
                <w:color w:val="auto"/>
                <w:szCs w:val="21"/>
                <w:highlight w:val="none"/>
              </w:rPr>
              <w:t>工程项目施工预计开工日期：</w:t>
            </w:r>
            <w:r>
              <w:rPr>
                <w:rFonts w:hint="eastAsia" w:ascii="宋体" w:hAnsi="宋体" w:cs="宋体"/>
                <w:color w:val="auto"/>
                <w:szCs w:val="21"/>
                <w:highlight w:val="none"/>
                <w:u w:val="single"/>
              </w:rPr>
              <w:t xml:space="preserve">    /    </w:t>
            </w:r>
          </w:p>
          <w:p>
            <w:pPr>
              <w:spacing w:before="62" w:beforeLines="20" w:after="62" w:afterLines="20" w:line="360" w:lineRule="auto"/>
              <w:ind w:left="42" w:leftChars="20" w:right="42" w:rightChars="20"/>
              <w:jc w:val="left"/>
              <w:rPr>
                <w:rFonts w:ascii="宋体" w:hAnsi="宋体" w:cs="宋体"/>
                <w:color w:val="auto"/>
                <w:szCs w:val="21"/>
                <w:highlight w:val="none"/>
              </w:rPr>
            </w:pPr>
            <w:r>
              <w:rPr>
                <w:rFonts w:hint="eastAsia" w:ascii="宋体" w:hAnsi="宋体" w:cs="宋体"/>
                <w:color w:val="auto"/>
                <w:szCs w:val="21"/>
                <w:highlight w:val="none"/>
              </w:rPr>
              <w:t>计划施工工期：</w:t>
            </w:r>
            <w:r>
              <w:rPr>
                <w:rFonts w:hint="default" w:ascii="宋体" w:hAnsi="宋体" w:cs="宋体"/>
                <w:color w:val="auto"/>
                <w:szCs w:val="21"/>
                <w:highlight w:val="none"/>
                <w:u w:val="single"/>
              </w:rPr>
              <w:t>550</w:t>
            </w:r>
            <w:r>
              <w:rPr>
                <w:rFonts w:hint="eastAsia" w:ascii="宋体" w:hAnsi="宋体" w:cs="宋体"/>
                <w:color w:val="auto"/>
                <w:szCs w:val="21"/>
                <w:highlight w:val="none"/>
                <w:u w:val="single"/>
              </w:rPr>
              <w:t>个日历天</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建筑安装工程费/工程概算</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已落实</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ascii="宋体" w:hAnsi="宋体" w:cs="宋体"/>
                <w:color w:val="auto"/>
                <w:szCs w:val="21"/>
                <w:highlight w:val="none"/>
              </w:rPr>
            </w:pPr>
            <w:r>
              <w:rPr>
                <w:rFonts w:hint="eastAsia" w:ascii="宋体" w:hAnsi="宋体" w:cs="宋体"/>
                <w:color w:val="auto"/>
                <w:szCs w:val="21"/>
                <w:highlight w:val="none"/>
              </w:rPr>
              <w:t>合格。</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（1）资质要求：符合招标公告投标人资格要求第3.1.1项规定。</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（2）财务要求：/</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（3）业绩要求：/</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（4）信誉要求：/</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（5）总监理工程师的资格要求：符合招标公告投标人资格要求第3.1.2项规定。</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（6）其他主要人员要求：/</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（7）试验检测仪器设备要求：/</w:t>
            </w:r>
          </w:p>
          <w:p>
            <w:pPr>
              <w:spacing w:before="62" w:beforeLines="20" w:after="62" w:afterLines="20" w:line="360" w:lineRule="auto"/>
              <w:ind w:left="42" w:leftChars="20" w:right="42" w:rightChars="20"/>
              <w:jc w:val="left"/>
              <w:rPr>
                <w:rFonts w:hint="eastAsia" w:ascii="宋体" w:hAnsi="宋体" w:cs="宋体"/>
                <w:color w:val="auto"/>
                <w:szCs w:val="21"/>
                <w:highlight w:val="none"/>
              </w:rPr>
            </w:pPr>
            <w:r>
              <w:rPr>
                <w:rFonts w:hint="eastAsia" w:ascii="宋体" w:hAnsi="宋体" w:cs="宋体"/>
                <w:color w:val="auto"/>
                <w:szCs w:val="21"/>
                <w:highlight w:val="none"/>
              </w:rPr>
              <w:t>（8）其他要求：符合招标公告投标人资格要求第3.1.3项规定。</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不接受</w:t>
            </w:r>
          </w:p>
          <w:p>
            <w:pPr>
              <w:spacing w:before="62" w:beforeLines="20" w:after="62" w:afterLines="20" w:line="360" w:lineRule="auto"/>
              <w:ind w:left="42" w:leftChars="20" w:right="42" w:rightChars="20"/>
              <w:rPr>
                <w:rFonts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本项目招标公告第3.2项要求。</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□组织，踏勘时间：</w:t>
            </w:r>
          </w:p>
          <w:p>
            <w:pPr>
              <w:pStyle w:val="8"/>
              <w:spacing w:before="62" w:beforeLines="20" w:after="62" w:afterLines="20" w:line="360" w:lineRule="auto"/>
              <w:ind w:left="42" w:leftChars="20" w:right="42" w:rightChars="20"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踏勘集中地点：</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□召开，召开时间：</w:t>
            </w:r>
          </w:p>
          <w:p>
            <w:pPr>
              <w:spacing w:before="62" w:beforeLines="20" w:after="62" w:afterLines="20" w:line="360" w:lineRule="auto"/>
              <w:ind w:left="42" w:leftChars="20" w:right="42" w:rightChars="20"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p>
        </w:tc>
      </w:tr>
      <w:t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时间： /</w:t>
            </w:r>
          </w:p>
        </w:tc>
      </w:tr>
      <w:t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形式： /</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在广州公共资源交易中心网站“招标答疑”专区发布。</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rPr>
          <w:trHeight w:val="105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5473"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☑不允许</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□允许，偏差范围：</w:t>
            </w:r>
          </w:p>
          <w:p>
            <w:pPr>
              <w:pStyle w:val="8"/>
              <w:spacing w:before="62" w:beforeLines="20" w:after="62" w:afterLines="20" w:line="360" w:lineRule="auto"/>
              <w:ind w:left="42" w:leftChars="20" w:right="42" w:rightChars="20"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偏差幅度：</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rPr>
          <w:trHeight w:val="419" w:hRule="atLeast"/>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时间：在提交投标文件截止时间18天前提出。</w:t>
            </w:r>
          </w:p>
        </w:tc>
      </w:tr>
      <w:t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形式：1、招标答疑采用网上答疑方式进行。投标人若对招标文件（包括招标图纸、清单、最高投标限价）有疑问的，可在规定的时间内通过广州公共资源交易中心数字交易平台将问题提交给招标人或招标代理机构。提问一律不得署名。具体操作详见广州公共资源交易中心网站发布的最新版操作指引。</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2、投标人应在投标截止时间18日前停止质疑。招标人应在投标截止时间15日前解答投标人对招标文件提出的疑问，形成答疑纪要在广州公共资源交易中心网站“项目查询(日程安排、答疑纪要)”专区发布。</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在广州公共资源交易中心网站通过“项目查询(日程安排、答疑纪要)”专区网上公开发布。</w:t>
            </w:r>
          </w:p>
        </w:tc>
      </w:tr>
      <w:t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时间：发出即视作收到。</w:t>
            </w:r>
          </w:p>
        </w:tc>
      </w:tr>
      <w:t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形式：招标文件澄清（招标答疑纪要）一经在广州公共资源交易中心网站发布，视作已发放给所有投标人。</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以补充公告或项目答疑澄清的方式在广州公共资源交易中心网站发布</w:t>
            </w:r>
          </w:p>
        </w:tc>
      </w:tr>
      <w:t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时间：发出即视作收到。</w:t>
            </w:r>
          </w:p>
        </w:tc>
      </w:tr>
      <w:t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满足本项目评审要求的其他资料。</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一般计税方法。</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投标报价实行“最高投标限价”下浮报价，投标仅需在“最高投标限价”T的基础上，选取合适的下浮率B，按以下公式计算投标报价J：J= T×（1-B）。</w:t>
            </w:r>
          </w:p>
          <w:p>
            <w:pPr>
              <w:spacing w:line="360" w:lineRule="auto"/>
              <w:rPr>
                <w:rFonts w:hint="eastAsia" w:ascii="宋体" w:hAnsi="宋体" w:cs="宋体"/>
                <w:color w:val="auto"/>
                <w:szCs w:val="21"/>
                <w:highlight w:val="none"/>
              </w:rPr>
            </w:pPr>
            <w:r>
              <w:rPr>
                <w:rFonts w:hint="eastAsia" w:ascii="宋体" w:hAnsi="宋体" w:cs="宋体"/>
                <w:color w:val="auto"/>
                <w:highlight w:val="none"/>
              </w:rPr>
              <w:t>投标人报价下浮率B值，应精确至小数点后</w:t>
            </w:r>
            <w:r>
              <w:rPr>
                <w:rFonts w:ascii="宋体" w:hAnsi="宋体" w:cs="宋体"/>
                <w:color w:val="auto"/>
                <w:highlight w:val="none"/>
              </w:rPr>
              <w:t>2</w:t>
            </w:r>
            <w:r>
              <w:rPr>
                <w:rFonts w:hint="eastAsia" w:ascii="宋体" w:hAnsi="宋体" w:cs="宋体"/>
                <w:color w:val="auto"/>
                <w:highlight w:val="none"/>
              </w:rPr>
              <w:t>位数。</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default"/>
              </w:rPr>
            </w:pPr>
            <w:r>
              <w:rPr>
                <w:rFonts w:hint="eastAsia" w:eastAsia="宋体"/>
              </w:rPr>
              <w:t>最高投标限价</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□无</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☑有，最高投标限价：</w:t>
            </w:r>
            <w:r>
              <w:rPr>
                <w:rFonts w:hint="eastAsia" w:ascii="宋体" w:hAnsi="宋体" w:cs="宋体"/>
                <w:color w:val="auto"/>
                <w:szCs w:val="21"/>
                <w:highlight w:val="none"/>
                <w:u w:val="single"/>
              </w:rPr>
              <w:t>538.52</w:t>
            </w:r>
            <w:r>
              <w:rPr>
                <w:rFonts w:hint="eastAsia" w:ascii="宋体" w:hAnsi="宋体" w:cs="宋体"/>
                <w:color w:val="auto"/>
                <w:szCs w:val="21"/>
                <w:highlight w:val="none"/>
              </w:rPr>
              <w:t>万元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bidi="ar"/>
              </w:rPr>
              <w:t>投标人在“投标函及投标函附录”和“监理报酬清单报价均不得超过此限额，否则</w:t>
            </w:r>
            <w:r>
              <w:rPr>
                <w:rFonts w:hint="eastAsia" w:ascii="宋体" w:hAnsi="宋体" w:cs="宋体"/>
                <w:color w:val="auto"/>
                <w:highlight w:val="none"/>
                <w:u w:val="single"/>
              </w:rPr>
              <w:t>投标报价无效，投标文件作</w:t>
            </w:r>
            <w:r>
              <w:rPr>
                <w:rFonts w:hint="eastAsia" w:ascii="宋体" w:hAnsi="宋体" w:cs="宋体"/>
                <w:color w:val="auto"/>
                <w:highlight w:val="none"/>
                <w:u w:val="single"/>
                <w:lang w:val="en-US" w:eastAsia="zh-Hans"/>
              </w:rPr>
              <w:t>否决</w:t>
            </w:r>
            <w:r>
              <w:rPr>
                <w:rFonts w:hint="eastAsia" w:ascii="宋体" w:hAnsi="宋体" w:cs="宋体"/>
                <w:color w:val="auto"/>
                <w:highlight w:val="none"/>
                <w:u w:val="single"/>
              </w:rPr>
              <w:t>处理</w:t>
            </w:r>
            <w:r>
              <w:rPr>
                <w:rFonts w:hint="eastAsia" w:ascii="宋体" w:hAnsi="宋体" w:cs="宋体"/>
                <w:color w:val="auto"/>
                <w:szCs w:val="21"/>
                <w:highlight w:val="none"/>
                <w:u w:val="single"/>
                <w:lang w:bidi="ar"/>
              </w:rPr>
              <w:t>。</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rPr>
                <w:rFonts w:hint="eastAsia" w:ascii="宋体" w:hAnsi="宋体" w:cs="宋体"/>
                <w:color w:val="auto"/>
                <w:szCs w:val="21"/>
                <w:highlight w:val="none"/>
              </w:rPr>
            </w:pPr>
            <w:r>
              <w:rPr>
                <w:rFonts w:hint="eastAsia" w:ascii="宋体" w:hAnsi="宋体" w:cs="宋体"/>
                <w:color w:val="auto"/>
                <w:szCs w:val="21"/>
                <w:highlight w:val="none"/>
              </w:rPr>
              <w:t>1、投标人必须详细审阅全部招标文件,充分考虑职责和义务,全面地理解招标文件对投标报价的要求,并按招标人提出的</w:t>
            </w:r>
            <w:r>
              <w:rPr>
                <w:rFonts w:hint="eastAsia" w:ascii="宋体" w:hAnsi="宋体" w:cs="宋体"/>
                <w:color w:val="auto"/>
                <w:szCs w:val="21"/>
                <w:highlight w:val="none"/>
                <w:lang w:val="en-US" w:eastAsia="zh-Hans"/>
              </w:rPr>
              <w:t>要求</w:t>
            </w:r>
            <w:r>
              <w:rPr>
                <w:rFonts w:hint="eastAsia" w:ascii="宋体" w:hAnsi="宋体" w:cs="宋体"/>
                <w:color w:val="auto"/>
                <w:szCs w:val="21"/>
                <w:highlight w:val="none"/>
              </w:rPr>
              <w:t>及内容进行报价。投标报价应包括投标人中标后为完成合同规定的全部工作需支付的一切费用，并充分考虑国家或地方政府的法律、法规、政策、规范等的调整及物价变动的风险。</w:t>
            </w:r>
          </w:p>
          <w:p>
            <w:pPr>
              <w:spacing w:before="62" w:beforeLines="20" w:after="62" w:afterLines="20" w:line="360" w:lineRule="auto"/>
              <w:ind w:right="42" w:rightChars="2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监理费结算价按审定的建安工程费结算价及需监理的各项服务结算价之和为计费基数参照国家发展改革委、建设部关于印发《建设工程监理与相关服务收费管理规定》的通知（发改价格[2007]670号）规定的计价方式和计价标准结合中标下浮率计算；监理费结算价的计算方法、计算公式、监理报酬的支付，详见第四章合同条款及格式。</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trPr>
          <w:trHeight w:val="28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是否要求投标人递交投标保证金：</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☑要求，按以下方式递交：</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default" w:ascii="宋体" w:hAnsi="宋体" w:eastAsia="宋体" w:cs="宋体"/>
                <w:color w:val="auto"/>
                <w:sz w:val="21"/>
                <w:szCs w:val="21"/>
                <w:highlight w:val="none"/>
              </w:rPr>
              <w:t>10</w:t>
            </w:r>
            <w:bookmarkStart w:id="272" w:name="_GoBack"/>
            <w:bookmarkEnd w:id="272"/>
            <w:r>
              <w:rPr>
                <w:rFonts w:hint="eastAsia" w:ascii="宋体" w:hAnsi="宋体" w:eastAsia="宋体" w:cs="宋体"/>
                <w:color w:val="auto"/>
                <w:sz w:val="21"/>
                <w:szCs w:val="21"/>
                <w:highlight w:val="none"/>
              </w:rPr>
              <w:t>万元 </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投标保证金有效期：与投标有效期一致。</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投标保证金可采用现金或者支票、银行保函（含电子保函）、保证保险、专业担保公司担保等的形式，须在递交投标文件截止时间前完成缴纳。</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投标人需在交易系统中将汇入投标保证金与投标项目进行绑定，绑定成功后才能被认定为完成缴交投标保证金义务。</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收款单位：广州交易集团有限公司，开户银行：中国建设银行广州天润路支行，银行账号：44001583404059333333； </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采用非电子投标保函、投标保证保险或专业担保公司担保的形式提交投标保证金的，在开标前不强制要求提交相关文本原件，但投标人应在投标文件中提交投标保函、投标保证保险或专业担保公司担保的文本扫描件并加盖投标人电子印章。（中标候选人应在中标候选人公示前提交其办理的投标保函、投标保证保险或专业担保公司担保的原件以供招标人在网上予以公示。）</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3、如采用电子投标保函方式提交投标保证金，具体操作详见广州公共资源交易中心电子保函操作指引（http://ggzy.gz.gov.cn/fwznxtbzczsc/699986.jhtml）。</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□不要求</w:t>
            </w:r>
          </w:p>
        </w:tc>
      </w:tr>
      <w:tr>
        <w:trPr>
          <w:trHeight w:val="23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rPr>
          <w:trHeight w:val="39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□有，具体要求：</w:t>
            </w:r>
          </w:p>
        </w:tc>
      </w:tr>
      <w:tr>
        <w:trPr>
          <w:trHeight w:val="479"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u w:val="single"/>
              </w:rPr>
            </w:pPr>
            <w:r>
              <w:rPr>
                <w:rFonts w:hint="eastAsia" w:ascii="宋体" w:hAnsi="宋体" w:cs="宋体"/>
                <w:color w:val="auto"/>
                <w:szCs w:val="21"/>
                <w:highlight w:val="none"/>
              </w:rPr>
              <w:t>/</w:t>
            </w:r>
          </w:p>
        </w:tc>
      </w:tr>
      <w:tr>
        <w:trPr>
          <w:trHeight w:val="90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rPr>
          <w:trHeight w:val="59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trPr>
          <w:trHeight w:val="53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□允许</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投标文件全部采用电子文档，投标文件所附证书证件均为纸质原件的清晰扫描件，按招标文件要求在相应位置盖单位公章或用单位数字证书加盖电子公章。</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投标文件格式规定需个人签字的，应加盖个人电子印章或在线下完成后扫描上传。具体操作详见《房屋建筑和市政基础设施工程全流程电子化项目专章》。</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网上递交的电子投标文件必须进行加密。按照</w:t>
            </w:r>
            <w:r>
              <w:rPr>
                <w:rFonts w:hint="eastAsia"/>
                <w:color w:val="auto"/>
                <w:szCs w:val="21"/>
                <w:highlight w:val="none"/>
              </w:rPr>
              <w:t>广州公共资源交易中心发布的《房屋建筑和市政基础设施工程全流程电子化项目专章》</w:t>
            </w:r>
            <w:r>
              <w:rPr>
                <w:rFonts w:hint="eastAsia" w:ascii="宋体" w:hAnsi="宋体" w:cs="宋体"/>
                <w:color w:val="auto"/>
                <w:szCs w:val="21"/>
                <w:highlight w:val="none"/>
              </w:rPr>
              <w:t>。未按要求加密的投标文件，广州公共资源交易平台将予以拒收。</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rPr>
            </w:pPr>
            <w:r>
              <w:rPr>
                <w:rFonts w:ascii="宋体" w:hAnsi="宋体"/>
                <w:color w:val="auto"/>
                <w:szCs w:val="21"/>
                <w:highlight w:val="none"/>
              </w:rPr>
              <w:t>4.1.2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highlight w:val="none"/>
                <w:shd w:val="clear" w:color="FFFFFF" w:fill="D9D9D9"/>
              </w:rPr>
            </w:pPr>
            <w:r>
              <w:rPr>
                <w:rFonts w:hint="eastAsia" w:ascii="宋体" w:hAnsi="宋体" w:cs="宋体"/>
                <w:color w:val="auto"/>
                <w:sz w:val="24"/>
                <w:highlight w:val="none"/>
              </w:rPr>
              <w:t>封套上应载明的信息</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topLinePunct/>
              <w:snapToGrid w:val="0"/>
              <w:spacing w:before="159" w:beforeLines="51" w:before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如有提交投标文件光盘备用，封套上应注明如下信息：</w:t>
            </w:r>
          </w:p>
          <w:p>
            <w:pPr>
              <w:pStyle w:val="8"/>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w:t>
            </w:r>
            <w:r>
              <w:rPr>
                <w:rFonts w:hint="eastAsia" w:ascii="宋体" w:hAnsi="宋体" w:eastAsia="宋体" w:cs="宋体"/>
                <w:color w:val="auto"/>
                <w:sz w:val="21"/>
                <w:szCs w:val="21"/>
                <w:highlight w:val="none"/>
                <w:u w:val="single"/>
              </w:rPr>
              <w:t xml:space="preserve">               </w:t>
            </w:r>
          </w:p>
          <w:p>
            <w:pPr>
              <w:pStyle w:val="8"/>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招标人地址：</w:t>
            </w:r>
            <w:r>
              <w:rPr>
                <w:rFonts w:hint="eastAsia" w:ascii="宋体" w:hAnsi="宋体" w:eastAsia="宋体" w:cs="宋体"/>
                <w:color w:val="auto"/>
                <w:sz w:val="21"/>
                <w:szCs w:val="21"/>
                <w:highlight w:val="none"/>
                <w:u w:val="single"/>
              </w:rPr>
              <w:t xml:space="preserve">               </w:t>
            </w:r>
          </w:p>
          <w:p>
            <w:pPr>
              <w:pStyle w:val="8"/>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（项目名称）招标项目投标文件</w:t>
            </w:r>
          </w:p>
          <w:p>
            <w:pPr>
              <w:pStyle w:val="8"/>
              <w:topLinePunct/>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招标项目编号：</w:t>
            </w:r>
            <w:r>
              <w:rPr>
                <w:rFonts w:hint="eastAsia" w:ascii="宋体" w:hAnsi="宋体" w:eastAsia="宋体" w:cs="宋体"/>
                <w:color w:val="auto"/>
                <w:sz w:val="21"/>
                <w:szCs w:val="21"/>
                <w:highlight w:val="none"/>
                <w:u w:val="single"/>
              </w:rPr>
              <w:t xml:space="preserve">            </w:t>
            </w:r>
          </w:p>
          <w:p>
            <w:pPr>
              <w:pStyle w:val="8"/>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p>
          <w:p>
            <w:pPr>
              <w:pStyle w:val="8"/>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投标人地址：</w:t>
            </w:r>
            <w:r>
              <w:rPr>
                <w:rFonts w:hint="eastAsia" w:ascii="宋体" w:hAnsi="宋体" w:eastAsia="宋体" w:cs="宋体"/>
                <w:color w:val="auto"/>
                <w:sz w:val="21"/>
                <w:szCs w:val="21"/>
                <w:highlight w:val="none"/>
                <w:u w:val="single"/>
              </w:rPr>
              <w:t xml:space="preserve">               </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时前不得开启</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1、投标文件递交截止时间：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2、地点：广州公共资源交易中心网站。</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3、上述时间及地点是否有改变，请密切留意招标答疑纪要的相关信息。</w:t>
            </w:r>
          </w:p>
          <w:p>
            <w:pPr>
              <w:widowControl/>
              <w:adjustRightInd w:val="0"/>
              <w:snapToGrid w:val="0"/>
              <w:spacing w:line="360" w:lineRule="auto"/>
              <w:ind w:right="29" w:rightChars="14"/>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0"/>
                <w:highlight w:val="none"/>
              </w:rPr>
              <w:t>投标人投标文件解密时间为投标截止时间后</w:t>
            </w:r>
            <w:r>
              <w:rPr>
                <w:rFonts w:hint="eastAsia" w:ascii="宋体" w:hAnsi="宋体" w:cs="宋体"/>
                <w:color w:val="auto"/>
                <w:kern w:val="0"/>
                <w:highlight w:val="none"/>
                <w:u w:val="single"/>
              </w:rPr>
              <w:t>半个小时</w:t>
            </w:r>
            <w:r>
              <w:rPr>
                <w:rFonts w:hint="eastAsia" w:ascii="宋体" w:hAnsi="宋体" w:cs="宋体"/>
                <w:color w:val="auto"/>
                <w:kern w:val="0"/>
                <w:highlight w:val="none"/>
              </w:rPr>
              <w:t>内，即：</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时</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分至</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时</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分</w:t>
            </w:r>
            <w:r>
              <w:rPr>
                <w:rFonts w:hint="eastAsia" w:ascii="宋体" w:hAnsi="宋体" w:cs="宋体"/>
                <w:color w:val="auto"/>
                <w:szCs w:val="21"/>
                <w:highlight w:val="none"/>
              </w:rPr>
              <w:t>。投标人通过广州公共资源交易平台对已递交的电子投标文件进行解密。</w:t>
            </w:r>
            <w:r>
              <w:rPr>
                <w:rFonts w:hint="eastAsia" w:ascii="宋体" w:hAnsi="宋体" w:cs="宋体"/>
                <w:b/>
                <w:color w:val="auto"/>
                <w:szCs w:val="21"/>
                <w:highlight w:val="none"/>
              </w:rPr>
              <w:t>超过时间未解密的投标文件将作为放弃投标处理。</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□是，退还时间：</w:t>
            </w:r>
          </w:p>
        </w:tc>
      </w:tr>
      <w:tr>
        <w:trPr>
          <w:trHeight w:val="38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分，在广州公共资源交易中心从化交易部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室开标，并邀请所有所有投标人的法定代表人或其委托代理人准时参加。投标人不派代表出席开标会，则视其为放弃参与开标的权利，认可开标结果。截标后，开标开始时间因故推迟的，相关评标信息仍以原递交投标文件截止时间的信息为准。</w:t>
            </w:r>
          </w:p>
        </w:tc>
      </w:tr>
      <w:tr>
        <w:trPr>
          <w:trHeight w:val="38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电子招投标项目开标按下列程序进行：</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5.2.1主持人按下列程序进行开标：</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（1）公布在投标截止时间前递交投标文件的投标人名称；</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（2）投标人通过广州公共资源交易平台对已递交的电子投标文件进行解密，公布招标项目名称、投标人名称、投标保证金的递交情况、投标报价、监理服务期限及其他内容，并记录在案；</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（3）投标人代表、招标人代表、监标人、记录人等有关人员在开标记录上签字确认；若有关人员不签字的，不影响开标程序；</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（4）开标结束。</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5.2.2投标截止时间前未完成投标文件传输的或因投标人之外的原因造成投标文件未解密的，视为投标人其撤回投标文件。因投标人原因造成投标文件未解密的或未在投标截止时间后半个小时解密的，视为撤销其投标文件。</w:t>
            </w:r>
          </w:p>
          <w:p>
            <w:pPr>
              <w:spacing w:before="62" w:beforeLines="20" w:after="62" w:afterLines="20" w:line="360" w:lineRule="auto"/>
              <w:ind w:left="42" w:leftChars="20" w:right="42" w:rightChars="20"/>
              <w:rPr>
                <w:rFonts w:hint="eastAsia" w:ascii="宋体" w:hAnsi="宋体" w:cs="宋体"/>
                <w:strike/>
                <w:color w:val="auto"/>
                <w:szCs w:val="21"/>
                <w:highlight w:val="none"/>
              </w:rPr>
            </w:pPr>
            <w:r>
              <w:rPr>
                <w:rFonts w:hint="eastAsia" w:ascii="宋体" w:hAnsi="宋体" w:cs="宋体"/>
                <w:color w:val="auto"/>
                <w:szCs w:val="21"/>
                <w:highlight w:val="none"/>
              </w:rPr>
              <w:t>5.2.3开标时，两个（含两个）以上的投标人加密打包投标文件电脑机器特征码一致的，不参与下一程序，并由评标委员会否决其投标。</w:t>
            </w:r>
          </w:p>
        </w:tc>
      </w:tr>
      <w:tr>
        <w:trPr>
          <w:trHeight w:val="24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ascii="宋体" w:hAnsi="宋体" w:cs="宋体"/>
                <w:color w:val="auto"/>
                <w:szCs w:val="21"/>
                <w:highlight w:val="none"/>
              </w:rPr>
            </w:pPr>
            <w:r>
              <w:rPr>
                <w:rFonts w:hint="eastAsia" w:ascii="宋体" w:hAnsi="宋体" w:cs="宋体"/>
                <w:color w:val="auto"/>
                <w:szCs w:val="21"/>
                <w:highlight w:val="none"/>
              </w:rPr>
              <w:t>评标委员会构成：招标人依法组建</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评标专家确定方式：由招标代理机构按规定在广东省综合评标评审专家库中随机抽取。</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eastAsia="宋体" w:cs="宋体"/>
                <w:color w:val="auto"/>
                <w:szCs w:val="21"/>
                <w:highlight w:val="none"/>
                <w:lang w:val="en-US" w:eastAsia="zh-Hans"/>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Hans"/>
              </w:rPr>
              <w:t>名</w:t>
            </w:r>
          </w:p>
        </w:tc>
      </w:tr>
      <w:tr>
        <w:trPr>
          <w:trHeight w:val="17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公示媒介：广东省招标投标监管网、广州公共资源交易网</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日，最后一天应为工作日。</w:t>
            </w:r>
          </w:p>
        </w:tc>
      </w:tr>
      <w:tr>
        <w:trPr>
          <w:trHeight w:val="53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□是</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☑否</w:t>
            </w:r>
          </w:p>
        </w:tc>
      </w:tr>
      <w:tr>
        <w:trPr>
          <w:trHeight w:val="71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是否要求中标人提交履约保证金：</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要求，履约保证金的形式：银行保函；</w:t>
            </w:r>
          </w:p>
          <w:p>
            <w:pPr>
              <w:spacing w:before="62" w:beforeLines="20" w:after="62" w:afterLines="20" w:line="360" w:lineRule="auto"/>
              <w:ind w:left="42" w:leftChars="20" w:right="42" w:rightChars="20" w:firstLine="840" w:firstLineChars="400"/>
              <w:rPr>
                <w:rFonts w:hint="eastAsia" w:ascii="宋体" w:hAnsi="宋体" w:cs="宋体"/>
                <w:color w:val="auto"/>
                <w:szCs w:val="21"/>
                <w:highlight w:val="none"/>
              </w:rPr>
            </w:pPr>
            <w:r>
              <w:rPr>
                <w:rFonts w:hint="eastAsia" w:ascii="宋体" w:hAnsi="宋体" w:cs="宋体"/>
                <w:color w:val="auto"/>
                <w:szCs w:val="21"/>
                <w:highlight w:val="none"/>
              </w:rPr>
              <w:t>履约保证金的金额：中标人提供的履约担保为中标价款的10%的银行保函，须由中国注册的银行开具的无条件、不可撤销、见索即付的保函。</w:t>
            </w:r>
          </w:p>
          <w:p>
            <w:pPr>
              <w:pStyle w:val="8"/>
              <w:spacing w:before="62" w:beforeLines="20" w:after="62" w:afterLines="20" w:line="360" w:lineRule="auto"/>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不要求</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547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□否</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1、《房屋建筑和市政基础设施工程全流程电子化项目专章》</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2、提交投标文件光盘备用</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将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3、补救方案</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pPr>
              <w:pStyle w:val="8"/>
              <w:topLinePunct/>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若遇不可抗力发生（如：网络瘫痪、服务器损坏、交易系统故障短期无法恢复等因素），由评标委员会开启现场递交的全部投标文件光盘，并按光盘内容进行评审。</w:t>
            </w:r>
          </w:p>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jc w:val="left"/>
              <w:rPr>
                <w:rFonts w:hint="eastAsia" w:ascii="宋体" w:hAnsi="宋体" w:cs="宋体"/>
                <w:color w:val="auto"/>
                <w:highlight w:val="none"/>
              </w:rPr>
            </w:pPr>
            <w:r>
              <w:rPr>
                <w:rFonts w:hint="eastAsia" w:ascii="宋体" w:hAnsi="宋体" w:cs="宋体"/>
                <w:color w:val="auto"/>
                <w:highlight w:val="none"/>
              </w:rPr>
              <w:t>中标人必须按照招标代理的通知及时地向广州公共资源交易中心缴纳交易服务费</w:t>
            </w:r>
            <w:r>
              <w:rPr>
                <w:rFonts w:hint="default" w:ascii="宋体" w:hAnsi="宋体" w:cs="宋体"/>
                <w:color w:val="auto"/>
                <w:highlight w:val="none"/>
              </w:rPr>
              <w:t>，</w:t>
            </w:r>
            <w:r>
              <w:rPr>
                <w:rFonts w:hint="eastAsia" w:ascii="宋体" w:hAnsi="宋体" w:cs="宋体"/>
                <w:szCs w:val="21"/>
              </w:rPr>
              <w:t>招标人不另行支付</w:t>
            </w:r>
            <w:r>
              <w:rPr>
                <w:rFonts w:hint="eastAsia" w:ascii="宋体" w:hAnsi="宋体" w:cs="宋体"/>
                <w:color w:val="auto"/>
                <w:highlight w:val="none"/>
              </w:rPr>
              <w:t>。（该交易服务费为中标金额的0.09%，具体收费标准投标人可以在广州公共资源交易中心网站查阅，如有变更以广州公共资源交易中心最新发布的标准为准）。</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jc w:val="left"/>
              <w:rPr>
                <w:rFonts w:ascii="宋体" w:hAnsi="宋体" w:cs="宋体"/>
                <w:color w:val="auto"/>
                <w:highlight w:val="none"/>
              </w:rPr>
            </w:pPr>
            <w:r>
              <w:rPr>
                <w:rFonts w:hint="eastAsia" w:ascii="宋体" w:hAnsi="宋体" w:cs="宋体"/>
                <w:color w:val="auto"/>
                <w:highlight w:val="none"/>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tc>
      </w:tr>
      <w:tr>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right="42" w:rightChars="20"/>
              <w:jc w:val="left"/>
              <w:rPr>
                <w:rFonts w:hint="eastAsia" w:ascii="宋体" w:hAnsi="宋体" w:cs="宋体"/>
                <w:color w:val="auto"/>
                <w:highlight w:val="none"/>
              </w:rPr>
            </w:pPr>
            <w:r>
              <w:rPr>
                <w:rFonts w:hint="eastAsia" w:ascii="宋体" w:hAnsi="宋体" w:cs="宋体"/>
                <w:color w:val="auto"/>
                <w:highlight w:val="none"/>
              </w:rPr>
              <w:t>中标人在领取中标通知书前，须按招标人要求向招标人提供盖章的纸质版投标文件（内容与交易平台网上递交的电子投标文件一致）3套及电子文件光盘一份。</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default" w:ascii="宋体" w:hAnsi="宋体" w:eastAsia="宋体" w:cs="宋体"/>
                <w:color w:val="auto"/>
                <w:highlight w:val="none"/>
                <w:lang w:eastAsia="zh-Hans"/>
              </w:rPr>
            </w:pPr>
            <w:r>
              <w:rPr>
                <w:rFonts w:hint="default" w:ascii="宋体" w:hAnsi="宋体" w:cs="宋体"/>
                <w:color w:val="auto"/>
                <w:highlight w:val="none"/>
              </w:rPr>
              <w:t>10</w:t>
            </w:r>
            <w:r>
              <w:rPr>
                <w:rFonts w:hint="eastAsia" w:ascii="宋体" w:hAnsi="宋体" w:cs="宋体"/>
                <w:color w:val="auto"/>
                <w:highlight w:val="none"/>
                <w:lang w:val="en-US" w:eastAsia="zh-Hans"/>
              </w:rPr>
              <w:t>.</w:t>
            </w:r>
            <w:r>
              <w:rPr>
                <w:rFonts w:hint="default" w:ascii="宋体" w:hAnsi="宋体" w:cs="宋体"/>
                <w:color w:val="auto"/>
                <w:highlight w:val="none"/>
                <w:lang w:eastAsia="zh-Hans"/>
              </w:rPr>
              <w:t>4</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p>
            <w:pPr>
              <w:spacing w:before="62" w:beforeLines="20" w:after="62" w:afterLines="20" w:line="360" w:lineRule="auto"/>
              <w:ind w:left="42" w:leftChars="20" w:right="42" w:rightChars="20"/>
              <w:jc w:val="both"/>
              <w:rPr>
                <w:rFonts w:hint="eastAsia"/>
              </w:rPr>
            </w:pPr>
            <w:r>
              <w:rPr>
                <w:rFonts w:hint="eastAsia" w:ascii="宋体" w:hAnsi="宋体" w:eastAsia="宋体" w:cs="宋体"/>
                <w:color w:val="auto"/>
                <w:highlight w:val="none"/>
              </w:rPr>
              <w:t>本项目采用资格后审方式，满足资格审查合格条件或通过初步评审的投标申请人不足3名时为招标失败。招标人分析招标失败原因，修正招标方案，报有关管理部门核准后，重新组织招标。</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default" w:ascii="宋体" w:hAnsi="宋体" w:eastAsia="宋体" w:cs="宋体"/>
                <w:color w:val="auto"/>
                <w:highlight w:val="none"/>
                <w:lang w:eastAsia="zh-Hans"/>
              </w:rPr>
            </w:pPr>
            <w:r>
              <w:rPr>
                <w:rFonts w:hint="default" w:ascii="宋体" w:hAnsi="宋体" w:cs="宋体"/>
                <w:color w:val="auto"/>
                <w:highlight w:val="none"/>
              </w:rPr>
              <w:t>10</w:t>
            </w:r>
            <w:r>
              <w:rPr>
                <w:rFonts w:hint="eastAsia" w:ascii="宋体" w:hAnsi="宋体" w:cs="宋体"/>
                <w:color w:val="auto"/>
                <w:highlight w:val="none"/>
                <w:lang w:val="en-US" w:eastAsia="zh-Hans"/>
              </w:rPr>
              <w:t>.</w:t>
            </w:r>
            <w:r>
              <w:rPr>
                <w:rFonts w:hint="default" w:ascii="宋体" w:hAnsi="宋体" w:cs="宋体"/>
                <w:color w:val="auto"/>
                <w:highlight w:val="none"/>
                <w:lang w:eastAsia="zh-Hans"/>
              </w:rPr>
              <w:t>5</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投标人在本项目招标人的工程项目中存在下列行为的，将被拒绝一定时期内参与我单位后续工程投标。（注：拒绝投标时限由招标人视严重程度确定，最低三个月起，自招标人发出通知之日起计）：</w:t>
            </w:r>
          </w:p>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（1）将中标工程转包或者违法分包的；</w:t>
            </w:r>
          </w:p>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（2）在中标工程中不执行质量、安全生产相关规定的，造成质量或安全事故的；</w:t>
            </w:r>
          </w:p>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（3）存在围标或串标情形的；</w:t>
            </w:r>
          </w:p>
        </w:tc>
      </w:tr>
      <w:tr>
        <w:tc>
          <w:tcPr>
            <w:tcW w:w="993"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center"/>
              <w:rPr>
                <w:rFonts w:hint="default" w:ascii="宋体" w:hAnsi="宋体" w:eastAsia="宋体" w:cs="宋体"/>
                <w:color w:val="auto"/>
                <w:highlight w:val="none"/>
                <w:lang w:eastAsia="zh-Hans"/>
              </w:rPr>
            </w:pPr>
            <w:r>
              <w:rPr>
                <w:rFonts w:hint="default" w:ascii="宋体" w:hAnsi="宋体" w:cs="宋体"/>
                <w:color w:val="auto"/>
                <w:highlight w:val="none"/>
              </w:rPr>
              <w:t>10</w:t>
            </w:r>
            <w:r>
              <w:rPr>
                <w:rFonts w:hint="eastAsia" w:ascii="宋体" w:hAnsi="宋体" w:cs="宋体"/>
                <w:color w:val="auto"/>
                <w:highlight w:val="none"/>
                <w:lang w:val="en-US" w:eastAsia="zh-Hans"/>
              </w:rPr>
              <w:t>.</w:t>
            </w:r>
            <w:r>
              <w:rPr>
                <w:rFonts w:hint="default" w:ascii="宋体" w:hAnsi="宋体" w:cs="宋体"/>
                <w:color w:val="auto"/>
                <w:highlight w:val="none"/>
                <w:lang w:eastAsia="zh-Hans"/>
              </w:rPr>
              <w:t>6</w:t>
            </w:r>
          </w:p>
        </w:tc>
        <w:tc>
          <w:tcPr>
            <w:tcW w:w="7595" w:type="dxa"/>
            <w:gridSpan w:val="2"/>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auto"/>
              <w:ind w:left="42" w:leftChars="20" w:right="42" w:rightChars="20"/>
              <w:jc w:val="both"/>
              <w:rPr>
                <w:rFonts w:hint="eastAsia" w:ascii="宋体" w:hAnsi="宋体" w:eastAsia="宋体" w:cs="宋体"/>
                <w:color w:val="auto"/>
                <w:highlight w:val="none"/>
              </w:rPr>
            </w:pPr>
            <w:r>
              <w:rPr>
                <w:rFonts w:hint="eastAsia" w:ascii="宋体" w:hAnsi="宋体" w:eastAsia="宋体" w:cs="宋体"/>
                <w:color w:val="auto"/>
                <w:highlight w:val="none"/>
              </w:rPr>
              <w:t>招标代理服务费由中标单位在领取中标通知书前一次性向招标代理机构支付5.0</w:t>
            </w:r>
            <w:r>
              <w:rPr>
                <w:rFonts w:hint="default" w:ascii="宋体" w:hAnsi="宋体" w:cs="宋体"/>
                <w:color w:val="auto"/>
                <w:highlight w:val="none"/>
              </w:rPr>
              <w:t>1</w:t>
            </w:r>
            <w:r>
              <w:rPr>
                <w:rFonts w:hint="eastAsia" w:ascii="宋体" w:hAnsi="宋体" w:eastAsia="宋体" w:cs="宋体"/>
                <w:color w:val="auto"/>
                <w:highlight w:val="none"/>
              </w:rPr>
              <w:t>万元。</w:t>
            </w:r>
          </w:p>
        </w:tc>
      </w:tr>
    </w:tbl>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highlight w:val="none"/>
        </w:rPr>
        <w:br w:type="page"/>
      </w:r>
      <w:bookmarkStart w:id="6" w:name="_Toc21139"/>
      <w:bookmarkStart w:id="7" w:name="_Toc14765"/>
      <w:r>
        <w:rPr>
          <w:rFonts w:hint="eastAsia" w:ascii="宋体" w:hAnsi="宋体" w:eastAsia="宋体" w:cs="宋体"/>
          <w:b/>
          <w:bCs w:val="0"/>
          <w:color w:val="auto"/>
          <w:sz w:val="24"/>
          <w:szCs w:val="24"/>
          <w:highlight w:val="none"/>
        </w:rPr>
        <w:t>1. 总则</w:t>
      </w:r>
      <w:bookmarkEnd w:id="6"/>
      <w:bookmarkEnd w:id="7"/>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 w:name="_Toc1337"/>
      <w:bookmarkStart w:id="9" w:name="_Toc26094"/>
      <w:r>
        <w:rPr>
          <w:rFonts w:hint="eastAsia" w:ascii="宋体" w:hAnsi="宋体" w:eastAsia="宋体" w:cs="宋体"/>
          <w:b/>
          <w:bCs w:val="0"/>
          <w:color w:val="auto"/>
          <w:sz w:val="24"/>
          <w:szCs w:val="24"/>
          <w:highlight w:val="none"/>
        </w:rPr>
        <w:t>1.1 招标项目概况</w:t>
      </w:r>
      <w:bookmarkEnd w:id="8"/>
      <w:bookmarkEnd w:id="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1.1.1根据《中华人民共和国招标投标法》、《中华人民共和国招标投标法实施条例》等有关法律、法规和规章的规定，本招标项目已具备招标条件，现对监理进行招标。</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招标人：见投标人须知前附表。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招标代理机构：见投标人须知前附表。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招标项目名称：见投标人须知前附表。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项目建设地点：见投标人须知前附表。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项目建设规模：见投标人须知前附表。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工程项目施工预计开工日期和建设周期：见投标人须知前附表。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 建筑安装工程费/工程概算：见投标人须知前附表。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 w:name="_Toc6411"/>
      <w:bookmarkStart w:id="11" w:name="_Toc13909"/>
      <w:r>
        <w:rPr>
          <w:rFonts w:hint="eastAsia" w:ascii="宋体" w:hAnsi="宋体" w:eastAsia="宋体" w:cs="宋体"/>
          <w:b/>
          <w:bCs w:val="0"/>
          <w:color w:val="auto"/>
          <w:sz w:val="24"/>
          <w:szCs w:val="24"/>
          <w:highlight w:val="none"/>
        </w:rPr>
        <w:t>1.2 招标项目的资金来源和落实情况</w:t>
      </w:r>
      <w:bookmarkEnd w:id="10"/>
      <w:bookmarkEnd w:id="1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资金来源及比例：见投标人须知前附表。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资金落实情况：见投标人须知前附表。</w:t>
      </w:r>
    </w:p>
    <w:p>
      <w:pPr>
        <w:pStyle w:val="4"/>
        <w:keepLines/>
        <w:adjustRightInd/>
        <w:textAlignment w:val="auto"/>
        <w:rPr>
          <w:rFonts w:hint="eastAsia" w:ascii="宋体" w:hAnsi="宋体" w:eastAsia="宋体" w:cs="宋体"/>
          <w:b/>
          <w:bCs w:val="0"/>
          <w:color w:val="auto"/>
          <w:sz w:val="21"/>
          <w:szCs w:val="21"/>
          <w:highlight w:val="none"/>
        </w:rPr>
      </w:pPr>
      <w:bookmarkStart w:id="12" w:name="_Toc28552"/>
      <w:bookmarkStart w:id="13" w:name="_Toc31426"/>
      <w:r>
        <w:rPr>
          <w:rFonts w:hint="eastAsia" w:ascii="宋体" w:hAnsi="宋体" w:eastAsia="宋体" w:cs="宋体"/>
          <w:b/>
          <w:bCs w:val="0"/>
          <w:color w:val="auto"/>
          <w:sz w:val="24"/>
          <w:szCs w:val="24"/>
          <w:highlight w:val="none"/>
        </w:rPr>
        <w:t>1.3招标范围、监理服务期限和质量标准</w:t>
      </w:r>
      <w:bookmarkEnd w:id="12"/>
      <w:bookmarkEnd w:id="1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招标范围：见投标人须知前附表。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监理服务期限：见投标人须知前附表。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质量标准：见投标人须知前附表。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1"/>
          <w:szCs w:val="21"/>
          <w:highlight w:val="none"/>
        </w:rPr>
      </w:pPr>
      <w:bookmarkStart w:id="14" w:name="_Toc5705"/>
      <w:bookmarkStart w:id="15" w:name="_Toc19821"/>
      <w:r>
        <w:rPr>
          <w:rFonts w:hint="eastAsia" w:ascii="宋体" w:hAnsi="宋体" w:eastAsia="宋体" w:cs="宋体"/>
          <w:b/>
          <w:bCs w:val="0"/>
          <w:color w:val="auto"/>
          <w:sz w:val="24"/>
          <w:szCs w:val="24"/>
          <w:highlight w:val="none"/>
        </w:rPr>
        <w:t>1.4投标人资格要求</w:t>
      </w:r>
      <w:bookmarkEnd w:id="14"/>
      <w:bookmarkEnd w:id="15"/>
    </w:p>
    <w:p>
      <w:pPr>
        <w:pStyle w:val="4"/>
        <w:keepLines/>
        <w:adjustRightInd/>
        <w:ind w:firstLine="420" w:firstLineChars="200"/>
        <w:textAlignment w:val="auto"/>
        <w:rPr>
          <w:rFonts w:hint="eastAsia" w:ascii="宋体" w:hAnsi="宋体" w:eastAsia="宋体" w:cs="宋体"/>
          <w:color w:val="auto"/>
          <w:sz w:val="21"/>
          <w:szCs w:val="21"/>
          <w:highlight w:val="none"/>
        </w:rPr>
      </w:pPr>
      <w:bookmarkStart w:id="16" w:name="_Toc16395"/>
      <w:bookmarkStart w:id="17" w:name="_Toc30285"/>
      <w:r>
        <w:rPr>
          <w:rFonts w:hint="eastAsia" w:ascii="宋体" w:hAnsi="宋体" w:eastAsia="宋体" w:cs="宋体"/>
          <w:color w:val="auto"/>
          <w:sz w:val="21"/>
          <w:szCs w:val="21"/>
          <w:highlight w:val="none"/>
        </w:rPr>
        <w:t>1.4.1 投标人应具备承担本招标项目资质条件、能力和信誉：</w:t>
      </w:r>
      <w:bookmarkEnd w:id="16"/>
      <w:bookmarkEnd w:id="1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（3）业绩要求：见投标人须知前附表；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（4）信誉要求：见投标人须知前附表；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（5）总监理工程师的资格要求：应当具备工程注册监理工程师执业资格，具体要求见投标人须知前附表；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（6）其他主要人员要求：见投标人须知前附表。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（7）试验检测仪器设备要求：见投标人须知前附表。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需要提交的相关证明材料见本章第3.5款的规定。</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1.4.2投标人须知前附表规定接受联合体投标的，联合体除应符合本章第1.4.1项和投标人须知前附表的要求外，还应遵守以下规定：</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投标人不得存在下列情形之一：</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（1）为招标人不具有独立法人资格的附属机构（单位）；</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（2）与招标人存在利害关系且可能影响招标公正性；</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（3）与本招标项目的其他投标人为同一个单位负责人；</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（4）与本招标项目的其他投标人存在控股、管理关系；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（5）为本招标项目的代建人；</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（6）为本招标项目的招标代理机构；</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（7）与本招标项目的代建人或招标代理机构同为一个法定代表人；</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（8）与本招标项目的代建人或招标代理机构存在控股或参股关系；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（9）与本招标项目的施工承包人以及建筑材料、建筑构配件和设备供应商有隶属关系或者其他利害关系；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（10）被依法暂停或者取消投标资格；</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（11）被责令停产停业、暂扣或者吊销许可证、暂扣或者吊销执照；</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（12）进入清算程序，或被宣告破产，或其他丧失履约能力的情形；</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（13）在最近三年内发生重大监理质量问题（以相关行业主管部门的行政处罚决定或司法机关出具的有关法律文书为准）；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（14）被工商行政管理机关在全国企业信用信息公示系统中列入严重违法失信企业名单；</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（15）被最高人民法院在“信用中国”网站（www.creditchina.gov.cn）或“信用广州”网站或各级信用信息共享平台中列入失信被执行人名单（失信黑名单）；</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（16）在近三年内投标人或其法定代表人、拟委任的总监理工程师有行贿犯罪行为的；</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（17）法律法规或投标人须知前附表规定的其他情形。</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8" w:name="_Toc2304"/>
      <w:bookmarkStart w:id="19" w:name="_Toc8346"/>
      <w:r>
        <w:rPr>
          <w:rFonts w:hint="eastAsia" w:ascii="宋体" w:hAnsi="宋体" w:eastAsia="宋体" w:cs="宋体"/>
          <w:b/>
          <w:bCs w:val="0"/>
          <w:color w:val="auto"/>
          <w:sz w:val="24"/>
          <w:szCs w:val="24"/>
          <w:highlight w:val="none"/>
        </w:rPr>
        <w:t>1.5 费用承担</w:t>
      </w:r>
      <w:bookmarkEnd w:id="18"/>
      <w:bookmarkEnd w:id="1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投标人准备和参加投标活动发生的费用自理。</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20" w:name="_Toc11547"/>
      <w:bookmarkStart w:id="21" w:name="_Toc27046"/>
      <w:r>
        <w:rPr>
          <w:rFonts w:hint="eastAsia" w:ascii="宋体" w:hAnsi="宋体" w:eastAsia="宋体" w:cs="宋体"/>
          <w:b/>
          <w:bCs w:val="0"/>
          <w:color w:val="auto"/>
          <w:sz w:val="24"/>
          <w:szCs w:val="24"/>
          <w:highlight w:val="none"/>
        </w:rPr>
        <w:t>1.6保密</w:t>
      </w:r>
      <w:bookmarkEnd w:id="20"/>
      <w:bookmarkEnd w:id="2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参与招标投标活动的各方应对招标文件和投标文件中的商业和技术等秘密保密，否则应承担相应的法律责任。</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22" w:name="_Toc26126"/>
      <w:bookmarkStart w:id="23" w:name="_Toc31576"/>
      <w:r>
        <w:rPr>
          <w:rFonts w:hint="eastAsia" w:ascii="宋体" w:hAnsi="宋体" w:eastAsia="宋体" w:cs="宋体"/>
          <w:b/>
          <w:bCs w:val="0"/>
          <w:color w:val="auto"/>
          <w:sz w:val="24"/>
          <w:szCs w:val="24"/>
          <w:highlight w:val="none"/>
        </w:rPr>
        <w:t>1.7 语言文字</w:t>
      </w:r>
      <w:bookmarkEnd w:id="22"/>
      <w:bookmarkEnd w:id="2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招标投标文件使用的语言文字为中文。专用术语使用外文的，应附有中文注释。</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24" w:name="_Toc24001"/>
      <w:bookmarkStart w:id="25" w:name="_Toc14531"/>
      <w:r>
        <w:rPr>
          <w:rFonts w:hint="eastAsia" w:ascii="宋体" w:hAnsi="宋体" w:eastAsia="宋体" w:cs="宋体"/>
          <w:b/>
          <w:bCs w:val="0"/>
          <w:color w:val="auto"/>
          <w:sz w:val="24"/>
          <w:szCs w:val="24"/>
          <w:highlight w:val="none"/>
        </w:rPr>
        <w:t>1.8计量单位</w:t>
      </w:r>
      <w:bookmarkEnd w:id="24"/>
      <w:bookmarkEnd w:id="2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26" w:name="_Toc16556"/>
      <w:bookmarkStart w:id="27" w:name="_Toc5427"/>
      <w:r>
        <w:rPr>
          <w:rFonts w:hint="eastAsia" w:ascii="宋体" w:hAnsi="宋体" w:eastAsia="宋体" w:cs="宋体"/>
          <w:b/>
          <w:bCs w:val="0"/>
          <w:color w:val="auto"/>
          <w:sz w:val="24"/>
          <w:szCs w:val="24"/>
          <w:highlight w:val="none"/>
        </w:rPr>
        <w:t>1.9 踏勘现场</w:t>
      </w:r>
      <w:bookmarkEnd w:id="26"/>
      <w:bookmarkEnd w:id="2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除招标人的原因外，投标人自行负责在踏勘现场中所发生的人员伤亡和财产损失。</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招标人在踏勘现场中介绍的工程场地和相关的周边环境情况，供投标人在编制投标文件时参考，招标人不对投标人据此作出的判断和决策负责。</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28" w:name="_Toc16552"/>
      <w:bookmarkStart w:id="29" w:name="_Toc24931"/>
      <w:r>
        <w:rPr>
          <w:rFonts w:hint="eastAsia" w:ascii="宋体" w:hAnsi="宋体" w:eastAsia="宋体" w:cs="宋体"/>
          <w:b/>
          <w:bCs w:val="0"/>
          <w:color w:val="auto"/>
          <w:sz w:val="24"/>
          <w:szCs w:val="24"/>
          <w:highlight w:val="none"/>
        </w:rPr>
        <w:t>1.10投标预备会</w:t>
      </w:r>
      <w:bookmarkEnd w:id="28"/>
      <w:bookmarkEnd w:id="2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投标人须知前附表规定召开投标预备会的，招标人按投标人须知前附表规定的时间和地点召开投标预备会，澄清投标人提出的问题。</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1.10.2 投标人应按投标人须知前附表规定的时间和形式将提出的问题送达招标人，以便招标人在会议期间澄清。</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投标预备会后，招标人将对投标人所提问题的澄清，以投标人须知前附表规定的形式通知所有获得招标文件的投标人。该澄清内容为招标文件的组成部分。</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30" w:name="_Toc154"/>
      <w:bookmarkStart w:id="31" w:name="_Toc11028"/>
      <w:r>
        <w:rPr>
          <w:rFonts w:hint="eastAsia" w:ascii="宋体" w:hAnsi="宋体" w:eastAsia="宋体" w:cs="宋体"/>
          <w:b/>
          <w:bCs w:val="0"/>
          <w:color w:val="auto"/>
          <w:sz w:val="24"/>
          <w:szCs w:val="24"/>
          <w:highlight w:val="none"/>
        </w:rPr>
        <w:t>1.11 分包</w:t>
      </w:r>
      <w:bookmarkEnd w:id="30"/>
      <w:bookmarkEnd w:id="3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本项目严禁分包。</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32" w:name="_Toc2802"/>
      <w:bookmarkStart w:id="33" w:name="_Toc4799"/>
      <w:r>
        <w:rPr>
          <w:rFonts w:hint="eastAsia" w:ascii="宋体" w:hAnsi="宋体" w:eastAsia="宋体" w:cs="宋体"/>
          <w:b/>
          <w:bCs w:val="0"/>
          <w:color w:val="auto"/>
          <w:sz w:val="24"/>
          <w:szCs w:val="24"/>
          <w:highlight w:val="none"/>
        </w:rPr>
        <w:t>1.12响应和偏差</w:t>
      </w:r>
      <w:bookmarkEnd w:id="32"/>
      <w:bookmarkEnd w:id="3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1.12.1投标文件应当对招标文件的实质性要求和条件作出满足性或更有利于招标人的响应，否则，投标人的投标将被否决。实质性要求和条件见投标人须知前附表。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bookmarkStart w:id="34" w:name="_Toc23439"/>
      <w:bookmarkStart w:id="35" w:name="_Toc13113"/>
      <w:r>
        <w:rPr>
          <w:rFonts w:hint="eastAsia" w:ascii="宋体" w:hAnsi="宋体" w:eastAsia="宋体" w:cs="宋体"/>
          <w:color w:val="auto"/>
          <w:sz w:val="21"/>
          <w:szCs w:val="21"/>
          <w:highlight w:val="none"/>
        </w:rPr>
        <w:t>1.12.2 投标人应根据招标文件的要求提供投标监理大纲等内容以对招标文件作出响应。</w:t>
      </w:r>
      <w:bookmarkEnd w:id="34"/>
      <w:bookmarkEnd w:id="3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1.12.3投标人须知前附表允许投标文件偏离招标文件某些要求的，偏差应当符合招标文件规定的偏差范围和幅度。</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36" w:name="_Toc25560"/>
      <w:bookmarkStart w:id="37" w:name="_Toc9906"/>
      <w:r>
        <w:rPr>
          <w:rFonts w:hint="eastAsia" w:ascii="宋体" w:hAnsi="宋体" w:eastAsia="宋体" w:cs="宋体"/>
          <w:b/>
          <w:bCs w:val="0"/>
          <w:color w:val="auto"/>
          <w:sz w:val="24"/>
          <w:szCs w:val="24"/>
          <w:highlight w:val="none"/>
        </w:rPr>
        <w:t>2. 招标文件</w:t>
      </w:r>
      <w:bookmarkEnd w:id="36"/>
      <w:bookmarkEnd w:id="37"/>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38" w:name="_Toc31624"/>
      <w:bookmarkStart w:id="39" w:name="_Toc16773"/>
      <w:r>
        <w:rPr>
          <w:rFonts w:hint="eastAsia" w:ascii="宋体" w:hAnsi="宋体" w:eastAsia="宋体" w:cs="宋体"/>
          <w:b/>
          <w:bCs w:val="0"/>
          <w:color w:val="auto"/>
          <w:sz w:val="24"/>
          <w:szCs w:val="24"/>
          <w:highlight w:val="none"/>
        </w:rPr>
        <w:t>2.1 招标文件的组成</w:t>
      </w:r>
      <w:bookmarkEnd w:id="38"/>
      <w:bookmarkEnd w:id="3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本招标文件包括：</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（5）委托人要求；</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u w:val="single"/>
        </w:rPr>
        <w:t>否决性条款汇总。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根据本章第1.10款、第2.2款和第2.3款对招标文件所作的澄清、修改，构成招标文件的组成部分。</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40" w:name="_Toc21168"/>
      <w:bookmarkStart w:id="41" w:name="_Toc10454"/>
      <w:r>
        <w:rPr>
          <w:rFonts w:hint="eastAsia" w:ascii="宋体" w:hAnsi="宋体" w:eastAsia="宋体" w:cs="宋体"/>
          <w:b/>
          <w:bCs w:val="0"/>
          <w:color w:val="auto"/>
          <w:sz w:val="24"/>
          <w:szCs w:val="24"/>
          <w:highlight w:val="none"/>
        </w:rPr>
        <w:t>2.2 招标文件的澄清</w:t>
      </w:r>
      <w:bookmarkEnd w:id="40"/>
      <w:bookmarkEnd w:id="4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招标文件的澄清以投标人须知前附表规定的形式发给所有获得招标文件的投标人，但不指明澄清问题的来源。澄清发出的时间距本章第4.2.1项规定的投标截止时间不足15日的，并且澄清内容可能影响投标文件编制的，将相应延长投标截止时间。</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投标人在收到澄清后，应按投标人须知前附表规定的时间和形式通知招标人，确认已收到该澄清。</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除非招标人认为确有必要答复，否则，招标人有权拒绝回复投标人在本章第2.2.1项规定的时间后的任何澄清要求。</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42" w:name="_Toc25069"/>
      <w:bookmarkStart w:id="43" w:name="_Toc1548"/>
      <w:r>
        <w:rPr>
          <w:rFonts w:hint="eastAsia" w:ascii="宋体" w:hAnsi="宋体" w:eastAsia="宋体" w:cs="宋体"/>
          <w:b/>
          <w:bCs w:val="0"/>
          <w:color w:val="auto"/>
          <w:sz w:val="24"/>
          <w:szCs w:val="24"/>
          <w:highlight w:val="none"/>
        </w:rPr>
        <w:t>2.3 招标文件的修改</w:t>
      </w:r>
      <w:bookmarkEnd w:id="42"/>
      <w:bookmarkEnd w:id="4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招标人以投标人须知前附表规定的形式修改招标文件，并通知所有已获得招标文件的投标人。修改招标文件的时间距本章第4.2.1项规定的投标截止时间不足15日的，并且修改内容可能影响投标文件编制的，将相应延长投标截止时间。</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投标人收到修改内容后，应按投标人须知前附表规定的时间和形式通知招标人，确认已收到该修改。</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44" w:name="_Toc14426"/>
      <w:bookmarkStart w:id="45" w:name="_Toc29964"/>
      <w:r>
        <w:rPr>
          <w:rFonts w:hint="eastAsia" w:ascii="宋体" w:hAnsi="宋体" w:eastAsia="宋体" w:cs="宋体"/>
          <w:b/>
          <w:bCs w:val="0"/>
          <w:color w:val="auto"/>
          <w:sz w:val="24"/>
          <w:szCs w:val="24"/>
          <w:highlight w:val="none"/>
        </w:rPr>
        <w:t>2.4 招标文件的异议</w:t>
      </w:r>
      <w:bookmarkEnd w:id="44"/>
      <w:bookmarkEnd w:id="4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投标人或者其他利害关系人对招标文件有异议的，应当在投标截止时间10日前以书面形式提出。招标人将在收到异议之日起3日内作出答复；作出答复前，将暂停招标投标活动。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46" w:name="_Toc15450"/>
      <w:bookmarkStart w:id="47" w:name="_Toc31052"/>
      <w:r>
        <w:rPr>
          <w:rFonts w:hint="eastAsia" w:ascii="宋体" w:hAnsi="宋体" w:eastAsia="宋体" w:cs="宋体"/>
          <w:b/>
          <w:bCs w:val="0"/>
          <w:color w:val="auto"/>
          <w:sz w:val="24"/>
          <w:szCs w:val="24"/>
          <w:highlight w:val="none"/>
        </w:rPr>
        <w:t>3. 投标文件</w:t>
      </w:r>
      <w:bookmarkEnd w:id="46"/>
      <w:bookmarkEnd w:id="47"/>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48" w:name="_Toc23264"/>
      <w:bookmarkStart w:id="49" w:name="_Toc19927"/>
      <w:r>
        <w:rPr>
          <w:rFonts w:hint="eastAsia" w:ascii="宋体" w:hAnsi="宋体" w:eastAsia="宋体" w:cs="宋体"/>
          <w:b/>
          <w:bCs w:val="0"/>
          <w:color w:val="auto"/>
          <w:sz w:val="24"/>
          <w:szCs w:val="24"/>
          <w:highlight w:val="none"/>
        </w:rPr>
        <w:t>3.1 投标文件的组成</w:t>
      </w:r>
      <w:bookmarkEnd w:id="48"/>
      <w:bookmarkEnd w:id="49"/>
    </w:p>
    <w:p>
      <w:pPr>
        <w:pStyle w:val="4"/>
        <w:keepLines/>
        <w:adjustRightIn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3.1.1 投标文件应包括下列内容：</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（2）法定代表人身份证明或授权委托书；</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）资格审查资料；</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Hans"/>
        </w:rPr>
        <w:t>资信业绩证明材料</w:t>
      </w:r>
      <w:r>
        <w:rPr>
          <w:rFonts w:hint="eastAsia" w:ascii="宋体" w:hAnsi="宋体" w:eastAsia="宋体" w:cs="宋体"/>
          <w:color w:val="auto"/>
          <w:sz w:val="21"/>
          <w:szCs w:val="21"/>
          <w:highlight w:val="none"/>
        </w:rPr>
        <w:t>；</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rPr>
        <w:t>6</w:t>
      </w:r>
      <w:r>
        <w:rPr>
          <w:rFonts w:hint="eastAsia" w:ascii="宋体" w:hAnsi="宋体" w:eastAsia="宋体" w:cs="宋体"/>
          <w:color w:val="auto"/>
          <w:sz w:val="21"/>
          <w:szCs w:val="21"/>
          <w:highlight w:val="none"/>
        </w:rPr>
        <w:t>）监理大纲。</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投标人在评标过程中作出的符合法律法规和招标文件规定的澄清确认，构成投标文件的组成部分。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 投标人须知前附表未要求提交投标保证金的，投标文件不包括本章第3.1.1（4）目所指的投标保证金。</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50" w:name="_Toc32430"/>
      <w:bookmarkStart w:id="51" w:name="_Toc27976"/>
      <w:r>
        <w:rPr>
          <w:rFonts w:hint="eastAsia" w:ascii="宋体" w:hAnsi="宋体" w:eastAsia="宋体" w:cs="宋体"/>
          <w:b/>
          <w:bCs w:val="0"/>
          <w:color w:val="auto"/>
          <w:sz w:val="24"/>
          <w:szCs w:val="24"/>
          <w:highlight w:val="none"/>
        </w:rPr>
        <w:t>3.2 投标报价</w:t>
      </w:r>
      <w:bookmarkEnd w:id="50"/>
      <w:bookmarkEnd w:id="5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投标人应充分了解该项目的总体情况以及影响投标报价的其他要素。</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3.2.3本项目的报价方式见投标人须知前附表。投标人在投标截止时间前修改投标函中的投标报价总额，应同时修改投标文件“监理报酬清单”中的相应报价。此修改须符合本章第 4.3 款的有关要求。</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3.2.4．招标人设有最高投标限价的，投标人的投标报价不得超过最高投标限价，最高投标限价在投标人须知前附表中载明。</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 投标报价的其他要求见投标人须知前附表3.2.5。</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52" w:name="_Toc20011"/>
      <w:bookmarkStart w:id="53" w:name="_Toc16143"/>
      <w:r>
        <w:rPr>
          <w:rFonts w:hint="eastAsia" w:ascii="宋体" w:hAnsi="宋体" w:eastAsia="宋体" w:cs="宋体"/>
          <w:b/>
          <w:bCs w:val="0"/>
          <w:color w:val="auto"/>
          <w:sz w:val="24"/>
          <w:szCs w:val="24"/>
          <w:highlight w:val="none"/>
        </w:rPr>
        <w:t>3.3 投标有效期</w:t>
      </w:r>
      <w:bookmarkEnd w:id="52"/>
      <w:bookmarkEnd w:id="5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除投标人须知前附表另有规定外，投标有效期为90天。</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在投标有效期内，投标人撤销投标文件的，应承担招标文件和法律规定的责任。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54" w:name="_Toc15548"/>
      <w:bookmarkStart w:id="55" w:name="_Toc27277"/>
      <w:r>
        <w:rPr>
          <w:rFonts w:hint="eastAsia" w:ascii="宋体" w:hAnsi="宋体" w:eastAsia="宋体" w:cs="宋体"/>
          <w:b/>
          <w:bCs w:val="0"/>
          <w:color w:val="auto"/>
          <w:sz w:val="24"/>
          <w:szCs w:val="24"/>
          <w:highlight w:val="none"/>
        </w:rPr>
        <w:t>3.4 投标保证金</w:t>
      </w:r>
      <w:bookmarkEnd w:id="54"/>
      <w:bookmarkEnd w:id="5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投标人不按本章第3.4.1项要求提交投标保证金的，评标委员会将否决其投标。</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招标人在中标通知书发出之日起5日内将投标保证金退回中标候选人以外的投标人，在书面合同订立之日起5日内将投标保证金退回中标人和其他中标候选人。投标保证金以现金或者支票形式递交的，还应退还银行同期存款利息。</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 有下列情形之一的，投标保证金将不予退还：</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（1）投标人在投标有效期内撤销投标文件；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（2）中标人在收到中标通知书后，无正当理由不与招标人订立合同，在签订合同时向招标人提出附加条件，或者不按照招标文件要求提交履约保证金；</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（3）发生投标人须知前附表规定的其他可以不予退还投标保证金的情形。</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56" w:name="_Toc20853"/>
      <w:bookmarkStart w:id="57" w:name="_Toc14063"/>
      <w:r>
        <w:rPr>
          <w:rFonts w:hint="eastAsia" w:ascii="宋体" w:hAnsi="宋体" w:eastAsia="宋体" w:cs="宋体"/>
          <w:b/>
          <w:bCs w:val="0"/>
          <w:color w:val="auto"/>
          <w:sz w:val="24"/>
          <w:szCs w:val="24"/>
          <w:highlight w:val="none"/>
        </w:rPr>
        <w:t>3.5 资格审查资料（适用于资格后审的）</w:t>
      </w:r>
      <w:bookmarkEnd w:id="56"/>
      <w:bookmarkEnd w:id="5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除投标人须知前附表另有规定外，投标人应按下列规定提供资格审查资料，以证明其满足本章第 1.4 款规定的资质、财务、业绩、信誉等要求。</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“投标人基本情况表”应附投标人营业执照</w:t>
      </w:r>
      <w:r>
        <w:rPr>
          <w:rFonts w:hint="eastAsia" w:ascii="宋体" w:hAnsi="宋体" w:eastAsia="宋体" w:cs="宋体"/>
          <w:color w:val="auto"/>
          <w:sz w:val="21"/>
          <w:szCs w:val="21"/>
          <w:highlight w:val="none"/>
          <w:lang w:val="en-US" w:eastAsia="zh-Hans"/>
        </w:rPr>
        <w:t>扫描件</w:t>
      </w:r>
      <w:r>
        <w:rPr>
          <w:rFonts w:hint="eastAsia" w:ascii="宋体" w:hAnsi="宋体" w:eastAsia="宋体" w:cs="宋体"/>
          <w:color w:val="auto"/>
          <w:sz w:val="21"/>
          <w:szCs w:val="21"/>
          <w:highlight w:val="none"/>
        </w:rPr>
        <w:t>、投标人监理资质证书副本等材料的扫描件。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 xml:space="preserve"> “近年完成的类似监理项目情况表”应附中标通知书和（或）合同协议书、委托人出具的证明文件；具体时间要求见投标人须知前附表，每张表格只填写一个项目，并标明序号。</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“正在监理和新承接的项目情况表”应附中标通知书和（或）合同协议书扫描件。每张表格只填写一个项目，并标明序号。</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 “近年发生的诉讼及仲裁情况”应说明投标人败诉的监理合同的相关情况，并附法院或仲裁机构作出的判决、裁决等有关法律文书扫描件，具体时间要求见投标人须知前附表。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 “拟委任的主要人员汇总表”应填报满足本章第 1.4.1 项规定的总监理工程师和其他主要人员的相关信息。“主要人员简历表”中总监理工程师应附身份证、学历证、职称证、注册监理工程师执业证书和社保缴费证明扫描件，管理过的项目业绩须附合同协议书扫描件（如有）；其他主要人员应附身份证、学历证、职称证、有关证书和社保缴费证明扫描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3.5.7 “拟投入本项目的主要试验检测仪器设备表”应填报满足本章第 1.4.1 项规定的试验检测仪器设备。</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58" w:name="_Toc20003"/>
      <w:bookmarkStart w:id="59" w:name="_Toc24340"/>
      <w:r>
        <w:rPr>
          <w:rFonts w:hint="eastAsia" w:ascii="宋体" w:hAnsi="宋体" w:eastAsia="宋体" w:cs="宋体"/>
          <w:b/>
          <w:bCs w:val="0"/>
          <w:color w:val="auto"/>
          <w:sz w:val="24"/>
          <w:szCs w:val="24"/>
          <w:highlight w:val="none"/>
        </w:rPr>
        <w:t>3.6 备选投标方案</w:t>
      </w:r>
      <w:bookmarkEnd w:id="58"/>
      <w:bookmarkEnd w:id="5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 除投标人须知前附表规定允许外，投标人不得递交备选投标方案，否则其投标将被否决。</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 投标人提供两个或两个以上投标报价，或者在投标文件中提供一个报价，但同时提供两个或两个以上监理方案的，视为提供备选方案。</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60" w:name="_Toc10106"/>
      <w:bookmarkStart w:id="61" w:name="_Toc31881"/>
      <w:r>
        <w:rPr>
          <w:rFonts w:hint="eastAsia" w:ascii="宋体" w:hAnsi="宋体" w:eastAsia="宋体" w:cs="宋体"/>
          <w:b/>
          <w:bCs w:val="0"/>
          <w:color w:val="auto"/>
          <w:sz w:val="24"/>
          <w:szCs w:val="24"/>
          <w:highlight w:val="none"/>
        </w:rPr>
        <w:t>3.7 投标文件的编制</w:t>
      </w:r>
      <w:bookmarkEnd w:id="60"/>
      <w:bookmarkEnd w:id="6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投标文件应当对招标文件有关监理服务期限、投标有效期、委托人要求、招标范围等实质性内容作出响应。</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bookmarkStart w:id="62" w:name="_Toc28858"/>
      <w:bookmarkStart w:id="63" w:name="_Toc28791"/>
      <w:r>
        <w:rPr>
          <w:rFonts w:hint="eastAsia" w:ascii="宋体" w:hAnsi="宋体" w:eastAsia="宋体" w:cs="宋体"/>
          <w:color w:val="auto"/>
          <w:sz w:val="21"/>
          <w:szCs w:val="21"/>
          <w:highlight w:val="none"/>
          <w:u w:val="single"/>
        </w:rPr>
        <w:t>3.7.3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3.7.4投标人应使用依法设立的电子认证服务机构签发的电子签名认证证书对电子投标文件进行电子签章。该电子签章与盖单位章具有同等的法律效力。</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3.7.5</w:t>
      </w:r>
      <w:r>
        <w:rPr>
          <w:rFonts w:hint="eastAsia" w:ascii="宋体" w:hAnsi="宋体" w:eastAsia="宋体" w:cs="宋体"/>
          <w:b/>
          <w:color w:val="auto"/>
          <w:sz w:val="21"/>
          <w:szCs w:val="21"/>
          <w:highlight w:val="none"/>
          <w:u w:val="single"/>
        </w:rPr>
        <w:t>投标文件全部采用电子文档，投标文件所附证书证件均为纸质原件的扫描件</w:t>
      </w:r>
      <w:r>
        <w:rPr>
          <w:rFonts w:hint="eastAsia" w:ascii="宋体" w:hAnsi="宋体" w:eastAsia="宋体" w:cs="宋体"/>
          <w:color w:val="auto"/>
          <w:sz w:val="21"/>
          <w:szCs w:val="21"/>
          <w:highlight w:val="none"/>
          <w:u w:val="single"/>
        </w:rPr>
        <w:t>，并采用单位数字证书，按招标文件要求在相应位置加盖电子印章。签字或盖章的具体要求见投标人须知前附表。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3.7.6投标文件应按照广州公共资源交易平台关于</w:t>
      </w:r>
      <w:r>
        <w:rPr>
          <w:rFonts w:hint="eastAsia" w:ascii="宋体" w:hAnsi="宋体" w:eastAsia="宋体" w:cs="宋体"/>
          <w:b/>
          <w:color w:val="auto"/>
          <w:sz w:val="21"/>
          <w:szCs w:val="21"/>
          <w:highlight w:val="none"/>
          <w:u w:val="single"/>
        </w:rPr>
        <w:t>全流程电子化项目</w:t>
      </w:r>
      <w:r>
        <w:rPr>
          <w:rFonts w:hint="eastAsia" w:ascii="宋体" w:hAnsi="宋体" w:eastAsia="宋体" w:cs="宋体"/>
          <w:color w:val="auto"/>
          <w:sz w:val="21"/>
          <w:szCs w:val="21"/>
          <w:highlight w:val="none"/>
          <w:u w:val="single"/>
        </w:rPr>
        <w:t>的相关指南进行编制。如因不按上述编排要求编制而所引起系统无法检索、读取相关信息时，其后果将由投标人自行承担。</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 投标</w:t>
      </w:r>
      <w:bookmarkEnd w:id="62"/>
      <w:bookmarkEnd w:id="63"/>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64" w:name="_Toc4607"/>
      <w:bookmarkStart w:id="65" w:name="_Toc16081"/>
      <w:r>
        <w:rPr>
          <w:rFonts w:hint="eastAsia" w:ascii="宋体" w:hAnsi="宋体" w:eastAsia="宋体" w:cs="宋体"/>
          <w:b/>
          <w:bCs w:val="0"/>
          <w:color w:val="auto"/>
          <w:sz w:val="24"/>
          <w:szCs w:val="24"/>
          <w:highlight w:val="none"/>
        </w:rPr>
        <w:t>4.1 投标文件的密封和标记</w:t>
      </w:r>
      <w:bookmarkEnd w:id="64"/>
      <w:bookmarkEnd w:id="65"/>
    </w:p>
    <w:p>
      <w:pPr>
        <w:pStyle w:val="4"/>
        <w:keepLines/>
        <w:adjustRightInd/>
        <w:ind w:firstLine="420" w:firstLineChars="200"/>
        <w:textAlignment w:val="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4.1.1 投标人应当按照招标文件和电子招标投标交易平台的要求加密投标文件，具体要求见投标人须知前附表。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66" w:name="_Toc1373"/>
      <w:bookmarkStart w:id="67" w:name="_Toc25460"/>
      <w:r>
        <w:rPr>
          <w:rFonts w:hint="eastAsia" w:ascii="宋体" w:hAnsi="宋体" w:eastAsia="宋体" w:cs="宋体"/>
          <w:b/>
          <w:bCs w:val="0"/>
          <w:color w:val="auto"/>
          <w:sz w:val="24"/>
          <w:szCs w:val="24"/>
          <w:highlight w:val="none"/>
        </w:rPr>
        <w:t>4.2 投标文件的递交</w:t>
      </w:r>
      <w:bookmarkEnd w:id="66"/>
      <w:bookmarkEnd w:id="6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投标人应在投标人须知前附表规定的投标截止时间前递交投标文件。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投标人通过下载招标文件的电子招标投标交易平台递交电子投标文件。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除投标人须知前附表另有规定外，投标人所递交的投标文件不予退还。</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投标人完成电子投标文件上传后，电子招标投标交易平台即时向投标人发出递交回执通知。递交时间以递交回执通知载明的传输完成时间为准。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4.2.5 逾期送达的投标文件，电子招标投标交易平台将予以拒收。</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68" w:name="_Toc25480"/>
      <w:bookmarkStart w:id="69" w:name="_Toc29584"/>
      <w:r>
        <w:rPr>
          <w:rFonts w:hint="eastAsia" w:ascii="宋体" w:hAnsi="宋体" w:eastAsia="宋体" w:cs="宋体"/>
          <w:b/>
          <w:bCs w:val="0"/>
          <w:color w:val="auto"/>
          <w:sz w:val="24"/>
          <w:szCs w:val="24"/>
          <w:highlight w:val="none"/>
        </w:rPr>
        <w:t>4.3 投标文件的修改与撤回</w:t>
      </w:r>
      <w:bookmarkEnd w:id="68"/>
      <w:bookmarkEnd w:id="6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投标人在递交投标文件以后，在规定的投标截止时间之前，可以修改或撤回已递交的投标文件。投标截止时间前未完成投标文件传输的，视为投标人撤回投标文件。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 在投标截止时间之后，投标人不得补充、修改和更换投标文件。</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4.3.3在投标文件递交截止时间后，至投标文件格式中规定的有效期终止日前，投标人不能撤回投标文件，否则其投标担保将被没收，且招标人有权就其撤回行为报告行政主管部门载入不良信用记录。</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70" w:name="_Toc2378"/>
      <w:bookmarkStart w:id="71" w:name="_Toc8064"/>
      <w:r>
        <w:rPr>
          <w:rFonts w:hint="eastAsia" w:ascii="宋体" w:hAnsi="宋体" w:eastAsia="宋体" w:cs="宋体"/>
          <w:b/>
          <w:bCs w:val="0"/>
          <w:color w:val="auto"/>
          <w:sz w:val="24"/>
          <w:szCs w:val="24"/>
          <w:highlight w:val="none"/>
        </w:rPr>
        <w:t>5. 开标</w:t>
      </w:r>
      <w:bookmarkEnd w:id="70"/>
      <w:bookmarkEnd w:id="71"/>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72" w:name="_Toc19364"/>
      <w:bookmarkStart w:id="73" w:name="_Toc25663"/>
      <w:r>
        <w:rPr>
          <w:rFonts w:hint="eastAsia" w:ascii="宋体" w:hAnsi="宋体" w:eastAsia="宋体" w:cs="宋体"/>
          <w:b/>
          <w:bCs w:val="0"/>
          <w:color w:val="auto"/>
          <w:sz w:val="24"/>
          <w:szCs w:val="24"/>
          <w:highlight w:val="none"/>
        </w:rPr>
        <w:t>5.1 开标时间和地点</w:t>
      </w:r>
      <w:bookmarkEnd w:id="72"/>
      <w:bookmarkEnd w:id="7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招标人在本章第4.2.1项规定的投标截止时间（开标时间）和地点，通过电子招标投标交易平台公开开标，并邀请所有投标人的法定代表人或其委托代理人准时参加。投标人不派代表出席开标会，则视其为放弃参与开标的权利，认可开标结果。</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74" w:name="_Toc3431"/>
      <w:bookmarkStart w:id="75" w:name="_Toc25392"/>
      <w:r>
        <w:rPr>
          <w:rFonts w:hint="eastAsia" w:ascii="宋体" w:hAnsi="宋体" w:eastAsia="宋体" w:cs="宋体"/>
          <w:b/>
          <w:bCs w:val="0"/>
          <w:color w:val="auto"/>
          <w:sz w:val="24"/>
          <w:szCs w:val="24"/>
          <w:highlight w:val="none"/>
        </w:rPr>
        <w:t>5.2 开标程序</w:t>
      </w:r>
      <w:bookmarkEnd w:id="74"/>
      <w:bookmarkEnd w:id="7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5.2.1主持人按下列程序进行开标：</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（1）公布在投标截止时间前递交投标文件的投标人名称；</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（2）投标人通过广州公共资源交易平台对已递交的电子投标文件进行解密，公布招标项目名称、投标人名称、投标保证金的递交情况、投标报价、监理服务期限及其他内容，并记录在案；</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（3）投标人代表、招标人代表、监标人、记录人等有关人员在开标记录上签字确认；若有关人员不签字的，不影响开标程序；</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（4）开标结束。</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eastAsia="宋体" w:cs="宋体"/>
          <w:color w:val="auto"/>
          <w:sz w:val="21"/>
          <w:szCs w:val="21"/>
          <w:highlight w:val="none"/>
          <w:u w:val="single"/>
          <w:lang w:val="en-US" w:eastAsia="zh-Hans"/>
        </w:rPr>
        <w:t>半个</w:t>
      </w:r>
      <w:r>
        <w:rPr>
          <w:rFonts w:hint="eastAsia" w:ascii="宋体" w:hAnsi="宋体" w:eastAsia="宋体" w:cs="宋体"/>
          <w:color w:val="auto"/>
          <w:sz w:val="21"/>
          <w:szCs w:val="21"/>
          <w:highlight w:val="none"/>
          <w:u w:val="single"/>
        </w:rPr>
        <w:t>小时解密的，视为撤销其投标文件。</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5.2.3开标时，两个（含两个）以上的投标人加密打包投标文件电脑机器特征码一致的，不参与下一程序，并由评标委员会否决其投标。</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76" w:name="_Toc17189"/>
      <w:bookmarkStart w:id="77" w:name="_Toc10122"/>
      <w:r>
        <w:rPr>
          <w:rFonts w:hint="eastAsia" w:ascii="宋体" w:hAnsi="宋体" w:eastAsia="宋体" w:cs="宋体"/>
          <w:b/>
          <w:bCs w:val="0"/>
          <w:color w:val="auto"/>
          <w:sz w:val="24"/>
          <w:szCs w:val="24"/>
          <w:highlight w:val="none"/>
        </w:rPr>
        <w:t>5.3 开标异议</w:t>
      </w:r>
      <w:bookmarkEnd w:id="76"/>
      <w:bookmarkEnd w:id="77"/>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5.3.1投标人代表对开标有异议的，应当在开标现场提出，招标人当场作出答复，并制作记录。该投标人代表须同时出示投标人身份证明文件。</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5.3.2对开标的异议，招标人应当当场作出答复并予以书面记录，异议成立的，招标人应当及时采取纠正措施，或者提交评标委员会评审确认；异议不成立的，招标人应当当场给予解释说明。</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5.3.3招标人应当按照同一异议提起人一份记录的方式，对异议事项的处理应逐条进行书面记录，并由异议提起人、招标人签名确认。书面记录含义应清晰而明确，包括但不限于纠正的措施、解释说明的内容、相关依据等。</w:t>
      </w:r>
    </w:p>
    <w:p>
      <w:pPr>
        <w:pStyle w:val="4"/>
        <w:keepLines/>
        <w:adjustRightInd/>
        <w:spacing w:before="156" w:beforeLines="50" w:after="156" w:afterLines="50"/>
        <w:textAlignment w:val="auto"/>
        <w:rPr>
          <w:rFonts w:ascii="宋体" w:hAnsi="宋体" w:eastAsia="宋体" w:cs="宋体"/>
          <w:b/>
          <w:bCs w:val="0"/>
          <w:color w:val="auto"/>
          <w:sz w:val="24"/>
          <w:szCs w:val="24"/>
          <w:highlight w:val="none"/>
        </w:rPr>
      </w:pPr>
      <w:r>
        <w:rPr>
          <w:rFonts w:ascii="宋体" w:hAnsi="宋体" w:eastAsia="宋体" w:cs="宋体"/>
          <w:b/>
          <w:bCs w:val="0"/>
          <w:color w:val="auto"/>
          <w:sz w:val="24"/>
          <w:szCs w:val="24"/>
          <w:highlight w:val="none"/>
          <w:u w:val="single"/>
        </w:rPr>
        <w:t>5.4开标时，出现下列情形之一的，不参与资格审查和评标：</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5.4.1未成功递交投标文件的；</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5.4.2因投标人原因造成投标文件未解密的；</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5.4.3未按招标文件要求提供投标保证金的；</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5.4.4两个（含两个）以上的投标人加密打包投标文件电脑机器码一致的。</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78" w:name="_Toc4655"/>
      <w:bookmarkStart w:id="79" w:name="_Toc3448"/>
      <w:r>
        <w:rPr>
          <w:rFonts w:hint="eastAsia" w:ascii="宋体" w:hAnsi="宋体" w:eastAsia="宋体" w:cs="宋体"/>
          <w:b/>
          <w:bCs w:val="0"/>
          <w:color w:val="auto"/>
          <w:sz w:val="24"/>
          <w:szCs w:val="24"/>
          <w:highlight w:val="none"/>
        </w:rPr>
        <w:t>6. 评标</w:t>
      </w:r>
      <w:bookmarkEnd w:id="78"/>
      <w:bookmarkEnd w:id="79"/>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0" w:name="_Toc11847"/>
      <w:bookmarkStart w:id="81" w:name="_Toc24850"/>
      <w:r>
        <w:rPr>
          <w:rFonts w:hint="eastAsia" w:ascii="宋体" w:hAnsi="宋体" w:eastAsia="宋体" w:cs="宋体"/>
          <w:b/>
          <w:bCs w:val="0"/>
          <w:color w:val="auto"/>
          <w:sz w:val="24"/>
          <w:szCs w:val="24"/>
          <w:highlight w:val="none"/>
        </w:rPr>
        <w:t>6.1 评标委员会</w:t>
      </w:r>
      <w:bookmarkEnd w:id="80"/>
      <w:bookmarkEnd w:id="8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评标委员会成员有下列情形之一的，应当回避：</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（1）投标人或投标人主要负责人的近亲属；</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（2）项目主管部门或者行政监督部门的人员；</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（3）与投标人有经济利益关系，可能影响对投标公正评审的；</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（4）曾因在招标、评标以及其他与招标投标有关活动中从事违法行为而受过行政处罚或刑事处罚的；</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（5）与投标人有其他利害关系。</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2" w:name="_Toc26149"/>
      <w:bookmarkStart w:id="83" w:name="_Toc17719"/>
      <w:r>
        <w:rPr>
          <w:rFonts w:hint="eastAsia" w:ascii="宋体" w:hAnsi="宋体" w:eastAsia="宋体" w:cs="宋体"/>
          <w:b/>
          <w:bCs w:val="0"/>
          <w:color w:val="auto"/>
          <w:sz w:val="24"/>
          <w:szCs w:val="24"/>
          <w:highlight w:val="none"/>
        </w:rPr>
        <w:t>6.2 评标原则</w:t>
      </w:r>
      <w:bookmarkEnd w:id="82"/>
      <w:bookmarkEnd w:id="8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评标活动遵循公平、公正、科学和择优的原则。</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4" w:name="_Toc27200"/>
      <w:bookmarkStart w:id="85" w:name="_Toc26412"/>
      <w:r>
        <w:rPr>
          <w:rFonts w:hint="eastAsia" w:ascii="宋体" w:hAnsi="宋体" w:eastAsia="宋体" w:cs="宋体"/>
          <w:b/>
          <w:bCs w:val="0"/>
          <w:color w:val="auto"/>
          <w:sz w:val="24"/>
          <w:szCs w:val="24"/>
          <w:highlight w:val="none"/>
        </w:rPr>
        <w:t>6.3 评标</w:t>
      </w:r>
      <w:bookmarkEnd w:id="84"/>
      <w:bookmarkEnd w:id="8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6.3.1评标委员会按照第三章“评标办法”规定的方法、评审因素、标准和程序对投标文件进行评审。第三章“评标办法”没有规定的方法、评审因素和标准，不作为评标依据。</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6.3.2评标完成后，评标委员会应当向招标人提交书面评标报告和中标候选人名单。评标委员会推荐中标候选人的人数见投标人须知前附表。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6" w:name="_Toc17157"/>
      <w:bookmarkStart w:id="87" w:name="_Toc31687"/>
      <w:r>
        <w:rPr>
          <w:rFonts w:hint="eastAsia" w:ascii="宋体" w:hAnsi="宋体" w:eastAsia="宋体" w:cs="宋体"/>
          <w:b/>
          <w:bCs w:val="0"/>
          <w:color w:val="auto"/>
          <w:sz w:val="24"/>
          <w:szCs w:val="24"/>
          <w:highlight w:val="none"/>
        </w:rPr>
        <w:t>7. 合同授予</w:t>
      </w:r>
      <w:bookmarkEnd w:id="86"/>
      <w:bookmarkEnd w:id="87"/>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88" w:name="_Toc19130"/>
      <w:bookmarkStart w:id="89" w:name="_Toc9116"/>
      <w:r>
        <w:rPr>
          <w:rFonts w:hint="eastAsia" w:ascii="宋体" w:hAnsi="宋体" w:eastAsia="宋体" w:cs="宋体"/>
          <w:b/>
          <w:bCs w:val="0"/>
          <w:color w:val="auto"/>
          <w:sz w:val="24"/>
          <w:szCs w:val="24"/>
          <w:highlight w:val="none"/>
        </w:rPr>
        <w:t>7.1 中标候选人公示</w:t>
      </w:r>
      <w:bookmarkEnd w:id="88"/>
      <w:bookmarkEnd w:id="8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招标人按照投标人须知前附表规定的公示媒介和期限公示中标候选人，公示期不得少于3天，且最后一天应为工作日。</w:t>
      </w:r>
    </w:p>
    <w:p>
      <w:pPr>
        <w:pStyle w:val="4"/>
        <w:keepLines/>
        <w:adjustRightInd/>
        <w:textAlignment w:val="auto"/>
        <w:rPr>
          <w:rFonts w:hint="eastAsia" w:ascii="宋体" w:hAnsi="宋体" w:eastAsia="宋体" w:cs="宋体"/>
          <w:color w:val="auto"/>
          <w:sz w:val="21"/>
          <w:szCs w:val="21"/>
          <w:highlight w:val="none"/>
        </w:rPr>
      </w:pPr>
      <w:bookmarkStart w:id="90" w:name="_Toc761"/>
      <w:bookmarkStart w:id="91" w:name="_Toc12961"/>
      <w:r>
        <w:rPr>
          <w:rFonts w:hint="eastAsia" w:ascii="宋体" w:hAnsi="宋体" w:eastAsia="宋体" w:cs="宋体"/>
          <w:color w:val="auto"/>
          <w:sz w:val="21"/>
          <w:szCs w:val="21"/>
          <w:highlight w:val="none"/>
        </w:rPr>
        <w:t>7.2 评标结果异议</w:t>
      </w:r>
      <w:bookmarkEnd w:id="90"/>
      <w:bookmarkEnd w:id="9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投标人或者其他利害关系人对评标结果有异议的，应当在中标候选人公示期间提出。招标人将在收到异议之日起3日内作出答复；作出答复前，将暂停招标投标活动。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92" w:name="_Toc7143"/>
      <w:bookmarkStart w:id="93" w:name="_Toc2977"/>
      <w:r>
        <w:rPr>
          <w:rFonts w:hint="eastAsia" w:ascii="宋体" w:hAnsi="宋体" w:eastAsia="宋体" w:cs="宋体"/>
          <w:b/>
          <w:bCs w:val="0"/>
          <w:color w:val="auto"/>
          <w:sz w:val="24"/>
          <w:szCs w:val="24"/>
          <w:highlight w:val="none"/>
        </w:rPr>
        <w:t>7.3 中标候选人履约能力审查</w:t>
      </w:r>
      <w:bookmarkEnd w:id="92"/>
      <w:bookmarkEnd w:id="9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94" w:name="_Toc25894"/>
      <w:bookmarkStart w:id="95" w:name="_Toc14671"/>
      <w:r>
        <w:rPr>
          <w:rFonts w:hint="eastAsia" w:ascii="宋体" w:hAnsi="宋体" w:eastAsia="宋体" w:cs="宋体"/>
          <w:b/>
          <w:bCs w:val="0"/>
          <w:color w:val="auto"/>
          <w:sz w:val="24"/>
          <w:szCs w:val="24"/>
          <w:highlight w:val="none"/>
        </w:rPr>
        <w:t>7.4 定标</w:t>
      </w:r>
      <w:bookmarkEnd w:id="94"/>
      <w:bookmarkEnd w:id="9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按照投标人须知前附表的规定，招标人或招标人授权的评标委员会依法确定中标人。</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96" w:name="_Toc24812"/>
      <w:bookmarkStart w:id="97" w:name="_Toc1782"/>
      <w:r>
        <w:rPr>
          <w:rFonts w:hint="eastAsia" w:ascii="宋体" w:hAnsi="宋体" w:eastAsia="宋体" w:cs="宋体"/>
          <w:b/>
          <w:bCs w:val="0"/>
          <w:color w:val="auto"/>
          <w:sz w:val="24"/>
          <w:szCs w:val="24"/>
          <w:highlight w:val="none"/>
        </w:rPr>
        <w:t>7.5 中标通知</w:t>
      </w:r>
      <w:bookmarkEnd w:id="96"/>
      <w:bookmarkEnd w:id="9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标人确定之日起七日内且在本章第3.3款规定的投标有效期内，招标人以书面形式向中标人发出中标通知书，在发出中标通知书十五日内，招标人将中标结果在广州公共资源交易网和广东省招标投标监管网公示，视同将中标结果通知未中标的投标人。</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发出中标通知书前，中标人应未被纳入失信联合惩戒名单（失信联合惩戒名单以“信用广州”网站公布的“失信黑名单”为准），否则招标人将取消其中标资格。</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98" w:name="_Toc323"/>
      <w:bookmarkStart w:id="99" w:name="_Toc17054"/>
      <w:r>
        <w:rPr>
          <w:rFonts w:hint="eastAsia" w:ascii="宋体" w:hAnsi="宋体" w:eastAsia="宋体" w:cs="宋体"/>
          <w:b/>
          <w:bCs w:val="0"/>
          <w:color w:val="auto"/>
          <w:sz w:val="24"/>
          <w:szCs w:val="24"/>
          <w:highlight w:val="none"/>
        </w:rPr>
        <w:t>7.6 履约保证金</w:t>
      </w:r>
      <w:bookmarkEnd w:id="98"/>
      <w:bookmarkEnd w:id="9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7.6.2 中标人不能按本章第7.6.1项要求提交履约保证金的，视为放弃中标，其投标保证金不予退还，给招标人造成的损失超过投标保证金数额的，中标人还应当对超过部分予以赔偿。</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0" w:name="_Toc22180"/>
      <w:bookmarkStart w:id="101" w:name="_Toc26572"/>
      <w:r>
        <w:rPr>
          <w:rFonts w:hint="eastAsia" w:ascii="宋体" w:hAnsi="宋体" w:eastAsia="宋体" w:cs="宋体"/>
          <w:b/>
          <w:bCs w:val="0"/>
          <w:color w:val="auto"/>
          <w:sz w:val="24"/>
          <w:szCs w:val="24"/>
          <w:highlight w:val="none"/>
        </w:rPr>
        <w:t>7.7 签订合同</w:t>
      </w:r>
      <w:bookmarkEnd w:id="100"/>
      <w:bookmarkEnd w:id="10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7.7.2 发出中标通知书后，招标人无正当理由拒签合同，或者在签订合同时向中标人提出附加条件的，招标人向中标人退还投标保证金；给中标人造成损失的，还应当赔偿损失。</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2" w:name="_Toc32642"/>
      <w:bookmarkStart w:id="103" w:name="_Toc32124"/>
      <w:r>
        <w:rPr>
          <w:rFonts w:hint="eastAsia" w:ascii="宋体" w:hAnsi="宋体" w:eastAsia="宋体" w:cs="宋体"/>
          <w:b/>
          <w:bCs w:val="0"/>
          <w:color w:val="auto"/>
          <w:sz w:val="24"/>
          <w:szCs w:val="24"/>
          <w:highlight w:val="none"/>
        </w:rPr>
        <w:t>8.纪律和监督</w:t>
      </w:r>
      <w:bookmarkEnd w:id="102"/>
      <w:bookmarkEnd w:id="103"/>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4" w:name="_Toc17329"/>
      <w:bookmarkStart w:id="105" w:name="_Toc25943"/>
      <w:r>
        <w:rPr>
          <w:rFonts w:hint="eastAsia" w:ascii="宋体" w:hAnsi="宋体" w:eastAsia="宋体" w:cs="宋体"/>
          <w:b/>
          <w:bCs w:val="0"/>
          <w:color w:val="auto"/>
          <w:sz w:val="24"/>
          <w:szCs w:val="24"/>
          <w:highlight w:val="none"/>
        </w:rPr>
        <w:t>8.1 对招标人的纪律要求</w:t>
      </w:r>
      <w:bookmarkEnd w:id="104"/>
      <w:bookmarkEnd w:id="10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招标人不得泄露招标投标活动中应当保密的情况和资料，不得与投标人串通损害国家利益、社会公共利益或者他人合法权益。</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6" w:name="_Toc22131"/>
      <w:bookmarkStart w:id="107" w:name="_Toc16440"/>
      <w:r>
        <w:rPr>
          <w:rFonts w:hint="eastAsia" w:ascii="宋体" w:hAnsi="宋体" w:eastAsia="宋体" w:cs="宋体"/>
          <w:b/>
          <w:bCs w:val="0"/>
          <w:color w:val="auto"/>
          <w:sz w:val="24"/>
          <w:szCs w:val="24"/>
          <w:highlight w:val="none"/>
        </w:rPr>
        <w:t>8.2 对投标人的纪律要求</w:t>
      </w:r>
      <w:bookmarkEnd w:id="106"/>
      <w:bookmarkEnd w:id="107"/>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08" w:name="_Toc16738"/>
      <w:bookmarkStart w:id="109" w:name="_Toc15481"/>
      <w:r>
        <w:rPr>
          <w:rFonts w:hint="eastAsia" w:ascii="宋体" w:hAnsi="宋体" w:eastAsia="宋体" w:cs="宋体"/>
          <w:b/>
          <w:bCs w:val="0"/>
          <w:color w:val="auto"/>
          <w:sz w:val="24"/>
          <w:szCs w:val="24"/>
          <w:highlight w:val="none"/>
        </w:rPr>
        <w:t>8.3 对评标委员会成员的纪律要求</w:t>
      </w:r>
      <w:bookmarkEnd w:id="108"/>
      <w:bookmarkEnd w:id="10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10" w:name="_Toc1071"/>
      <w:bookmarkStart w:id="111" w:name="_Toc9134"/>
      <w:r>
        <w:rPr>
          <w:rFonts w:hint="eastAsia" w:ascii="宋体" w:hAnsi="宋体" w:eastAsia="宋体" w:cs="宋体"/>
          <w:b/>
          <w:bCs w:val="0"/>
          <w:color w:val="auto"/>
          <w:sz w:val="24"/>
          <w:szCs w:val="24"/>
          <w:highlight w:val="none"/>
        </w:rPr>
        <w:t>8.4 对与评标活动有关的工作人员的纪律要求</w:t>
      </w:r>
      <w:bookmarkEnd w:id="110"/>
      <w:bookmarkEnd w:id="11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12" w:name="_Toc423"/>
      <w:bookmarkStart w:id="113" w:name="_Toc14817"/>
      <w:r>
        <w:rPr>
          <w:rFonts w:hint="eastAsia" w:ascii="宋体" w:hAnsi="宋体" w:eastAsia="宋体" w:cs="宋体"/>
          <w:b/>
          <w:bCs w:val="0"/>
          <w:color w:val="auto"/>
          <w:sz w:val="24"/>
          <w:szCs w:val="24"/>
          <w:highlight w:val="none"/>
        </w:rPr>
        <w:t>8.5 投诉</w:t>
      </w:r>
      <w:bookmarkEnd w:id="112"/>
      <w:bookmarkEnd w:id="11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14" w:name="_Toc13496"/>
      <w:bookmarkStart w:id="115" w:name="_Toc1446"/>
      <w:r>
        <w:rPr>
          <w:rFonts w:hint="eastAsia" w:ascii="宋体" w:hAnsi="宋体" w:eastAsia="宋体" w:cs="宋体"/>
          <w:b/>
          <w:bCs w:val="0"/>
          <w:color w:val="auto"/>
          <w:sz w:val="24"/>
          <w:szCs w:val="24"/>
          <w:highlight w:val="none"/>
        </w:rPr>
        <w:t>9. 是否采用电子招标投标</w:t>
      </w:r>
      <w:bookmarkEnd w:id="114"/>
      <w:bookmarkEnd w:id="115"/>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本招标项目是否采用电子招标投标方式，见投标人须知前附表。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16" w:name="_Toc28114"/>
      <w:bookmarkStart w:id="117" w:name="_Toc21990"/>
      <w:r>
        <w:rPr>
          <w:rFonts w:hint="eastAsia" w:ascii="宋体" w:hAnsi="宋体" w:eastAsia="宋体" w:cs="宋体"/>
          <w:b/>
          <w:bCs w:val="0"/>
          <w:color w:val="auto"/>
          <w:sz w:val="24"/>
          <w:szCs w:val="24"/>
          <w:highlight w:val="none"/>
        </w:rPr>
        <w:t>10. 需要补充的其他内容</w:t>
      </w:r>
      <w:bookmarkEnd w:id="116"/>
      <w:bookmarkEnd w:id="117"/>
    </w:p>
    <w:p>
      <w:pPr>
        <w:pStyle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见投标人须知前附表。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11. 评标过程应急预案</w:t>
      </w:r>
    </w:p>
    <w:p>
      <w:pPr>
        <w:pStyle w:val="4"/>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11.1在评标过程中，当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广州公共资源交易平台的认定为准。当交易平台的系统维护人员在评标室告知评标委员会当天无法解除评审故障后，评标委员会即可对未完成的评标活动启动手动评审。</w:t>
      </w:r>
    </w:p>
    <w:p>
      <w:pPr>
        <w:pStyle w:val="4"/>
        <w:ind w:firstLine="420" w:firstLineChars="200"/>
        <w:rPr>
          <w:rFonts w:hint="eastAsia" w:ascii="宋体" w:hAnsi="宋体" w:eastAsia="宋体" w:cs="宋体"/>
          <w:b/>
          <w:color w:val="auto"/>
          <w:kern w:val="2"/>
          <w:sz w:val="32"/>
          <w:szCs w:val="32"/>
          <w:highlight w:val="none"/>
        </w:rPr>
      </w:pPr>
      <w:r>
        <w:rPr>
          <w:rFonts w:hint="eastAsia" w:ascii="宋体" w:hAnsi="宋体" w:eastAsia="宋体" w:cs="宋体"/>
          <w:color w:val="auto"/>
          <w:sz w:val="21"/>
          <w:szCs w:val="21"/>
          <w:highlight w:val="none"/>
          <w:u w:val="single"/>
        </w:rPr>
        <w:t>12.2在电子评标过程中，无论遇到任何系统异常或故障，评标委员会均应出具评标报告。</w:t>
      </w:r>
      <w:r>
        <w:rPr>
          <w:rFonts w:hint="eastAsia" w:ascii="宋体" w:hAnsi="宋体" w:eastAsia="宋体" w:cs="宋体"/>
          <w:color w:val="auto"/>
          <w:sz w:val="21"/>
          <w:szCs w:val="21"/>
          <w:highlight w:val="none"/>
        </w:rPr>
        <w:br w:type="page"/>
      </w:r>
      <w:bookmarkStart w:id="118" w:name="_Toc27213"/>
      <w:r>
        <w:rPr>
          <w:rFonts w:hint="eastAsia" w:ascii="宋体" w:hAnsi="宋体" w:eastAsia="宋体" w:cs="宋体"/>
          <w:b/>
          <w:color w:val="auto"/>
          <w:kern w:val="2"/>
          <w:sz w:val="32"/>
          <w:szCs w:val="32"/>
          <w:highlight w:val="none"/>
        </w:rPr>
        <w:t>附件一：开标记录表</w:t>
      </w:r>
      <w:bookmarkEnd w:id="118"/>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开标记录表</w:t>
      </w:r>
    </w:p>
    <w:p>
      <w:pPr>
        <w:spacing w:line="360" w:lineRule="auto"/>
        <w:jc w:val="righ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1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01"/>
        <w:gridCol w:w="975"/>
        <w:gridCol w:w="950"/>
        <w:gridCol w:w="950"/>
        <w:gridCol w:w="950"/>
        <w:gridCol w:w="950"/>
        <w:gridCol w:w="950"/>
        <w:gridCol w:w="950"/>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801"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投标人</w:t>
            </w:r>
          </w:p>
        </w:tc>
        <w:tc>
          <w:tcPr>
            <w:tcW w:w="975" w:type="dxa"/>
            <w:noWrap w:val="0"/>
            <w:vAlign w:val="center"/>
          </w:tcPr>
          <w:p>
            <w:pPr>
              <w:jc w:val="center"/>
              <w:rPr>
                <w:rFonts w:hint="eastAsia" w:ascii="宋体" w:hAnsi="宋体" w:cs="宋体"/>
                <w:color w:val="auto"/>
                <w:highlight w:val="none"/>
                <w:u w:val="single"/>
              </w:rPr>
            </w:pPr>
            <w:r>
              <w:rPr>
                <w:rFonts w:hint="eastAsia" w:ascii="宋体" w:hAnsi="宋体" w:cs="宋体"/>
                <w:color w:val="auto"/>
                <w:highlight w:val="none"/>
                <w:u w:val="single"/>
              </w:rPr>
              <w:t>投标文件递交情况</w:t>
            </w:r>
          </w:p>
        </w:tc>
        <w:tc>
          <w:tcPr>
            <w:tcW w:w="950" w:type="dxa"/>
            <w:noWrap w:val="0"/>
            <w:vAlign w:val="center"/>
          </w:tcPr>
          <w:p>
            <w:pPr>
              <w:jc w:val="center"/>
              <w:rPr>
                <w:rFonts w:hint="eastAsia" w:ascii="宋体" w:hAnsi="宋体" w:cs="宋体"/>
                <w:color w:val="auto"/>
                <w:highlight w:val="none"/>
                <w:u w:val="single"/>
              </w:rPr>
            </w:pPr>
            <w:r>
              <w:rPr>
                <w:rFonts w:hint="eastAsia" w:ascii="宋体" w:hAnsi="宋体" w:cs="宋体"/>
                <w:color w:val="auto"/>
                <w:highlight w:val="none"/>
                <w:u w:val="single"/>
              </w:rPr>
              <w:t>投标文件解密情况</w:t>
            </w:r>
          </w:p>
        </w:tc>
        <w:tc>
          <w:tcPr>
            <w:tcW w:w="950" w:type="dxa"/>
            <w:noWrap w:val="0"/>
            <w:vAlign w:val="center"/>
          </w:tcPr>
          <w:p>
            <w:pPr>
              <w:jc w:val="center"/>
              <w:rPr>
                <w:rFonts w:hint="eastAsia" w:ascii="宋体" w:hAnsi="宋体" w:cs="宋体"/>
                <w:color w:val="auto"/>
                <w:highlight w:val="none"/>
                <w:u w:val="single"/>
              </w:rPr>
            </w:pPr>
            <w:r>
              <w:rPr>
                <w:rFonts w:hint="eastAsia" w:ascii="宋体" w:hAnsi="宋体" w:cs="宋体"/>
                <w:color w:val="auto"/>
                <w:highlight w:val="none"/>
                <w:u w:val="single"/>
              </w:rPr>
              <w:t>机器码是否相同</w:t>
            </w:r>
          </w:p>
        </w:tc>
        <w:tc>
          <w:tcPr>
            <w:tcW w:w="95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投标保证金</w:t>
            </w:r>
          </w:p>
        </w:tc>
        <w:tc>
          <w:tcPr>
            <w:tcW w:w="95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投标报价（万元）</w:t>
            </w:r>
          </w:p>
        </w:tc>
        <w:tc>
          <w:tcPr>
            <w:tcW w:w="95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95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工程监理服务期限</w:t>
            </w:r>
          </w:p>
        </w:tc>
        <w:tc>
          <w:tcPr>
            <w:tcW w:w="95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备注</w:t>
            </w:r>
          </w:p>
        </w:tc>
        <w:tc>
          <w:tcPr>
            <w:tcW w:w="951"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9" w:type="dxa"/>
            <w:noWrap w:val="0"/>
            <w:vAlign w:val="top"/>
          </w:tcPr>
          <w:p>
            <w:pPr>
              <w:spacing w:line="360" w:lineRule="auto"/>
              <w:rPr>
                <w:rFonts w:hint="eastAsia" w:ascii="宋体" w:hAnsi="宋体" w:cs="宋体"/>
                <w:color w:val="auto"/>
                <w:highlight w:val="none"/>
              </w:rPr>
            </w:pPr>
          </w:p>
        </w:tc>
        <w:tc>
          <w:tcPr>
            <w:tcW w:w="801" w:type="dxa"/>
            <w:noWrap w:val="0"/>
            <w:vAlign w:val="top"/>
          </w:tcPr>
          <w:p>
            <w:pPr>
              <w:spacing w:line="360" w:lineRule="auto"/>
              <w:rPr>
                <w:rFonts w:hint="eastAsia" w:ascii="宋体" w:hAnsi="宋体" w:cs="宋体"/>
                <w:color w:val="auto"/>
                <w:highlight w:val="none"/>
              </w:rPr>
            </w:pPr>
          </w:p>
        </w:tc>
        <w:tc>
          <w:tcPr>
            <w:tcW w:w="975"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35" w:type="dxa"/>
            <w:gridSpan w:val="3"/>
            <w:noWrap w:val="0"/>
            <w:vAlign w:val="top"/>
          </w:tcPr>
          <w:p>
            <w:pPr>
              <w:spacing w:line="360" w:lineRule="auto"/>
              <w:rPr>
                <w:rFonts w:hint="eastAsia" w:ascii="宋体" w:hAnsi="宋体" w:cs="宋体"/>
                <w:color w:val="auto"/>
                <w:highlight w:val="none"/>
              </w:rPr>
            </w:pPr>
            <w:r>
              <w:rPr>
                <w:rFonts w:hint="eastAsia" w:ascii="宋体" w:hAnsi="宋体" w:cs="宋体"/>
                <w:color w:val="auto"/>
                <w:highlight w:val="none"/>
              </w:rPr>
              <w:t>最高投标限价：</w:t>
            </w: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0" w:type="dxa"/>
            <w:noWrap w:val="0"/>
            <w:vAlign w:val="top"/>
          </w:tcPr>
          <w:p>
            <w:pPr>
              <w:spacing w:line="360" w:lineRule="auto"/>
              <w:rPr>
                <w:rFonts w:hint="eastAsia" w:ascii="宋体" w:hAnsi="宋体" w:cs="宋体"/>
                <w:color w:val="auto"/>
                <w:highlight w:val="none"/>
              </w:rPr>
            </w:pPr>
          </w:p>
        </w:tc>
        <w:tc>
          <w:tcPr>
            <w:tcW w:w="951" w:type="dxa"/>
            <w:noWrap w:val="0"/>
            <w:vAlign w:val="top"/>
          </w:tcPr>
          <w:p>
            <w:pPr>
              <w:spacing w:line="360" w:lineRule="auto"/>
              <w:rPr>
                <w:rFonts w:hint="eastAsia" w:ascii="宋体" w:hAnsi="宋体" w:cs="宋体"/>
                <w:color w:val="auto"/>
                <w:highlight w:val="none"/>
              </w:rPr>
            </w:pPr>
          </w:p>
        </w:tc>
      </w:tr>
    </w:tbl>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360" w:lineRule="auto"/>
        <w:ind w:firstLine="420" w:firstLineChars="200"/>
        <w:jc w:val="righ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360" w:lineRule="auto"/>
        <w:ind w:right="210"/>
        <w:rPr>
          <w:rFonts w:hint="eastAsia" w:ascii="宋体" w:hAnsi="宋体" w:cs="宋体"/>
          <w:color w:val="auto"/>
          <w:highlight w:val="none"/>
          <w:u w:val="single"/>
        </w:rPr>
      </w:pPr>
    </w:p>
    <w:p>
      <w:pPr>
        <w:spacing w:line="360" w:lineRule="auto"/>
        <w:ind w:right="210"/>
        <w:rPr>
          <w:rFonts w:hint="eastAsia" w:ascii="宋体" w:hAnsi="宋体" w:cs="宋体"/>
          <w:color w:val="auto"/>
          <w:highlight w:val="none"/>
          <w:u w:val="single"/>
        </w:rPr>
      </w:pPr>
    </w:p>
    <w:p>
      <w:pPr>
        <w:spacing w:line="360" w:lineRule="auto"/>
        <w:ind w:right="210"/>
        <w:rPr>
          <w:rFonts w:hint="eastAsia" w:ascii="宋体" w:hAnsi="宋体" w:cs="宋体"/>
          <w:color w:val="auto"/>
          <w:highlight w:val="none"/>
        </w:rPr>
      </w:pPr>
      <w:r>
        <w:rPr>
          <w:rFonts w:hint="eastAsia" w:ascii="宋体" w:hAnsi="宋体" w:cs="宋体"/>
          <w:color w:val="auto"/>
          <w:highlight w:val="none"/>
          <w:u w:val="single"/>
        </w:rPr>
        <w:t>注：本表仅供参考，具体以交易平台开标时的开标记录表为准。</w:t>
      </w:r>
    </w:p>
    <w:p>
      <w:pPr>
        <w:pStyle w:val="4"/>
        <w:rPr>
          <w:rFonts w:hint="eastAsia" w:ascii="宋体" w:hAnsi="宋体" w:eastAsia="宋体" w:cs="宋体"/>
          <w:b/>
          <w:color w:val="auto"/>
          <w:kern w:val="2"/>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kern w:val="2"/>
          <w:sz w:val="30"/>
          <w:szCs w:val="30"/>
          <w:highlight w:val="none"/>
        </w:rPr>
        <w:t>附件二：问题澄清通知</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问题澄清通知</w:t>
      </w:r>
    </w:p>
    <w:p>
      <w:pPr>
        <w:tabs>
          <w:tab w:val="left" w:pos="5740"/>
        </w:tabs>
        <w:spacing w:before="62" w:line="337" w:lineRule="exact"/>
        <w:ind w:left="2808" w:right="2811"/>
        <w:jc w:val="center"/>
        <w:rPr>
          <w:rFonts w:hint="eastAsia" w:ascii="宋体" w:hAnsi="宋体" w:cs="宋体"/>
          <w:color w:val="auto"/>
          <w:szCs w:val="21"/>
          <w:highlight w:val="none"/>
        </w:rPr>
      </w:pPr>
      <w:r>
        <w:rPr>
          <w:rFonts w:hint="eastAsia" w:ascii="宋体" w:hAnsi="宋体" w:cs="宋体"/>
          <w:color w:val="auto"/>
          <w:position w:val="-4"/>
          <w:szCs w:val="21"/>
          <w:highlight w:val="none"/>
        </w:rPr>
        <w:t>（编</w:t>
      </w:r>
      <w:r>
        <w:rPr>
          <w:rFonts w:hint="eastAsia" w:ascii="宋体" w:hAnsi="宋体" w:cs="宋体"/>
          <w:color w:val="auto"/>
          <w:spacing w:val="-2"/>
          <w:position w:val="-4"/>
          <w:szCs w:val="21"/>
          <w:highlight w:val="none"/>
        </w:rPr>
        <w:t>号</w:t>
      </w:r>
      <w:r>
        <w:rPr>
          <w:rFonts w:hint="eastAsia" w:ascii="宋体" w:hAnsi="宋体" w:cs="宋体"/>
          <w:color w:val="auto"/>
          <w:position w:val="-4"/>
          <w:szCs w:val="21"/>
          <w:highlight w:val="none"/>
        </w:rPr>
        <w:t>：</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7" w:line="200" w:lineRule="exact"/>
        <w:jc w:val="left"/>
        <w:rPr>
          <w:rFonts w:hint="eastAsia" w:ascii="宋体" w:hAnsi="宋体" w:cs="宋体"/>
          <w:color w:val="auto"/>
          <w:szCs w:val="21"/>
          <w:highlight w:val="none"/>
        </w:rPr>
      </w:pPr>
    </w:p>
    <w:p>
      <w:pPr>
        <w:tabs>
          <w:tab w:val="left" w:pos="2300"/>
        </w:tabs>
        <w:spacing w:line="271" w:lineRule="exact"/>
        <w:ind w:left="100" w:right="-2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w:t>
      </w:r>
    </w:p>
    <w:p>
      <w:pPr>
        <w:spacing w:line="200" w:lineRule="exact"/>
        <w:jc w:val="left"/>
        <w:rPr>
          <w:rFonts w:hint="eastAsia" w:ascii="宋体" w:hAnsi="宋体" w:cs="宋体"/>
          <w:color w:val="auto"/>
          <w:szCs w:val="21"/>
          <w:highlight w:val="none"/>
        </w:rPr>
      </w:pPr>
    </w:p>
    <w:p>
      <w:pPr>
        <w:spacing w:before="10" w:line="200" w:lineRule="exact"/>
        <w:jc w:val="left"/>
        <w:rPr>
          <w:rFonts w:hint="eastAsia" w:ascii="宋体" w:hAnsi="宋体" w:cs="宋体"/>
          <w:color w:val="auto"/>
          <w:szCs w:val="21"/>
          <w:highlight w:val="none"/>
        </w:rPr>
      </w:pPr>
    </w:p>
    <w:p>
      <w:pPr>
        <w:spacing w:line="295" w:lineRule="exact"/>
        <w:ind w:left="523" w:right="-20"/>
        <w:jc w:val="left"/>
        <w:rPr>
          <w:rFonts w:hint="eastAsia" w:ascii="宋体" w:hAnsi="宋体" w:cs="宋体"/>
          <w:color w:val="auto"/>
          <w:szCs w:val="21"/>
          <w:highlight w:val="none"/>
        </w:rPr>
      </w:pPr>
      <w:r>
        <w:rPr>
          <w:rFonts w:hint="eastAsia" w:ascii="宋体" w:hAnsi="宋体" w:cs="宋体"/>
          <w:color w:val="auto"/>
          <w:position w:val="-1"/>
          <w:szCs w:val="21"/>
          <w:highlight w:val="none"/>
        </w:rPr>
        <w:t>评标委员会</w:t>
      </w:r>
      <w:r>
        <w:rPr>
          <w:rFonts w:hint="eastAsia" w:ascii="宋体" w:hAnsi="宋体" w:cs="宋体"/>
          <w:color w:val="auto"/>
          <w:spacing w:val="-2"/>
          <w:position w:val="-1"/>
          <w:szCs w:val="21"/>
          <w:highlight w:val="none"/>
        </w:rPr>
        <w:t>对</w:t>
      </w:r>
      <w:r>
        <w:rPr>
          <w:rFonts w:hint="eastAsia" w:ascii="宋体" w:hAnsi="宋体" w:cs="宋体"/>
          <w:color w:val="auto"/>
          <w:position w:val="-1"/>
          <w:szCs w:val="21"/>
          <w:highlight w:val="none"/>
        </w:rPr>
        <w:t>你方</w:t>
      </w:r>
      <w:r>
        <w:rPr>
          <w:rFonts w:hint="eastAsia" w:ascii="宋体" w:hAnsi="宋体" w:cs="宋体"/>
          <w:color w:val="auto"/>
          <w:spacing w:val="-2"/>
          <w:position w:val="-1"/>
          <w:szCs w:val="21"/>
          <w:highlight w:val="none"/>
        </w:rPr>
        <w:t>的</w:t>
      </w:r>
      <w:r>
        <w:rPr>
          <w:rFonts w:hint="eastAsia" w:ascii="宋体" w:hAnsi="宋体" w:cs="宋体"/>
          <w:color w:val="auto"/>
          <w:position w:val="-1"/>
          <w:szCs w:val="21"/>
          <w:highlight w:val="none"/>
        </w:rPr>
        <w:t>投标文件进行了</w:t>
      </w:r>
      <w:r>
        <w:rPr>
          <w:rFonts w:hint="eastAsia" w:ascii="宋体" w:hAnsi="宋体" w:cs="宋体"/>
          <w:color w:val="auto"/>
          <w:spacing w:val="-2"/>
          <w:position w:val="-1"/>
          <w:szCs w:val="21"/>
          <w:highlight w:val="none"/>
        </w:rPr>
        <w:t>仔</w:t>
      </w:r>
      <w:r>
        <w:rPr>
          <w:rFonts w:hint="eastAsia" w:ascii="宋体" w:hAnsi="宋体" w:cs="宋体"/>
          <w:color w:val="auto"/>
          <w:position w:val="-1"/>
          <w:szCs w:val="21"/>
          <w:highlight w:val="none"/>
        </w:rPr>
        <w:t>细的</w:t>
      </w:r>
      <w:r>
        <w:rPr>
          <w:rFonts w:hint="eastAsia" w:ascii="宋体" w:hAnsi="宋体" w:cs="宋体"/>
          <w:color w:val="auto"/>
          <w:spacing w:val="-2"/>
          <w:position w:val="-1"/>
          <w:szCs w:val="21"/>
          <w:highlight w:val="none"/>
        </w:rPr>
        <w:t>审</w:t>
      </w:r>
      <w:r>
        <w:rPr>
          <w:rFonts w:hint="eastAsia" w:ascii="宋体" w:hAnsi="宋体" w:cs="宋体"/>
          <w:color w:val="auto"/>
          <w:position w:val="-1"/>
          <w:szCs w:val="21"/>
          <w:highlight w:val="none"/>
        </w:rPr>
        <w:t>查，现需你方对</w:t>
      </w:r>
      <w:r>
        <w:rPr>
          <w:rFonts w:hint="eastAsia" w:ascii="宋体" w:hAnsi="宋体" w:cs="宋体"/>
          <w:color w:val="auto"/>
          <w:spacing w:val="-2"/>
          <w:position w:val="-1"/>
          <w:szCs w:val="21"/>
          <w:highlight w:val="none"/>
        </w:rPr>
        <w:t>下</w:t>
      </w:r>
      <w:r>
        <w:rPr>
          <w:rFonts w:hint="eastAsia" w:ascii="宋体" w:hAnsi="宋体" w:cs="宋体"/>
          <w:color w:val="auto"/>
          <w:position w:val="-1"/>
          <w:szCs w:val="21"/>
          <w:highlight w:val="none"/>
        </w:rPr>
        <w:t>列问</w:t>
      </w:r>
      <w:r>
        <w:rPr>
          <w:rFonts w:hint="eastAsia" w:ascii="宋体" w:hAnsi="宋体" w:cs="宋体"/>
          <w:color w:val="auto"/>
          <w:spacing w:val="-2"/>
          <w:position w:val="-1"/>
          <w:szCs w:val="21"/>
          <w:highlight w:val="none"/>
        </w:rPr>
        <w:t>题</w:t>
      </w:r>
      <w:r>
        <w:rPr>
          <w:rFonts w:hint="eastAsia" w:ascii="宋体" w:hAnsi="宋体" w:cs="宋体"/>
          <w:color w:val="auto"/>
          <w:position w:val="-1"/>
          <w:szCs w:val="21"/>
          <w:highlight w:val="none"/>
        </w:rPr>
        <w:t>以书面形式予</w:t>
      </w:r>
      <w:r>
        <w:rPr>
          <w:rFonts w:hint="eastAsia" w:ascii="宋体" w:hAnsi="宋体" w:cs="宋体"/>
          <w:color w:val="auto"/>
          <w:spacing w:val="-2"/>
          <w:position w:val="-1"/>
          <w:szCs w:val="21"/>
          <w:highlight w:val="none"/>
        </w:rPr>
        <w:t>以</w:t>
      </w:r>
      <w:r>
        <w:rPr>
          <w:rFonts w:hint="eastAsia" w:ascii="宋体" w:hAnsi="宋体" w:cs="宋体"/>
          <w:color w:val="auto"/>
          <w:position w:val="-1"/>
          <w:szCs w:val="21"/>
          <w:highlight w:val="none"/>
        </w:rPr>
        <w:t>澄</w:t>
      </w:r>
    </w:p>
    <w:p>
      <w:pPr>
        <w:spacing w:before="78"/>
        <w:ind w:left="100" w:right="-20"/>
        <w:jc w:val="left"/>
        <w:rPr>
          <w:rFonts w:hint="eastAsia" w:ascii="宋体" w:hAnsi="宋体" w:cs="宋体"/>
          <w:color w:val="auto"/>
          <w:szCs w:val="21"/>
          <w:highlight w:val="none"/>
        </w:rPr>
      </w:pPr>
      <w:r>
        <w:rPr>
          <w:rFonts w:hint="eastAsia" w:ascii="宋体" w:hAnsi="宋体" w:cs="宋体"/>
          <w:color w:val="auto"/>
          <w:szCs w:val="21"/>
          <w:highlight w:val="none"/>
        </w:rPr>
        <w:t>清、</w:t>
      </w:r>
      <w:r>
        <w:rPr>
          <w:rFonts w:hint="eastAsia" w:ascii="宋体" w:hAnsi="宋体" w:cs="宋体"/>
          <w:color w:val="auto"/>
          <w:spacing w:val="-2"/>
          <w:szCs w:val="21"/>
          <w:highlight w:val="none"/>
        </w:rPr>
        <w:t>说</w:t>
      </w:r>
      <w:r>
        <w:rPr>
          <w:rFonts w:hint="eastAsia" w:ascii="宋体" w:hAnsi="宋体" w:cs="宋体"/>
          <w:color w:val="auto"/>
          <w:szCs w:val="21"/>
          <w:highlight w:val="none"/>
        </w:rPr>
        <w:t>明</w:t>
      </w:r>
      <w:r>
        <w:rPr>
          <w:rFonts w:hint="eastAsia" w:ascii="宋体" w:hAnsi="宋体" w:cs="宋体"/>
          <w:color w:val="auto"/>
          <w:spacing w:val="-2"/>
          <w:szCs w:val="21"/>
          <w:highlight w:val="none"/>
        </w:rPr>
        <w:t>或</w:t>
      </w:r>
      <w:r>
        <w:rPr>
          <w:rFonts w:hint="eastAsia" w:ascii="宋体" w:hAnsi="宋体" w:cs="宋体"/>
          <w:color w:val="auto"/>
          <w:szCs w:val="21"/>
          <w:highlight w:val="none"/>
        </w:rPr>
        <w:t>补</w:t>
      </w:r>
      <w:r>
        <w:rPr>
          <w:rFonts w:hint="eastAsia" w:ascii="宋体" w:hAnsi="宋体" w:cs="宋体"/>
          <w:color w:val="auto"/>
          <w:spacing w:val="-2"/>
          <w:szCs w:val="21"/>
          <w:highlight w:val="none"/>
        </w:rPr>
        <w:t>正</w:t>
      </w:r>
      <w:r>
        <w:rPr>
          <w:rFonts w:hint="eastAsia" w:ascii="宋体" w:hAnsi="宋体" w:cs="宋体"/>
          <w:color w:val="auto"/>
          <w:szCs w:val="21"/>
          <w:highlight w:val="none"/>
        </w:rPr>
        <w:t>：</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11" w:line="220" w:lineRule="exact"/>
        <w:jc w:val="left"/>
        <w:rPr>
          <w:rFonts w:hint="eastAsia" w:ascii="宋体" w:hAnsi="宋体" w:cs="宋体"/>
          <w:color w:val="auto"/>
          <w:szCs w:val="21"/>
          <w:highlight w:val="none"/>
        </w:rPr>
      </w:pPr>
    </w:p>
    <w:p>
      <w:pPr>
        <w:ind w:left="523" w:right="-20"/>
        <w:jc w:val="left"/>
        <w:rPr>
          <w:rFonts w:hint="eastAsia" w:ascii="宋体" w:hAnsi="宋体" w:cs="宋体"/>
          <w:color w:val="auto"/>
          <w:szCs w:val="21"/>
          <w:highlight w:val="none"/>
        </w:rPr>
      </w:pPr>
      <w:r>
        <w:rPr>
          <w:rFonts w:hint="eastAsia" w:ascii="宋体" w:hAnsi="宋体" w:cs="宋体"/>
          <w:color w:val="auto"/>
          <w:szCs w:val="21"/>
          <w:highlight w:val="none"/>
        </w:rPr>
        <w:t>1.</w:t>
      </w:r>
    </w:p>
    <w:p>
      <w:pPr>
        <w:spacing w:before="8" w:line="190" w:lineRule="exact"/>
        <w:jc w:val="left"/>
        <w:rPr>
          <w:rFonts w:hint="eastAsia" w:ascii="宋体" w:hAnsi="宋体" w:cs="宋体"/>
          <w:color w:val="auto"/>
          <w:szCs w:val="21"/>
          <w:highlight w:val="none"/>
        </w:rPr>
      </w:pPr>
    </w:p>
    <w:p>
      <w:pPr>
        <w:ind w:left="523" w:right="-20"/>
        <w:jc w:val="left"/>
        <w:rPr>
          <w:rFonts w:hint="eastAsia" w:ascii="宋体" w:hAnsi="宋体" w:cs="宋体"/>
          <w:color w:val="auto"/>
          <w:szCs w:val="21"/>
          <w:highlight w:val="none"/>
        </w:rPr>
      </w:pPr>
      <w:r>
        <w:rPr>
          <w:rFonts w:hint="eastAsia" w:ascii="宋体" w:hAnsi="宋体" w:cs="宋体"/>
          <w:color w:val="auto"/>
          <w:szCs w:val="21"/>
          <w:highlight w:val="none"/>
        </w:rPr>
        <w:t>2.</w:t>
      </w:r>
    </w:p>
    <w:p>
      <w:pPr>
        <w:spacing w:before="1" w:line="200" w:lineRule="exact"/>
        <w:jc w:val="left"/>
        <w:rPr>
          <w:rFonts w:hint="eastAsia" w:ascii="宋体" w:hAnsi="宋体" w:cs="宋体"/>
          <w:color w:val="auto"/>
          <w:szCs w:val="21"/>
          <w:highlight w:val="none"/>
        </w:rPr>
      </w:pPr>
    </w:p>
    <w:p>
      <w:pPr>
        <w:ind w:left="628" w:right="-2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pacing w:val="-2"/>
          <w:szCs w:val="21"/>
          <w:highlight w:val="none"/>
        </w:rPr>
        <w:t>.</w:t>
      </w:r>
      <w:r>
        <w:rPr>
          <w:rFonts w:hint="eastAsia" w:ascii="宋体" w:hAnsi="宋体" w:cs="宋体"/>
          <w:color w:val="auto"/>
          <w:szCs w:val="21"/>
          <w:highlight w:val="none"/>
        </w:rPr>
        <w:t>....</w:t>
      </w:r>
    </w:p>
    <w:p>
      <w:pPr>
        <w:spacing w:before="5" w:line="12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tabs>
          <w:tab w:val="left" w:pos="4600"/>
          <w:tab w:val="left" w:pos="5540"/>
          <w:tab w:val="left" w:pos="6480"/>
          <w:tab w:val="left" w:pos="7420"/>
        </w:tabs>
        <w:spacing w:line="337" w:lineRule="exact"/>
        <w:ind w:left="506" w:right="-20"/>
        <w:jc w:val="left"/>
        <w:rPr>
          <w:rFonts w:hint="eastAsia" w:ascii="宋体" w:hAnsi="宋体" w:cs="宋体"/>
          <w:color w:val="auto"/>
          <w:szCs w:val="21"/>
          <w:highlight w:val="none"/>
        </w:rPr>
      </w:pPr>
      <w:r>
        <w:rPr>
          <w:rFonts w:hint="eastAsia" w:ascii="宋体" w:hAnsi="宋体" w:cs="宋体"/>
          <w:color w:val="auto"/>
          <w:position w:val="-4"/>
          <w:szCs w:val="21"/>
          <w:highlight w:val="none"/>
        </w:rPr>
        <w:t>请将</w:t>
      </w:r>
      <w:r>
        <w:rPr>
          <w:rFonts w:hint="eastAsia" w:ascii="宋体" w:hAnsi="宋体" w:cs="宋体"/>
          <w:color w:val="auto"/>
          <w:spacing w:val="-2"/>
          <w:position w:val="-4"/>
          <w:szCs w:val="21"/>
          <w:highlight w:val="none"/>
        </w:rPr>
        <w:t>上</w:t>
      </w:r>
      <w:r>
        <w:rPr>
          <w:rFonts w:hint="eastAsia" w:ascii="宋体" w:hAnsi="宋体" w:cs="宋体"/>
          <w:color w:val="auto"/>
          <w:position w:val="-4"/>
          <w:szCs w:val="21"/>
          <w:highlight w:val="none"/>
        </w:rPr>
        <w:t>述</w:t>
      </w:r>
      <w:r>
        <w:rPr>
          <w:rFonts w:hint="eastAsia" w:ascii="宋体" w:hAnsi="宋体" w:cs="宋体"/>
          <w:color w:val="auto"/>
          <w:spacing w:val="-2"/>
          <w:position w:val="-4"/>
          <w:szCs w:val="21"/>
          <w:highlight w:val="none"/>
        </w:rPr>
        <w:t>问</w:t>
      </w:r>
      <w:r>
        <w:rPr>
          <w:rFonts w:hint="eastAsia" w:ascii="宋体" w:hAnsi="宋体" w:cs="宋体"/>
          <w:color w:val="auto"/>
          <w:position w:val="-4"/>
          <w:szCs w:val="21"/>
          <w:highlight w:val="none"/>
        </w:rPr>
        <w:t>题</w:t>
      </w:r>
      <w:r>
        <w:rPr>
          <w:rFonts w:hint="eastAsia" w:ascii="宋体" w:hAnsi="宋体" w:cs="宋体"/>
          <w:color w:val="auto"/>
          <w:spacing w:val="-2"/>
          <w:position w:val="-4"/>
          <w:szCs w:val="21"/>
          <w:highlight w:val="none"/>
        </w:rPr>
        <w:t>的</w:t>
      </w:r>
      <w:r>
        <w:rPr>
          <w:rFonts w:hint="eastAsia" w:ascii="宋体" w:hAnsi="宋体" w:cs="宋体"/>
          <w:color w:val="auto"/>
          <w:position w:val="-4"/>
          <w:szCs w:val="21"/>
          <w:highlight w:val="none"/>
        </w:rPr>
        <w:t>澄</w:t>
      </w:r>
      <w:r>
        <w:rPr>
          <w:rFonts w:hint="eastAsia" w:ascii="宋体" w:hAnsi="宋体" w:cs="宋体"/>
          <w:color w:val="auto"/>
          <w:spacing w:val="-2"/>
          <w:position w:val="-4"/>
          <w:szCs w:val="21"/>
          <w:highlight w:val="none"/>
        </w:rPr>
        <w:t>清</w:t>
      </w:r>
      <w:r>
        <w:rPr>
          <w:rFonts w:hint="eastAsia" w:ascii="宋体" w:hAnsi="宋体" w:cs="宋体"/>
          <w:color w:val="auto"/>
          <w:position w:val="-4"/>
          <w:szCs w:val="21"/>
          <w:highlight w:val="none"/>
        </w:rPr>
        <w:t>、</w:t>
      </w:r>
      <w:r>
        <w:rPr>
          <w:rFonts w:hint="eastAsia" w:ascii="宋体" w:hAnsi="宋体" w:cs="宋体"/>
          <w:color w:val="auto"/>
          <w:spacing w:val="-2"/>
          <w:position w:val="-4"/>
          <w:szCs w:val="21"/>
          <w:highlight w:val="none"/>
        </w:rPr>
        <w:t>说</w:t>
      </w:r>
      <w:r>
        <w:rPr>
          <w:rFonts w:hint="eastAsia" w:ascii="宋体" w:hAnsi="宋体" w:cs="宋体"/>
          <w:color w:val="auto"/>
          <w:position w:val="-4"/>
          <w:szCs w:val="21"/>
          <w:highlight w:val="none"/>
        </w:rPr>
        <w:t>明或</w:t>
      </w:r>
      <w:r>
        <w:rPr>
          <w:rFonts w:hint="eastAsia" w:ascii="宋体" w:hAnsi="宋体" w:cs="宋体"/>
          <w:color w:val="auto"/>
          <w:spacing w:val="-2"/>
          <w:position w:val="-4"/>
          <w:szCs w:val="21"/>
          <w:highlight w:val="none"/>
        </w:rPr>
        <w:t>补</w:t>
      </w:r>
      <w:r>
        <w:rPr>
          <w:rFonts w:hint="eastAsia" w:ascii="宋体" w:hAnsi="宋体" w:cs="宋体"/>
          <w:color w:val="auto"/>
          <w:position w:val="-4"/>
          <w:szCs w:val="21"/>
          <w:highlight w:val="none"/>
        </w:rPr>
        <w:t>正</w:t>
      </w:r>
      <w:r>
        <w:rPr>
          <w:rFonts w:hint="eastAsia" w:ascii="宋体" w:hAnsi="宋体" w:cs="宋体"/>
          <w:color w:val="auto"/>
          <w:spacing w:val="-2"/>
          <w:position w:val="-4"/>
          <w:szCs w:val="21"/>
          <w:highlight w:val="none"/>
        </w:rPr>
        <w:t>于</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年</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月</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spacing w:val="-2"/>
          <w:position w:val="-4"/>
          <w:szCs w:val="21"/>
          <w:highlight w:val="none"/>
        </w:rPr>
        <w:t>日</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spacing w:val="-2"/>
          <w:position w:val="-4"/>
          <w:szCs w:val="21"/>
          <w:highlight w:val="none"/>
        </w:rPr>
        <w:t>时</w:t>
      </w:r>
      <w:r>
        <w:rPr>
          <w:rFonts w:hint="eastAsia" w:ascii="宋体" w:hAnsi="宋体" w:cs="宋体"/>
          <w:color w:val="auto"/>
          <w:position w:val="-4"/>
          <w:szCs w:val="21"/>
          <w:highlight w:val="none"/>
        </w:rPr>
        <w:t>前递</w:t>
      </w:r>
      <w:r>
        <w:rPr>
          <w:rFonts w:hint="eastAsia" w:ascii="宋体" w:hAnsi="宋体" w:cs="宋体"/>
          <w:color w:val="auto"/>
          <w:spacing w:val="-2"/>
          <w:position w:val="-4"/>
          <w:szCs w:val="21"/>
          <w:highlight w:val="none"/>
        </w:rPr>
        <w:t>交</w:t>
      </w:r>
      <w:r>
        <w:rPr>
          <w:rFonts w:hint="eastAsia" w:ascii="宋体" w:hAnsi="宋体" w:cs="宋体"/>
          <w:color w:val="auto"/>
          <w:position w:val="-4"/>
          <w:szCs w:val="21"/>
          <w:highlight w:val="none"/>
        </w:rPr>
        <w:t>至</w:t>
      </w:r>
    </w:p>
    <w:p>
      <w:pPr>
        <w:spacing w:line="170" w:lineRule="exact"/>
        <w:jc w:val="left"/>
        <w:rPr>
          <w:rFonts w:hint="eastAsia" w:ascii="宋体" w:hAnsi="宋体" w:cs="宋体"/>
          <w:color w:val="auto"/>
          <w:szCs w:val="21"/>
          <w:highlight w:val="none"/>
        </w:rPr>
      </w:pPr>
    </w:p>
    <w:p>
      <w:pPr>
        <w:tabs>
          <w:tab w:val="left" w:pos="3040"/>
          <w:tab w:val="left" w:pos="7320"/>
        </w:tabs>
        <w:spacing w:line="271" w:lineRule="exact"/>
        <w:ind w:left="100" w:right="-20"/>
        <w:jc w:val="left"/>
        <w:rPr>
          <w:rFonts w:hint="eastAsia" w:ascii="宋体" w:hAnsi="宋体" w:cs="宋体"/>
          <w:color w:val="auto"/>
          <w:szCs w:val="21"/>
          <w:highlight w:val="none"/>
        </w:rPr>
      </w:pPr>
      <w:r>
        <w:rPr>
          <w:rFonts w:hint="eastAsia" w:ascii="宋体" w:hAnsi="宋体" w:cs="宋体"/>
          <w:color w:val="auto"/>
          <w:w w:val="20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w:t>
      </w:r>
      <w:r>
        <w:rPr>
          <w:rFonts w:hint="eastAsia" w:ascii="宋体" w:hAnsi="宋体" w:cs="宋体"/>
          <w:color w:val="auto"/>
          <w:spacing w:val="-2"/>
          <w:position w:val="-2"/>
          <w:szCs w:val="21"/>
          <w:highlight w:val="none"/>
        </w:rPr>
        <w:t>详</w:t>
      </w:r>
      <w:r>
        <w:rPr>
          <w:rFonts w:hint="eastAsia" w:ascii="宋体" w:hAnsi="宋体" w:cs="宋体"/>
          <w:color w:val="auto"/>
          <w:position w:val="-2"/>
          <w:szCs w:val="21"/>
          <w:highlight w:val="none"/>
        </w:rPr>
        <w:t>细</w:t>
      </w:r>
      <w:r>
        <w:rPr>
          <w:rFonts w:hint="eastAsia" w:ascii="宋体" w:hAnsi="宋体" w:cs="宋体"/>
          <w:color w:val="auto"/>
          <w:spacing w:val="-2"/>
          <w:position w:val="-2"/>
          <w:szCs w:val="21"/>
          <w:highlight w:val="none"/>
        </w:rPr>
        <w:t>地址</w:t>
      </w:r>
      <w:r>
        <w:rPr>
          <w:rFonts w:hint="eastAsia" w:ascii="宋体" w:hAnsi="宋体" w:cs="宋体"/>
          <w:color w:val="auto"/>
          <w:spacing w:val="-24"/>
          <w:position w:val="-2"/>
          <w:szCs w:val="21"/>
          <w:highlight w:val="none"/>
        </w:rPr>
        <w:t>）</w:t>
      </w:r>
      <w:r>
        <w:rPr>
          <w:rFonts w:hint="eastAsia" w:ascii="宋体" w:hAnsi="宋体" w:cs="宋体"/>
          <w:color w:val="auto"/>
          <w:spacing w:val="-2"/>
          <w:position w:val="-2"/>
          <w:szCs w:val="21"/>
          <w:highlight w:val="none"/>
        </w:rPr>
        <w:t>或</w:t>
      </w:r>
      <w:r>
        <w:rPr>
          <w:rFonts w:hint="eastAsia" w:ascii="宋体" w:hAnsi="宋体" w:cs="宋体"/>
          <w:color w:val="auto"/>
          <w:position w:val="-2"/>
          <w:szCs w:val="21"/>
          <w:highlight w:val="none"/>
        </w:rPr>
        <w:t>传</w:t>
      </w:r>
      <w:r>
        <w:rPr>
          <w:rFonts w:hint="eastAsia" w:ascii="宋体" w:hAnsi="宋体" w:cs="宋体"/>
          <w:color w:val="auto"/>
          <w:spacing w:val="-2"/>
          <w:position w:val="-2"/>
          <w:szCs w:val="21"/>
          <w:highlight w:val="none"/>
        </w:rPr>
        <w:t>真</w:t>
      </w:r>
      <w:r>
        <w:rPr>
          <w:rFonts w:hint="eastAsia" w:ascii="宋体" w:hAnsi="宋体" w:cs="宋体"/>
          <w:color w:val="auto"/>
          <w:position w:val="-2"/>
          <w:szCs w:val="21"/>
          <w:highlight w:val="none"/>
        </w:rPr>
        <w:t>至</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w:t>
      </w:r>
      <w:r>
        <w:rPr>
          <w:rFonts w:hint="eastAsia" w:ascii="宋体" w:hAnsi="宋体" w:cs="宋体"/>
          <w:color w:val="auto"/>
          <w:spacing w:val="-2"/>
          <w:position w:val="-2"/>
          <w:szCs w:val="21"/>
          <w:highlight w:val="none"/>
        </w:rPr>
        <w:t>传</w:t>
      </w:r>
      <w:r>
        <w:rPr>
          <w:rFonts w:hint="eastAsia" w:ascii="宋体" w:hAnsi="宋体" w:cs="宋体"/>
          <w:color w:val="auto"/>
          <w:position w:val="-2"/>
          <w:szCs w:val="21"/>
          <w:highlight w:val="none"/>
        </w:rPr>
        <w:t>真</w:t>
      </w:r>
      <w:r>
        <w:rPr>
          <w:rFonts w:hint="eastAsia" w:ascii="宋体" w:hAnsi="宋体" w:cs="宋体"/>
          <w:color w:val="auto"/>
          <w:spacing w:val="-2"/>
          <w:position w:val="-2"/>
          <w:szCs w:val="21"/>
          <w:highlight w:val="none"/>
        </w:rPr>
        <w:t>号码</w:t>
      </w:r>
      <w:r>
        <w:rPr>
          <w:rFonts w:hint="eastAsia" w:ascii="宋体" w:hAnsi="宋体" w:cs="宋体"/>
          <w:color w:val="auto"/>
          <w:spacing w:val="-24"/>
          <w:position w:val="-2"/>
          <w:szCs w:val="21"/>
          <w:highlight w:val="none"/>
        </w:rPr>
        <w:t>）</w:t>
      </w:r>
      <w:r>
        <w:rPr>
          <w:rFonts w:hint="eastAsia" w:ascii="宋体" w:hAnsi="宋体" w:cs="宋体"/>
          <w:color w:val="auto"/>
          <w:position w:val="-2"/>
          <w:szCs w:val="21"/>
          <w:highlight w:val="none"/>
        </w:rPr>
        <w:t>或</w:t>
      </w:r>
    </w:p>
    <w:p>
      <w:pPr>
        <w:spacing w:before="8" w:line="160" w:lineRule="exact"/>
        <w:jc w:val="left"/>
        <w:rPr>
          <w:rFonts w:hint="eastAsia" w:ascii="宋体" w:hAnsi="宋体" w:cs="宋体"/>
          <w:color w:val="auto"/>
          <w:szCs w:val="21"/>
          <w:highlight w:val="none"/>
        </w:rPr>
      </w:pPr>
    </w:p>
    <w:p>
      <w:pPr>
        <w:tabs>
          <w:tab w:val="left" w:pos="7120"/>
          <w:tab w:val="left" w:pos="8080"/>
        </w:tabs>
        <w:spacing w:line="271" w:lineRule="exact"/>
        <w:ind w:left="100" w:right="-20"/>
        <w:jc w:val="left"/>
        <w:rPr>
          <w:rFonts w:hint="eastAsia" w:ascii="宋体" w:hAnsi="宋体" w:cs="宋体"/>
          <w:color w:val="auto"/>
          <w:szCs w:val="21"/>
          <w:highlight w:val="none"/>
        </w:rPr>
      </w:pPr>
      <w:r>
        <w:rPr>
          <w:rFonts w:hint="eastAsia" w:ascii="宋体" w:hAnsi="宋体" w:cs="宋体"/>
          <w:color w:val="auto"/>
          <w:position w:val="-2"/>
          <w:szCs w:val="21"/>
          <w:highlight w:val="none"/>
        </w:rPr>
        <w:t>通过</w:t>
      </w:r>
      <w:r>
        <w:rPr>
          <w:rFonts w:hint="eastAsia" w:ascii="宋体" w:hAnsi="宋体" w:cs="宋体"/>
          <w:color w:val="auto"/>
          <w:spacing w:val="-2"/>
          <w:position w:val="-2"/>
          <w:szCs w:val="21"/>
          <w:highlight w:val="none"/>
        </w:rPr>
        <w:t>下</w:t>
      </w:r>
      <w:r>
        <w:rPr>
          <w:rFonts w:hint="eastAsia" w:ascii="宋体" w:hAnsi="宋体" w:cs="宋体"/>
          <w:color w:val="auto"/>
          <w:position w:val="-2"/>
          <w:szCs w:val="21"/>
          <w:highlight w:val="none"/>
        </w:rPr>
        <w:t>载</w:t>
      </w:r>
      <w:r>
        <w:rPr>
          <w:rFonts w:hint="eastAsia" w:ascii="宋体" w:hAnsi="宋体" w:cs="宋体"/>
          <w:color w:val="auto"/>
          <w:spacing w:val="-2"/>
          <w:position w:val="-2"/>
          <w:szCs w:val="21"/>
          <w:highlight w:val="none"/>
        </w:rPr>
        <w:t>招</w:t>
      </w:r>
      <w:r>
        <w:rPr>
          <w:rFonts w:hint="eastAsia" w:ascii="宋体" w:hAnsi="宋体" w:cs="宋体"/>
          <w:color w:val="auto"/>
          <w:position w:val="-2"/>
          <w:szCs w:val="21"/>
          <w:highlight w:val="none"/>
        </w:rPr>
        <w:t>标</w:t>
      </w:r>
      <w:r>
        <w:rPr>
          <w:rFonts w:hint="eastAsia" w:ascii="宋体" w:hAnsi="宋体" w:cs="宋体"/>
          <w:color w:val="auto"/>
          <w:spacing w:val="-2"/>
          <w:position w:val="-2"/>
          <w:szCs w:val="21"/>
          <w:highlight w:val="none"/>
        </w:rPr>
        <w:t>文</w:t>
      </w:r>
      <w:r>
        <w:rPr>
          <w:rFonts w:hint="eastAsia" w:ascii="宋体" w:hAnsi="宋体" w:cs="宋体"/>
          <w:color w:val="auto"/>
          <w:position w:val="-2"/>
          <w:szCs w:val="21"/>
          <w:highlight w:val="none"/>
        </w:rPr>
        <w:t>件</w:t>
      </w:r>
      <w:r>
        <w:rPr>
          <w:rFonts w:hint="eastAsia" w:ascii="宋体" w:hAnsi="宋体" w:cs="宋体"/>
          <w:color w:val="auto"/>
          <w:spacing w:val="-2"/>
          <w:position w:val="-2"/>
          <w:szCs w:val="21"/>
          <w:highlight w:val="none"/>
        </w:rPr>
        <w:t>的</w:t>
      </w:r>
      <w:r>
        <w:rPr>
          <w:rFonts w:hint="eastAsia" w:ascii="宋体" w:hAnsi="宋体" w:cs="宋体"/>
          <w:color w:val="auto"/>
          <w:position w:val="-2"/>
          <w:szCs w:val="21"/>
          <w:highlight w:val="none"/>
        </w:rPr>
        <w:t>电</w:t>
      </w:r>
      <w:r>
        <w:rPr>
          <w:rFonts w:hint="eastAsia" w:ascii="宋体" w:hAnsi="宋体" w:cs="宋体"/>
          <w:color w:val="auto"/>
          <w:spacing w:val="-2"/>
          <w:position w:val="-2"/>
          <w:szCs w:val="21"/>
          <w:highlight w:val="none"/>
        </w:rPr>
        <w:t>子</w:t>
      </w:r>
      <w:r>
        <w:rPr>
          <w:rFonts w:hint="eastAsia" w:ascii="宋体" w:hAnsi="宋体" w:cs="宋体"/>
          <w:color w:val="auto"/>
          <w:position w:val="-2"/>
          <w:szCs w:val="21"/>
          <w:highlight w:val="none"/>
        </w:rPr>
        <w:t>招标</w:t>
      </w:r>
      <w:r>
        <w:rPr>
          <w:rFonts w:hint="eastAsia" w:ascii="宋体" w:hAnsi="宋体" w:cs="宋体"/>
          <w:color w:val="auto"/>
          <w:spacing w:val="-2"/>
          <w:position w:val="-2"/>
          <w:szCs w:val="21"/>
          <w:highlight w:val="none"/>
        </w:rPr>
        <w:t>交</w:t>
      </w:r>
      <w:r>
        <w:rPr>
          <w:rFonts w:hint="eastAsia" w:ascii="宋体" w:hAnsi="宋体" w:cs="宋体"/>
          <w:color w:val="auto"/>
          <w:position w:val="-2"/>
          <w:szCs w:val="21"/>
          <w:highlight w:val="none"/>
        </w:rPr>
        <w:t>易</w:t>
      </w:r>
      <w:r>
        <w:rPr>
          <w:rFonts w:hint="eastAsia" w:ascii="宋体" w:hAnsi="宋体" w:cs="宋体"/>
          <w:color w:val="auto"/>
          <w:spacing w:val="-2"/>
          <w:position w:val="-2"/>
          <w:szCs w:val="21"/>
          <w:highlight w:val="none"/>
        </w:rPr>
        <w:t>平</w:t>
      </w:r>
      <w:r>
        <w:rPr>
          <w:rFonts w:hint="eastAsia" w:ascii="宋体" w:hAnsi="宋体" w:cs="宋体"/>
          <w:color w:val="auto"/>
          <w:position w:val="-2"/>
          <w:szCs w:val="21"/>
          <w:highlight w:val="none"/>
        </w:rPr>
        <w:t>台</w:t>
      </w:r>
      <w:r>
        <w:rPr>
          <w:rFonts w:hint="eastAsia" w:ascii="宋体" w:hAnsi="宋体" w:cs="宋体"/>
          <w:color w:val="auto"/>
          <w:spacing w:val="-2"/>
          <w:position w:val="-2"/>
          <w:szCs w:val="21"/>
          <w:highlight w:val="none"/>
        </w:rPr>
        <w:t>上</w:t>
      </w:r>
      <w:r>
        <w:rPr>
          <w:rFonts w:hint="eastAsia" w:ascii="宋体" w:hAnsi="宋体" w:cs="宋体"/>
          <w:color w:val="auto"/>
          <w:position w:val="-2"/>
          <w:szCs w:val="21"/>
          <w:highlight w:val="none"/>
        </w:rPr>
        <w:t>传</w:t>
      </w:r>
      <w:r>
        <w:rPr>
          <w:rFonts w:hint="eastAsia" w:ascii="宋体" w:hAnsi="宋体" w:cs="宋体"/>
          <w:color w:val="auto"/>
          <w:spacing w:val="-2"/>
          <w:position w:val="-2"/>
          <w:szCs w:val="21"/>
          <w:highlight w:val="none"/>
        </w:rPr>
        <w:t>。</w:t>
      </w:r>
      <w:r>
        <w:rPr>
          <w:rFonts w:hint="eastAsia" w:ascii="宋体" w:hAnsi="宋体" w:cs="宋体"/>
          <w:color w:val="auto"/>
          <w:position w:val="-2"/>
          <w:szCs w:val="21"/>
          <w:highlight w:val="none"/>
        </w:rPr>
        <w:t>采</w:t>
      </w:r>
      <w:r>
        <w:rPr>
          <w:rFonts w:hint="eastAsia" w:ascii="宋体" w:hAnsi="宋体" w:cs="宋体"/>
          <w:color w:val="auto"/>
          <w:spacing w:val="-2"/>
          <w:position w:val="-2"/>
          <w:szCs w:val="21"/>
          <w:highlight w:val="none"/>
        </w:rPr>
        <w:t>用</w:t>
      </w:r>
      <w:r>
        <w:rPr>
          <w:rFonts w:hint="eastAsia" w:ascii="宋体" w:hAnsi="宋体" w:cs="宋体"/>
          <w:color w:val="auto"/>
          <w:position w:val="-2"/>
          <w:szCs w:val="21"/>
          <w:highlight w:val="none"/>
        </w:rPr>
        <w:t>传真</w:t>
      </w:r>
      <w:r>
        <w:rPr>
          <w:rFonts w:hint="eastAsia" w:ascii="宋体" w:hAnsi="宋体" w:cs="宋体"/>
          <w:color w:val="auto"/>
          <w:spacing w:val="-2"/>
          <w:position w:val="-2"/>
          <w:szCs w:val="21"/>
          <w:highlight w:val="none"/>
        </w:rPr>
        <w:t>方</w:t>
      </w:r>
      <w:r>
        <w:rPr>
          <w:rFonts w:hint="eastAsia" w:ascii="宋体" w:hAnsi="宋体" w:cs="宋体"/>
          <w:color w:val="auto"/>
          <w:position w:val="-2"/>
          <w:szCs w:val="21"/>
          <w:highlight w:val="none"/>
        </w:rPr>
        <w:t>式</w:t>
      </w:r>
      <w:r>
        <w:rPr>
          <w:rFonts w:hint="eastAsia" w:ascii="宋体" w:hAnsi="宋体" w:cs="宋体"/>
          <w:color w:val="auto"/>
          <w:spacing w:val="-2"/>
          <w:position w:val="-2"/>
          <w:szCs w:val="21"/>
          <w:highlight w:val="none"/>
        </w:rPr>
        <w:t>的</w:t>
      </w:r>
      <w:r>
        <w:rPr>
          <w:rFonts w:hint="eastAsia" w:ascii="宋体" w:hAnsi="宋体" w:cs="宋体"/>
          <w:color w:val="auto"/>
          <w:position w:val="-2"/>
          <w:szCs w:val="21"/>
          <w:highlight w:val="none"/>
        </w:rPr>
        <w:t>，</w:t>
      </w:r>
      <w:r>
        <w:rPr>
          <w:rFonts w:hint="eastAsia" w:ascii="宋体" w:hAnsi="宋体" w:cs="宋体"/>
          <w:color w:val="auto"/>
          <w:spacing w:val="-2"/>
          <w:position w:val="-2"/>
          <w:szCs w:val="21"/>
          <w:highlight w:val="none"/>
        </w:rPr>
        <w:t>应</w:t>
      </w:r>
      <w:r>
        <w:rPr>
          <w:rFonts w:hint="eastAsia" w:ascii="宋体" w:hAnsi="宋体" w:cs="宋体"/>
          <w:color w:val="auto"/>
          <w:position w:val="-2"/>
          <w:szCs w:val="21"/>
          <w:highlight w:val="none"/>
        </w:rPr>
        <w:t>在</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年</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月</w:t>
      </w:r>
    </w:p>
    <w:p>
      <w:pPr>
        <w:spacing w:before="8" w:line="160" w:lineRule="exact"/>
        <w:jc w:val="left"/>
        <w:rPr>
          <w:rFonts w:hint="eastAsia" w:ascii="宋体" w:hAnsi="宋体" w:cs="宋体"/>
          <w:color w:val="auto"/>
          <w:szCs w:val="21"/>
          <w:highlight w:val="none"/>
        </w:rPr>
      </w:pPr>
    </w:p>
    <w:p>
      <w:pPr>
        <w:tabs>
          <w:tab w:val="left" w:pos="820"/>
          <w:tab w:val="left" w:pos="1780"/>
          <w:tab w:val="left" w:pos="5660"/>
        </w:tabs>
        <w:spacing w:line="271" w:lineRule="exact"/>
        <w:ind w:left="100" w:right="-20"/>
        <w:jc w:val="left"/>
        <w:rPr>
          <w:rFonts w:hint="eastAsia" w:ascii="宋体" w:hAnsi="宋体" w:cs="宋体"/>
          <w:color w:val="auto"/>
          <w:szCs w:val="21"/>
          <w:highlight w:val="none"/>
        </w:rPr>
      </w:pPr>
      <w:r>
        <w:rPr>
          <w:rFonts w:hint="eastAsia" w:ascii="宋体" w:hAnsi="宋体" w:cs="宋体"/>
          <w:color w:val="auto"/>
          <w:w w:val="20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日</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spacing w:val="-2"/>
          <w:position w:val="-2"/>
          <w:szCs w:val="21"/>
          <w:highlight w:val="none"/>
        </w:rPr>
        <w:t>时</w:t>
      </w:r>
      <w:r>
        <w:rPr>
          <w:rFonts w:hint="eastAsia" w:ascii="宋体" w:hAnsi="宋体" w:cs="宋体"/>
          <w:color w:val="auto"/>
          <w:position w:val="-2"/>
          <w:szCs w:val="21"/>
          <w:highlight w:val="none"/>
        </w:rPr>
        <w:t>前</w:t>
      </w:r>
      <w:r>
        <w:rPr>
          <w:rFonts w:hint="eastAsia" w:ascii="宋体" w:hAnsi="宋体" w:cs="宋体"/>
          <w:color w:val="auto"/>
          <w:spacing w:val="-2"/>
          <w:position w:val="-2"/>
          <w:szCs w:val="21"/>
          <w:highlight w:val="none"/>
        </w:rPr>
        <w:t>将</w:t>
      </w:r>
      <w:r>
        <w:rPr>
          <w:rFonts w:hint="eastAsia" w:ascii="宋体" w:hAnsi="宋体" w:cs="宋体"/>
          <w:color w:val="auto"/>
          <w:position w:val="-2"/>
          <w:szCs w:val="21"/>
          <w:highlight w:val="none"/>
        </w:rPr>
        <w:t>原件</w:t>
      </w:r>
      <w:r>
        <w:rPr>
          <w:rFonts w:hint="eastAsia" w:ascii="宋体" w:hAnsi="宋体" w:cs="宋体"/>
          <w:color w:val="auto"/>
          <w:spacing w:val="-2"/>
          <w:position w:val="-2"/>
          <w:szCs w:val="21"/>
          <w:highlight w:val="none"/>
        </w:rPr>
        <w:t>递</w:t>
      </w:r>
      <w:r>
        <w:rPr>
          <w:rFonts w:hint="eastAsia" w:ascii="宋体" w:hAnsi="宋体" w:cs="宋体"/>
          <w:color w:val="auto"/>
          <w:position w:val="-2"/>
          <w:szCs w:val="21"/>
          <w:highlight w:val="none"/>
        </w:rPr>
        <w:t>交</w:t>
      </w:r>
      <w:r>
        <w:rPr>
          <w:rFonts w:hint="eastAsia" w:ascii="宋体" w:hAnsi="宋体" w:cs="宋体"/>
          <w:color w:val="auto"/>
          <w:spacing w:val="-2"/>
          <w:position w:val="-2"/>
          <w:szCs w:val="21"/>
          <w:highlight w:val="none"/>
        </w:rPr>
        <w:t>至</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spacing w:val="-2"/>
          <w:position w:val="-2"/>
          <w:szCs w:val="21"/>
          <w:highlight w:val="none"/>
        </w:rPr>
        <w:t>（详细地址）。</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9" w:line="240" w:lineRule="exact"/>
        <w:jc w:val="left"/>
        <w:rPr>
          <w:rFonts w:hint="eastAsia" w:ascii="宋体" w:hAnsi="宋体" w:cs="宋体"/>
          <w:color w:val="auto"/>
          <w:szCs w:val="21"/>
          <w:highlight w:val="none"/>
        </w:rPr>
      </w:pPr>
    </w:p>
    <w:p>
      <w:pPr>
        <w:tabs>
          <w:tab w:val="left" w:pos="7020"/>
        </w:tabs>
        <w:spacing w:line="271" w:lineRule="exact"/>
        <w:ind w:left="2200" w:right="-20"/>
        <w:jc w:val="left"/>
        <w:rPr>
          <w:rFonts w:hint="eastAsia" w:ascii="宋体" w:hAnsi="宋体" w:cs="宋体"/>
          <w:color w:val="auto"/>
          <w:szCs w:val="21"/>
          <w:highlight w:val="none"/>
        </w:rPr>
      </w:pPr>
      <w:r>
        <w:rPr>
          <w:rFonts w:hint="eastAsia" w:ascii="宋体" w:hAnsi="宋体" w:cs="宋体"/>
          <w:color w:val="auto"/>
          <w:position w:val="-2"/>
          <w:szCs w:val="21"/>
          <w:highlight w:val="none"/>
        </w:rPr>
        <w:t>评标</w:t>
      </w:r>
      <w:r>
        <w:rPr>
          <w:rFonts w:hint="eastAsia" w:ascii="宋体" w:hAnsi="宋体" w:cs="宋体"/>
          <w:color w:val="auto"/>
          <w:spacing w:val="-2"/>
          <w:position w:val="-2"/>
          <w:szCs w:val="21"/>
          <w:highlight w:val="none"/>
        </w:rPr>
        <w:t>委</w:t>
      </w:r>
      <w:r>
        <w:rPr>
          <w:rFonts w:hint="eastAsia" w:ascii="宋体" w:hAnsi="宋体" w:cs="宋体"/>
          <w:color w:val="auto"/>
          <w:position w:val="-2"/>
          <w:szCs w:val="21"/>
          <w:highlight w:val="none"/>
        </w:rPr>
        <w:t>员</w:t>
      </w:r>
      <w:r>
        <w:rPr>
          <w:rFonts w:hint="eastAsia" w:ascii="宋体" w:hAnsi="宋体" w:cs="宋体"/>
          <w:color w:val="auto"/>
          <w:spacing w:val="-2"/>
          <w:position w:val="-2"/>
          <w:szCs w:val="21"/>
          <w:highlight w:val="none"/>
        </w:rPr>
        <w:t>会</w:t>
      </w:r>
      <w:r>
        <w:rPr>
          <w:rFonts w:hint="eastAsia" w:ascii="宋体" w:hAnsi="宋体" w:cs="宋体"/>
          <w:color w:val="auto"/>
          <w:position w:val="-2"/>
          <w:szCs w:val="21"/>
          <w:highlight w:val="none"/>
        </w:rPr>
        <w:t>授</w:t>
      </w:r>
      <w:r>
        <w:rPr>
          <w:rFonts w:hint="eastAsia" w:ascii="宋体" w:hAnsi="宋体" w:cs="宋体"/>
          <w:color w:val="auto"/>
          <w:spacing w:val="-2"/>
          <w:position w:val="-2"/>
          <w:szCs w:val="21"/>
          <w:highlight w:val="none"/>
        </w:rPr>
        <w:t>权</w:t>
      </w:r>
      <w:r>
        <w:rPr>
          <w:rFonts w:hint="eastAsia" w:ascii="宋体" w:hAnsi="宋体" w:cs="宋体"/>
          <w:color w:val="auto"/>
          <w:position w:val="-2"/>
          <w:szCs w:val="21"/>
          <w:highlight w:val="none"/>
        </w:rPr>
        <w:t>的</w:t>
      </w:r>
      <w:r>
        <w:rPr>
          <w:rFonts w:hint="eastAsia" w:ascii="宋体" w:hAnsi="宋体" w:cs="宋体"/>
          <w:color w:val="auto"/>
          <w:spacing w:val="-2"/>
          <w:position w:val="-2"/>
          <w:szCs w:val="21"/>
          <w:highlight w:val="none"/>
        </w:rPr>
        <w:t>招</w:t>
      </w:r>
      <w:r>
        <w:rPr>
          <w:rFonts w:hint="eastAsia" w:ascii="宋体" w:hAnsi="宋体" w:cs="宋体"/>
          <w:color w:val="auto"/>
          <w:position w:val="-2"/>
          <w:szCs w:val="21"/>
          <w:highlight w:val="none"/>
        </w:rPr>
        <w:t>标</w:t>
      </w:r>
      <w:r>
        <w:rPr>
          <w:rFonts w:hint="eastAsia" w:ascii="宋体" w:hAnsi="宋体" w:cs="宋体"/>
          <w:color w:val="auto"/>
          <w:spacing w:val="-2"/>
          <w:position w:val="-2"/>
          <w:szCs w:val="21"/>
          <w:highlight w:val="none"/>
        </w:rPr>
        <w:t>人</w:t>
      </w:r>
      <w:r>
        <w:rPr>
          <w:rFonts w:hint="eastAsia" w:ascii="宋体" w:hAnsi="宋体" w:cs="宋体"/>
          <w:color w:val="auto"/>
          <w:position w:val="-2"/>
          <w:szCs w:val="21"/>
          <w:highlight w:val="none"/>
        </w:rPr>
        <w:t>或招</w:t>
      </w:r>
      <w:r>
        <w:rPr>
          <w:rFonts w:hint="eastAsia" w:ascii="宋体" w:hAnsi="宋体" w:cs="宋体"/>
          <w:color w:val="auto"/>
          <w:spacing w:val="-2"/>
          <w:position w:val="-2"/>
          <w:szCs w:val="21"/>
          <w:highlight w:val="none"/>
        </w:rPr>
        <w:t>标</w:t>
      </w:r>
      <w:r>
        <w:rPr>
          <w:rFonts w:hint="eastAsia" w:ascii="宋体" w:hAnsi="宋体" w:cs="宋体"/>
          <w:color w:val="auto"/>
          <w:position w:val="-2"/>
          <w:szCs w:val="21"/>
          <w:highlight w:val="none"/>
        </w:rPr>
        <w:t>代</w:t>
      </w:r>
      <w:r>
        <w:rPr>
          <w:rFonts w:hint="eastAsia" w:ascii="宋体" w:hAnsi="宋体" w:cs="宋体"/>
          <w:color w:val="auto"/>
          <w:spacing w:val="-2"/>
          <w:position w:val="-2"/>
          <w:szCs w:val="21"/>
          <w:highlight w:val="none"/>
        </w:rPr>
        <w:t>理</w:t>
      </w:r>
      <w:r>
        <w:rPr>
          <w:rFonts w:hint="eastAsia" w:ascii="宋体" w:hAnsi="宋体" w:cs="宋体"/>
          <w:color w:val="auto"/>
          <w:position w:val="-2"/>
          <w:szCs w:val="21"/>
          <w:highlight w:val="none"/>
        </w:rPr>
        <w:t>机</w:t>
      </w:r>
      <w:r>
        <w:rPr>
          <w:rFonts w:hint="eastAsia" w:ascii="宋体" w:hAnsi="宋体" w:cs="宋体"/>
          <w:color w:val="auto"/>
          <w:spacing w:val="-2"/>
          <w:position w:val="-2"/>
          <w:szCs w:val="21"/>
          <w:highlight w:val="none"/>
        </w:rPr>
        <w:t>构</w:t>
      </w:r>
      <w:r>
        <w:rPr>
          <w:rFonts w:hint="eastAsia" w:ascii="宋体" w:hAnsi="宋体" w:cs="宋体"/>
          <w:color w:val="auto"/>
          <w:position w:val="-2"/>
          <w:szCs w:val="21"/>
          <w:highlight w:val="none"/>
        </w:rPr>
        <w:t>：</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position w:val="-2"/>
          <w:szCs w:val="21"/>
          <w:highlight w:val="none"/>
        </w:rPr>
        <w:t>（签</w:t>
      </w:r>
      <w:r>
        <w:rPr>
          <w:rFonts w:hint="eastAsia" w:ascii="宋体" w:hAnsi="宋体" w:cs="宋体"/>
          <w:color w:val="auto"/>
          <w:spacing w:val="-2"/>
          <w:position w:val="-2"/>
          <w:szCs w:val="21"/>
          <w:highlight w:val="none"/>
        </w:rPr>
        <w:t>字</w:t>
      </w:r>
      <w:r>
        <w:rPr>
          <w:rFonts w:hint="eastAsia" w:ascii="宋体" w:hAnsi="宋体" w:cs="宋体"/>
          <w:color w:val="auto"/>
          <w:position w:val="-2"/>
          <w:szCs w:val="21"/>
          <w:highlight w:val="none"/>
        </w:rPr>
        <w:t>或</w:t>
      </w:r>
      <w:r>
        <w:rPr>
          <w:rFonts w:hint="eastAsia" w:ascii="宋体" w:hAnsi="宋体" w:cs="宋体"/>
          <w:color w:val="auto"/>
          <w:spacing w:val="-2"/>
          <w:position w:val="-2"/>
          <w:szCs w:val="21"/>
          <w:highlight w:val="none"/>
        </w:rPr>
        <w:t>盖</w:t>
      </w:r>
      <w:r>
        <w:rPr>
          <w:rFonts w:hint="eastAsia" w:ascii="宋体" w:hAnsi="宋体" w:cs="宋体"/>
          <w:color w:val="auto"/>
          <w:position w:val="-2"/>
          <w:szCs w:val="21"/>
          <w:highlight w:val="none"/>
        </w:rPr>
        <w:t>章）</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10" w:line="200" w:lineRule="exact"/>
        <w:jc w:val="left"/>
        <w:rPr>
          <w:rFonts w:hint="eastAsia" w:ascii="宋体" w:hAnsi="宋体" w:cs="宋体"/>
          <w:color w:val="auto"/>
          <w:szCs w:val="21"/>
          <w:highlight w:val="none"/>
        </w:rPr>
      </w:pPr>
    </w:p>
    <w:p>
      <w:pPr>
        <w:tabs>
          <w:tab w:val="left" w:pos="5800"/>
          <w:tab w:val="left" w:pos="6740"/>
          <w:tab w:val="left" w:pos="7680"/>
        </w:tabs>
        <w:spacing w:line="295" w:lineRule="exact"/>
        <w:ind w:left="4961" w:right="-20"/>
        <w:jc w:val="left"/>
        <w:rPr>
          <w:rFonts w:hint="eastAsia" w:ascii="宋体" w:hAnsi="宋体" w:cs="宋体"/>
          <w:color w:val="auto"/>
          <w:szCs w:val="21"/>
          <w:highlight w:val="none"/>
        </w:rPr>
      </w:pPr>
      <w:r>
        <w:rPr>
          <w:rFonts w:hint="eastAsia" w:ascii="宋体" w:hAnsi="宋体" w:cs="宋体"/>
          <w:color w:val="auto"/>
          <w:w w:val="20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spacing w:val="-2"/>
          <w:position w:val="-1"/>
          <w:szCs w:val="21"/>
          <w:highlight w:val="none"/>
        </w:rPr>
        <w:t>年</w:t>
      </w:r>
      <w:r>
        <w:rPr>
          <w:rFonts w:hint="eastAsia" w:ascii="宋体" w:hAnsi="宋体" w:cs="宋体"/>
          <w:color w:val="auto"/>
          <w:position w:val="-1"/>
          <w:szCs w:val="21"/>
          <w:highlight w:val="none"/>
          <w:u w:val="single"/>
        </w:rPr>
        <w:t xml:space="preserve"> </w:t>
      </w:r>
      <w:r>
        <w:rPr>
          <w:rFonts w:hint="eastAsia" w:ascii="宋体" w:hAnsi="宋体" w:cs="宋体"/>
          <w:color w:val="auto"/>
          <w:spacing w:val="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position w:val="-1"/>
          <w:szCs w:val="21"/>
          <w:highlight w:val="none"/>
        </w:rPr>
        <w:t>月</w:t>
      </w:r>
      <w:r>
        <w:rPr>
          <w:rFonts w:hint="eastAsia" w:ascii="宋体" w:hAnsi="宋体" w:cs="宋体"/>
          <w:color w:val="auto"/>
          <w:position w:val="-1"/>
          <w:szCs w:val="21"/>
          <w:highlight w:val="none"/>
          <w:u w:val="single"/>
        </w:rPr>
        <w:t xml:space="preserve"> </w:t>
      </w:r>
      <w:r>
        <w:rPr>
          <w:rFonts w:hint="eastAsia" w:ascii="宋体" w:hAnsi="宋体" w:cs="宋体"/>
          <w:color w:val="auto"/>
          <w:spacing w:val="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position w:val="-1"/>
          <w:szCs w:val="21"/>
          <w:highlight w:val="none"/>
        </w:rPr>
        <w:t>日</w:t>
      </w:r>
    </w:p>
    <w:p>
      <w:pPr>
        <w:tabs>
          <w:tab w:val="left" w:pos="5800"/>
          <w:tab w:val="left" w:pos="6740"/>
          <w:tab w:val="left" w:pos="7680"/>
        </w:tabs>
        <w:spacing w:line="295" w:lineRule="exact"/>
        <w:ind w:left="4961" w:right="-20"/>
        <w:jc w:val="left"/>
        <w:rPr>
          <w:rFonts w:hint="eastAsia" w:ascii="宋体" w:hAnsi="宋体" w:cs="宋体"/>
          <w:color w:val="auto"/>
          <w:szCs w:val="21"/>
          <w:highlight w:val="none"/>
        </w:rPr>
      </w:pPr>
    </w:p>
    <w:p>
      <w:pPr>
        <w:pStyle w:val="16"/>
        <w:rPr>
          <w:rFonts w:hint="eastAsia" w:ascii="宋体" w:hAnsi="宋体" w:cs="宋体"/>
          <w:color w:val="auto"/>
          <w:sz w:val="21"/>
          <w:szCs w:val="21"/>
          <w:highlight w:val="none"/>
        </w:rPr>
      </w:pPr>
    </w:p>
    <w:p>
      <w:pPr>
        <w:pStyle w:val="16"/>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注：本附件在需要时使用，也可以采用广州公共资源交易中心提供的版式。</w:t>
      </w:r>
    </w:p>
    <w:p>
      <w:pPr>
        <w:pStyle w:val="4"/>
        <w:rPr>
          <w:rFonts w:hint="eastAsia" w:ascii="宋体" w:hAnsi="宋体" w:eastAsia="宋体" w:cs="宋体"/>
          <w:b/>
          <w:bCs w:val="0"/>
          <w:color w:val="auto"/>
          <w:highlight w:val="none"/>
        </w:rPr>
      </w:pPr>
      <w:bookmarkStart w:id="119" w:name="_Toc11659"/>
      <w:r>
        <w:rPr>
          <w:rFonts w:hint="eastAsia" w:ascii="宋体" w:hAnsi="宋体" w:eastAsia="宋体" w:cs="宋体"/>
          <w:color w:val="auto"/>
          <w:highlight w:val="none"/>
        </w:rPr>
        <w:br w:type="page"/>
      </w:r>
      <w:r>
        <w:rPr>
          <w:rFonts w:hint="eastAsia" w:ascii="宋体" w:hAnsi="宋体" w:eastAsia="宋体" w:cs="宋体"/>
          <w:b/>
          <w:bCs w:val="0"/>
          <w:color w:val="auto"/>
          <w:highlight w:val="none"/>
        </w:rPr>
        <w:t>附件三：问题的澄清</w:t>
      </w:r>
      <w:bookmarkEnd w:id="119"/>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问题的澄清</w:t>
      </w:r>
    </w:p>
    <w:p>
      <w:pPr>
        <w:tabs>
          <w:tab w:val="left" w:pos="5940"/>
        </w:tabs>
        <w:spacing w:before="19" w:line="337" w:lineRule="exact"/>
        <w:ind w:left="3567" w:right="-20"/>
        <w:jc w:val="left"/>
        <w:rPr>
          <w:rFonts w:hint="eastAsia" w:ascii="宋体" w:hAnsi="宋体" w:cs="宋体"/>
          <w:color w:val="auto"/>
          <w:szCs w:val="21"/>
          <w:highlight w:val="none"/>
        </w:rPr>
      </w:pPr>
      <w:bookmarkStart w:id="120" w:name="OLE_LINK1"/>
      <w:r>
        <w:rPr>
          <w:rFonts w:hint="eastAsia" w:ascii="宋体" w:hAnsi="宋体" w:cs="宋体"/>
          <w:color w:val="auto"/>
          <w:position w:val="-4"/>
          <w:szCs w:val="21"/>
          <w:highlight w:val="none"/>
        </w:rPr>
        <w:t>（编</w:t>
      </w:r>
      <w:r>
        <w:rPr>
          <w:rFonts w:hint="eastAsia" w:ascii="宋体" w:hAnsi="宋体" w:cs="宋体"/>
          <w:color w:val="auto"/>
          <w:spacing w:val="-2"/>
          <w:position w:val="-4"/>
          <w:szCs w:val="21"/>
          <w:highlight w:val="none"/>
        </w:rPr>
        <w:t>号</w:t>
      </w:r>
      <w:r>
        <w:rPr>
          <w:rFonts w:hint="eastAsia" w:ascii="宋体" w:hAnsi="宋体" w:cs="宋体"/>
          <w:color w:val="auto"/>
          <w:position w:val="-4"/>
          <w:szCs w:val="21"/>
          <w:highlight w:val="none"/>
        </w:rPr>
        <w:t>：</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w:t>
      </w:r>
    </w:p>
    <w:p>
      <w:pPr>
        <w:spacing w:before="4" w:line="16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95" w:lineRule="exact"/>
        <w:ind w:left="100" w:right="-20"/>
        <w:jc w:val="left"/>
        <w:rPr>
          <w:rFonts w:hint="eastAsia" w:ascii="宋体" w:hAnsi="宋体" w:cs="宋体"/>
          <w:color w:val="auto"/>
          <w:szCs w:val="21"/>
          <w:highlight w:val="none"/>
        </w:rPr>
      </w:pPr>
      <w:r>
        <w:rPr>
          <w:rFonts w:hint="eastAsia" w:ascii="宋体" w:hAnsi="宋体" w:cs="宋体"/>
          <w:color w:val="auto"/>
          <w:position w:val="-1"/>
          <w:szCs w:val="21"/>
          <w:highlight w:val="none"/>
        </w:rPr>
        <w:t>评标</w:t>
      </w:r>
      <w:r>
        <w:rPr>
          <w:rFonts w:hint="eastAsia" w:ascii="宋体" w:hAnsi="宋体" w:cs="宋体"/>
          <w:color w:val="auto"/>
          <w:spacing w:val="-2"/>
          <w:position w:val="-1"/>
          <w:szCs w:val="21"/>
          <w:highlight w:val="none"/>
        </w:rPr>
        <w:t>委</w:t>
      </w:r>
      <w:r>
        <w:rPr>
          <w:rFonts w:hint="eastAsia" w:ascii="宋体" w:hAnsi="宋体" w:cs="宋体"/>
          <w:color w:val="auto"/>
          <w:position w:val="-1"/>
          <w:szCs w:val="21"/>
          <w:highlight w:val="none"/>
        </w:rPr>
        <w:t>员</w:t>
      </w:r>
      <w:r>
        <w:rPr>
          <w:rFonts w:hint="eastAsia" w:ascii="宋体" w:hAnsi="宋体" w:cs="宋体"/>
          <w:color w:val="auto"/>
          <w:spacing w:val="-3"/>
          <w:position w:val="-1"/>
          <w:szCs w:val="21"/>
          <w:highlight w:val="none"/>
        </w:rPr>
        <w:t>会</w:t>
      </w:r>
      <w:r>
        <w:rPr>
          <w:rFonts w:hint="eastAsia" w:ascii="宋体" w:hAnsi="宋体" w:cs="宋体"/>
          <w:color w:val="auto"/>
          <w:position w:val="-1"/>
          <w:szCs w:val="21"/>
          <w:highlight w:val="none"/>
        </w:rPr>
        <w:t>：</w:t>
      </w:r>
    </w:p>
    <w:p>
      <w:pPr>
        <w:spacing w:before="8" w:line="11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tabs>
          <w:tab w:val="left" w:pos="3460"/>
        </w:tabs>
        <w:spacing w:line="337" w:lineRule="exact"/>
        <w:ind w:left="523" w:right="-20"/>
        <w:jc w:val="left"/>
        <w:rPr>
          <w:rFonts w:hint="eastAsia" w:ascii="宋体" w:hAnsi="宋体" w:cs="宋体"/>
          <w:color w:val="auto"/>
          <w:szCs w:val="21"/>
          <w:highlight w:val="none"/>
        </w:rPr>
      </w:pPr>
      <w:r>
        <w:rPr>
          <w:rFonts w:hint="eastAsia" w:ascii="宋体" w:hAnsi="宋体" w:cs="宋体"/>
          <w:color w:val="auto"/>
          <w:spacing w:val="-2"/>
          <w:position w:val="-4"/>
          <w:szCs w:val="21"/>
          <w:highlight w:val="none"/>
        </w:rPr>
        <w:t>问</w:t>
      </w:r>
      <w:r>
        <w:rPr>
          <w:rFonts w:hint="eastAsia" w:ascii="宋体" w:hAnsi="宋体" w:cs="宋体"/>
          <w:color w:val="auto"/>
          <w:position w:val="-4"/>
          <w:szCs w:val="21"/>
          <w:highlight w:val="none"/>
        </w:rPr>
        <w:t>题</w:t>
      </w:r>
      <w:r>
        <w:rPr>
          <w:rFonts w:hint="eastAsia" w:ascii="宋体" w:hAnsi="宋体" w:cs="宋体"/>
          <w:color w:val="auto"/>
          <w:spacing w:val="-2"/>
          <w:position w:val="-4"/>
          <w:szCs w:val="21"/>
          <w:highlight w:val="none"/>
        </w:rPr>
        <w:t>澄</w:t>
      </w:r>
      <w:r>
        <w:rPr>
          <w:rFonts w:hint="eastAsia" w:ascii="宋体" w:hAnsi="宋体" w:cs="宋体"/>
          <w:color w:val="auto"/>
          <w:position w:val="-4"/>
          <w:szCs w:val="21"/>
          <w:highlight w:val="none"/>
        </w:rPr>
        <w:t>清</w:t>
      </w:r>
      <w:r>
        <w:rPr>
          <w:rFonts w:hint="eastAsia" w:ascii="宋体" w:hAnsi="宋体" w:cs="宋体"/>
          <w:color w:val="auto"/>
          <w:spacing w:val="-2"/>
          <w:position w:val="-4"/>
          <w:szCs w:val="21"/>
          <w:highlight w:val="none"/>
        </w:rPr>
        <w:t>通</w:t>
      </w:r>
      <w:r>
        <w:rPr>
          <w:rFonts w:hint="eastAsia" w:ascii="宋体" w:hAnsi="宋体" w:cs="宋体"/>
          <w:color w:val="auto"/>
          <w:position w:val="-4"/>
          <w:szCs w:val="21"/>
          <w:highlight w:val="none"/>
        </w:rPr>
        <w:t>知</w:t>
      </w:r>
      <w:r>
        <w:rPr>
          <w:rFonts w:hint="eastAsia" w:ascii="宋体" w:hAnsi="宋体" w:cs="宋体"/>
          <w:color w:val="auto"/>
          <w:spacing w:val="-2"/>
          <w:position w:val="-4"/>
          <w:szCs w:val="21"/>
          <w:highlight w:val="none"/>
        </w:rPr>
        <w:t>（</w:t>
      </w:r>
      <w:r>
        <w:rPr>
          <w:rFonts w:hint="eastAsia" w:ascii="宋体" w:hAnsi="宋体" w:cs="宋体"/>
          <w:color w:val="auto"/>
          <w:position w:val="-4"/>
          <w:szCs w:val="21"/>
          <w:highlight w:val="none"/>
        </w:rPr>
        <w:t>编</w:t>
      </w:r>
      <w:r>
        <w:rPr>
          <w:rFonts w:hint="eastAsia" w:ascii="宋体" w:hAnsi="宋体" w:cs="宋体"/>
          <w:color w:val="auto"/>
          <w:spacing w:val="-2"/>
          <w:position w:val="-4"/>
          <w:szCs w:val="21"/>
          <w:highlight w:val="none"/>
        </w:rPr>
        <w:t>号</w:t>
      </w:r>
      <w:r>
        <w:rPr>
          <w:rFonts w:hint="eastAsia" w:ascii="宋体" w:hAnsi="宋体" w:cs="宋体"/>
          <w:color w:val="auto"/>
          <w:position w:val="-4"/>
          <w:szCs w:val="21"/>
          <w:highlight w:val="none"/>
        </w:rPr>
        <w:t>：</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）已收</w:t>
      </w:r>
      <w:r>
        <w:rPr>
          <w:rFonts w:hint="eastAsia" w:ascii="宋体" w:hAnsi="宋体" w:cs="宋体"/>
          <w:color w:val="auto"/>
          <w:spacing w:val="-2"/>
          <w:position w:val="-4"/>
          <w:szCs w:val="21"/>
          <w:highlight w:val="none"/>
        </w:rPr>
        <w:t>悉</w:t>
      </w:r>
      <w:r>
        <w:rPr>
          <w:rFonts w:hint="eastAsia" w:ascii="宋体" w:hAnsi="宋体" w:cs="宋体"/>
          <w:color w:val="auto"/>
          <w:position w:val="-4"/>
          <w:szCs w:val="21"/>
          <w:highlight w:val="none"/>
        </w:rPr>
        <w:t>，</w:t>
      </w:r>
      <w:r>
        <w:rPr>
          <w:rFonts w:hint="eastAsia" w:ascii="宋体" w:hAnsi="宋体" w:cs="宋体"/>
          <w:color w:val="auto"/>
          <w:spacing w:val="-2"/>
          <w:position w:val="-4"/>
          <w:szCs w:val="21"/>
          <w:highlight w:val="none"/>
        </w:rPr>
        <w:t>现</w:t>
      </w:r>
      <w:r>
        <w:rPr>
          <w:rFonts w:hint="eastAsia" w:ascii="宋体" w:hAnsi="宋体" w:cs="宋体"/>
          <w:color w:val="auto"/>
          <w:position w:val="-4"/>
          <w:szCs w:val="21"/>
          <w:highlight w:val="none"/>
        </w:rPr>
        <w:t>澄清</w:t>
      </w:r>
      <w:r>
        <w:rPr>
          <w:rFonts w:hint="eastAsia" w:ascii="宋体" w:hAnsi="宋体" w:cs="宋体"/>
          <w:color w:val="auto"/>
          <w:spacing w:val="-2"/>
          <w:position w:val="-4"/>
          <w:szCs w:val="21"/>
          <w:highlight w:val="none"/>
        </w:rPr>
        <w:t>、</w:t>
      </w:r>
      <w:r>
        <w:rPr>
          <w:rFonts w:hint="eastAsia" w:ascii="宋体" w:hAnsi="宋体" w:cs="宋体"/>
          <w:color w:val="auto"/>
          <w:position w:val="-4"/>
          <w:szCs w:val="21"/>
          <w:highlight w:val="none"/>
        </w:rPr>
        <w:t>说</w:t>
      </w:r>
      <w:r>
        <w:rPr>
          <w:rFonts w:hint="eastAsia" w:ascii="宋体" w:hAnsi="宋体" w:cs="宋体"/>
          <w:color w:val="auto"/>
          <w:spacing w:val="-2"/>
          <w:position w:val="-4"/>
          <w:szCs w:val="21"/>
          <w:highlight w:val="none"/>
        </w:rPr>
        <w:t>明</w:t>
      </w:r>
      <w:r>
        <w:rPr>
          <w:rFonts w:hint="eastAsia" w:ascii="宋体" w:hAnsi="宋体" w:cs="宋体"/>
          <w:color w:val="auto"/>
          <w:position w:val="-4"/>
          <w:szCs w:val="21"/>
          <w:highlight w:val="none"/>
        </w:rPr>
        <w:t>或</w:t>
      </w:r>
      <w:r>
        <w:rPr>
          <w:rFonts w:hint="eastAsia" w:ascii="宋体" w:hAnsi="宋体" w:cs="宋体"/>
          <w:color w:val="auto"/>
          <w:spacing w:val="-2"/>
          <w:position w:val="-4"/>
          <w:szCs w:val="21"/>
          <w:highlight w:val="none"/>
        </w:rPr>
        <w:t>补</w:t>
      </w:r>
      <w:r>
        <w:rPr>
          <w:rFonts w:hint="eastAsia" w:ascii="宋体" w:hAnsi="宋体" w:cs="宋体"/>
          <w:color w:val="auto"/>
          <w:position w:val="-4"/>
          <w:szCs w:val="21"/>
          <w:highlight w:val="none"/>
        </w:rPr>
        <w:t>正</w:t>
      </w:r>
      <w:r>
        <w:rPr>
          <w:rFonts w:hint="eastAsia" w:ascii="宋体" w:hAnsi="宋体" w:cs="宋体"/>
          <w:color w:val="auto"/>
          <w:spacing w:val="-2"/>
          <w:position w:val="-4"/>
          <w:szCs w:val="21"/>
          <w:highlight w:val="none"/>
        </w:rPr>
        <w:t>如</w:t>
      </w:r>
      <w:r>
        <w:rPr>
          <w:rFonts w:hint="eastAsia" w:ascii="宋体" w:hAnsi="宋体" w:cs="宋体"/>
          <w:color w:val="auto"/>
          <w:position w:val="-4"/>
          <w:szCs w:val="21"/>
          <w:highlight w:val="none"/>
        </w:rPr>
        <w:t>下：</w:t>
      </w:r>
    </w:p>
    <w:p>
      <w:pPr>
        <w:spacing w:before="2" w:line="180" w:lineRule="exact"/>
        <w:jc w:val="left"/>
        <w:rPr>
          <w:rFonts w:hint="eastAsia" w:ascii="宋体" w:hAnsi="宋体" w:cs="宋体"/>
          <w:color w:val="auto"/>
          <w:szCs w:val="21"/>
          <w:highlight w:val="none"/>
        </w:rPr>
      </w:pPr>
    </w:p>
    <w:p>
      <w:pPr>
        <w:spacing w:before="34"/>
        <w:ind w:left="801" w:right="7809"/>
        <w:jc w:val="center"/>
        <w:rPr>
          <w:rFonts w:hint="eastAsia" w:ascii="宋体" w:hAnsi="宋体" w:cs="宋体"/>
          <w:color w:val="auto"/>
          <w:szCs w:val="21"/>
          <w:highlight w:val="none"/>
        </w:rPr>
      </w:pPr>
      <w:r>
        <w:rPr>
          <w:rFonts w:hint="eastAsia" w:ascii="宋体" w:hAnsi="宋体" w:cs="宋体"/>
          <w:color w:val="auto"/>
          <w:szCs w:val="21"/>
          <w:highlight w:val="none"/>
        </w:rPr>
        <w:t>1.</w:t>
      </w:r>
    </w:p>
    <w:p>
      <w:pPr>
        <w:spacing w:before="8" w:line="190" w:lineRule="exact"/>
        <w:jc w:val="left"/>
        <w:rPr>
          <w:rFonts w:hint="eastAsia" w:ascii="宋体" w:hAnsi="宋体" w:cs="宋体"/>
          <w:color w:val="auto"/>
          <w:szCs w:val="21"/>
          <w:highlight w:val="none"/>
        </w:rPr>
      </w:pPr>
    </w:p>
    <w:p>
      <w:pPr>
        <w:ind w:left="801" w:right="7809"/>
        <w:jc w:val="center"/>
        <w:rPr>
          <w:rFonts w:hint="eastAsia" w:ascii="宋体" w:hAnsi="宋体" w:cs="宋体"/>
          <w:color w:val="auto"/>
          <w:szCs w:val="21"/>
          <w:highlight w:val="none"/>
        </w:rPr>
      </w:pPr>
      <w:r>
        <w:rPr>
          <w:rFonts w:hint="eastAsia" w:ascii="宋体" w:hAnsi="宋体" w:cs="宋体"/>
          <w:color w:val="auto"/>
          <w:szCs w:val="21"/>
          <w:highlight w:val="none"/>
        </w:rPr>
        <w:t>2.</w:t>
      </w:r>
    </w:p>
    <w:p>
      <w:pPr>
        <w:spacing w:before="8" w:line="190" w:lineRule="exact"/>
        <w:jc w:val="left"/>
        <w:rPr>
          <w:rFonts w:hint="eastAsia" w:ascii="宋体" w:hAnsi="宋体" w:cs="宋体"/>
          <w:color w:val="auto"/>
          <w:szCs w:val="21"/>
          <w:highlight w:val="none"/>
        </w:rPr>
      </w:pPr>
    </w:p>
    <w:p>
      <w:pPr>
        <w:ind w:left="696" w:right="7809"/>
        <w:jc w:val="center"/>
        <w:rPr>
          <w:rFonts w:hint="eastAsia" w:ascii="宋体" w:hAnsi="宋体" w:cs="宋体"/>
          <w:color w:val="auto"/>
          <w:szCs w:val="21"/>
          <w:highlight w:val="none"/>
        </w:rPr>
      </w:pPr>
      <w:r>
        <w:rPr>
          <w:rFonts w:hint="eastAsia" w:ascii="宋体" w:hAnsi="宋体" w:cs="宋体"/>
          <w:color w:val="auto"/>
          <w:szCs w:val="21"/>
          <w:highlight w:val="none"/>
        </w:rPr>
        <w:t>.....</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9" w:line="200" w:lineRule="exact"/>
        <w:jc w:val="left"/>
        <w:rPr>
          <w:rFonts w:hint="eastAsia" w:ascii="宋体" w:hAnsi="宋体" w:cs="宋体"/>
          <w:color w:val="auto"/>
          <w:szCs w:val="21"/>
          <w:highlight w:val="none"/>
        </w:rPr>
      </w:pPr>
    </w:p>
    <w:p>
      <w:pPr>
        <w:spacing w:line="291" w:lineRule="auto"/>
        <w:ind w:left="100" w:right="43" w:firstLine="420"/>
        <w:jc w:val="left"/>
        <w:rPr>
          <w:rFonts w:hint="eastAsia" w:ascii="宋体" w:hAnsi="宋体" w:cs="宋体"/>
          <w:color w:val="auto"/>
          <w:szCs w:val="21"/>
          <w:highlight w:val="none"/>
        </w:rPr>
      </w:pPr>
      <w:r>
        <w:rPr>
          <w:rFonts w:hint="eastAsia" w:ascii="宋体" w:hAnsi="宋体" w:cs="宋体"/>
          <w:color w:val="auto"/>
          <w:szCs w:val="21"/>
          <w:highlight w:val="none"/>
        </w:rPr>
        <w:t>上述问题澄清、说</w:t>
      </w:r>
      <w:r>
        <w:rPr>
          <w:rFonts w:hint="eastAsia" w:ascii="宋体" w:hAnsi="宋体" w:cs="宋体"/>
          <w:color w:val="auto"/>
          <w:spacing w:val="-2"/>
          <w:szCs w:val="21"/>
          <w:highlight w:val="none"/>
        </w:rPr>
        <w:t>明</w:t>
      </w:r>
      <w:r>
        <w:rPr>
          <w:rFonts w:hint="eastAsia" w:ascii="宋体" w:hAnsi="宋体" w:cs="宋体"/>
          <w:color w:val="auto"/>
          <w:szCs w:val="21"/>
          <w:highlight w:val="none"/>
        </w:rPr>
        <w:t>或</w:t>
      </w:r>
      <w:r>
        <w:rPr>
          <w:rFonts w:hint="eastAsia" w:ascii="宋体" w:hAnsi="宋体" w:cs="宋体"/>
          <w:color w:val="auto"/>
          <w:spacing w:val="-2"/>
          <w:szCs w:val="21"/>
          <w:highlight w:val="none"/>
        </w:rPr>
        <w:t>补</w:t>
      </w:r>
      <w:r>
        <w:rPr>
          <w:rFonts w:hint="eastAsia" w:ascii="宋体" w:hAnsi="宋体" w:cs="宋体"/>
          <w:color w:val="auto"/>
          <w:szCs w:val="21"/>
          <w:highlight w:val="none"/>
        </w:rPr>
        <w:t>正，不改变我方投</w:t>
      </w:r>
      <w:r>
        <w:rPr>
          <w:rFonts w:hint="eastAsia" w:ascii="宋体" w:hAnsi="宋体" w:cs="宋体"/>
          <w:color w:val="auto"/>
          <w:spacing w:val="-2"/>
          <w:szCs w:val="21"/>
          <w:highlight w:val="none"/>
        </w:rPr>
        <w:t>标</w:t>
      </w:r>
      <w:r>
        <w:rPr>
          <w:rFonts w:hint="eastAsia" w:ascii="宋体" w:hAnsi="宋体" w:cs="宋体"/>
          <w:color w:val="auto"/>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zCs w:val="21"/>
          <w:highlight w:val="none"/>
        </w:rPr>
        <w:t>的实质性内容，构</w:t>
      </w:r>
      <w:r>
        <w:rPr>
          <w:rFonts w:hint="eastAsia" w:ascii="宋体" w:hAnsi="宋体" w:cs="宋体"/>
          <w:color w:val="auto"/>
          <w:spacing w:val="-2"/>
          <w:szCs w:val="21"/>
          <w:highlight w:val="none"/>
        </w:rPr>
        <w:t>成</w:t>
      </w:r>
      <w:r>
        <w:rPr>
          <w:rFonts w:hint="eastAsia" w:ascii="宋体" w:hAnsi="宋体" w:cs="宋体"/>
          <w:color w:val="auto"/>
          <w:szCs w:val="21"/>
          <w:highlight w:val="none"/>
        </w:rPr>
        <w:t>我</w:t>
      </w:r>
      <w:r>
        <w:rPr>
          <w:rFonts w:hint="eastAsia" w:ascii="宋体" w:hAnsi="宋体" w:cs="宋体"/>
          <w:color w:val="auto"/>
          <w:spacing w:val="-2"/>
          <w:szCs w:val="21"/>
          <w:highlight w:val="none"/>
        </w:rPr>
        <w:t>方</w:t>
      </w:r>
      <w:r>
        <w:rPr>
          <w:rFonts w:hint="eastAsia" w:ascii="宋体" w:hAnsi="宋体" w:cs="宋体"/>
          <w:color w:val="auto"/>
          <w:szCs w:val="21"/>
          <w:highlight w:val="none"/>
        </w:rPr>
        <w:t>投标文件的组成部</w:t>
      </w:r>
      <w:r>
        <w:rPr>
          <w:rFonts w:hint="eastAsia" w:ascii="宋体" w:hAnsi="宋体" w:cs="宋体"/>
          <w:color w:val="auto"/>
          <w:spacing w:val="-2"/>
          <w:szCs w:val="21"/>
          <w:highlight w:val="none"/>
        </w:rPr>
        <w:t>分</w:t>
      </w:r>
      <w:r>
        <w:rPr>
          <w:rFonts w:hint="eastAsia" w:ascii="宋体" w:hAnsi="宋体" w:cs="宋体"/>
          <w:color w:val="auto"/>
          <w:szCs w:val="21"/>
          <w:highlight w:val="none"/>
        </w:rPr>
        <w:t>。</w:t>
      </w:r>
    </w:p>
    <w:p>
      <w:pPr>
        <w:spacing w:before="7" w:line="15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tabs>
          <w:tab w:val="left" w:pos="7380"/>
        </w:tabs>
        <w:spacing w:line="337" w:lineRule="exact"/>
        <w:ind w:left="3043" w:right="-20"/>
        <w:jc w:val="left"/>
        <w:rPr>
          <w:rFonts w:hint="eastAsia" w:ascii="宋体" w:hAnsi="宋体" w:cs="宋体"/>
          <w:color w:val="auto"/>
          <w:szCs w:val="21"/>
          <w:highlight w:val="none"/>
        </w:rPr>
      </w:pPr>
      <w:r>
        <w:rPr>
          <w:rFonts w:hint="eastAsia" w:ascii="宋体" w:hAnsi="宋体" w:cs="宋体"/>
          <w:color w:val="auto"/>
          <w:position w:val="-4"/>
          <w:szCs w:val="21"/>
          <w:highlight w:val="none"/>
        </w:rPr>
        <w:t>投</w:t>
      </w:r>
      <w:r>
        <w:rPr>
          <w:rFonts w:hint="eastAsia" w:ascii="宋体" w:hAnsi="宋体" w:cs="宋体"/>
          <w:color w:val="auto"/>
          <w:spacing w:val="-2"/>
          <w:position w:val="-4"/>
          <w:szCs w:val="21"/>
          <w:highlight w:val="none"/>
        </w:rPr>
        <w:t>标</w:t>
      </w:r>
      <w:r>
        <w:rPr>
          <w:rFonts w:hint="eastAsia" w:ascii="宋体" w:hAnsi="宋体" w:cs="宋体"/>
          <w:color w:val="auto"/>
          <w:position w:val="-4"/>
          <w:szCs w:val="21"/>
          <w:highlight w:val="none"/>
        </w:rPr>
        <w:t>人：</w:t>
      </w:r>
      <w:r>
        <w:rPr>
          <w:rFonts w:hint="eastAsia" w:ascii="宋体" w:hAnsi="宋体" w:cs="宋体"/>
          <w:color w:val="auto"/>
          <w:position w:val="-4"/>
          <w:szCs w:val="21"/>
          <w:highlight w:val="none"/>
          <w:u w:val="single"/>
        </w:rPr>
        <w:t xml:space="preserve"> </w:t>
      </w:r>
      <w:r>
        <w:rPr>
          <w:rFonts w:hint="eastAsia" w:ascii="宋体" w:hAnsi="宋体" w:cs="宋体"/>
          <w:color w:val="auto"/>
          <w:spacing w:val="1"/>
          <w:position w:val="-4"/>
          <w:szCs w:val="21"/>
          <w:highlight w:val="none"/>
          <w:u w:val="single"/>
        </w:rPr>
        <w:t xml:space="preserve"> </w:t>
      </w:r>
      <w:r>
        <w:rPr>
          <w:rFonts w:hint="eastAsia" w:ascii="宋体" w:hAnsi="宋体" w:cs="宋体"/>
          <w:color w:val="auto"/>
          <w:position w:val="-4"/>
          <w:szCs w:val="21"/>
          <w:highlight w:val="none"/>
          <w:u w:val="single"/>
        </w:rPr>
        <w:tab/>
      </w:r>
      <w:r>
        <w:rPr>
          <w:rFonts w:hint="eastAsia" w:ascii="宋体" w:hAnsi="宋体" w:cs="宋体"/>
          <w:color w:val="auto"/>
          <w:position w:val="-4"/>
          <w:szCs w:val="21"/>
          <w:highlight w:val="none"/>
        </w:rPr>
        <w:t>（盖</w:t>
      </w:r>
      <w:r>
        <w:rPr>
          <w:rFonts w:hint="eastAsia" w:ascii="宋体" w:hAnsi="宋体" w:cs="宋体"/>
          <w:color w:val="auto"/>
          <w:spacing w:val="-2"/>
          <w:position w:val="-4"/>
          <w:szCs w:val="21"/>
          <w:highlight w:val="none"/>
        </w:rPr>
        <w:t>单</w:t>
      </w:r>
      <w:r>
        <w:rPr>
          <w:rFonts w:hint="eastAsia" w:ascii="宋体" w:hAnsi="宋体" w:cs="宋体"/>
          <w:color w:val="auto"/>
          <w:position w:val="-4"/>
          <w:szCs w:val="21"/>
          <w:highlight w:val="none"/>
        </w:rPr>
        <w:t>位</w:t>
      </w:r>
      <w:r>
        <w:rPr>
          <w:rFonts w:hint="eastAsia" w:ascii="宋体" w:hAnsi="宋体" w:cs="宋体"/>
          <w:color w:val="auto"/>
          <w:spacing w:val="-2"/>
          <w:position w:val="-4"/>
          <w:szCs w:val="21"/>
          <w:highlight w:val="none"/>
        </w:rPr>
        <w:t>章</w:t>
      </w:r>
      <w:r>
        <w:rPr>
          <w:rFonts w:hint="eastAsia" w:ascii="宋体" w:hAnsi="宋体" w:cs="宋体"/>
          <w:color w:val="auto"/>
          <w:position w:val="-4"/>
          <w:szCs w:val="21"/>
          <w:highlight w:val="none"/>
        </w:rPr>
        <w:t>）</w:t>
      </w:r>
    </w:p>
    <w:p>
      <w:pPr>
        <w:spacing w:before="14" w:line="260" w:lineRule="exact"/>
        <w:jc w:val="left"/>
        <w:rPr>
          <w:rFonts w:hint="eastAsia" w:ascii="宋体" w:hAnsi="宋体" w:cs="宋体"/>
          <w:color w:val="auto"/>
          <w:szCs w:val="21"/>
          <w:highlight w:val="none"/>
        </w:rPr>
      </w:pPr>
    </w:p>
    <w:p>
      <w:pPr>
        <w:tabs>
          <w:tab w:val="left" w:pos="6600"/>
        </w:tabs>
        <w:spacing w:line="271" w:lineRule="exact"/>
        <w:ind w:left="3041" w:right="-20"/>
        <w:jc w:val="left"/>
        <w:rPr>
          <w:rFonts w:hint="eastAsia" w:ascii="宋体" w:hAnsi="宋体" w:cs="宋体"/>
          <w:color w:val="auto"/>
          <w:szCs w:val="21"/>
          <w:highlight w:val="none"/>
        </w:rPr>
      </w:pPr>
      <w:r>
        <w:rPr>
          <w:rFonts w:hint="eastAsia" w:ascii="宋体" w:hAnsi="宋体" w:cs="宋体"/>
          <w:color w:val="auto"/>
          <w:position w:val="-2"/>
          <w:szCs w:val="21"/>
          <w:highlight w:val="none"/>
        </w:rPr>
        <w:t>法</w:t>
      </w:r>
      <w:r>
        <w:rPr>
          <w:rFonts w:hint="eastAsia" w:ascii="宋体" w:hAnsi="宋体" w:cs="宋体"/>
          <w:color w:val="auto"/>
          <w:spacing w:val="-2"/>
          <w:position w:val="-2"/>
          <w:szCs w:val="21"/>
          <w:highlight w:val="none"/>
        </w:rPr>
        <w:t>定</w:t>
      </w:r>
      <w:r>
        <w:rPr>
          <w:rFonts w:hint="eastAsia" w:ascii="宋体" w:hAnsi="宋体" w:cs="宋体"/>
          <w:color w:val="auto"/>
          <w:position w:val="-2"/>
          <w:szCs w:val="21"/>
          <w:highlight w:val="none"/>
        </w:rPr>
        <w:t>代</w:t>
      </w:r>
      <w:r>
        <w:rPr>
          <w:rFonts w:hint="eastAsia" w:ascii="宋体" w:hAnsi="宋体" w:cs="宋体"/>
          <w:color w:val="auto"/>
          <w:spacing w:val="-2"/>
          <w:position w:val="-2"/>
          <w:szCs w:val="21"/>
          <w:highlight w:val="none"/>
        </w:rPr>
        <w:t>表</w:t>
      </w:r>
      <w:r>
        <w:rPr>
          <w:rFonts w:hint="eastAsia" w:ascii="宋体" w:hAnsi="宋体" w:cs="宋体"/>
          <w:color w:val="auto"/>
          <w:position w:val="-2"/>
          <w:szCs w:val="21"/>
          <w:highlight w:val="none"/>
        </w:rPr>
        <w:t>人</w:t>
      </w:r>
      <w:r>
        <w:rPr>
          <w:rFonts w:hint="eastAsia" w:ascii="宋体" w:hAnsi="宋体" w:cs="宋体"/>
          <w:color w:val="auto"/>
          <w:spacing w:val="-2"/>
          <w:position w:val="-2"/>
          <w:szCs w:val="21"/>
          <w:highlight w:val="none"/>
        </w:rPr>
        <w:t>或</w:t>
      </w:r>
      <w:r>
        <w:rPr>
          <w:rFonts w:hint="eastAsia" w:ascii="宋体" w:hAnsi="宋体" w:cs="宋体"/>
          <w:color w:val="auto"/>
          <w:position w:val="-2"/>
          <w:szCs w:val="21"/>
          <w:highlight w:val="none"/>
        </w:rPr>
        <w:t>其</w:t>
      </w:r>
      <w:r>
        <w:rPr>
          <w:rFonts w:hint="eastAsia" w:ascii="宋体" w:hAnsi="宋体" w:cs="宋体"/>
          <w:color w:val="auto"/>
          <w:spacing w:val="-2"/>
          <w:position w:val="-2"/>
          <w:szCs w:val="21"/>
          <w:highlight w:val="none"/>
        </w:rPr>
        <w:t>委</w:t>
      </w:r>
      <w:r>
        <w:rPr>
          <w:rFonts w:hint="eastAsia" w:ascii="宋体" w:hAnsi="宋体" w:cs="宋体"/>
          <w:color w:val="auto"/>
          <w:position w:val="-2"/>
          <w:szCs w:val="21"/>
          <w:highlight w:val="none"/>
        </w:rPr>
        <w:t>托</w:t>
      </w:r>
      <w:r>
        <w:rPr>
          <w:rFonts w:hint="eastAsia" w:ascii="宋体" w:hAnsi="宋体" w:cs="宋体"/>
          <w:color w:val="auto"/>
          <w:spacing w:val="-2"/>
          <w:position w:val="-2"/>
          <w:szCs w:val="21"/>
          <w:highlight w:val="none"/>
        </w:rPr>
        <w:t>代理</w:t>
      </w:r>
      <w:r>
        <w:rPr>
          <w:rFonts w:hint="eastAsia" w:ascii="宋体" w:hAnsi="宋体" w:cs="宋体"/>
          <w:color w:val="auto"/>
          <w:position w:val="-2"/>
          <w:szCs w:val="21"/>
          <w:highlight w:val="none"/>
        </w:rPr>
        <w:t>人：</w:t>
      </w:r>
      <w:r>
        <w:rPr>
          <w:rFonts w:hint="eastAsia" w:ascii="宋体" w:hAnsi="宋体" w:cs="宋体"/>
          <w:color w:val="auto"/>
          <w:position w:val="-2"/>
          <w:szCs w:val="21"/>
          <w:highlight w:val="none"/>
          <w:u w:val="single"/>
        </w:rPr>
        <w:t xml:space="preserve"> </w:t>
      </w:r>
      <w:r>
        <w:rPr>
          <w:rFonts w:hint="eastAsia" w:ascii="宋体" w:hAnsi="宋体" w:cs="宋体"/>
          <w:color w:val="auto"/>
          <w:spacing w:val="1"/>
          <w:position w:val="-2"/>
          <w:szCs w:val="21"/>
          <w:highlight w:val="none"/>
          <w:u w:val="single"/>
        </w:rPr>
        <w:t xml:space="preserve"> </w:t>
      </w:r>
      <w:r>
        <w:rPr>
          <w:rFonts w:hint="eastAsia" w:ascii="宋体" w:hAnsi="宋体" w:cs="宋体"/>
          <w:color w:val="auto"/>
          <w:position w:val="-2"/>
          <w:szCs w:val="21"/>
          <w:highlight w:val="none"/>
          <w:u w:val="single"/>
        </w:rPr>
        <w:tab/>
      </w:r>
      <w:r>
        <w:rPr>
          <w:rFonts w:hint="eastAsia" w:ascii="宋体" w:hAnsi="宋体" w:cs="宋体"/>
          <w:color w:val="auto"/>
          <w:spacing w:val="-2"/>
          <w:position w:val="-2"/>
          <w:szCs w:val="21"/>
          <w:highlight w:val="none"/>
        </w:rPr>
        <w:t>（</w:t>
      </w:r>
      <w:r>
        <w:rPr>
          <w:rFonts w:hint="eastAsia" w:ascii="宋体" w:hAnsi="宋体" w:cs="宋体"/>
          <w:color w:val="auto"/>
          <w:position w:val="-2"/>
          <w:szCs w:val="21"/>
          <w:highlight w:val="none"/>
        </w:rPr>
        <w:t>签</w:t>
      </w:r>
      <w:r>
        <w:rPr>
          <w:rFonts w:hint="eastAsia" w:ascii="宋体" w:hAnsi="宋体" w:cs="宋体"/>
          <w:color w:val="auto"/>
          <w:spacing w:val="-2"/>
          <w:position w:val="-2"/>
          <w:szCs w:val="21"/>
          <w:highlight w:val="none"/>
        </w:rPr>
        <w:t>字</w:t>
      </w:r>
      <w:r>
        <w:rPr>
          <w:rFonts w:hint="eastAsia" w:ascii="宋体" w:hAnsi="宋体" w:cs="宋体"/>
          <w:color w:val="auto"/>
          <w:position w:val="-2"/>
          <w:szCs w:val="21"/>
          <w:highlight w:val="none"/>
        </w:rPr>
        <w:t>）</w:t>
      </w: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line="200" w:lineRule="exact"/>
        <w:jc w:val="left"/>
        <w:rPr>
          <w:rFonts w:hint="eastAsia" w:ascii="宋体" w:hAnsi="宋体" w:cs="宋体"/>
          <w:color w:val="auto"/>
          <w:szCs w:val="21"/>
          <w:highlight w:val="none"/>
        </w:rPr>
      </w:pPr>
    </w:p>
    <w:p>
      <w:pPr>
        <w:spacing w:before="15" w:line="240" w:lineRule="exact"/>
        <w:jc w:val="left"/>
        <w:rPr>
          <w:rFonts w:hint="eastAsia" w:ascii="宋体" w:hAnsi="宋体" w:cs="宋体"/>
          <w:color w:val="auto"/>
          <w:szCs w:val="21"/>
          <w:highlight w:val="none"/>
        </w:rPr>
      </w:pPr>
    </w:p>
    <w:p>
      <w:pPr>
        <w:tabs>
          <w:tab w:val="left" w:pos="6420"/>
          <w:tab w:val="left" w:pos="7480"/>
          <w:tab w:val="left" w:pos="8520"/>
        </w:tabs>
        <w:spacing w:line="295" w:lineRule="exact"/>
        <w:ind w:left="5595" w:right="-20"/>
        <w:jc w:val="left"/>
        <w:rPr>
          <w:rFonts w:hint="eastAsia" w:ascii="宋体" w:hAnsi="宋体" w:cs="宋体"/>
          <w:b/>
          <w:color w:val="auto"/>
          <w:szCs w:val="21"/>
          <w:highlight w:val="none"/>
        </w:rPr>
      </w:pPr>
      <w:r>
        <w:rPr>
          <w:rFonts w:hint="eastAsia" w:ascii="宋体" w:hAnsi="宋体" w:cs="宋体"/>
          <w:color w:val="auto"/>
          <w:w w:val="20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spacing w:val="-2"/>
          <w:position w:val="-1"/>
          <w:szCs w:val="21"/>
          <w:highlight w:val="none"/>
        </w:rPr>
        <w:t>年</w:t>
      </w:r>
      <w:r>
        <w:rPr>
          <w:rFonts w:hint="eastAsia" w:ascii="宋体" w:hAnsi="宋体" w:cs="宋体"/>
          <w:color w:val="auto"/>
          <w:position w:val="-1"/>
          <w:szCs w:val="21"/>
          <w:highlight w:val="none"/>
          <w:u w:val="single"/>
        </w:rPr>
        <w:t xml:space="preserve"> </w:t>
      </w:r>
      <w:r>
        <w:rPr>
          <w:rFonts w:hint="eastAsia" w:ascii="宋体" w:hAnsi="宋体" w:cs="宋体"/>
          <w:color w:val="auto"/>
          <w:spacing w:val="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position w:val="-1"/>
          <w:szCs w:val="21"/>
          <w:highlight w:val="none"/>
        </w:rPr>
        <w:t>月</w:t>
      </w:r>
      <w:r>
        <w:rPr>
          <w:rFonts w:hint="eastAsia" w:ascii="宋体" w:hAnsi="宋体" w:cs="宋体"/>
          <w:color w:val="auto"/>
          <w:position w:val="-1"/>
          <w:szCs w:val="21"/>
          <w:highlight w:val="none"/>
          <w:u w:val="single"/>
        </w:rPr>
        <w:t xml:space="preserve"> </w:t>
      </w:r>
      <w:r>
        <w:rPr>
          <w:rFonts w:hint="eastAsia" w:ascii="宋体" w:hAnsi="宋体" w:cs="宋体"/>
          <w:color w:val="auto"/>
          <w:spacing w:val="1"/>
          <w:position w:val="-1"/>
          <w:szCs w:val="21"/>
          <w:highlight w:val="none"/>
          <w:u w:val="single"/>
        </w:rPr>
        <w:t xml:space="preserve"> </w:t>
      </w:r>
      <w:r>
        <w:rPr>
          <w:rFonts w:hint="eastAsia" w:ascii="宋体" w:hAnsi="宋体" w:cs="宋体"/>
          <w:color w:val="auto"/>
          <w:position w:val="-1"/>
          <w:szCs w:val="21"/>
          <w:highlight w:val="none"/>
          <w:u w:val="single"/>
        </w:rPr>
        <w:tab/>
      </w:r>
      <w:r>
        <w:rPr>
          <w:rFonts w:hint="eastAsia" w:ascii="宋体" w:hAnsi="宋体" w:cs="宋体"/>
          <w:color w:val="auto"/>
          <w:position w:val="-1"/>
          <w:szCs w:val="21"/>
          <w:highlight w:val="none"/>
        </w:rPr>
        <w:t>日</w:t>
      </w:r>
    </w:p>
    <w:bookmarkEnd w:id="120"/>
    <w:p>
      <w:pPr>
        <w:rPr>
          <w:rFonts w:hint="eastAsia" w:ascii="宋体" w:hAnsi="宋体" w:cs="宋体"/>
          <w:color w:val="auto"/>
          <w:highlight w:val="none"/>
        </w:rPr>
      </w:pPr>
    </w:p>
    <w:p>
      <w:pPr>
        <w:pStyle w:val="4"/>
        <w:keepLines/>
        <w:adjustRightInd/>
        <w:jc w:val="lef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u w:val="single"/>
        </w:rPr>
        <w:t>注：本附件在需要时使用，也可以采用广州公共资源交易中心提供的版式。</w:t>
      </w:r>
    </w:p>
    <w:p>
      <w:pPr>
        <w:pStyle w:val="4"/>
        <w:keepLines/>
        <w:adjustRightInd/>
        <w:ind w:firstLine="480" w:firstLineChars="200"/>
        <w:jc w:val="left"/>
        <w:textAlignment w:val="auto"/>
        <w:rPr>
          <w:rFonts w:hint="eastAsia" w:ascii="宋体" w:hAnsi="宋体" w:eastAsia="宋体" w:cs="宋体"/>
          <w:color w:val="auto"/>
          <w:sz w:val="24"/>
          <w:szCs w:val="24"/>
          <w:highlight w:val="none"/>
        </w:rPr>
      </w:pPr>
    </w:p>
    <w:p>
      <w:pPr>
        <w:spacing w:line="420" w:lineRule="exact"/>
        <w:ind w:firstLine="422" w:firstLineChars="201"/>
        <w:rPr>
          <w:rFonts w:hint="eastAsia" w:ascii="宋体" w:hAnsi="宋体" w:cs="宋体"/>
          <w:color w:val="auto"/>
          <w:highlight w:val="none"/>
        </w:rPr>
      </w:pPr>
    </w:p>
    <w:p>
      <w:pPr>
        <w:pStyle w:val="3"/>
        <w:spacing w:line="480" w:lineRule="auto"/>
        <w:rPr>
          <w:rFonts w:ascii="宋体" w:hAnsi="宋体" w:eastAsia="宋体" w:cs="宋体"/>
          <w:color w:val="auto"/>
          <w:highlight w:val="none"/>
        </w:rPr>
      </w:pPr>
      <w:r>
        <w:rPr>
          <w:rFonts w:hint="eastAsia" w:ascii="宋体" w:hAnsi="宋体" w:eastAsia="宋体" w:cs="宋体"/>
          <w:b w:val="0"/>
          <w:bCs/>
          <w:color w:val="auto"/>
          <w:highlight w:val="none"/>
        </w:rPr>
        <w:br w:type="page"/>
      </w:r>
      <w:bookmarkStart w:id="121" w:name="_Toc10144"/>
      <w:bookmarkStart w:id="122" w:name="_Toc8579"/>
      <w:bookmarkStart w:id="123" w:name="_Toc210124372"/>
      <w:r>
        <w:rPr>
          <w:rFonts w:hint="eastAsia" w:ascii="宋体" w:hAnsi="宋体" w:eastAsia="宋体" w:cs="宋体"/>
          <w:color w:val="auto"/>
          <w:highlight w:val="none"/>
        </w:rPr>
        <w:t>第3章 评标办法</w:t>
      </w:r>
      <w:bookmarkEnd w:id="121"/>
      <w:r>
        <w:rPr>
          <w:rFonts w:hint="eastAsia" w:ascii="宋体" w:hAnsi="宋体" w:eastAsia="宋体" w:cs="宋体"/>
          <w:color w:val="auto"/>
          <w:highlight w:val="none"/>
        </w:rPr>
        <w:t>（综合评估法）</w:t>
      </w:r>
      <w:bookmarkEnd w:id="122"/>
    </w:p>
    <w:p>
      <w:pPr>
        <w:spacing w:line="480" w:lineRule="auto"/>
        <w:jc w:val="center"/>
        <w:rPr>
          <w:b/>
          <w:bCs/>
          <w:color w:val="auto"/>
          <w:sz w:val="36"/>
          <w:szCs w:val="44"/>
          <w:highlight w:val="none"/>
        </w:rPr>
      </w:pPr>
      <w:bookmarkStart w:id="124" w:name="_Toc4080665"/>
      <w:bookmarkStart w:id="125" w:name="_Toc511140226"/>
      <w:r>
        <w:rPr>
          <w:b/>
          <w:bCs/>
          <w:color w:val="auto"/>
          <w:sz w:val="36"/>
          <w:szCs w:val="44"/>
          <w:highlight w:val="none"/>
        </w:rPr>
        <w:t>评标办法前附表</w:t>
      </w:r>
      <w:bookmarkEnd w:id="124"/>
      <w:bookmarkEnd w:id="125"/>
    </w:p>
    <w:tbl>
      <w:tblPr>
        <w:tblStyle w:val="18"/>
        <w:tblW w:w="10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124"/>
        <w:gridCol w:w="189"/>
        <w:gridCol w:w="2561"/>
        <w:gridCol w:w="5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exact"/>
          <w:jc w:val="center"/>
        </w:trPr>
        <w:tc>
          <w:tcPr>
            <w:tcW w:w="23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评审因素</w:t>
            </w:r>
          </w:p>
        </w:tc>
        <w:tc>
          <w:tcPr>
            <w:tcW w:w="512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1" w:hRule="exact"/>
          <w:jc w:val="center"/>
        </w:trPr>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评标方法</w:t>
            </w: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512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本次评标采用综合评估法。评标委员会对满足招标文件实质性要求的投标文件，按照本章第2.2款规定的评分标准进行打分，并按得分由高到低顺序推荐中标候选人。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相等时，以投标报价低的优先；投标报价也相等的，以监理大纲得分高的优先；监理大纲得分也相等，则对具有相同情况的投标人，按中标候选人数量规定，由评标委员会采用记名投票的方式，确定中标候选人的排序。</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jc w:val="center"/>
        </w:trPr>
        <w:tc>
          <w:tcPr>
            <w:tcW w:w="1249"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124"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ascii="宋体" w:hAnsi="宋体" w:cs="宋体"/>
                <w:color w:val="auto"/>
                <w:szCs w:val="21"/>
                <w:highlight w:val="none"/>
                <w:lang w:val="en-US" w:eastAsia="zh-Hans"/>
              </w:rPr>
              <w:t>或事业单位法人证书</w:t>
            </w:r>
            <w:r>
              <w:rPr>
                <w:rFonts w:hint="eastAsia" w:ascii="宋体" w:hAnsi="宋体" w:cs="宋体"/>
                <w:color w:val="auto"/>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9"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投标函及投标函附录</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签字盖章</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olor w:val="auto"/>
                <w:highlight w:val="none"/>
              </w:rPr>
              <w:t>符合第六章“投标文件”的规定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3"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投标人与其他投标人加密打包投标文件电脑特征码一致的（以广州公共资源交易中心评标系统的检索信息为准）将被否决。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exact"/>
          <w:jc w:val="center"/>
        </w:trPr>
        <w:tc>
          <w:tcPr>
            <w:tcW w:w="1249" w:type="dxa"/>
            <w:vMerge w:val="restart"/>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124" w:type="dxa"/>
            <w:vMerge w:val="restart"/>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资格评审</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    准</w:t>
            </w: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营业执照或</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事业单位法人证书</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3.5.1 项规定，具备有效的营业执照或事业单位法人证书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exact"/>
          <w:jc w:val="center"/>
        </w:trPr>
        <w:tc>
          <w:tcPr>
            <w:tcW w:w="1249"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pacing w:val="-3"/>
                <w:szCs w:val="21"/>
                <w:highlight w:val="none"/>
              </w:rPr>
            </w:pPr>
            <w:r>
              <w:rPr>
                <w:rFonts w:hint="eastAsia" w:ascii="宋体" w:hAnsi="宋体" w:cs="宋体"/>
                <w:color w:val="auto"/>
                <w:spacing w:val="-3"/>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总监理工程师</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auto"/>
                <w:szCs w:val="21"/>
                <w:highlight w:val="none"/>
              </w:rPr>
            </w:pPr>
          </w:p>
        </w:tc>
        <w:tc>
          <w:tcPr>
            <w:tcW w:w="275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其他主要人员</w:t>
            </w:r>
          </w:p>
        </w:tc>
        <w:tc>
          <w:tcPr>
            <w:tcW w:w="51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试验检测仪器设备</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其他要求</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联合体投标人</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exact"/>
          <w:jc w:val="center"/>
        </w:trPr>
        <w:tc>
          <w:tcPr>
            <w:tcW w:w="1249"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1124" w:type="dxa"/>
            <w:vMerge w:val="continue"/>
            <w:tcBorders>
              <w:left w:val="single" w:color="auto" w:sz="4" w:space="0"/>
              <w:right w:val="single" w:color="auto" w:sz="4" w:space="0"/>
            </w:tcBorders>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不存在禁止投标的情形</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不存在第二章“投标人须知”第 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restart"/>
            <w:vAlign w:val="center"/>
          </w:tcPr>
          <w:p>
            <w:pPr>
              <w:spacing w:line="360" w:lineRule="auto"/>
              <w:ind w:left="0" w:left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2.1.3</w:t>
            </w:r>
          </w:p>
        </w:tc>
        <w:tc>
          <w:tcPr>
            <w:tcW w:w="1124" w:type="dxa"/>
            <w:vMerge w:val="restart"/>
            <w:vAlign w:val="center"/>
          </w:tcPr>
          <w:p>
            <w:pPr>
              <w:spacing w:line="360" w:lineRule="auto"/>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响应性</w:t>
            </w:r>
          </w:p>
          <w:p>
            <w:pPr>
              <w:spacing w:line="360" w:lineRule="auto"/>
              <w:ind w:left="0" w:left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评审标准</w:t>
            </w: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投标报价</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投标内容</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监理服务期限</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质量标准</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投标有效期</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240" w:lineRule="auto"/>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w:t>
            </w:r>
          </w:p>
        </w:tc>
        <w:tc>
          <w:tcPr>
            <w:tcW w:w="5124" w:type="dxa"/>
            <w:vAlign w:val="center"/>
          </w:tcPr>
          <w:p>
            <w:pPr>
              <w:spacing w:line="360" w:lineRule="auto"/>
              <w:ind w:left="0" w:lef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符合第二章“投标人须知”第 3.4.1 项规定，其缴纳情况以广州公共资源交易中心数据库记录的信息为准。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exact"/>
          <w:jc w:val="center"/>
        </w:trPr>
        <w:tc>
          <w:tcPr>
            <w:tcW w:w="1249" w:type="dxa"/>
            <w:vMerge w:val="continue"/>
          </w:tcPr>
          <w:p>
            <w:pPr>
              <w:widowControl/>
              <w:spacing w:line="360" w:lineRule="auto"/>
              <w:jc w:val="left"/>
              <w:rPr>
                <w:rFonts w:ascii="宋体" w:hAnsi="宋体" w:cs="宋体"/>
                <w:color w:val="auto"/>
                <w:szCs w:val="21"/>
                <w:highlight w:val="none"/>
              </w:rPr>
            </w:pPr>
          </w:p>
        </w:tc>
        <w:tc>
          <w:tcPr>
            <w:tcW w:w="1124" w:type="dxa"/>
            <w:vMerge w:val="continue"/>
          </w:tcPr>
          <w:p>
            <w:pPr>
              <w:widowControl/>
              <w:spacing w:line="360" w:lineRule="auto"/>
              <w:jc w:val="left"/>
              <w:rPr>
                <w:rFonts w:ascii="宋体" w:hAnsi="宋体" w:cs="宋体"/>
                <w:color w:val="auto"/>
                <w:szCs w:val="21"/>
                <w:highlight w:val="none"/>
              </w:rPr>
            </w:pPr>
          </w:p>
        </w:tc>
        <w:tc>
          <w:tcPr>
            <w:tcW w:w="2750" w:type="dxa"/>
            <w:gridSpan w:val="2"/>
            <w:vAlign w:val="center"/>
          </w:tcPr>
          <w:p>
            <w:pPr>
              <w:spacing w:line="360" w:lineRule="auto"/>
              <w:ind w:left="0" w:leftChars="0"/>
              <w:jc w:val="center"/>
              <w:rPr>
                <w:rFonts w:hint="eastAsia" w:ascii="宋体" w:hAnsi="宋体" w:eastAsia="宋体" w:cs="宋体"/>
                <w:strike/>
                <w:color w:val="auto"/>
                <w:kern w:val="2"/>
                <w:sz w:val="21"/>
                <w:szCs w:val="21"/>
                <w:highlight w:val="none"/>
                <w:lang w:val="en-US" w:eastAsia="zh-CN" w:bidi="ar-SA"/>
              </w:rPr>
            </w:pPr>
            <w:r>
              <w:rPr>
                <w:rFonts w:hint="eastAsia" w:ascii="宋体" w:hAnsi="宋体"/>
                <w:color w:val="auto"/>
                <w:highlight w:val="none"/>
              </w:rPr>
              <w:t>串通投标情形</w:t>
            </w:r>
          </w:p>
        </w:tc>
        <w:tc>
          <w:tcPr>
            <w:tcW w:w="5124" w:type="dxa"/>
            <w:vAlign w:val="center"/>
          </w:tcPr>
          <w:p>
            <w:pPr>
              <w:spacing w:line="360" w:lineRule="auto"/>
              <w:ind w:left="0" w:leftChars="0"/>
              <w:rPr>
                <w:rFonts w:hint="eastAsia" w:ascii="宋体" w:hAnsi="宋体" w:eastAsia="宋体" w:cs="宋体"/>
                <w:strike/>
                <w:color w:val="auto"/>
                <w:kern w:val="2"/>
                <w:sz w:val="21"/>
                <w:szCs w:val="21"/>
                <w:highlight w:val="none"/>
                <w:lang w:val="en-US" w:eastAsia="zh-CN" w:bidi="ar-SA"/>
              </w:rPr>
            </w:pPr>
            <w:r>
              <w:rPr>
                <w:rFonts w:hint="eastAsia" w:ascii="宋体" w:hAnsi="宋体"/>
                <w:color w:val="auto"/>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1" w:hRule="exact"/>
          <w:jc w:val="center"/>
        </w:trPr>
        <w:tc>
          <w:tcPr>
            <w:tcW w:w="1249" w:type="dxa"/>
            <w:vAlign w:val="center"/>
          </w:tcPr>
          <w:p>
            <w:pPr>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2.2.1</w:t>
            </w:r>
          </w:p>
        </w:tc>
        <w:tc>
          <w:tcPr>
            <w:tcW w:w="3874" w:type="dxa"/>
            <w:gridSpan w:val="3"/>
            <w:vAlign w:val="center"/>
          </w:tcPr>
          <w:p>
            <w:pPr>
              <w:spacing w:line="360" w:lineRule="auto"/>
              <w:ind w:left="0" w:lef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spacing w:line="360" w:lineRule="auto"/>
              <w:ind w:left="0" w:leftChars="0"/>
              <w:jc w:val="center"/>
              <w:rPr>
                <w:rFonts w:hint="eastAsia" w:ascii="宋体" w:hAnsi="宋体"/>
                <w:color w:val="auto"/>
                <w:highlight w:val="none"/>
              </w:rPr>
            </w:pPr>
            <w:r>
              <w:rPr>
                <w:rFonts w:hint="eastAsia" w:ascii="宋体" w:hAnsi="宋体" w:eastAsia="宋体" w:cs="宋体"/>
                <w:color w:val="auto"/>
                <w:szCs w:val="21"/>
                <w:highlight w:val="none"/>
              </w:rPr>
              <w:t>（总分100分）</w:t>
            </w:r>
          </w:p>
        </w:tc>
        <w:tc>
          <w:tcPr>
            <w:tcW w:w="5124" w:type="dxa"/>
            <w:vAlign w:val="center"/>
          </w:tcPr>
          <w:p>
            <w:pPr>
              <w:spacing w:line="360" w:lineRule="auto"/>
              <w:ind w:left="0" w:leftChars="0"/>
              <w:rPr>
                <w:rStyle w:val="23"/>
                <w:rFonts w:hint="eastAsia" w:ascii="宋体" w:hAnsi="宋体" w:cs="宋体" w:eastAsiaTheme="minorEastAsia"/>
                <w:bCs/>
                <w:color w:val="auto"/>
                <w:szCs w:val="21"/>
                <w:highlight w:val="none"/>
              </w:rPr>
            </w:pPr>
            <w:r>
              <w:rPr>
                <w:rStyle w:val="23"/>
                <w:rFonts w:hint="eastAsia" w:ascii="宋体" w:hAnsi="宋体" w:cs="宋体" w:eastAsiaTheme="minorEastAsia"/>
                <w:bCs/>
                <w:color w:val="auto"/>
                <w:szCs w:val="21"/>
                <w:highlight w:val="none"/>
              </w:rPr>
              <w:t>资信业绩部分：</w:t>
            </w:r>
            <w:r>
              <w:rPr>
                <w:rStyle w:val="23"/>
                <w:rFonts w:hint="default" w:ascii="宋体" w:hAnsi="宋体" w:cs="宋体" w:eastAsiaTheme="minorEastAsia"/>
                <w:bCs/>
                <w:color w:val="auto"/>
                <w:szCs w:val="21"/>
                <w:highlight w:val="none"/>
                <w:lang w:eastAsia="zh-CN"/>
              </w:rPr>
              <w:t>55</w:t>
            </w:r>
            <w:r>
              <w:rPr>
                <w:rStyle w:val="23"/>
                <w:rFonts w:hint="eastAsia" w:ascii="宋体" w:hAnsi="宋体" w:cs="宋体" w:eastAsiaTheme="minorEastAsia"/>
                <w:bCs/>
                <w:color w:val="auto"/>
                <w:szCs w:val="21"/>
                <w:highlight w:val="none"/>
              </w:rPr>
              <w:t>分</w:t>
            </w:r>
          </w:p>
          <w:p>
            <w:pPr>
              <w:spacing w:line="360" w:lineRule="auto"/>
              <w:ind w:left="0" w:leftChars="0"/>
              <w:rPr>
                <w:rStyle w:val="23"/>
                <w:rFonts w:hint="eastAsia" w:ascii="宋体" w:hAnsi="宋体" w:cs="宋体" w:eastAsiaTheme="minorEastAsia"/>
                <w:bCs/>
                <w:color w:val="auto"/>
                <w:szCs w:val="21"/>
                <w:highlight w:val="none"/>
              </w:rPr>
            </w:pPr>
            <w:r>
              <w:rPr>
                <w:rStyle w:val="23"/>
                <w:rFonts w:hint="eastAsia" w:ascii="宋体" w:hAnsi="宋体" w:cs="宋体" w:eastAsiaTheme="minorEastAsia"/>
                <w:bCs/>
                <w:color w:val="auto"/>
                <w:szCs w:val="21"/>
                <w:highlight w:val="none"/>
              </w:rPr>
              <w:t>监理大纲部分：</w:t>
            </w:r>
            <w:r>
              <w:rPr>
                <w:rStyle w:val="23"/>
                <w:rFonts w:hint="default" w:ascii="宋体" w:hAnsi="宋体" w:cs="宋体" w:eastAsiaTheme="minorEastAsia"/>
                <w:bCs/>
                <w:color w:val="auto"/>
                <w:szCs w:val="21"/>
                <w:highlight w:val="none"/>
                <w:lang w:eastAsia="zh-CN"/>
              </w:rPr>
              <w:t>30</w:t>
            </w:r>
            <w:r>
              <w:rPr>
                <w:rStyle w:val="23"/>
                <w:rFonts w:hint="eastAsia" w:ascii="宋体" w:hAnsi="宋体" w:cs="宋体" w:eastAsiaTheme="minorEastAsia"/>
                <w:bCs/>
                <w:color w:val="auto"/>
                <w:szCs w:val="21"/>
                <w:highlight w:val="none"/>
              </w:rPr>
              <w:t>分</w:t>
            </w:r>
          </w:p>
          <w:p>
            <w:pPr>
              <w:spacing w:line="360" w:lineRule="auto"/>
              <w:ind w:left="0" w:leftChars="0"/>
              <w:rPr>
                <w:rStyle w:val="23"/>
                <w:rFonts w:hint="eastAsia" w:ascii="宋体" w:hAnsi="宋体" w:cs="宋体" w:eastAsiaTheme="minorEastAsia"/>
                <w:bCs/>
                <w:color w:val="auto"/>
                <w:szCs w:val="21"/>
                <w:highlight w:val="none"/>
              </w:rPr>
            </w:pPr>
            <w:r>
              <w:rPr>
                <w:rStyle w:val="23"/>
                <w:rFonts w:hint="eastAsia" w:ascii="宋体" w:hAnsi="宋体" w:cs="宋体" w:eastAsiaTheme="minorEastAsia"/>
                <w:bCs/>
                <w:color w:val="auto"/>
                <w:szCs w:val="21"/>
                <w:highlight w:val="none"/>
              </w:rPr>
              <w:t>投标报价：</w:t>
            </w:r>
            <w:r>
              <w:rPr>
                <w:rStyle w:val="23"/>
                <w:rFonts w:hint="eastAsia" w:ascii="宋体" w:hAnsi="宋体" w:cs="宋体" w:eastAsiaTheme="minorEastAsia"/>
                <w:bCs/>
                <w:color w:val="auto"/>
                <w:szCs w:val="21"/>
                <w:highlight w:val="none"/>
                <w:lang w:val="en-US" w:eastAsia="zh-CN"/>
              </w:rPr>
              <w:t>1</w:t>
            </w:r>
            <w:r>
              <w:rPr>
                <w:rStyle w:val="23"/>
                <w:rFonts w:hint="default" w:ascii="宋体" w:hAnsi="宋体" w:cs="宋体" w:eastAsiaTheme="minorEastAsia"/>
                <w:bCs/>
                <w:color w:val="auto"/>
                <w:szCs w:val="21"/>
                <w:highlight w:val="none"/>
                <w:lang w:eastAsia="zh-CN"/>
              </w:rPr>
              <w:t>0</w:t>
            </w:r>
            <w:r>
              <w:rPr>
                <w:rStyle w:val="23"/>
                <w:rFonts w:hint="eastAsia" w:ascii="宋体" w:hAnsi="宋体" w:cs="宋体" w:eastAsiaTheme="minorEastAsia"/>
                <w:bCs/>
                <w:color w:val="auto"/>
                <w:szCs w:val="21"/>
                <w:highlight w:val="none"/>
              </w:rPr>
              <w:t>分</w:t>
            </w:r>
          </w:p>
          <w:p>
            <w:pPr>
              <w:pStyle w:val="4"/>
              <w:rPr>
                <w:rFonts w:hint="eastAsia" w:eastAsia="宋体"/>
                <w:lang w:val="en-US" w:eastAsia="zh-Hans"/>
              </w:rPr>
            </w:pPr>
            <w:r>
              <w:rPr>
                <w:rStyle w:val="23"/>
                <w:rFonts w:hint="eastAsia" w:ascii="宋体" w:hAnsi="宋体" w:eastAsia="宋体" w:cs="宋体"/>
                <w:b w:val="0"/>
                <w:bCs/>
                <w:color w:val="auto"/>
                <w:sz w:val="21"/>
                <w:szCs w:val="21"/>
                <w:highlight w:val="none"/>
              </w:rPr>
              <w:t>其他因素评分</w:t>
            </w:r>
            <w:r>
              <w:rPr>
                <w:rStyle w:val="23"/>
                <w:rFonts w:hint="default" w:ascii="宋体" w:hAnsi="宋体" w:eastAsia="宋体" w:cs="宋体"/>
                <w:b w:val="0"/>
                <w:bCs/>
                <w:color w:val="auto"/>
                <w:sz w:val="21"/>
                <w:szCs w:val="21"/>
                <w:highlight w:val="none"/>
              </w:rPr>
              <w:t>（</w:t>
            </w:r>
            <w:r>
              <w:rPr>
                <w:rStyle w:val="23"/>
                <w:rFonts w:hint="eastAsia" w:ascii="宋体" w:hAnsi="宋体" w:eastAsia="宋体" w:cs="宋体"/>
                <w:b w:val="0"/>
                <w:bCs/>
                <w:color w:val="auto"/>
                <w:sz w:val="21"/>
                <w:szCs w:val="21"/>
                <w:highlight w:val="none"/>
              </w:rPr>
              <w:t>投标人诚信得分</w:t>
            </w:r>
            <w:r>
              <w:rPr>
                <w:rStyle w:val="23"/>
                <w:rFonts w:hint="default" w:ascii="宋体" w:hAnsi="宋体" w:eastAsia="宋体" w:cs="宋体"/>
                <w:b w:val="0"/>
                <w:bCs/>
                <w:color w:val="auto"/>
                <w:sz w:val="21"/>
                <w:szCs w:val="21"/>
                <w:highlight w:val="none"/>
              </w:rPr>
              <w:t>）：5</w:t>
            </w:r>
            <w:r>
              <w:rPr>
                <w:rStyle w:val="23"/>
                <w:rFonts w:hint="eastAsia" w:ascii="宋体" w:hAnsi="宋体" w:eastAsia="宋体" w:cs="宋体"/>
                <w:b w:val="0"/>
                <w:bCs/>
                <w:color w:val="auto"/>
                <w:sz w:val="21"/>
                <w:szCs w:val="21"/>
                <w:highlight w:val="none"/>
                <w:lang w:val="en-US" w:eastAsia="zh-Hans"/>
              </w:rPr>
              <w:t>分</w:t>
            </w:r>
          </w:p>
          <w:p>
            <w:pPr>
              <w:spacing w:line="360" w:lineRule="auto"/>
              <w:ind w:left="0" w:leftChars="0"/>
              <w:rPr>
                <w:rFonts w:hint="default" w:ascii="宋体" w:hAnsi="宋体"/>
                <w:color w:val="auto"/>
                <w:highlight w:val="none"/>
              </w:rPr>
            </w:pPr>
            <w:r>
              <w:rPr>
                <w:rStyle w:val="23"/>
                <w:rFonts w:hint="eastAsia" w:asciiTheme="minorEastAsia" w:hAnsiTheme="minorEastAsia" w:eastAsiaTheme="minorEastAsia" w:cstheme="minorEastAsia"/>
                <w:bCs/>
                <w:color w:val="auto"/>
                <w:szCs w:val="21"/>
                <w:highlight w:val="none"/>
              </w:rPr>
              <w:t>投标人得分 = 资信业绩得分（A）+ 监理大纲得分（B） + 投标报价得分（C）</w:t>
            </w:r>
            <w:r>
              <w:rPr>
                <w:rStyle w:val="23"/>
                <w:rFonts w:hint="default" w:asciiTheme="minorEastAsia" w:hAnsiTheme="minorEastAsia" w:eastAsiaTheme="minorEastAsia" w:cstheme="minorEastAsia"/>
                <w:bCs/>
                <w:color w:val="auto"/>
                <w:szCs w:val="21"/>
                <w:highlight w:val="none"/>
              </w:rPr>
              <w:t>+</w:t>
            </w:r>
            <w:r>
              <w:rPr>
                <w:rStyle w:val="23"/>
                <w:rFonts w:hint="eastAsia" w:ascii="宋体" w:hAnsi="宋体" w:eastAsia="宋体" w:cs="宋体"/>
                <w:b w:val="0"/>
                <w:bCs/>
                <w:color w:val="auto"/>
                <w:sz w:val="21"/>
                <w:szCs w:val="21"/>
                <w:highlight w:val="none"/>
              </w:rPr>
              <w:t>其他因素评分</w:t>
            </w:r>
            <w:r>
              <w:rPr>
                <w:rStyle w:val="23"/>
                <w:rFonts w:hint="default" w:ascii="宋体" w:hAnsi="宋体" w:eastAsia="宋体" w:cs="宋体"/>
                <w:b w:val="0"/>
                <w:bCs/>
                <w:color w:val="auto"/>
                <w:sz w:val="21"/>
                <w:szCs w:val="21"/>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2" w:hRule="exact"/>
          <w:jc w:val="center"/>
        </w:trPr>
        <w:tc>
          <w:tcPr>
            <w:tcW w:w="1249" w:type="dxa"/>
            <w:vAlign w:val="center"/>
          </w:tcPr>
          <w:p>
            <w:pPr>
              <w:spacing w:line="360" w:lineRule="auto"/>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3874" w:type="dxa"/>
            <w:gridSpan w:val="3"/>
            <w:vAlign w:val="center"/>
          </w:tcPr>
          <w:p>
            <w:pPr>
              <w:spacing w:line="360" w:lineRule="auto"/>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5124" w:type="dxa"/>
            <w:vAlign w:val="center"/>
          </w:tcPr>
          <w:p>
            <w:pPr>
              <w:widowControl/>
              <w:spacing w:line="360" w:lineRule="auto"/>
              <w:ind w:left="0" w:left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1、当通过初步审查且投标</w:t>
            </w:r>
            <w:r>
              <w:rPr>
                <w:rFonts w:hint="eastAsia" w:asciiTheme="minorEastAsia" w:hAnsiTheme="minorEastAsia" w:eastAsiaTheme="minorEastAsia" w:cstheme="minorEastAsia"/>
                <w:color w:val="auto"/>
                <w:szCs w:val="21"/>
                <w:highlight w:val="none"/>
                <w:lang w:val="en-US" w:eastAsia="zh-Hans"/>
              </w:rPr>
              <w:t>总</w:t>
            </w:r>
            <w:r>
              <w:rPr>
                <w:rFonts w:hint="eastAsia" w:asciiTheme="minorEastAsia" w:hAnsiTheme="minorEastAsia" w:eastAsiaTheme="minorEastAsia" w:cstheme="minorEastAsia"/>
                <w:color w:val="auto"/>
                <w:szCs w:val="21"/>
                <w:highlight w:val="none"/>
              </w:rPr>
              <w:t>报价在</w:t>
            </w:r>
            <w:r>
              <w:rPr>
                <w:rFonts w:hint="eastAsia" w:asciiTheme="minorEastAsia" w:hAnsiTheme="minorEastAsia" w:eastAsiaTheme="minorEastAsia" w:cstheme="minorEastAsia"/>
                <w:color w:val="auto"/>
                <w:shd w:val="clear" w:color="auto" w:fill="FFFFFF"/>
              </w:rPr>
              <w:t>最高投标限价</w:t>
            </w:r>
            <w:r>
              <w:rPr>
                <w:rFonts w:hint="eastAsia" w:asciiTheme="minorEastAsia" w:hAnsiTheme="minorEastAsia" w:eastAsiaTheme="minorEastAsia" w:cstheme="minorEastAsia"/>
                <w:color w:val="auto"/>
                <w:szCs w:val="21"/>
                <w:highlight w:val="none"/>
              </w:rPr>
              <w:t>的[90%,100%]区间的有效投标人在5家以上，则按去掉一个最高报价和一个最低报价后计算的算术平均值作为评标基准价。</w:t>
            </w:r>
          </w:p>
          <w:p>
            <w:pPr>
              <w:widowControl/>
              <w:spacing w:line="360" w:lineRule="auto"/>
              <w:ind w:left="0" w:leftChars="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2、当通过初步审查且投标</w:t>
            </w:r>
            <w:r>
              <w:rPr>
                <w:rFonts w:hint="eastAsia" w:asciiTheme="minorEastAsia" w:hAnsiTheme="minorEastAsia" w:eastAsiaTheme="minorEastAsia" w:cstheme="minorEastAsia"/>
                <w:color w:val="auto"/>
                <w:szCs w:val="21"/>
                <w:highlight w:val="none"/>
                <w:lang w:val="en-US" w:eastAsia="zh-Hans"/>
              </w:rPr>
              <w:t>总</w:t>
            </w:r>
            <w:r>
              <w:rPr>
                <w:rFonts w:hint="eastAsia" w:asciiTheme="minorEastAsia" w:hAnsiTheme="minorEastAsia" w:eastAsiaTheme="minorEastAsia" w:cstheme="minorEastAsia"/>
                <w:color w:val="auto"/>
                <w:szCs w:val="21"/>
                <w:highlight w:val="none"/>
              </w:rPr>
              <w:t>报价在</w:t>
            </w:r>
            <w:r>
              <w:rPr>
                <w:rFonts w:hint="eastAsia" w:asciiTheme="minorEastAsia" w:hAnsiTheme="minorEastAsia" w:eastAsiaTheme="minorEastAsia" w:cstheme="minorEastAsia"/>
                <w:color w:val="auto"/>
                <w:shd w:val="clear" w:color="auto" w:fill="FFFFFF"/>
              </w:rPr>
              <w:t>最高投标限价</w:t>
            </w:r>
            <w:r>
              <w:rPr>
                <w:rFonts w:hint="eastAsia" w:asciiTheme="minorEastAsia" w:hAnsiTheme="minorEastAsia" w:eastAsiaTheme="minorEastAsia" w:cstheme="minorEastAsia"/>
                <w:color w:val="auto"/>
                <w:szCs w:val="21"/>
                <w:highlight w:val="none"/>
              </w:rPr>
              <w:t>的[90%,100%] 区间的有效投标人5家及以下（含5家），则按全部通过初步审查的投标人报价计算的算术平均值作为评标基准价。</w:t>
            </w:r>
          </w:p>
          <w:p>
            <w:pPr>
              <w:widowControl/>
              <w:spacing w:line="360" w:lineRule="auto"/>
              <w:ind w:left="0" w:leftChars="0"/>
              <w:jc w:val="left"/>
              <w:rPr>
                <w:rStyle w:val="23"/>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3、若通过初步审查的有效投标人的投标报价均没有在</w:t>
            </w:r>
            <w:r>
              <w:rPr>
                <w:rFonts w:hint="eastAsia" w:asciiTheme="minorEastAsia" w:hAnsiTheme="minorEastAsia" w:eastAsiaTheme="minorEastAsia" w:cstheme="minorEastAsia"/>
                <w:color w:val="auto"/>
                <w:shd w:val="clear" w:color="auto" w:fill="FFFFFF"/>
              </w:rPr>
              <w:t>最高投标限价</w:t>
            </w:r>
            <w:r>
              <w:rPr>
                <w:rFonts w:hint="eastAsia" w:asciiTheme="minorEastAsia" w:hAnsiTheme="minorEastAsia" w:eastAsiaTheme="minorEastAsia" w:cstheme="minorEastAsia"/>
                <w:color w:val="auto"/>
                <w:szCs w:val="21"/>
                <w:highlight w:val="none"/>
              </w:rPr>
              <w:t>的[90%,100%]区间的，以</w:t>
            </w:r>
            <w:r>
              <w:rPr>
                <w:rFonts w:hint="eastAsia" w:asciiTheme="minorEastAsia" w:hAnsiTheme="minorEastAsia" w:eastAsiaTheme="minorEastAsia" w:cstheme="minorEastAsia"/>
                <w:color w:val="auto"/>
                <w:shd w:val="clear" w:color="auto" w:fill="FFFFFF"/>
              </w:rPr>
              <w:t>最高投标限价</w:t>
            </w:r>
            <w:r>
              <w:rPr>
                <w:rFonts w:hint="eastAsia" w:asciiTheme="minorEastAsia" w:hAnsiTheme="minorEastAsia" w:eastAsiaTheme="minorEastAsia" w:cstheme="minorEastAsia"/>
                <w:color w:val="auto"/>
                <w:szCs w:val="21"/>
                <w:highlight w:val="none"/>
              </w:rPr>
              <w:t>的90%作为评标基准价。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exact"/>
          <w:jc w:val="center"/>
        </w:trPr>
        <w:tc>
          <w:tcPr>
            <w:tcW w:w="1249"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3874" w:type="dxa"/>
            <w:gridSpan w:val="3"/>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投标报价的偏差率计算公式</w:t>
            </w:r>
          </w:p>
        </w:tc>
        <w:tc>
          <w:tcPr>
            <w:tcW w:w="5124" w:type="dxa"/>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偏差率=|（投标报价-评标基准价）|÷评标基准价×100%（偏差率以四舍五入的保留2位小数点，报价偏差率不足1%的，按直线内插法计算投标报价得分）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exact"/>
          <w:jc w:val="center"/>
        </w:trPr>
        <w:tc>
          <w:tcPr>
            <w:tcW w:w="1249" w:type="dxa"/>
            <w:vAlign w:val="center"/>
          </w:tcPr>
          <w:p>
            <w:pPr>
              <w:spacing w:line="360" w:lineRule="auto"/>
              <w:jc w:val="center"/>
              <w:rPr>
                <w:rFonts w:hint="eastAsia" w:ascii="宋体" w:hAnsi="宋体" w:cs="宋体"/>
                <w:color w:val="auto"/>
                <w:szCs w:val="21"/>
                <w:highlight w:val="none"/>
              </w:rPr>
            </w:pPr>
            <w:r>
              <w:rPr>
                <w:rFonts w:ascii="宋体" w:hAnsi="宋体"/>
                <w:b/>
                <w:color w:val="auto"/>
                <w:highlight w:val="none"/>
              </w:rPr>
              <w:t>条款号</w:t>
            </w:r>
          </w:p>
        </w:tc>
        <w:tc>
          <w:tcPr>
            <w:tcW w:w="3874" w:type="dxa"/>
            <w:gridSpan w:val="3"/>
            <w:vAlign w:val="center"/>
          </w:tcPr>
          <w:p>
            <w:pPr>
              <w:spacing w:line="360" w:lineRule="auto"/>
              <w:jc w:val="center"/>
              <w:rPr>
                <w:rFonts w:hint="default" w:ascii="宋体" w:hAnsi="宋体" w:cs="宋体"/>
                <w:color w:val="auto"/>
                <w:szCs w:val="21"/>
                <w:highlight w:val="none"/>
              </w:rPr>
            </w:pPr>
            <w:r>
              <w:rPr>
                <w:rFonts w:ascii="宋体" w:hAnsi="宋体"/>
                <w:b/>
                <w:color w:val="auto"/>
                <w:highlight w:val="none"/>
              </w:rPr>
              <w:t>评分因素（</w:t>
            </w:r>
            <w:r>
              <w:rPr>
                <w:rFonts w:hint="eastAsia" w:ascii="宋体" w:hAnsi="宋体"/>
                <w:b/>
                <w:color w:val="auto"/>
                <w:highlight w:val="none"/>
              </w:rPr>
              <w:t>偏差率</w:t>
            </w:r>
            <w:r>
              <w:rPr>
                <w:rFonts w:ascii="宋体" w:hAnsi="宋体"/>
                <w:b/>
                <w:color w:val="auto"/>
                <w:highlight w:val="none"/>
              </w:rPr>
              <w:t>）</w:t>
            </w:r>
          </w:p>
        </w:tc>
        <w:tc>
          <w:tcPr>
            <w:tcW w:w="5124" w:type="dxa"/>
            <w:vAlign w:val="center"/>
          </w:tcPr>
          <w:p>
            <w:pPr>
              <w:spacing w:line="360" w:lineRule="auto"/>
              <w:jc w:val="center"/>
              <w:rPr>
                <w:rFonts w:hint="eastAsia" w:ascii="宋体" w:hAnsi="宋体" w:cs="宋体"/>
                <w:color w:val="auto"/>
                <w:szCs w:val="21"/>
                <w:highlight w:val="none"/>
              </w:rPr>
            </w:pPr>
            <w:r>
              <w:rPr>
                <w:rFonts w:ascii="宋体" w:hAnsi="宋体"/>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jc w:val="center"/>
        </w:trPr>
        <w:tc>
          <w:tcPr>
            <w:tcW w:w="1249" w:type="dxa"/>
            <w:vMerge w:val="restart"/>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2.2.4（1）</w:t>
            </w:r>
          </w:p>
        </w:tc>
        <w:tc>
          <w:tcPr>
            <w:tcW w:w="1313" w:type="dxa"/>
            <w:gridSpan w:val="2"/>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资信业绩</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评分标准</w:t>
            </w:r>
          </w:p>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default" w:asciiTheme="minorEastAsia" w:hAnsiTheme="minorEastAsia" w:eastAsiaTheme="minorEastAsia" w:cstheme="minorEastAsia"/>
                <w:color w:val="auto"/>
                <w:kern w:val="0"/>
                <w:sz w:val="21"/>
                <w:szCs w:val="21"/>
                <w:highlight w:val="none"/>
                <w:lang w:eastAsia="zh-CN"/>
              </w:rPr>
              <w:t>55</w:t>
            </w:r>
            <w:r>
              <w:rPr>
                <w:rFonts w:hint="eastAsia" w:asciiTheme="minorEastAsia" w:hAnsiTheme="minorEastAsia" w:eastAsiaTheme="minorEastAsia" w:cstheme="minorEastAsia"/>
                <w:color w:val="auto"/>
                <w:kern w:val="0"/>
                <w:sz w:val="21"/>
                <w:szCs w:val="21"/>
                <w:highlight w:val="none"/>
              </w:rPr>
              <w:t>分）</w:t>
            </w:r>
          </w:p>
        </w:tc>
        <w:tc>
          <w:tcPr>
            <w:tcW w:w="2561" w:type="dxa"/>
            <w:vAlign w:val="center"/>
          </w:tcPr>
          <w:p>
            <w:pPr>
              <w:spacing w:line="360" w:lineRule="auto"/>
              <w:contextualSpacing/>
              <w:jc w:val="center"/>
              <w:rPr>
                <w:rFonts w:hint="default"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类似项目业绩</w:t>
            </w:r>
            <w:r>
              <w:rPr>
                <w:rFonts w:hint="default" w:asciiTheme="minorEastAsia" w:hAnsiTheme="minorEastAsia" w:eastAsiaTheme="minorEastAsia" w:cstheme="minorEastAsia"/>
                <w:color w:val="000000"/>
                <w:sz w:val="21"/>
                <w:szCs w:val="21"/>
              </w:rPr>
              <w:t>、</w:t>
            </w:r>
          </w:p>
          <w:p>
            <w:pPr>
              <w:spacing w:line="360" w:lineRule="auto"/>
              <w:contextualSpacing/>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000000"/>
                <w:sz w:val="21"/>
                <w:szCs w:val="21"/>
              </w:rPr>
              <w:t>（</w:t>
            </w:r>
            <w:r>
              <w:rPr>
                <w:rFonts w:hint="default"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分）</w:t>
            </w:r>
          </w:p>
        </w:tc>
        <w:tc>
          <w:tcPr>
            <w:tcW w:w="5124" w:type="dxa"/>
            <w:vAlign w:val="center"/>
          </w:tcPr>
          <w:p>
            <w:pPr>
              <w:spacing w:line="360" w:lineRule="auto"/>
              <w:contextualSpacing/>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000000"/>
                <w:sz w:val="21"/>
                <w:szCs w:val="21"/>
              </w:rPr>
              <w:t>类似</w:t>
            </w:r>
            <w:r>
              <w:rPr>
                <w:rFonts w:hint="eastAsia" w:asciiTheme="minorEastAsia" w:hAnsiTheme="minorEastAsia" w:eastAsiaTheme="minorEastAsia" w:cstheme="minorEastAsia"/>
                <w:color w:val="000000"/>
                <w:sz w:val="21"/>
                <w:szCs w:val="21"/>
                <w:lang w:val="en-US" w:eastAsia="zh-Hans"/>
              </w:rPr>
              <w:t>项目</w:t>
            </w:r>
            <w:r>
              <w:rPr>
                <w:rFonts w:hint="eastAsia" w:asciiTheme="minorEastAsia" w:hAnsiTheme="minorEastAsia" w:eastAsiaTheme="minorEastAsia" w:cstheme="minorEastAsia"/>
                <w:color w:val="000000"/>
                <w:sz w:val="21"/>
                <w:szCs w:val="21"/>
              </w:rPr>
              <w:t>业绩：自201</w:t>
            </w:r>
            <w:r>
              <w:rPr>
                <w:rFonts w:hint="default" w:asciiTheme="minorEastAsia" w:hAnsiTheme="minorEastAsia" w:eastAsiaTheme="minorEastAsia" w:cstheme="minorEastAsia"/>
                <w:color w:val="000000"/>
                <w:sz w:val="21"/>
                <w:szCs w:val="21"/>
              </w:rPr>
              <w:t>9</w:t>
            </w:r>
            <w:r>
              <w:rPr>
                <w:rFonts w:hint="eastAsia" w:asciiTheme="minorEastAsia" w:hAnsiTheme="minorEastAsia" w:eastAsiaTheme="minorEastAsia" w:cstheme="minorEastAsia"/>
                <w:color w:val="000000"/>
                <w:sz w:val="21"/>
                <w:szCs w:val="21"/>
              </w:rPr>
              <w:t>年1月1日至今独立完成过质量合格的类似工程</w:t>
            </w:r>
            <w:r>
              <w:rPr>
                <w:rFonts w:hint="eastAsia" w:asciiTheme="minorEastAsia" w:hAnsiTheme="minorEastAsia" w:eastAsiaTheme="minorEastAsia" w:cstheme="minorEastAsia"/>
                <w:color w:val="000000"/>
                <w:sz w:val="21"/>
                <w:szCs w:val="21"/>
                <w:lang w:val="en-US" w:eastAsia="zh-Hans"/>
              </w:rPr>
              <w:t>监理业绩</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Hans"/>
              </w:rPr>
              <w:t>每</w:t>
            </w:r>
            <w:r>
              <w:rPr>
                <w:rFonts w:hint="eastAsia" w:asciiTheme="minorEastAsia" w:hAnsiTheme="minorEastAsia" w:eastAsiaTheme="minorEastAsia" w:cstheme="minorEastAsia"/>
                <w:color w:val="000000"/>
                <w:sz w:val="21"/>
                <w:szCs w:val="21"/>
              </w:rPr>
              <w:t>项得</w:t>
            </w:r>
            <w:r>
              <w:rPr>
                <w:rFonts w:hint="default"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rPr>
              <w:t>分。本项最多得</w:t>
            </w:r>
            <w:r>
              <w:rPr>
                <w:rFonts w:hint="default"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5" w:hRule="atLeast"/>
          <w:jc w:val="center"/>
        </w:trPr>
        <w:tc>
          <w:tcPr>
            <w:tcW w:w="1249" w:type="dxa"/>
            <w:vMerge w:val="continue"/>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13" w:type="dxa"/>
            <w:gridSpan w:val="2"/>
            <w:vMerge w:val="continue"/>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p>
        </w:tc>
        <w:tc>
          <w:tcPr>
            <w:tcW w:w="2561" w:type="dxa"/>
            <w:vAlign w:val="center"/>
          </w:tcPr>
          <w:p>
            <w:pPr>
              <w:spacing w:line="360" w:lineRule="auto"/>
              <w:contextualSpacing/>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获奖监理业绩</w:t>
            </w:r>
          </w:p>
          <w:p>
            <w:pPr>
              <w:spacing w:line="360" w:lineRule="auto"/>
              <w:contextualSpacing/>
              <w:jc w:val="center"/>
              <w:rPr>
                <w:rFonts w:hint="default"/>
              </w:rPr>
            </w:pPr>
            <w:r>
              <w:rPr>
                <w:rFonts w:hint="default"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val="en-US" w:eastAsia="zh-Hans"/>
              </w:rPr>
              <w:t>分</w:t>
            </w:r>
            <w:r>
              <w:rPr>
                <w:rFonts w:hint="default" w:asciiTheme="minorEastAsia" w:hAnsiTheme="minorEastAsia" w:eastAsiaTheme="minorEastAsia" w:cstheme="minorEastAsia"/>
                <w:color w:val="000000"/>
                <w:sz w:val="21"/>
                <w:szCs w:val="21"/>
              </w:rPr>
              <w:t>）</w:t>
            </w:r>
          </w:p>
        </w:tc>
        <w:tc>
          <w:tcPr>
            <w:tcW w:w="5124" w:type="dxa"/>
            <w:vAlign w:val="center"/>
          </w:tcPr>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w:t>
            </w:r>
            <w:r>
              <w:rPr>
                <w:rFonts w:hint="default" w:asciiTheme="minorEastAsia" w:hAnsiTheme="minorEastAsia" w:eastAsiaTheme="minorEastAsia" w:cstheme="minorEastAsia"/>
                <w:color w:val="000000"/>
                <w:sz w:val="21"/>
                <w:szCs w:val="21"/>
              </w:rPr>
              <w:t>9</w:t>
            </w:r>
            <w:r>
              <w:rPr>
                <w:rFonts w:hint="eastAsia" w:asciiTheme="minorEastAsia" w:hAnsiTheme="minorEastAsia" w:eastAsiaTheme="minorEastAsia" w:cstheme="minorEastAsia"/>
                <w:color w:val="000000"/>
                <w:sz w:val="21"/>
                <w:szCs w:val="21"/>
              </w:rPr>
              <w:t>年1月1日至今完成过质量合格的</w:t>
            </w:r>
            <w:r>
              <w:rPr>
                <w:rFonts w:hint="eastAsia" w:asciiTheme="minorEastAsia" w:hAnsiTheme="minorEastAsia" w:eastAsiaTheme="minorEastAsia" w:cstheme="minorEastAsia"/>
                <w:color w:val="000000"/>
                <w:sz w:val="21"/>
                <w:szCs w:val="21"/>
                <w:lang w:val="en-US" w:eastAsia="zh-Hans"/>
              </w:rPr>
              <w:t>类似项目业绩</w:t>
            </w:r>
            <w:r>
              <w:rPr>
                <w:rFonts w:hint="eastAsia" w:asciiTheme="minorEastAsia" w:hAnsiTheme="minorEastAsia" w:eastAsiaTheme="minorEastAsia" w:cstheme="minorEastAsia"/>
                <w:color w:val="000000"/>
                <w:sz w:val="21"/>
                <w:szCs w:val="21"/>
              </w:rPr>
              <w:t>：</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获得国家级奖项的一项得</w:t>
            </w:r>
            <w:r>
              <w:rPr>
                <w:rFonts w:hint="default"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Hans"/>
              </w:rPr>
              <w:t>.</w:t>
            </w:r>
            <w:r>
              <w:rPr>
                <w:rFonts w:hint="default" w:asciiTheme="minorEastAsia" w:hAnsiTheme="minorEastAsia" w:eastAsiaTheme="minorEastAsia" w:cstheme="minorEastAsia"/>
                <w:color w:val="000000"/>
                <w:sz w:val="21"/>
                <w:szCs w:val="21"/>
                <w:lang w:eastAsia="zh-Hans"/>
              </w:rPr>
              <w:t>5</w:t>
            </w:r>
            <w:r>
              <w:rPr>
                <w:rFonts w:hint="eastAsia" w:asciiTheme="minorEastAsia" w:hAnsiTheme="minorEastAsia" w:eastAsiaTheme="minorEastAsia" w:cstheme="minorEastAsia"/>
                <w:color w:val="000000"/>
                <w:sz w:val="21"/>
                <w:szCs w:val="21"/>
              </w:rPr>
              <w:t>分；</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获得省级奖项的一项得</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分；</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市级奖项一项得</w:t>
            </w:r>
            <w:r>
              <w:rPr>
                <w:rFonts w:hint="default" w:asciiTheme="minorEastAsia" w:hAnsiTheme="minorEastAsia" w:eastAsiaTheme="minorEastAsia" w:cstheme="minorEastAsia"/>
                <w:color w:val="000000"/>
                <w:sz w:val="21"/>
                <w:szCs w:val="21"/>
              </w:rPr>
              <w:t>0</w:t>
            </w:r>
            <w:r>
              <w:rPr>
                <w:rFonts w:hint="eastAsia" w:asciiTheme="minorEastAsia" w:hAnsiTheme="minorEastAsia" w:eastAsiaTheme="minorEastAsia" w:cstheme="minorEastAsia"/>
                <w:color w:val="000000"/>
                <w:sz w:val="21"/>
                <w:szCs w:val="21"/>
                <w:lang w:val="en-US" w:eastAsia="zh-Hans"/>
              </w:rPr>
              <w:t>.</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分。</w:t>
            </w:r>
          </w:p>
          <w:p>
            <w:pPr>
              <w:spacing w:line="360" w:lineRule="auto"/>
              <w:contextualSpacing/>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本项相同业绩按最高奖项得分，且最多得</w:t>
            </w:r>
            <w:r>
              <w:rPr>
                <w:rFonts w:hint="default"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1249" w:type="dxa"/>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1313" w:type="dxa"/>
            <w:gridSpan w:val="2"/>
            <w:vMerge w:val="continue"/>
            <w:vAlign w:val="center"/>
          </w:tcPr>
          <w:p>
            <w:pPr>
              <w:spacing w:line="360" w:lineRule="auto"/>
              <w:jc w:val="center"/>
              <w:rPr>
                <w:rFonts w:hint="eastAsia" w:asciiTheme="minorEastAsia" w:hAnsiTheme="minorEastAsia" w:eastAsiaTheme="minorEastAsia" w:cstheme="minorEastAsia"/>
                <w:sz w:val="21"/>
                <w:szCs w:val="21"/>
              </w:rPr>
            </w:pPr>
          </w:p>
        </w:tc>
        <w:tc>
          <w:tcPr>
            <w:tcW w:w="2561" w:type="dxa"/>
            <w:vAlign w:val="center"/>
          </w:tcPr>
          <w:p>
            <w:pPr>
              <w:spacing w:line="360" w:lineRule="auto"/>
              <w:contextualSpacing/>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总监理工程师资历</w:t>
            </w:r>
          </w:p>
          <w:p>
            <w:pPr>
              <w:spacing w:line="360" w:lineRule="auto"/>
              <w:contextualSpacing/>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000000"/>
                <w:sz w:val="21"/>
                <w:szCs w:val="21"/>
              </w:rPr>
              <w:t>（</w:t>
            </w:r>
            <w:r>
              <w:rPr>
                <w:rFonts w:hint="default"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000000"/>
                <w:sz w:val="21"/>
                <w:szCs w:val="21"/>
              </w:rPr>
              <w:t>分）</w:t>
            </w:r>
          </w:p>
        </w:tc>
        <w:tc>
          <w:tcPr>
            <w:tcW w:w="5124" w:type="dxa"/>
            <w:vAlign w:val="center"/>
          </w:tcPr>
          <w:p>
            <w:pPr>
              <w:spacing w:line="360" w:lineRule="auto"/>
              <w:contextualSpacing/>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lang w:val="en-US" w:eastAsia="zh-Hans"/>
              </w:rPr>
              <w:t>拟派总监理工程师</w:t>
            </w:r>
            <w:r>
              <w:rPr>
                <w:rFonts w:hint="eastAsia" w:asciiTheme="minorEastAsia" w:hAnsiTheme="minorEastAsia" w:eastAsiaTheme="minorEastAsia" w:cstheme="minorEastAsia"/>
                <w:b w:val="0"/>
                <w:color w:val="000000"/>
                <w:sz w:val="21"/>
                <w:szCs w:val="21"/>
              </w:rPr>
              <w:t>具有工程师职称得</w:t>
            </w:r>
            <w:r>
              <w:rPr>
                <w:rFonts w:hint="default" w:asciiTheme="minorEastAsia" w:hAnsiTheme="minorEastAsia" w:eastAsiaTheme="minorEastAsia" w:cstheme="minorEastAsia"/>
                <w:b w:val="0"/>
                <w:color w:val="000000"/>
                <w:sz w:val="21"/>
                <w:szCs w:val="21"/>
              </w:rPr>
              <w:t>1</w:t>
            </w:r>
            <w:r>
              <w:rPr>
                <w:rFonts w:hint="eastAsia" w:asciiTheme="minorEastAsia" w:hAnsiTheme="minorEastAsia" w:eastAsiaTheme="minorEastAsia" w:cstheme="minorEastAsia"/>
                <w:b w:val="0"/>
                <w:color w:val="000000"/>
                <w:sz w:val="21"/>
                <w:szCs w:val="21"/>
              </w:rPr>
              <w:t>分</w:t>
            </w:r>
            <w:r>
              <w:rPr>
                <w:rFonts w:hint="eastAsia" w:asciiTheme="minorEastAsia" w:hAnsiTheme="minorEastAsia" w:eastAsiaTheme="minorEastAsia" w:cstheme="minorEastAsia"/>
                <w:b w:val="0"/>
                <w:color w:val="000000"/>
                <w:sz w:val="21"/>
                <w:szCs w:val="21"/>
                <w:lang w:eastAsia="zh-CN"/>
              </w:rPr>
              <w:t>，</w:t>
            </w:r>
            <w:r>
              <w:rPr>
                <w:rFonts w:hint="eastAsia"/>
                <w:lang w:val="en-US" w:eastAsia="zh-Hans"/>
              </w:rPr>
              <w:t>具有</w:t>
            </w:r>
            <w:r>
              <w:rPr>
                <w:rFonts w:hint="eastAsia"/>
              </w:rPr>
              <w:t>高级职称</w:t>
            </w:r>
            <w:r>
              <w:rPr>
                <w:rFonts w:hint="eastAsia" w:asciiTheme="minorEastAsia" w:hAnsiTheme="minorEastAsia" w:eastAsiaTheme="minorEastAsia" w:cstheme="minorEastAsia"/>
                <w:b w:val="0"/>
                <w:color w:val="000000"/>
                <w:sz w:val="21"/>
                <w:szCs w:val="21"/>
              </w:rPr>
              <w:t>或以上</w:t>
            </w:r>
            <w:r>
              <w:rPr>
                <w:rFonts w:hint="eastAsia"/>
                <w:lang w:val="en-US" w:eastAsia="zh-Hans"/>
              </w:rPr>
              <w:t>职称得</w:t>
            </w:r>
            <w:r>
              <w:rPr>
                <w:rFonts w:hint="default"/>
                <w:lang w:eastAsia="zh-Hans"/>
              </w:rPr>
              <w:t>2</w:t>
            </w:r>
            <w:r>
              <w:rPr>
                <w:rFonts w:hint="eastAsia"/>
                <w:lang w:val="en-US" w:eastAsia="zh-Hans"/>
              </w:rPr>
              <w:t>分</w:t>
            </w:r>
            <w:r>
              <w:rPr>
                <w:rFonts w:hint="default"/>
                <w:lang w:eastAsia="zh-Hans"/>
              </w:rPr>
              <w:t>，</w:t>
            </w:r>
            <w:r>
              <w:rPr>
                <w:rFonts w:hint="eastAsia"/>
                <w:lang w:val="en-US" w:eastAsia="zh-Hans"/>
              </w:rPr>
              <w:t>有正高</w:t>
            </w:r>
            <w:r>
              <w:rPr>
                <w:rFonts w:hint="default"/>
                <w:lang w:eastAsia="zh-Hans"/>
              </w:rPr>
              <w:t>（</w:t>
            </w:r>
            <w:r>
              <w:rPr>
                <w:rFonts w:hint="eastAsia"/>
                <w:lang w:val="en-US" w:eastAsia="zh-Hans"/>
              </w:rPr>
              <w:t>教授级</w:t>
            </w:r>
            <w:r>
              <w:rPr>
                <w:rFonts w:hint="default"/>
                <w:lang w:eastAsia="zh-Hans"/>
              </w:rPr>
              <w:t>）</w:t>
            </w:r>
            <w:r>
              <w:rPr>
                <w:rFonts w:hint="eastAsia"/>
                <w:lang w:val="en-US" w:eastAsia="zh-Hans"/>
              </w:rPr>
              <w:t>职称得</w:t>
            </w:r>
            <w:r>
              <w:rPr>
                <w:rFonts w:hint="default"/>
                <w:lang w:eastAsia="zh-Hans"/>
              </w:rPr>
              <w:t>3</w:t>
            </w:r>
            <w:r>
              <w:rPr>
                <w:rFonts w:hint="eastAsia"/>
                <w:lang w:val="en-US" w:eastAsia="zh-Hans"/>
              </w:rPr>
              <w:t>分</w:t>
            </w:r>
            <w:r>
              <w:rPr>
                <w:rFonts w:hint="default"/>
                <w:lang w:eastAsia="zh-Hans"/>
              </w:rPr>
              <w:t>，</w:t>
            </w:r>
            <w:r>
              <w:rPr>
                <w:rFonts w:hint="eastAsia" w:asciiTheme="minorEastAsia" w:hAnsiTheme="minorEastAsia" w:eastAsiaTheme="minorEastAsia" w:cstheme="minorEastAsia"/>
                <w:b w:val="0"/>
                <w:color w:val="000000"/>
                <w:sz w:val="21"/>
                <w:szCs w:val="21"/>
              </w:rPr>
              <w:t>否则不得分。</w:t>
            </w:r>
          </w:p>
          <w:p>
            <w:pPr>
              <w:spacing w:line="360" w:lineRule="auto"/>
              <w:contextualSpacing/>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000000"/>
                <w:szCs w:val="21"/>
                <w:lang w:val="en-US" w:eastAsia="zh-Hans"/>
              </w:rPr>
              <w:t>注</w:t>
            </w:r>
            <w:r>
              <w:rPr>
                <w:rFonts w:hint="default" w:asciiTheme="minorEastAsia" w:hAnsiTheme="minorEastAsia" w:eastAsiaTheme="minorEastAsia" w:cstheme="minorEastAsia"/>
                <w:color w:val="000000"/>
                <w:szCs w:val="21"/>
                <w:lang w:eastAsia="zh-Hans"/>
              </w:rPr>
              <w:t>：</w:t>
            </w:r>
            <w:r>
              <w:rPr>
                <w:rFonts w:hint="eastAsia" w:asciiTheme="minorEastAsia" w:hAnsiTheme="minorEastAsia" w:eastAsiaTheme="minorEastAsia" w:cstheme="minorEastAsia"/>
                <w:color w:val="000000"/>
                <w:szCs w:val="21"/>
              </w:rPr>
              <w:t>须提供相关职称证书</w:t>
            </w:r>
            <w:r>
              <w:rPr>
                <w:rFonts w:hint="eastAsia" w:asciiTheme="minorEastAsia" w:hAnsiTheme="minorEastAsia" w:eastAsiaTheme="minorEastAsia" w:cstheme="minorEastAsia"/>
                <w:color w:val="000000"/>
                <w:szCs w:val="21"/>
                <w:lang w:val="en-US" w:eastAsia="zh-Hans"/>
              </w:rPr>
              <w:t>扫描件并按招标文件相关规定</w:t>
            </w:r>
            <w:r>
              <w:rPr>
                <w:rFonts w:hint="eastAsia" w:asciiTheme="minorEastAsia" w:hAnsiTheme="minorEastAsia" w:eastAsiaTheme="minorEastAsia" w:cstheme="minorEastAsia"/>
                <w:color w:val="000000"/>
                <w:szCs w:val="21"/>
              </w:rPr>
              <w:t>加盖</w:t>
            </w:r>
            <w:r>
              <w:rPr>
                <w:rFonts w:hint="eastAsia" w:asciiTheme="minorEastAsia" w:hAnsiTheme="minorEastAsia" w:eastAsiaTheme="minorEastAsia" w:cstheme="minorEastAsia"/>
                <w:color w:val="000000"/>
                <w:szCs w:val="21"/>
                <w:lang w:val="en-US" w:eastAsia="zh-Hans"/>
              </w:rPr>
              <w:t>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jc w:val="center"/>
        </w:trPr>
        <w:tc>
          <w:tcPr>
            <w:tcW w:w="1249" w:type="dxa"/>
            <w:vMerge w:val="continue"/>
            <w:vAlign w:val="center"/>
          </w:tcPr>
          <w:p>
            <w:pPr>
              <w:spacing w:line="360" w:lineRule="auto"/>
              <w:jc w:val="center"/>
              <w:rPr>
                <w:rFonts w:ascii="宋体" w:hAnsi="宋体"/>
                <w:b/>
                <w:color w:val="auto"/>
                <w:highlight w:val="none"/>
              </w:rPr>
            </w:pPr>
          </w:p>
        </w:tc>
        <w:tc>
          <w:tcPr>
            <w:tcW w:w="1313" w:type="dxa"/>
            <w:gridSpan w:val="2"/>
            <w:vMerge w:val="continue"/>
            <w:vAlign w:val="center"/>
          </w:tcPr>
          <w:p>
            <w:pPr>
              <w:spacing w:line="360" w:lineRule="auto"/>
              <w:jc w:val="center"/>
              <w:rPr>
                <w:rFonts w:ascii="宋体" w:hAnsi="宋体"/>
                <w:b/>
                <w:color w:val="auto"/>
                <w:highlight w:val="none"/>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Cs w:val="21"/>
              </w:rPr>
              <w:t>人员配备满足程度</w:t>
            </w:r>
          </w:p>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w:t>
            </w:r>
            <w:r>
              <w:rPr>
                <w:rFonts w:hint="default" w:ascii="宋体" w:hAnsi="宋体" w:cs="宋体"/>
                <w:color w:val="000000"/>
                <w:sz w:val="21"/>
                <w:szCs w:val="21"/>
                <w:lang w:eastAsia="zh-CN"/>
              </w:rPr>
              <w:t>5</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color w:val="auto"/>
              </w:rPr>
            </w:pPr>
            <w:r>
              <w:rPr>
                <w:rFonts w:hint="eastAsia"/>
              </w:rPr>
              <w:t>1、满足《第五章委托人要求》中“专业监理人员最低</w:t>
            </w:r>
            <w:r>
              <w:rPr>
                <w:rFonts w:hint="eastAsia"/>
                <w:color w:val="auto"/>
              </w:rPr>
              <w:t>配套要求”的得</w:t>
            </w:r>
            <w:r>
              <w:rPr>
                <w:rFonts w:hint="default"/>
                <w:color w:val="auto"/>
                <w:lang w:eastAsia="zh-CN"/>
              </w:rPr>
              <w:t>2</w:t>
            </w:r>
            <w:r>
              <w:rPr>
                <w:rFonts w:hint="eastAsia"/>
                <w:color w:val="auto"/>
              </w:rPr>
              <w:t>分，否则不得分。</w:t>
            </w:r>
          </w:p>
          <w:p>
            <w:pPr>
              <w:spacing w:line="360" w:lineRule="auto"/>
              <w:contextualSpacing/>
              <w:jc w:val="left"/>
              <w:rPr>
                <w:rFonts w:hint="default"/>
                <w:color w:val="auto"/>
                <w:lang w:eastAsia="zh-Hans"/>
              </w:rPr>
            </w:pPr>
            <w:r>
              <w:rPr>
                <w:rFonts w:hint="eastAsia"/>
                <w:color w:val="auto"/>
              </w:rPr>
              <w:t>2、在配备的专业监理</w:t>
            </w:r>
            <w:r>
              <w:rPr>
                <w:rFonts w:hint="eastAsia"/>
                <w:color w:val="auto"/>
                <w:lang w:val="en-US" w:eastAsia="zh-Hans"/>
              </w:rPr>
              <w:t>工程师</w:t>
            </w:r>
            <w:r>
              <w:rPr>
                <w:rFonts w:hint="eastAsia"/>
                <w:color w:val="auto"/>
              </w:rPr>
              <w:t>中，具有</w:t>
            </w:r>
            <w:r>
              <w:rPr>
                <w:rFonts w:hint="eastAsia"/>
                <w:color w:val="auto"/>
                <w:lang w:val="en-US" w:eastAsia="zh-Hans"/>
              </w:rPr>
              <w:t>相应</w:t>
            </w:r>
            <w:r>
              <w:rPr>
                <w:rFonts w:hint="eastAsia"/>
                <w:color w:val="auto"/>
              </w:rPr>
              <w:t>注册监理工程师资格</w:t>
            </w:r>
            <w:r>
              <w:rPr>
                <w:rFonts w:hint="eastAsia"/>
                <w:color w:val="auto"/>
                <w:lang w:val="en-US" w:eastAsia="zh-Hans"/>
              </w:rPr>
              <w:t>且</w:t>
            </w:r>
            <w:r>
              <w:rPr>
                <w:rFonts w:hint="eastAsia"/>
                <w:color w:val="auto"/>
              </w:rPr>
              <w:t>注册执业单位为本公司</w:t>
            </w:r>
            <w:r>
              <w:rPr>
                <w:rFonts w:hint="default"/>
                <w:color w:val="auto"/>
              </w:rPr>
              <w:t>，</w:t>
            </w:r>
            <w:r>
              <w:rPr>
                <w:rFonts w:hint="eastAsia"/>
                <w:color w:val="auto"/>
                <w:lang w:val="en-US" w:eastAsia="zh-Hans"/>
              </w:rPr>
              <w:t>每人加</w:t>
            </w:r>
            <w:r>
              <w:rPr>
                <w:rFonts w:hint="default"/>
                <w:color w:val="auto"/>
                <w:lang w:eastAsia="zh-Hans"/>
              </w:rPr>
              <w:t>1</w:t>
            </w:r>
            <w:r>
              <w:rPr>
                <w:rFonts w:hint="eastAsia"/>
                <w:color w:val="auto"/>
                <w:lang w:val="en-US" w:eastAsia="zh-Hans"/>
              </w:rPr>
              <w:t>分</w:t>
            </w:r>
            <w:r>
              <w:rPr>
                <w:rFonts w:hint="default"/>
                <w:color w:val="auto"/>
              </w:rPr>
              <w:t>；</w:t>
            </w:r>
            <w:r>
              <w:rPr>
                <w:rFonts w:hint="eastAsia"/>
                <w:color w:val="auto"/>
                <w:lang w:val="en-US" w:eastAsia="zh-Hans"/>
              </w:rPr>
              <w:t>本小项最多加</w:t>
            </w:r>
            <w:r>
              <w:rPr>
                <w:rFonts w:hint="default"/>
                <w:color w:val="auto"/>
                <w:lang w:eastAsia="zh-Hans"/>
              </w:rPr>
              <w:t>5</w:t>
            </w:r>
            <w:r>
              <w:rPr>
                <w:rFonts w:hint="eastAsia"/>
                <w:color w:val="auto"/>
                <w:lang w:val="en-US" w:eastAsia="zh-Hans"/>
              </w:rPr>
              <w:t>分</w:t>
            </w:r>
            <w:r>
              <w:rPr>
                <w:rFonts w:hint="default"/>
                <w:color w:val="auto"/>
                <w:lang w:eastAsia="zh-Hans"/>
              </w:rPr>
              <w:t>；</w:t>
            </w:r>
          </w:p>
          <w:p>
            <w:pPr>
              <w:spacing w:line="360" w:lineRule="auto"/>
              <w:contextualSpacing/>
              <w:jc w:val="left"/>
              <w:rPr>
                <w:rFonts w:hint="default"/>
                <w:color w:val="auto"/>
                <w:lang w:val="en-US" w:eastAsia="zh-Hans"/>
              </w:rPr>
            </w:pPr>
            <w:r>
              <w:rPr>
                <w:rFonts w:hint="eastAsia"/>
                <w:color w:val="auto"/>
                <w:lang w:val="en-US" w:eastAsia="zh-CN"/>
              </w:rPr>
              <w:t>3</w:t>
            </w:r>
            <w:r>
              <w:rPr>
                <w:rFonts w:hint="eastAsia"/>
                <w:color w:val="auto"/>
              </w:rPr>
              <w:t>、在配备的专业监理</w:t>
            </w:r>
            <w:r>
              <w:rPr>
                <w:rFonts w:hint="eastAsia"/>
                <w:color w:val="auto"/>
                <w:lang w:val="en-US" w:eastAsia="zh-Hans"/>
              </w:rPr>
              <w:t>工程师</w:t>
            </w:r>
            <w:r>
              <w:rPr>
                <w:rFonts w:hint="eastAsia"/>
                <w:color w:val="auto"/>
              </w:rPr>
              <w:t>中，</w:t>
            </w:r>
            <w:r>
              <w:rPr>
                <w:rFonts w:hint="eastAsia"/>
                <w:color w:val="auto"/>
                <w:lang w:val="en-US" w:eastAsia="zh-Hans"/>
              </w:rPr>
              <w:t>具有</w:t>
            </w:r>
            <w:r>
              <w:rPr>
                <w:rFonts w:hint="eastAsia"/>
                <w:color w:val="auto"/>
              </w:rPr>
              <w:t>高级职称的</w:t>
            </w:r>
            <w:r>
              <w:rPr>
                <w:rFonts w:hint="eastAsia"/>
                <w:color w:val="auto"/>
                <w:lang w:eastAsia="zh-CN"/>
              </w:rPr>
              <w:t>，</w:t>
            </w:r>
            <w:r>
              <w:rPr>
                <w:rFonts w:hint="eastAsia"/>
                <w:color w:val="auto"/>
              </w:rPr>
              <w:t>每人加</w:t>
            </w:r>
            <w:r>
              <w:rPr>
                <w:rFonts w:hint="default"/>
                <w:color w:val="auto"/>
                <w:lang w:eastAsia="zh-CN"/>
              </w:rPr>
              <w:t>2</w:t>
            </w:r>
            <w:r>
              <w:rPr>
                <w:rFonts w:hint="eastAsia"/>
                <w:color w:val="auto"/>
              </w:rPr>
              <w:t>分</w:t>
            </w:r>
            <w:r>
              <w:rPr>
                <w:rFonts w:hint="default"/>
                <w:color w:val="auto"/>
              </w:rPr>
              <w:t>，</w:t>
            </w:r>
            <w:r>
              <w:rPr>
                <w:rFonts w:hint="eastAsia"/>
                <w:color w:val="auto"/>
                <w:lang w:eastAsia="zh-CN"/>
              </w:rPr>
              <w:t>最多得</w:t>
            </w:r>
            <w:r>
              <w:rPr>
                <w:rFonts w:hint="eastAsia"/>
                <w:color w:val="auto"/>
                <w:lang w:val="en-US" w:eastAsia="zh-CN"/>
              </w:rPr>
              <w:t>6分；</w:t>
            </w:r>
            <w:r>
              <w:rPr>
                <w:rFonts w:hint="eastAsia"/>
                <w:color w:val="auto"/>
                <w:lang w:val="en-US" w:eastAsia="zh-Hans"/>
              </w:rPr>
              <w:t>具有正高</w:t>
            </w:r>
            <w:r>
              <w:rPr>
                <w:rFonts w:hint="default"/>
                <w:color w:val="auto"/>
                <w:lang w:eastAsia="zh-Hans"/>
              </w:rPr>
              <w:t>（</w:t>
            </w:r>
            <w:r>
              <w:rPr>
                <w:rFonts w:hint="eastAsia"/>
                <w:color w:val="auto"/>
                <w:lang w:val="en-US" w:eastAsia="zh-Hans"/>
              </w:rPr>
              <w:t>教授级</w:t>
            </w:r>
            <w:r>
              <w:rPr>
                <w:rFonts w:hint="default"/>
                <w:color w:val="auto"/>
                <w:lang w:eastAsia="zh-Hans"/>
              </w:rPr>
              <w:t>）</w:t>
            </w:r>
            <w:r>
              <w:rPr>
                <w:rFonts w:hint="eastAsia"/>
                <w:color w:val="auto"/>
                <w:lang w:val="en-US" w:eastAsia="zh-Hans"/>
              </w:rPr>
              <w:t>职称的</w:t>
            </w:r>
            <w:r>
              <w:rPr>
                <w:rFonts w:hint="default"/>
                <w:color w:val="auto"/>
                <w:lang w:eastAsia="zh-Hans"/>
              </w:rPr>
              <w:t>，</w:t>
            </w:r>
            <w:r>
              <w:rPr>
                <w:rFonts w:hint="eastAsia"/>
                <w:color w:val="auto"/>
                <w:lang w:val="en-US" w:eastAsia="zh-Hans"/>
              </w:rPr>
              <w:t>每人加</w:t>
            </w:r>
            <w:r>
              <w:rPr>
                <w:rFonts w:hint="default"/>
                <w:color w:val="auto"/>
                <w:lang w:eastAsia="zh-Hans"/>
              </w:rPr>
              <w:t>3</w:t>
            </w:r>
            <w:r>
              <w:rPr>
                <w:rFonts w:hint="eastAsia"/>
                <w:color w:val="auto"/>
                <w:lang w:val="en-US" w:eastAsia="zh-Hans"/>
              </w:rPr>
              <w:t>分</w:t>
            </w:r>
            <w:r>
              <w:rPr>
                <w:rFonts w:hint="eastAsia"/>
                <w:color w:val="auto"/>
              </w:rPr>
              <w:t>，</w:t>
            </w:r>
            <w:r>
              <w:rPr>
                <w:rFonts w:hint="eastAsia"/>
                <w:color w:val="auto"/>
                <w:lang w:eastAsia="zh-CN"/>
              </w:rPr>
              <w:t>最多得</w:t>
            </w:r>
            <w:r>
              <w:rPr>
                <w:rFonts w:hint="eastAsia"/>
                <w:color w:val="auto"/>
                <w:lang w:val="en-US" w:eastAsia="zh-CN"/>
              </w:rPr>
              <w:t>9分；</w:t>
            </w:r>
            <w:r>
              <w:rPr>
                <w:rFonts w:hint="eastAsia"/>
                <w:color w:val="auto"/>
                <w:lang w:val="en-US" w:eastAsia="zh-Hans"/>
              </w:rPr>
              <w:t>本小项最多加</w:t>
            </w:r>
            <w:r>
              <w:rPr>
                <w:rFonts w:hint="default"/>
                <w:color w:val="auto"/>
                <w:lang w:eastAsia="zh-CN"/>
              </w:rPr>
              <w:t>15</w:t>
            </w:r>
            <w:r>
              <w:rPr>
                <w:rFonts w:hint="eastAsia"/>
                <w:color w:val="auto"/>
              </w:rPr>
              <w:t>分。</w:t>
            </w:r>
          </w:p>
          <w:p>
            <w:pPr>
              <w:spacing w:line="360" w:lineRule="auto"/>
              <w:contextualSpacing/>
              <w:jc w:val="left"/>
              <w:rPr>
                <w:rFonts w:hint="eastAsia"/>
                <w:color w:val="auto"/>
              </w:rPr>
            </w:pPr>
            <w:r>
              <w:rPr>
                <w:rFonts w:hint="eastAsia"/>
                <w:color w:val="auto"/>
                <w:lang w:val="en-US" w:eastAsia="zh-CN"/>
              </w:rPr>
              <w:t>4</w:t>
            </w:r>
            <w:r>
              <w:rPr>
                <w:rFonts w:hint="eastAsia"/>
                <w:color w:val="auto"/>
              </w:rPr>
              <w:t>、在配备</w:t>
            </w:r>
            <w:r>
              <w:rPr>
                <w:rFonts w:hint="eastAsia"/>
                <w:color w:val="auto"/>
                <w:lang w:eastAsia="zh-CN"/>
              </w:rPr>
              <w:t>的</w:t>
            </w:r>
            <w:r>
              <w:rPr>
                <w:rFonts w:hint="eastAsia"/>
                <w:color w:val="auto"/>
              </w:rPr>
              <w:t>专业监理</w:t>
            </w:r>
            <w:r>
              <w:rPr>
                <w:rFonts w:hint="eastAsia"/>
                <w:color w:val="auto"/>
                <w:lang w:val="en-US" w:eastAsia="zh-Hans"/>
              </w:rPr>
              <w:t>工程师</w:t>
            </w:r>
            <w:r>
              <w:rPr>
                <w:rFonts w:hint="eastAsia"/>
                <w:color w:val="auto"/>
              </w:rPr>
              <w:t>中，获得过</w:t>
            </w:r>
            <w:r>
              <w:rPr>
                <w:rFonts w:hint="eastAsia"/>
                <w:color w:val="auto"/>
                <w:lang w:eastAsia="zh-CN"/>
              </w:rPr>
              <w:t>省级</w:t>
            </w:r>
            <w:r>
              <w:rPr>
                <w:rFonts w:hint="eastAsia"/>
                <w:color w:val="auto"/>
              </w:rPr>
              <w:t>或以上优秀监理工程师的每人得</w:t>
            </w:r>
            <w:r>
              <w:rPr>
                <w:rFonts w:hint="default"/>
                <w:color w:val="auto"/>
              </w:rPr>
              <w:t>1</w:t>
            </w:r>
            <w:r>
              <w:rPr>
                <w:rFonts w:hint="eastAsia"/>
                <w:color w:val="auto"/>
                <w:lang w:val="en-US" w:eastAsia="zh-Hans"/>
              </w:rPr>
              <w:t>.</w:t>
            </w:r>
            <w:r>
              <w:rPr>
                <w:rFonts w:hint="default"/>
                <w:color w:val="auto"/>
                <w:lang w:eastAsia="zh-Hans"/>
              </w:rPr>
              <w:t>5</w:t>
            </w:r>
            <w:r>
              <w:rPr>
                <w:rFonts w:hint="eastAsia"/>
                <w:color w:val="auto"/>
              </w:rPr>
              <w:t>分，最多加</w:t>
            </w:r>
            <w:r>
              <w:rPr>
                <w:rFonts w:hint="default"/>
                <w:color w:val="auto"/>
                <w:lang w:eastAsia="zh-CN"/>
              </w:rPr>
              <w:t>3</w:t>
            </w:r>
            <w:r>
              <w:rPr>
                <w:rFonts w:hint="eastAsia"/>
                <w:color w:val="auto"/>
              </w:rPr>
              <w:t>分。</w:t>
            </w:r>
          </w:p>
          <w:p>
            <w:pPr>
              <w:spacing w:line="360" w:lineRule="auto"/>
              <w:contextualSpacing/>
              <w:jc w:val="left"/>
              <w:rPr>
                <w:rFonts w:hint="eastAsia" w:eastAsia="宋体"/>
                <w:lang w:eastAsia="zh-CN"/>
              </w:rPr>
            </w:pPr>
            <w:r>
              <w:rPr>
                <w:rFonts w:hint="eastAsia"/>
                <w:lang w:val="en-US" w:eastAsia="zh-Hans"/>
              </w:rPr>
              <w:t>注</w:t>
            </w:r>
            <w:r>
              <w:rPr>
                <w:rFonts w:hint="default"/>
                <w:lang w:eastAsia="zh-Hans"/>
              </w:rPr>
              <w:t>：</w:t>
            </w:r>
            <w:r>
              <w:rPr>
                <w:rFonts w:hint="eastAsia"/>
              </w:rPr>
              <w:t>人员资历证明材料为满足该要求的相关证明资料，包括但不限于：身份证、职称证、学历证、注册执业资格证（上岗资格证）、</w:t>
            </w:r>
            <w:r>
              <w:rPr>
                <w:rFonts w:hint="eastAsia"/>
                <w:lang w:val="en-US" w:eastAsia="zh-CN"/>
              </w:rPr>
              <w:t>近一个月</w:t>
            </w:r>
            <w:r>
              <w:rPr>
                <w:rFonts w:hint="eastAsia"/>
              </w:rPr>
              <w:t>的社保证明(并加盖缴费证明专用章)或单位代缴个人所得税税单（社保证明含分支机构缴纳的社保证明）等。符合国家疫情期间特殊社保缴费原则的，提供相关说明</w:t>
            </w:r>
            <w:r>
              <w:rPr>
                <w:rFonts w:hint="eastAsia"/>
                <w:lang w:eastAsia="zh-CN"/>
              </w:rPr>
              <w:t>。各专业监理</w:t>
            </w:r>
            <w:r>
              <w:rPr>
                <w:rFonts w:hint="eastAsia" w:eastAsia="宋体"/>
                <w:lang w:eastAsia="zh-CN"/>
              </w:rPr>
              <w:t>工程师以专业监理工程师证书或注册监理工程师注册执业证书或毕业证或职称证上所列的相关专业为准。</w:t>
            </w:r>
          </w:p>
          <w:p>
            <w:pPr>
              <w:spacing w:line="360" w:lineRule="auto"/>
              <w:contextualSpacing/>
              <w:jc w:val="left"/>
              <w:rPr>
                <w:rFonts w:hint="default" w:eastAsia="黑体"/>
                <w:lang w:eastAsia="zh-Hans"/>
              </w:rPr>
            </w:pPr>
            <w:r>
              <w:rPr>
                <w:rFonts w:hint="eastAsia" w:eastAsia="宋体"/>
                <w:lang w:val="en-US" w:eastAsia="zh-Hans"/>
              </w:rPr>
              <w:t>资历证明需按招标文件相关规定加盖电子印章</w:t>
            </w:r>
            <w:r>
              <w:rPr>
                <w:rFonts w:hint="default"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1249" w:type="dxa"/>
            <w:vMerge w:val="continue"/>
            <w:vAlign w:val="center"/>
          </w:tcPr>
          <w:p>
            <w:pPr>
              <w:spacing w:line="360" w:lineRule="auto"/>
              <w:jc w:val="center"/>
              <w:rPr>
                <w:rFonts w:ascii="宋体" w:hAnsi="宋体"/>
                <w:b/>
                <w:color w:val="auto"/>
                <w:highlight w:val="none"/>
              </w:rPr>
            </w:pPr>
          </w:p>
        </w:tc>
        <w:tc>
          <w:tcPr>
            <w:tcW w:w="1313" w:type="dxa"/>
            <w:gridSpan w:val="2"/>
            <w:vMerge w:val="continue"/>
            <w:vAlign w:val="center"/>
          </w:tcPr>
          <w:p>
            <w:pPr>
              <w:spacing w:line="360" w:lineRule="auto"/>
              <w:jc w:val="center"/>
              <w:rPr>
                <w:rFonts w:ascii="宋体" w:hAnsi="宋体"/>
                <w:b/>
                <w:color w:val="auto"/>
                <w:highlight w:val="none"/>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纳税信用等级</w:t>
            </w:r>
          </w:p>
          <w:p>
            <w:pPr>
              <w:spacing w:line="360" w:lineRule="auto"/>
              <w:contextualSpacing/>
              <w:jc w:val="center"/>
              <w:rPr>
                <w:rFonts w:hint="eastAsia" w:ascii="宋体" w:hAnsi="宋体" w:eastAsia="宋体" w:cs="宋体"/>
                <w:b/>
                <w:color w:val="auto"/>
                <w:sz w:val="21"/>
                <w:szCs w:val="21"/>
                <w:highlight w:val="none"/>
              </w:rPr>
            </w:pPr>
            <w:r>
              <w:rPr>
                <w:rFonts w:hint="eastAsia" w:ascii="宋体" w:hAnsi="宋体" w:eastAsia="宋体" w:cs="宋体"/>
                <w:color w:val="000000"/>
                <w:sz w:val="21"/>
                <w:szCs w:val="21"/>
              </w:rPr>
              <w:t>（</w:t>
            </w:r>
            <w:r>
              <w:rPr>
                <w:rFonts w:hint="default" w:ascii="宋体" w:hAnsi="宋体" w:cs="宋体"/>
                <w:color w:val="000000"/>
                <w:sz w:val="21"/>
                <w:szCs w:val="21"/>
                <w:lang w:eastAsia="zh-CN"/>
              </w:rPr>
              <w:t>7</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Cs w:val="21"/>
              </w:rPr>
            </w:pPr>
            <w:r>
              <w:rPr>
                <w:rFonts w:hint="eastAsia" w:ascii="宋体" w:hAnsi="宋体" w:cs="宋体"/>
                <w:color w:val="000000"/>
                <w:szCs w:val="21"/>
                <w:lang w:eastAsia="zh-CN"/>
              </w:rPr>
              <w:t>投标人</w:t>
            </w:r>
            <w:r>
              <w:rPr>
                <w:rFonts w:hint="eastAsia" w:ascii="宋体" w:hAnsi="宋体" w:eastAsia="宋体" w:cs="宋体"/>
                <w:color w:val="000000"/>
                <w:szCs w:val="21"/>
              </w:rPr>
              <w:t>获得纳税信用等级A级或以上纳税人荣誉，按累计年数从多到少排名，第1-</w:t>
            </w:r>
            <w:r>
              <w:rPr>
                <w:rFonts w:hint="eastAsia" w:ascii="宋体" w:hAnsi="宋体" w:cs="宋体"/>
                <w:color w:val="000000"/>
                <w:szCs w:val="21"/>
                <w:lang w:val="en-US" w:eastAsia="zh-CN"/>
              </w:rPr>
              <w:t>2</w:t>
            </w:r>
            <w:r>
              <w:rPr>
                <w:rFonts w:hint="eastAsia" w:ascii="宋体" w:hAnsi="宋体" w:eastAsia="宋体" w:cs="宋体"/>
                <w:color w:val="000000"/>
                <w:szCs w:val="21"/>
              </w:rPr>
              <w:t>名得</w:t>
            </w:r>
            <w:r>
              <w:rPr>
                <w:rFonts w:hint="default" w:ascii="宋体" w:hAnsi="宋体" w:cs="宋体"/>
                <w:color w:val="000000"/>
                <w:szCs w:val="21"/>
                <w:lang w:eastAsia="zh-CN"/>
              </w:rPr>
              <w:t>7</w:t>
            </w:r>
            <w:r>
              <w:rPr>
                <w:rFonts w:hint="eastAsia" w:ascii="宋体" w:hAnsi="宋体" w:eastAsia="宋体" w:cs="宋体"/>
                <w:color w:val="000000"/>
                <w:szCs w:val="21"/>
              </w:rPr>
              <w:t>分，第</w:t>
            </w:r>
            <w:r>
              <w:rPr>
                <w:rFonts w:hint="eastAsia" w:ascii="宋体" w:hAnsi="宋体" w:cs="宋体"/>
                <w:color w:val="000000"/>
                <w:szCs w:val="21"/>
                <w:lang w:val="en-US" w:eastAsia="zh-CN"/>
              </w:rPr>
              <w:t>3</w:t>
            </w:r>
            <w:r>
              <w:rPr>
                <w:rFonts w:hint="eastAsia" w:ascii="宋体" w:hAnsi="宋体" w:eastAsia="宋体" w:cs="宋体"/>
                <w:color w:val="000000"/>
                <w:szCs w:val="21"/>
              </w:rPr>
              <w:t>-</w:t>
            </w:r>
            <w:r>
              <w:rPr>
                <w:rFonts w:hint="eastAsia" w:ascii="宋体" w:hAnsi="宋体" w:cs="宋体"/>
                <w:color w:val="000000"/>
                <w:szCs w:val="21"/>
                <w:lang w:val="en-US" w:eastAsia="zh-CN"/>
              </w:rPr>
              <w:t>4</w:t>
            </w:r>
            <w:r>
              <w:rPr>
                <w:rFonts w:hint="eastAsia" w:ascii="宋体" w:hAnsi="宋体" w:eastAsia="宋体" w:cs="宋体"/>
                <w:color w:val="000000"/>
                <w:szCs w:val="21"/>
              </w:rPr>
              <w:t>名得</w:t>
            </w:r>
            <w:r>
              <w:rPr>
                <w:rFonts w:hint="eastAsia" w:ascii="宋体" w:hAnsi="宋体" w:cs="宋体"/>
                <w:color w:val="000000"/>
                <w:szCs w:val="21"/>
                <w:lang w:val="en-US" w:eastAsia="zh-CN"/>
              </w:rPr>
              <w:t>6</w:t>
            </w:r>
            <w:r>
              <w:rPr>
                <w:rFonts w:hint="eastAsia" w:ascii="宋体" w:hAnsi="宋体" w:eastAsia="宋体" w:cs="宋体"/>
                <w:color w:val="000000"/>
                <w:szCs w:val="21"/>
              </w:rPr>
              <w:t>分，第</w:t>
            </w:r>
            <w:r>
              <w:rPr>
                <w:rFonts w:hint="eastAsia" w:ascii="宋体" w:hAnsi="宋体" w:cs="宋体"/>
                <w:color w:val="000000"/>
                <w:szCs w:val="21"/>
                <w:lang w:val="en-US" w:eastAsia="zh-CN"/>
              </w:rPr>
              <w:t>5</w:t>
            </w:r>
            <w:r>
              <w:rPr>
                <w:rFonts w:hint="eastAsia" w:ascii="宋体" w:hAnsi="宋体" w:eastAsia="宋体" w:cs="宋体"/>
                <w:color w:val="000000"/>
                <w:szCs w:val="21"/>
              </w:rPr>
              <w:t>-</w:t>
            </w:r>
            <w:r>
              <w:rPr>
                <w:rFonts w:hint="eastAsia" w:ascii="宋体" w:hAnsi="宋体" w:cs="宋体"/>
                <w:color w:val="000000"/>
                <w:szCs w:val="21"/>
                <w:lang w:val="en-US" w:eastAsia="zh-CN"/>
              </w:rPr>
              <w:t>6</w:t>
            </w:r>
            <w:r>
              <w:rPr>
                <w:rFonts w:hint="eastAsia" w:ascii="宋体" w:hAnsi="宋体" w:eastAsia="宋体" w:cs="宋体"/>
                <w:color w:val="000000"/>
                <w:szCs w:val="21"/>
              </w:rPr>
              <w:t>名得</w:t>
            </w:r>
            <w:r>
              <w:rPr>
                <w:rFonts w:hint="default" w:ascii="宋体" w:hAnsi="宋体" w:cs="宋体"/>
                <w:color w:val="000000"/>
                <w:szCs w:val="21"/>
                <w:lang w:eastAsia="zh-CN"/>
              </w:rPr>
              <w:t>5</w:t>
            </w:r>
            <w:r>
              <w:rPr>
                <w:rFonts w:hint="eastAsia" w:ascii="宋体" w:hAnsi="宋体" w:eastAsia="宋体" w:cs="宋体"/>
                <w:color w:val="000000"/>
                <w:szCs w:val="21"/>
              </w:rPr>
              <w:t>分，第</w:t>
            </w:r>
            <w:r>
              <w:rPr>
                <w:rFonts w:hint="eastAsia" w:ascii="宋体" w:hAnsi="宋体" w:cs="宋体"/>
                <w:color w:val="000000"/>
                <w:szCs w:val="21"/>
                <w:lang w:val="en-US" w:eastAsia="zh-CN"/>
              </w:rPr>
              <w:t>7</w:t>
            </w:r>
            <w:r>
              <w:rPr>
                <w:rFonts w:hint="eastAsia" w:ascii="宋体" w:hAnsi="宋体" w:eastAsia="宋体" w:cs="宋体"/>
                <w:color w:val="000000"/>
                <w:szCs w:val="21"/>
              </w:rPr>
              <w:t>名及之后的得</w:t>
            </w:r>
            <w:r>
              <w:rPr>
                <w:rFonts w:hint="default" w:ascii="宋体" w:hAnsi="宋体" w:cs="宋体"/>
                <w:color w:val="000000"/>
                <w:szCs w:val="21"/>
                <w:lang w:eastAsia="zh-CN"/>
              </w:rPr>
              <w:t>3</w:t>
            </w:r>
            <w:r>
              <w:rPr>
                <w:rFonts w:hint="eastAsia" w:ascii="宋体" w:hAnsi="宋体" w:eastAsia="宋体" w:cs="宋体"/>
                <w:color w:val="000000"/>
                <w:szCs w:val="21"/>
              </w:rPr>
              <w:t>分，没有的不得分。</w:t>
            </w:r>
          </w:p>
          <w:p>
            <w:pPr>
              <w:spacing w:line="36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color w:val="000000"/>
                <w:szCs w:val="21"/>
              </w:rPr>
              <w:t>（以“国家税务总局”官网（http://www.chinatax.gov.cn/index.html）查询结果为准，纳税人等级只计算投标人自身（不计算投标人的分公司和子公司）。投标人须提供在上述官网的查询结果网页打印件（不符合条件或无提交上述打印件的不计分）。若名次排列出现并列，则占用下一名次(如：第一名连续次数相同的投标人有N个，则该N个投标人并列为第一名，下一名按第N+1名计算，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1249" w:type="dxa"/>
            <w:vMerge w:val="continue"/>
            <w:vAlign w:val="center"/>
          </w:tcPr>
          <w:p>
            <w:pPr>
              <w:spacing w:line="360" w:lineRule="auto"/>
              <w:jc w:val="center"/>
              <w:rPr>
                <w:rFonts w:ascii="宋体" w:hAnsi="宋体"/>
                <w:b/>
                <w:color w:val="auto"/>
                <w:highlight w:val="none"/>
              </w:rPr>
            </w:pPr>
          </w:p>
        </w:tc>
        <w:tc>
          <w:tcPr>
            <w:tcW w:w="1313" w:type="dxa"/>
            <w:gridSpan w:val="2"/>
            <w:vMerge w:val="continue"/>
            <w:vAlign w:val="center"/>
          </w:tcPr>
          <w:p>
            <w:pPr>
              <w:spacing w:line="360" w:lineRule="auto"/>
              <w:jc w:val="center"/>
              <w:rPr>
                <w:rFonts w:ascii="宋体" w:hAnsi="宋体"/>
                <w:b/>
                <w:color w:val="auto"/>
                <w:highlight w:val="none"/>
              </w:rPr>
            </w:pPr>
          </w:p>
        </w:tc>
        <w:tc>
          <w:tcPr>
            <w:tcW w:w="2561" w:type="dxa"/>
            <w:vAlign w:val="center"/>
          </w:tcPr>
          <w:p>
            <w:pPr>
              <w:spacing w:line="360" w:lineRule="auto"/>
              <w:contextualSpacing/>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企业荣誉</w:t>
            </w:r>
          </w:p>
          <w:p>
            <w:pPr>
              <w:spacing w:line="360" w:lineRule="auto"/>
              <w:contextualSpacing/>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5124" w:type="dxa"/>
            <w:vAlign w:val="center"/>
          </w:tcPr>
          <w:p>
            <w:pPr>
              <w:spacing w:line="360" w:lineRule="auto"/>
              <w:contextualSpacing/>
              <w:jc w:val="left"/>
              <w:rPr>
                <w:rFonts w:hint="eastAsia" w:eastAsia="宋体"/>
                <w:lang w:val="en-US" w:eastAsia="zh-CN"/>
              </w:rPr>
            </w:pPr>
            <w:r>
              <w:rPr>
                <w:rFonts w:hint="eastAsia"/>
              </w:rPr>
              <w:t>201</w:t>
            </w:r>
            <w:r>
              <w:rPr>
                <w:rFonts w:hint="eastAsia"/>
                <w:lang w:val="en-US" w:eastAsia="zh-CN"/>
              </w:rPr>
              <w:t>9</w:t>
            </w:r>
            <w:r>
              <w:rPr>
                <w:rFonts w:hint="eastAsia"/>
              </w:rPr>
              <w:t>年1月1日至今，投标人项目技术管理成果获得省级或以上工程类科学技术奖项的，每个奖项得1分，最多得1</w:t>
            </w:r>
            <w:r>
              <w:rPr>
                <w:rFonts w:hint="eastAsia"/>
                <w:lang w:val="en-US" w:eastAsia="zh-CN"/>
              </w:rPr>
              <w:t>0</w:t>
            </w:r>
            <w:r>
              <w:rPr>
                <w:rFonts w:hint="eastAsia"/>
              </w:rPr>
              <w:t>分。时间以证书发证日期为准</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restart"/>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2.2.4（2）</w:t>
            </w:r>
          </w:p>
        </w:tc>
        <w:tc>
          <w:tcPr>
            <w:tcW w:w="1313" w:type="dxa"/>
            <w:gridSpan w:val="2"/>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w:t>
            </w:r>
            <w:r>
              <w:rPr>
                <w:rFonts w:hint="eastAsia" w:asciiTheme="minorEastAsia" w:hAnsiTheme="minorEastAsia" w:eastAsiaTheme="minorEastAsia" w:cstheme="minorEastAsia"/>
                <w:color w:val="auto"/>
                <w:spacing w:val="-3"/>
                <w:sz w:val="21"/>
                <w:szCs w:val="21"/>
                <w:highlight w:val="none"/>
              </w:rPr>
              <w:t>大</w:t>
            </w:r>
            <w:r>
              <w:rPr>
                <w:rFonts w:hint="eastAsia" w:asciiTheme="minorEastAsia" w:hAnsiTheme="minorEastAsia" w:eastAsiaTheme="minorEastAsia" w:cstheme="minorEastAsia"/>
                <w:color w:val="auto"/>
                <w:sz w:val="21"/>
                <w:szCs w:val="21"/>
                <w:highlight w:val="none"/>
              </w:rPr>
              <w:t>纲</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评分</w:t>
            </w:r>
            <w:r>
              <w:rPr>
                <w:rFonts w:hint="eastAsia" w:asciiTheme="minorEastAsia" w:hAnsiTheme="minorEastAsia" w:eastAsiaTheme="minorEastAsia" w:cstheme="minorEastAsia"/>
                <w:color w:val="auto"/>
                <w:spacing w:val="-3"/>
                <w:sz w:val="21"/>
                <w:szCs w:val="21"/>
                <w:highlight w:val="none"/>
              </w:rPr>
              <w:t>标</w:t>
            </w:r>
            <w:r>
              <w:rPr>
                <w:rFonts w:hint="eastAsia" w:asciiTheme="minorEastAsia" w:hAnsiTheme="minorEastAsia" w:eastAsiaTheme="minorEastAsia" w:cstheme="minorEastAsia"/>
                <w:color w:val="auto"/>
                <w:sz w:val="21"/>
                <w:szCs w:val="21"/>
                <w:highlight w:val="none"/>
              </w:rPr>
              <w:t>准</w:t>
            </w:r>
          </w:p>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default"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z w:val="21"/>
                <w:szCs w:val="21"/>
                <w:highlight w:val="none"/>
              </w:rPr>
              <w:t>分）</w:t>
            </w: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投资控制措施（</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sz w:val="21"/>
                <w:szCs w:val="21"/>
              </w:rPr>
            </w:pPr>
            <w:r>
              <w:rPr>
                <w:rFonts w:hint="eastAsia" w:ascii="宋体" w:hAnsi="宋体" w:eastAsia="宋体" w:cs="宋体"/>
                <w:color w:val="000000"/>
                <w:sz w:val="21"/>
                <w:szCs w:val="21"/>
              </w:rPr>
              <w:t>要求目标明确、方法合理可行、措施具体、针对性强。措施为优得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分；良得</w:t>
            </w:r>
            <w:r>
              <w:rPr>
                <w:rFonts w:hint="default" w:ascii="宋体" w:hAnsi="宋体" w:cs="宋体"/>
                <w:color w:val="000000"/>
                <w:sz w:val="21"/>
                <w:szCs w:val="21"/>
                <w:lang w:eastAsia="zh-CN"/>
              </w:rPr>
              <w:t>2</w:t>
            </w:r>
            <w:r>
              <w:rPr>
                <w:rFonts w:hint="eastAsia" w:ascii="宋体" w:hAnsi="宋体" w:eastAsia="宋体" w:cs="宋体"/>
                <w:color w:val="000000"/>
                <w:sz w:val="21"/>
                <w:szCs w:val="21"/>
              </w:rPr>
              <w:t>分；一般得</w:t>
            </w:r>
            <w:r>
              <w:rPr>
                <w:rFonts w:hint="default" w:ascii="宋体" w:hAnsi="宋体" w:cs="宋体"/>
                <w:color w:val="000000"/>
                <w:sz w:val="21"/>
                <w:szCs w:val="21"/>
                <w:lang w:eastAsia="zh-CN"/>
              </w:rPr>
              <w:t>1</w:t>
            </w:r>
            <w:r>
              <w:rPr>
                <w:rFonts w:hint="eastAsia" w:ascii="宋体" w:hAnsi="宋体" w:eastAsia="宋体" w:cs="宋体"/>
                <w:color w:val="000000"/>
                <w:sz w:val="21"/>
                <w:szCs w:val="21"/>
              </w:rPr>
              <w:t>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进度控制措施（</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要求目标明确、方法合理可行、措施具体、针对性强。措施为优得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分；良得</w:t>
            </w:r>
            <w:r>
              <w:rPr>
                <w:rFonts w:hint="default" w:ascii="宋体" w:hAnsi="宋体" w:cs="宋体"/>
                <w:color w:val="000000"/>
                <w:sz w:val="21"/>
                <w:szCs w:val="21"/>
                <w:lang w:eastAsia="zh-CN"/>
              </w:rPr>
              <w:t>2</w:t>
            </w:r>
            <w:r>
              <w:rPr>
                <w:rFonts w:hint="eastAsia" w:ascii="宋体" w:hAnsi="宋体" w:eastAsia="宋体" w:cs="宋体"/>
                <w:color w:val="000000"/>
                <w:sz w:val="21"/>
                <w:szCs w:val="21"/>
              </w:rPr>
              <w:t>分；一般得</w:t>
            </w:r>
            <w:r>
              <w:rPr>
                <w:rFonts w:hint="default" w:ascii="宋体" w:hAnsi="宋体" w:cs="宋体"/>
                <w:color w:val="000000"/>
                <w:sz w:val="21"/>
                <w:szCs w:val="21"/>
                <w:lang w:eastAsia="zh-CN"/>
              </w:rPr>
              <w:t>1</w:t>
            </w:r>
            <w:r>
              <w:rPr>
                <w:rFonts w:hint="eastAsia" w:ascii="宋体" w:hAnsi="宋体" w:eastAsia="宋体" w:cs="宋体"/>
                <w:color w:val="000000"/>
                <w:sz w:val="21"/>
                <w:szCs w:val="21"/>
              </w:rPr>
              <w:t>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质量控制措施（</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要求目标明确、方法合理可行、措施具体、针对性强。措施为优得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分；良得</w:t>
            </w:r>
            <w:r>
              <w:rPr>
                <w:rFonts w:hint="default" w:ascii="宋体" w:hAnsi="宋体" w:cs="宋体"/>
                <w:color w:val="000000"/>
                <w:sz w:val="21"/>
                <w:szCs w:val="21"/>
                <w:lang w:eastAsia="zh-CN"/>
              </w:rPr>
              <w:t>2</w:t>
            </w:r>
            <w:r>
              <w:rPr>
                <w:rFonts w:hint="eastAsia" w:ascii="宋体" w:hAnsi="宋体" w:eastAsia="宋体" w:cs="宋体"/>
                <w:color w:val="000000"/>
                <w:sz w:val="21"/>
                <w:szCs w:val="21"/>
              </w:rPr>
              <w:t>分；一般得</w:t>
            </w:r>
            <w:r>
              <w:rPr>
                <w:rFonts w:hint="default" w:ascii="宋体" w:hAnsi="宋体" w:cs="宋体"/>
                <w:color w:val="000000"/>
                <w:sz w:val="21"/>
                <w:szCs w:val="21"/>
                <w:lang w:eastAsia="zh-CN"/>
              </w:rPr>
              <w:t>1</w:t>
            </w:r>
            <w:r>
              <w:rPr>
                <w:rFonts w:hint="eastAsia" w:ascii="宋体" w:hAnsi="宋体" w:eastAsia="宋体" w:cs="宋体"/>
                <w:color w:val="000000"/>
                <w:sz w:val="21"/>
                <w:szCs w:val="21"/>
              </w:rPr>
              <w:t>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合同管理、信息管理</w:t>
            </w:r>
          </w:p>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合同管理、信息管理方法针对性强、措施具体得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分；基本可行得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分；措施不得力或无措施的不得分。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组织协调（</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协调方法清晰合理、有具体措施。优得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分；良得</w:t>
            </w:r>
            <w:r>
              <w:rPr>
                <w:rFonts w:hint="default" w:ascii="宋体" w:hAnsi="宋体" w:cs="宋体"/>
                <w:color w:val="000000"/>
                <w:sz w:val="21"/>
                <w:szCs w:val="21"/>
                <w:lang w:eastAsia="zh-CN"/>
              </w:rPr>
              <w:t>2</w:t>
            </w:r>
            <w:r>
              <w:rPr>
                <w:rFonts w:hint="eastAsia" w:ascii="宋体" w:hAnsi="宋体" w:eastAsia="宋体" w:cs="宋体"/>
                <w:color w:val="000000"/>
                <w:sz w:val="21"/>
                <w:szCs w:val="21"/>
              </w:rPr>
              <w:t>分；一般得</w:t>
            </w:r>
            <w:r>
              <w:rPr>
                <w:rFonts w:hint="default" w:ascii="宋体" w:hAnsi="宋体" w:cs="宋体"/>
                <w:color w:val="000000"/>
                <w:sz w:val="21"/>
                <w:szCs w:val="21"/>
                <w:lang w:eastAsia="zh-CN"/>
              </w:rPr>
              <w:t>1</w:t>
            </w:r>
            <w:r>
              <w:rPr>
                <w:rFonts w:hint="eastAsia" w:ascii="宋体" w:hAnsi="宋体" w:eastAsia="宋体" w:cs="宋体"/>
                <w:color w:val="000000"/>
                <w:sz w:val="21"/>
                <w:szCs w:val="21"/>
              </w:rPr>
              <w:t>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监理工作程序（</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有清晰的工作流程图、工作准则。满足要求得</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分；基本满足得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分；不满足要求或无措施不得分。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安全、文明施工管理</w:t>
            </w:r>
          </w:p>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管理措施优得 </w:t>
            </w:r>
            <w:r>
              <w:rPr>
                <w:rFonts w:hint="default" w:ascii="宋体" w:hAnsi="宋体" w:cs="宋体"/>
                <w:color w:val="000000"/>
                <w:sz w:val="21"/>
                <w:szCs w:val="21"/>
                <w:lang w:eastAsia="zh-CN"/>
              </w:rPr>
              <w:t>3</w:t>
            </w:r>
            <w:r>
              <w:rPr>
                <w:rFonts w:hint="eastAsia" w:ascii="宋体" w:hAnsi="宋体" w:eastAsia="宋体" w:cs="宋体"/>
                <w:color w:val="000000"/>
                <w:sz w:val="21"/>
                <w:szCs w:val="21"/>
              </w:rPr>
              <w:t>分；良得</w:t>
            </w:r>
            <w:r>
              <w:rPr>
                <w:rFonts w:hint="default" w:ascii="宋体" w:hAnsi="宋体" w:cs="宋体"/>
                <w:color w:val="000000"/>
                <w:sz w:val="21"/>
                <w:szCs w:val="21"/>
                <w:lang w:eastAsia="zh-CN"/>
              </w:rPr>
              <w:t>2</w:t>
            </w:r>
            <w:r>
              <w:rPr>
                <w:rFonts w:hint="eastAsia" w:ascii="宋体" w:hAnsi="宋体" w:eastAsia="宋体" w:cs="宋体"/>
                <w:color w:val="000000"/>
                <w:sz w:val="21"/>
                <w:szCs w:val="21"/>
              </w:rPr>
              <w:t>分；一般得</w:t>
            </w:r>
            <w:r>
              <w:rPr>
                <w:rFonts w:hint="default" w:ascii="宋体" w:hAnsi="宋体" w:cs="宋体"/>
                <w:color w:val="000000"/>
                <w:sz w:val="21"/>
                <w:szCs w:val="21"/>
                <w:lang w:eastAsia="zh-CN"/>
              </w:rPr>
              <w:t>1</w:t>
            </w:r>
            <w:r>
              <w:rPr>
                <w:rFonts w:hint="eastAsia" w:ascii="宋体" w:hAnsi="宋体" w:eastAsia="宋体" w:cs="宋体"/>
                <w:color w:val="000000"/>
                <w:sz w:val="21"/>
                <w:szCs w:val="21"/>
              </w:rPr>
              <w:t>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重点难点监控措施（3分）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要求针对性强、措施具体、可操作。优得3分；良得2分；一般得1分；差或无措施不得分。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工程进度款、工程结算的管理（</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c>
          <w:tcPr>
            <w:tcW w:w="5124" w:type="dxa"/>
            <w:vAlign w:val="center"/>
          </w:tcPr>
          <w:p>
            <w:pPr>
              <w:spacing w:line="360" w:lineRule="auto"/>
              <w:contextualSpacing/>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管理方法合理有效、有具体措施。优得 </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分；一般、措施不具体得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分；无管理的方法和措施不得分。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1249" w:type="dxa"/>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1313" w:type="dxa"/>
            <w:gridSpan w:val="2"/>
            <w:vMerge w:val="continue"/>
            <w:vAlign w:val="center"/>
          </w:tcPr>
          <w:p>
            <w:pPr>
              <w:snapToGrid w:val="0"/>
              <w:spacing w:line="360" w:lineRule="auto"/>
              <w:jc w:val="center"/>
              <w:rPr>
                <w:rFonts w:hint="eastAsia" w:asciiTheme="minorEastAsia" w:hAnsiTheme="minorEastAsia" w:eastAsiaTheme="minorEastAsia" w:cstheme="minorEastAsia"/>
                <w:color w:val="000000"/>
                <w:sz w:val="21"/>
                <w:szCs w:val="21"/>
              </w:rPr>
            </w:pP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合理化建议（</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w:t>
            </w:r>
          </w:p>
        </w:tc>
        <w:tc>
          <w:tcPr>
            <w:tcW w:w="5124" w:type="dxa"/>
            <w:vAlign w:val="center"/>
          </w:tcPr>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合理有效、有具体措施。优得 </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分；一般、措施不具体得</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分；无管理的方法和措施不得分。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jc w:val="center"/>
        </w:trPr>
        <w:tc>
          <w:tcPr>
            <w:tcW w:w="1249"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w:t>
            </w:r>
          </w:p>
          <w:p>
            <w:pPr>
              <w:snapToGrid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highlight w:val="none"/>
              </w:rPr>
              <w:t>（3）</w:t>
            </w:r>
          </w:p>
        </w:tc>
        <w:tc>
          <w:tcPr>
            <w:tcW w:w="1313" w:type="dxa"/>
            <w:gridSpan w:val="2"/>
            <w:vAlign w:val="center"/>
          </w:tcPr>
          <w:p>
            <w:pPr>
              <w:pStyle w:val="24"/>
              <w:kinsoku w:val="0"/>
              <w:overflowPunct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pacing w:val="-3"/>
                <w:sz w:val="21"/>
                <w:szCs w:val="21"/>
                <w:highlight w:val="none"/>
              </w:rPr>
              <w:t>报</w:t>
            </w:r>
            <w:r>
              <w:rPr>
                <w:rFonts w:hint="eastAsia" w:asciiTheme="minorEastAsia" w:hAnsiTheme="minorEastAsia" w:eastAsiaTheme="minorEastAsia" w:cstheme="minorEastAsia"/>
                <w:color w:val="auto"/>
                <w:sz w:val="21"/>
                <w:szCs w:val="21"/>
                <w:highlight w:val="none"/>
              </w:rPr>
              <w:t>价评分</w:t>
            </w:r>
            <w:r>
              <w:rPr>
                <w:rFonts w:hint="eastAsia" w:asciiTheme="minorEastAsia" w:hAnsiTheme="minorEastAsia" w:eastAsiaTheme="minorEastAsia" w:cstheme="minorEastAsia"/>
                <w:color w:val="auto"/>
                <w:spacing w:val="-3"/>
                <w:sz w:val="21"/>
                <w:szCs w:val="21"/>
                <w:highlight w:val="none"/>
              </w:rPr>
              <w:t>标</w:t>
            </w:r>
            <w:r>
              <w:rPr>
                <w:rFonts w:hint="eastAsia" w:asciiTheme="minorEastAsia" w:hAnsiTheme="minorEastAsia" w:eastAsiaTheme="minorEastAsia" w:cstheme="minorEastAsia"/>
                <w:color w:val="auto"/>
                <w:sz w:val="21"/>
                <w:szCs w:val="21"/>
                <w:highlight w:val="none"/>
              </w:rPr>
              <w:t>准</w:t>
            </w:r>
          </w:p>
          <w:p>
            <w:pPr>
              <w:snapToGrid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highlight w:val="none"/>
              </w:rPr>
              <w:t>（1</w:t>
            </w:r>
            <w:r>
              <w:rPr>
                <w:rFonts w:hint="default" w:asciiTheme="minorEastAsia" w:hAnsiTheme="minorEastAsia" w:eastAsiaTheme="minorEastAsia" w:cstheme="minorEastAsia"/>
                <w:color w:val="auto"/>
                <w:sz w:val="21"/>
                <w:szCs w:val="21"/>
                <w:highlight w:val="none"/>
                <w:lang w:eastAsia="zh-CN"/>
              </w:rPr>
              <w:t>0</w:t>
            </w:r>
            <w:r>
              <w:rPr>
                <w:rFonts w:hint="eastAsia" w:asciiTheme="minorEastAsia" w:hAnsiTheme="minorEastAsia" w:eastAsiaTheme="minorEastAsia" w:cstheme="minorEastAsia"/>
                <w:color w:val="auto"/>
                <w:sz w:val="21"/>
                <w:szCs w:val="21"/>
                <w:highlight w:val="none"/>
              </w:rPr>
              <w:t>分）</w:t>
            </w:r>
          </w:p>
        </w:tc>
        <w:tc>
          <w:tcPr>
            <w:tcW w:w="2561" w:type="dxa"/>
            <w:vAlign w:val="center"/>
          </w:tcPr>
          <w:p>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偏差率</w:t>
            </w:r>
          </w:p>
        </w:tc>
        <w:tc>
          <w:tcPr>
            <w:tcW w:w="5124" w:type="dxa"/>
            <w:vAlign w:val="center"/>
          </w:tcPr>
          <w:p>
            <w:pPr>
              <w:snapToGrid w:val="0"/>
              <w:spacing w:before="159" w:beforeLines="51" w:beforeAutospacing="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以评标基准价作为计算各有效投标价得分的基础，当有效投标报价等于评标基准价时得</w:t>
            </w:r>
            <w:r>
              <w:rPr>
                <w:rFonts w:hint="default" w:ascii="宋体" w:hAnsi="宋体" w:cs="宋体"/>
                <w:color w:val="000000"/>
                <w:sz w:val="21"/>
                <w:szCs w:val="21"/>
                <w:lang w:eastAsia="zh-CN"/>
              </w:rPr>
              <w:t>10</w:t>
            </w:r>
            <w:r>
              <w:rPr>
                <w:rFonts w:hint="eastAsia" w:ascii="宋体" w:hAnsi="宋体" w:eastAsia="宋体" w:cs="宋体"/>
                <w:color w:val="000000"/>
                <w:sz w:val="21"/>
                <w:szCs w:val="21"/>
              </w:rPr>
              <w:t>分；投标有效报价与评标基准价之差，每上偏1%扣1分，下偏1%扣0.5分，最多扣</w:t>
            </w:r>
            <w:r>
              <w:rPr>
                <w:rFonts w:hint="eastAsia" w:ascii="宋体" w:hAnsi="宋体" w:cs="宋体"/>
                <w:color w:val="000000"/>
                <w:sz w:val="21"/>
                <w:szCs w:val="21"/>
                <w:lang w:val="en-US" w:eastAsia="zh-CN"/>
              </w:rPr>
              <w:t>1</w:t>
            </w:r>
            <w:r>
              <w:rPr>
                <w:rFonts w:hint="default" w:ascii="宋体" w:hAnsi="宋体" w:cs="宋体"/>
                <w:color w:val="000000"/>
                <w:sz w:val="21"/>
                <w:szCs w:val="21"/>
                <w:lang w:eastAsia="zh-CN"/>
              </w:rPr>
              <w:t>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6" w:hRule="atLeast"/>
          <w:jc w:val="center"/>
        </w:trPr>
        <w:tc>
          <w:tcPr>
            <w:tcW w:w="1249" w:type="dxa"/>
            <w:vAlign w:val="center"/>
          </w:tcPr>
          <w:p>
            <w:pPr>
              <w:pStyle w:val="25"/>
              <w:spacing w:before="6" w:line="150" w:lineRule="exact"/>
              <w:ind w:left="-63" w:leftChars="-30" w:right="-111" w:rightChars="-53" w:firstLine="63" w:firstLineChars="30"/>
              <w:jc w:val="center"/>
              <w:rPr>
                <w:rStyle w:val="23"/>
                <w:rFonts w:hint="eastAsia" w:ascii="宋体" w:hAnsi="宋体" w:eastAsia="宋体" w:cs="宋体"/>
                <w:color w:val="auto"/>
                <w:sz w:val="21"/>
                <w:szCs w:val="21"/>
                <w:highlight w:val="none"/>
              </w:rPr>
            </w:pPr>
          </w:p>
          <w:p>
            <w:pPr>
              <w:pStyle w:val="25"/>
              <w:ind w:left="-63" w:leftChars="-30" w:right="-111" w:rightChars="-53" w:firstLine="63" w:firstLineChars="30"/>
              <w:jc w:val="center"/>
              <w:rPr>
                <w:rStyle w:val="23"/>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2.2.4</w:t>
            </w:r>
          </w:p>
          <w:p>
            <w:pPr>
              <w:pStyle w:val="25"/>
              <w:spacing w:before="4" w:line="110" w:lineRule="exact"/>
              <w:ind w:left="-63" w:leftChars="-30" w:right="-111" w:rightChars="-53" w:firstLine="63" w:firstLineChars="30"/>
              <w:jc w:val="center"/>
              <w:rPr>
                <w:rStyle w:val="23"/>
                <w:rFonts w:hint="eastAsia" w:ascii="宋体" w:hAnsi="宋体" w:eastAsia="宋体" w:cs="宋体"/>
                <w:color w:val="auto"/>
                <w:sz w:val="21"/>
                <w:szCs w:val="21"/>
                <w:highlight w:val="none"/>
              </w:rPr>
            </w:pPr>
          </w:p>
          <w:p>
            <w:pPr>
              <w:pStyle w:val="25"/>
              <w:ind w:left="-63" w:leftChars="-30" w:right="-111" w:rightChars="-53" w:firstLine="62" w:firstLineChars="30"/>
              <w:jc w:val="center"/>
              <w:rPr>
                <w:rFonts w:hint="eastAsia" w:asciiTheme="minorEastAsia" w:hAnsiTheme="minorEastAsia" w:eastAsiaTheme="minorEastAsia" w:cstheme="minorEastAsia"/>
                <w:color w:val="auto"/>
                <w:sz w:val="21"/>
                <w:szCs w:val="21"/>
                <w:highlight w:val="none"/>
              </w:rPr>
            </w:pPr>
            <w:r>
              <w:rPr>
                <w:rStyle w:val="23"/>
                <w:rFonts w:hint="eastAsia" w:ascii="宋体" w:hAnsi="宋体" w:eastAsia="宋体" w:cs="宋体"/>
                <w:color w:val="auto"/>
                <w:spacing w:val="-1"/>
                <w:sz w:val="21"/>
                <w:szCs w:val="21"/>
                <w:highlight w:val="none"/>
              </w:rPr>
              <w:t>（</w:t>
            </w:r>
            <w:r>
              <w:rPr>
                <w:rStyle w:val="23"/>
                <w:rFonts w:hint="eastAsia" w:ascii="宋体" w:hAnsi="宋体" w:eastAsia="宋体" w:cs="宋体"/>
                <w:color w:val="auto"/>
                <w:sz w:val="21"/>
                <w:szCs w:val="21"/>
                <w:highlight w:val="none"/>
              </w:rPr>
              <w:t>4）</w:t>
            </w:r>
          </w:p>
        </w:tc>
        <w:tc>
          <w:tcPr>
            <w:tcW w:w="1313" w:type="dxa"/>
            <w:gridSpan w:val="2"/>
            <w:vAlign w:val="center"/>
          </w:tcPr>
          <w:p>
            <w:pPr>
              <w:snapToGrid w:val="0"/>
              <w:jc w:val="center"/>
              <w:rPr>
                <w:rStyle w:val="23"/>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其他因素评分标准</w:t>
            </w:r>
          </w:p>
          <w:p>
            <w:pPr>
              <w:snapToGrid w:val="0"/>
              <w:jc w:val="center"/>
              <w:rPr>
                <w:rFonts w:hint="eastAsia" w:asciiTheme="minorEastAsia" w:hAnsiTheme="minorEastAsia" w:eastAsiaTheme="minorEastAsia" w:cstheme="minorEastAsia"/>
                <w:color w:val="auto"/>
                <w:sz w:val="21"/>
                <w:szCs w:val="21"/>
                <w:highlight w:val="none"/>
              </w:rPr>
            </w:pPr>
            <w:r>
              <w:rPr>
                <w:rStyle w:val="23"/>
                <w:rFonts w:hint="eastAsia" w:ascii="宋体" w:hAnsi="宋体" w:eastAsia="宋体" w:cs="宋体"/>
                <w:color w:val="auto"/>
                <w:sz w:val="21"/>
                <w:szCs w:val="21"/>
                <w:highlight w:val="none"/>
              </w:rPr>
              <w:t>（</w:t>
            </w:r>
            <w:r>
              <w:rPr>
                <w:rStyle w:val="23"/>
                <w:rFonts w:hint="default" w:ascii="宋体" w:hAnsi="宋体" w:eastAsia="宋体" w:cs="宋体"/>
                <w:color w:val="auto"/>
                <w:sz w:val="21"/>
                <w:szCs w:val="21"/>
                <w:highlight w:val="none"/>
                <w:lang w:eastAsia="zh-CN"/>
              </w:rPr>
              <w:t>5</w:t>
            </w:r>
            <w:r>
              <w:rPr>
                <w:rStyle w:val="23"/>
                <w:rFonts w:hint="eastAsia" w:ascii="宋体" w:hAnsi="宋体" w:eastAsia="宋体" w:cs="宋体"/>
                <w:color w:val="auto"/>
                <w:sz w:val="21"/>
                <w:szCs w:val="21"/>
                <w:highlight w:val="none"/>
              </w:rPr>
              <w:t>分）</w:t>
            </w:r>
          </w:p>
        </w:tc>
        <w:tc>
          <w:tcPr>
            <w:tcW w:w="2561" w:type="dxa"/>
            <w:vAlign w:val="center"/>
          </w:tcPr>
          <w:p>
            <w:pPr>
              <w:spacing w:line="440" w:lineRule="exact"/>
              <w:jc w:val="center"/>
              <w:rPr>
                <w:rStyle w:val="23"/>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诚信综合评价得分</w:t>
            </w:r>
          </w:p>
          <w:p>
            <w:pPr>
              <w:spacing w:line="440" w:lineRule="exact"/>
              <w:jc w:val="center"/>
              <w:rPr>
                <w:rFonts w:hint="eastAsia" w:ascii="宋体" w:hAnsi="宋体" w:eastAsia="宋体" w:cs="宋体"/>
                <w:color w:val="auto"/>
                <w:sz w:val="21"/>
                <w:szCs w:val="21"/>
                <w:highlight w:val="none"/>
              </w:rPr>
            </w:pPr>
            <w:r>
              <w:rPr>
                <w:rFonts w:hint="eastAsia" w:ascii="宋体" w:hAnsi="宋体"/>
                <w:bCs/>
                <w:color w:val="auto"/>
                <w:szCs w:val="21"/>
                <w:highlight w:val="none"/>
                <w:lang w:val="zh-CN"/>
              </w:rPr>
              <w:t>（</w:t>
            </w:r>
            <w:r>
              <w:rPr>
                <w:rFonts w:hint="default" w:ascii="宋体" w:hAnsi="宋体"/>
                <w:bCs/>
                <w:color w:val="auto"/>
                <w:szCs w:val="21"/>
                <w:highlight w:val="none"/>
                <w:lang w:eastAsia="zh-CN"/>
              </w:rPr>
              <w:t>5</w:t>
            </w:r>
            <w:r>
              <w:rPr>
                <w:rFonts w:hint="eastAsia" w:ascii="宋体" w:hAnsi="宋体"/>
                <w:bCs/>
                <w:color w:val="auto"/>
                <w:szCs w:val="21"/>
                <w:highlight w:val="none"/>
                <w:lang w:val="zh-CN"/>
              </w:rPr>
              <w:t>分）</w:t>
            </w:r>
          </w:p>
        </w:tc>
        <w:tc>
          <w:tcPr>
            <w:tcW w:w="5124" w:type="dxa"/>
            <w:vAlign w:val="center"/>
          </w:tcPr>
          <w:p>
            <w:pPr>
              <w:autoSpaceDE w:val="0"/>
              <w:autoSpaceDN w:val="0"/>
              <w:adjustRightInd w:val="0"/>
              <w:spacing w:before="159" w:beforeLines="51" w:beforeAutospacing="0" w:after="73" w:afterLines="23" w:afterAutospacing="0"/>
              <w:rPr>
                <w:b/>
                <w:szCs w:val="21"/>
              </w:rPr>
            </w:pPr>
            <w:r>
              <w:rPr>
                <w:rFonts w:hint="eastAsia"/>
                <w:b/>
                <w:szCs w:val="21"/>
              </w:rPr>
              <w:t>投标人诚信得分=诚信综合评价排名得分×</w:t>
            </w:r>
            <w:r>
              <w:rPr>
                <w:rFonts w:hint="default"/>
                <w:b/>
                <w:szCs w:val="21"/>
                <w:lang w:eastAsia="zh-CN"/>
              </w:rPr>
              <w:t>5</w:t>
            </w:r>
            <w:r>
              <w:rPr>
                <w:rFonts w:hint="eastAsia"/>
                <w:b/>
                <w:szCs w:val="21"/>
              </w:rPr>
              <w:t>%</w:t>
            </w:r>
          </w:p>
          <w:p>
            <w:pPr>
              <w:keepNext w:val="0"/>
              <w:keepLines w:val="0"/>
              <w:pageBreakBefore w:val="0"/>
              <w:widowControl w:val="0"/>
              <w:kinsoku/>
              <w:wordWrap/>
              <w:overflowPunct/>
              <w:topLinePunct w:val="0"/>
              <w:bidi w:val="0"/>
              <w:snapToGrid w:val="0"/>
              <w:spacing w:beforeAutospacing="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取广州市水务工程企业信息库及诚信中心网站（网址http://120.236.111.11：8001/#/website）公布的本项目投标登记第1天所在季度的上一季度“监理-给排水”诚信综合评价分；未入库企业或在广州市水务工程企业信息库及诚信中心网中尚无诚信排名的投标人，其诚信综合评价分按40分计算。</w:t>
            </w:r>
          </w:p>
        </w:tc>
      </w:tr>
    </w:tbl>
    <w:p>
      <w:pPr>
        <w:pStyle w:val="22"/>
        <w:rPr>
          <w:rFonts w:ascii="宋体" w:hAnsi="宋体"/>
          <w:color w:val="auto"/>
          <w:sz w:val="18"/>
          <w:szCs w:val="18"/>
          <w:highlight w:val="none"/>
        </w:rPr>
      </w:pPr>
    </w:p>
    <w:p>
      <w:pPr>
        <w:spacing w:line="360" w:lineRule="auto"/>
        <w:ind w:left="9" w:hanging="9" w:hangingChars="5"/>
        <w:rPr>
          <w:rFonts w:hint="default" w:ascii="宋体" w:hAnsi="宋体" w:cs="宋体"/>
          <w:color w:val="000000"/>
          <w:sz w:val="18"/>
          <w:szCs w:val="18"/>
        </w:rPr>
      </w:pPr>
      <w:bookmarkStart w:id="126" w:name="_Toc3822"/>
      <w:r>
        <w:rPr>
          <w:rFonts w:hint="eastAsia" w:ascii="宋体" w:hAnsi="宋体" w:cs="宋体"/>
          <w:color w:val="000000"/>
          <w:sz w:val="18"/>
          <w:szCs w:val="18"/>
        </w:rPr>
        <w:t>说明：（1）类似</w:t>
      </w:r>
      <w:r>
        <w:rPr>
          <w:rFonts w:hint="eastAsia" w:ascii="宋体" w:hAnsi="宋体" w:cs="宋体"/>
          <w:color w:val="000000"/>
          <w:sz w:val="18"/>
          <w:szCs w:val="18"/>
          <w:lang w:val="en-US" w:eastAsia="zh-Hans"/>
        </w:rPr>
        <w:t>项目</w:t>
      </w:r>
      <w:r>
        <w:rPr>
          <w:rFonts w:hint="eastAsia" w:ascii="宋体" w:hAnsi="宋体" w:cs="宋体"/>
          <w:color w:val="000000"/>
          <w:sz w:val="18"/>
          <w:szCs w:val="18"/>
        </w:rPr>
        <w:t>是指：招标公告第3点所述资质方能承接的</w:t>
      </w:r>
      <w:r>
        <w:rPr>
          <w:rFonts w:hint="eastAsia" w:ascii="宋体" w:hAnsi="宋体" w:cs="宋体"/>
          <w:color w:val="000000"/>
          <w:sz w:val="18"/>
          <w:szCs w:val="18"/>
          <w:lang w:val="en-US" w:eastAsia="zh-Hans"/>
        </w:rPr>
        <w:t>工程监理项目</w:t>
      </w:r>
      <w:r>
        <w:rPr>
          <w:rFonts w:hint="eastAsia" w:ascii="宋体" w:hAnsi="宋体" w:cs="宋体"/>
          <w:color w:val="000000"/>
          <w:sz w:val="18"/>
          <w:szCs w:val="18"/>
        </w:rPr>
        <w:t>，须同时提供中标通知书或免招标的相关证明、施工监理合同、竣工验收报告或竣工验收证明</w:t>
      </w:r>
      <w:r>
        <w:rPr>
          <w:rFonts w:hint="default" w:ascii="宋体" w:hAnsi="宋体" w:cs="宋体"/>
          <w:color w:val="000000"/>
          <w:sz w:val="18"/>
          <w:szCs w:val="18"/>
        </w:rPr>
        <w:t>，时间以竣工验收报告或竣工验收证明时间为准</w:t>
      </w:r>
      <w:r>
        <w:rPr>
          <w:rFonts w:hint="eastAsia" w:ascii="宋体" w:hAnsi="宋体" w:cs="宋体"/>
          <w:color w:val="000000"/>
          <w:sz w:val="18"/>
          <w:szCs w:val="18"/>
        </w:rPr>
        <w:t>。须提供相关</w:t>
      </w:r>
      <w:r>
        <w:rPr>
          <w:rFonts w:hint="eastAsia" w:ascii="宋体" w:hAnsi="宋体" w:cs="宋体"/>
          <w:color w:val="000000"/>
          <w:sz w:val="18"/>
          <w:szCs w:val="18"/>
          <w:lang w:val="en-US" w:eastAsia="zh-Hans"/>
        </w:rPr>
        <w:t>证明文件</w:t>
      </w:r>
      <w:r>
        <w:rPr>
          <w:rFonts w:hint="eastAsia" w:ascii="宋体" w:hAnsi="宋体" w:cs="宋体"/>
          <w:color w:val="000000"/>
          <w:sz w:val="18"/>
          <w:szCs w:val="18"/>
        </w:rPr>
        <w:t>扫描件并按招标文件相关规定加盖电子印章</w:t>
      </w:r>
      <w:r>
        <w:rPr>
          <w:rFonts w:hint="default" w:ascii="宋体" w:hAnsi="宋体" w:cs="宋体"/>
          <w:color w:val="000000"/>
          <w:sz w:val="18"/>
          <w:szCs w:val="18"/>
        </w:rPr>
        <w:t>。</w:t>
      </w:r>
    </w:p>
    <w:p>
      <w:pPr>
        <w:spacing w:line="360" w:lineRule="auto"/>
        <w:ind w:firstLine="540" w:firstLineChars="300"/>
        <w:rPr>
          <w:rFonts w:hint="eastAsia" w:ascii="宋体" w:hAnsi="宋体" w:eastAsia="宋体"/>
          <w:color w:val="000000"/>
          <w:sz w:val="18"/>
        </w:rPr>
      </w:pPr>
      <w:r>
        <w:rPr>
          <w:rFonts w:hint="eastAsia" w:ascii="宋体" w:hAnsi="宋体" w:cs="宋体"/>
          <w:color w:val="000000"/>
          <w:sz w:val="18"/>
          <w:szCs w:val="18"/>
        </w:rPr>
        <w:t>（2）</w:t>
      </w:r>
      <w:r>
        <w:rPr>
          <w:rFonts w:hint="eastAsia" w:ascii="宋体" w:hAnsi="宋体"/>
          <w:color w:val="000000"/>
          <w:sz w:val="18"/>
        </w:rPr>
        <w:t>获奖业绩以获奖证书为准，获奖奖项包括但不限于：国家级奖指鲁班奖、全国市政金杯示范工程、詹天佑大奖、国家优质工程银质奖、国家优质工程金质奖、国家优质工程奖、安全文明奖；省级奖指省优良样板工程和省安全文明施工优良样板工地、省施工安全生产标准化工地、省建设工程优质奖、省级优质结构奖；市级奖指市优良样板工程和、安全文明施工样板工地安全生产文明施工示范工地和市安全生产文明施工示范工地、市级优质结构奖。同一工程项目按最高奖项计取，时间以获奖证书发证日期为准，不重</w:t>
      </w:r>
      <w:r>
        <w:rPr>
          <w:rFonts w:hint="eastAsia" w:ascii="宋体" w:hAnsi="宋体" w:eastAsia="宋体"/>
          <w:color w:val="000000"/>
          <w:sz w:val="18"/>
        </w:rPr>
        <w:t>复计分。须提供相关</w:t>
      </w:r>
      <w:r>
        <w:rPr>
          <w:rFonts w:hint="eastAsia" w:ascii="宋体" w:hAnsi="宋体" w:eastAsia="宋体"/>
          <w:color w:val="000000"/>
          <w:sz w:val="18"/>
          <w:lang w:val="en-US" w:eastAsia="zh-Hans"/>
        </w:rPr>
        <w:t>证明文件</w:t>
      </w:r>
      <w:r>
        <w:rPr>
          <w:rFonts w:hint="eastAsia" w:ascii="宋体" w:hAnsi="宋体" w:eastAsia="宋体"/>
          <w:color w:val="000000"/>
          <w:sz w:val="18"/>
        </w:rPr>
        <w:t>扫描件并按招标文件相关规定加盖电子印章</w:t>
      </w:r>
      <w:r>
        <w:rPr>
          <w:rFonts w:hint="default" w:ascii="宋体" w:hAnsi="宋体" w:eastAsia="宋体"/>
          <w:color w:val="000000"/>
          <w:sz w:val="18"/>
        </w:rPr>
        <w:t>。</w:t>
      </w:r>
    </w:p>
    <w:p>
      <w:pPr>
        <w:spacing w:line="360" w:lineRule="auto"/>
        <w:ind w:firstLine="540" w:firstLineChars="300"/>
        <w:rPr>
          <w:rFonts w:hint="eastAsia" w:ascii="宋体" w:hAnsi="宋体" w:eastAsia="宋体"/>
          <w:color w:val="000000"/>
          <w:sz w:val="18"/>
        </w:rPr>
      </w:pPr>
      <w:r>
        <w:rPr>
          <w:rFonts w:hint="eastAsia" w:ascii="宋体" w:hAnsi="宋体" w:eastAsia="宋体"/>
          <w:color w:val="000000"/>
          <w:sz w:val="18"/>
        </w:rPr>
        <w:t>（3）国家级优秀总监理工程师及国家级优秀监理工程师称号以国家级监理协会颁发的获奖证书为准，省级优秀总监理工程师及省级优秀监理工程师称号以省级监理协会颁发的获奖证书为准，市级优秀总监理工程师及市级优秀监理工程师称号以市级监理协会颁发的获奖证书为准，时间以获奖证书的获奖年度为准，其他证明文件不得分。</w:t>
      </w:r>
    </w:p>
    <w:p>
      <w:pPr>
        <w:spacing w:line="360" w:lineRule="auto"/>
        <w:ind w:firstLine="540" w:firstLineChars="300"/>
        <w:rPr>
          <w:rFonts w:hint="eastAsia" w:ascii="宋体" w:hAnsi="宋体" w:eastAsia="宋体"/>
          <w:color w:val="000000"/>
          <w:sz w:val="18"/>
        </w:rPr>
      </w:pPr>
      <w:r>
        <w:rPr>
          <w:rFonts w:hint="eastAsia" w:ascii="宋体" w:hAnsi="宋体" w:eastAsia="宋体"/>
          <w:color w:val="000000"/>
          <w:sz w:val="18"/>
        </w:rPr>
        <w:t>（</w:t>
      </w:r>
      <w:r>
        <w:rPr>
          <w:rFonts w:hint="default" w:ascii="宋体" w:hAnsi="宋体" w:eastAsia="宋体"/>
          <w:color w:val="000000"/>
          <w:sz w:val="18"/>
        </w:rPr>
        <w:t>4</w:t>
      </w:r>
      <w:r>
        <w:rPr>
          <w:rFonts w:hint="eastAsia" w:ascii="宋体" w:hAnsi="宋体" w:eastAsia="宋体"/>
          <w:color w:val="000000"/>
          <w:sz w:val="18"/>
        </w:rPr>
        <w:t>）企业荣誉：须提供相关证明文件或证书作为评审依据；“工程类科学技术奖项”需经省级科技厅批准设立并在国家科技部登记。</w:t>
      </w:r>
    </w:p>
    <w:p>
      <w:pPr>
        <w:spacing w:line="360" w:lineRule="auto"/>
        <w:ind w:firstLine="540" w:firstLineChars="300"/>
        <w:rPr>
          <w:rFonts w:hint="eastAsia" w:ascii="宋体" w:hAnsi="宋体" w:eastAsia="宋体"/>
          <w:color w:val="000000"/>
          <w:sz w:val="18"/>
        </w:rPr>
      </w:pPr>
      <w:r>
        <w:rPr>
          <w:rFonts w:hint="eastAsia" w:ascii="宋体" w:hAnsi="宋体" w:eastAsia="宋体"/>
          <w:color w:val="000000"/>
          <w:sz w:val="18"/>
        </w:rPr>
        <w:t>（</w:t>
      </w:r>
      <w:r>
        <w:rPr>
          <w:rFonts w:hint="default" w:ascii="宋体" w:hAnsi="宋体" w:eastAsia="宋体"/>
          <w:color w:val="000000"/>
          <w:sz w:val="18"/>
          <w:lang w:eastAsia="zh-CN"/>
        </w:rPr>
        <w:t>5</w:t>
      </w:r>
      <w:r>
        <w:rPr>
          <w:rFonts w:hint="eastAsia" w:ascii="宋体" w:hAnsi="宋体" w:eastAsia="宋体"/>
          <w:color w:val="000000"/>
          <w:sz w:val="18"/>
        </w:rPr>
        <w:t>）评分如出现小数点，则保留小数点后两位，第三位四舍五入。</w:t>
      </w:r>
    </w:p>
    <w:p>
      <w:pPr>
        <w:spacing w:line="360" w:lineRule="auto"/>
        <w:ind w:firstLine="540" w:firstLineChars="300"/>
        <w:rPr>
          <w:rFonts w:hint="default" w:ascii="宋体" w:hAnsi="宋体" w:eastAsia="宋体"/>
          <w:color w:val="000000"/>
          <w:sz w:val="18"/>
        </w:rPr>
      </w:pPr>
      <w:r>
        <w:rPr>
          <w:rFonts w:hint="eastAsia" w:ascii="宋体" w:hAnsi="宋体" w:eastAsia="宋体"/>
          <w:color w:val="000000"/>
          <w:sz w:val="18"/>
        </w:rPr>
        <w:t>（</w:t>
      </w:r>
      <w:r>
        <w:rPr>
          <w:rFonts w:hint="default" w:ascii="宋体" w:hAnsi="宋体" w:eastAsia="宋体"/>
          <w:color w:val="000000"/>
          <w:sz w:val="18"/>
          <w:lang w:eastAsia="zh-CN"/>
        </w:rPr>
        <w:t>6</w:t>
      </w:r>
      <w:r>
        <w:rPr>
          <w:rFonts w:hint="eastAsia" w:ascii="宋体" w:hAnsi="宋体" w:eastAsia="宋体"/>
          <w:color w:val="000000"/>
          <w:sz w:val="18"/>
        </w:rPr>
        <w:t>）投标人的各项得分（资信业绩部分、监理大纲部分、投标报价）为各评委的算术平均分（分数出现小数点时，保留小数点后二位，第三位小数四舍五入）</w:t>
      </w:r>
      <w:r>
        <w:rPr>
          <w:rFonts w:hint="default" w:ascii="宋体" w:hAnsi="宋体" w:eastAsia="宋体"/>
          <w:color w:val="000000"/>
          <w:sz w:val="18"/>
        </w:rPr>
        <w:t>。</w:t>
      </w:r>
    </w:p>
    <w:p>
      <w:pPr>
        <w:keepNext/>
        <w:keepLines/>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 评标方法</w:t>
      </w:r>
      <w:bookmarkEnd w:id="126"/>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27" w:name="_Toc7069"/>
      <w:r>
        <w:rPr>
          <w:rFonts w:hint="eastAsia" w:ascii="宋体" w:hAnsi="宋体" w:eastAsia="宋体" w:cs="宋体"/>
          <w:b/>
          <w:bCs w:val="0"/>
          <w:color w:val="auto"/>
          <w:sz w:val="24"/>
          <w:szCs w:val="24"/>
          <w:highlight w:val="none"/>
        </w:rPr>
        <w:t>2. 评审标准</w:t>
      </w:r>
      <w:bookmarkEnd w:id="127"/>
    </w:p>
    <w:p>
      <w:pPr>
        <w:pStyle w:val="4"/>
        <w:keepLines/>
        <w:adjustRightInd/>
        <w:ind w:firstLine="420" w:firstLineChars="200"/>
        <w:textAlignment w:val="auto"/>
        <w:rPr>
          <w:rFonts w:hint="eastAsia" w:ascii="宋体" w:hAnsi="宋体" w:eastAsia="宋体" w:cs="宋体"/>
          <w:color w:val="auto"/>
          <w:sz w:val="21"/>
          <w:szCs w:val="21"/>
          <w:highlight w:val="none"/>
        </w:rPr>
      </w:pPr>
      <w:bookmarkStart w:id="128" w:name="_Toc16107"/>
      <w:r>
        <w:rPr>
          <w:rFonts w:hint="eastAsia" w:ascii="宋体" w:hAnsi="宋体" w:eastAsia="宋体" w:cs="宋体"/>
          <w:color w:val="auto"/>
          <w:sz w:val="21"/>
          <w:szCs w:val="21"/>
          <w:highlight w:val="none"/>
        </w:rPr>
        <w:t>2.1 初步评审标准</w:t>
      </w:r>
      <w:bookmarkEnd w:id="128"/>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形式评审标准：见评标办法前附表。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资格评审标准：见评标办法前附表。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响应性评审标准：见评标办法前附表。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bookmarkStart w:id="129" w:name="_Toc29535"/>
      <w:r>
        <w:rPr>
          <w:rFonts w:hint="eastAsia" w:ascii="宋体" w:hAnsi="宋体" w:eastAsia="宋体" w:cs="宋体"/>
          <w:color w:val="auto"/>
          <w:sz w:val="21"/>
          <w:szCs w:val="21"/>
          <w:highlight w:val="none"/>
        </w:rPr>
        <w:t>2.2 分值构成与评分标准</w:t>
      </w:r>
      <w:bookmarkEnd w:id="129"/>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分值构成：</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（1）资信业绩部分：见评标办法前附表；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（2）监理大纲部分：见评标办法前附表；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（4）其他评分因素：见评标办法前附表。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评标基准价计算</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投标报价的偏差率计算</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评分标准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（1）资信业绩评分标准：见评标办法前附表；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（2）监理大纲评分标准：见评标办法前附表；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（3）投标报价评分标准：见评标办法前附表；</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（4）其他因素评分标准：见评标办法前附表。</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30" w:name="_Toc19356"/>
      <w:r>
        <w:rPr>
          <w:rFonts w:hint="eastAsia" w:ascii="宋体" w:hAnsi="宋体" w:eastAsia="宋体" w:cs="宋体"/>
          <w:b/>
          <w:bCs w:val="0"/>
          <w:color w:val="auto"/>
          <w:sz w:val="24"/>
          <w:szCs w:val="24"/>
          <w:highlight w:val="none"/>
        </w:rPr>
        <w:t>3. 评标程序</w:t>
      </w:r>
      <w:bookmarkEnd w:id="130"/>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31" w:name="_Toc12295"/>
      <w:r>
        <w:rPr>
          <w:rFonts w:hint="eastAsia" w:ascii="宋体" w:hAnsi="宋体" w:eastAsia="宋体" w:cs="宋体"/>
          <w:b/>
          <w:bCs w:val="0"/>
          <w:color w:val="auto"/>
          <w:sz w:val="24"/>
          <w:szCs w:val="24"/>
          <w:highlight w:val="none"/>
        </w:rPr>
        <w:t>3.1 初步评审</w:t>
      </w:r>
      <w:bookmarkEnd w:id="131"/>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投标人有以下情形之一的，评标委员会应当否决其投标：</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（1）投标文件没有对招标文件的实质性要求和条件作出响应，或者对招标文件的偏差超出招标文件规定的偏差范围或最高项数；</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（2）有串通投标、弄虚作假、行贿等违法行为。</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3.1.3 </w:t>
      </w:r>
      <w:r>
        <w:rPr>
          <w:rFonts w:hint="eastAsia" w:ascii="宋体" w:hAnsi="宋体" w:eastAsia="宋体" w:cs="宋体"/>
          <w:color w:val="auto"/>
          <w:sz w:val="21"/>
          <w:szCs w:val="21"/>
          <w:highlight w:val="none"/>
          <w:u w:val="single"/>
        </w:rPr>
        <w:t>经校核，投标人的投标报价有算术错误的，评标委员会按以下原则对投标报价进行修正，修正的价格经投标人书面确认后具有约束力。投标人不接受修正价格的，评标委员会应当否决其投标。</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（1）投标文件中的大写金额与小写金额不一致的，以大写金额为准；</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（2）总价金额与依据单价计算出的结果不一致的，以单价金额为准修正总价，但单价金额小数点有明显错误的除外；</w:t>
      </w:r>
    </w:p>
    <w:p>
      <w:pPr>
        <w:pStyle w:val="4"/>
        <w:keepLines/>
        <w:adjustRightInd/>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（3）总价金额与依据投标下浮率计算出的结果不一致的，以投标下浮率为准修正总价；</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（4）如果分项报价累加不等于总价的，以分项报价累加为准，修正总价。</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32" w:name="_Toc4503"/>
      <w:r>
        <w:rPr>
          <w:rFonts w:hint="eastAsia" w:ascii="宋体" w:hAnsi="宋体" w:eastAsia="宋体" w:cs="宋体"/>
          <w:b/>
          <w:bCs w:val="0"/>
          <w:color w:val="auto"/>
          <w:sz w:val="24"/>
          <w:szCs w:val="24"/>
          <w:highlight w:val="none"/>
        </w:rPr>
        <w:t>3.2 详细评审</w:t>
      </w:r>
      <w:bookmarkEnd w:id="132"/>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评标委员会按本章第2.2款规定的量化因素和分值进行打分，并计算出综合评估得分。</w:t>
      </w:r>
      <w:r>
        <w:rPr>
          <w:rFonts w:hint="eastAsia" w:ascii="宋体" w:hAnsi="宋体" w:eastAsia="宋体" w:cs="宋体"/>
          <w:color w:val="auto"/>
          <w:sz w:val="21"/>
          <w:szCs w:val="21"/>
          <w:highlight w:val="none"/>
          <w:u w:val="single"/>
        </w:rPr>
        <w:t>投标人的各项得分（资信业绩部分、监理大纲部分、投标报价）为各评委的算术平均分（分数出现小数点时，保留小数点后二位，第三位小数四舍五入）</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（1）按本章第2.2.4（1）目规定的评审因素和分值对资信业绩部分计算出得分A；</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（2）按本章第2.2.4（2）目规定的评审因素和分值对监理大纲部分计算出得分B；</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（3）按本章第2.2.4（3）目规定的评审因素和分值对投标报价计算出得分C；</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（4）按本章第2.2.4（4）目规定的评审因素和分值对对其他评分因素计算出得分 D。</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评分分值计算保留小数点后两位，小数点后第三位“四舍五入”。</w:t>
      </w:r>
    </w:p>
    <w:p>
      <w:pPr>
        <w:pStyle w:val="4"/>
        <w:keepLines/>
        <w:adjustRightInd/>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3.2.3 投标人得分=A+B+C</w:t>
      </w:r>
      <w:r>
        <w:rPr>
          <w:rFonts w:hint="default" w:ascii="宋体" w:hAnsi="宋体" w:eastAsia="宋体" w:cs="宋体"/>
          <w:color w:val="auto"/>
          <w:sz w:val="21"/>
          <w:szCs w:val="21"/>
          <w:highlight w:val="none"/>
        </w:rPr>
        <w:t>+D</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33" w:name="_Toc32229"/>
      <w:r>
        <w:rPr>
          <w:rFonts w:hint="eastAsia" w:ascii="宋体" w:hAnsi="宋体" w:eastAsia="宋体" w:cs="宋体"/>
          <w:b/>
          <w:bCs w:val="0"/>
          <w:color w:val="auto"/>
          <w:sz w:val="24"/>
          <w:szCs w:val="24"/>
          <w:highlight w:val="none"/>
        </w:rPr>
        <w:t>3.3 投标文件的澄清</w:t>
      </w:r>
      <w:bookmarkEnd w:id="133"/>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澄清、说明或补正不得超出投标文件的范围且不得改变投标文件的实质性内容，并构成投标文件的组成部分。</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评标委员会对投标人提交的澄清、说明或补正有疑问的，可以要求投标人进一步澄清、说明或补正，直至满足评标委员会的要求。</w:t>
      </w:r>
    </w:p>
    <w:p>
      <w:pPr>
        <w:pStyle w:val="4"/>
        <w:keepLines/>
        <w:adjustRightInd/>
        <w:spacing w:before="156" w:beforeLines="50" w:after="156" w:afterLines="50"/>
        <w:textAlignment w:val="auto"/>
        <w:rPr>
          <w:rFonts w:hint="eastAsia" w:ascii="宋体" w:hAnsi="宋体" w:eastAsia="宋体" w:cs="宋体"/>
          <w:b/>
          <w:bCs w:val="0"/>
          <w:color w:val="auto"/>
          <w:sz w:val="24"/>
          <w:szCs w:val="24"/>
          <w:highlight w:val="none"/>
        </w:rPr>
      </w:pPr>
      <w:bookmarkStart w:id="134" w:name="_Toc3503"/>
      <w:r>
        <w:rPr>
          <w:rFonts w:hint="eastAsia" w:ascii="宋体" w:hAnsi="宋体" w:eastAsia="宋体" w:cs="宋体"/>
          <w:b/>
          <w:bCs w:val="0"/>
          <w:color w:val="auto"/>
          <w:sz w:val="24"/>
          <w:szCs w:val="24"/>
          <w:highlight w:val="none"/>
        </w:rPr>
        <w:t>3.4 评标结果</w:t>
      </w:r>
      <w:bookmarkEnd w:id="134"/>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 除第二章“投标人须知”前附表授权直接确定中标人外，评标委员会按照得分由高到低的顺序推荐中标候选人，并标明排序。</w:t>
      </w:r>
    </w:p>
    <w:p>
      <w:pPr>
        <w:pStyle w:val="4"/>
        <w:keepLines/>
        <w:adjustRightIn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3.4.2 评标委员会完成评标后，应当向招标人提交书面评标报告和中标候选人名单。</w:t>
      </w:r>
    </w:p>
    <w:p>
      <w:pPr>
        <w:widowControl/>
        <w:spacing w:line="360" w:lineRule="auto"/>
        <w:ind w:firstLine="420" w:firstLineChars="200"/>
        <w:rPr>
          <w:rFonts w:hint="eastAsia" w:ascii="宋体" w:hAnsi="宋体" w:cs="宋体"/>
          <w:bCs/>
          <w:color w:val="auto"/>
          <w:kern w:val="0"/>
          <w:szCs w:val="21"/>
          <w:highlight w:val="none"/>
        </w:rPr>
      </w:pPr>
      <w:bookmarkStart w:id="135" w:name="_Toc23732"/>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6" w:name="_Toc6074"/>
      <w:r>
        <w:rPr>
          <w:rFonts w:hint="eastAsia" w:ascii="宋体" w:hAnsi="宋体" w:eastAsia="宋体" w:cs="宋体"/>
          <w:color w:val="auto"/>
          <w:highlight w:val="none"/>
        </w:rPr>
        <w:t>第4章 合同</w:t>
      </w:r>
      <w:bookmarkEnd w:id="123"/>
      <w:r>
        <w:rPr>
          <w:rFonts w:hint="eastAsia" w:ascii="宋体" w:hAnsi="宋体" w:eastAsia="宋体" w:cs="宋体"/>
          <w:color w:val="auto"/>
          <w:highlight w:val="none"/>
        </w:rPr>
        <w:t>条款及格式</w:t>
      </w:r>
      <w:bookmarkEnd w:id="135"/>
      <w:bookmarkEnd w:id="136"/>
    </w:p>
    <w:p>
      <w:pPr>
        <w:pStyle w:val="26"/>
        <w:tabs>
          <w:tab w:val="left" w:pos="720"/>
        </w:tabs>
        <w:adjustRightInd/>
        <w:spacing w:line="420" w:lineRule="exact"/>
        <w:textAlignment w:val="auto"/>
        <w:rPr>
          <w:rFonts w:hint="eastAsia" w:hAnsi="宋体" w:cs="宋体"/>
          <w:b/>
          <w:bCs/>
          <w:color w:val="auto"/>
          <w:kern w:val="2"/>
          <w:szCs w:val="24"/>
          <w:highlight w:val="none"/>
        </w:rPr>
      </w:pPr>
      <w:bookmarkStart w:id="137" w:name="_Toc210124373"/>
      <w:bookmarkStart w:id="138" w:name="_Toc138747865"/>
    </w:p>
    <w:p>
      <w:pPr>
        <w:pStyle w:val="26"/>
        <w:tabs>
          <w:tab w:val="left" w:pos="720"/>
        </w:tabs>
        <w:adjustRightInd/>
        <w:spacing w:line="420" w:lineRule="exact"/>
        <w:textAlignment w:val="auto"/>
        <w:rPr>
          <w:rFonts w:hint="eastAsia" w:hAnsi="宋体" w:cs="宋体"/>
          <w:b/>
          <w:bCs/>
          <w:color w:val="auto"/>
          <w:kern w:val="2"/>
          <w:szCs w:val="24"/>
          <w:highlight w:val="none"/>
        </w:rPr>
      </w:pPr>
    </w:p>
    <w:p>
      <w:pPr>
        <w:pStyle w:val="26"/>
        <w:tabs>
          <w:tab w:val="left" w:pos="720"/>
        </w:tabs>
        <w:adjustRightInd/>
        <w:spacing w:line="420" w:lineRule="exact"/>
        <w:textAlignment w:val="auto"/>
        <w:rPr>
          <w:rFonts w:hint="eastAsia" w:hAnsi="宋体" w:cs="宋体"/>
          <w:b/>
          <w:bCs/>
          <w:color w:val="auto"/>
          <w:kern w:val="2"/>
          <w:szCs w:val="24"/>
          <w:highlight w:val="none"/>
        </w:rPr>
      </w:pPr>
    </w:p>
    <w:p>
      <w:pPr>
        <w:jc w:val="center"/>
        <w:rPr>
          <w:rFonts w:hint="eastAsia" w:ascii="宋体" w:hAnsi="宋体" w:cs="宋体"/>
          <w:color w:val="auto"/>
          <w:sz w:val="24"/>
          <w:highlight w:val="none"/>
        </w:rPr>
      </w:pPr>
      <w:r>
        <w:rPr>
          <w:rFonts w:hint="eastAsia" w:hAnsi="宋体" w:cs="宋体"/>
          <w:b/>
          <w:bCs/>
          <w:color w:val="auto"/>
          <w:highlight w:val="none"/>
        </w:rPr>
        <w:t>（另册提供）</w:t>
      </w:r>
    </w:p>
    <w:bookmarkEnd w:id="137"/>
    <w:bookmarkEnd w:id="138"/>
    <w:p>
      <w:pPr>
        <w:spacing w:line="420" w:lineRule="exact"/>
        <w:ind w:firstLine="457" w:firstLineChars="218"/>
        <w:rPr>
          <w:rFonts w:hint="eastAsia" w:ascii="宋体" w:hAnsi="宋体" w:cs="宋体"/>
          <w:color w:val="auto"/>
          <w:highlight w:val="none"/>
        </w:rPr>
      </w:pPr>
    </w:p>
    <w:p>
      <w:pPr>
        <w:pStyle w:val="26"/>
        <w:tabs>
          <w:tab w:val="left" w:pos="720"/>
        </w:tabs>
        <w:adjustRightInd/>
        <w:spacing w:line="420" w:lineRule="exact"/>
        <w:textAlignment w:val="auto"/>
        <w:rPr>
          <w:rFonts w:hint="eastAsia" w:hAnsi="宋体" w:cs="宋体"/>
          <w:b/>
          <w:bCs/>
          <w:color w:val="auto"/>
          <w:kern w:val="2"/>
          <w:szCs w:val="24"/>
          <w:highlight w:val="none"/>
        </w:rPr>
      </w:pPr>
    </w:p>
    <w:p>
      <w:pPr>
        <w:pStyle w:val="26"/>
        <w:tabs>
          <w:tab w:val="left" w:pos="720"/>
        </w:tabs>
        <w:adjustRightInd/>
        <w:spacing w:line="420" w:lineRule="exact"/>
        <w:textAlignment w:val="auto"/>
        <w:rPr>
          <w:rFonts w:hint="eastAsia" w:hAnsi="宋体" w:cs="宋体"/>
          <w:b/>
          <w:bCs/>
          <w:color w:val="auto"/>
          <w:kern w:val="2"/>
          <w:szCs w:val="24"/>
          <w:highlight w:val="none"/>
        </w:rPr>
      </w:pPr>
    </w:p>
    <w:p>
      <w:pPr>
        <w:spacing w:line="420" w:lineRule="exact"/>
        <w:ind w:firstLine="457" w:firstLineChars="218"/>
        <w:rPr>
          <w:rFonts w:hint="eastAsia" w:ascii="宋体" w:hAnsi="宋体" w:cs="宋体"/>
          <w:color w:val="auto"/>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9" w:name="_Toc3882889"/>
      <w:bookmarkStart w:id="140" w:name="_Toc16338"/>
      <w:bookmarkStart w:id="141" w:name="_Toc6723"/>
      <w:r>
        <w:rPr>
          <w:rFonts w:hint="eastAsia" w:ascii="宋体" w:hAnsi="宋体" w:eastAsia="宋体" w:cs="宋体"/>
          <w:color w:val="auto"/>
          <w:highlight w:val="none"/>
        </w:rPr>
        <w:t xml:space="preserve">第5章 </w:t>
      </w:r>
      <w:bookmarkEnd w:id="139"/>
      <w:r>
        <w:rPr>
          <w:rFonts w:hint="eastAsia" w:ascii="宋体" w:hAnsi="宋体" w:eastAsia="宋体" w:cs="宋体"/>
          <w:color w:val="auto"/>
          <w:highlight w:val="none"/>
        </w:rPr>
        <w:t>委托人要求</w:t>
      </w:r>
      <w:bookmarkEnd w:id="140"/>
      <w:bookmarkEnd w:id="141"/>
    </w:p>
    <w:p>
      <w:pPr>
        <w:pStyle w:val="26"/>
        <w:tabs>
          <w:tab w:val="left" w:pos="720"/>
        </w:tabs>
        <w:adjustRightInd/>
        <w:spacing w:line="420" w:lineRule="exact"/>
        <w:textAlignment w:val="auto"/>
        <w:rPr>
          <w:rFonts w:hint="eastAsia" w:hAnsi="宋体" w:cs="宋体"/>
          <w:b/>
          <w:bCs/>
          <w:color w:val="auto"/>
          <w:kern w:val="2"/>
          <w:szCs w:val="24"/>
          <w:highlight w:val="none"/>
        </w:rPr>
      </w:pPr>
    </w:p>
    <w:p>
      <w:pPr>
        <w:pStyle w:val="4"/>
        <w:keepNext w:val="0"/>
        <w:rPr>
          <w:rFonts w:hint="eastAsia" w:ascii="宋体" w:hAnsi="宋体" w:eastAsia="宋体" w:cs="宋体"/>
          <w:b/>
          <w:bCs w:val="0"/>
          <w:color w:val="auto"/>
          <w:sz w:val="24"/>
          <w:szCs w:val="24"/>
          <w:highlight w:val="none"/>
        </w:rPr>
      </w:pPr>
      <w:bookmarkStart w:id="142" w:name="_Toc511557110"/>
      <w:bookmarkStart w:id="143" w:name="_Toc4080669"/>
      <w:bookmarkStart w:id="144" w:name="_Toc517280587"/>
      <w:bookmarkStart w:id="145" w:name="_Toc482188637"/>
      <w:r>
        <w:rPr>
          <w:rFonts w:hint="eastAsia" w:ascii="宋体" w:hAnsi="宋体" w:eastAsia="宋体" w:cs="宋体"/>
          <w:b/>
          <w:bCs w:val="0"/>
          <w:color w:val="auto"/>
          <w:sz w:val="24"/>
          <w:szCs w:val="24"/>
          <w:highlight w:val="none"/>
        </w:rPr>
        <w:t>一、监理要求</w:t>
      </w:r>
      <w:bookmarkEnd w:id="142"/>
      <w:bookmarkEnd w:id="143"/>
      <w:bookmarkEnd w:id="144"/>
      <w:bookmarkEnd w:id="145"/>
    </w:p>
    <w:p>
      <w:pP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1. 项目概况</w:t>
      </w:r>
    </w:p>
    <w:p>
      <w:pPr>
        <w:spacing w:line="470" w:lineRule="exact"/>
        <w:ind w:firstLine="470" w:firstLineChars="224"/>
        <w:rPr>
          <w:rFonts w:hint="eastAsia" w:ascii="宋体" w:hAnsi="宋体" w:cs="宋体"/>
          <w:color w:val="auto"/>
          <w:highlight w:val="none"/>
          <w:u w:val="single"/>
        </w:rPr>
      </w:pPr>
      <w:r>
        <w:rPr>
          <w:rFonts w:hint="eastAsia" w:ascii="宋体" w:hAnsi="宋体" w:cs="宋体"/>
          <w:color w:val="auto"/>
          <w:highlight w:val="none"/>
          <w:u w:val="single"/>
        </w:rPr>
        <w:t xml:space="preserve">详见本项目招标公告和招标文件。  </w:t>
      </w:r>
    </w:p>
    <w:p>
      <w:pP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2. 监理范围及内容</w:t>
      </w:r>
    </w:p>
    <w:p>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u w:val="single"/>
        </w:rPr>
        <w:t xml:space="preserve">                          工程</w:t>
      </w:r>
      <w:r>
        <w:rPr>
          <w:rFonts w:hint="eastAsia" w:ascii="宋体" w:hAnsi="宋体" w:cs="宋体"/>
          <w:color w:val="auto"/>
          <w:highlight w:val="none"/>
        </w:rPr>
        <w:t>施工监理服务</w:t>
      </w:r>
      <w:r>
        <w:rPr>
          <w:rFonts w:hint="eastAsia" w:ascii="宋体" w:hAnsi="宋体" w:cs="宋体"/>
          <w:color w:val="auto"/>
          <w:szCs w:val="21"/>
          <w:highlight w:val="none"/>
        </w:rPr>
        <w:t>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（2）按委托人的要求提前进场参与开工前期的准备和筹划工作，协助委托人对施工图纸提出意见，制定工程管理办法、各参建方职责及有关事务性工作等。</w:t>
      </w:r>
    </w:p>
    <w:p>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（3）监理范围与委托人签订的本项目的所有施工合同所包含的工程范围相同，包括特殊专业的工程监理(如人防工程），也属于监理人的现场监理范围内。</w:t>
      </w:r>
    </w:p>
    <w:p>
      <w:pPr>
        <w:spacing w:line="360" w:lineRule="auto"/>
        <w:ind w:firstLine="359" w:firstLineChars="171"/>
        <w:rPr>
          <w:rFonts w:hint="eastAsia" w:ascii="宋体" w:hAnsi="宋体" w:cs="宋体"/>
          <w:color w:val="auto"/>
          <w:highlight w:val="none"/>
        </w:rPr>
      </w:pPr>
      <w:r>
        <w:rPr>
          <w:rFonts w:hint="eastAsia" w:ascii="宋体" w:hAnsi="宋体" w:cs="宋体"/>
          <w:color w:val="auto"/>
          <w:highlight w:val="none"/>
        </w:rPr>
        <w:t>3.监理依据：</w:t>
      </w:r>
      <w:r>
        <w:rPr>
          <w:rFonts w:hint="eastAsia" w:ascii="宋体" w:hAnsi="宋体" w:cs="宋体"/>
          <w:color w:val="auto"/>
          <w:szCs w:val="21"/>
          <w:highlight w:val="none"/>
          <w:u w:val="single"/>
        </w:rPr>
        <w:t>满足本项目监理服务要求。</w:t>
      </w:r>
    </w:p>
    <w:p>
      <w:pPr>
        <w:spacing w:line="360" w:lineRule="auto"/>
        <w:ind w:left="315" w:leftChars="150" w:firstLine="44" w:firstLineChars="21"/>
        <w:rPr>
          <w:rFonts w:hint="eastAsia" w:ascii="宋体" w:hAnsi="宋体" w:cs="宋体"/>
          <w:color w:val="auto"/>
          <w:szCs w:val="21"/>
          <w:highlight w:val="none"/>
          <w:u w:val="single"/>
        </w:rPr>
      </w:pPr>
      <w:r>
        <w:rPr>
          <w:rFonts w:hint="eastAsia" w:ascii="宋体" w:hAnsi="宋体" w:cs="宋体"/>
          <w:color w:val="auto"/>
          <w:szCs w:val="21"/>
          <w:highlight w:val="none"/>
        </w:rPr>
        <w:t>4.监理的技术要求：</w:t>
      </w:r>
      <w:r>
        <w:rPr>
          <w:rFonts w:hint="eastAsia" w:ascii="宋体" w:hAnsi="宋体" w:cs="宋体"/>
          <w:color w:val="auto"/>
          <w:szCs w:val="21"/>
          <w:highlight w:val="none"/>
          <w:u w:val="single"/>
        </w:rPr>
        <w:t>满足本项目监理服务要求。</w:t>
      </w:r>
    </w:p>
    <w:p>
      <w:pPr>
        <w:spacing w:line="440" w:lineRule="exact"/>
        <w:ind w:firstLine="359" w:firstLineChars="171"/>
        <w:rPr>
          <w:rFonts w:ascii="宋体" w:hAnsi="宋体" w:cs="宋体"/>
          <w:color w:val="auto"/>
          <w:highlight w:val="none"/>
        </w:rPr>
      </w:pPr>
      <w:r>
        <w:rPr>
          <w:rFonts w:hint="eastAsia" w:ascii="宋体" w:hAnsi="宋体" w:cs="宋体"/>
          <w:color w:val="auto"/>
          <w:highlight w:val="none"/>
        </w:rPr>
        <w:t>5.监理人员要求：</w:t>
      </w:r>
    </w:p>
    <w:p>
      <w:pPr>
        <w:spacing w:line="440" w:lineRule="exact"/>
        <w:ind w:firstLine="359" w:firstLineChars="171"/>
        <w:rPr>
          <w:rFonts w:ascii="宋体" w:hAnsi="宋体" w:cs="宋体"/>
          <w:color w:val="auto"/>
          <w:highlight w:val="none"/>
        </w:rPr>
      </w:pPr>
      <w:r>
        <w:rPr>
          <w:rFonts w:hint="eastAsia" w:ascii="宋体" w:hAnsi="宋体" w:cs="宋体"/>
          <w:color w:val="auto"/>
          <w:highlight w:val="none"/>
        </w:rPr>
        <w:t>项目监理人员组成要求：</w:t>
      </w:r>
    </w:p>
    <w:p>
      <w:pPr>
        <w:spacing w:line="440" w:lineRule="exact"/>
        <w:ind w:firstLine="359" w:firstLineChars="171"/>
        <w:rPr>
          <w:rFonts w:ascii="宋体" w:hAnsi="宋体" w:cs="宋体"/>
          <w:color w:val="auto"/>
          <w:highlight w:val="none"/>
        </w:rPr>
      </w:pPr>
      <w:r>
        <w:rPr>
          <w:rFonts w:hint="eastAsia" w:ascii="宋体" w:hAnsi="宋体" w:cs="宋体"/>
          <w:color w:val="auto"/>
          <w:highlight w:val="none"/>
        </w:rPr>
        <w:t>（1）总监理工程师：必须具有建设部2006年4月1日后颁发的中华人民共和国注册监理工程师注册执业证书，且其注册专业为市政公用工程，注册执业单位为本公司，并具备本科或以上学历。</w:t>
      </w:r>
    </w:p>
    <w:p>
      <w:pPr>
        <w:topLinePunct/>
        <w:spacing w:line="300" w:lineRule="auto"/>
        <w:ind w:firstLine="550" w:firstLineChars="262"/>
        <w:rPr>
          <w:rFonts w:ascii="宋体" w:hAnsi="宋体" w:cs="宋体"/>
          <w:snapToGrid w:val="0"/>
          <w:color w:val="auto"/>
          <w:szCs w:val="21"/>
          <w:highlight w:val="none"/>
        </w:rPr>
      </w:pPr>
      <w:r>
        <w:rPr>
          <w:rFonts w:hint="eastAsia" w:ascii="宋体" w:hAnsi="宋体" w:cs="宋体"/>
          <w:color w:val="auto"/>
          <w:highlight w:val="none"/>
        </w:rPr>
        <w:t>（2）专业监理人员配套最低要求：《项目监理人员组成配备要求表》</w:t>
      </w:r>
    </w:p>
    <w:tbl>
      <w:tblPr>
        <w:tblStyle w:val="1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10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2249" w:type="dxa"/>
            <w:gridSpan w:val="2"/>
            <w:noWrap w:val="0"/>
            <w:vAlign w:val="center"/>
          </w:tcPr>
          <w:p>
            <w:pPr>
              <w:keepNext w:val="0"/>
              <w:keepLines w:val="0"/>
              <w:pageBreakBefore w:val="0"/>
              <w:widowControl w:val="0"/>
              <w:tabs>
                <w:tab w:val="left" w:pos="540"/>
                <w:tab w:val="left" w:pos="862"/>
              </w:tabs>
              <w:kinsoku/>
              <w:wordWrap/>
              <w:overflowPunct/>
              <w:topLinePunct w:val="0"/>
              <w:autoSpaceDE/>
              <w:autoSpaceDN/>
              <w:bidi w:val="0"/>
              <w:snapToGrid w:val="0"/>
              <w:spacing w:line="360" w:lineRule="atLeast"/>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岗位</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人员要求</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ascii="宋体" w:hAnsi="宋体" w:cs="宋体"/>
                <w:color w:val="auto"/>
                <w:szCs w:val="21"/>
                <w:highlight w:val="none"/>
              </w:rPr>
            </w:pPr>
            <w:r>
              <w:rPr>
                <w:rFonts w:hint="eastAsia" w:ascii="宋体" w:hAnsi="宋体" w:cs="宋体"/>
                <w:color w:val="auto"/>
                <w:highlight w:val="none"/>
              </w:rPr>
              <w:t>必须具有建设部2006年4月1日后颁发的中华人民共和国注册监理工程师注册执业证书，且其注册专业为市政公用工程，注册执业单位为本公司，并具备本科或以上学历。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专业监理工程师</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eastAsia="宋体" w:cs="宋体"/>
                <w:color w:val="auto"/>
                <w:szCs w:val="21"/>
                <w:highlight w:val="none"/>
                <w:lang w:val="en-US" w:eastAsia="zh-Hans"/>
              </w:rPr>
            </w:pPr>
            <w:r>
              <w:rPr>
                <w:rFonts w:hint="eastAsia" w:ascii="宋体" w:hAnsi="宋体" w:eastAsia="宋体" w:cs="宋体"/>
                <w:color w:val="auto"/>
                <w:szCs w:val="21"/>
                <w:highlight w:val="none"/>
                <w:lang w:val="en-US" w:eastAsia="zh-Hans"/>
              </w:rPr>
              <w:t>市政公用</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r>
              <w:rPr>
                <w:rFonts w:hint="default" w:ascii="宋体" w:hAnsi="宋体" w:cs="宋体"/>
                <w:color w:val="auto"/>
                <w:szCs w:val="21"/>
                <w:highlight w:val="none"/>
                <w:lang w:eastAsia="zh-CN"/>
              </w:rPr>
              <w:t>3</w:t>
            </w:r>
            <w:r>
              <w:rPr>
                <w:rFonts w:hint="eastAsia" w:ascii="宋体" w:hAnsi="宋体" w:cs="宋体"/>
                <w:color w:val="auto"/>
                <w:szCs w:val="21"/>
                <w:highlight w:val="none"/>
              </w:rPr>
              <w:t>名</w:t>
            </w:r>
          </w:p>
        </w:tc>
        <w:tc>
          <w:tcPr>
            <w:tcW w:w="548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rPr>
              <w:t>具备中级或以上职称</w:t>
            </w:r>
            <w:r>
              <w:rPr>
                <w:rFonts w:hint="eastAsia" w:ascii="宋体" w:hAnsi="宋体" w:cs="宋体"/>
                <w:color w:val="auto"/>
                <w:szCs w:val="21"/>
                <w:highlight w:val="none"/>
                <w:lang w:eastAsia="zh-CN"/>
              </w:rPr>
              <w:t>，</w:t>
            </w:r>
            <w:r>
              <w:rPr>
                <w:rFonts w:hint="eastAsia"/>
                <w:lang w:eastAsia="zh-CN"/>
              </w:rPr>
              <w:t>各专业监理工程师以专业监理工程师证书或注册监理工程师注册执业证书或毕业证或职称证</w:t>
            </w:r>
            <w:r>
              <w:rPr>
                <w:rFonts w:hint="eastAsia"/>
                <w:lang w:val="en-US" w:eastAsia="zh-Hans"/>
              </w:rPr>
              <w:t>或岗位证</w:t>
            </w:r>
            <w:r>
              <w:rPr>
                <w:rFonts w:hint="eastAsia"/>
                <w:lang w:eastAsia="zh-CN"/>
              </w:rPr>
              <w:t>上所列的</w:t>
            </w:r>
            <w:r>
              <w:rPr>
                <w:rFonts w:hint="eastAsia" w:ascii="宋体" w:hAnsi="宋体" w:cs="宋体"/>
                <w:color w:val="auto"/>
                <w:szCs w:val="21"/>
                <w:highlight w:val="none"/>
              </w:rPr>
              <w:t>相关专业为准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jc w:val="center"/>
        </w:trPr>
        <w:tc>
          <w:tcPr>
            <w:tcW w:w="11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专业监理工程师</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eastAsia="宋体" w:cs="宋体"/>
                <w:color w:val="auto"/>
                <w:szCs w:val="21"/>
                <w:highlight w:val="none"/>
                <w:lang w:val="en-US" w:eastAsia="zh-Hans"/>
              </w:rPr>
            </w:pPr>
            <w:r>
              <w:rPr>
                <w:rFonts w:hint="eastAsia" w:ascii="宋体" w:hAnsi="宋体" w:eastAsia="宋体" w:cs="宋体"/>
                <w:color w:val="auto"/>
                <w:szCs w:val="21"/>
                <w:highlight w:val="none"/>
                <w:lang w:val="en-US" w:eastAsia="zh-Hans"/>
              </w:rPr>
              <w:t>机电安装</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rPr>
              <w:t>2</w:t>
            </w:r>
            <w:r>
              <w:rPr>
                <w:rFonts w:hint="eastAsia" w:ascii="宋体" w:hAnsi="宋体" w:cs="宋体"/>
                <w:color w:val="auto"/>
                <w:szCs w:val="21"/>
                <w:highlight w:val="none"/>
              </w:rPr>
              <w:t>名</w:t>
            </w:r>
          </w:p>
        </w:tc>
        <w:tc>
          <w:tcPr>
            <w:tcW w:w="548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造价工程师</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r>
              <w:rPr>
                <w:rFonts w:hint="default" w:ascii="宋体" w:hAnsi="宋体" w:cs="宋体"/>
                <w:color w:val="auto"/>
                <w:szCs w:val="21"/>
                <w:highlight w:val="none"/>
              </w:rPr>
              <w:t>2</w:t>
            </w:r>
            <w:r>
              <w:rPr>
                <w:rFonts w:hint="eastAsia" w:ascii="宋体" w:hAnsi="宋体" w:cs="宋体"/>
                <w:color w:val="auto"/>
                <w:szCs w:val="21"/>
                <w:highlight w:val="none"/>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eastAsia="宋体"/>
              </w:rPr>
            </w:pPr>
            <w:r>
              <w:rPr>
                <w:rFonts w:hint="eastAsia" w:eastAsia="宋体"/>
              </w:rPr>
              <w:t>具备有效的注册造价工程师或注册一级造价工程师（土木建筑工程专业或安装工程专业）注册证，且在本单位注册</w:t>
            </w:r>
            <w:r>
              <w:rPr>
                <w:rFonts w:hint="default" w:eastAsia="宋体"/>
              </w:rPr>
              <w:t>。</w:t>
            </w:r>
          </w:p>
          <w:p>
            <w:pPr>
              <w:keepNext w:val="0"/>
              <w:keepLines w:val="0"/>
              <w:pageBreakBefore w:val="0"/>
              <w:widowControl w:val="0"/>
              <w:kinsoku/>
              <w:wordWrap/>
              <w:overflowPunct/>
              <w:topLinePunct w:val="0"/>
              <w:autoSpaceDE/>
              <w:autoSpaceDN/>
              <w:bidi w:val="0"/>
              <w:adjustRightInd w:val="0"/>
              <w:snapToGrid w:val="0"/>
              <w:spacing w:line="360" w:lineRule="atLeast"/>
              <w:jc w:val="both"/>
              <w:textAlignment w:val="auto"/>
              <w:rPr>
                <w:rFonts w:hint="default" w:eastAsia="宋体"/>
                <w:lang w:val="en-US" w:eastAsia="zh-Hans"/>
              </w:rPr>
            </w:pPr>
            <w:r>
              <w:rPr>
                <w:rFonts w:hint="eastAsia" w:eastAsia="宋体"/>
                <w:lang w:val="en-US" w:eastAsia="zh-Hans"/>
              </w:rPr>
              <w:t>需提供相应的</w:t>
            </w:r>
            <w:r>
              <w:rPr>
                <w:rFonts w:hint="eastAsia" w:eastAsia="宋体"/>
              </w:rPr>
              <w:t>注册造价工程师</w:t>
            </w:r>
            <w:r>
              <w:rPr>
                <w:rFonts w:hint="eastAsia" w:eastAsia="宋体"/>
                <w:lang w:val="en-US" w:eastAsia="zh-Hans"/>
              </w:rPr>
              <w:t>或</w:t>
            </w:r>
            <w:r>
              <w:rPr>
                <w:rFonts w:hint="eastAsia" w:eastAsia="宋体"/>
              </w:rPr>
              <w:t>一级造价工程师</w:t>
            </w:r>
            <w:r>
              <w:rPr>
                <w:rFonts w:hint="eastAsia" w:eastAsia="宋体"/>
                <w:lang w:val="en-US" w:eastAsia="zh-Hans"/>
              </w:rPr>
              <w:t>注册证书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市政</w:t>
            </w:r>
            <w:r>
              <w:rPr>
                <w:rFonts w:hint="eastAsia" w:ascii="宋体" w:hAnsi="宋体" w:cs="宋体"/>
                <w:color w:val="auto"/>
                <w:szCs w:val="21"/>
                <w:highlight w:val="none"/>
              </w:rPr>
              <w:t>监理员</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监理员上岗证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机电监理员</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default" w:ascii="宋体" w:hAnsi="宋体" w:cs="宋体"/>
                <w:color w:val="auto"/>
                <w:szCs w:val="21"/>
                <w:highlight w:val="none"/>
                <w:lang w:val="en-US" w:eastAsia="zh-CN"/>
              </w:rPr>
            </w:pPr>
            <w:r>
              <w:rPr>
                <w:rFonts w:hint="default" w:ascii="宋体" w:hAnsi="宋体" w:cs="宋体"/>
                <w:color w:val="auto"/>
                <w:szCs w:val="21"/>
                <w:highlight w:val="none"/>
                <w:lang w:eastAsia="zh-CN"/>
              </w:rPr>
              <w:t>2</w:t>
            </w:r>
            <w:r>
              <w:rPr>
                <w:rFonts w:hint="eastAsia" w:ascii="宋体" w:hAnsi="宋体" w:cs="宋体"/>
                <w:color w:val="auto"/>
                <w:szCs w:val="21"/>
                <w:highlight w:val="none"/>
                <w:lang w:val="en-US" w:eastAsia="zh-CN"/>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监理员上岗证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安全监理员</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lang w:eastAsia="zh-CN"/>
              </w:rPr>
              <w:t>2</w:t>
            </w:r>
            <w:r>
              <w:rPr>
                <w:rFonts w:hint="eastAsia" w:ascii="宋体" w:hAnsi="宋体" w:cs="宋体"/>
                <w:color w:val="auto"/>
                <w:szCs w:val="21"/>
                <w:highlight w:val="none"/>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left"/>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要求安全监理员培训证书（岗位证）或注册安全工程师证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资料员</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lang w:val="en-US" w:eastAsia="zh-CN"/>
              </w:rPr>
            </w:pPr>
            <w:r>
              <w:rPr>
                <w:rFonts w:hint="default" w:ascii="宋体" w:hAnsi="宋体" w:cs="宋体"/>
                <w:color w:val="auto"/>
                <w:szCs w:val="21"/>
                <w:highlight w:val="none"/>
              </w:rPr>
              <w:t>2</w:t>
            </w:r>
            <w:r>
              <w:rPr>
                <w:rFonts w:hint="eastAsia" w:ascii="宋体" w:hAnsi="宋体" w:cs="宋体"/>
                <w:color w:val="auto"/>
                <w:szCs w:val="21"/>
                <w:highlight w:val="none"/>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224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总计</w:t>
            </w:r>
          </w:p>
        </w:tc>
        <w:tc>
          <w:tcPr>
            <w:tcW w:w="11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eastAsia="zh-CN"/>
              </w:rPr>
              <w:t>4</w:t>
            </w:r>
            <w:r>
              <w:rPr>
                <w:rFonts w:hint="eastAsia" w:ascii="宋体" w:hAnsi="宋体" w:cs="宋体"/>
                <w:color w:val="auto"/>
                <w:szCs w:val="21"/>
                <w:highlight w:val="none"/>
              </w:rPr>
              <w:t>名</w:t>
            </w:r>
          </w:p>
        </w:tc>
        <w:tc>
          <w:tcPr>
            <w:tcW w:w="54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p>
        </w:tc>
      </w:tr>
    </w:tbl>
    <w:p>
      <w:pPr>
        <w:spacing w:line="440" w:lineRule="exact"/>
        <w:ind w:left="0" w:leftChars="0" w:firstLine="420" w:firstLineChars="200"/>
        <w:rPr>
          <w:rFonts w:ascii="宋体" w:hAnsi="宋体" w:cs="宋体"/>
          <w:color w:val="auto"/>
          <w:highlight w:val="none"/>
        </w:rPr>
      </w:pPr>
      <w:r>
        <w:rPr>
          <w:rFonts w:hint="eastAsia" w:ascii="宋体" w:hAnsi="宋体" w:cs="宋体"/>
          <w:color w:val="auto"/>
          <w:szCs w:val="21"/>
          <w:highlight w:val="none"/>
        </w:rPr>
        <w:t>各专业人员应根据工程进度及建设单位要求派驻现场，应满足施工时监理人员旁站监理的要求。</w:t>
      </w:r>
    </w:p>
    <w:p>
      <w:pPr>
        <w:spacing w:line="440" w:lineRule="exact"/>
        <w:ind w:firstLine="359" w:firstLineChars="171"/>
        <w:rPr>
          <w:rFonts w:ascii="宋体" w:hAnsi="宋体" w:cs="宋体"/>
          <w:color w:val="auto"/>
          <w:highlight w:val="none"/>
        </w:rPr>
      </w:pPr>
      <w:r>
        <w:rPr>
          <w:rFonts w:hint="eastAsia" w:ascii="宋体" w:hAnsi="宋体" w:cs="宋体"/>
          <w:color w:val="auto"/>
          <w:highlight w:val="none"/>
        </w:rPr>
        <w:t>注： 1.上述监理人员专业以专业监理工程师证书或注册监理工程师注册执业证书或毕业证或职称证上所列的相关专业为准。</w:t>
      </w:r>
    </w:p>
    <w:p>
      <w:pPr>
        <w:spacing w:line="440" w:lineRule="exact"/>
        <w:ind w:firstLine="359" w:firstLineChars="171"/>
        <w:rPr>
          <w:rFonts w:ascii="宋体" w:hAnsi="宋体" w:cs="宋体"/>
          <w:b/>
          <w:bCs/>
          <w:color w:val="auto"/>
          <w:highlight w:val="none"/>
        </w:rPr>
      </w:pPr>
      <w:r>
        <w:rPr>
          <w:rFonts w:hint="eastAsia" w:ascii="宋体" w:hAnsi="宋体" w:cs="宋体"/>
          <w:b/>
          <w:bCs/>
          <w:color w:val="auto"/>
          <w:highlight w:val="none"/>
        </w:rPr>
        <w:t>2.上述人员要求不作为形式评审、资格评审、响应性评审的审查依据，只作为综合评分表中的评审依据。</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6.监理文件要求：</w:t>
      </w:r>
      <w:r>
        <w:rPr>
          <w:rFonts w:hint="eastAsia" w:ascii="宋体" w:hAnsi="宋体" w:cs="宋体"/>
          <w:color w:val="auto"/>
          <w:szCs w:val="21"/>
          <w:highlight w:val="none"/>
          <w:u w:val="single"/>
        </w:rPr>
        <w:t>详见本项目招标文件和招标公告。</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7.监理工作目标要求：</w:t>
      </w:r>
    </w:p>
    <w:p>
      <w:pPr>
        <w:spacing w:line="360" w:lineRule="auto"/>
        <w:ind w:left="2039" w:leftChars="171" w:hanging="1680" w:hangingChars="800"/>
        <w:rPr>
          <w:rFonts w:hint="eastAsia" w:ascii="宋体" w:hAnsi="宋体" w:cs="宋体"/>
          <w:color w:val="auto"/>
          <w:szCs w:val="21"/>
          <w:highlight w:val="none"/>
        </w:rPr>
      </w:pPr>
      <w:r>
        <w:rPr>
          <w:rFonts w:hint="eastAsia" w:ascii="宋体" w:hAnsi="宋体" w:cs="宋体"/>
          <w:color w:val="auto"/>
          <w:szCs w:val="21"/>
          <w:highlight w:val="none"/>
        </w:rPr>
        <w:t>①质量控制目标：合格</w:t>
      </w:r>
    </w:p>
    <w:p>
      <w:pPr>
        <w:spacing w:line="360" w:lineRule="auto"/>
        <w:ind w:left="2039" w:leftChars="171" w:hanging="1680" w:hangingChars="800"/>
        <w:rPr>
          <w:rFonts w:hint="eastAsia" w:ascii="宋体" w:hAnsi="宋体" w:cs="宋体"/>
          <w:color w:val="auto"/>
          <w:szCs w:val="21"/>
          <w:highlight w:val="none"/>
        </w:rPr>
      </w:pPr>
      <w:r>
        <w:rPr>
          <w:rFonts w:hint="eastAsia" w:ascii="宋体" w:hAnsi="宋体" w:cs="宋体"/>
          <w:color w:val="auto"/>
          <w:szCs w:val="21"/>
          <w:highlight w:val="none"/>
        </w:rPr>
        <w:t>②进度控制目标：从监理人收到中标通知书之日起算，至所有工程（包括附属工程或配套工程、检测和监测等）结束且办妥竣工结算止（此处竣工结算指终审部门进行的竣工结算），包括本工程的施工准备期、施工期、工程收尾期等全过程监理服务，必须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日前完工，具体时间签订合同时予以明确。</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③造价控制目标：所监理项目结算的建安工程费不超过本项目概算批复中对应的建安工程费。</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④安全文明管理目标：确保工程无重大安全事故。</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⑤合同管理目标：\</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⑥信息管理目标：\</w:t>
      </w:r>
    </w:p>
    <w:p>
      <w:pPr>
        <w:spacing w:line="360" w:lineRule="auto"/>
        <w:ind w:left="315" w:leftChars="150" w:firstLine="44" w:firstLineChars="21"/>
        <w:rPr>
          <w:rFonts w:hint="eastAsia" w:ascii="宋体" w:hAnsi="宋体" w:cs="宋体"/>
          <w:color w:val="auto"/>
          <w:szCs w:val="21"/>
          <w:highlight w:val="none"/>
        </w:rPr>
      </w:pPr>
      <w:r>
        <w:rPr>
          <w:rFonts w:hint="eastAsia" w:ascii="宋体" w:hAnsi="宋体" w:cs="宋体"/>
          <w:color w:val="auto"/>
          <w:szCs w:val="21"/>
          <w:highlight w:val="none"/>
        </w:rPr>
        <w:t>⑦建筑节能目标：\</w:t>
      </w:r>
    </w:p>
    <w:p>
      <w:pPr>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8. 其他要求</w:t>
      </w:r>
    </w:p>
    <w:p>
      <w:pPr>
        <w:pStyle w:val="4"/>
        <w:keepNext w:val="0"/>
        <w:rPr>
          <w:rFonts w:hint="eastAsia" w:ascii="宋体" w:hAnsi="宋体" w:eastAsia="宋体" w:cs="宋体"/>
          <w:b/>
          <w:bCs w:val="0"/>
          <w:color w:val="auto"/>
          <w:sz w:val="24"/>
          <w:szCs w:val="24"/>
          <w:highlight w:val="none"/>
        </w:rPr>
      </w:pPr>
      <w:bookmarkStart w:id="146" w:name="_Toc482188638"/>
      <w:bookmarkStart w:id="147" w:name="_Toc517280588"/>
      <w:bookmarkStart w:id="148" w:name="_Toc4080670"/>
      <w:bookmarkStart w:id="149" w:name="_Toc511557111"/>
      <w:r>
        <w:rPr>
          <w:rFonts w:hint="eastAsia" w:ascii="宋体" w:hAnsi="宋体" w:eastAsia="宋体" w:cs="宋体"/>
          <w:b/>
          <w:bCs w:val="0"/>
          <w:color w:val="auto"/>
          <w:sz w:val="24"/>
          <w:szCs w:val="24"/>
          <w:highlight w:val="none"/>
        </w:rPr>
        <w:t>二、适用规范标准</w:t>
      </w:r>
      <w:bookmarkEnd w:id="146"/>
      <w:bookmarkEnd w:id="147"/>
      <w:bookmarkEnd w:id="148"/>
      <w:bookmarkEnd w:id="14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国家、行业、项目所在地规范名录：</w:t>
      </w:r>
      <w:r>
        <w:rPr>
          <w:rFonts w:hint="eastAsia" w:ascii="宋体" w:hAnsi="宋体" w:cs="宋体"/>
          <w:color w:val="auto"/>
          <w:szCs w:val="21"/>
          <w:highlight w:val="none"/>
          <w:u w:val="single"/>
        </w:rPr>
        <w:t>《建设工程监理规范》GB/T50319-2013，按国家、行业、项目所在地规范名录执行。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国家、行业、项目所在地标准名录：</w:t>
      </w:r>
      <w:r>
        <w:rPr>
          <w:rFonts w:hint="eastAsia" w:ascii="宋体" w:hAnsi="宋体" w:cs="宋体"/>
          <w:color w:val="auto"/>
          <w:szCs w:val="21"/>
          <w:highlight w:val="none"/>
          <w:u w:val="single"/>
        </w:rPr>
        <w:t>按国家、行业、项目所在地规范标准执行。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国家、行业、项目所在地规程名录：</w:t>
      </w:r>
      <w:r>
        <w:rPr>
          <w:rFonts w:hint="eastAsia" w:ascii="宋体" w:hAnsi="宋体" w:cs="宋体"/>
          <w:color w:val="auto"/>
          <w:szCs w:val="21"/>
          <w:highlight w:val="none"/>
          <w:u w:val="single"/>
        </w:rPr>
        <w:t>按国家、行业、项目所在地规范规程执行。</w:t>
      </w:r>
    </w:p>
    <w:p>
      <w:pPr>
        <w:pStyle w:val="4"/>
        <w:keepNext w:val="0"/>
        <w:rPr>
          <w:rFonts w:hint="eastAsia" w:ascii="宋体" w:hAnsi="宋体" w:eastAsia="宋体" w:cs="宋体"/>
          <w:b/>
          <w:bCs w:val="0"/>
          <w:color w:val="auto"/>
          <w:sz w:val="24"/>
          <w:szCs w:val="24"/>
          <w:highlight w:val="none"/>
        </w:rPr>
      </w:pPr>
      <w:bookmarkStart w:id="150" w:name="_Toc482188639"/>
      <w:bookmarkStart w:id="151" w:name="_Toc4080671"/>
      <w:bookmarkStart w:id="152" w:name="_Toc517280589"/>
      <w:bookmarkStart w:id="153" w:name="_Toc511557112"/>
      <w:r>
        <w:rPr>
          <w:rFonts w:hint="eastAsia" w:ascii="宋体" w:hAnsi="宋体" w:eastAsia="宋体" w:cs="宋体"/>
          <w:b/>
          <w:bCs w:val="0"/>
          <w:color w:val="auto"/>
          <w:sz w:val="24"/>
          <w:szCs w:val="24"/>
          <w:highlight w:val="none"/>
        </w:rPr>
        <w:t>三、成果文件要求</w:t>
      </w:r>
      <w:bookmarkEnd w:id="150"/>
      <w:bookmarkEnd w:id="151"/>
      <w:bookmarkEnd w:id="152"/>
      <w:bookmarkEnd w:id="153"/>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按《建设工程监理规范》（GB/T50319-2013）和招标人要求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成果文件的组成</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1、勘察设计文件、建设工程监理合同及其他合同文件；</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2、监理规划、监理实施细则；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3、设计交底和图纸会审会议纪要；</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4、施工组织设计、（专项）施工方案、施工进度计划报审文件资料；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5、分包单位资格报审文件资料；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6、施工控制测量成果报验文件资料；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7、总监理工程师任命书、工程开工令、暂停令、复工令、开工或复工报审文件资料；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8、工程材料、设备、构配件报验文件资料；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9、见证取样和平行检验文件资料；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10、工程质量检查报验资料及工程有关验收资料；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11、工程变更、费用索赔及工程延期文件资料；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12、工程计量、工程款支付文件资料；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13、监理通知单、工作联系单与监理报告；</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14、第一次工地会议、监理例会、专题会议等会议纪要；</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15、监理月报、监理日志、旁站记录；</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16、工程质量或生产安全事故处理文件资料；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17、工程质量评估报告及竣工验收监理文件资料；</w:t>
      </w:r>
    </w:p>
    <w:p>
      <w:pPr>
        <w:numPr>
          <w:ilvl w:val="0"/>
          <w:numId w:val="1"/>
        </w:numPr>
        <w:tabs>
          <w:tab w:val="left" w:pos="680"/>
        </w:tabs>
        <w:snapToGrid w:val="0"/>
        <w:spacing w:after="200"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18、监理工作总结。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成果文件的深度:</w:t>
      </w:r>
      <w:r>
        <w:rPr>
          <w:rFonts w:hint="eastAsia" w:ascii="宋体" w:hAnsi="宋体" w:cs="宋体"/>
          <w:color w:val="auto"/>
          <w:szCs w:val="21"/>
          <w:highlight w:val="none"/>
          <w:u w:val="single"/>
        </w:rPr>
        <w:t xml:space="preserve"> 满足本项目监理服务要求。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 成果文件的格式要求:</w:t>
      </w:r>
      <w:r>
        <w:rPr>
          <w:rFonts w:hint="eastAsia" w:ascii="宋体" w:hAnsi="宋体" w:cs="宋体"/>
          <w:color w:val="auto"/>
          <w:szCs w:val="21"/>
          <w:highlight w:val="none"/>
          <w:u w:val="single"/>
        </w:rPr>
        <w:t xml:space="preserve"> 满足本项目监理服务要求。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成果文件的份数要求:</w:t>
      </w:r>
      <w:r>
        <w:rPr>
          <w:rFonts w:hint="eastAsia" w:ascii="宋体" w:hAnsi="宋体" w:cs="宋体"/>
          <w:color w:val="auto"/>
          <w:szCs w:val="21"/>
          <w:highlight w:val="none"/>
          <w:u w:val="single"/>
        </w:rPr>
        <w:t xml:space="preserve"> 满足本项目监理服务要求。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成果文件的载体要求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（1）纸质版的要求：</w:t>
      </w:r>
      <w:r>
        <w:rPr>
          <w:rFonts w:hint="eastAsia" w:ascii="宋体" w:hAnsi="宋体" w:cs="宋体"/>
          <w:color w:val="auto"/>
          <w:szCs w:val="21"/>
          <w:highlight w:val="none"/>
          <w:u w:val="single"/>
        </w:rPr>
        <w:t>满足本项目监理服务要求。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（2）电子版的要求：</w:t>
      </w:r>
      <w:r>
        <w:rPr>
          <w:rFonts w:hint="eastAsia" w:ascii="宋体" w:hAnsi="宋体" w:cs="宋体"/>
          <w:color w:val="auto"/>
          <w:szCs w:val="21"/>
          <w:highlight w:val="none"/>
          <w:u w:val="single"/>
        </w:rPr>
        <w:t xml:space="preserve"> 满足本项目监理服务要求。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（3）其他要求。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6. 成果文件的其他要求: </w:t>
      </w:r>
      <w:r>
        <w:rPr>
          <w:rFonts w:hint="eastAsia" w:ascii="宋体" w:hAnsi="宋体" w:cs="宋体"/>
          <w:color w:val="auto"/>
          <w:szCs w:val="21"/>
          <w:highlight w:val="none"/>
          <w:u w:val="single"/>
        </w:rPr>
        <w:t>满足本项目监理服务要求。</w:t>
      </w:r>
    </w:p>
    <w:p>
      <w:pPr>
        <w:pStyle w:val="4"/>
        <w:keepNext w:val="0"/>
        <w:rPr>
          <w:rFonts w:hint="eastAsia" w:ascii="宋体" w:hAnsi="宋体" w:eastAsia="宋体" w:cs="宋体"/>
          <w:b/>
          <w:bCs w:val="0"/>
          <w:color w:val="auto"/>
          <w:sz w:val="24"/>
          <w:szCs w:val="24"/>
          <w:highlight w:val="none"/>
        </w:rPr>
      </w:pPr>
      <w:bookmarkStart w:id="154" w:name="_Toc482188640"/>
      <w:bookmarkStart w:id="155" w:name="_Toc511557113"/>
      <w:bookmarkStart w:id="156" w:name="_Toc517280590"/>
      <w:bookmarkStart w:id="157" w:name="_Toc4080672"/>
      <w:r>
        <w:rPr>
          <w:rFonts w:hint="eastAsia" w:ascii="宋体" w:hAnsi="宋体" w:eastAsia="宋体" w:cs="宋体"/>
          <w:b/>
          <w:bCs w:val="0"/>
          <w:color w:val="auto"/>
          <w:sz w:val="24"/>
          <w:szCs w:val="24"/>
          <w:highlight w:val="none"/>
        </w:rPr>
        <w:t>四、委托人财产清单</w:t>
      </w:r>
      <w:bookmarkEnd w:id="154"/>
      <w:bookmarkEnd w:id="155"/>
      <w:bookmarkEnd w:id="156"/>
      <w:bookmarkEnd w:id="157"/>
    </w:p>
    <w:p>
      <w:pPr>
        <w:pStyle w:val="4"/>
        <w:keepNext w:val="0"/>
        <w:ind w:firstLine="240" w:firstLineChars="100"/>
        <w:rPr>
          <w:rFonts w:hint="eastAsia" w:ascii="宋体" w:hAnsi="宋体" w:eastAsia="宋体" w:cs="宋体"/>
          <w:b/>
          <w:bCs w:val="0"/>
          <w:color w:val="auto"/>
          <w:sz w:val="24"/>
          <w:szCs w:val="24"/>
          <w:highlight w:val="none"/>
        </w:rPr>
      </w:pPr>
      <w:bookmarkStart w:id="158" w:name="_Toc511557114"/>
      <w:bookmarkStart w:id="159" w:name="_Toc482188641"/>
      <w:bookmarkStart w:id="160" w:name="_Toc517280591"/>
      <w:bookmarkStart w:id="161" w:name="_Toc4080673"/>
      <w:r>
        <w:rPr>
          <w:rFonts w:hint="eastAsia" w:ascii="宋体" w:hAnsi="宋体" w:eastAsia="宋体" w:cs="宋体"/>
          <w:b/>
          <w:bCs w:val="0"/>
          <w:color w:val="auto"/>
          <w:sz w:val="24"/>
          <w:szCs w:val="24"/>
          <w:highlight w:val="none"/>
        </w:rPr>
        <w:t>（一）委托人提供的设备、设施</w:t>
      </w:r>
      <w:bookmarkEnd w:id="158"/>
      <w:bookmarkEnd w:id="159"/>
      <w:bookmarkEnd w:id="160"/>
      <w:bookmarkEnd w:id="161"/>
    </w:p>
    <w:p>
      <w:pPr>
        <w:spacing w:line="360" w:lineRule="auto"/>
        <w:ind w:firstLine="420" w:firstLineChars="200"/>
        <w:rPr>
          <w:rFonts w:hint="eastAsia" w:ascii="宋体" w:hAnsi="宋体" w:cs="宋体"/>
          <w:color w:val="auto"/>
          <w:highlight w:val="none"/>
          <w:u w:val="single"/>
        </w:rPr>
      </w:pPr>
      <w:bookmarkStart w:id="162" w:name="_Toc511557115"/>
      <w:bookmarkStart w:id="163" w:name="_Toc482188642"/>
      <w:r>
        <w:rPr>
          <w:rFonts w:hint="eastAsia" w:ascii="宋体" w:hAnsi="宋体" w:cs="宋体"/>
          <w:color w:val="auto"/>
          <w:highlight w:val="none"/>
        </w:rPr>
        <w:t>1. 委托人提供的办公房屋及冷暖设施：</w:t>
      </w:r>
      <w:r>
        <w:rPr>
          <w:rFonts w:hint="eastAsia" w:ascii="宋体" w:hAnsi="宋体" w:cs="宋体"/>
          <w:color w:val="auto"/>
          <w:highlight w:val="none"/>
          <w:u w:val="single"/>
        </w:rPr>
        <w:t>根据项目实际情况需求提供；</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2. 委托人提供的设备清单：</w:t>
      </w:r>
      <w:r>
        <w:rPr>
          <w:rFonts w:hint="eastAsia" w:ascii="宋体" w:hAnsi="宋体" w:cs="宋体"/>
          <w:color w:val="auto"/>
          <w:highlight w:val="none"/>
          <w:u w:val="single"/>
        </w:rPr>
        <w:t>根据项目实际情况需求提供；</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 委托人提供的设施清单：</w:t>
      </w:r>
      <w:r>
        <w:rPr>
          <w:rFonts w:hint="eastAsia" w:ascii="宋体" w:hAnsi="宋体" w:cs="宋体"/>
          <w:color w:val="auto"/>
          <w:highlight w:val="none"/>
          <w:u w:val="single"/>
        </w:rPr>
        <w:t>根据项目实际情况需求提供；</w:t>
      </w:r>
    </w:p>
    <w:p>
      <w:pPr>
        <w:pStyle w:val="4"/>
        <w:keepNext w:val="0"/>
        <w:ind w:firstLine="240" w:firstLineChars="100"/>
        <w:rPr>
          <w:rFonts w:hint="eastAsia" w:ascii="宋体" w:hAnsi="宋体" w:eastAsia="宋体" w:cs="宋体"/>
          <w:b/>
          <w:bCs w:val="0"/>
          <w:color w:val="auto"/>
          <w:sz w:val="24"/>
          <w:szCs w:val="24"/>
          <w:highlight w:val="none"/>
        </w:rPr>
      </w:pPr>
      <w:bookmarkStart w:id="164" w:name="_Toc4080674"/>
      <w:bookmarkStart w:id="165" w:name="_Toc517280592"/>
      <w:r>
        <w:rPr>
          <w:rFonts w:hint="eastAsia" w:ascii="宋体" w:hAnsi="宋体" w:eastAsia="宋体" w:cs="宋体"/>
          <w:b/>
          <w:bCs w:val="0"/>
          <w:color w:val="auto"/>
          <w:sz w:val="24"/>
          <w:szCs w:val="24"/>
          <w:highlight w:val="none"/>
        </w:rPr>
        <w:t>（二）委托人提供的资料</w:t>
      </w:r>
      <w:bookmarkEnd w:id="162"/>
      <w:bookmarkEnd w:id="163"/>
      <w:bookmarkEnd w:id="164"/>
      <w:bookmarkEnd w:id="165"/>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定位放线的基准点、基准线和基准标高</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 委托人取得的有关审批、核准和备案材料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勘察文件、设计文件等资料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技术标准、规范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 工程承包合同及其他相关合同</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 其他资料</w:t>
      </w:r>
    </w:p>
    <w:p>
      <w:pPr>
        <w:spacing w:line="360" w:lineRule="auto"/>
        <w:ind w:firstLine="420" w:firstLineChars="200"/>
        <w:rPr>
          <w:rFonts w:hint="eastAsia" w:ascii="宋体" w:hAnsi="宋体" w:cs="宋体"/>
          <w:color w:val="auto"/>
          <w:highlight w:val="none"/>
        </w:rPr>
      </w:pPr>
      <w:bookmarkStart w:id="166" w:name="_Toc482188643"/>
      <w:r>
        <w:rPr>
          <w:rFonts w:hint="eastAsia" w:ascii="宋体" w:hAnsi="宋体" w:cs="宋体"/>
          <w:color w:val="auto"/>
          <w:highlight w:val="none"/>
        </w:rPr>
        <w:t>……</w:t>
      </w:r>
    </w:p>
    <w:p>
      <w:pPr>
        <w:pStyle w:val="4"/>
        <w:keepNext w:val="0"/>
        <w:ind w:firstLine="240" w:firstLineChars="100"/>
        <w:rPr>
          <w:rFonts w:hint="eastAsia" w:ascii="宋体" w:hAnsi="宋体" w:eastAsia="宋体" w:cs="宋体"/>
          <w:b/>
          <w:bCs w:val="0"/>
          <w:color w:val="auto"/>
          <w:sz w:val="24"/>
          <w:szCs w:val="24"/>
          <w:highlight w:val="none"/>
        </w:rPr>
      </w:pPr>
      <w:bookmarkStart w:id="167" w:name="_Toc4080675"/>
      <w:bookmarkStart w:id="168" w:name="_Toc517280593"/>
      <w:bookmarkStart w:id="169" w:name="_Toc511557116"/>
      <w:r>
        <w:rPr>
          <w:rFonts w:hint="eastAsia" w:ascii="宋体" w:hAnsi="宋体" w:eastAsia="宋体" w:cs="宋体"/>
          <w:b/>
          <w:bCs w:val="0"/>
          <w:color w:val="auto"/>
          <w:sz w:val="24"/>
          <w:szCs w:val="24"/>
          <w:highlight w:val="none"/>
        </w:rPr>
        <w:t>（三）委托人财产使用要求及退还要求</w:t>
      </w:r>
      <w:bookmarkEnd w:id="166"/>
      <w:bookmarkEnd w:id="167"/>
      <w:bookmarkEnd w:id="168"/>
      <w:bookmarkEnd w:id="169"/>
    </w:p>
    <w:p>
      <w:pPr>
        <w:spacing w:line="360" w:lineRule="auto"/>
        <w:ind w:firstLine="420" w:firstLineChars="200"/>
        <w:rPr>
          <w:rFonts w:hint="eastAsia" w:ascii="宋体" w:hAnsi="宋体" w:cs="宋体"/>
          <w:color w:val="auto"/>
          <w:szCs w:val="21"/>
          <w:highlight w:val="none"/>
        </w:rPr>
      </w:pPr>
      <w:bookmarkStart w:id="170" w:name="_Toc482188644"/>
      <w:r>
        <w:rPr>
          <w:rFonts w:hint="eastAsia" w:ascii="宋体" w:hAnsi="宋体" w:cs="宋体"/>
          <w:color w:val="auto"/>
          <w:szCs w:val="21"/>
          <w:highlight w:val="none"/>
        </w:rPr>
        <w:t>1. 委托人财产使用要求：</w:t>
      </w:r>
      <w:r>
        <w:rPr>
          <w:rFonts w:hint="eastAsia" w:ascii="宋体" w:hAnsi="宋体" w:cs="宋体"/>
          <w:color w:val="auto"/>
          <w:szCs w:val="21"/>
          <w:highlight w:val="none"/>
          <w:u w:val="single"/>
        </w:rPr>
        <w:t>监理人对委托人财产保存完好，避免有损坏或丢失等情况发生；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委托人财产退还要求：</w:t>
      </w:r>
      <w:r>
        <w:rPr>
          <w:rFonts w:hint="eastAsia" w:ascii="宋体" w:hAnsi="宋体" w:cs="宋体"/>
          <w:color w:val="auto"/>
          <w:szCs w:val="21"/>
          <w:highlight w:val="none"/>
          <w:u w:val="single"/>
        </w:rPr>
        <w:t>工程完工后监理人将委托人财产全数完好地退还给委托人。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p>
    <w:p>
      <w:pPr>
        <w:pStyle w:val="4"/>
        <w:keepNext w:val="0"/>
        <w:rPr>
          <w:rFonts w:hint="eastAsia" w:ascii="宋体" w:hAnsi="宋体" w:eastAsia="宋体" w:cs="宋体"/>
          <w:b/>
          <w:bCs w:val="0"/>
          <w:color w:val="auto"/>
          <w:sz w:val="24"/>
          <w:szCs w:val="24"/>
          <w:highlight w:val="none"/>
        </w:rPr>
      </w:pPr>
      <w:bookmarkStart w:id="171" w:name="_Toc4080676"/>
      <w:bookmarkStart w:id="172" w:name="_Toc511557117"/>
      <w:bookmarkStart w:id="173" w:name="_Toc517280594"/>
      <w:r>
        <w:rPr>
          <w:rFonts w:hint="eastAsia" w:ascii="宋体" w:hAnsi="宋体" w:eastAsia="宋体" w:cs="宋体"/>
          <w:b/>
          <w:bCs w:val="0"/>
          <w:color w:val="auto"/>
          <w:sz w:val="24"/>
          <w:szCs w:val="24"/>
          <w:highlight w:val="none"/>
        </w:rPr>
        <w:t>五、委托人提供的便利条件</w:t>
      </w:r>
      <w:bookmarkEnd w:id="170"/>
      <w:bookmarkEnd w:id="171"/>
      <w:bookmarkEnd w:id="172"/>
      <w:bookmarkEnd w:id="17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委托人提供的生活条件：</w:t>
      </w:r>
      <w:r>
        <w:rPr>
          <w:rFonts w:hint="eastAsia" w:ascii="宋体" w:hAnsi="宋体" w:cs="宋体"/>
          <w:color w:val="auto"/>
          <w:highlight w:val="none"/>
          <w:u w:val="single"/>
        </w:rPr>
        <w:t>根据项目实际情况需求提供；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委托人提供的交通条件：</w:t>
      </w:r>
      <w:r>
        <w:rPr>
          <w:rFonts w:hint="eastAsia" w:ascii="宋体" w:hAnsi="宋体" w:cs="宋体"/>
          <w:color w:val="auto"/>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委托人提供的网络、通讯条件：</w:t>
      </w:r>
      <w:r>
        <w:rPr>
          <w:rFonts w:hint="eastAsia" w:ascii="宋体" w:hAnsi="宋体" w:cs="宋体"/>
          <w:color w:val="auto"/>
          <w:highlight w:val="none"/>
          <w:u w:val="singl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委托人提供的协助人员：</w:t>
      </w:r>
      <w:r>
        <w:rPr>
          <w:rFonts w:hint="eastAsia" w:ascii="宋体" w:hAnsi="宋体" w:cs="宋体"/>
          <w:color w:val="auto"/>
          <w:highlight w:val="none"/>
          <w:u w:val="single"/>
        </w:rPr>
        <w:t>/</w:t>
      </w:r>
    </w:p>
    <w:p>
      <w:pPr>
        <w:spacing w:line="360" w:lineRule="auto"/>
        <w:ind w:firstLine="420" w:firstLineChars="200"/>
        <w:rPr>
          <w:rFonts w:hint="eastAsia" w:ascii="宋体" w:hAnsi="宋体" w:cs="宋体"/>
          <w:color w:val="auto"/>
          <w:highlight w:val="none"/>
        </w:rPr>
      </w:pPr>
      <w:bookmarkStart w:id="174" w:name="_Toc482188645"/>
      <w:r>
        <w:rPr>
          <w:rFonts w:hint="eastAsia" w:ascii="宋体" w:hAnsi="宋体" w:cs="宋体"/>
          <w:color w:val="auto"/>
          <w:highlight w:val="none"/>
        </w:rPr>
        <w:t>……</w:t>
      </w:r>
    </w:p>
    <w:p>
      <w:pPr>
        <w:pStyle w:val="4"/>
        <w:keepNext w:val="0"/>
        <w:rPr>
          <w:rFonts w:hint="eastAsia" w:ascii="宋体" w:hAnsi="宋体" w:eastAsia="宋体" w:cs="宋体"/>
          <w:b/>
          <w:bCs w:val="0"/>
          <w:color w:val="auto"/>
          <w:sz w:val="24"/>
          <w:szCs w:val="24"/>
          <w:highlight w:val="none"/>
        </w:rPr>
      </w:pPr>
      <w:bookmarkStart w:id="175" w:name="_Toc4080677"/>
      <w:bookmarkStart w:id="176" w:name="_Toc511557118"/>
      <w:bookmarkStart w:id="177" w:name="_Toc517280595"/>
      <w:r>
        <w:rPr>
          <w:rFonts w:hint="eastAsia" w:ascii="宋体" w:hAnsi="宋体" w:eastAsia="宋体" w:cs="宋体"/>
          <w:b/>
          <w:bCs w:val="0"/>
          <w:color w:val="auto"/>
          <w:sz w:val="24"/>
          <w:szCs w:val="24"/>
          <w:highlight w:val="none"/>
        </w:rPr>
        <w:t>六、监理人需要自备的工作条件</w:t>
      </w:r>
      <w:bookmarkEnd w:id="174"/>
      <w:bookmarkEnd w:id="175"/>
      <w:bookmarkEnd w:id="176"/>
      <w:bookmarkEnd w:id="17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监理人自备的工作手册：</w:t>
      </w:r>
      <w:r>
        <w:rPr>
          <w:rFonts w:hint="eastAsia" w:ascii="宋体" w:hAnsi="宋体" w:cs="宋体"/>
          <w:color w:val="auto"/>
          <w:szCs w:val="21"/>
          <w:highlight w:val="none"/>
          <w:u w:val="single"/>
        </w:rPr>
        <w:t>本项目必备的规范标准、图集等。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监理人自备的办公设备：</w:t>
      </w:r>
      <w:r>
        <w:rPr>
          <w:rFonts w:hint="eastAsia" w:ascii="宋体" w:hAnsi="宋体" w:cs="宋体"/>
          <w:color w:val="auto"/>
          <w:szCs w:val="21"/>
          <w:highlight w:val="none"/>
          <w:u w:val="single"/>
        </w:rPr>
        <w:t>电脑、软件、投影、打印机、复印机、照相机等。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监理人自备的交通工具：</w:t>
      </w:r>
      <w:r>
        <w:rPr>
          <w:rFonts w:hint="eastAsia" w:ascii="宋体" w:hAnsi="宋体" w:cs="宋体"/>
          <w:color w:val="auto"/>
          <w:szCs w:val="21"/>
          <w:highlight w:val="none"/>
          <w:u w:val="single"/>
        </w:rPr>
        <w:t>出行车辆等。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监理人自备的现场办公设施：</w:t>
      </w:r>
      <w:r>
        <w:rPr>
          <w:rFonts w:hint="eastAsia" w:ascii="宋体" w:hAnsi="宋体" w:cs="宋体"/>
          <w:color w:val="auto"/>
          <w:szCs w:val="21"/>
          <w:highlight w:val="none"/>
          <w:u w:val="single"/>
        </w:rPr>
        <w:t>除委托人提供的办公桌椅、文件柜外的相关设施。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监理人自备的安全设施：</w:t>
      </w:r>
      <w:r>
        <w:rPr>
          <w:rFonts w:hint="eastAsia" w:ascii="宋体" w:hAnsi="宋体" w:cs="宋体"/>
          <w:color w:val="auto"/>
          <w:szCs w:val="21"/>
          <w:highlight w:val="none"/>
          <w:u w:val="single"/>
        </w:rPr>
        <w:t>安全帽、安全鞋、手电筒等。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监理人自备的试验检测仪器、设备、工具：</w:t>
      </w:r>
      <w:r>
        <w:rPr>
          <w:rFonts w:hint="eastAsia" w:ascii="宋体" w:hAnsi="宋体" w:cs="宋体"/>
          <w:color w:val="auto"/>
          <w:szCs w:val="21"/>
          <w:highlight w:val="none"/>
          <w:u w:val="single"/>
        </w:rPr>
        <w:t>满足本项目监理服务要求，由投标人根据项目内容提交清单。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监理人自备的试验用房、样品用房：</w:t>
      </w:r>
      <w:r>
        <w:rPr>
          <w:rFonts w:hint="eastAsia" w:ascii="宋体" w:hAnsi="宋体" w:cs="宋体"/>
          <w:color w:val="auto"/>
          <w:szCs w:val="21"/>
          <w:highlight w:val="none"/>
          <w:u w:val="single"/>
        </w:rPr>
        <w:t xml:space="preserve">    /     </w:t>
      </w:r>
    </w:p>
    <w:p>
      <w:pPr>
        <w:pStyle w:val="4"/>
        <w:keepNext w:val="0"/>
        <w:rPr>
          <w:rFonts w:hint="eastAsia" w:ascii="宋体" w:hAnsi="宋体" w:eastAsia="宋体" w:cs="宋体"/>
          <w:b/>
          <w:bCs w:val="0"/>
          <w:color w:val="auto"/>
          <w:sz w:val="24"/>
          <w:szCs w:val="24"/>
          <w:highlight w:val="none"/>
        </w:rPr>
      </w:pPr>
      <w:bookmarkStart w:id="178" w:name="_Toc482188646"/>
      <w:bookmarkStart w:id="179" w:name="_Toc517280596"/>
      <w:bookmarkStart w:id="180" w:name="_Toc4080678"/>
      <w:bookmarkStart w:id="181" w:name="_Toc511557119"/>
      <w:r>
        <w:rPr>
          <w:rFonts w:hint="eastAsia" w:ascii="宋体" w:hAnsi="宋体" w:eastAsia="宋体" w:cs="宋体"/>
          <w:b/>
          <w:bCs w:val="0"/>
          <w:color w:val="auto"/>
          <w:sz w:val="24"/>
          <w:szCs w:val="24"/>
          <w:highlight w:val="none"/>
        </w:rPr>
        <w:t>七、委托人的其他要求</w:t>
      </w:r>
      <w:bookmarkEnd w:id="178"/>
      <w:bookmarkEnd w:id="179"/>
      <w:bookmarkEnd w:id="180"/>
      <w:bookmarkEnd w:id="181"/>
    </w:p>
    <w:p>
      <w:pPr>
        <w:tabs>
          <w:tab w:val="left" w:pos="540"/>
        </w:tabs>
        <w:snapToGrid w:val="0"/>
        <w:spacing w:line="360" w:lineRule="auto"/>
        <w:ind w:firstLine="420" w:firstLineChars="200"/>
        <w:rPr>
          <w:rFonts w:hint="eastAsia" w:ascii="宋体" w:hAnsi="宋体" w:cs="宋体"/>
          <w:color w:val="auto"/>
          <w:sz w:val="18"/>
          <w:highlight w:val="none"/>
        </w:rPr>
      </w:pPr>
      <w:bookmarkStart w:id="182" w:name="_Toc517280597"/>
      <w:r>
        <w:rPr>
          <w:rFonts w:hint="eastAsia" w:ascii="宋体" w:hAnsi="宋体" w:cs="宋体"/>
          <w:color w:val="auto"/>
          <w:szCs w:val="21"/>
          <w:highlight w:val="none"/>
        </w:rPr>
        <w:t>委托人的其他要求</w:t>
      </w:r>
      <w:bookmarkEnd w:id="182"/>
      <w:r>
        <w:rPr>
          <w:rFonts w:hint="eastAsia" w:ascii="宋体" w:hAnsi="宋体" w:cs="宋体"/>
          <w:color w:val="auto"/>
          <w:szCs w:val="21"/>
          <w:highlight w:val="none"/>
        </w:rPr>
        <w:t>：</w:t>
      </w:r>
      <w:r>
        <w:rPr>
          <w:rFonts w:hint="eastAsia" w:ascii="宋体" w:hAnsi="宋体" w:cs="宋体"/>
          <w:color w:val="auto"/>
          <w:szCs w:val="21"/>
          <w:highlight w:val="none"/>
          <w:u w:val="single"/>
        </w:rPr>
        <w:t>其他要求详见按监理合同。</w:t>
      </w:r>
    </w:p>
    <w:p>
      <w:pPr>
        <w:spacing w:line="360" w:lineRule="auto"/>
        <w:jc w:val="left"/>
        <w:rPr>
          <w:rFonts w:hint="eastAsia" w:ascii="宋体" w:hAnsi="宋体" w:cs="宋体"/>
          <w:color w:val="auto"/>
          <w:sz w:val="24"/>
          <w:highlight w:val="none"/>
        </w:rPr>
      </w:pPr>
    </w:p>
    <w:p>
      <w:pPr>
        <w:pStyle w:val="3"/>
        <w:spacing w:line="240" w:lineRule="auto"/>
        <w:rPr>
          <w:rFonts w:hint="eastAsia" w:ascii="宋体" w:hAnsi="宋体" w:eastAsia="宋体" w:cs="宋体"/>
          <w:color w:val="auto"/>
          <w:highlight w:val="none"/>
        </w:rPr>
      </w:pPr>
      <w:bookmarkStart w:id="183" w:name="_Toc210124379"/>
      <w:bookmarkStart w:id="184" w:name="_Toc12026"/>
      <w:r>
        <w:rPr>
          <w:rFonts w:hint="eastAsia" w:ascii="宋体" w:hAnsi="宋体" w:eastAsia="宋体" w:cs="宋体"/>
          <w:color w:val="auto"/>
          <w:highlight w:val="none"/>
        </w:rPr>
        <w:br w:type="page"/>
      </w:r>
      <w:bookmarkStart w:id="185" w:name="_Toc3416"/>
      <w:r>
        <w:rPr>
          <w:rFonts w:hint="eastAsia" w:ascii="宋体" w:hAnsi="宋体" w:eastAsia="宋体" w:cs="宋体"/>
          <w:color w:val="auto"/>
          <w:highlight w:val="none"/>
        </w:rPr>
        <w:t>第6章 投标</w:t>
      </w:r>
      <w:bookmarkEnd w:id="183"/>
      <w:r>
        <w:rPr>
          <w:rFonts w:hint="eastAsia" w:ascii="宋体" w:hAnsi="宋体" w:eastAsia="宋体" w:cs="宋体"/>
          <w:color w:val="auto"/>
          <w:highlight w:val="none"/>
        </w:rPr>
        <w:t>文件格式</w:t>
      </w:r>
      <w:bookmarkEnd w:id="184"/>
      <w:bookmarkEnd w:id="185"/>
    </w:p>
    <w:p>
      <w:pPr>
        <w:jc w:val="cente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（项目名称）</w:t>
      </w: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rPr>
          <w:rFonts w:hint="eastAsia" w:ascii="宋体" w:hAnsi="宋体" w:cs="宋体"/>
          <w:color w:val="auto"/>
          <w:sz w:val="20"/>
          <w:highlight w:val="none"/>
        </w:rPr>
      </w:pPr>
    </w:p>
    <w:p>
      <w:pPr>
        <w:jc w:val="center"/>
        <w:rPr>
          <w:rFonts w:hint="eastAsia" w:ascii="宋体" w:hAnsi="宋体" w:cs="宋体"/>
          <w:color w:val="auto"/>
          <w:sz w:val="44"/>
          <w:highlight w:val="none"/>
        </w:rPr>
      </w:pPr>
      <w:r>
        <w:rPr>
          <w:rFonts w:hint="eastAsia" w:ascii="宋体" w:hAnsi="宋体" w:cs="宋体"/>
          <w:color w:val="auto"/>
          <w:sz w:val="44"/>
          <w:highlight w:val="none"/>
        </w:rPr>
        <w:t>投 标 文 件</w:t>
      </w:r>
    </w:p>
    <w:p>
      <w:pPr>
        <w:jc w:val="center"/>
        <w:rPr>
          <w:rFonts w:hint="eastAsia" w:ascii="宋体" w:hAnsi="宋体" w:cs="宋体"/>
          <w:color w:val="auto"/>
          <w:sz w:val="44"/>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rPr>
          <w:rFonts w:hint="eastAsia" w:ascii="宋体" w:hAnsi="宋体" w:cs="宋体"/>
          <w:color w:val="auto"/>
          <w:sz w:val="28"/>
          <w:highlight w:val="none"/>
        </w:rPr>
      </w:pPr>
    </w:p>
    <w:p>
      <w:pPr>
        <w:spacing w:line="360" w:lineRule="auto"/>
        <w:rPr>
          <w:rFonts w:hint="eastAsia" w:ascii="宋体" w:hAnsi="宋体" w:cs="宋体"/>
          <w:color w:val="auto"/>
          <w:sz w:val="28"/>
          <w:highlight w:val="none"/>
        </w:rPr>
      </w:pPr>
    </w:p>
    <w:p>
      <w:pPr>
        <w:spacing w:line="360" w:lineRule="auto"/>
        <w:ind w:firstLine="1120" w:firstLineChars="400"/>
        <w:rPr>
          <w:rFonts w:hint="eastAsia" w:ascii="宋体" w:hAnsi="宋体" w:cs="宋体"/>
          <w:color w:val="auto"/>
          <w:sz w:val="28"/>
          <w:highlight w:val="none"/>
          <w:u w:val="singl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pPr>
        <w:spacing w:line="360" w:lineRule="auto"/>
        <w:ind w:firstLine="1120" w:firstLineChars="400"/>
        <w:jc w:val="left"/>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w:t>
      </w:r>
    </w:p>
    <w:p>
      <w:pPr>
        <w:jc w:val="center"/>
        <w:rPr>
          <w:rFonts w:hint="eastAsia" w:ascii="宋体" w:hAnsi="宋体" w:cs="宋体"/>
          <w:color w:val="auto"/>
          <w:sz w:val="28"/>
          <w:highlight w:val="none"/>
        </w:rPr>
      </w:pPr>
    </w:p>
    <w:p>
      <w:pPr>
        <w:spacing w:line="400" w:lineRule="exact"/>
        <w:jc w:val="center"/>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r>
        <w:rPr>
          <w:rFonts w:hint="eastAsia" w:ascii="宋体" w:hAnsi="宋体" w:cs="宋体"/>
          <w:b/>
          <w:bCs/>
          <w:color w:val="auto"/>
          <w:sz w:val="44"/>
          <w:highlight w:val="none"/>
        </w:rPr>
        <w:t>目录</w:t>
      </w:r>
    </w:p>
    <w:p>
      <w:pPr>
        <w:spacing w:line="360" w:lineRule="auto"/>
        <w:jc w:val="center"/>
        <w:rPr>
          <w:rFonts w:hint="eastAsia" w:ascii="宋体" w:hAnsi="宋体" w:cs="宋体"/>
          <w:b/>
          <w:bCs/>
          <w:color w:val="auto"/>
          <w:sz w:val="44"/>
          <w:highlight w:val="none"/>
        </w:rPr>
      </w:pPr>
    </w:p>
    <w:p>
      <w:pPr>
        <w:spacing w:line="360" w:lineRule="auto"/>
        <w:jc w:val="center"/>
        <w:rPr>
          <w:rFonts w:hint="eastAsia" w:ascii="宋体" w:hAnsi="宋体" w:cs="宋体"/>
          <w:b/>
          <w:bCs/>
          <w:color w:val="auto"/>
          <w:sz w:val="44"/>
          <w:highlight w:val="none"/>
        </w:rPr>
      </w:pPr>
    </w:p>
    <w:p>
      <w:pPr>
        <w:spacing w:line="480" w:lineRule="auto"/>
        <w:rPr>
          <w:rFonts w:hint="eastAsia" w:ascii="宋体" w:hAnsi="宋体" w:cs="宋体"/>
          <w:color w:val="auto"/>
          <w:highlight w:val="none"/>
        </w:rPr>
      </w:pPr>
      <w:r>
        <w:rPr>
          <w:rFonts w:hint="eastAsia" w:ascii="宋体" w:hAnsi="宋体" w:cs="宋体"/>
          <w:color w:val="auto"/>
          <w:highlight w:val="none"/>
        </w:rPr>
        <w:t>一、投标函及投标函附录</w:t>
      </w:r>
    </w:p>
    <w:p>
      <w:pPr>
        <w:spacing w:line="480" w:lineRule="auto"/>
        <w:rPr>
          <w:rFonts w:hint="eastAsia" w:ascii="宋体" w:hAnsi="宋体" w:cs="宋体"/>
          <w:color w:val="auto"/>
          <w:highlight w:val="none"/>
        </w:rPr>
      </w:pPr>
      <w:r>
        <w:rPr>
          <w:rFonts w:hint="eastAsia" w:ascii="宋体" w:hAnsi="宋体" w:cs="宋体"/>
          <w:color w:val="auto"/>
          <w:highlight w:val="none"/>
        </w:rPr>
        <w:t>二、法定代表人身份证明（适用于无委托代理人的情况）</w:t>
      </w:r>
    </w:p>
    <w:p>
      <w:pPr>
        <w:spacing w:line="480" w:lineRule="auto"/>
        <w:rPr>
          <w:rFonts w:hint="eastAsia" w:ascii="宋体" w:hAnsi="宋体" w:cs="宋体"/>
          <w:color w:val="auto"/>
          <w:highlight w:val="none"/>
        </w:rPr>
      </w:pPr>
      <w:r>
        <w:rPr>
          <w:rFonts w:hint="eastAsia" w:ascii="宋体" w:hAnsi="宋体" w:cs="宋体"/>
          <w:color w:val="auto"/>
          <w:highlight w:val="none"/>
        </w:rPr>
        <w:t>三、授权委托书（适用于有委托代理人的情况）</w:t>
      </w:r>
    </w:p>
    <w:p>
      <w:pPr>
        <w:spacing w:line="480" w:lineRule="auto"/>
        <w:rPr>
          <w:rFonts w:hint="eastAsia" w:ascii="宋体" w:hAnsi="宋体" w:cs="宋体"/>
          <w:color w:val="auto"/>
          <w:highlight w:val="none"/>
        </w:rPr>
      </w:pPr>
      <w:r>
        <w:rPr>
          <w:rFonts w:hint="eastAsia" w:ascii="宋体" w:hAnsi="宋体" w:cs="宋体"/>
          <w:color w:val="auto"/>
          <w:highlight w:val="none"/>
        </w:rPr>
        <w:t>四、投标保证金</w:t>
      </w:r>
    </w:p>
    <w:p>
      <w:pPr>
        <w:spacing w:line="480" w:lineRule="auto"/>
        <w:rPr>
          <w:rFonts w:hint="eastAsia" w:ascii="宋体" w:hAnsi="宋体" w:cs="宋体"/>
          <w:color w:val="auto"/>
          <w:highlight w:val="none"/>
        </w:rPr>
      </w:pPr>
      <w:r>
        <w:rPr>
          <w:rFonts w:hint="eastAsia" w:ascii="宋体" w:hAnsi="宋体" w:cs="宋体"/>
          <w:color w:val="auto"/>
          <w:highlight w:val="none"/>
          <w:lang w:val="en-US" w:eastAsia="zh-Hans"/>
        </w:rPr>
        <w:t>五</w:t>
      </w:r>
      <w:r>
        <w:rPr>
          <w:rFonts w:hint="eastAsia" w:ascii="宋体" w:hAnsi="宋体" w:cs="宋体"/>
          <w:color w:val="auto"/>
          <w:highlight w:val="none"/>
        </w:rPr>
        <w:t>、资格审查资料</w:t>
      </w:r>
    </w:p>
    <w:p>
      <w:pPr>
        <w:spacing w:line="480" w:lineRule="auto"/>
        <w:rPr>
          <w:rFonts w:hint="default" w:ascii="宋体" w:hAnsi="宋体" w:eastAsia="宋体" w:cs="宋体"/>
          <w:color w:val="auto"/>
          <w:highlight w:val="none"/>
          <w:lang w:val="en-US" w:eastAsia="zh-Hans"/>
        </w:rPr>
      </w:pPr>
      <w:r>
        <w:rPr>
          <w:rFonts w:hint="eastAsia" w:ascii="宋体" w:hAnsi="宋体" w:cs="宋体"/>
          <w:color w:val="auto"/>
          <w:highlight w:val="none"/>
          <w:lang w:val="en-US" w:eastAsia="zh-Hans"/>
        </w:rPr>
        <w:t>六</w:t>
      </w:r>
      <w:r>
        <w:rPr>
          <w:rFonts w:hint="eastAsia" w:ascii="宋体" w:hAnsi="宋体" w:cs="宋体"/>
          <w:color w:val="auto"/>
          <w:highlight w:val="none"/>
        </w:rPr>
        <w:t>、</w:t>
      </w:r>
      <w:r>
        <w:rPr>
          <w:rFonts w:hint="eastAsia" w:ascii="宋体" w:hAnsi="宋体" w:cs="宋体"/>
          <w:color w:val="auto"/>
          <w:highlight w:val="none"/>
          <w:lang w:val="en-US" w:eastAsia="zh-Hans"/>
        </w:rPr>
        <w:t>资信业绩证明材料</w:t>
      </w:r>
    </w:p>
    <w:p>
      <w:pPr>
        <w:spacing w:line="480" w:lineRule="auto"/>
        <w:rPr>
          <w:rFonts w:hint="default" w:ascii="宋体" w:hAnsi="宋体" w:eastAsia="宋体" w:cs="宋体"/>
          <w:color w:val="auto"/>
          <w:highlight w:val="none"/>
          <w:lang w:val="en-US" w:eastAsia="zh-Hans"/>
        </w:rPr>
      </w:pPr>
      <w:r>
        <w:rPr>
          <w:rFonts w:hint="eastAsia" w:ascii="宋体" w:hAnsi="宋体" w:cs="宋体"/>
          <w:color w:val="auto"/>
          <w:highlight w:val="none"/>
          <w:lang w:val="en-US" w:eastAsia="zh-Hans"/>
        </w:rPr>
        <w:t>七</w:t>
      </w:r>
      <w:r>
        <w:rPr>
          <w:rFonts w:hint="eastAsia" w:ascii="宋体" w:hAnsi="宋体" w:cs="宋体"/>
          <w:color w:val="auto"/>
          <w:highlight w:val="none"/>
        </w:rPr>
        <w:t>、</w:t>
      </w:r>
      <w:r>
        <w:rPr>
          <w:rFonts w:hint="eastAsia" w:ascii="宋体" w:hAnsi="宋体" w:cs="宋体"/>
          <w:color w:val="auto"/>
          <w:highlight w:val="none"/>
          <w:lang w:val="en-US" w:eastAsia="zh-Hans"/>
        </w:rPr>
        <w:t>监理大纲</w:t>
      </w:r>
    </w:p>
    <w:p>
      <w:pPr>
        <w:spacing w:line="360" w:lineRule="auto"/>
        <w:jc w:val="center"/>
        <w:rPr>
          <w:rFonts w:hint="eastAsia" w:ascii="宋体" w:hAnsi="宋体" w:cs="宋体"/>
          <w:b/>
          <w:bCs/>
          <w:color w:val="auto"/>
          <w:sz w:val="44"/>
          <w:highlight w:val="none"/>
        </w:rPr>
      </w:pPr>
    </w:p>
    <w:p>
      <w:pPr>
        <w:spacing w:line="360" w:lineRule="auto"/>
        <w:rPr>
          <w:rFonts w:hint="eastAsia" w:ascii="宋体" w:hAnsi="宋体" w:cs="宋体"/>
          <w:bCs/>
          <w:color w:val="auto"/>
          <w:szCs w:val="21"/>
          <w:highlight w:val="none"/>
        </w:rPr>
      </w:pPr>
    </w:p>
    <w:p>
      <w:pPr>
        <w:spacing w:line="360" w:lineRule="auto"/>
        <w:jc w:val="center"/>
        <w:rPr>
          <w:rFonts w:hint="eastAsia" w:ascii="宋体" w:hAnsi="宋体" w:cs="宋体"/>
          <w:b/>
          <w:bCs/>
          <w:color w:val="auto"/>
          <w:sz w:val="44"/>
          <w:highlight w:val="none"/>
        </w:rPr>
      </w:pPr>
    </w:p>
    <w:p>
      <w:pPr>
        <w:spacing w:line="480" w:lineRule="auto"/>
        <w:jc w:val="center"/>
        <w:rPr>
          <w:rFonts w:hint="eastAsia" w:ascii="宋体" w:hAnsi="宋体" w:cs="宋体"/>
          <w:color w:val="auto"/>
          <w:highlight w:val="none"/>
        </w:rPr>
      </w:pPr>
      <w:r>
        <w:rPr>
          <w:rFonts w:hint="eastAsia" w:ascii="宋体" w:hAnsi="宋体" w:cs="宋体"/>
          <w:b/>
          <w:color w:val="auto"/>
          <w:highlight w:val="none"/>
        </w:rPr>
        <w:br w:type="page"/>
      </w:r>
      <w:bookmarkStart w:id="186" w:name="_Toc4080681"/>
      <w:r>
        <w:rPr>
          <w:rFonts w:hint="eastAsia" w:ascii="宋体" w:hAnsi="宋体" w:cs="宋体"/>
          <w:b/>
          <w:bCs/>
          <w:color w:val="auto"/>
          <w:kern w:val="0"/>
          <w:sz w:val="28"/>
          <w:szCs w:val="20"/>
          <w:highlight w:val="none"/>
        </w:rPr>
        <w:t>一、投标</w:t>
      </w:r>
      <w:bookmarkStart w:id="187" w:name="_Toc6931"/>
      <w:bookmarkStart w:id="188" w:name="_Toc352691656"/>
      <w:bookmarkStart w:id="189" w:name="_Toc369531692"/>
      <w:r>
        <w:rPr>
          <w:rFonts w:hint="eastAsia" w:ascii="宋体" w:hAnsi="宋体" w:cs="宋体"/>
          <w:b/>
          <w:bCs/>
          <w:color w:val="auto"/>
          <w:kern w:val="0"/>
          <w:sz w:val="28"/>
          <w:szCs w:val="20"/>
          <w:highlight w:val="none"/>
        </w:rPr>
        <w:t>函及投标函附录</w:t>
      </w:r>
      <w:bookmarkEnd w:id="186"/>
    </w:p>
    <w:bookmarkEnd w:id="187"/>
    <w:bookmarkEnd w:id="188"/>
    <w:bookmarkEnd w:id="189"/>
    <w:p>
      <w:pPr>
        <w:pStyle w:val="5"/>
        <w:keepNext w:val="0"/>
        <w:ind w:firstLine="137"/>
        <w:rPr>
          <w:rFonts w:hint="eastAsia" w:ascii="宋体" w:hAnsi="宋体" w:eastAsia="宋体" w:cs="宋体"/>
          <w:b/>
          <w:bCs/>
          <w:color w:val="auto"/>
          <w:kern w:val="0"/>
          <w:szCs w:val="24"/>
          <w:highlight w:val="none"/>
        </w:rPr>
      </w:pPr>
      <w:bookmarkStart w:id="190" w:name="_Toc391394111"/>
      <w:bookmarkStart w:id="191" w:name="_Toc385943065"/>
      <w:bookmarkStart w:id="192" w:name="_Toc359594235"/>
      <w:bookmarkStart w:id="193" w:name="_Toc482188651"/>
      <w:bookmarkStart w:id="194" w:name="_Toc4080682"/>
      <w:bookmarkStart w:id="195" w:name="_Toc517280602"/>
      <w:bookmarkStart w:id="196" w:name="_Toc370676426"/>
      <w:r>
        <w:rPr>
          <w:rFonts w:hint="eastAsia" w:ascii="宋体" w:hAnsi="宋体" w:eastAsia="宋体" w:cs="宋体"/>
          <w:b/>
          <w:bCs/>
          <w:color w:val="auto"/>
          <w:kern w:val="0"/>
          <w:szCs w:val="24"/>
          <w:highlight w:val="none"/>
        </w:rPr>
        <w:t>（一）投标函</w:t>
      </w:r>
      <w:bookmarkEnd w:id="190"/>
      <w:bookmarkEnd w:id="191"/>
      <w:bookmarkEnd w:id="192"/>
      <w:bookmarkEnd w:id="193"/>
      <w:bookmarkEnd w:id="194"/>
      <w:bookmarkEnd w:id="195"/>
      <w:bookmarkEnd w:id="196"/>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kern w:val="0"/>
          <w:highlight w:val="none"/>
          <w:u w:val="single"/>
        </w:rPr>
        <w:t xml:space="preserve"> </w:t>
      </w:r>
      <w:r>
        <w:rPr>
          <w:rFonts w:ascii="宋体" w:hAnsi="宋体" w:cs="宋体"/>
          <w:color w:val="auto"/>
          <w:kern w:val="0"/>
          <w:highlight w:val="none"/>
          <w:u w:val="single"/>
        </w:rPr>
        <w:t xml:space="preserve">    </w:t>
      </w:r>
      <w:r>
        <w:rPr>
          <w:rFonts w:hint="eastAsia" w:ascii="宋体" w:hAnsi="宋体" w:cs="宋体"/>
          <w:color w:val="auto"/>
          <w:szCs w:val="21"/>
          <w:highlight w:val="none"/>
        </w:rPr>
        <w:t>招标项目招标文件的全部内容，愿意以人民币（大写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highlight w:val="none"/>
        </w:rPr>
        <w:t>对应的投标下浮率为</w:t>
      </w:r>
      <w:r>
        <w:rPr>
          <w:rFonts w:hint="eastAsia" w:ascii="宋体" w:hAnsi="宋体" w:cs="宋体"/>
          <w:color w:val="auto"/>
          <w:highlight w:val="none"/>
          <w:u w:val="single"/>
        </w:rPr>
        <w:t xml:space="preserve">    % </w:t>
      </w:r>
      <w:r>
        <w:rPr>
          <w:rFonts w:hint="eastAsia" w:ascii="宋体" w:hAnsi="宋体" w:cs="宋体"/>
          <w:color w:val="auto"/>
          <w:szCs w:val="21"/>
          <w:highlight w:val="none"/>
        </w:rPr>
        <w:t>）的投标总报价，监理服务期限：</w:t>
      </w:r>
      <w:r>
        <w:rPr>
          <w:rFonts w:hint="eastAsia" w:ascii="宋体" w:hAnsi="宋体" w:cs="宋体"/>
          <w:color w:val="auto"/>
          <w:szCs w:val="21"/>
          <w:highlight w:val="none"/>
          <w:u w:val="single"/>
        </w:rPr>
        <w:t>按招标文件要求</w:t>
      </w:r>
      <w:r>
        <w:rPr>
          <w:rFonts w:hint="eastAsia" w:ascii="宋体" w:hAnsi="宋体" w:cs="宋体"/>
          <w:color w:val="auto"/>
          <w:szCs w:val="21"/>
          <w:highlight w:val="none"/>
        </w:rPr>
        <w:t>，按合同约定完成监理工作。</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我方的投标文件包括下列内容：</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color w:val="auto"/>
          <w:highlight w:val="none"/>
        </w:rPr>
        <w:t>及投标函附录</w:t>
      </w:r>
      <w:r>
        <w:rPr>
          <w:rFonts w:hint="eastAsia" w:ascii="宋体" w:hAnsi="宋体" w:cs="宋体"/>
          <w:color w:val="auto"/>
          <w:szCs w:val="21"/>
          <w:highlight w:val="none"/>
        </w:rPr>
        <w:t>；</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（2）法定代表人身份证明或授权委托书；</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（3）监理报酬清单；</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（4）投标保证金；</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（5）资格审查资料；</w:t>
      </w:r>
    </w:p>
    <w:p>
      <w:pPr>
        <w:spacing w:line="360" w:lineRule="exact"/>
        <w:ind w:firstLine="405"/>
        <w:rPr>
          <w:rFonts w:hint="eastAsia" w:ascii="宋体" w:hAnsi="宋体" w:cs="宋体"/>
          <w:color w:val="auto"/>
          <w:szCs w:val="21"/>
          <w:highlight w:val="none"/>
        </w:rPr>
      </w:pPr>
      <w:r>
        <w:rPr>
          <w:rFonts w:hint="eastAsia" w:ascii="宋体" w:hAnsi="宋体" w:cs="宋体"/>
          <w:color w:val="auto"/>
          <w:szCs w:val="21"/>
          <w:highlight w:val="none"/>
        </w:rPr>
        <w:t>（6）其他资料；</w:t>
      </w:r>
    </w:p>
    <w:p>
      <w:pPr>
        <w:spacing w:line="360" w:lineRule="exact"/>
        <w:ind w:firstLine="405"/>
        <w:rPr>
          <w:rFonts w:hint="eastAsia" w:ascii="宋体" w:hAnsi="宋体" w:cs="宋体"/>
          <w:color w:val="auto"/>
          <w:highlight w:val="none"/>
        </w:rPr>
      </w:pPr>
      <w:r>
        <w:rPr>
          <w:rFonts w:hint="eastAsia" w:ascii="宋体" w:hAnsi="宋体" w:cs="宋体"/>
          <w:color w:val="auto"/>
          <w:szCs w:val="21"/>
          <w:highlight w:val="none"/>
        </w:rPr>
        <w:t>（7）监理大纲。</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投标文件的上述组成部分如存在内容不一致的，以投标函为准。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3．我方承诺在招标文件规定的投标有效期内不撤销投标文件。</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（1）在收到中标通知书后，在招标文件规定的期限内和你方签订合同；</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（3）按照招标文件要求提交履约保证金；</w:t>
      </w:r>
      <w:bookmarkStart w:id="197" w:name="_Toc352691658"/>
      <w:bookmarkStart w:id="198" w:name="_Toc1187"/>
      <w:bookmarkStart w:id="199" w:name="_Toc369531694"/>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（4）在合</w:t>
      </w:r>
      <w:bookmarkEnd w:id="197"/>
      <w:bookmarkEnd w:id="198"/>
      <w:bookmarkEnd w:id="199"/>
      <w:r>
        <w:rPr>
          <w:rFonts w:hint="eastAsia" w:ascii="宋体" w:hAnsi="宋体" w:cs="宋体"/>
          <w:color w:val="auto"/>
          <w:szCs w:val="21"/>
          <w:highlight w:val="none"/>
        </w:rPr>
        <w:t>同约定的期限内完成合同规定的全部义务；</w:t>
      </w:r>
    </w:p>
    <w:p>
      <w:pPr>
        <w:spacing w:line="360" w:lineRule="exact"/>
        <w:ind w:left="945" w:leftChars="400" w:hanging="105" w:hangingChars="50"/>
        <w:rPr>
          <w:rFonts w:hint="eastAsia" w:ascii="宋体" w:hAnsi="宋体" w:cs="宋体"/>
          <w:color w:val="auto"/>
          <w:szCs w:val="21"/>
          <w:highlight w:val="none"/>
        </w:rPr>
      </w:pPr>
      <w:r>
        <w:rPr>
          <w:rFonts w:hint="eastAsia" w:ascii="宋体" w:hAnsi="宋体" w:cs="宋体"/>
          <w:color w:val="auto"/>
          <w:szCs w:val="21"/>
          <w:highlight w:val="none"/>
        </w:rPr>
        <w:t>（5）在合同约定的期限内项目监理机构人员不低于投标文件配置要求。</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5．我方在此声明，所递交的投标文件及有关资料内容完整、真实和准确，且不存在第二章“投标人须知”第1.4.3项规定的任何一种情形。</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spacing w:line="360" w:lineRule="exact"/>
        <w:ind w:firstLine="2520" w:firstLineChars="1200"/>
        <w:jc w:val="left"/>
        <w:rPr>
          <w:rFonts w:hint="eastAsia" w:ascii="宋体" w:hAnsi="宋体" w:cs="宋体"/>
          <w:color w:val="auto"/>
          <w:szCs w:val="21"/>
          <w:highlight w:val="none"/>
        </w:rPr>
      </w:pPr>
      <w:bookmarkStart w:id="200" w:name="_Toc16824"/>
      <w:bookmarkEnd w:id="200"/>
      <w:bookmarkStart w:id="201" w:name="_Toc352691659"/>
      <w:bookmarkEnd w:id="201"/>
      <w:bookmarkStart w:id="202" w:name="_Toc369531695"/>
      <w:bookmarkEnd w:id="202"/>
      <w:bookmarkStart w:id="203" w:name="_Toc369531696"/>
      <w:bookmarkEnd w:id="203"/>
      <w:bookmarkStart w:id="204" w:name="_Toc352691660"/>
      <w:bookmarkEnd w:id="204"/>
      <w:bookmarkStart w:id="205" w:name="_Toc16568"/>
      <w:bookmarkEnd w:id="205"/>
    </w:p>
    <w:p>
      <w:pPr>
        <w:spacing w:line="360" w:lineRule="exact"/>
        <w:ind w:firstLine="2520" w:firstLineChars="1200"/>
        <w:jc w:val="left"/>
        <w:rPr>
          <w:rFonts w:hint="eastAsia" w:ascii="宋体" w:hAnsi="宋体" w:cs="宋体"/>
          <w:color w:val="auto"/>
          <w:szCs w:val="21"/>
          <w:highlight w:val="none"/>
        </w:rPr>
      </w:pP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360" w:lineRule="exact"/>
        <w:jc w:val="left"/>
        <w:rPr>
          <w:rFonts w:hint="eastAsia"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网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6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pPr>
        <w:spacing w:line="360" w:lineRule="exact"/>
        <w:ind w:firstLine="4725" w:firstLineChars="2250"/>
        <w:jc w:val="right"/>
        <w:rPr>
          <w:rFonts w:hint="eastAsia" w:ascii="宋体" w:hAnsi="宋体" w:cs="宋体"/>
          <w:color w:val="auto"/>
          <w:sz w:val="20"/>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206" w:name="_Toc359594236"/>
      <w:bookmarkStart w:id="207" w:name="_Toc482188652"/>
      <w:bookmarkStart w:id="208" w:name="_Toc517280603"/>
      <w:bookmarkStart w:id="209" w:name="_Toc370676427"/>
      <w:bookmarkStart w:id="210" w:name="_Toc385943066"/>
      <w:bookmarkStart w:id="211" w:name="_Toc391394112"/>
      <w:bookmarkStart w:id="212" w:name="_Toc152045787"/>
      <w:bookmarkStart w:id="213" w:name="_Toc352691661"/>
      <w:bookmarkStart w:id="214" w:name="_Toc369531697"/>
      <w:bookmarkStart w:id="215" w:name="_Toc384308375"/>
      <w:bookmarkStart w:id="216" w:name="_Toc247514246"/>
      <w:bookmarkStart w:id="217" w:name="_Toc144974856"/>
      <w:bookmarkStart w:id="218" w:name="_Toc300835209"/>
      <w:bookmarkStart w:id="219" w:name="_Toc152042576"/>
      <w:bookmarkStart w:id="220" w:name="_Toc247527827"/>
      <w:bookmarkStart w:id="221" w:name="_Toc17960"/>
      <w:bookmarkStart w:id="222" w:name="_Toc361508752"/>
    </w:p>
    <w:p>
      <w:pPr>
        <w:pStyle w:val="5"/>
        <w:keepNext w:val="0"/>
        <w:ind w:firstLine="137"/>
        <w:rPr>
          <w:rFonts w:hint="eastAsia" w:ascii="宋体" w:hAnsi="宋体" w:eastAsia="宋体" w:cs="宋体"/>
          <w:b/>
          <w:bCs/>
          <w:color w:val="auto"/>
          <w:kern w:val="0"/>
          <w:szCs w:val="24"/>
          <w:highlight w:val="none"/>
        </w:rPr>
      </w:pPr>
      <w:bookmarkStart w:id="223" w:name="_Toc4080683"/>
      <w:r>
        <w:rPr>
          <w:rFonts w:hint="eastAsia" w:ascii="宋体" w:hAnsi="宋体" w:eastAsia="宋体" w:cs="宋体"/>
          <w:b/>
          <w:bCs/>
          <w:color w:val="auto"/>
          <w:kern w:val="0"/>
          <w:szCs w:val="24"/>
          <w:highlight w:val="none"/>
        </w:rPr>
        <w:br w:type="page"/>
      </w:r>
      <w:bookmarkEnd w:id="206"/>
      <w:bookmarkEnd w:id="207"/>
      <w:bookmarkEnd w:id="208"/>
      <w:bookmarkEnd w:id="209"/>
      <w:bookmarkEnd w:id="210"/>
      <w:bookmarkEnd w:id="211"/>
      <w:bookmarkEnd w:id="223"/>
      <w:r>
        <w:rPr>
          <w:rFonts w:hint="eastAsia" w:ascii="宋体" w:hAnsi="宋体" w:eastAsia="宋体" w:cs="宋体"/>
          <w:b/>
          <w:bCs/>
          <w:color w:val="auto"/>
          <w:kern w:val="0"/>
          <w:szCs w:val="24"/>
          <w:highlight w:val="none"/>
        </w:rPr>
        <w:t>（二）投标函附录</w:t>
      </w:r>
    </w:p>
    <w:tbl>
      <w:tblPr>
        <w:tblStyle w:val="18"/>
        <w:tblW w:w="10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08"/>
        <w:gridCol w:w="1117"/>
        <w:gridCol w:w="4106"/>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序号</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条款名称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合同条款号</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约定内容</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1</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总监理工程师</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highlight w:val="none"/>
              </w:rPr>
              <w:t>姓名：</w:t>
            </w:r>
            <w:r>
              <w:rPr>
                <w:rFonts w:hint="eastAsia" w:ascii="宋体" w:hAnsi="宋体" w:cs="宋体"/>
                <w:bCs/>
                <w:color w:val="auto"/>
                <w:highlight w:val="none"/>
                <w:u w:val="single"/>
              </w:rPr>
              <w:t xml:space="preserve">                       </w:t>
            </w:r>
          </w:p>
          <w:p>
            <w:pPr>
              <w:jc w:val="left"/>
              <w:rPr>
                <w:rFonts w:hint="eastAsia" w:ascii="宋体" w:hAnsi="宋体" w:cs="宋体"/>
                <w:bCs/>
                <w:color w:val="auto"/>
                <w:highlight w:val="none"/>
              </w:rPr>
            </w:pPr>
            <w:r>
              <w:rPr>
                <w:rFonts w:hint="eastAsia" w:ascii="宋体" w:hAnsi="宋体" w:cs="宋体"/>
                <w:bCs/>
                <w:color w:val="auto"/>
                <w:highlight w:val="none"/>
              </w:rPr>
              <w:t>技术职称：</w:t>
            </w:r>
            <w:r>
              <w:rPr>
                <w:rFonts w:hint="eastAsia" w:ascii="宋体" w:hAnsi="宋体" w:cs="宋体"/>
                <w:bCs/>
                <w:color w:val="auto"/>
                <w:highlight w:val="none"/>
                <w:u w:val="single"/>
              </w:rPr>
              <w:t xml:space="preserve">                    </w:t>
            </w:r>
          </w:p>
          <w:p>
            <w:pPr>
              <w:jc w:val="left"/>
              <w:rPr>
                <w:rFonts w:hint="eastAsia" w:ascii="宋体" w:hAnsi="宋体" w:cs="宋体"/>
                <w:bCs/>
                <w:color w:val="auto"/>
                <w:highlight w:val="none"/>
              </w:rPr>
            </w:pPr>
            <w:r>
              <w:rPr>
                <w:rFonts w:hint="eastAsia" w:ascii="宋体" w:hAnsi="宋体" w:cs="宋体"/>
                <w:bCs/>
                <w:color w:val="auto"/>
                <w:highlight w:val="none"/>
              </w:rPr>
              <w:t>注册证号：</w:t>
            </w:r>
            <w:r>
              <w:rPr>
                <w:rFonts w:hint="eastAsia" w:ascii="宋体" w:hAnsi="宋体" w:cs="宋体"/>
                <w:bCs/>
                <w:color w:val="auto"/>
                <w:highlight w:val="none"/>
                <w:u w:val="single"/>
              </w:rPr>
              <w:t xml:space="preserve">                    </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2</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监理服务期限</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highlight w:val="none"/>
              </w:rPr>
              <w:t>按招标文件要求</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3</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质量标准</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highlight w:val="none"/>
              </w:rPr>
              <w:t>按招标文件要求</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4</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监理人员</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pStyle w:val="22"/>
              <w:rPr>
                <w:color w:val="auto"/>
                <w:highlight w:val="none"/>
              </w:rPr>
            </w:pPr>
            <w:r>
              <w:rPr>
                <w:rFonts w:hint="eastAsia"/>
                <w:color w:val="auto"/>
                <w:highlight w:val="none"/>
              </w:rPr>
              <w:t>按招标文件要求</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5</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szCs w:val="21"/>
                <w:highlight w:val="none"/>
              </w:rPr>
            </w:pPr>
            <w:r>
              <w:rPr>
                <w:rFonts w:hint="eastAsia" w:ascii="宋体" w:hAnsi="宋体" w:cs="宋体"/>
                <w:bCs/>
                <w:color w:val="auto"/>
                <w:highlight w:val="none"/>
              </w:rPr>
              <w:t>投标有效期</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highlight w:val="none"/>
              </w:rPr>
              <w:t>按招标文件要求</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6</w:t>
            </w:r>
          </w:p>
        </w:tc>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color w:val="auto"/>
                <w:highlight w:val="none"/>
              </w:rPr>
            </w:pPr>
            <w:r>
              <w:rPr>
                <w:rFonts w:hint="eastAsia" w:ascii="宋体" w:hAnsi="宋体" w:cs="宋体"/>
                <w:bCs/>
                <w:color w:val="auto"/>
                <w:highlight w:val="none"/>
              </w:rPr>
              <w:t>投标总报价</w:t>
            </w:r>
          </w:p>
          <w:p>
            <w:pPr>
              <w:jc w:val="center"/>
              <w:rPr>
                <w:rFonts w:hint="eastAsia" w:ascii="宋体" w:hAnsi="宋体" w:cs="宋体"/>
                <w:bCs/>
                <w:color w:val="auto"/>
                <w:highlight w:val="none"/>
              </w:rPr>
            </w:pPr>
            <w:r>
              <w:rPr>
                <w:rFonts w:hint="eastAsia" w:ascii="宋体" w:hAnsi="宋体" w:cs="宋体"/>
                <w:bCs/>
                <w:color w:val="auto"/>
                <w:highlight w:val="none"/>
              </w:rPr>
              <w:t>（监理报价）</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p>
        </w:tc>
        <w:tc>
          <w:tcPr>
            <w:tcW w:w="41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highlight w:val="none"/>
              </w:rPr>
              <w:t>监理报价：</w:t>
            </w:r>
            <w:r>
              <w:rPr>
                <w:rFonts w:hint="eastAsia" w:ascii="宋体" w:hAnsi="宋体" w:cs="宋体"/>
                <w:bCs/>
                <w:color w:val="auto"/>
                <w:sz w:val="24"/>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万元</w:t>
            </w:r>
          </w:p>
          <w:p>
            <w:pPr>
              <w:jc w:val="left"/>
              <w:rPr>
                <w:rFonts w:hint="eastAsia" w:ascii="宋体" w:hAnsi="宋体" w:cs="宋体"/>
                <w:bCs/>
                <w:color w:val="auto"/>
                <w:highlight w:val="none"/>
              </w:rPr>
            </w:pPr>
            <w:r>
              <w:rPr>
                <w:rFonts w:hint="eastAsia" w:ascii="宋体" w:hAnsi="宋体" w:cs="宋体"/>
                <w:color w:val="auto"/>
                <w:highlight w:val="none"/>
              </w:rPr>
              <w:t>对应的投标下浮率为</w:t>
            </w:r>
            <w:r>
              <w:rPr>
                <w:rFonts w:hint="eastAsia" w:ascii="宋体" w:hAnsi="宋体" w:cs="宋体"/>
                <w:color w:val="auto"/>
                <w:highlight w:val="none"/>
                <w:u w:val="single"/>
              </w:rPr>
              <w:t xml:space="preserve">     % </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Cs/>
                <w:color w:val="auto"/>
                <w:highlight w:val="none"/>
              </w:rPr>
            </w:pPr>
            <w:r>
              <w:rPr>
                <w:rFonts w:hint="eastAsia" w:ascii="宋体" w:hAnsi="宋体" w:cs="宋体"/>
                <w:bCs/>
                <w:color w:val="auto"/>
                <w:szCs w:val="21"/>
                <w:highlight w:val="none"/>
              </w:rPr>
              <w:t>监理报价以万元为单位，保留小数点后4位。下浮率填报保留小数点后</w:t>
            </w:r>
            <w:r>
              <w:rPr>
                <w:rFonts w:ascii="宋体" w:hAnsi="宋体" w:cs="宋体"/>
                <w:bCs/>
                <w:color w:val="auto"/>
                <w:szCs w:val="21"/>
                <w:highlight w:val="none"/>
              </w:rPr>
              <w:t>2</w:t>
            </w:r>
            <w:r>
              <w:rPr>
                <w:rFonts w:hint="eastAsia" w:ascii="宋体" w:hAnsi="宋体" w:cs="宋体"/>
                <w:bCs/>
                <w:color w:val="auto"/>
                <w:szCs w:val="21"/>
                <w:highlight w:val="none"/>
              </w:rPr>
              <w:t>位。</w:t>
            </w:r>
          </w:p>
        </w:tc>
      </w:tr>
    </w:tbl>
    <w:p>
      <w:pPr>
        <w:spacing w:line="440" w:lineRule="exact"/>
        <w:jc w:val="left"/>
        <w:rPr>
          <w:rFonts w:hint="eastAsia" w:ascii="宋体" w:hAnsi="宋体" w:cs="宋体"/>
          <w:color w:val="auto"/>
          <w:szCs w:val="21"/>
          <w:highlight w:val="none"/>
        </w:rPr>
      </w:pPr>
    </w:p>
    <w:p>
      <w:pPr>
        <w:spacing w:line="440" w:lineRule="exact"/>
        <w:jc w:val="left"/>
        <w:rPr>
          <w:rFonts w:hint="eastAsia" w:ascii="宋体" w:hAnsi="宋体" w:cs="宋体"/>
          <w:color w:val="auto"/>
          <w:szCs w:val="21"/>
          <w:highlight w:val="none"/>
        </w:rPr>
      </w:pPr>
    </w:p>
    <w:p>
      <w:pPr>
        <w:spacing w:line="440" w:lineRule="exac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jc w:val="left"/>
        <w:rPr>
          <w:rFonts w:hint="eastAsia" w:ascii="宋体" w:hAnsi="宋体" w:cs="宋体"/>
          <w:color w:val="auto"/>
          <w:szCs w:val="21"/>
          <w:highlight w:val="none"/>
        </w:rPr>
      </w:pPr>
      <w:r>
        <w:rPr>
          <w:rFonts w:hint="eastAsia" w:ascii="宋体" w:hAnsi="宋体" w:cs="宋体"/>
          <w:color w:val="auto"/>
          <w:highlight w:val="none"/>
        </w:rPr>
        <w:t xml:space="preserve">                        法定代表人</w:t>
      </w:r>
      <w:r>
        <w:rPr>
          <w:rFonts w:hint="eastAsia" w:ascii="宋体" w:hAnsi="宋体" w:cs="宋体"/>
          <w:color w:val="auto"/>
          <w:szCs w:val="21"/>
          <w:highlight w:val="none"/>
        </w:rPr>
        <w:t>或其委托代理人：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4725" w:firstLineChars="2250"/>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4"/>
        <w:keepNext w:val="0"/>
        <w:jc w:val="center"/>
        <w:rPr>
          <w:rFonts w:hint="eastAsia" w:ascii="宋体" w:hAnsi="宋体" w:eastAsia="宋体" w:cs="宋体"/>
          <w:b/>
          <w:color w:val="auto"/>
          <w:highlight w:val="none"/>
        </w:rPr>
      </w:pPr>
      <w:bookmarkStart w:id="224" w:name="_Toc517280604"/>
      <w:r>
        <w:rPr>
          <w:rFonts w:hint="eastAsia" w:ascii="宋体" w:hAnsi="宋体" w:eastAsia="宋体" w:cs="宋体"/>
          <w:color w:val="auto"/>
          <w:highlight w:val="none"/>
        </w:rPr>
        <w:br w:type="page"/>
      </w:r>
      <w:bookmarkStart w:id="225" w:name="_Toc4080684"/>
      <w:r>
        <w:rPr>
          <w:rFonts w:hint="eastAsia" w:ascii="宋体" w:hAnsi="宋体" w:eastAsia="宋体" w:cs="宋体"/>
          <w:b/>
          <w:color w:val="auto"/>
          <w:highlight w:val="none"/>
        </w:rPr>
        <w:t>二</w:t>
      </w:r>
      <w:bookmarkEnd w:id="212"/>
      <w:bookmarkEnd w:id="213"/>
      <w:bookmarkEnd w:id="214"/>
      <w:bookmarkEnd w:id="215"/>
      <w:bookmarkEnd w:id="216"/>
      <w:bookmarkEnd w:id="217"/>
      <w:bookmarkEnd w:id="218"/>
      <w:bookmarkEnd w:id="219"/>
      <w:bookmarkEnd w:id="220"/>
      <w:bookmarkEnd w:id="221"/>
      <w:bookmarkEnd w:id="222"/>
      <w:r>
        <w:rPr>
          <w:rFonts w:hint="eastAsia" w:ascii="宋体" w:hAnsi="宋体" w:eastAsia="宋体" w:cs="宋体"/>
          <w:b/>
          <w:color w:val="auto"/>
          <w:highlight w:val="none"/>
        </w:rPr>
        <w:t>、法定代表人身份证明</w:t>
      </w:r>
      <w:bookmarkEnd w:id="224"/>
      <w:bookmarkEnd w:id="225"/>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投标人名称：</w:t>
      </w:r>
      <w:r>
        <w:rPr>
          <w:rFonts w:hint="eastAsia" w:ascii="宋体" w:hAnsi="宋体" w:cs="宋体"/>
          <w:color w:val="auto"/>
          <w:highlight w:val="none"/>
          <w:u w:val="single"/>
        </w:rPr>
        <w:t xml:space="preserve">                        </w:t>
      </w:r>
    </w:p>
    <w:p>
      <w:pPr>
        <w:spacing w:line="440" w:lineRule="exact"/>
        <w:rPr>
          <w:rFonts w:hint="eastAsia" w:ascii="宋体" w:hAnsi="宋体" w:cs="宋体"/>
          <w:color w:val="auto"/>
          <w:highlight w:val="non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性别：</w:t>
      </w:r>
      <w:bookmarkStart w:id="226" w:name="_Toc27897"/>
      <w:bookmarkStart w:id="227" w:name="_Toc369531698"/>
      <w:bookmarkStart w:id="228" w:name="_Toc352691662"/>
      <w:r>
        <w:rPr>
          <w:rFonts w:hint="eastAsia" w:ascii="宋体" w:hAnsi="宋体" w:cs="宋体"/>
          <w:color w:val="auto"/>
          <w:highlight w:val="none"/>
          <w:u w:val="single"/>
        </w:rPr>
        <w:t xml:space="preserve">            </w:t>
      </w:r>
      <w:r>
        <w:rPr>
          <w:rFonts w:hint="eastAsia" w:ascii="宋体" w:hAnsi="宋体" w:cs="宋体"/>
          <w:color w:val="auto"/>
          <w:highlight w:val="none"/>
        </w:rPr>
        <w:t>年</w:t>
      </w:r>
      <w:bookmarkEnd w:id="226"/>
      <w:bookmarkEnd w:id="227"/>
      <w:bookmarkEnd w:id="228"/>
      <w:r>
        <w:rPr>
          <w:rFonts w:hint="eastAsia" w:ascii="宋体" w:hAnsi="宋体" w:cs="宋体"/>
          <w:color w:val="auto"/>
          <w:highlight w:val="none"/>
        </w:rPr>
        <w:t>龄</w:t>
      </w:r>
      <w:bookmarkStart w:id="229" w:name="_Toc247527829"/>
      <w:bookmarkStart w:id="230" w:name="_Toc15573"/>
      <w:bookmarkStart w:id="231" w:name="_Toc247514248"/>
      <w:bookmarkStart w:id="232" w:name="_Toc300835211"/>
      <w:bookmarkStart w:id="233" w:name="_Toc369531699"/>
      <w:bookmarkStart w:id="234" w:name="_Toc361508754"/>
      <w:bookmarkStart w:id="235" w:name="_Toc152042578"/>
      <w:bookmarkStart w:id="236" w:name="_Toc152045789"/>
      <w:bookmarkStart w:id="237" w:name="_Toc384308377"/>
      <w:bookmarkStart w:id="238" w:name="_Toc144974858"/>
      <w:bookmarkStart w:id="239" w:name="_Toc352691663"/>
      <w:r>
        <w:rPr>
          <w:rFonts w:hint="eastAsia" w:ascii="宋体" w:hAnsi="宋体" w:cs="宋体"/>
          <w:color w:val="auto"/>
          <w:highlight w:val="none"/>
        </w:rPr>
        <w:t>：</w:t>
      </w:r>
      <w:bookmarkEnd w:id="229"/>
      <w:bookmarkEnd w:id="230"/>
      <w:bookmarkEnd w:id="231"/>
      <w:bookmarkEnd w:id="232"/>
      <w:bookmarkEnd w:id="233"/>
      <w:bookmarkEnd w:id="234"/>
      <w:bookmarkEnd w:id="235"/>
      <w:bookmarkEnd w:id="236"/>
      <w:bookmarkEnd w:id="237"/>
      <w:bookmarkEnd w:id="238"/>
      <w:bookmarkEnd w:id="239"/>
      <w:r>
        <w:rPr>
          <w:rFonts w:hint="eastAsia" w:ascii="宋体" w:hAnsi="宋体" w:cs="宋体"/>
          <w:color w:val="auto"/>
          <w:highlight w:val="none"/>
          <w:u w:val="single"/>
        </w:rPr>
        <w:t xml:space="preserve">            </w:t>
      </w:r>
      <w:r>
        <w:rPr>
          <w:rFonts w:hint="eastAsia" w:ascii="宋体" w:hAnsi="宋体" w:cs="宋体"/>
          <w:color w:val="auto"/>
          <w:highlight w:val="none"/>
        </w:rPr>
        <w:t>职务：</w:t>
      </w:r>
      <w:r>
        <w:rPr>
          <w:rFonts w:hint="eastAsia" w:ascii="宋体" w:hAnsi="宋体" w:cs="宋体"/>
          <w:color w:val="auto"/>
          <w:highlight w:val="none"/>
          <w:u w:val="single"/>
        </w:rPr>
        <w:t xml:space="preserve">            </w:t>
      </w:r>
    </w:p>
    <w:p>
      <w:pPr>
        <w:spacing w:line="440" w:lineRule="exact"/>
        <w:rPr>
          <w:rFonts w:hint="eastAsia"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w:t>
      </w: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特此证明。</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附：法定代表人身份证。</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注：本身份证明需由投标人加盖单位公章。</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投标人：</w:t>
      </w:r>
      <w:r>
        <w:rPr>
          <w:rFonts w:hint="eastAsia" w:ascii="宋体" w:hAnsi="宋体" w:cs="宋体"/>
          <w:color w:val="auto"/>
          <w:szCs w:val="21"/>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440" w:lineRule="exact"/>
        <w:rPr>
          <w:rFonts w:hint="eastAsia" w:ascii="宋体" w:hAnsi="宋体" w:cs="宋体"/>
          <w:color w:val="auto"/>
          <w:highlight w:val="none"/>
        </w:rPr>
      </w:pPr>
    </w:p>
    <w:p>
      <w:pPr>
        <w:spacing w:line="440" w:lineRule="exact"/>
        <w:ind w:firstLine="5670" w:firstLineChars="2700"/>
        <w:rPr>
          <w:rFonts w:hint="eastAsia" w:ascii="宋体" w:hAnsi="宋体" w:cs="宋体"/>
          <w:color w:val="auto"/>
          <w:highlight w:val="none"/>
        </w:rPr>
      </w:pPr>
      <w:r>
        <w:rPr>
          <w:rFonts w:hint="eastAsia" w:ascii="宋体" w:hAnsi="宋体" w:cs="宋体"/>
          <w:color w:val="auto"/>
          <w:highlight w:val="none"/>
        </w:rPr>
        <w:t>年   月   日</w:t>
      </w:r>
    </w:p>
    <w:p>
      <w:pPr>
        <w:pStyle w:val="4"/>
        <w:keepNext w:val="0"/>
        <w:jc w:val="center"/>
        <w:rPr>
          <w:rFonts w:hint="eastAsia" w:ascii="宋体" w:hAnsi="宋体" w:eastAsia="宋体" w:cs="宋体"/>
          <w:b/>
          <w:color w:val="auto"/>
          <w:highlight w:val="none"/>
        </w:rPr>
      </w:pPr>
      <w:bookmarkStart w:id="240" w:name="_Toc517280605"/>
      <w:r>
        <w:rPr>
          <w:rFonts w:hint="eastAsia" w:ascii="宋体" w:hAnsi="宋体" w:eastAsia="宋体" w:cs="宋体"/>
          <w:color w:val="auto"/>
          <w:highlight w:val="none"/>
        </w:rPr>
        <w:br w:type="page"/>
      </w:r>
      <w:bookmarkStart w:id="241" w:name="_Toc4080685"/>
      <w:r>
        <w:rPr>
          <w:rFonts w:hint="eastAsia" w:ascii="宋体" w:hAnsi="宋体" w:eastAsia="宋体" w:cs="宋体"/>
          <w:b/>
          <w:color w:val="auto"/>
          <w:highlight w:val="none"/>
        </w:rPr>
        <w:t>三、授权委托书</w:t>
      </w:r>
      <w:bookmarkEnd w:id="240"/>
      <w:bookmarkEnd w:id="241"/>
    </w:p>
    <w:p>
      <w:pPr>
        <w:spacing w:line="440" w:lineRule="exact"/>
        <w:rPr>
          <w:rFonts w:hint="eastAsia" w:ascii="宋体" w:hAnsi="宋体" w:cs="宋体"/>
          <w:color w:val="auto"/>
          <w:highlight w:val="none"/>
        </w:rPr>
      </w:pPr>
    </w:p>
    <w:p>
      <w:pPr>
        <w:topLinePunct/>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（投标人名称）的法定代表人，现委托</w:t>
      </w:r>
      <w:r>
        <w:rPr>
          <w:rFonts w:hint="eastAsia" w:ascii="宋体" w:hAnsi="宋体" w:cs="宋体"/>
          <w:color w:val="auto"/>
          <w:highlight w:val="none"/>
          <w:u w:val="single"/>
        </w:rPr>
        <w:t xml:space="preserve">            </w:t>
      </w:r>
      <w:r>
        <w:rPr>
          <w:rFonts w:hint="eastAsia" w:ascii="宋体" w:hAnsi="宋体" w:cs="宋体"/>
          <w:color w:val="auto"/>
          <w:highlight w:val="none"/>
        </w:rPr>
        <w:t>（姓名）为我方代理人。代理人根据授权，以我方名义签署、澄清确认、递交、撤回、修改监理招标项目投标文件、签订合同和处理有关事宜，其法律后果由我方承担。</w:t>
      </w:r>
    </w:p>
    <w:p>
      <w:pPr>
        <w:spacing w:line="440" w:lineRule="exact"/>
        <w:rPr>
          <w:rFonts w:hint="eastAsia" w:ascii="宋体" w:hAnsi="宋体" w:cs="宋体"/>
          <w:color w:val="auto"/>
          <w:highlight w:val="none"/>
        </w:rPr>
      </w:pPr>
      <w:r>
        <w:rPr>
          <w:rFonts w:hint="eastAsia" w:ascii="宋体" w:hAnsi="宋体" w:cs="宋体"/>
          <w:color w:val="auto"/>
          <w:highlight w:val="none"/>
        </w:rPr>
        <w:t>委托期限：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代理人无转委托权。</w:t>
      </w:r>
    </w:p>
    <w:p>
      <w:pPr>
        <w:spacing w:line="440" w:lineRule="exact"/>
        <w:ind w:firstLine="420" w:firstLineChars="200"/>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附：法定代表人身份证及委托代理人身份证。</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r>
        <w:rPr>
          <w:rFonts w:hint="eastAsia" w:ascii="宋体" w:hAnsi="宋体" w:cs="宋体"/>
          <w:color w:val="auto"/>
          <w:highlight w:val="none"/>
        </w:rPr>
        <w:t>注：本授权委托书需由投标人加盖单位公章并由其法定代表人和委托代理人签字。</w:t>
      </w:r>
    </w:p>
    <w:p>
      <w:pPr>
        <w:spacing w:line="440" w:lineRule="exact"/>
        <w:rPr>
          <w:rFonts w:hint="eastAsia" w:ascii="宋体" w:hAnsi="宋体" w:cs="宋体"/>
          <w:color w:val="auto"/>
          <w:highlight w:val="none"/>
        </w:rPr>
      </w:pPr>
    </w:p>
    <w:p>
      <w:pPr>
        <w:spacing w:line="440" w:lineRule="exact"/>
        <w:ind w:firstLine="2692" w:firstLineChars="1282"/>
        <w:rPr>
          <w:rFonts w:hint="eastAsia" w:ascii="宋体" w:hAnsi="宋体" w:cs="宋体"/>
          <w:color w:val="auto"/>
          <w:highlight w:val="none"/>
        </w:rPr>
      </w:pPr>
      <w:r>
        <w:rPr>
          <w:rFonts w:hint="eastAsia" w:ascii="宋体" w:hAnsi="宋体" w:cs="宋体"/>
          <w:color w:val="auto"/>
          <w:highlight w:val="none"/>
        </w:rPr>
        <w:t>投  标  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highlight w:val="none"/>
        </w:rPr>
        <w:t>（盖单位章）</w:t>
      </w:r>
    </w:p>
    <w:p>
      <w:pPr>
        <w:spacing w:line="440" w:lineRule="exact"/>
        <w:ind w:firstLine="2692" w:firstLineChars="1282"/>
        <w:rPr>
          <w:rFonts w:hint="eastAsia" w:ascii="宋体" w:hAnsi="宋体" w:cs="宋体"/>
          <w:color w:val="auto"/>
          <w:highlight w:val="none"/>
        </w:rPr>
      </w:pPr>
    </w:p>
    <w:p>
      <w:pPr>
        <w:spacing w:line="440" w:lineRule="exact"/>
        <w:ind w:firstLine="2690" w:firstLineChars="1281"/>
        <w:jc w:val="left"/>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highlight w:val="none"/>
        </w:rPr>
        <w:t>（签字）</w:t>
      </w:r>
    </w:p>
    <w:p>
      <w:pPr>
        <w:spacing w:line="440" w:lineRule="exact"/>
        <w:ind w:firstLine="2692" w:firstLineChars="1282"/>
        <w:rPr>
          <w:rFonts w:hint="eastAsia" w:ascii="宋体" w:hAnsi="宋体" w:cs="宋体"/>
          <w:color w:val="auto"/>
          <w:highlight w:val="none"/>
        </w:rPr>
      </w:pPr>
    </w:p>
    <w:p>
      <w:pPr>
        <w:spacing w:line="440" w:lineRule="exact"/>
        <w:ind w:firstLine="2692" w:firstLineChars="1282"/>
        <w:rPr>
          <w:rFonts w:hint="eastAsia" w:ascii="宋体" w:hAnsi="宋体" w:cs="宋体"/>
          <w:color w:val="auto"/>
          <w:highlight w:val="none"/>
        </w:rPr>
      </w:pPr>
      <w:r>
        <w:rPr>
          <w:rFonts w:hint="eastAsia" w:ascii="宋体" w:hAnsi="宋体" w:cs="宋体"/>
          <w:color w:val="auto"/>
          <w:highlight w:val="none"/>
        </w:rPr>
        <w:t>身份证号码：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40" w:lineRule="exact"/>
        <w:ind w:firstLine="2692" w:firstLineChars="1282"/>
        <w:rPr>
          <w:rFonts w:hint="eastAsia" w:ascii="宋体" w:hAnsi="宋体" w:cs="宋体"/>
          <w:color w:val="auto"/>
          <w:highlight w:val="none"/>
        </w:rPr>
      </w:pPr>
    </w:p>
    <w:p>
      <w:pPr>
        <w:spacing w:line="440" w:lineRule="exact"/>
        <w:ind w:firstLine="2692" w:firstLineChars="1282"/>
        <w:rPr>
          <w:rFonts w:hint="eastAsia"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highlight w:val="none"/>
        </w:rPr>
        <w:t>（签字）</w:t>
      </w:r>
    </w:p>
    <w:p>
      <w:pPr>
        <w:spacing w:line="440" w:lineRule="exact"/>
        <w:ind w:firstLine="2692" w:firstLineChars="1282"/>
        <w:rPr>
          <w:rFonts w:hint="eastAsia" w:ascii="宋体" w:hAnsi="宋体" w:cs="宋体"/>
          <w:color w:val="auto"/>
          <w:highlight w:val="none"/>
        </w:rPr>
      </w:pPr>
    </w:p>
    <w:p>
      <w:pPr>
        <w:spacing w:line="440" w:lineRule="exact"/>
        <w:ind w:firstLine="2692" w:firstLineChars="1282"/>
        <w:rPr>
          <w:rFonts w:hint="eastAsia" w:ascii="宋体" w:hAnsi="宋体" w:cs="宋体"/>
          <w:color w:val="auto"/>
          <w:highlight w:val="none"/>
        </w:rPr>
      </w:pPr>
      <w:r>
        <w:rPr>
          <w:rFonts w:hint="eastAsia" w:ascii="宋体" w:hAnsi="宋体" w:cs="宋体"/>
          <w:color w:val="auto"/>
          <w:highlight w:val="none"/>
        </w:rPr>
        <w:t>身份证号码：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40" w:lineRule="exact"/>
        <w:ind w:firstLine="2692" w:firstLineChars="1282"/>
        <w:rPr>
          <w:rFonts w:hint="eastAsia" w:ascii="宋体" w:hAnsi="宋体" w:cs="宋体"/>
          <w:color w:val="auto"/>
          <w:highlight w:val="none"/>
        </w:rPr>
      </w:pPr>
    </w:p>
    <w:p>
      <w:pPr>
        <w:spacing w:line="440" w:lineRule="exact"/>
        <w:ind w:firstLine="2692" w:firstLineChars="1282"/>
        <w:rPr>
          <w:rFonts w:hint="eastAsia" w:ascii="宋体" w:hAnsi="宋体" w:cs="宋体"/>
          <w:color w:val="auto"/>
          <w:highlight w:val="none"/>
        </w:rPr>
      </w:pPr>
    </w:p>
    <w:p>
      <w:pPr>
        <w:spacing w:line="440" w:lineRule="exact"/>
        <w:ind w:firstLine="4057" w:firstLineChars="1932"/>
        <w:jc w:val="right"/>
        <w:rPr>
          <w:rFonts w:hint="eastAsia" w:ascii="宋体" w:hAnsi="宋体" w:cs="宋体"/>
          <w:color w:val="auto"/>
          <w:highlight w:val="none"/>
        </w:rPr>
      </w:pPr>
      <w:r>
        <w:rPr>
          <w:rFonts w:hint="eastAsia" w:ascii="宋体" w:hAnsi="宋体" w:cs="宋体"/>
          <w:color w:val="auto"/>
          <w:highlight w:val="none"/>
        </w:rPr>
        <w:t>年   月   日</w:t>
      </w:r>
    </w:p>
    <w:p>
      <w:pPr>
        <w:spacing w:line="440" w:lineRule="exact"/>
        <w:ind w:firstLine="4057" w:firstLineChars="1932"/>
        <w:jc w:val="right"/>
        <w:rPr>
          <w:rFonts w:hint="eastAsia" w:ascii="宋体" w:hAnsi="宋体" w:cs="宋体"/>
          <w:color w:val="auto"/>
          <w:highlight w:val="none"/>
        </w:rPr>
      </w:pP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2" w:name="_Toc517280606"/>
      <w:bookmarkStart w:id="243" w:name="_Toc4080686"/>
      <w:r>
        <w:rPr>
          <w:rFonts w:hint="eastAsia" w:ascii="宋体" w:hAnsi="宋体" w:eastAsia="宋体" w:cs="宋体"/>
          <w:b/>
          <w:color w:val="auto"/>
          <w:highlight w:val="none"/>
        </w:rPr>
        <w:t>四、投标保证金</w:t>
      </w:r>
    </w:p>
    <w:bookmarkEnd w:id="242"/>
    <w:bookmarkEnd w:id="243"/>
    <w:p>
      <w:pPr>
        <w:spacing w:after="0" w:line="360" w:lineRule="auto"/>
        <w:rPr>
          <w:rFonts w:ascii="宋体" w:hAnsi="宋体" w:cs="宋体"/>
        </w:rPr>
      </w:pPr>
      <w:bookmarkStart w:id="244" w:name="_Toc361508760"/>
      <w:r>
        <w:rPr>
          <w:rFonts w:hint="eastAsia" w:ascii="宋体" w:hAnsi="宋体" w:cs="宋体"/>
        </w:rPr>
        <w:t>详见本招标文件第二章投标人须知前附表3.4.1。</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bookmarkStart w:id="245" w:name="_Toc517280607"/>
    </w:p>
    <w:p>
      <w:pPr>
        <w:spacing w:line="400" w:lineRule="exact"/>
        <w:rPr>
          <w:rFonts w:hint="eastAsia" w:ascii="宋体" w:hAnsi="宋体" w:cs="宋体"/>
          <w:color w:val="auto"/>
          <w:highlight w:val="none"/>
        </w:rPr>
      </w:pPr>
    </w:p>
    <w:p>
      <w:pPr>
        <w:ind w:right="105"/>
        <w:jc w:val="left"/>
        <w:rPr>
          <w:rFonts w:hint="eastAsia" w:ascii="宋体" w:hAnsi="宋体" w:cs="宋体"/>
          <w:color w:val="auto"/>
          <w:kern w:val="0"/>
          <w:highlight w:val="none"/>
        </w:rPr>
      </w:pPr>
    </w:p>
    <w:p>
      <w:pPr>
        <w:pStyle w:val="4"/>
        <w:keepNext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6" w:name="_Toc4080687"/>
      <w:r>
        <w:rPr>
          <w:rFonts w:hint="eastAsia" w:ascii="宋体" w:hAnsi="宋体" w:eastAsia="宋体" w:cs="宋体"/>
          <w:color w:val="auto"/>
          <w:highlight w:val="none"/>
          <w:lang w:val="en-US" w:eastAsia="zh-Hans"/>
        </w:rPr>
        <w:t>五</w:t>
      </w:r>
      <w:r>
        <w:rPr>
          <w:rFonts w:hint="eastAsia" w:ascii="宋体" w:hAnsi="宋体" w:eastAsia="宋体" w:cs="宋体"/>
          <w:b/>
          <w:color w:val="auto"/>
          <w:highlight w:val="none"/>
        </w:rPr>
        <w:t>、资格审查资料</w:t>
      </w:r>
      <w:bookmarkEnd w:id="245"/>
      <w:bookmarkEnd w:id="246"/>
    </w:p>
    <w:p>
      <w:pPr>
        <w:pStyle w:val="5"/>
        <w:keepNext w:val="0"/>
        <w:spacing w:before="20"/>
        <w:ind w:firstLine="137"/>
        <w:rPr>
          <w:rFonts w:hint="eastAsia" w:ascii="宋体" w:hAnsi="宋体" w:eastAsia="宋体" w:cs="宋体"/>
          <w:color w:val="auto"/>
          <w:highlight w:val="none"/>
        </w:rPr>
      </w:pPr>
      <w:bookmarkStart w:id="247" w:name="_Toc517280608"/>
      <w:bookmarkStart w:id="248" w:name="_Toc4080688"/>
      <w:r>
        <w:rPr>
          <w:rFonts w:hint="eastAsia" w:ascii="宋体" w:hAnsi="宋体" w:eastAsia="宋体" w:cs="宋体"/>
          <w:b/>
          <w:bCs/>
          <w:color w:val="auto"/>
          <w:kern w:val="0"/>
          <w:szCs w:val="24"/>
          <w:highlight w:val="none"/>
        </w:rPr>
        <w:t>（一）基本情况表</w:t>
      </w:r>
      <w:bookmarkEnd w:id="247"/>
      <w:bookmarkEnd w:id="248"/>
    </w:p>
    <w:tbl>
      <w:tblPr>
        <w:tblStyle w:val="1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企业</w:t>
            </w:r>
            <w:r>
              <w:rPr>
                <w:rFonts w:hint="eastAsia" w:ascii="宋体" w:hAnsi="宋体" w:cs="宋体"/>
                <w:color w:val="auto"/>
                <w:szCs w:val="21"/>
                <w:highlight w:val="none"/>
              </w:rPr>
              <w:t>监理</w:t>
            </w:r>
            <w:r>
              <w:rPr>
                <w:rFonts w:hint="eastAsia" w:ascii="宋体" w:hAnsi="宋体" w:cs="宋体"/>
                <w:color w:val="auto"/>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rFonts w:hint="eastAsia" w:ascii="宋体" w:hAnsi="宋体" w:cs="宋体"/>
                <w:color w:val="auto"/>
                <w:highlight w:val="none"/>
              </w:rPr>
            </w:pPr>
            <w:r>
              <w:rPr>
                <w:rFonts w:hint="eastAsia" w:ascii="宋体" w:hAnsi="宋体" w:cs="宋体"/>
                <w:color w:val="auto"/>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414" w:type="dxa"/>
            <w:vMerge w:val="restart"/>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c>
          <w:tcPr>
            <w:tcW w:w="414" w:type="dxa"/>
            <w:vMerge w:val="continue"/>
            <w:tcBorders>
              <w:left w:val="single" w:color="auto" w:sz="4" w:space="0"/>
              <w:right w:val="single" w:color="auto" w:sz="4" w:space="0"/>
            </w:tcBorders>
            <w:noWrap w:val="0"/>
            <w:vAlign w:val="center"/>
          </w:tcPr>
          <w:p>
            <w:pPr>
              <w:rPr>
                <w:rFonts w:hint="eastAsia" w:ascii="宋体" w:hAnsi="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ind w:firstLine="210" w:firstLineChars="100"/>
              <w:jc w:val="center"/>
              <w:rPr>
                <w:rFonts w:hint="eastAsia" w:ascii="宋体" w:hAnsi="宋体" w:cs="宋体"/>
                <w:color w:val="auto"/>
                <w:highlight w:val="none"/>
              </w:rPr>
            </w:pPr>
            <w:r>
              <w:rPr>
                <w:rFonts w:hint="eastAsia" w:ascii="宋体" w:hAnsi="宋体" w:cs="宋体"/>
                <w:color w:val="auto"/>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p>
        </w:tc>
      </w:tr>
    </w:tbl>
    <w:p>
      <w:pPr>
        <w:spacing w:line="400" w:lineRule="exact"/>
        <w:rPr>
          <w:rFonts w:hint="eastAsia" w:ascii="宋体" w:hAnsi="宋体" w:cs="宋体"/>
          <w:color w:val="auto"/>
          <w:highlight w:val="none"/>
        </w:rPr>
      </w:pPr>
      <w:r>
        <w:rPr>
          <w:rFonts w:hint="eastAsia" w:ascii="宋体" w:hAnsi="宋体" w:cs="宋体"/>
          <w:color w:val="auto"/>
          <w:highlight w:val="none"/>
        </w:rPr>
        <w:t>注：投标人应根据投标人须知第3.5.1项的要求在本表后附相关证明材料（包括且不限于营业执照、资质证书）。</w:t>
      </w:r>
    </w:p>
    <w:p>
      <w:pPr>
        <w:pStyle w:val="5"/>
        <w:keepNext w:val="0"/>
        <w:ind w:firstLine="137"/>
        <w:rPr>
          <w:rFonts w:hint="eastAsia" w:ascii="宋体" w:hAnsi="宋体" w:eastAsia="宋体" w:cs="宋体"/>
          <w:color w:val="auto"/>
          <w:highlight w:val="none"/>
        </w:rPr>
      </w:pPr>
    </w:p>
    <w:p>
      <w:pPr>
        <w:pStyle w:val="5"/>
        <w:keepNext w:val="0"/>
        <w:ind w:firstLine="137"/>
        <w:rPr>
          <w:rFonts w:hint="eastAsia" w:ascii="宋体" w:hAnsi="宋体" w:eastAsia="宋体" w:cs="宋体"/>
          <w:color w:val="auto"/>
          <w:highlight w:val="none"/>
        </w:rPr>
      </w:pPr>
      <w:bookmarkStart w:id="249" w:name="_Toc517280609"/>
      <w:r>
        <w:rPr>
          <w:rFonts w:hint="eastAsia" w:ascii="宋体" w:hAnsi="宋体" w:eastAsia="宋体" w:cs="宋体"/>
          <w:color w:val="auto"/>
          <w:highlight w:val="none"/>
        </w:rPr>
        <w:br w:type="page"/>
      </w:r>
      <w:bookmarkStart w:id="250" w:name="_Toc4080689"/>
      <w:r>
        <w:rPr>
          <w:rFonts w:hint="eastAsia" w:ascii="宋体" w:hAnsi="宋体" w:eastAsia="宋体" w:cs="宋体"/>
          <w:b/>
          <w:bCs/>
          <w:color w:val="auto"/>
          <w:kern w:val="0"/>
          <w:szCs w:val="24"/>
          <w:highlight w:val="none"/>
        </w:rPr>
        <w:t>（二）</w:t>
      </w:r>
      <w:bookmarkEnd w:id="244"/>
      <w:bookmarkEnd w:id="249"/>
      <w:bookmarkEnd w:id="250"/>
      <w:bookmarkStart w:id="251" w:name="_Toc144974873"/>
      <w:bookmarkStart w:id="252" w:name="_Toc359594249"/>
      <w:bookmarkStart w:id="253" w:name="_Toc384308390"/>
      <w:bookmarkStart w:id="254" w:name="_Toc152042594"/>
      <w:bookmarkStart w:id="255" w:name="_Toc152045805"/>
      <w:bookmarkStart w:id="256" w:name="_Toc391394125"/>
      <w:bookmarkStart w:id="257" w:name="_Toc300835232"/>
      <w:bookmarkStart w:id="258" w:name="_Toc370676440"/>
      <w:bookmarkStart w:id="259" w:name="_Toc482188668"/>
      <w:bookmarkStart w:id="260" w:name="_Toc517280612"/>
      <w:bookmarkStart w:id="261" w:name="_Toc4080692"/>
      <w:bookmarkStart w:id="262" w:name="_Toc385943079"/>
      <w:bookmarkStart w:id="263" w:name="_Toc179632825"/>
      <w:r>
        <w:rPr>
          <w:rFonts w:hint="eastAsia" w:ascii="宋体" w:hAnsi="宋体" w:eastAsia="宋体" w:cs="宋体"/>
          <w:b/>
          <w:bCs/>
          <w:color w:val="auto"/>
          <w:kern w:val="0"/>
          <w:szCs w:val="24"/>
          <w:highlight w:val="none"/>
        </w:rPr>
        <w:t>总监理工程师简历表</w:t>
      </w:r>
      <w:bookmarkEnd w:id="251"/>
      <w:bookmarkEnd w:id="252"/>
      <w:bookmarkEnd w:id="253"/>
      <w:bookmarkEnd w:id="254"/>
      <w:bookmarkEnd w:id="255"/>
      <w:bookmarkEnd w:id="256"/>
      <w:bookmarkEnd w:id="257"/>
      <w:bookmarkEnd w:id="258"/>
      <w:bookmarkEnd w:id="259"/>
      <w:bookmarkEnd w:id="260"/>
      <w:bookmarkEnd w:id="261"/>
      <w:bookmarkEnd w:id="262"/>
      <w:bookmarkEnd w:id="263"/>
    </w:p>
    <w:p>
      <w:pPr>
        <w:topLinePunct/>
        <w:spacing w:line="440" w:lineRule="exact"/>
        <w:jc w:val="center"/>
        <w:rPr>
          <w:rFonts w:hint="eastAsia" w:ascii="宋体" w:hAnsi="宋体" w:cs="宋体"/>
          <w:color w:val="auto"/>
          <w:sz w:val="23"/>
          <w:highlight w:val="none"/>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1187"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048" w:type="dxa"/>
            <w:gridSpan w:val="2"/>
            <w:noWrap w:val="0"/>
            <w:vAlign w:val="center"/>
          </w:tcPr>
          <w:p>
            <w:pPr>
              <w:spacing w:line="440" w:lineRule="exact"/>
              <w:jc w:val="center"/>
              <w:rPr>
                <w:rFonts w:hint="eastAsia" w:ascii="宋体" w:hAnsi="宋体" w:cs="宋体"/>
                <w:color w:val="auto"/>
                <w:highlight w:val="none"/>
              </w:rPr>
            </w:pPr>
          </w:p>
        </w:tc>
        <w:tc>
          <w:tcPr>
            <w:tcW w:w="958"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1065" w:type="dxa"/>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执业资格证书（或上岗证书）名称</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187"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48" w:type="dxa"/>
            <w:gridSpan w:val="2"/>
            <w:noWrap w:val="0"/>
            <w:vAlign w:val="center"/>
          </w:tcPr>
          <w:p>
            <w:pPr>
              <w:spacing w:line="440" w:lineRule="exact"/>
              <w:jc w:val="center"/>
              <w:rPr>
                <w:rFonts w:hint="eastAsia" w:ascii="宋体" w:hAnsi="宋体" w:cs="宋体"/>
                <w:color w:val="auto"/>
                <w:highlight w:val="none"/>
              </w:rPr>
            </w:pPr>
          </w:p>
        </w:tc>
        <w:tc>
          <w:tcPr>
            <w:tcW w:w="958"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065" w:type="dxa"/>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拟在本项目任职</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187"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工作年限</w:t>
            </w:r>
          </w:p>
        </w:tc>
        <w:tc>
          <w:tcPr>
            <w:tcW w:w="3071" w:type="dxa"/>
            <w:gridSpan w:val="4"/>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从事监理工作年限</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1187"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毕业学校</w:t>
            </w:r>
          </w:p>
        </w:tc>
        <w:tc>
          <w:tcPr>
            <w:tcW w:w="7335" w:type="dxa"/>
            <w:gridSpan w:val="8"/>
            <w:noWrap w:val="0"/>
            <w:vAlign w:val="center"/>
          </w:tcPr>
          <w:p>
            <w:pPr>
              <w:spacing w:before="100" w:beforeAutospacing="1" w:after="100" w:afterAutospacing="1" w:line="440" w:lineRule="exact"/>
              <w:ind w:firstLine="1155" w:firstLineChars="550"/>
              <w:rPr>
                <w:rFonts w:hint="eastAsia" w:ascii="宋体" w:hAnsi="宋体" w:cs="宋体"/>
                <w:color w:val="auto"/>
                <w:highlight w:val="none"/>
              </w:rPr>
            </w:pPr>
            <w:r>
              <w:rPr>
                <w:rFonts w:hint="eastAsia" w:ascii="宋体" w:hAnsi="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8522" w:type="dxa"/>
            <w:gridSpan w:val="9"/>
            <w:noWrap w:val="0"/>
            <w:vAlign w:val="center"/>
          </w:tcPr>
          <w:p>
            <w:pPr>
              <w:spacing w:before="100" w:beforeAutospacing="1" w:after="100" w:afterAutospacing="1" w:line="440" w:lineRule="exact"/>
              <w:jc w:val="left"/>
              <w:rPr>
                <w:rFonts w:hint="eastAsia" w:ascii="宋体" w:hAnsi="宋体" w:cs="宋体"/>
                <w:color w:val="auto"/>
                <w:highlight w:val="none"/>
              </w:rPr>
            </w:pPr>
            <w:r>
              <w:rPr>
                <w:rFonts w:hint="eastAsia" w:ascii="宋体" w:hAnsi="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1544" w:type="dxa"/>
            <w:gridSpan w:val="2"/>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时  间</w:t>
            </w:r>
          </w:p>
        </w:tc>
        <w:tc>
          <w:tcPr>
            <w:tcW w:w="3420" w:type="dxa"/>
            <w:gridSpan w:val="4"/>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参加过的类似项目</w:t>
            </w:r>
          </w:p>
        </w:tc>
        <w:tc>
          <w:tcPr>
            <w:tcW w:w="1261"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担任职务</w:t>
            </w:r>
          </w:p>
        </w:tc>
        <w:tc>
          <w:tcPr>
            <w:tcW w:w="2297" w:type="dxa"/>
            <w:gridSpan w:val="2"/>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bl>
    <w:p>
      <w:pPr>
        <w:spacing w:line="440" w:lineRule="exact"/>
        <w:jc w:val="left"/>
        <w:rPr>
          <w:rFonts w:hint="eastAsia" w:ascii="宋体" w:hAnsi="宋体" w:cs="宋体"/>
          <w:color w:val="auto"/>
          <w:highlight w:val="none"/>
        </w:rPr>
      </w:pPr>
      <w:r>
        <w:rPr>
          <w:rFonts w:hint="eastAsia" w:ascii="宋体" w:hAnsi="宋体" w:cs="宋体"/>
          <w:color w:val="auto"/>
          <w:highlight w:val="none"/>
        </w:rPr>
        <w:t>注：投标人应根据投标人须知第3.5.6项的要求在本表后附相关证明材料。</w:t>
      </w:r>
    </w:p>
    <w:p>
      <w:pPr>
        <w:spacing w:line="440" w:lineRule="exact"/>
        <w:rPr>
          <w:rFonts w:hint="eastAsia" w:ascii="宋体" w:hAnsi="宋体" w:cs="宋体"/>
          <w:color w:val="auto"/>
          <w:highlight w:val="none"/>
        </w:rPr>
      </w:pPr>
      <w:bookmarkStart w:id="264" w:name="_Toc300835229"/>
      <w:bookmarkStart w:id="265" w:name="_Toc352703741"/>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bookmarkEnd w:id="264"/>
    <w:bookmarkEnd w:id="265"/>
    <w:p>
      <w:pPr>
        <w:spacing w:line="480" w:lineRule="exact"/>
        <w:jc w:val="left"/>
        <w:rPr>
          <w:rFonts w:ascii="宋体" w:hAnsi="宋体"/>
          <w:b/>
          <w:bCs/>
          <w:color w:val="auto"/>
          <w:sz w:val="36"/>
          <w:szCs w:val="36"/>
          <w:highlight w:val="none"/>
        </w:rPr>
      </w:pPr>
      <w:bookmarkStart w:id="266" w:name="_Toc482188666"/>
      <w:bookmarkStart w:id="267" w:name="_Toc517280613"/>
      <w:r>
        <w:rPr>
          <w:rFonts w:hint="eastAsia" w:ascii="宋体" w:hAnsi="宋体" w:cs="宋体"/>
          <w:color w:val="auto"/>
          <w:highlight w:val="none"/>
        </w:rPr>
        <w:br w:type="page"/>
      </w:r>
      <w:bookmarkEnd w:id="266"/>
      <w:bookmarkEnd w:id="267"/>
      <w:bookmarkStart w:id="268" w:name="_Toc517280614"/>
      <w:bookmarkStart w:id="269" w:name="_Toc4080694"/>
      <w:r>
        <w:rPr>
          <w:rFonts w:hint="eastAsia" w:ascii="宋体" w:hAnsi="宋体" w:cs="宋体"/>
          <w:b/>
          <w:bCs/>
          <w:color w:val="auto"/>
          <w:kern w:val="0"/>
          <w:sz w:val="24"/>
          <w:highlight w:val="none"/>
        </w:rPr>
        <w:t>（三）投标人声明</w:t>
      </w:r>
    </w:p>
    <w:p>
      <w:pPr>
        <w:spacing w:line="360" w:lineRule="auto"/>
        <w:jc w:val="center"/>
        <w:rPr>
          <w:rFonts w:hint="eastAsia" w:ascii="宋体" w:hAnsi="宋体"/>
          <w:bCs/>
          <w:color w:val="auto"/>
          <w:sz w:val="24"/>
          <w:highlight w:val="none"/>
        </w:rPr>
      </w:pPr>
      <w:r>
        <w:rPr>
          <w:rFonts w:hint="eastAsia" w:ascii="宋体" w:hAnsi="宋体" w:cs="宋体"/>
          <w:b/>
          <w:bCs/>
          <w:color w:val="auto"/>
          <w:kern w:val="0"/>
          <w:sz w:val="32"/>
          <w:szCs w:val="32"/>
          <w:highlight w:val="none"/>
        </w:rPr>
        <w:t>投标人声明</w:t>
      </w:r>
    </w:p>
    <w:p>
      <w:pPr>
        <w:pStyle w:val="27"/>
        <w:ind w:firstLine="473"/>
        <w:rPr>
          <w:rFonts w:hint="eastAsia" w:ascii="宋体" w:eastAsia="宋体" w:cs="宋体"/>
          <w:color w:val="auto"/>
          <w:sz w:val="21"/>
          <w:szCs w:val="21"/>
          <w:highlight w:val="none"/>
        </w:rPr>
      </w:pPr>
      <w:r>
        <w:rPr>
          <w:rFonts w:hint="eastAsia" w:ascii="宋体" w:eastAsia="宋体" w:cs="宋体"/>
          <w:color w:val="auto"/>
          <w:sz w:val="21"/>
          <w:szCs w:val="21"/>
          <w:highlight w:val="none"/>
        </w:rPr>
        <w:t>本招标项目招标人及招标监管机构：</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本公司就参加</w:t>
      </w:r>
      <w:r>
        <w:rPr>
          <w:rFonts w:hint="eastAsia" w:ascii="宋体" w:hAnsi="宋体" w:cs="宋体"/>
          <w:color w:val="auto"/>
          <w:highlight w:val="none"/>
          <w:u w:val="single"/>
        </w:rPr>
        <w:t xml:space="preserve">    </w:t>
      </w:r>
      <w:r>
        <w:rPr>
          <w:rFonts w:hint="eastAsia" w:ascii="宋体" w:hAnsi="宋体"/>
          <w:color w:val="auto"/>
          <w:szCs w:val="21"/>
          <w:highlight w:val="none"/>
          <w:u w:val="singl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投标工作，作出郑重声明：</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一、本公司保证投标登记及其后提供的一切材料都是真实的。</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二、本公司保证在本项目投标中不与其他单位围标、串标，不出让投标资格，不向招标人或评标委员会成员行贿。</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三、本公司不存在下列情形之一：</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（3）与本招标项目的其他投标人为同一个单位负责人；</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（4）与本招标项目的其他投标人存在控股、管理关系；</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（5）为本招标项目的代建人；</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（6）为本招标项目的招标代理机构；</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（7）与本招标项目的代建人或招标代理机构同为一个法定代表人；</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（8）与本招标项目的代建人或招标代理机构存在控股或参股关系；</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（9）与本招标项目的施工承包人以及建筑材料、建筑构配件和设备供应商有隶属关系或者其他利害关系；</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（10）被依法暂停或者取消投标资格；</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（11）被责令停产停业、暂扣或者吊销许可证、暂扣或者吊销执照；</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（13）在最近三年内发生重大监理质量问题（以相关行业主管部门的行政处罚决定或司法机关出具的有关法律文书为准）；</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（14）被工商行政管理机关在全国企业信用信息公示系统中列入严重违法失信企业名单；</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（15）被最高人民法院在“信用中国”网站（www.creditchina.gov.cn）或“信用广州”网站或各级信用信息共享平台中列入失信被执行人名单（失信黑名单）；</w:t>
      </w:r>
    </w:p>
    <w:p>
      <w:pPr>
        <w:widowControl/>
        <w:adjustRightInd w:val="0"/>
        <w:snapToGrid w:val="0"/>
        <w:spacing w:line="360" w:lineRule="auto"/>
        <w:ind w:right="29" w:rightChars="14"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（16）在近三年内投标人或其法定代表人、拟委任的总监理工程师有行贿犯罪行为的；</w:t>
      </w:r>
    </w:p>
    <w:p>
      <w:pPr>
        <w:widowControl/>
        <w:adjustRightInd w:val="0"/>
        <w:snapToGrid w:val="0"/>
        <w:spacing w:line="360" w:lineRule="auto"/>
        <w:ind w:right="29" w:rightChars="14" w:firstLine="567" w:firstLineChars="27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（17）法律法规规定的其他情形。</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四、本公司承诺，中标后不转包或违法分包。</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监理大纲等涉及商业秘密的内容除外）等资料进行公示。</w:t>
      </w:r>
    </w:p>
    <w:p>
      <w:pPr>
        <w:adjustRightInd w:val="0"/>
        <w:snapToGrid w:val="0"/>
        <w:spacing w:line="360" w:lineRule="auto"/>
        <w:ind w:firstLine="561"/>
        <w:rPr>
          <w:rFonts w:hint="eastAsia" w:ascii="宋体" w:hAnsi="宋体" w:cs="宋体"/>
          <w:color w:val="auto"/>
          <w:highlight w:val="none"/>
        </w:rPr>
      </w:pPr>
      <w:r>
        <w:rPr>
          <w:rFonts w:hint="eastAsia" w:ascii="宋体" w:hAnsi="宋体" w:cs="宋体"/>
          <w:color w:val="auto"/>
          <w:highlight w:val="none"/>
        </w:rPr>
        <w:t>本公司违反上述保证，或本声明陈述与事实不符，经查实，本公司愿意接受公开通报，承担由此带来的法律后果，并自愿停止参加广州市行政辖区内的招标投标活动三个月。</w:t>
      </w:r>
    </w:p>
    <w:p>
      <w:pPr>
        <w:adjustRightInd w:val="0"/>
        <w:snapToGrid w:val="0"/>
        <w:spacing w:before="156" w:beforeLines="50" w:line="360" w:lineRule="auto"/>
        <w:ind w:firstLine="561"/>
        <w:rPr>
          <w:rFonts w:hint="eastAsia" w:ascii="宋体" w:hAnsi="宋体" w:cs="宋体"/>
          <w:color w:val="auto"/>
          <w:highlight w:val="none"/>
        </w:rPr>
      </w:pPr>
      <w:r>
        <w:rPr>
          <w:rFonts w:hint="eastAsia" w:ascii="宋体" w:hAnsi="宋体" w:cs="宋体"/>
          <w:color w:val="auto"/>
          <w:highlight w:val="none"/>
        </w:rPr>
        <w:t>特此声明。</w:t>
      </w:r>
    </w:p>
    <w:p>
      <w:pPr>
        <w:pStyle w:val="28"/>
        <w:ind w:right="1449" w:firstLine="420" w:firstLineChars="200"/>
        <w:rPr>
          <w:rFonts w:hint="eastAsia" w:ascii="宋体" w:eastAsia="宋体" w:cs="宋体"/>
          <w:color w:val="auto"/>
          <w:sz w:val="21"/>
          <w:szCs w:val="21"/>
          <w:highlight w:val="none"/>
        </w:rPr>
      </w:pPr>
    </w:p>
    <w:p>
      <w:pPr>
        <w:pStyle w:val="28"/>
        <w:spacing w:line="600" w:lineRule="exact"/>
        <w:ind w:left="629" w:right="1449"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 xml:space="preserve">                                           声明企业：</w:t>
      </w:r>
    </w:p>
    <w:p>
      <w:pPr>
        <w:pStyle w:val="27"/>
        <w:spacing w:line="600" w:lineRule="exact"/>
        <w:ind w:right="1779" w:firstLine="473"/>
        <w:jc w:val="right"/>
        <w:rPr>
          <w:rFonts w:hint="eastAsia" w:ascii="宋体" w:eastAsia="宋体" w:cs="宋体"/>
          <w:color w:val="auto"/>
          <w:sz w:val="21"/>
          <w:szCs w:val="21"/>
          <w:highlight w:val="none"/>
        </w:rPr>
      </w:pPr>
      <w:r>
        <w:rPr>
          <w:rFonts w:hint="eastAsia" w:ascii="宋体" w:eastAsia="宋体" w:cs="宋体"/>
          <w:color w:val="auto"/>
          <w:sz w:val="21"/>
          <w:szCs w:val="21"/>
          <w:highlight w:val="none"/>
        </w:rPr>
        <w:t>法定代表人（签字）：</w:t>
      </w:r>
    </w:p>
    <w:p>
      <w:pPr>
        <w:pStyle w:val="27"/>
        <w:spacing w:line="600" w:lineRule="exact"/>
        <w:ind w:right="1779" w:firstLine="473"/>
        <w:jc w:val="right"/>
        <w:rPr>
          <w:rFonts w:hint="eastAsia" w:ascii="宋体" w:eastAsia="宋体" w:cs="宋体"/>
          <w:color w:val="auto"/>
          <w:sz w:val="21"/>
          <w:szCs w:val="21"/>
          <w:highlight w:val="none"/>
        </w:rPr>
      </w:pPr>
      <w:r>
        <w:rPr>
          <w:rFonts w:hint="eastAsia" w:ascii="宋体" w:eastAsia="宋体" w:cs="宋体"/>
          <w:color w:val="auto"/>
          <w:sz w:val="21"/>
          <w:szCs w:val="21"/>
          <w:highlight w:val="none"/>
        </w:rPr>
        <w:t>总监理工程师（签字）：</w:t>
      </w:r>
    </w:p>
    <w:p>
      <w:pPr>
        <w:pStyle w:val="27"/>
        <w:spacing w:line="600" w:lineRule="exact"/>
        <w:ind w:right="879" w:firstLine="420" w:firstLineChars="200"/>
        <w:jc w:val="right"/>
        <w:rPr>
          <w:rFonts w:hint="eastAsia" w:ascii="宋体" w:eastAsia="宋体" w:cs="宋体"/>
          <w:color w:val="auto"/>
          <w:sz w:val="21"/>
          <w:szCs w:val="21"/>
          <w:highlight w:val="none"/>
        </w:rPr>
      </w:pPr>
      <w:r>
        <w:rPr>
          <w:rFonts w:hint="eastAsia" w:ascii="宋体" w:eastAsia="宋体" w:cs="宋体"/>
          <w:color w:val="auto"/>
          <w:sz w:val="21"/>
          <w:szCs w:val="21"/>
          <w:highlight w:val="none"/>
        </w:rPr>
        <w:t>（盖单位章）</w:t>
      </w:r>
    </w:p>
    <w:p>
      <w:pPr>
        <w:pStyle w:val="27"/>
        <w:ind w:right="879" w:firstLine="420" w:firstLineChars="200"/>
        <w:jc w:val="right"/>
        <w:rPr>
          <w:rFonts w:hint="eastAsia" w:ascii="宋体" w:eastAsia="宋体" w:cs="宋体"/>
          <w:color w:val="auto"/>
          <w:highlight w:val="none"/>
        </w:rPr>
      </w:pPr>
      <w:r>
        <w:rPr>
          <w:rFonts w:hint="eastAsia" w:ascii="宋体" w:eastAsia="宋体" w:cs="宋体"/>
          <w:color w:val="auto"/>
          <w:sz w:val="21"/>
          <w:szCs w:val="21"/>
          <w:highlight w:val="none"/>
        </w:rPr>
        <w:t>年  月  日</w:t>
      </w:r>
    </w:p>
    <w:p>
      <w:pPr>
        <w:pStyle w:val="15"/>
        <w:spacing w:line="360" w:lineRule="auto"/>
        <w:ind w:firstLine="480" w:firstLineChars="200"/>
        <w:jc w:val="center"/>
        <w:rPr>
          <w:rFonts w:hint="eastAsia"/>
          <w:b/>
          <w:bCs/>
          <w:color w:val="auto"/>
          <w:sz w:val="24"/>
          <w:szCs w:val="24"/>
          <w:highlight w:val="none"/>
        </w:rPr>
      </w:pPr>
      <w:r>
        <w:rPr>
          <w:rFonts w:hint="eastAsia"/>
          <w:b/>
          <w:bCs/>
          <w:color w:val="auto"/>
          <w:sz w:val="24"/>
          <w:szCs w:val="24"/>
          <w:highlight w:val="none"/>
        </w:rPr>
        <w:br w:type="page"/>
      </w:r>
    </w:p>
    <w:p>
      <w:pPr>
        <w:pStyle w:val="15"/>
        <w:spacing w:line="360" w:lineRule="auto"/>
        <w:ind w:firstLine="801" w:firstLineChars="200"/>
        <w:jc w:val="center"/>
        <w:rPr>
          <w:rFonts w:hint="eastAsia"/>
          <w:b/>
          <w:bCs/>
          <w:color w:val="auto"/>
          <w:sz w:val="40"/>
          <w:szCs w:val="40"/>
          <w:highlight w:val="none"/>
          <w:lang w:val="en-US" w:eastAsia="zh-Hans"/>
        </w:rPr>
      </w:pPr>
      <w:r>
        <w:rPr>
          <w:rFonts w:hint="eastAsia"/>
          <w:b/>
          <w:bCs/>
          <w:color w:val="auto"/>
          <w:sz w:val="40"/>
          <w:szCs w:val="40"/>
          <w:highlight w:val="none"/>
          <w:lang w:val="en-US" w:eastAsia="zh-Hans"/>
        </w:rPr>
        <w:t>五</w:t>
      </w:r>
      <w:r>
        <w:rPr>
          <w:rFonts w:hint="default"/>
          <w:b/>
          <w:bCs/>
          <w:color w:val="auto"/>
          <w:sz w:val="40"/>
          <w:szCs w:val="40"/>
          <w:highlight w:val="none"/>
          <w:lang w:eastAsia="zh-Hans"/>
        </w:rPr>
        <w:t>、</w:t>
      </w:r>
      <w:r>
        <w:rPr>
          <w:rFonts w:hint="eastAsia"/>
          <w:b/>
          <w:bCs/>
          <w:color w:val="auto"/>
          <w:sz w:val="40"/>
          <w:szCs w:val="40"/>
          <w:highlight w:val="none"/>
          <w:lang w:val="en-US" w:eastAsia="zh-Hans"/>
        </w:rPr>
        <w:t>资格审查资料</w:t>
      </w:r>
    </w:p>
    <w:p>
      <w:pPr>
        <w:rPr>
          <w:rFonts w:hint="eastAsia"/>
          <w:b/>
          <w:bCs/>
          <w:color w:val="auto"/>
          <w:sz w:val="40"/>
          <w:szCs w:val="40"/>
          <w:highlight w:val="none"/>
          <w:lang w:val="en-US" w:eastAsia="zh-Hans"/>
        </w:rPr>
      </w:pPr>
      <w:r>
        <w:rPr>
          <w:rFonts w:hint="eastAsia"/>
          <w:b/>
          <w:bCs/>
          <w:color w:val="auto"/>
          <w:sz w:val="40"/>
          <w:szCs w:val="40"/>
          <w:highlight w:val="none"/>
          <w:lang w:val="en-US" w:eastAsia="zh-Hans"/>
        </w:rPr>
        <w:br w:type="page"/>
      </w:r>
    </w:p>
    <w:p>
      <w:pPr>
        <w:pStyle w:val="15"/>
        <w:spacing w:line="360" w:lineRule="auto"/>
        <w:ind w:firstLine="801" w:firstLineChars="200"/>
        <w:jc w:val="center"/>
        <w:rPr>
          <w:rFonts w:hint="default"/>
          <w:b/>
          <w:bCs/>
          <w:color w:val="auto"/>
          <w:sz w:val="40"/>
          <w:szCs w:val="40"/>
          <w:highlight w:val="none"/>
          <w:lang w:val="en-US" w:eastAsia="zh-Hans"/>
        </w:rPr>
      </w:pPr>
    </w:p>
    <w:p>
      <w:pPr>
        <w:pStyle w:val="15"/>
        <w:spacing w:line="360" w:lineRule="auto"/>
        <w:ind w:firstLine="801" w:firstLineChars="200"/>
        <w:jc w:val="center"/>
        <w:rPr>
          <w:rFonts w:hint="default"/>
          <w:b/>
          <w:bCs/>
          <w:color w:val="auto"/>
          <w:sz w:val="40"/>
          <w:szCs w:val="40"/>
          <w:highlight w:val="none"/>
          <w:lang w:val="en-US"/>
        </w:rPr>
      </w:pPr>
      <w:r>
        <w:rPr>
          <w:rFonts w:hint="eastAsia"/>
          <w:b/>
          <w:bCs/>
          <w:color w:val="auto"/>
          <w:sz w:val="40"/>
          <w:szCs w:val="40"/>
          <w:highlight w:val="none"/>
          <w:lang w:val="en-US" w:eastAsia="zh-Hans"/>
        </w:rPr>
        <w:t>六</w:t>
      </w:r>
      <w:r>
        <w:rPr>
          <w:rFonts w:hint="default"/>
          <w:b/>
          <w:bCs/>
          <w:color w:val="auto"/>
          <w:sz w:val="40"/>
          <w:szCs w:val="40"/>
          <w:highlight w:val="none"/>
          <w:lang w:eastAsia="zh-Hans"/>
        </w:rPr>
        <w:t>、</w:t>
      </w:r>
      <w:r>
        <w:rPr>
          <w:rFonts w:hint="eastAsia"/>
          <w:b/>
          <w:bCs/>
          <w:color w:val="auto"/>
          <w:sz w:val="40"/>
          <w:szCs w:val="40"/>
          <w:highlight w:val="none"/>
          <w:lang w:val="en-US" w:eastAsia="zh-Hans"/>
        </w:rPr>
        <w:t>资信业绩证明材料</w:t>
      </w:r>
    </w:p>
    <w:p>
      <w:pPr>
        <w:rPr>
          <w:rFonts w:hint="eastAsia"/>
          <w:b/>
          <w:bCs/>
          <w:color w:val="auto"/>
          <w:sz w:val="24"/>
          <w:szCs w:val="24"/>
          <w:highlight w:val="none"/>
        </w:rPr>
      </w:pPr>
      <w:r>
        <w:rPr>
          <w:rFonts w:hint="eastAsia"/>
          <w:b/>
          <w:bCs/>
          <w:color w:val="auto"/>
          <w:sz w:val="24"/>
          <w:szCs w:val="24"/>
          <w:highlight w:val="none"/>
        </w:rPr>
        <w:br w:type="page"/>
      </w:r>
    </w:p>
    <w:p>
      <w:pPr>
        <w:pStyle w:val="15"/>
        <w:spacing w:line="360" w:lineRule="auto"/>
        <w:ind w:firstLine="480" w:firstLineChars="200"/>
        <w:jc w:val="center"/>
        <w:rPr>
          <w:rFonts w:hint="eastAsia"/>
          <w:b/>
          <w:bCs/>
          <w:color w:val="auto"/>
          <w:sz w:val="24"/>
          <w:szCs w:val="24"/>
          <w:highlight w:val="none"/>
        </w:rPr>
      </w:pPr>
    </w:p>
    <w:p>
      <w:pPr>
        <w:pStyle w:val="15"/>
        <w:spacing w:line="360" w:lineRule="auto"/>
        <w:ind w:firstLine="480" w:firstLineChars="200"/>
        <w:jc w:val="center"/>
        <w:rPr>
          <w:rFonts w:hint="eastAsia"/>
          <w:b/>
          <w:bCs/>
          <w:color w:val="auto"/>
          <w:sz w:val="24"/>
          <w:szCs w:val="24"/>
          <w:highlight w:val="none"/>
        </w:rPr>
      </w:pPr>
    </w:p>
    <w:p>
      <w:pPr>
        <w:pStyle w:val="15"/>
        <w:spacing w:line="360" w:lineRule="auto"/>
        <w:ind w:firstLine="801" w:firstLineChars="200"/>
        <w:jc w:val="center"/>
        <w:rPr>
          <w:rFonts w:hint="eastAsia" w:ascii="宋体" w:hAnsi="宋体" w:eastAsia="宋体" w:cs="宋体"/>
          <w:b/>
          <w:bCs/>
          <w:color w:val="auto"/>
          <w:sz w:val="40"/>
          <w:szCs w:val="40"/>
          <w:highlight w:val="none"/>
          <w:lang w:val="en-US" w:eastAsia="zh-Hans"/>
        </w:rPr>
      </w:pPr>
      <w:r>
        <w:rPr>
          <w:rFonts w:hint="eastAsia" w:ascii="宋体" w:hAnsi="宋体" w:eastAsia="宋体" w:cs="宋体"/>
          <w:b/>
          <w:bCs/>
          <w:color w:val="auto"/>
          <w:sz w:val="40"/>
          <w:szCs w:val="40"/>
          <w:highlight w:val="none"/>
          <w:lang w:val="en-US" w:eastAsia="zh-Hans"/>
        </w:rPr>
        <w:t>七、监理大纲</w:t>
      </w:r>
      <w:bookmarkEnd w:id="268"/>
      <w:bookmarkEnd w:id="269"/>
    </w:p>
    <w:p>
      <w:pPr>
        <w:jc w:val="center"/>
        <w:rPr>
          <w:rFonts w:hint="eastAsia" w:ascii="宋体" w:hAnsi="宋体" w:cs="宋体"/>
          <w:color w:val="auto"/>
          <w:sz w:val="48"/>
          <w:szCs w:val="56"/>
          <w:highlight w:val="none"/>
        </w:rPr>
      </w:pPr>
      <w:r>
        <w:rPr>
          <w:rFonts w:hint="eastAsia" w:ascii="宋体" w:hAnsi="宋体" w:cs="宋体"/>
          <w:color w:val="auto"/>
          <w:sz w:val="48"/>
          <w:szCs w:val="56"/>
          <w:highlight w:val="none"/>
          <w:lang w:val="en-US" w:eastAsia="zh-Hans"/>
        </w:rPr>
        <w:t>格式自拟</w:t>
      </w:r>
    </w:p>
    <w:p>
      <w:pPr>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pPr>
        <w:jc w:val="center"/>
        <w:rPr>
          <w:rFonts w:hint="eastAsia" w:ascii="宋体" w:hAnsi="宋体" w:cs="宋体"/>
          <w:b/>
          <w:color w:val="auto"/>
          <w:sz w:val="32"/>
          <w:szCs w:val="20"/>
          <w:highlight w:val="none"/>
        </w:rPr>
      </w:pPr>
      <w:bookmarkStart w:id="270" w:name="_Toc4080695"/>
      <w:r>
        <w:rPr>
          <w:rFonts w:hint="eastAsia" w:ascii="宋体" w:hAnsi="宋体" w:cs="宋体"/>
          <w:b/>
          <w:bCs/>
          <w:color w:val="auto"/>
          <w:kern w:val="0"/>
          <w:sz w:val="28"/>
          <w:szCs w:val="20"/>
          <w:highlight w:val="none"/>
          <w:lang w:val="en-US" w:eastAsia="zh-Hans"/>
        </w:rPr>
        <w:t>八</w:t>
      </w:r>
      <w:r>
        <w:rPr>
          <w:rFonts w:hint="eastAsia" w:ascii="宋体" w:hAnsi="宋体" w:cs="宋体"/>
          <w:b/>
          <w:bCs/>
          <w:color w:val="auto"/>
          <w:kern w:val="0"/>
          <w:sz w:val="28"/>
          <w:szCs w:val="20"/>
          <w:highlight w:val="none"/>
        </w:rPr>
        <w:t>、其他资料</w:t>
      </w:r>
      <w:bookmarkEnd w:id="270"/>
    </w:p>
    <w:p>
      <w:pPr>
        <w:pStyle w:val="5"/>
        <w:keepNext w:val="0"/>
        <w:ind w:firstLine="137"/>
        <w:rPr>
          <w:rFonts w:hint="eastAsia" w:ascii="宋体" w:hAnsi="宋体" w:eastAsia="宋体" w:cs="宋体"/>
          <w:b/>
          <w:bCs/>
          <w:color w:val="auto"/>
          <w:kern w:val="0"/>
          <w:szCs w:val="24"/>
          <w:highlight w:val="none"/>
        </w:rPr>
      </w:pPr>
      <w:r>
        <w:rPr>
          <w:rFonts w:hint="eastAsia" w:ascii="宋体" w:hAnsi="宋体" w:eastAsia="宋体" w:cs="宋体"/>
          <w:color w:val="auto"/>
          <w:kern w:val="2"/>
          <w:sz w:val="21"/>
          <w:szCs w:val="21"/>
          <w:highlight w:val="none"/>
        </w:rPr>
        <w:t>注：投标人根据招标文件内容及企业自身情况，自行确定提供满足本项目评审要求的其他资料。</w:t>
      </w:r>
    </w:p>
    <w:p>
      <w:pPr>
        <w:pStyle w:val="5"/>
        <w:keepNext w:val="0"/>
        <w:ind w:firstLine="137"/>
        <w:rPr>
          <w:rFonts w:hint="eastAsia" w:ascii="宋体" w:hAnsi="宋体" w:eastAsia="宋体" w:cs="宋体"/>
          <w:color w:val="auto"/>
          <w:highlight w:val="none"/>
        </w:rPr>
      </w:pPr>
      <w:r>
        <w:rPr>
          <w:rFonts w:hint="eastAsia" w:ascii="宋体" w:hAnsi="宋体" w:eastAsia="宋体" w:cs="宋体"/>
          <w:b/>
          <w:bCs/>
          <w:color w:val="auto"/>
          <w:kern w:val="0"/>
          <w:szCs w:val="24"/>
          <w:highlight w:val="none"/>
        </w:rPr>
        <w:br w:type="page"/>
      </w:r>
      <w:r>
        <w:rPr>
          <w:rFonts w:hint="eastAsia" w:ascii="宋体" w:hAnsi="宋体" w:eastAsia="宋体" w:cs="宋体"/>
          <w:b/>
          <w:bCs/>
          <w:color w:val="auto"/>
          <w:kern w:val="0"/>
          <w:szCs w:val="24"/>
          <w:highlight w:val="none"/>
        </w:rPr>
        <w:t>（一）近年完成的类似项目情况表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bl>
    <w:p>
      <w:pPr>
        <w:spacing w:line="440" w:lineRule="exact"/>
        <w:rPr>
          <w:rFonts w:hint="eastAsia" w:ascii="宋体" w:hAnsi="宋体" w:cs="宋体"/>
          <w:color w:val="auto"/>
          <w:highlight w:val="none"/>
        </w:rPr>
      </w:pPr>
      <w:r>
        <w:rPr>
          <w:rFonts w:hint="eastAsia" w:ascii="宋体" w:hAnsi="宋体" w:cs="宋体"/>
          <w:color w:val="auto"/>
          <w:highlight w:val="none"/>
        </w:rPr>
        <w:t>注：投标人应根据投标人须知第3.5.3项的要求在本表后附相关证明材料。</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pStyle w:val="5"/>
        <w:keepNext w:val="0"/>
        <w:ind w:firstLine="137"/>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4"/>
          <w:highlight w:val="none"/>
        </w:rPr>
        <w:t>（二）正在监理和新承接的项目情况表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委托人地址</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委托人电话</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监理服务期限</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监理内容</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总监理工程师</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p>
            <w:pPr>
              <w:topLinePunct/>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rFonts w:hint="eastAsia" w:ascii="宋体" w:hAnsi="宋体" w:cs="宋体"/>
                <w:color w:val="auto"/>
                <w:highlight w:val="none"/>
              </w:rPr>
            </w:pPr>
          </w:p>
        </w:tc>
      </w:tr>
    </w:tbl>
    <w:p>
      <w:pPr>
        <w:spacing w:line="440" w:lineRule="exact"/>
        <w:rPr>
          <w:rFonts w:hint="eastAsia" w:ascii="宋体" w:hAnsi="宋体" w:cs="宋体"/>
          <w:color w:val="auto"/>
          <w:highlight w:val="none"/>
        </w:rPr>
      </w:pPr>
      <w:r>
        <w:rPr>
          <w:rFonts w:hint="eastAsia" w:ascii="宋体" w:hAnsi="宋体" w:cs="宋体"/>
          <w:color w:val="auto"/>
          <w:highlight w:val="none"/>
        </w:rPr>
        <w:t>注：投标人应根据投标人须知第3.5.4项的要求在本表后附相关证明材料。</w:t>
      </w:r>
    </w:p>
    <w:p>
      <w:pPr>
        <w:spacing w:line="440" w:lineRule="exact"/>
        <w:rPr>
          <w:rFonts w:hint="eastAsia" w:ascii="宋体" w:hAnsi="宋体" w:cs="宋体"/>
          <w:color w:val="auto"/>
          <w:highlight w:val="none"/>
        </w:rPr>
      </w:pPr>
      <w:r>
        <w:rPr>
          <w:rFonts w:hint="eastAsia" w:ascii="宋体" w:hAnsi="宋体" w:cs="宋体"/>
          <w:b/>
          <w:bCs/>
          <w:color w:val="auto"/>
          <w:kern w:val="0"/>
          <w:sz w:val="24"/>
          <w:highlight w:val="none"/>
        </w:rPr>
        <w:br w:type="page"/>
      </w:r>
      <w:r>
        <w:rPr>
          <w:rFonts w:hint="eastAsia" w:ascii="宋体" w:hAnsi="宋体" w:cs="宋体"/>
          <w:b/>
          <w:bCs/>
          <w:color w:val="auto"/>
          <w:kern w:val="0"/>
          <w:sz w:val="24"/>
          <w:highlight w:val="none"/>
        </w:rPr>
        <w:t>（三）拟委任的主要人员汇总表</w:t>
      </w:r>
    </w:p>
    <w:tbl>
      <w:tblPr>
        <w:tblStyle w:val="1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Merge w:val="restart"/>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275" w:type="dxa"/>
            <w:vMerge w:val="restart"/>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本项目任职</w:t>
            </w:r>
          </w:p>
        </w:tc>
        <w:tc>
          <w:tcPr>
            <w:tcW w:w="992" w:type="dxa"/>
            <w:vMerge w:val="restart"/>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603" w:type="dxa"/>
            <w:vMerge w:val="restart"/>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488" w:type="dxa"/>
            <w:vMerge w:val="restart"/>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专业</w:t>
            </w:r>
          </w:p>
        </w:tc>
        <w:tc>
          <w:tcPr>
            <w:tcW w:w="2714" w:type="dxa"/>
            <w:gridSpan w:val="3"/>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执业或职业资格证明</w:t>
            </w:r>
          </w:p>
        </w:tc>
        <w:tc>
          <w:tcPr>
            <w:tcW w:w="1134"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vMerge w:val="continue"/>
            <w:noWrap w:val="0"/>
            <w:vAlign w:val="center"/>
          </w:tcPr>
          <w:p>
            <w:pPr>
              <w:rPr>
                <w:rFonts w:hint="eastAsia" w:ascii="宋体" w:hAnsi="宋体" w:cs="宋体"/>
                <w:color w:val="auto"/>
                <w:highlight w:val="none"/>
              </w:rPr>
            </w:pPr>
          </w:p>
        </w:tc>
        <w:tc>
          <w:tcPr>
            <w:tcW w:w="1275" w:type="dxa"/>
            <w:vMerge w:val="continue"/>
            <w:noWrap w:val="0"/>
            <w:vAlign w:val="top"/>
          </w:tcPr>
          <w:p>
            <w:pPr>
              <w:rPr>
                <w:rFonts w:hint="eastAsia" w:ascii="宋体" w:hAnsi="宋体" w:cs="宋体"/>
                <w:color w:val="auto"/>
                <w:highlight w:val="none"/>
              </w:rPr>
            </w:pPr>
          </w:p>
        </w:tc>
        <w:tc>
          <w:tcPr>
            <w:tcW w:w="992" w:type="dxa"/>
            <w:vMerge w:val="continue"/>
            <w:noWrap w:val="0"/>
            <w:vAlign w:val="center"/>
          </w:tcPr>
          <w:p>
            <w:pPr>
              <w:rPr>
                <w:rFonts w:hint="eastAsia" w:ascii="宋体" w:hAnsi="宋体" w:cs="宋体"/>
                <w:color w:val="auto"/>
                <w:highlight w:val="none"/>
              </w:rPr>
            </w:pPr>
          </w:p>
        </w:tc>
        <w:tc>
          <w:tcPr>
            <w:tcW w:w="603" w:type="dxa"/>
            <w:vMerge w:val="continue"/>
            <w:noWrap w:val="0"/>
            <w:vAlign w:val="center"/>
          </w:tcPr>
          <w:p>
            <w:pPr>
              <w:rPr>
                <w:rFonts w:hint="eastAsia" w:ascii="宋体" w:hAnsi="宋体" w:cs="宋体"/>
                <w:color w:val="auto"/>
                <w:highlight w:val="none"/>
              </w:rPr>
            </w:pPr>
          </w:p>
        </w:tc>
        <w:tc>
          <w:tcPr>
            <w:tcW w:w="488" w:type="dxa"/>
            <w:vMerge w:val="continue"/>
            <w:noWrap w:val="0"/>
            <w:vAlign w:val="center"/>
          </w:tcPr>
          <w:p>
            <w:pPr>
              <w:rPr>
                <w:rFonts w:hint="eastAsia" w:ascii="宋体" w:hAnsi="宋体" w:cs="宋体"/>
                <w:color w:val="auto"/>
                <w:highlight w:val="none"/>
              </w:rPr>
            </w:pPr>
          </w:p>
        </w:tc>
        <w:tc>
          <w:tcPr>
            <w:tcW w:w="1134"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证书名称</w:t>
            </w:r>
          </w:p>
        </w:tc>
        <w:tc>
          <w:tcPr>
            <w:tcW w:w="709"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级别</w:t>
            </w:r>
          </w:p>
        </w:tc>
        <w:tc>
          <w:tcPr>
            <w:tcW w:w="871"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证号</w:t>
            </w:r>
          </w:p>
        </w:tc>
        <w:tc>
          <w:tcPr>
            <w:tcW w:w="1134"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center"/>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center"/>
          </w:tcPr>
          <w:p>
            <w:pPr>
              <w:spacing w:line="440" w:lineRule="exact"/>
              <w:jc w:val="center"/>
              <w:rPr>
                <w:rFonts w:hint="eastAsia" w:ascii="宋体" w:hAnsi="宋体" w:cs="宋体"/>
                <w:color w:val="auto"/>
                <w:highlight w:val="none"/>
              </w:rPr>
            </w:pPr>
          </w:p>
        </w:tc>
        <w:tc>
          <w:tcPr>
            <w:tcW w:w="603" w:type="dxa"/>
            <w:noWrap w:val="0"/>
            <w:vAlign w:val="center"/>
          </w:tcPr>
          <w:p>
            <w:pPr>
              <w:spacing w:line="440" w:lineRule="exact"/>
              <w:jc w:val="center"/>
              <w:rPr>
                <w:rFonts w:hint="eastAsia" w:ascii="宋体" w:hAnsi="宋体" w:cs="宋体"/>
                <w:color w:val="auto"/>
                <w:highlight w:val="none"/>
              </w:rPr>
            </w:pPr>
          </w:p>
        </w:tc>
        <w:tc>
          <w:tcPr>
            <w:tcW w:w="488" w:type="dxa"/>
            <w:noWrap w:val="0"/>
            <w:vAlign w:val="center"/>
          </w:tcPr>
          <w:p>
            <w:pPr>
              <w:spacing w:line="440" w:lineRule="exact"/>
              <w:jc w:val="center"/>
              <w:rPr>
                <w:rFonts w:hint="eastAsia" w:ascii="宋体" w:hAnsi="宋体" w:cs="宋体"/>
                <w:color w:val="auto"/>
                <w:highlight w:val="none"/>
              </w:rPr>
            </w:pPr>
          </w:p>
        </w:tc>
        <w:tc>
          <w:tcPr>
            <w:tcW w:w="1134" w:type="dxa"/>
            <w:noWrap w:val="0"/>
            <w:vAlign w:val="center"/>
          </w:tcPr>
          <w:p>
            <w:pPr>
              <w:spacing w:line="440" w:lineRule="exact"/>
              <w:jc w:val="center"/>
              <w:rPr>
                <w:rFonts w:hint="eastAsia" w:ascii="宋体" w:hAnsi="宋体" w:cs="宋体"/>
                <w:color w:val="auto"/>
                <w:highlight w:val="none"/>
              </w:rPr>
            </w:pPr>
          </w:p>
        </w:tc>
        <w:tc>
          <w:tcPr>
            <w:tcW w:w="709" w:type="dxa"/>
            <w:noWrap w:val="0"/>
            <w:vAlign w:val="center"/>
          </w:tcPr>
          <w:p>
            <w:pPr>
              <w:spacing w:line="440" w:lineRule="exact"/>
              <w:jc w:val="center"/>
              <w:rPr>
                <w:rFonts w:hint="eastAsia" w:ascii="宋体" w:hAnsi="宋体" w:cs="宋体"/>
                <w:color w:val="auto"/>
                <w:highlight w:val="none"/>
              </w:rPr>
            </w:pPr>
          </w:p>
        </w:tc>
        <w:tc>
          <w:tcPr>
            <w:tcW w:w="871" w:type="dxa"/>
            <w:noWrap w:val="0"/>
            <w:vAlign w:val="center"/>
          </w:tcPr>
          <w:p>
            <w:pPr>
              <w:spacing w:line="440" w:lineRule="exact"/>
              <w:jc w:val="center"/>
              <w:rPr>
                <w:rFonts w:hint="eastAsia" w:ascii="宋体" w:hAnsi="宋体" w:cs="宋体"/>
                <w:color w:val="auto"/>
                <w:highlight w:val="none"/>
              </w:rPr>
            </w:pPr>
          </w:p>
        </w:tc>
        <w:tc>
          <w:tcPr>
            <w:tcW w:w="1134"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top"/>
          </w:tcPr>
          <w:p>
            <w:pPr>
              <w:spacing w:line="440" w:lineRule="exact"/>
              <w:jc w:val="center"/>
              <w:rPr>
                <w:rFonts w:hint="eastAsia" w:ascii="宋体" w:hAnsi="宋体" w:cs="宋体"/>
                <w:color w:val="auto"/>
                <w:highlight w:val="none"/>
              </w:rPr>
            </w:pPr>
          </w:p>
        </w:tc>
        <w:tc>
          <w:tcPr>
            <w:tcW w:w="1275" w:type="dxa"/>
            <w:noWrap w:val="0"/>
            <w:vAlign w:val="top"/>
          </w:tcPr>
          <w:p>
            <w:pPr>
              <w:spacing w:line="440" w:lineRule="exact"/>
              <w:jc w:val="center"/>
              <w:rPr>
                <w:rFonts w:hint="eastAsia" w:ascii="宋体" w:hAnsi="宋体" w:cs="宋体"/>
                <w:color w:val="auto"/>
                <w:highlight w:val="none"/>
              </w:rPr>
            </w:pPr>
          </w:p>
        </w:tc>
        <w:tc>
          <w:tcPr>
            <w:tcW w:w="992" w:type="dxa"/>
            <w:noWrap w:val="0"/>
            <w:vAlign w:val="top"/>
          </w:tcPr>
          <w:p>
            <w:pPr>
              <w:spacing w:line="440" w:lineRule="exact"/>
              <w:jc w:val="center"/>
              <w:rPr>
                <w:rFonts w:hint="eastAsia" w:ascii="宋体" w:hAnsi="宋体" w:cs="宋体"/>
                <w:color w:val="auto"/>
                <w:highlight w:val="none"/>
              </w:rPr>
            </w:pPr>
          </w:p>
        </w:tc>
        <w:tc>
          <w:tcPr>
            <w:tcW w:w="603" w:type="dxa"/>
            <w:noWrap w:val="0"/>
            <w:vAlign w:val="top"/>
          </w:tcPr>
          <w:p>
            <w:pPr>
              <w:spacing w:line="440" w:lineRule="exact"/>
              <w:jc w:val="center"/>
              <w:rPr>
                <w:rFonts w:hint="eastAsia" w:ascii="宋体" w:hAnsi="宋体" w:cs="宋体"/>
                <w:color w:val="auto"/>
                <w:highlight w:val="none"/>
              </w:rPr>
            </w:pPr>
          </w:p>
        </w:tc>
        <w:tc>
          <w:tcPr>
            <w:tcW w:w="488"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c>
          <w:tcPr>
            <w:tcW w:w="709" w:type="dxa"/>
            <w:noWrap w:val="0"/>
            <w:vAlign w:val="top"/>
          </w:tcPr>
          <w:p>
            <w:pPr>
              <w:spacing w:line="440" w:lineRule="exact"/>
              <w:jc w:val="center"/>
              <w:rPr>
                <w:rFonts w:hint="eastAsia" w:ascii="宋体" w:hAnsi="宋体" w:cs="宋体"/>
                <w:color w:val="auto"/>
                <w:highlight w:val="none"/>
              </w:rPr>
            </w:pPr>
          </w:p>
        </w:tc>
        <w:tc>
          <w:tcPr>
            <w:tcW w:w="871" w:type="dxa"/>
            <w:noWrap w:val="0"/>
            <w:vAlign w:val="top"/>
          </w:tcPr>
          <w:p>
            <w:pPr>
              <w:spacing w:line="440" w:lineRule="exact"/>
              <w:jc w:val="center"/>
              <w:rPr>
                <w:rFonts w:hint="eastAsia" w:ascii="宋体" w:hAnsi="宋体" w:cs="宋体"/>
                <w:color w:val="auto"/>
                <w:highlight w:val="none"/>
              </w:rPr>
            </w:pPr>
          </w:p>
        </w:tc>
        <w:tc>
          <w:tcPr>
            <w:tcW w:w="1134" w:type="dxa"/>
            <w:noWrap w:val="0"/>
            <w:vAlign w:val="top"/>
          </w:tcPr>
          <w:p>
            <w:pPr>
              <w:spacing w:line="440" w:lineRule="exact"/>
              <w:jc w:val="center"/>
              <w:rPr>
                <w:rFonts w:hint="eastAsia" w:ascii="宋体" w:hAnsi="宋体" w:cs="宋体"/>
                <w:color w:val="auto"/>
                <w:highlight w:val="none"/>
              </w:rPr>
            </w:pPr>
          </w:p>
        </w:tc>
      </w:tr>
    </w:tbl>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pStyle w:val="5"/>
        <w:keepNext w:val="0"/>
        <w:ind w:firstLine="137"/>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4"/>
          <w:highlight w:val="none"/>
        </w:rPr>
        <w:t>（四）主要人员简历表</w:t>
      </w:r>
    </w:p>
    <w:p>
      <w:pPr>
        <w:topLinePunct/>
        <w:spacing w:line="440" w:lineRule="exact"/>
        <w:jc w:val="center"/>
        <w:rPr>
          <w:rFonts w:hint="eastAsia" w:ascii="宋体" w:hAnsi="宋体" w:cs="宋体"/>
          <w:color w:val="auto"/>
          <w:sz w:val="23"/>
          <w:highlight w:val="none"/>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1187"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048" w:type="dxa"/>
            <w:gridSpan w:val="2"/>
            <w:noWrap w:val="0"/>
            <w:vAlign w:val="center"/>
          </w:tcPr>
          <w:p>
            <w:pPr>
              <w:spacing w:line="440" w:lineRule="exact"/>
              <w:jc w:val="center"/>
              <w:rPr>
                <w:rFonts w:hint="eastAsia" w:ascii="宋体" w:hAnsi="宋体" w:cs="宋体"/>
                <w:color w:val="auto"/>
                <w:highlight w:val="none"/>
              </w:rPr>
            </w:pPr>
          </w:p>
        </w:tc>
        <w:tc>
          <w:tcPr>
            <w:tcW w:w="958"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年龄</w:t>
            </w:r>
          </w:p>
        </w:tc>
        <w:tc>
          <w:tcPr>
            <w:tcW w:w="1065" w:type="dxa"/>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执业资格证书（或上岗证书）名称</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187" w:type="dxa"/>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48" w:type="dxa"/>
            <w:gridSpan w:val="2"/>
            <w:noWrap w:val="0"/>
            <w:vAlign w:val="center"/>
          </w:tcPr>
          <w:p>
            <w:pPr>
              <w:spacing w:line="440" w:lineRule="exact"/>
              <w:jc w:val="center"/>
              <w:rPr>
                <w:rFonts w:hint="eastAsia" w:ascii="宋体" w:hAnsi="宋体" w:cs="宋体"/>
                <w:color w:val="auto"/>
                <w:highlight w:val="none"/>
              </w:rPr>
            </w:pPr>
          </w:p>
        </w:tc>
        <w:tc>
          <w:tcPr>
            <w:tcW w:w="958"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学历</w:t>
            </w:r>
          </w:p>
        </w:tc>
        <w:tc>
          <w:tcPr>
            <w:tcW w:w="1065" w:type="dxa"/>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拟在本项目任职</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187"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工作年限</w:t>
            </w:r>
          </w:p>
        </w:tc>
        <w:tc>
          <w:tcPr>
            <w:tcW w:w="3071" w:type="dxa"/>
            <w:gridSpan w:val="4"/>
            <w:noWrap w:val="0"/>
            <w:vAlign w:val="center"/>
          </w:tcPr>
          <w:p>
            <w:pPr>
              <w:spacing w:line="440" w:lineRule="exact"/>
              <w:jc w:val="center"/>
              <w:rPr>
                <w:rFonts w:hint="eastAsia" w:ascii="宋体" w:hAnsi="宋体" w:cs="宋体"/>
                <w:color w:val="auto"/>
                <w:highlight w:val="none"/>
              </w:rPr>
            </w:pPr>
          </w:p>
        </w:tc>
        <w:tc>
          <w:tcPr>
            <w:tcW w:w="2368" w:type="dxa"/>
            <w:gridSpan w:val="3"/>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从事监理工作年限</w:t>
            </w:r>
          </w:p>
        </w:tc>
        <w:tc>
          <w:tcPr>
            <w:tcW w:w="1896" w:type="dxa"/>
            <w:noWrap w:val="0"/>
            <w:vAlign w:val="center"/>
          </w:tcPr>
          <w:p>
            <w:pPr>
              <w:spacing w:line="440" w:lineRule="exac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1187"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毕业学校</w:t>
            </w:r>
          </w:p>
        </w:tc>
        <w:tc>
          <w:tcPr>
            <w:tcW w:w="7335" w:type="dxa"/>
            <w:gridSpan w:val="8"/>
            <w:noWrap w:val="0"/>
            <w:vAlign w:val="center"/>
          </w:tcPr>
          <w:p>
            <w:pPr>
              <w:spacing w:before="100" w:beforeAutospacing="1" w:after="100" w:afterAutospacing="1" w:line="440" w:lineRule="exact"/>
              <w:ind w:firstLine="1155" w:firstLineChars="550"/>
              <w:rPr>
                <w:rFonts w:hint="eastAsia" w:ascii="宋体" w:hAnsi="宋体" w:cs="宋体"/>
                <w:color w:val="auto"/>
                <w:highlight w:val="none"/>
              </w:rPr>
            </w:pPr>
            <w:r>
              <w:rPr>
                <w:rFonts w:hint="eastAsia" w:ascii="宋体" w:hAnsi="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8522" w:type="dxa"/>
            <w:gridSpan w:val="9"/>
            <w:noWrap w:val="0"/>
            <w:vAlign w:val="center"/>
          </w:tcPr>
          <w:p>
            <w:pPr>
              <w:spacing w:before="100" w:beforeAutospacing="1" w:after="100" w:afterAutospacing="1" w:line="440" w:lineRule="exact"/>
              <w:jc w:val="left"/>
              <w:rPr>
                <w:rFonts w:hint="eastAsia" w:ascii="宋体" w:hAnsi="宋体" w:cs="宋体"/>
                <w:color w:val="auto"/>
                <w:highlight w:val="none"/>
              </w:rPr>
            </w:pPr>
            <w:r>
              <w:rPr>
                <w:rFonts w:hint="eastAsia" w:ascii="宋体" w:hAnsi="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1544" w:type="dxa"/>
            <w:gridSpan w:val="2"/>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时  间</w:t>
            </w:r>
          </w:p>
        </w:tc>
        <w:tc>
          <w:tcPr>
            <w:tcW w:w="3420" w:type="dxa"/>
            <w:gridSpan w:val="4"/>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参加过的类似项目</w:t>
            </w:r>
          </w:p>
        </w:tc>
        <w:tc>
          <w:tcPr>
            <w:tcW w:w="1261" w:type="dxa"/>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担任职务</w:t>
            </w:r>
          </w:p>
        </w:tc>
        <w:tc>
          <w:tcPr>
            <w:tcW w:w="2297" w:type="dxa"/>
            <w:gridSpan w:val="2"/>
            <w:noWrap w:val="0"/>
            <w:vAlign w:val="center"/>
          </w:tcPr>
          <w:p>
            <w:pPr>
              <w:spacing w:before="100" w:beforeAutospacing="1" w:after="100" w:afterAutospacing="1" w:line="440" w:lineRule="exact"/>
              <w:jc w:val="center"/>
              <w:rPr>
                <w:rFonts w:hint="eastAsia" w:ascii="宋体" w:hAnsi="宋体" w:cs="宋体"/>
                <w:color w:val="auto"/>
                <w:highlight w:val="none"/>
              </w:rPr>
            </w:pPr>
            <w:r>
              <w:rPr>
                <w:rFonts w:hint="eastAsia" w:ascii="宋体" w:hAnsi="宋体" w:cs="宋体"/>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top"/>
          </w:tcPr>
          <w:p>
            <w:pPr>
              <w:spacing w:line="440" w:lineRule="exact"/>
              <w:rPr>
                <w:rFonts w:hint="eastAsia" w:ascii="宋体" w:hAnsi="宋体" w:cs="宋体"/>
                <w:color w:val="auto"/>
                <w:highlight w:val="none"/>
              </w:rPr>
            </w:pPr>
          </w:p>
        </w:tc>
        <w:tc>
          <w:tcPr>
            <w:tcW w:w="3420" w:type="dxa"/>
            <w:gridSpan w:val="4"/>
            <w:noWrap w:val="0"/>
            <w:vAlign w:val="top"/>
          </w:tcPr>
          <w:p>
            <w:pPr>
              <w:spacing w:line="440" w:lineRule="exact"/>
              <w:rPr>
                <w:rFonts w:hint="eastAsia" w:ascii="宋体" w:hAnsi="宋体" w:cs="宋体"/>
                <w:color w:val="auto"/>
                <w:highlight w:val="none"/>
              </w:rPr>
            </w:pPr>
          </w:p>
        </w:tc>
        <w:tc>
          <w:tcPr>
            <w:tcW w:w="1261" w:type="dxa"/>
            <w:noWrap w:val="0"/>
            <w:vAlign w:val="top"/>
          </w:tcPr>
          <w:p>
            <w:pPr>
              <w:spacing w:line="440" w:lineRule="exact"/>
              <w:rPr>
                <w:rFonts w:hint="eastAsia" w:ascii="宋体" w:hAnsi="宋体" w:cs="宋体"/>
                <w:color w:val="auto"/>
                <w:highlight w:val="none"/>
              </w:rPr>
            </w:pPr>
          </w:p>
        </w:tc>
        <w:tc>
          <w:tcPr>
            <w:tcW w:w="2297" w:type="dxa"/>
            <w:gridSpan w:val="2"/>
            <w:noWrap w:val="0"/>
            <w:vAlign w:val="top"/>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4" w:type="dxa"/>
            <w:gridSpan w:val="2"/>
            <w:noWrap w:val="0"/>
            <w:vAlign w:val="center"/>
          </w:tcPr>
          <w:p>
            <w:pPr>
              <w:spacing w:line="440" w:lineRule="exact"/>
              <w:rPr>
                <w:rFonts w:hint="eastAsia" w:ascii="宋体" w:hAnsi="宋体" w:cs="宋体"/>
                <w:color w:val="auto"/>
                <w:highlight w:val="none"/>
              </w:rPr>
            </w:pPr>
          </w:p>
        </w:tc>
        <w:tc>
          <w:tcPr>
            <w:tcW w:w="3420" w:type="dxa"/>
            <w:gridSpan w:val="4"/>
            <w:noWrap w:val="0"/>
            <w:vAlign w:val="center"/>
          </w:tcPr>
          <w:p>
            <w:pPr>
              <w:spacing w:line="440" w:lineRule="exact"/>
              <w:rPr>
                <w:rFonts w:hint="eastAsia" w:ascii="宋体" w:hAnsi="宋体" w:cs="宋体"/>
                <w:color w:val="auto"/>
                <w:highlight w:val="none"/>
              </w:rPr>
            </w:pPr>
          </w:p>
        </w:tc>
        <w:tc>
          <w:tcPr>
            <w:tcW w:w="1261" w:type="dxa"/>
            <w:noWrap w:val="0"/>
            <w:vAlign w:val="center"/>
          </w:tcPr>
          <w:p>
            <w:pPr>
              <w:spacing w:line="440" w:lineRule="exact"/>
              <w:rPr>
                <w:rFonts w:hint="eastAsia" w:ascii="宋体" w:hAnsi="宋体" w:cs="宋体"/>
                <w:color w:val="auto"/>
                <w:highlight w:val="none"/>
              </w:rPr>
            </w:pPr>
          </w:p>
        </w:tc>
        <w:tc>
          <w:tcPr>
            <w:tcW w:w="2297" w:type="dxa"/>
            <w:gridSpan w:val="2"/>
            <w:noWrap w:val="0"/>
            <w:vAlign w:val="center"/>
          </w:tcPr>
          <w:p>
            <w:pPr>
              <w:spacing w:line="440" w:lineRule="exact"/>
              <w:rPr>
                <w:rFonts w:hint="eastAsia" w:ascii="宋体" w:hAnsi="宋体" w:cs="宋体"/>
                <w:color w:val="auto"/>
                <w:highlight w:val="none"/>
              </w:rPr>
            </w:pPr>
          </w:p>
        </w:tc>
      </w:tr>
    </w:tbl>
    <w:p>
      <w:pPr>
        <w:spacing w:line="440" w:lineRule="exact"/>
        <w:rPr>
          <w:rFonts w:hint="eastAsia" w:ascii="宋体" w:hAnsi="宋体" w:cs="宋体"/>
          <w:color w:val="auto"/>
          <w:highlight w:val="none"/>
        </w:rPr>
      </w:pPr>
      <w:r>
        <w:rPr>
          <w:rFonts w:hint="eastAsia" w:ascii="宋体" w:hAnsi="宋体" w:cs="宋体"/>
          <w:color w:val="auto"/>
          <w:highlight w:val="none"/>
        </w:rPr>
        <w:t>注：投标人应根据投标人须知第3.5.6项的要求在本表后附相关证明材料。</w:t>
      </w: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spacing w:line="440" w:lineRule="exact"/>
        <w:rPr>
          <w:rFonts w:hint="eastAsia" w:ascii="宋体" w:hAnsi="宋体" w:cs="宋体"/>
          <w:color w:val="auto"/>
          <w:highlight w:val="none"/>
        </w:rPr>
      </w:pPr>
    </w:p>
    <w:p>
      <w:pPr>
        <w:pStyle w:val="5"/>
        <w:keepNext w:val="0"/>
        <w:ind w:firstLine="137"/>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Cs w:val="24"/>
          <w:highlight w:val="none"/>
        </w:rPr>
        <w:t>（五）拟投入本项目的主要试验检测仪器设备表</w:t>
      </w:r>
    </w:p>
    <w:tbl>
      <w:tblPr>
        <w:tblStyle w:val="18"/>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5"/>
        <w:gridCol w:w="936"/>
        <w:gridCol w:w="747"/>
        <w:gridCol w:w="850"/>
        <w:gridCol w:w="992"/>
        <w:gridCol w:w="14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728" w:type="dxa"/>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5"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仪器设备</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936"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型号</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规格</w:t>
            </w:r>
          </w:p>
        </w:tc>
        <w:tc>
          <w:tcPr>
            <w:tcW w:w="747"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国别</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92"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制造</w:t>
            </w: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年份</w:t>
            </w:r>
          </w:p>
        </w:tc>
        <w:tc>
          <w:tcPr>
            <w:tcW w:w="1419"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用途</w:t>
            </w:r>
          </w:p>
        </w:tc>
        <w:tc>
          <w:tcPr>
            <w:tcW w:w="1162" w:type="dxa"/>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center"/>
          </w:tcPr>
          <w:p>
            <w:pPr>
              <w:spacing w:line="440" w:lineRule="exact"/>
              <w:jc w:val="center"/>
              <w:rPr>
                <w:rFonts w:hint="eastAsia" w:ascii="宋体" w:hAnsi="宋体" w:cs="宋体"/>
                <w:color w:val="auto"/>
                <w:szCs w:val="21"/>
                <w:highlight w:val="none"/>
              </w:rPr>
            </w:pPr>
          </w:p>
        </w:tc>
        <w:tc>
          <w:tcPr>
            <w:tcW w:w="1275" w:type="dxa"/>
            <w:noWrap w:val="0"/>
            <w:vAlign w:val="center"/>
          </w:tcPr>
          <w:p>
            <w:pPr>
              <w:spacing w:line="440" w:lineRule="exact"/>
              <w:jc w:val="center"/>
              <w:rPr>
                <w:rFonts w:hint="eastAsia" w:ascii="宋体" w:hAnsi="宋体" w:cs="宋体"/>
                <w:color w:val="auto"/>
                <w:szCs w:val="21"/>
                <w:highlight w:val="none"/>
              </w:rPr>
            </w:pPr>
          </w:p>
        </w:tc>
        <w:tc>
          <w:tcPr>
            <w:tcW w:w="936" w:type="dxa"/>
            <w:noWrap w:val="0"/>
            <w:vAlign w:val="center"/>
          </w:tcPr>
          <w:p>
            <w:pPr>
              <w:spacing w:line="440" w:lineRule="exact"/>
              <w:jc w:val="center"/>
              <w:rPr>
                <w:rFonts w:hint="eastAsia" w:ascii="宋体" w:hAnsi="宋体" w:cs="宋体"/>
                <w:color w:val="auto"/>
                <w:szCs w:val="21"/>
                <w:highlight w:val="none"/>
              </w:rPr>
            </w:pPr>
          </w:p>
        </w:tc>
        <w:tc>
          <w:tcPr>
            <w:tcW w:w="747" w:type="dxa"/>
            <w:noWrap w:val="0"/>
            <w:vAlign w:val="center"/>
          </w:tcPr>
          <w:p>
            <w:pPr>
              <w:spacing w:line="440" w:lineRule="exact"/>
              <w:jc w:val="center"/>
              <w:rPr>
                <w:rFonts w:hint="eastAsia" w:ascii="宋体" w:hAnsi="宋体" w:cs="宋体"/>
                <w:color w:val="auto"/>
                <w:szCs w:val="21"/>
                <w:highlight w:val="none"/>
              </w:rPr>
            </w:pPr>
          </w:p>
        </w:tc>
        <w:tc>
          <w:tcPr>
            <w:tcW w:w="850" w:type="dxa"/>
            <w:noWrap w:val="0"/>
            <w:vAlign w:val="center"/>
          </w:tcPr>
          <w:p>
            <w:pPr>
              <w:spacing w:line="440" w:lineRule="exact"/>
              <w:jc w:val="center"/>
              <w:rPr>
                <w:rFonts w:hint="eastAsia" w:ascii="宋体" w:hAnsi="宋体" w:cs="宋体"/>
                <w:color w:val="auto"/>
                <w:szCs w:val="21"/>
                <w:highlight w:val="none"/>
              </w:rPr>
            </w:pPr>
          </w:p>
        </w:tc>
        <w:tc>
          <w:tcPr>
            <w:tcW w:w="992" w:type="dxa"/>
            <w:noWrap w:val="0"/>
            <w:vAlign w:val="center"/>
          </w:tcPr>
          <w:p>
            <w:pPr>
              <w:spacing w:line="440" w:lineRule="exact"/>
              <w:jc w:val="center"/>
              <w:rPr>
                <w:rFonts w:hint="eastAsia" w:ascii="宋体" w:hAnsi="宋体" w:cs="宋体"/>
                <w:color w:val="auto"/>
                <w:szCs w:val="21"/>
                <w:highlight w:val="none"/>
              </w:rPr>
            </w:pPr>
          </w:p>
        </w:tc>
        <w:tc>
          <w:tcPr>
            <w:tcW w:w="1419" w:type="dxa"/>
            <w:noWrap w:val="0"/>
            <w:vAlign w:val="center"/>
          </w:tcPr>
          <w:p>
            <w:pPr>
              <w:spacing w:line="440" w:lineRule="exact"/>
              <w:jc w:val="center"/>
              <w:rPr>
                <w:rFonts w:hint="eastAsia" w:ascii="宋体" w:hAnsi="宋体" w:cs="宋体"/>
                <w:color w:val="auto"/>
                <w:szCs w:val="21"/>
                <w:highlight w:val="none"/>
              </w:rPr>
            </w:pPr>
          </w:p>
        </w:tc>
        <w:tc>
          <w:tcPr>
            <w:tcW w:w="1162"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center"/>
          </w:tcPr>
          <w:p>
            <w:pPr>
              <w:spacing w:line="440" w:lineRule="exact"/>
              <w:jc w:val="center"/>
              <w:rPr>
                <w:rFonts w:hint="eastAsia" w:ascii="宋体" w:hAnsi="宋体" w:cs="宋体"/>
                <w:color w:val="auto"/>
                <w:szCs w:val="21"/>
                <w:highlight w:val="none"/>
              </w:rPr>
            </w:pPr>
          </w:p>
        </w:tc>
        <w:tc>
          <w:tcPr>
            <w:tcW w:w="1275" w:type="dxa"/>
            <w:noWrap w:val="0"/>
            <w:vAlign w:val="center"/>
          </w:tcPr>
          <w:p>
            <w:pPr>
              <w:spacing w:line="440" w:lineRule="exact"/>
              <w:jc w:val="center"/>
              <w:rPr>
                <w:rFonts w:hint="eastAsia" w:ascii="宋体" w:hAnsi="宋体" w:cs="宋体"/>
                <w:color w:val="auto"/>
                <w:szCs w:val="21"/>
                <w:highlight w:val="none"/>
              </w:rPr>
            </w:pPr>
          </w:p>
        </w:tc>
        <w:tc>
          <w:tcPr>
            <w:tcW w:w="936" w:type="dxa"/>
            <w:noWrap w:val="0"/>
            <w:vAlign w:val="center"/>
          </w:tcPr>
          <w:p>
            <w:pPr>
              <w:spacing w:line="440" w:lineRule="exact"/>
              <w:jc w:val="center"/>
              <w:rPr>
                <w:rFonts w:hint="eastAsia" w:ascii="宋体" w:hAnsi="宋体" w:cs="宋体"/>
                <w:color w:val="auto"/>
                <w:szCs w:val="21"/>
                <w:highlight w:val="none"/>
              </w:rPr>
            </w:pPr>
          </w:p>
        </w:tc>
        <w:tc>
          <w:tcPr>
            <w:tcW w:w="747" w:type="dxa"/>
            <w:noWrap w:val="0"/>
            <w:vAlign w:val="center"/>
          </w:tcPr>
          <w:p>
            <w:pPr>
              <w:spacing w:line="440" w:lineRule="exact"/>
              <w:jc w:val="center"/>
              <w:rPr>
                <w:rFonts w:hint="eastAsia" w:ascii="宋体" w:hAnsi="宋体" w:cs="宋体"/>
                <w:color w:val="auto"/>
                <w:szCs w:val="21"/>
                <w:highlight w:val="none"/>
              </w:rPr>
            </w:pPr>
          </w:p>
        </w:tc>
        <w:tc>
          <w:tcPr>
            <w:tcW w:w="850" w:type="dxa"/>
            <w:noWrap w:val="0"/>
            <w:vAlign w:val="center"/>
          </w:tcPr>
          <w:p>
            <w:pPr>
              <w:spacing w:line="440" w:lineRule="exact"/>
              <w:jc w:val="center"/>
              <w:rPr>
                <w:rFonts w:hint="eastAsia" w:ascii="宋体" w:hAnsi="宋体" w:cs="宋体"/>
                <w:color w:val="auto"/>
                <w:szCs w:val="21"/>
                <w:highlight w:val="none"/>
              </w:rPr>
            </w:pPr>
          </w:p>
        </w:tc>
        <w:tc>
          <w:tcPr>
            <w:tcW w:w="992" w:type="dxa"/>
            <w:noWrap w:val="0"/>
            <w:vAlign w:val="center"/>
          </w:tcPr>
          <w:p>
            <w:pPr>
              <w:spacing w:line="440" w:lineRule="exact"/>
              <w:jc w:val="center"/>
              <w:rPr>
                <w:rFonts w:hint="eastAsia" w:ascii="宋体" w:hAnsi="宋体" w:cs="宋体"/>
                <w:color w:val="auto"/>
                <w:szCs w:val="21"/>
                <w:highlight w:val="none"/>
              </w:rPr>
            </w:pPr>
          </w:p>
        </w:tc>
        <w:tc>
          <w:tcPr>
            <w:tcW w:w="1419" w:type="dxa"/>
            <w:noWrap w:val="0"/>
            <w:vAlign w:val="center"/>
          </w:tcPr>
          <w:p>
            <w:pPr>
              <w:spacing w:line="440" w:lineRule="exact"/>
              <w:jc w:val="center"/>
              <w:rPr>
                <w:rFonts w:hint="eastAsia" w:ascii="宋体" w:hAnsi="宋体" w:cs="宋体"/>
                <w:color w:val="auto"/>
                <w:szCs w:val="21"/>
                <w:highlight w:val="none"/>
              </w:rPr>
            </w:pPr>
          </w:p>
        </w:tc>
        <w:tc>
          <w:tcPr>
            <w:tcW w:w="1162" w:type="dxa"/>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28" w:type="dxa"/>
            <w:noWrap w:val="0"/>
            <w:vAlign w:val="top"/>
          </w:tcPr>
          <w:p>
            <w:pPr>
              <w:spacing w:line="440" w:lineRule="exact"/>
              <w:jc w:val="center"/>
              <w:rPr>
                <w:rFonts w:hint="eastAsia" w:ascii="宋体" w:hAnsi="宋体" w:cs="宋体"/>
                <w:color w:val="auto"/>
                <w:szCs w:val="21"/>
                <w:highlight w:val="none"/>
              </w:rPr>
            </w:pPr>
          </w:p>
        </w:tc>
        <w:tc>
          <w:tcPr>
            <w:tcW w:w="1275" w:type="dxa"/>
            <w:noWrap w:val="0"/>
            <w:vAlign w:val="top"/>
          </w:tcPr>
          <w:p>
            <w:pPr>
              <w:spacing w:line="440" w:lineRule="exact"/>
              <w:jc w:val="center"/>
              <w:rPr>
                <w:rFonts w:hint="eastAsia" w:ascii="宋体" w:hAnsi="宋体" w:cs="宋体"/>
                <w:color w:val="auto"/>
                <w:szCs w:val="21"/>
                <w:highlight w:val="none"/>
              </w:rPr>
            </w:pPr>
          </w:p>
        </w:tc>
        <w:tc>
          <w:tcPr>
            <w:tcW w:w="936" w:type="dxa"/>
            <w:noWrap w:val="0"/>
            <w:vAlign w:val="top"/>
          </w:tcPr>
          <w:p>
            <w:pPr>
              <w:spacing w:line="440" w:lineRule="exact"/>
              <w:jc w:val="center"/>
              <w:rPr>
                <w:rFonts w:hint="eastAsia" w:ascii="宋体" w:hAnsi="宋体" w:cs="宋体"/>
                <w:color w:val="auto"/>
                <w:szCs w:val="21"/>
                <w:highlight w:val="none"/>
              </w:rPr>
            </w:pPr>
          </w:p>
        </w:tc>
        <w:tc>
          <w:tcPr>
            <w:tcW w:w="747" w:type="dxa"/>
            <w:noWrap w:val="0"/>
            <w:vAlign w:val="top"/>
          </w:tcPr>
          <w:p>
            <w:pPr>
              <w:spacing w:line="440" w:lineRule="exact"/>
              <w:jc w:val="center"/>
              <w:rPr>
                <w:rFonts w:hint="eastAsia" w:ascii="宋体" w:hAnsi="宋体" w:cs="宋体"/>
                <w:color w:val="auto"/>
                <w:szCs w:val="21"/>
                <w:highlight w:val="none"/>
              </w:rPr>
            </w:pPr>
          </w:p>
        </w:tc>
        <w:tc>
          <w:tcPr>
            <w:tcW w:w="850" w:type="dxa"/>
            <w:noWrap w:val="0"/>
            <w:vAlign w:val="top"/>
          </w:tcPr>
          <w:p>
            <w:pPr>
              <w:spacing w:line="440" w:lineRule="exact"/>
              <w:jc w:val="center"/>
              <w:rPr>
                <w:rFonts w:hint="eastAsia" w:ascii="宋体" w:hAnsi="宋体" w:cs="宋体"/>
                <w:color w:val="auto"/>
                <w:szCs w:val="21"/>
                <w:highlight w:val="none"/>
              </w:rPr>
            </w:pPr>
          </w:p>
        </w:tc>
        <w:tc>
          <w:tcPr>
            <w:tcW w:w="992" w:type="dxa"/>
            <w:noWrap w:val="0"/>
            <w:vAlign w:val="top"/>
          </w:tcPr>
          <w:p>
            <w:pPr>
              <w:spacing w:line="440" w:lineRule="exact"/>
              <w:jc w:val="center"/>
              <w:rPr>
                <w:rFonts w:hint="eastAsia" w:ascii="宋体" w:hAnsi="宋体" w:cs="宋体"/>
                <w:color w:val="auto"/>
                <w:szCs w:val="21"/>
                <w:highlight w:val="none"/>
              </w:rPr>
            </w:pPr>
          </w:p>
        </w:tc>
        <w:tc>
          <w:tcPr>
            <w:tcW w:w="1419" w:type="dxa"/>
            <w:noWrap w:val="0"/>
            <w:vAlign w:val="top"/>
          </w:tcPr>
          <w:p>
            <w:pPr>
              <w:spacing w:line="440" w:lineRule="exact"/>
              <w:jc w:val="center"/>
              <w:rPr>
                <w:rFonts w:hint="eastAsia" w:ascii="宋体" w:hAnsi="宋体" w:cs="宋体"/>
                <w:color w:val="auto"/>
                <w:szCs w:val="21"/>
                <w:highlight w:val="none"/>
              </w:rPr>
            </w:pPr>
          </w:p>
        </w:tc>
        <w:tc>
          <w:tcPr>
            <w:tcW w:w="1162" w:type="dxa"/>
            <w:noWrap w:val="0"/>
            <w:vAlign w:val="top"/>
          </w:tcPr>
          <w:p>
            <w:pPr>
              <w:spacing w:line="440" w:lineRule="exact"/>
              <w:jc w:val="center"/>
              <w:rPr>
                <w:rFonts w:hint="eastAsia" w:ascii="宋体" w:hAnsi="宋体" w:cs="宋体"/>
                <w:color w:val="auto"/>
                <w:szCs w:val="21"/>
                <w:highlight w:val="none"/>
              </w:rPr>
            </w:pPr>
          </w:p>
        </w:tc>
      </w:tr>
    </w:tbl>
    <w:p>
      <w:pPr>
        <w:jc w:val="center"/>
        <w:rPr>
          <w:rFonts w:hint="eastAsia" w:ascii="宋体" w:hAnsi="宋体" w:cs="宋体"/>
          <w:color w:val="auto"/>
          <w:szCs w:val="21"/>
          <w:highlight w:val="none"/>
        </w:rPr>
      </w:pPr>
    </w:p>
    <w:p>
      <w:pPr>
        <w:jc w:val="left"/>
        <w:rPr>
          <w:rFonts w:hint="eastAsia" w:ascii="宋体" w:hAnsi="宋体" w:cs="宋体"/>
          <w:color w:val="auto"/>
          <w:szCs w:val="21"/>
          <w:highlight w:val="none"/>
        </w:rPr>
      </w:pPr>
    </w:p>
    <w:p>
      <w:pPr>
        <w:jc w:val="left"/>
        <w:rPr>
          <w:rFonts w:hint="eastAsia" w:ascii="宋体" w:hAnsi="宋体" w:cs="宋体"/>
          <w:b/>
          <w:color w:val="auto"/>
          <w:sz w:val="32"/>
          <w:szCs w:val="20"/>
          <w:highlight w:val="none"/>
        </w:rPr>
      </w:pPr>
    </w:p>
    <w:p>
      <w:pPr>
        <w:jc w:val="center"/>
        <w:rPr>
          <w:rFonts w:hint="eastAsia" w:ascii="宋体" w:hAnsi="宋体" w:cs="宋体"/>
          <w:b/>
          <w:color w:val="auto"/>
          <w:sz w:val="32"/>
          <w:szCs w:val="20"/>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sz w:val="32"/>
          <w:highlight w:val="none"/>
        </w:rPr>
        <w:br w:type="page"/>
      </w:r>
      <w:bookmarkStart w:id="271" w:name="_Toc18500"/>
      <w:r>
        <w:rPr>
          <w:rFonts w:hint="eastAsia" w:ascii="宋体" w:hAnsi="宋体" w:eastAsia="宋体" w:cs="宋体"/>
          <w:color w:val="auto"/>
          <w:highlight w:val="none"/>
        </w:rPr>
        <w:t>第7章 否决性条款汇总</w:t>
      </w:r>
      <w:bookmarkEnd w:id="271"/>
    </w:p>
    <w:p>
      <w:pPr>
        <w:widowControl/>
        <w:spacing w:line="360" w:lineRule="auto"/>
        <w:ind w:firstLine="420" w:firstLineChars="200"/>
        <w:rPr>
          <w:rFonts w:hint="eastAsia" w:ascii="宋体" w:hAnsi="宋体" w:cs="宋体"/>
          <w:bCs/>
          <w:color w:val="auto"/>
          <w:kern w:val="0"/>
          <w:szCs w:val="21"/>
          <w:highlight w:val="none"/>
        </w:rPr>
      </w:pPr>
    </w:p>
    <w:p>
      <w:pPr>
        <w:spacing w:line="360" w:lineRule="auto"/>
        <w:ind w:firstLine="424" w:firstLineChars="202"/>
        <w:rPr>
          <w:rFonts w:hint="eastAsia" w:ascii="宋体" w:hAnsi="宋体" w:cs="宋体"/>
          <w:color w:val="auto"/>
          <w:kern w:val="21"/>
          <w:szCs w:val="21"/>
          <w:highlight w:val="none"/>
        </w:rPr>
      </w:pPr>
      <w:r>
        <w:rPr>
          <w:rFonts w:hint="eastAsia" w:ascii="宋体" w:hAnsi="宋体" w:cs="宋体"/>
          <w:color w:val="auto"/>
          <w:kern w:val="21"/>
          <w:szCs w:val="21"/>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否决性条款指招标文件中规定的拒绝受理或者作无效标以及不合格标处理等否定投标文件效力的条款。</w:t>
      </w:r>
    </w:p>
    <w:p>
      <w:pPr>
        <w:spacing w:line="360" w:lineRule="auto"/>
        <w:ind w:firstLine="425" w:firstLineChars="202"/>
        <w:rPr>
          <w:rFonts w:hint="eastAsia" w:ascii="宋体" w:hAnsi="宋体" w:cs="宋体"/>
          <w:color w:val="auto"/>
          <w:kern w:val="21"/>
          <w:szCs w:val="21"/>
          <w:highlight w:val="none"/>
        </w:rPr>
      </w:pPr>
      <w:r>
        <w:rPr>
          <w:rFonts w:hint="eastAsia" w:ascii="宋体" w:hAnsi="宋体" w:cs="宋体"/>
          <w:b/>
          <w:color w:val="auto"/>
          <w:kern w:val="21"/>
          <w:szCs w:val="21"/>
          <w:highlight w:val="none"/>
          <w:u w:val="single"/>
        </w:rPr>
        <w:t>招标文件中有关否决性条款的阐述与本表所列内容不一致的，以本表列示的内容为准。</w:t>
      </w:r>
    </w:p>
    <w:tbl>
      <w:tblPr>
        <w:tblStyle w:val="18"/>
        <w:tblW w:w="89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8949" w:type="dxa"/>
            <w:noWrap/>
            <w:vAlign w:val="center"/>
          </w:tcPr>
          <w:p>
            <w:pPr>
              <w:rPr>
                <w:rFonts w:hint="eastAsia" w:ascii="宋体" w:hAnsi="宋体" w:cs="宋体"/>
                <w:color w:val="auto"/>
                <w:highlight w:val="none"/>
              </w:rPr>
            </w:pPr>
            <w:r>
              <w:rPr>
                <w:rFonts w:hint="eastAsia" w:ascii="宋体" w:hAnsi="宋体" w:cs="宋体"/>
                <w:color w:val="auto"/>
                <w:highlight w:val="none"/>
              </w:rPr>
              <w:t>一、拒绝受理投标文件的情形：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0" w:hRule="atLeast"/>
        </w:trPr>
        <w:tc>
          <w:tcPr>
            <w:tcW w:w="8949" w:type="dxa"/>
            <w:noWrap/>
            <w:vAlign w:val="center"/>
          </w:tcPr>
          <w:p>
            <w:pPr>
              <w:widowControl/>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 未成功递交投标文件的；</w:t>
            </w:r>
          </w:p>
          <w:p>
            <w:pPr>
              <w:widowControl/>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 因投标人原因造成投标文件未解密的；</w:t>
            </w:r>
          </w:p>
          <w:p>
            <w:pPr>
              <w:widowControl/>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 未按招标文件要求提供投标保证金的；</w:t>
            </w:r>
          </w:p>
          <w:p>
            <w:pPr>
              <w:spacing w:line="360" w:lineRule="auto"/>
              <w:ind w:firstLine="420" w:firstLineChars="200"/>
              <w:rPr>
                <w:rFonts w:hint="eastAsia" w:ascii="宋体" w:hAnsi="宋体" w:cs="宋体"/>
                <w:color w:val="auto"/>
                <w:highlight w:val="none"/>
              </w:rPr>
            </w:pPr>
            <w:r>
              <w:rPr>
                <w:rFonts w:hint="eastAsia" w:ascii="宋体" w:hAnsi="宋体" w:cs="宋体"/>
                <w:bCs/>
                <w:color w:val="auto"/>
                <w:kern w:val="0"/>
                <w:szCs w:val="21"/>
                <w:highlight w:val="none"/>
              </w:rPr>
              <w:t>4. 两个（含两个）以上的投标人加密打包投标文件电脑机器码一致的。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8949" w:type="dxa"/>
            <w:noWrap/>
            <w:vAlign w:val="center"/>
          </w:tcPr>
          <w:p>
            <w:pPr>
              <w:rPr>
                <w:rFonts w:hint="eastAsia" w:ascii="宋体" w:hAnsi="宋体" w:cs="宋体"/>
                <w:color w:val="auto"/>
                <w:highlight w:val="none"/>
              </w:rPr>
            </w:pPr>
            <w:r>
              <w:rPr>
                <w:rFonts w:hint="eastAsia" w:ascii="宋体" w:hAnsi="宋体" w:cs="宋体"/>
                <w:color w:val="auto"/>
                <w:highlight w:val="none"/>
              </w:rPr>
              <w:t>二、作无效投标的情形：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4" w:hRule="atLeast"/>
        </w:trPr>
        <w:tc>
          <w:tcPr>
            <w:tcW w:w="8949" w:type="dxa"/>
            <w:noWrap w:val="0"/>
            <w:vAlign w:val="center"/>
          </w:tcPr>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bCs/>
                <w:color w:val="auto"/>
                <w:kern w:val="0"/>
                <w:szCs w:val="21"/>
                <w:highlight w:val="none"/>
              </w:rPr>
              <w:t>投标文件不符合招标文件评标办法中形式评审标准的要求；</w:t>
            </w:r>
          </w:p>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bCs/>
                <w:color w:val="auto"/>
                <w:kern w:val="0"/>
                <w:szCs w:val="21"/>
                <w:highlight w:val="none"/>
              </w:rPr>
              <w:t>投标文件不符合招标文件评标办法中资格评审标准的要求；</w:t>
            </w:r>
          </w:p>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bCs/>
                <w:color w:val="auto"/>
                <w:kern w:val="0"/>
                <w:szCs w:val="21"/>
                <w:highlight w:val="none"/>
              </w:rPr>
              <w:t>投标文件不符合招标文件评标办法中响应性评审标准的要求。</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jc w:val="center"/>
      <w:rPr>
        <w:rFonts w:hint="eastAsia"/>
        <w:color w:val="000000"/>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49</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55774"/>
    <w:multiLevelType w:val="singleLevel"/>
    <w:tmpl w:val="FA455774"/>
    <w:lvl w:ilvl="0" w:tentative="0">
      <w:start w:val="1"/>
      <w:numFmt w:val="decimal"/>
      <w:suff w:val="space"/>
      <w:lvlText w:val="%1."/>
      <w:lvlJc w:val="left"/>
    </w:lvl>
  </w:abstractNum>
  <w:abstractNum w:abstractNumId="1">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ZjZhNDlhNDY4MzUzMzQyZDRlZWEzYzdhOGQwYWUifQ=="/>
  </w:docVars>
  <w:rsids>
    <w:rsidRoot w:val="74F83326"/>
    <w:rsid w:val="02FD5D2C"/>
    <w:rsid w:val="1D6F809A"/>
    <w:rsid w:val="1DF7FBF3"/>
    <w:rsid w:val="1EFFC525"/>
    <w:rsid w:val="1FB6A1EE"/>
    <w:rsid w:val="1FF93BEC"/>
    <w:rsid w:val="1FFAF01D"/>
    <w:rsid w:val="1FFFF5E3"/>
    <w:rsid w:val="228067B3"/>
    <w:rsid w:val="23F72BF6"/>
    <w:rsid w:val="26780D35"/>
    <w:rsid w:val="2F5F750B"/>
    <w:rsid w:val="2FDCC424"/>
    <w:rsid w:val="2FDF5E74"/>
    <w:rsid w:val="2FEEC0BA"/>
    <w:rsid w:val="334338E0"/>
    <w:rsid w:val="36F1F654"/>
    <w:rsid w:val="36FDDC25"/>
    <w:rsid w:val="375525A0"/>
    <w:rsid w:val="37F52431"/>
    <w:rsid w:val="37FEBE28"/>
    <w:rsid w:val="39F32852"/>
    <w:rsid w:val="3A15A4B0"/>
    <w:rsid w:val="3B7DA194"/>
    <w:rsid w:val="3BB7E864"/>
    <w:rsid w:val="3C3DC080"/>
    <w:rsid w:val="3E357AB9"/>
    <w:rsid w:val="3E79CC13"/>
    <w:rsid w:val="3F7D89A2"/>
    <w:rsid w:val="3F7F2E66"/>
    <w:rsid w:val="3FBF1D5E"/>
    <w:rsid w:val="3FDB13AE"/>
    <w:rsid w:val="3FE976CF"/>
    <w:rsid w:val="47DD78BF"/>
    <w:rsid w:val="4BB3AD56"/>
    <w:rsid w:val="4EA610B3"/>
    <w:rsid w:val="4EDB2321"/>
    <w:rsid w:val="4F0F61AB"/>
    <w:rsid w:val="505B6F1D"/>
    <w:rsid w:val="56BBD73D"/>
    <w:rsid w:val="57EFE549"/>
    <w:rsid w:val="57F550E9"/>
    <w:rsid w:val="5BBC3D5C"/>
    <w:rsid w:val="5BF59EF2"/>
    <w:rsid w:val="5D3252CE"/>
    <w:rsid w:val="5DDFC57C"/>
    <w:rsid w:val="5DED0644"/>
    <w:rsid w:val="5DFF066D"/>
    <w:rsid w:val="5DFFB429"/>
    <w:rsid w:val="5EAB9C0D"/>
    <w:rsid w:val="5EF35B3A"/>
    <w:rsid w:val="5F919DEC"/>
    <w:rsid w:val="5FAFFF32"/>
    <w:rsid w:val="5FF73DA8"/>
    <w:rsid w:val="5FF9FAF9"/>
    <w:rsid w:val="62CBC2E8"/>
    <w:rsid w:val="63C7FBB9"/>
    <w:rsid w:val="679D8A65"/>
    <w:rsid w:val="68A66FEC"/>
    <w:rsid w:val="6A4FE195"/>
    <w:rsid w:val="6B6BFE4F"/>
    <w:rsid w:val="6B76CA1D"/>
    <w:rsid w:val="6BCB9C57"/>
    <w:rsid w:val="6C7FD9BD"/>
    <w:rsid w:val="6DA3EF61"/>
    <w:rsid w:val="6DF3721D"/>
    <w:rsid w:val="6EFF64CE"/>
    <w:rsid w:val="6F9F078A"/>
    <w:rsid w:val="6FDBBCD0"/>
    <w:rsid w:val="6FDF4400"/>
    <w:rsid w:val="71F74CA1"/>
    <w:rsid w:val="72D22882"/>
    <w:rsid w:val="72DEB19A"/>
    <w:rsid w:val="73572CC4"/>
    <w:rsid w:val="738004A6"/>
    <w:rsid w:val="73F52D42"/>
    <w:rsid w:val="74F0E45C"/>
    <w:rsid w:val="74F83326"/>
    <w:rsid w:val="766F3479"/>
    <w:rsid w:val="76FEE7D1"/>
    <w:rsid w:val="77361E28"/>
    <w:rsid w:val="779ECFFD"/>
    <w:rsid w:val="77D1D484"/>
    <w:rsid w:val="77D321CE"/>
    <w:rsid w:val="77DF0353"/>
    <w:rsid w:val="77E17DA7"/>
    <w:rsid w:val="77EF4CFC"/>
    <w:rsid w:val="77F7DC15"/>
    <w:rsid w:val="77FE7A57"/>
    <w:rsid w:val="77FF99C0"/>
    <w:rsid w:val="78FFAA42"/>
    <w:rsid w:val="793F7B7D"/>
    <w:rsid w:val="79FC9147"/>
    <w:rsid w:val="79FF955C"/>
    <w:rsid w:val="7A37AFE5"/>
    <w:rsid w:val="7A7F6990"/>
    <w:rsid w:val="7AEF2FB6"/>
    <w:rsid w:val="7B7F7F50"/>
    <w:rsid w:val="7BF7333B"/>
    <w:rsid w:val="7BF767F9"/>
    <w:rsid w:val="7C7D2768"/>
    <w:rsid w:val="7C8EBA93"/>
    <w:rsid w:val="7D1B4F07"/>
    <w:rsid w:val="7DF7FDC3"/>
    <w:rsid w:val="7DFF9559"/>
    <w:rsid w:val="7DFFFB68"/>
    <w:rsid w:val="7EBF3531"/>
    <w:rsid w:val="7EEA7FDC"/>
    <w:rsid w:val="7EEF5BC9"/>
    <w:rsid w:val="7EFBB0DB"/>
    <w:rsid w:val="7EFE5BC3"/>
    <w:rsid w:val="7F6823A6"/>
    <w:rsid w:val="7F7B12FE"/>
    <w:rsid w:val="7F7F4A80"/>
    <w:rsid w:val="7F7F62F0"/>
    <w:rsid w:val="7F7FC115"/>
    <w:rsid w:val="7F9F895D"/>
    <w:rsid w:val="7FA632E5"/>
    <w:rsid w:val="7FBE0071"/>
    <w:rsid w:val="7FCBC2C2"/>
    <w:rsid w:val="7FCFCB3C"/>
    <w:rsid w:val="7FE77A0F"/>
    <w:rsid w:val="7FEBDB21"/>
    <w:rsid w:val="7FEF1302"/>
    <w:rsid w:val="7FF7AB68"/>
    <w:rsid w:val="7FF7B7F4"/>
    <w:rsid w:val="7FFACDA6"/>
    <w:rsid w:val="7FFCA1E3"/>
    <w:rsid w:val="7FFFA738"/>
    <w:rsid w:val="8AF35FC9"/>
    <w:rsid w:val="8FDECDC6"/>
    <w:rsid w:val="97DBB596"/>
    <w:rsid w:val="97FF2E9E"/>
    <w:rsid w:val="9DD5F574"/>
    <w:rsid w:val="9E3D5F7F"/>
    <w:rsid w:val="9EBF920D"/>
    <w:rsid w:val="9EEBA06A"/>
    <w:rsid w:val="9F2F512A"/>
    <w:rsid w:val="9FFA8A73"/>
    <w:rsid w:val="A5E574B3"/>
    <w:rsid w:val="ADB9730A"/>
    <w:rsid w:val="AFDFD81E"/>
    <w:rsid w:val="AFF74026"/>
    <w:rsid w:val="B343F424"/>
    <w:rsid w:val="B6FDFE98"/>
    <w:rsid w:val="B73E132B"/>
    <w:rsid w:val="B7D5F83E"/>
    <w:rsid w:val="B7EF9844"/>
    <w:rsid w:val="B7EFD33E"/>
    <w:rsid w:val="BBDFB5F8"/>
    <w:rsid w:val="BD5DCC39"/>
    <w:rsid w:val="BD717146"/>
    <w:rsid w:val="BDFA3881"/>
    <w:rsid w:val="BE6728DC"/>
    <w:rsid w:val="BEBC3011"/>
    <w:rsid w:val="BEE4526A"/>
    <w:rsid w:val="BEFEB4D3"/>
    <w:rsid w:val="BF3B1D32"/>
    <w:rsid w:val="BF6FF64E"/>
    <w:rsid w:val="BF7730B1"/>
    <w:rsid w:val="BFDEE8D4"/>
    <w:rsid w:val="BFEED807"/>
    <w:rsid w:val="BFF7B9CE"/>
    <w:rsid w:val="BFF7D76A"/>
    <w:rsid w:val="BFFA9EC9"/>
    <w:rsid w:val="BFFE5749"/>
    <w:rsid w:val="C7BF42F7"/>
    <w:rsid w:val="C9DFE1D6"/>
    <w:rsid w:val="CBEFC53B"/>
    <w:rsid w:val="CD743C01"/>
    <w:rsid w:val="CD7F3BD7"/>
    <w:rsid w:val="CF74D643"/>
    <w:rsid w:val="D3BBCB99"/>
    <w:rsid w:val="D5FF6352"/>
    <w:rsid w:val="DCEE4FB4"/>
    <w:rsid w:val="DCFF43E5"/>
    <w:rsid w:val="DD7E2801"/>
    <w:rsid w:val="DE36DA96"/>
    <w:rsid w:val="DEF6AEF9"/>
    <w:rsid w:val="DF7F0481"/>
    <w:rsid w:val="DFBD541E"/>
    <w:rsid w:val="DFDF7E25"/>
    <w:rsid w:val="DFFA2853"/>
    <w:rsid w:val="DFFC73AE"/>
    <w:rsid w:val="DFFE1851"/>
    <w:rsid w:val="E3F9D385"/>
    <w:rsid w:val="E7572784"/>
    <w:rsid w:val="E7AE98F8"/>
    <w:rsid w:val="E7DFF261"/>
    <w:rsid w:val="E9FC23F2"/>
    <w:rsid w:val="EDFD63FE"/>
    <w:rsid w:val="EDFFCFF4"/>
    <w:rsid w:val="EEAE4074"/>
    <w:rsid w:val="EF773D08"/>
    <w:rsid w:val="EFB3DC32"/>
    <w:rsid w:val="EFDD401F"/>
    <w:rsid w:val="EFDEB4B7"/>
    <w:rsid w:val="EFEE1FF8"/>
    <w:rsid w:val="F23B9ADC"/>
    <w:rsid w:val="F3BF842E"/>
    <w:rsid w:val="F3EF310F"/>
    <w:rsid w:val="F3FB1242"/>
    <w:rsid w:val="F3FF8A80"/>
    <w:rsid w:val="F579575E"/>
    <w:rsid w:val="F57BA0D4"/>
    <w:rsid w:val="F5B31856"/>
    <w:rsid w:val="F5EA5B69"/>
    <w:rsid w:val="F5FFFAF5"/>
    <w:rsid w:val="F6F31FFF"/>
    <w:rsid w:val="F764EF25"/>
    <w:rsid w:val="F7B9DD41"/>
    <w:rsid w:val="F7FB511D"/>
    <w:rsid w:val="F7FF968C"/>
    <w:rsid w:val="F7FFA12A"/>
    <w:rsid w:val="FABB9C04"/>
    <w:rsid w:val="FAFF0ECD"/>
    <w:rsid w:val="FAFF5044"/>
    <w:rsid w:val="FB794965"/>
    <w:rsid w:val="FB8006E9"/>
    <w:rsid w:val="FB8F81AE"/>
    <w:rsid w:val="FB9E886E"/>
    <w:rsid w:val="FBBA057B"/>
    <w:rsid w:val="FBF302F6"/>
    <w:rsid w:val="FCB7C198"/>
    <w:rsid w:val="FDB53872"/>
    <w:rsid w:val="FDC659C0"/>
    <w:rsid w:val="FE1E904D"/>
    <w:rsid w:val="FE1F2635"/>
    <w:rsid w:val="FE773DDA"/>
    <w:rsid w:val="FE9B9B9F"/>
    <w:rsid w:val="FED993AB"/>
    <w:rsid w:val="FEEE918D"/>
    <w:rsid w:val="FF3F6624"/>
    <w:rsid w:val="FF6523B9"/>
    <w:rsid w:val="FF6E218D"/>
    <w:rsid w:val="FF77151A"/>
    <w:rsid w:val="FF7F7A2B"/>
    <w:rsid w:val="FF7FA3B8"/>
    <w:rsid w:val="FF9B374C"/>
    <w:rsid w:val="FFA5DE98"/>
    <w:rsid w:val="FFEEA9C9"/>
    <w:rsid w:val="FFEF2BFC"/>
    <w:rsid w:val="FFEFD49C"/>
    <w:rsid w:val="FFFBA205"/>
    <w:rsid w:val="FFFE229B"/>
    <w:rsid w:val="FFFE8C99"/>
    <w:rsid w:val="FFFF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line="360" w:lineRule="auto"/>
      <w:jc w:val="center"/>
      <w:textAlignment w:val="baseline"/>
      <w:outlineLvl w:val="0"/>
    </w:pPr>
    <w:rPr>
      <w:rFonts w:eastAsia="华文仿宋"/>
      <w:b/>
      <w:kern w:val="44"/>
      <w:sz w:val="44"/>
      <w:szCs w:val="20"/>
    </w:rPr>
  </w:style>
  <w:style w:type="paragraph" w:styleId="4">
    <w:name w:val="heading 2"/>
    <w:basedOn w:val="1"/>
    <w:next w:val="1"/>
    <w:qFormat/>
    <w:uiPriority w:val="0"/>
    <w:pPr>
      <w:keepNext/>
      <w:adjustRightInd w:val="0"/>
      <w:spacing w:line="360" w:lineRule="auto"/>
      <w:textAlignment w:val="baseline"/>
      <w:outlineLvl w:val="1"/>
    </w:pPr>
    <w:rPr>
      <w:rFonts w:eastAsia="黑体"/>
      <w:bCs/>
      <w:kern w:val="0"/>
      <w:sz w:val="28"/>
      <w:szCs w:val="20"/>
    </w:rPr>
  </w:style>
  <w:style w:type="paragraph" w:styleId="5">
    <w:name w:val="heading 3"/>
    <w:basedOn w:val="4"/>
    <w:next w:val="1"/>
    <w:qFormat/>
    <w:uiPriority w:val="0"/>
    <w:pPr>
      <w:keepNext/>
      <w:spacing w:line="360" w:lineRule="auto"/>
      <w:jc w:val="left"/>
      <w:textAlignment w:val="baseline"/>
      <w:outlineLvl w:val="2"/>
    </w:pPr>
    <w:rPr>
      <w:rFonts w:eastAsia="黑体"/>
      <w:bCs w:val="0"/>
      <w:kern w:val="28"/>
      <w:sz w:val="24"/>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pacing w:val="12"/>
      <w:sz w:val="28"/>
    </w:rPr>
  </w:style>
  <w:style w:type="paragraph" w:styleId="6">
    <w:name w:val="Normal Indent"/>
    <w:basedOn w:val="1"/>
    <w:qFormat/>
    <w:uiPriority w:val="0"/>
    <w:pPr>
      <w:adjustRightInd w:val="0"/>
      <w:spacing w:line="360" w:lineRule="atLeast"/>
      <w:ind w:firstLine="420"/>
      <w:textAlignment w:val="baseline"/>
    </w:pPr>
    <w:rPr>
      <w:rFonts w:ascii="Times New Roman" w:hAnsi="Times New Roman"/>
      <w:szCs w:val="20"/>
      <w:lang w:val="zh-CN"/>
    </w:rPr>
  </w:style>
  <w:style w:type="paragraph" w:styleId="7">
    <w:name w:val="annotation text"/>
    <w:basedOn w:val="1"/>
    <w:qFormat/>
    <w:uiPriority w:val="0"/>
    <w:pPr>
      <w:jc w:val="left"/>
    </w:pPr>
  </w:style>
  <w:style w:type="paragraph" w:styleId="8">
    <w:name w:val="Body Text 3"/>
    <w:basedOn w:val="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9">
    <w:name w:val="Body Text Indent"/>
    <w:basedOn w:val="1"/>
    <w:qFormat/>
    <w:uiPriority w:val="0"/>
    <w:pPr>
      <w:spacing w:after="120" w:afterLines="0"/>
      <w:ind w:left="420" w:leftChars="200"/>
    </w:pPr>
  </w:style>
  <w:style w:type="paragraph" w:styleId="10">
    <w:name w:val="Plain Text"/>
    <w:basedOn w:val="1"/>
    <w:next w:val="1"/>
    <w:qFormat/>
    <w:uiPriority w:val="99"/>
    <w:rPr>
      <w:rFonts w:ascii="宋体" w:hAnsi="Courier New" w:eastAsia="楷体_GB2312"/>
      <w:kern w:val="0"/>
      <w:sz w:val="20"/>
      <w:szCs w:val="24"/>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8392"/>
      </w:tabs>
      <w:spacing w:line="360" w:lineRule="auto"/>
      <w:jc w:val="center"/>
    </w:pPr>
    <w:rPr>
      <w:rFonts w:ascii="宋体" w:hAnsi="宋体"/>
      <w:b/>
      <w:sz w:val="44"/>
      <w:szCs w:val="44"/>
    </w:rPr>
  </w:style>
  <w:style w:type="paragraph" w:styleId="14">
    <w:name w:val="Body Text 2"/>
    <w:basedOn w:val="1"/>
    <w:unhideWhenUsed/>
    <w:qFormat/>
    <w:uiPriority w:val="0"/>
    <w:rPr>
      <w:rFonts w:ascii="宋体" w:hAnsi="宋体" w:eastAsia="楷体_GB2312"/>
      <w:kern w:val="0"/>
      <w:sz w:val="20"/>
      <w:szCs w:val="24"/>
      <w:u w:val="single"/>
    </w:rPr>
  </w:style>
  <w:style w:type="paragraph" w:styleId="15">
    <w:name w:val="Normal (Web)"/>
    <w:basedOn w:val="1"/>
    <w:qFormat/>
    <w:uiPriority w:val="99"/>
    <w:pPr>
      <w:widowControl/>
      <w:spacing w:before="100" w:beforeAutospacing="1" w:after="100" w:afterAutospacing="1" w:line="283" w:lineRule="atLeast"/>
      <w:jc w:val="left"/>
    </w:pPr>
    <w:rPr>
      <w:rFonts w:ascii="宋体" w:hAnsi="宋体" w:cs="宋体"/>
      <w:color w:val="000000"/>
      <w:kern w:val="0"/>
      <w:sz w:val="19"/>
      <w:szCs w:val="19"/>
    </w:rPr>
  </w:style>
  <w:style w:type="paragraph" w:styleId="16">
    <w:name w:val="Body Text First Indent"/>
    <w:basedOn w:val="2"/>
    <w:qFormat/>
    <w:uiPriority w:val="0"/>
    <w:pPr>
      <w:ind w:firstLine="420"/>
    </w:pPr>
  </w:style>
  <w:style w:type="paragraph" w:styleId="17">
    <w:name w:val="Body Text First Indent 2"/>
    <w:basedOn w:val="9"/>
    <w:qFormat/>
    <w:uiPriority w:val="0"/>
    <w:pPr>
      <w:spacing w:after="120"/>
      <w:ind w:left="420" w:leftChars="200" w:firstLine="420"/>
    </w:pPr>
    <w:rPr>
      <w:rFonts w:ascii="Times New Roman" w:hAnsi="Times New Roman"/>
      <w:sz w:val="20"/>
    </w:rPr>
  </w:style>
  <w:style w:type="character" w:styleId="20">
    <w:name w:val="page number"/>
    <w:qFormat/>
    <w:uiPriority w:val="0"/>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3">
    <w:name w:val="NormalCharacter"/>
    <w:semiHidden/>
    <w:qFormat/>
    <w:uiPriority w:val="0"/>
  </w:style>
  <w:style w:type="paragraph" w:customStyle="1" w:styleId="24">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25">
    <w:name w:val="UserStyle_2"/>
    <w:basedOn w:val="1"/>
    <w:qFormat/>
    <w:uiPriority w:val="0"/>
    <w:pPr>
      <w:widowControl/>
    </w:pPr>
  </w:style>
  <w:style w:type="paragraph" w:customStyle="1" w:styleId="26">
    <w:name w:val="Plain Text"/>
    <w:basedOn w:val="1"/>
    <w:qFormat/>
    <w:uiPriority w:val="0"/>
    <w:pPr>
      <w:adjustRightInd w:val="0"/>
      <w:textAlignment w:val="baseline"/>
    </w:pPr>
    <w:rPr>
      <w:rFonts w:ascii="宋体"/>
      <w:kern w:val="0"/>
      <w:sz w:val="24"/>
      <w:szCs w:val="20"/>
    </w:rPr>
  </w:style>
  <w:style w:type="paragraph" w:customStyle="1" w:styleId="27">
    <w:name w:val="公文正文"/>
    <w:qFormat/>
    <w:uiPriority w:val="0"/>
    <w:pPr>
      <w:widowControl w:val="0"/>
      <w:tabs>
        <w:tab w:val="left" w:pos="1260"/>
        <w:tab w:val="left" w:pos="6030"/>
        <w:tab w:val="left" w:pos="6720"/>
      </w:tabs>
      <w:spacing w:line="360" w:lineRule="auto"/>
      <w:ind w:firstLine="720" w:firstLineChars="225"/>
      <w:jc w:val="both"/>
    </w:pPr>
    <w:rPr>
      <w:rFonts w:ascii="仿宋_GB2312" w:hAnsi="宋体" w:eastAsia="仿宋_GB2312" w:cs="Times New Roman"/>
      <w:sz w:val="32"/>
      <w:szCs w:val="18"/>
      <w:lang w:val="en-US" w:eastAsia="zh-CN" w:bidi="ar-SA"/>
    </w:rPr>
  </w:style>
  <w:style w:type="paragraph" w:customStyle="1" w:styleId="28">
    <w:name w:val="发文落款"/>
    <w:basedOn w:val="27"/>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25519</Words>
  <Characters>26952</Characters>
  <Lines>0</Lines>
  <Paragraphs>0</Paragraphs>
  <TotalTime>2</TotalTime>
  <ScaleCrop>false</ScaleCrop>
  <LinksUpToDate>false</LinksUpToDate>
  <CharactersWithSpaces>28834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2022-08-21T03:46:00Z</dcterms:created>
  <dc:creator>:(</dc:creator>
  <cp:lastModifiedBy>卢建勋</cp:lastModifiedBy>
  <dcterms:modified xsi:type="dcterms:W3CDTF">2022-09-28T11:42:04Z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1596A23EE0B7CA24D7BE3263217CC3F4</vt:lpwstr>
  </property>
</Properties>
</file>