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F30C8">
      <w:pPr>
        <w:adjustRightInd w:val="0"/>
        <w:snapToGrid w:val="0"/>
        <w:spacing w:line="360" w:lineRule="auto"/>
        <w:rPr>
          <w:rFonts w:hint="eastAsia" w:ascii="黑体" w:hAnsi="黑体" w:cs="宋体"/>
          <w:bCs/>
          <w:snapToGrid w:val="0"/>
          <w:kern w:val="0"/>
          <w:sz w:val="24"/>
        </w:rPr>
      </w:pPr>
      <w:bookmarkStart w:id="0" w:name="_Toc396662259"/>
      <w:bookmarkStart w:id="1" w:name="_Toc397364808"/>
      <w:bookmarkStart w:id="728" w:name="_GoBack"/>
      <w:bookmarkEnd w:id="728"/>
      <w:r>
        <w:rPr>
          <w:rFonts w:hint="eastAsia" w:ascii="黑体" w:hAnsi="黑体" w:cs="宋体"/>
          <w:bCs/>
          <w:snapToGrid w:val="0"/>
          <w:kern w:val="0"/>
          <w:sz w:val="30"/>
          <w:szCs w:val="30"/>
        </w:rPr>
        <w:t>合同编号：</w:t>
      </w:r>
    </w:p>
    <w:p w14:paraId="0B0F329D">
      <w:pPr>
        <w:adjustRightInd w:val="0"/>
        <w:snapToGrid w:val="0"/>
        <w:spacing w:line="360" w:lineRule="auto"/>
        <w:rPr>
          <w:rFonts w:hint="eastAsia" w:ascii="黑体" w:hAnsi="黑体" w:cs="宋体"/>
          <w:bCs/>
          <w:snapToGrid w:val="0"/>
          <w:kern w:val="0"/>
          <w:sz w:val="24"/>
        </w:rPr>
      </w:pPr>
    </w:p>
    <w:p w14:paraId="61156F39">
      <w:pPr>
        <w:adjustRightInd w:val="0"/>
        <w:snapToGrid w:val="0"/>
        <w:spacing w:line="360" w:lineRule="auto"/>
        <w:rPr>
          <w:rFonts w:hint="eastAsia" w:ascii="黑体" w:hAnsi="黑体" w:cs="宋体"/>
          <w:bCs/>
          <w:snapToGrid w:val="0"/>
          <w:kern w:val="0"/>
          <w:sz w:val="24"/>
        </w:rPr>
      </w:pPr>
    </w:p>
    <w:p w14:paraId="0E58D4C5">
      <w:pPr>
        <w:adjustRightInd w:val="0"/>
        <w:snapToGrid w:val="0"/>
        <w:spacing w:line="360" w:lineRule="auto"/>
        <w:rPr>
          <w:rFonts w:hint="eastAsia" w:ascii="黑体" w:hAnsi="黑体" w:cs="宋体"/>
          <w:bCs/>
          <w:snapToGrid w:val="0"/>
          <w:kern w:val="0"/>
          <w:sz w:val="24"/>
        </w:rPr>
      </w:pPr>
    </w:p>
    <w:p w14:paraId="00E75519">
      <w:pPr>
        <w:adjustRightInd w:val="0"/>
        <w:snapToGrid w:val="0"/>
        <w:spacing w:line="360" w:lineRule="auto"/>
        <w:rPr>
          <w:rFonts w:hint="eastAsia" w:ascii="黑体" w:hAnsi="黑体" w:cs="宋体"/>
          <w:bCs/>
          <w:snapToGrid w:val="0"/>
          <w:kern w:val="0"/>
          <w:sz w:val="24"/>
        </w:rPr>
      </w:pPr>
    </w:p>
    <w:p w14:paraId="45B85728">
      <w:pPr>
        <w:adjustRightInd w:val="0"/>
        <w:snapToGrid w:val="0"/>
        <w:spacing w:line="360" w:lineRule="auto"/>
        <w:rPr>
          <w:rFonts w:hint="eastAsia" w:ascii="黑体" w:hAnsi="黑体" w:cs="宋体"/>
          <w:bCs/>
          <w:snapToGrid w:val="0"/>
          <w:kern w:val="0"/>
          <w:sz w:val="24"/>
        </w:rPr>
      </w:pPr>
    </w:p>
    <w:p w14:paraId="4BF4606A">
      <w:pPr>
        <w:adjustRightInd w:val="0"/>
        <w:snapToGrid w:val="0"/>
        <w:spacing w:line="360" w:lineRule="auto"/>
        <w:rPr>
          <w:rFonts w:hint="eastAsia" w:ascii="黑体" w:hAnsi="黑体" w:cs="宋体"/>
          <w:bCs/>
          <w:snapToGrid w:val="0"/>
          <w:kern w:val="0"/>
          <w:sz w:val="24"/>
        </w:rPr>
      </w:pPr>
    </w:p>
    <w:bookmarkEnd w:id="0"/>
    <w:bookmarkEnd w:id="1"/>
    <w:p w14:paraId="7923A15D">
      <w:pPr>
        <w:adjustRightInd w:val="0"/>
        <w:snapToGrid w:val="0"/>
        <w:spacing w:line="360" w:lineRule="auto"/>
        <w:rPr>
          <w:rFonts w:hint="eastAsia" w:ascii="黑体" w:hAnsi="黑体" w:cs="宋体"/>
          <w:bCs/>
          <w:snapToGrid w:val="0"/>
          <w:kern w:val="0"/>
          <w:sz w:val="24"/>
        </w:rPr>
      </w:pPr>
    </w:p>
    <w:p w14:paraId="66F26B56">
      <w:pPr>
        <w:adjustRightInd w:val="0"/>
        <w:snapToGrid w:val="0"/>
        <w:spacing w:line="360" w:lineRule="auto"/>
        <w:jc w:val="center"/>
        <w:rPr>
          <w:rFonts w:hint="eastAsia" w:ascii="黑体" w:hAnsi="黑体" w:cs="宋体"/>
          <w:bCs/>
          <w:snapToGrid w:val="0"/>
          <w:kern w:val="0"/>
          <w:sz w:val="40"/>
          <w:szCs w:val="40"/>
        </w:rPr>
      </w:pPr>
      <w:r>
        <w:rPr>
          <w:rFonts w:hint="eastAsia" w:ascii="黑体" w:hAnsi="黑体" w:cs="宋体"/>
          <w:bCs/>
          <w:snapToGrid w:val="0"/>
          <w:kern w:val="0"/>
          <w:sz w:val="40"/>
          <w:szCs w:val="40"/>
        </w:rPr>
        <w:t>广州珠江两岸、新中轴线等重要区域夜景灯光品质提升项目</w:t>
      </w:r>
      <w:bookmarkStart w:id="2" w:name="_Hlk192756394"/>
      <w:r>
        <w:rPr>
          <w:rFonts w:hint="eastAsia" w:ascii="黑体" w:hAnsi="黑体" w:cs="宋体"/>
          <w:bCs/>
          <w:snapToGrid w:val="0"/>
          <w:kern w:val="0"/>
          <w:sz w:val="40"/>
          <w:szCs w:val="40"/>
        </w:rPr>
        <w:t>施工（标段名称）承包</w:t>
      </w:r>
      <w:bookmarkEnd w:id="2"/>
      <w:r>
        <w:rPr>
          <w:rFonts w:hint="eastAsia" w:ascii="黑体" w:hAnsi="黑体" w:cs="宋体"/>
          <w:bCs/>
          <w:snapToGrid w:val="0"/>
          <w:kern w:val="0"/>
          <w:sz w:val="40"/>
          <w:szCs w:val="40"/>
        </w:rPr>
        <w:t>合同</w:t>
      </w:r>
    </w:p>
    <w:p w14:paraId="6B1C86A8">
      <w:pPr>
        <w:adjustRightInd w:val="0"/>
        <w:snapToGrid w:val="0"/>
        <w:spacing w:line="360" w:lineRule="auto"/>
        <w:jc w:val="center"/>
        <w:rPr>
          <w:rFonts w:hint="eastAsia" w:ascii="黑体" w:hAnsi="黑体" w:cs="宋体"/>
          <w:bCs/>
          <w:snapToGrid w:val="0"/>
          <w:kern w:val="0"/>
          <w:sz w:val="40"/>
          <w:szCs w:val="40"/>
        </w:rPr>
      </w:pPr>
      <w:r>
        <w:rPr>
          <w:rFonts w:hint="eastAsia" w:ascii="黑体" w:hAnsi="黑体" w:cs="宋体"/>
          <w:bCs/>
          <w:snapToGrid w:val="0"/>
          <w:kern w:val="0"/>
          <w:sz w:val="40"/>
          <w:szCs w:val="40"/>
        </w:rPr>
        <w:t>（适用于标段一至标段五任一标段）</w:t>
      </w:r>
    </w:p>
    <w:p w14:paraId="7D0CBA80">
      <w:pPr>
        <w:adjustRightInd w:val="0"/>
        <w:snapToGrid w:val="0"/>
        <w:spacing w:line="360" w:lineRule="auto"/>
        <w:rPr>
          <w:rFonts w:hint="eastAsia" w:ascii="黑体" w:hAnsi="黑体" w:cs="宋体"/>
          <w:bCs/>
          <w:snapToGrid w:val="0"/>
          <w:kern w:val="0"/>
          <w:sz w:val="24"/>
        </w:rPr>
      </w:pPr>
    </w:p>
    <w:p w14:paraId="6C5BAECB">
      <w:pPr>
        <w:adjustRightInd w:val="0"/>
        <w:snapToGrid w:val="0"/>
        <w:spacing w:line="360" w:lineRule="auto"/>
        <w:rPr>
          <w:rFonts w:hint="eastAsia" w:ascii="黑体" w:hAnsi="黑体" w:cs="宋体"/>
          <w:bCs/>
          <w:snapToGrid w:val="0"/>
          <w:kern w:val="0"/>
          <w:sz w:val="24"/>
        </w:rPr>
      </w:pPr>
    </w:p>
    <w:p w14:paraId="144D89F9">
      <w:pPr>
        <w:adjustRightInd w:val="0"/>
        <w:snapToGrid w:val="0"/>
        <w:spacing w:line="360" w:lineRule="auto"/>
        <w:rPr>
          <w:rFonts w:hint="eastAsia" w:ascii="黑体" w:hAnsi="黑体" w:cs="宋体"/>
          <w:bCs/>
          <w:snapToGrid w:val="0"/>
          <w:kern w:val="0"/>
          <w:sz w:val="24"/>
        </w:rPr>
      </w:pPr>
    </w:p>
    <w:p w14:paraId="7DB2E268">
      <w:pPr>
        <w:adjustRightInd w:val="0"/>
        <w:snapToGrid w:val="0"/>
        <w:spacing w:line="360" w:lineRule="auto"/>
        <w:rPr>
          <w:rFonts w:hint="eastAsia" w:ascii="黑体" w:hAnsi="黑体" w:cs="宋体"/>
          <w:bCs/>
          <w:snapToGrid w:val="0"/>
          <w:kern w:val="0"/>
          <w:sz w:val="24"/>
        </w:rPr>
      </w:pPr>
    </w:p>
    <w:p w14:paraId="52A49E86">
      <w:pPr>
        <w:adjustRightInd w:val="0"/>
        <w:snapToGrid w:val="0"/>
        <w:spacing w:line="360" w:lineRule="auto"/>
        <w:rPr>
          <w:rFonts w:hint="eastAsia" w:ascii="黑体" w:hAnsi="黑体" w:cs="宋体"/>
          <w:bCs/>
          <w:snapToGrid w:val="0"/>
          <w:kern w:val="0"/>
          <w:sz w:val="24"/>
        </w:rPr>
      </w:pPr>
    </w:p>
    <w:p w14:paraId="10626681">
      <w:pPr>
        <w:adjustRightInd w:val="0"/>
        <w:snapToGrid w:val="0"/>
        <w:spacing w:line="360" w:lineRule="auto"/>
        <w:rPr>
          <w:rFonts w:hint="eastAsia" w:ascii="黑体" w:hAnsi="黑体" w:cs="宋体"/>
          <w:bCs/>
          <w:snapToGrid w:val="0"/>
          <w:kern w:val="0"/>
          <w:sz w:val="24"/>
        </w:rPr>
      </w:pPr>
    </w:p>
    <w:p w14:paraId="2A0324F4">
      <w:pPr>
        <w:adjustRightInd w:val="0"/>
        <w:snapToGrid w:val="0"/>
        <w:spacing w:line="360" w:lineRule="auto"/>
        <w:rPr>
          <w:rFonts w:hint="eastAsia" w:ascii="黑体" w:hAnsi="黑体" w:cs="宋体"/>
          <w:bCs/>
          <w:snapToGrid w:val="0"/>
          <w:kern w:val="0"/>
          <w:sz w:val="24"/>
        </w:rPr>
      </w:pPr>
    </w:p>
    <w:p w14:paraId="55AD600F">
      <w:pPr>
        <w:adjustRightInd w:val="0"/>
        <w:snapToGrid w:val="0"/>
        <w:spacing w:line="360" w:lineRule="auto"/>
        <w:ind w:firstLine="1267" w:firstLineChars="396"/>
        <w:rPr>
          <w:rFonts w:hint="eastAsia" w:ascii="黑体" w:hAnsi="黑体" w:cs="宋体"/>
          <w:bCs/>
          <w:snapToGrid w:val="0"/>
          <w:kern w:val="0"/>
          <w:sz w:val="32"/>
          <w:szCs w:val="32"/>
        </w:rPr>
      </w:pPr>
      <w:r>
        <w:rPr>
          <w:rFonts w:hint="eastAsia" w:ascii="黑体" w:hAnsi="黑体" w:cs="宋体"/>
          <w:bCs/>
          <w:snapToGrid w:val="0"/>
          <w:kern w:val="0"/>
          <w:sz w:val="32"/>
          <w:szCs w:val="32"/>
        </w:rPr>
        <w:t>发包人（甲方）：广州新中轴建设有限公司</w:t>
      </w:r>
    </w:p>
    <w:p w14:paraId="774AFADC">
      <w:pPr>
        <w:adjustRightInd w:val="0"/>
        <w:snapToGrid w:val="0"/>
        <w:spacing w:line="360" w:lineRule="auto"/>
        <w:ind w:firstLine="1267" w:firstLineChars="396"/>
        <w:rPr>
          <w:rFonts w:hint="eastAsia" w:ascii="黑体" w:hAnsi="黑体" w:cs="宋体"/>
          <w:bCs/>
          <w:snapToGrid w:val="0"/>
          <w:kern w:val="0"/>
          <w:sz w:val="32"/>
          <w:szCs w:val="32"/>
        </w:rPr>
      </w:pPr>
      <w:r>
        <w:rPr>
          <w:rFonts w:hint="eastAsia" w:ascii="黑体" w:hAnsi="黑体" w:cs="宋体"/>
          <w:bCs/>
          <w:snapToGrid w:val="0"/>
          <w:kern w:val="0"/>
          <w:sz w:val="32"/>
          <w:szCs w:val="32"/>
        </w:rPr>
        <w:t>承包人（乙方）：【承包人单位名称】</w:t>
      </w:r>
    </w:p>
    <w:p w14:paraId="55BA99C1">
      <w:pPr>
        <w:adjustRightInd w:val="0"/>
        <w:snapToGrid w:val="0"/>
        <w:spacing w:line="360" w:lineRule="auto"/>
        <w:ind w:firstLine="630" w:firstLineChars="196"/>
        <w:rPr>
          <w:rFonts w:hint="eastAsia" w:ascii="宋体" w:hAnsi="宋体" w:eastAsia="宋体" w:cs="宋体"/>
          <w:b/>
          <w:bCs/>
          <w:snapToGrid w:val="0"/>
          <w:kern w:val="0"/>
          <w:sz w:val="32"/>
          <w:szCs w:val="32"/>
        </w:rPr>
      </w:pPr>
    </w:p>
    <w:p w14:paraId="72A95E2C">
      <w:pPr>
        <w:adjustRightInd w:val="0"/>
        <w:snapToGrid w:val="0"/>
        <w:spacing w:line="360" w:lineRule="auto"/>
        <w:jc w:val="center"/>
        <w:outlineLvl w:val="0"/>
        <w:rPr>
          <w:rFonts w:hint="eastAsia" w:ascii="宋体" w:hAnsi="宋体" w:eastAsia="宋体" w:cs="宋体"/>
          <w:b/>
          <w:bCs/>
          <w:snapToGrid w:val="0"/>
          <w:kern w:val="0"/>
          <w:sz w:val="44"/>
          <w:szCs w:val="44"/>
        </w:rPr>
        <w:sectPr>
          <w:footerReference r:id="rId3" w:type="even"/>
          <w:pgSz w:w="11907" w:h="16840"/>
          <w:pgMar w:top="1440" w:right="1797" w:bottom="1440" w:left="1797" w:header="851" w:footer="992" w:gutter="0"/>
          <w:cols w:space="720" w:num="1"/>
          <w:titlePg/>
          <w:docGrid w:type="lines" w:linePitch="312" w:charSpace="0"/>
        </w:sectPr>
      </w:pPr>
      <w:bookmarkStart w:id="3" w:name="_Toc396662260"/>
      <w:bookmarkStart w:id="4" w:name="_Toc397364809"/>
      <w:bookmarkStart w:id="5" w:name="_Toc8653"/>
    </w:p>
    <w:p w14:paraId="668EAEC0">
      <w:pPr>
        <w:adjustRightInd w:val="0"/>
        <w:snapToGrid w:val="0"/>
        <w:spacing w:line="360" w:lineRule="auto"/>
        <w:jc w:val="center"/>
        <w:outlineLvl w:val="0"/>
        <w:rPr>
          <w:rFonts w:hint="eastAsia" w:ascii="宋体" w:hAnsi="宋体" w:eastAsia="宋体" w:cs="宋体"/>
          <w:b/>
          <w:bCs/>
          <w:snapToGrid w:val="0"/>
          <w:kern w:val="0"/>
          <w:sz w:val="44"/>
          <w:szCs w:val="44"/>
        </w:rPr>
      </w:pPr>
      <w:bookmarkStart w:id="6" w:name="_Toc63329362"/>
      <w:bookmarkStart w:id="7" w:name="_Toc8491"/>
      <w:bookmarkStart w:id="8" w:name="_Toc176192711"/>
      <w:bookmarkStart w:id="9" w:name="_Toc27895"/>
      <w:r>
        <w:rPr>
          <w:rFonts w:hint="eastAsia" w:ascii="宋体" w:hAnsi="宋体" w:eastAsia="宋体" w:cs="宋体"/>
          <w:b/>
          <w:bCs/>
          <w:snapToGrid w:val="0"/>
          <w:kern w:val="0"/>
          <w:sz w:val="44"/>
          <w:szCs w:val="44"/>
        </w:rPr>
        <w:t>目  录</w:t>
      </w:r>
      <w:bookmarkEnd w:id="6"/>
      <w:bookmarkEnd w:id="7"/>
      <w:bookmarkEnd w:id="8"/>
      <w:bookmarkEnd w:id="9"/>
    </w:p>
    <w:p w14:paraId="357C74D0">
      <w:pPr>
        <w:pStyle w:val="30"/>
        <w:tabs>
          <w:tab w:val="right" w:leader="dot" w:pos="8303"/>
        </w:tabs>
        <w:rPr>
          <w:rFonts w:hint="eastAsia" w:asciiTheme="minorHAnsi" w:hAnsiTheme="minorHAnsi" w:eastAsiaTheme="minorEastAsia" w:cstheme="minorBidi"/>
          <w:sz w:val="22"/>
          <w14:ligatures w14:val="standardContextual"/>
        </w:rPr>
      </w:pPr>
      <w:r>
        <w:rPr>
          <w:rFonts w:hint="eastAsia" w:ascii="宋体" w:hAnsi="宋体" w:eastAsia="宋体" w:cs="宋体"/>
          <w:bCs/>
          <w:snapToGrid w:val="0"/>
          <w:kern w:val="0"/>
          <w:sz w:val="24"/>
        </w:rPr>
        <w:fldChar w:fldCharType="begin"/>
      </w:r>
      <w:r>
        <w:rPr>
          <w:rFonts w:hint="eastAsia" w:ascii="宋体" w:hAnsi="宋体" w:eastAsia="宋体" w:cs="宋体"/>
          <w:bCs/>
          <w:snapToGrid w:val="0"/>
          <w:kern w:val="0"/>
          <w:sz w:val="24"/>
        </w:rPr>
        <w:instrText xml:space="preserve">TOC \o "1-3" \h \u </w:instrText>
      </w:r>
      <w:r>
        <w:rPr>
          <w:rFonts w:hint="eastAsia" w:ascii="宋体" w:hAnsi="宋体" w:eastAsia="宋体" w:cs="宋体"/>
          <w:bCs/>
          <w:snapToGrid w:val="0"/>
          <w:kern w:val="0"/>
          <w:sz w:val="24"/>
        </w:rPr>
        <w:fldChar w:fldCharType="separate"/>
      </w:r>
      <w:r>
        <w:fldChar w:fldCharType="begin"/>
      </w:r>
      <w:r>
        <w:instrText xml:space="preserve"> HYPERLINK \l "_Toc176192711" </w:instrText>
      </w:r>
      <w:r>
        <w:fldChar w:fldCharType="separate"/>
      </w:r>
      <w:r>
        <w:rPr>
          <w:rStyle w:val="46"/>
          <w:rFonts w:hint="eastAsia" w:ascii="宋体" w:hAnsi="宋体" w:eastAsia="宋体" w:cs="宋体"/>
          <w:b/>
          <w:bCs/>
          <w:snapToGrid w:val="0"/>
          <w:color w:val="auto"/>
          <w:kern w:val="0"/>
        </w:rPr>
        <w:t>目  录</w:t>
      </w:r>
      <w:r>
        <w:rPr>
          <w:rFonts w:hint="eastAsia"/>
        </w:rPr>
        <w:tab/>
      </w:r>
      <w:r>
        <w:rPr>
          <w:rFonts w:hint="eastAsia"/>
        </w:rPr>
        <w:fldChar w:fldCharType="begin"/>
      </w:r>
      <w:r>
        <w:rPr>
          <w:rFonts w:hint="eastAsia"/>
        </w:rPr>
        <w:instrText xml:space="preserve"> </w:instrText>
      </w:r>
      <w:r>
        <w:instrText xml:space="preserve">PAGEREF _Toc176192711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29A194C">
      <w:pPr>
        <w:pStyle w:val="30"/>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"_Toc176192712" </w:instrText>
      </w:r>
      <w:r>
        <w:fldChar w:fldCharType="separate"/>
      </w:r>
      <w:r>
        <w:rPr>
          <w:rStyle w:val="46"/>
          <w:rFonts w:hint="eastAsia" w:ascii="宋体" w:hAnsi="宋体" w:eastAsia="宋体" w:cs="宋体"/>
          <w:b/>
          <w:bCs/>
          <w:snapToGrid w:val="0"/>
          <w:color w:val="auto"/>
          <w:kern w:val="0"/>
        </w:rPr>
        <w:t>第一部分  合同协议书</w:t>
      </w:r>
      <w:r>
        <w:rPr>
          <w:rFonts w:hint="eastAsia"/>
        </w:rPr>
        <w:tab/>
      </w:r>
      <w:r>
        <w:rPr>
          <w:rFonts w:hint="eastAsia"/>
        </w:rPr>
        <w:fldChar w:fldCharType="begin"/>
      </w:r>
      <w:r>
        <w:rPr>
          <w:rFonts w:hint="eastAsia"/>
        </w:rPr>
        <w:instrText xml:space="preserve"> </w:instrText>
      </w:r>
      <w:r>
        <w:instrText xml:space="preserve">PAGEREF _Toc176192712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6CC921E4">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"_Toc176192713" </w:instrText>
      </w:r>
      <w:r>
        <w:fldChar w:fldCharType="separate"/>
      </w:r>
      <w:r>
        <w:rPr>
          <w:rStyle w:val="46"/>
          <w:rFonts w:hint="eastAsia" w:ascii="宋体" w:hAnsi="宋体" w:eastAsia="宋体" w:cs="宋体"/>
          <w:b/>
          <w:bCs/>
          <w:snapToGrid w:val="0"/>
          <w:color w:val="auto"/>
          <w:kern w:val="0"/>
        </w:rPr>
        <w:t>1、工程概况</w:t>
      </w:r>
      <w:r>
        <w:rPr>
          <w:rFonts w:hint="eastAsia"/>
        </w:rPr>
        <w:tab/>
      </w:r>
      <w:r>
        <w:rPr>
          <w:rFonts w:hint="eastAsia"/>
        </w:rPr>
        <w:fldChar w:fldCharType="begin"/>
      </w:r>
      <w:r>
        <w:rPr>
          <w:rFonts w:hint="eastAsia"/>
        </w:rPr>
        <w:instrText xml:space="preserve"> </w:instrText>
      </w:r>
      <w:r>
        <w:instrText xml:space="preserve">PAGEREF _Toc176192713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7B262B40">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"_Toc176192714" </w:instrText>
      </w:r>
      <w:r>
        <w:fldChar w:fldCharType="separate"/>
      </w:r>
      <w:r>
        <w:rPr>
          <w:rStyle w:val="46"/>
          <w:rFonts w:hint="eastAsia" w:ascii="宋体" w:hAnsi="宋体" w:eastAsia="宋体" w:cs="宋体"/>
          <w:b/>
          <w:bCs/>
          <w:snapToGrid w:val="0"/>
          <w:color w:val="auto"/>
          <w:kern w:val="0"/>
        </w:rPr>
        <w:t>2、承包范围、内容及方式</w:t>
      </w:r>
      <w:r>
        <w:rPr>
          <w:rFonts w:hint="eastAsia"/>
        </w:rPr>
        <w:tab/>
      </w:r>
      <w:r>
        <w:rPr>
          <w:rFonts w:hint="eastAsia"/>
        </w:rPr>
        <w:fldChar w:fldCharType="begin"/>
      </w:r>
      <w:r>
        <w:rPr>
          <w:rFonts w:hint="eastAsia"/>
        </w:rPr>
        <w:instrText xml:space="preserve"> </w:instrText>
      </w:r>
      <w:r>
        <w:instrText xml:space="preserve">PAGEREF _Toc176192714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02563E19">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"_Toc176192715" </w:instrText>
      </w:r>
      <w:r>
        <w:fldChar w:fldCharType="separate"/>
      </w:r>
      <w:r>
        <w:rPr>
          <w:rStyle w:val="46"/>
          <w:rFonts w:hint="eastAsia" w:ascii="宋体" w:hAnsi="宋体" w:eastAsia="宋体" w:cs="宋体"/>
          <w:b/>
          <w:bCs/>
          <w:snapToGrid w:val="0"/>
          <w:color w:val="auto"/>
          <w:kern w:val="0"/>
        </w:rPr>
        <w:t>3、合同工期</w:t>
      </w:r>
      <w:r>
        <w:rPr>
          <w:rFonts w:hint="eastAsia"/>
        </w:rPr>
        <w:tab/>
      </w:r>
      <w:r>
        <w:rPr>
          <w:rFonts w:hint="eastAsia"/>
        </w:rPr>
        <w:fldChar w:fldCharType="begin"/>
      </w:r>
      <w:r>
        <w:rPr>
          <w:rFonts w:hint="eastAsia"/>
        </w:rPr>
        <w:instrText xml:space="preserve"> </w:instrText>
      </w:r>
      <w:r>
        <w:instrText xml:space="preserve">PAGEREF _Toc176192715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419904B2">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"_Toc176192716" </w:instrText>
      </w:r>
      <w:r>
        <w:fldChar w:fldCharType="separate"/>
      </w:r>
      <w:r>
        <w:rPr>
          <w:rStyle w:val="46"/>
          <w:rFonts w:hint="eastAsia" w:ascii="宋体" w:hAnsi="宋体" w:eastAsia="宋体" w:cs="宋体"/>
          <w:b/>
          <w:bCs/>
          <w:snapToGrid w:val="0"/>
          <w:color w:val="auto"/>
          <w:kern w:val="0"/>
        </w:rPr>
        <w:t>4、质量要求</w:t>
      </w:r>
      <w:r>
        <w:rPr>
          <w:rFonts w:hint="eastAsia"/>
        </w:rPr>
        <w:tab/>
      </w:r>
      <w:r>
        <w:rPr>
          <w:rFonts w:hint="eastAsia"/>
        </w:rPr>
        <w:fldChar w:fldCharType="begin"/>
      </w:r>
      <w:r>
        <w:rPr>
          <w:rFonts w:hint="eastAsia"/>
        </w:rPr>
        <w:instrText xml:space="preserve"> </w:instrText>
      </w:r>
      <w:r>
        <w:instrText xml:space="preserve">PAGEREF _Toc176192716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265602AD">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"_Toc176192717" </w:instrText>
      </w:r>
      <w:r>
        <w:fldChar w:fldCharType="separate"/>
      </w:r>
      <w:r>
        <w:rPr>
          <w:rStyle w:val="46"/>
          <w:rFonts w:hint="eastAsia" w:ascii="宋体" w:hAnsi="宋体" w:eastAsia="宋体" w:cs="宋体"/>
          <w:b/>
          <w:bCs/>
          <w:snapToGrid w:val="0"/>
          <w:color w:val="auto"/>
          <w:kern w:val="0"/>
        </w:rPr>
        <w:t>5、职业健康安全管理目标和环境管理目标</w:t>
      </w:r>
      <w:r>
        <w:rPr>
          <w:rFonts w:hint="eastAsia"/>
        </w:rPr>
        <w:tab/>
      </w:r>
      <w:r>
        <w:rPr>
          <w:rFonts w:hint="eastAsia"/>
        </w:rPr>
        <w:fldChar w:fldCharType="begin"/>
      </w:r>
      <w:r>
        <w:rPr>
          <w:rFonts w:hint="eastAsia"/>
        </w:rPr>
        <w:instrText xml:space="preserve"> </w:instrText>
      </w:r>
      <w:r>
        <w:instrText xml:space="preserve">PAGEREF _Toc176192717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CB16171">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"_Toc176192718" </w:instrText>
      </w:r>
      <w:r>
        <w:fldChar w:fldCharType="separate"/>
      </w:r>
      <w:r>
        <w:rPr>
          <w:rStyle w:val="46"/>
          <w:rFonts w:hint="eastAsia" w:ascii="宋体" w:hAnsi="宋体" w:eastAsia="宋体" w:cs="宋体"/>
          <w:b/>
          <w:bCs/>
          <w:snapToGrid w:val="0"/>
          <w:color w:val="auto"/>
          <w:kern w:val="0"/>
        </w:rPr>
        <w:t>6、合同金额</w:t>
      </w:r>
      <w:r>
        <w:rPr>
          <w:rFonts w:hint="eastAsia"/>
        </w:rPr>
        <w:tab/>
      </w:r>
      <w:r>
        <w:rPr>
          <w:rFonts w:hint="eastAsia"/>
        </w:rPr>
        <w:fldChar w:fldCharType="begin"/>
      </w:r>
      <w:r>
        <w:rPr>
          <w:rFonts w:hint="eastAsia"/>
        </w:rPr>
        <w:instrText xml:space="preserve"> </w:instrText>
      </w:r>
      <w:r>
        <w:instrText xml:space="preserve">PAGEREF _Toc176192718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14:paraId="4BF4078A">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"_Toc176192719" </w:instrText>
      </w:r>
      <w:r>
        <w:fldChar w:fldCharType="separate"/>
      </w:r>
      <w:r>
        <w:rPr>
          <w:rStyle w:val="46"/>
          <w:rFonts w:hint="eastAsia" w:ascii="宋体" w:hAnsi="宋体" w:eastAsia="宋体" w:cs="宋体"/>
          <w:b/>
          <w:bCs/>
          <w:snapToGrid w:val="0"/>
          <w:color w:val="auto"/>
          <w:kern w:val="0"/>
        </w:rPr>
        <w:t>7、组成合同的文件</w:t>
      </w:r>
      <w:r>
        <w:rPr>
          <w:rFonts w:hint="eastAsia"/>
        </w:rPr>
        <w:tab/>
      </w:r>
      <w:r>
        <w:rPr>
          <w:rFonts w:hint="eastAsia"/>
        </w:rPr>
        <w:fldChar w:fldCharType="begin"/>
      </w:r>
      <w:r>
        <w:rPr>
          <w:rFonts w:hint="eastAsia"/>
        </w:rPr>
        <w:instrText xml:space="preserve"> </w:instrText>
      </w:r>
      <w:r>
        <w:instrText xml:space="preserve">PAGEREF _Toc176192719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14:paraId="6BD20AA7">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"_Toc176192720" </w:instrText>
      </w:r>
      <w:r>
        <w:fldChar w:fldCharType="separate"/>
      </w:r>
      <w:r>
        <w:rPr>
          <w:rStyle w:val="46"/>
          <w:rFonts w:hint="eastAsia" w:ascii="宋体" w:hAnsi="宋体" w:eastAsia="宋体" w:cs="宋体"/>
          <w:b/>
          <w:bCs/>
          <w:snapToGrid w:val="0"/>
          <w:color w:val="auto"/>
          <w:kern w:val="0"/>
        </w:rPr>
        <w:t>8、词语含义</w:t>
      </w:r>
      <w:r>
        <w:rPr>
          <w:rFonts w:hint="eastAsia"/>
        </w:rPr>
        <w:tab/>
      </w:r>
      <w:r>
        <w:rPr>
          <w:rFonts w:hint="eastAsia"/>
        </w:rPr>
        <w:fldChar w:fldCharType="begin"/>
      </w:r>
      <w:r>
        <w:rPr>
          <w:rFonts w:hint="eastAsia"/>
        </w:rPr>
        <w:instrText xml:space="preserve"> </w:instrText>
      </w:r>
      <w:r>
        <w:instrText xml:space="preserve">PAGEREF _Toc176192720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3EF9A7B">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"_Toc176192721" </w:instrText>
      </w:r>
      <w:r>
        <w:fldChar w:fldCharType="separate"/>
      </w:r>
      <w:r>
        <w:rPr>
          <w:rStyle w:val="46"/>
          <w:rFonts w:hint="eastAsia" w:ascii="宋体" w:hAnsi="宋体" w:eastAsia="宋体" w:cs="宋体"/>
          <w:b/>
          <w:bCs/>
          <w:snapToGrid w:val="0"/>
          <w:color w:val="auto"/>
          <w:kern w:val="0"/>
        </w:rPr>
        <w:t>9、承诺</w:t>
      </w:r>
      <w:r>
        <w:rPr>
          <w:rFonts w:hint="eastAsia"/>
        </w:rPr>
        <w:tab/>
      </w:r>
      <w:r>
        <w:rPr>
          <w:rFonts w:hint="eastAsia"/>
        </w:rPr>
        <w:fldChar w:fldCharType="begin"/>
      </w:r>
      <w:r>
        <w:rPr>
          <w:rFonts w:hint="eastAsia"/>
        </w:rPr>
        <w:instrText xml:space="preserve"> </w:instrText>
      </w:r>
      <w:r>
        <w:instrText xml:space="preserve">PAGEREF _Toc176192721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4A065D97">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"_Toc176192722" </w:instrText>
      </w:r>
      <w:r>
        <w:fldChar w:fldCharType="separate"/>
      </w:r>
      <w:r>
        <w:rPr>
          <w:rStyle w:val="46"/>
          <w:rFonts w:hint="eastAsia" w:ascii="宋体" w:hAnsi="宋体" w:eastAsia="宋体" w:cs="宋体"/>
          <w:b/>
          <w:bCs/>
          <w:snapToGrid w:val="0"/>
          <w:color w:val="auto"/>
          <w:kern w:val="0"/>
        </w:rPr>
        <w:t>10、争议解决</w:t>
      </w:r>
      <w:r>
        <w:rPr>
          <w:rFonts w:hint="eastAsia"/>
        </w:rPr>
        <w:tab/>
      </w:r>
      <w:r>
        <w:rPr>
          <w:rFonts w:hint="eastAsia"/>
        </w:rPr>
        <w:fldChar w:fldCharType="begin"/>
      </w:r>
      <w:r>
        <w:rPr>
          <w:rFonts w:hint="eastAsia"/>
        </w:rPr>
        <w:instrText xml:space="preserve"> </w:instrText>
      </w:r>
      <w:r>
        <w:instrText xml:space="preserve">PAGEREF _Toc176192722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71413BE6">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"_Toc176192723" </w:instrText>
      </w:r>
      <w:r>
        <w:fldChar w:fldCharType="separate"/>
      </w:r>
      <w:r>
        <w:rPr>
          <w:rStyle w:val="46"/>
          <w:rFonts w:hint="eastAsia" w:ascii="宋体" w:hAnsi="宋体" w:eastAsia="宋体" w:cs="宋体"/>
          <w:b/>
          <w:bCs/>
          <w:snapToGrid w:val="0"/>
          <w:color w:val="auto"/>
          <w:kern w:val="0"/>
        </w:rPr>
        <w:t>11、合同生效</w:t>
      </w:r>
      <w:r>
        <w:rPr>
          <w:rFonts w:hint="eastAsia"/>
        </w:rPr>
        <w:tab/>
      </w:r>
      <w:r>
        <w:rPr>
          <w:rFonts w:hint="eastAsia"/>
        </w:rPr>
        <w:fldChar w:fldCharType="begin"/>
      </w:r>
      <w:r>
        <w:rPr>
          <w:rFonts w:hint="eastAsia"/>
        </w:rPr>
        <w:instrText xml:space="preserve"> </w:instrText>
      </w:r>
      <w:r>
        <w:instrText xml:space="preserve">PAGEREF _Toc176192723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EA3E2C9">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"_Toc176192724" </w:instrText>
      </w:r>
      <w:r>
        <w:fldChar w:fldCharType="separate"/>
      </w:r>
      <w:r>
        <w:rPr>
          <w:rStyle w:val="46"/>
          <w:rFonts w:hint="eastAsia" w:ascii="宋体" w:hAnsi="宋体" w:eastAsia="宋体" w:cs="宋体"/>
          <w:b/>
          <w:bCs/>
          <w:snapToGrid w:val="0"/>
          <w:color w:val="auto"/>
          <w:kern w:val="0"/>
        </w:rPr>
        <w:t>12、合同份数</w:t>
      </w:r>
      <w:r>
        <w:rPr>
          <w:rFonts w:hint="eastAsia"/>
        </w:rPr>
        <w:tab/>
      </w:r>
      <w:r>
        <w:rPr>
          <w:rFonts w:hint="eastAsia"/>
        </w:rPr>
        <w:fldChar w:fldCharType="begin"/>
      </w:r>
      <w:r>
        <w:rPr>
          <w:rFonts w:hint="eastAsia"/>
        </w:rPr>
        <w:instrText xml:space="preserve"> </w:instrText>
      </w:r>
      <w:r>
        <w:instrText xml:space="preserve">PAGEREF _Toc176192724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20401928">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"_Toc176192725" </w:instrText>
      </w:r>
      <w:r>
        <w:fldChar w:fldCharType="separate"/>
      </w:r>
      <w:r>
        <w:rPr>
          <w:rStyle w:val="46"/>
          <w:rFonts w:hint="eastAsia" w:ascii="宋体" w:hAnsi="宋体" w:eastAsia="宋体" w:cs="宋体"/>
          <w:b/>
          <w:bCs/>
          <w:snapToGrid w:val="0"/>
          <w:color w:val="auto"/>
          <w:kern w:val="0"/>
        </w:rPr>
        <w:t>13、修正条款或补充条款</w:t>
      </w:r>
      <w:r>
        <w:rPr>
          <w:rFonts w:hint="eastAsia"/>
        </w:rPr>
        <w:tab/>
      </w:r>
      <w:r>
        <w:rPr>
          <w:rFonts w:hint="eastAsia"/>
        </w:rPr>
        <w:fldChar w:fldCharType="begin"/>
      </w:r>
      <w:r>
        <w:rPr>
          <w:rFonts w:hint="eastAsia"/>
        </w:rPr>
        <w:instrText xml:space="preserve"> </w:instrText>
      </w:r>
      <w:r>
        <w:instrText xml:space="preserve">PAGEREF _Toc176192725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5611C8CE">
      <w:pPr>
        <w:pStyle w:val="30"/>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"_Toc176192726" </w:instrText>
      </w:r>
      <w:r>
        <w:fldChar w:fldCharType="separate"/>
      </w:r>
      <w:r>
        <w:rPr>
          <w:rStyle w:val="46"/>
          <w:rFonts w:hint="eastAsia" w:ascii="宋体" w:hAnsi="宋体" w:eastAsia="宋体" w:cs="宋体"/>
          <w:b/>
          <w:bCs/>
          <w:snapToGrid w:val="0"/>
          <w:color w:val="auto"/>
          <w:kern w:val="0"/>
        </w:rPr>
        <w:t>第二部分  通用条款</w:t>
      </w:r>
      <w:r>
        <w:rPr>
          <w:rFonts w:hint="eastAsia"/>
        </w:rPr>
        <w:tab/>
      </w:r>
      <w:r>
        <w:rPr>
          <w:rFonts w:hint="eastAsia"/>
        </w:rPr>
        <w:fldChar w:fldCharType="begin"/>
      </w:r>
      <w:r>
        <w:rPr>
          <w:rFonts w:hint="eastAsia"/>
        </w:rPr>
        <w:instrText xml:space="preserve"> </w:instrText>
      </w:r>
      <w:r>
        <w:instrText xml:space="preserve">PAGEREF _Toc176192726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351664C">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"_Toc176192727" </w:instrText>
      </w:r>
      <w:r>
        <w:fldChar w:fldCharType="separate"/>
      </w:r>
      <w:r>
        <w:rPr>
          <w:rStyle w:val="46"/>
          <w:rFonts w:hint="eastAsia" w:ascii="宋体" w:hAnsi="宋体" w:eastAsia="宋体" w:cs="宋体"/>
          <w:b/>
          <w:snapToGrid w:val="0"/>
          <w:color w:val="auto"/>
          <w:kern w:val="0"/>
        </w:rPr>
        <w:t>一、词语定义及合同文件</w:t>
      </w:r>
      <w:r>
        <w:rPr>
          <w:rFonts w:hint="eastAsia"/>
        </w:rPr>
        <w:tab/>
      </w:r>
      <w:r>
        <w:rPr>
          <w:rFonts w:hint="eastAsia"/>
        </w:rPr>
        <w:fldChar w:fldCharType="begin"/>
      </w:r>
      <w:r>
        <w:rPr>
          <w:rFonts w:hint="eastAsia"/>
        </w:rPr>
        <w:instrText xml:space="preserve"> </w:instrText>
      </w:r>
      <w:r>
        <w:instrText xml:space="preserve">PAGEREF _Toc176192727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64CE34D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"_Toc176192728" </w:instrText>
      </w:r>
      <w:r>
        <w:fldChar w:fldCharType="separate"/>
      </w:r>
      <w:r>
        <w:rPr>
          <w:rStyle w:val="46"/>
          <w:rFonts w:hint="eastAsia" w:ascii="宋体" w:hAnsi="宋体" w:eastAsia="宋体" w:cs="宋体"/>
          <w:b/>
          <w:snapToGrid w:val="0"/>
          <w:color w:val="auto"/>
          <w:kern w:val="0"/>
        </w:rPr>
        <w:t>1、词语定义</w:t>
      </w:r>
      <w:r>
        <w:rPr>
          <w:rFonts w:hint="eastAsia"/>
        </w:rPr>
        <w:tab/>
      </w:r>
      <w:r>
        <w:rPr>
          <w:rFonts w:hint="eastAsia"/>
        </w:rPr>
        <w:fldChar w:fldCharType="begin"/>
      </w:r>
      <w:r>
        <w:rPr>
          <w:rFonts w:hint="eastAsia"/>
        </w:rPr>
        <w:instrText xml:space="preserve"> </w:instrText>
      </w:r>
      <w:r>
        <w:instrText xml:space="preserve">PAGEREF _Toc176192728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55CD3382">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"_Toc176192729" </w:instrText>
      </w:r>
      <w:r>
        <w:fldChar w:fldCharType="separate"/>
      </w:r>
      <w:r>
        <w:rPr>
          <w:rStyle w:val="46"/>
          <w:rFonts w:hint="eastAsia" w:ascii="宋体" w:hAnsi="宋体" w:eastAsia="宋体" w:cs="宋体"/>
          <w:b/>
          <w:snapToGrid w:val="0"/>
          <w:color w:val="auto"/>
          <w:kern w:val="0"/>
        </w:rPr>
        <w:t>2、合同文件及解释顺序</w:t>
      </w:r>
      <w:r>
        <w:rPr>
          <w:rFonts w:hint="eastAsia"/>
        </w:rPr>
        <w:tab/>
      </w:r>
      <w:r>
        <w:rPr>
          <w:rFonts w:hint="eastAsia"/>
        </w:rPr>
        <w:fldChar w:fldCharType="begin"/>
      </w:r>
      <w:r>
        <w:rPr>
          <w:rFonts w:hint="eastAsia"/>
        </w:rPr>
        <w:instrText xml:space="preserve"> </w:instrText>
      </w:r>
      <w:r>
        <w:instrText xml:space="preserve">PAGEREF _Toc176192729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3C3DDD3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"_Toc176192730" </w:instrText>
      </w:r>
      <w:r>
        <w:fldChar w:fldCharType="separate"/>
      </w:r>
      <w:r>
        <w:rPr>
          <w:rStyle w:val="46"/>
          <w:rFonts w:hint="eastAsia" w:ascii="宋体" w:hAnsi="宋体" w:eastAsia="宋体" w:cs="宋体"/>
          <w:b/>
          <w:snapToGrid w:val="0"/>
          <w:color w:val="auto"/>
          <w:kern w:val="0"/>
        </w:rPr>
        <w:t>3、语言文字和适用法律、标准及规范</w:t>
      </w:r>
      <w:r>
        <w:rPr>
          <w:rFonts w:hint="eastAsia"/>
        </w:rPr>
        <w:tab/>
      </w:r>
      <w:r>
        <w:rPr>
          <w:rFonts w:hint="eastAsia"/>
        </w:rPr>
        <w:fldChar w:fldCharType="begin"/>
      </w:r>
      <w:r>
        <w:rPr>
          <w:rFonts w:hint="eastAsia"/>
        </w:rPr>
        <w:instrText xml:space="preserve"> </w:instrText>
      </w:r>
      <w:r>
        <w:instrText xml:space="preserve">PAGEREF _Toc176192730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C5B67E9">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"_Toc176192731" </w:instrText>
      </w:r>
      <w:r>
        <w:fldChar w:fldCharType="separate"/>
      </w:r>
      <w:r>
        <w:rPr>
          <w:rStyle w:val="46"/>
          <w:rFonts w:hint="eastAsia" w:ascii="宋体" w:hAnsi="宋体" w:eastAsia="宋体" w:cs="宋体"/>
          <w:b/>
          <w:snapToGrid w:val="0"/>
          <w:color w:val="auto"/>
          <w:kern w:val="0"/>
        </w:rPr>
        <w:t>4、图纸</w:t>
      </w:r>
      <w:r>
        <w:rPr>
          <w:rFonts w:hint="eastAsia"/>
        </w:rPr>
        <w:tab/>
      </w:r>
      <w:r>
        <w:rPr>
          <w:rFonts w:hint="eastAsia"/>
        </w:rPr>
        <w:fldChar w:fldCharType="begin"/>
      </w:r>
      <w:r>
        <w:rPr>
          <w:rFonts w:hint="eastAsia"/>
        </w:rPr>
        <w:instrText xml:space="preserve"> </w:instrText>
      </w:r>
      <w:r>
        <w:instrText xml:space="preserve">PAGEREF _Toc176192731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49AE1795">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"_Toc176192732" </w:instrText>
      </w:r>
      <w:r>
        <w:fldChar w:fldCharType="separate"/>
      </w:r>
      <w:r>
        <w:rPr>
          <w:rStyle w:val="46"/>
          <w:rFonts w:hint="eastAsia" w:ascii="宋体" w:hAnsi="宋体" w:eastAsia="宋体" w:cs="宋体"/>
          <w:b/>
          <w:snapToGrid w:val="0"/>
          <w:color w:val="auto"/>
          <w:kern w:val="0"/>
        </w:rPr>
        <w:t>二、双方一般权利和义务</w:t>
      </w:r>
      <w:r>
        <w:rPr>
          <w:rFonts w:hint="eastAsia"/>
        </w:rPr>
        <w:tab/>
      </w:r>
      <w:r>
        <w:rPr>
          <w:rFonts w:hint="eastAsia"/>
        </w:rPr>
        <w:fldChar w:fldCharType="begin"/>
      </w:r>
      <w:r>
        <w:rPr>
          <w:rFonts w:hint="eastAsia"/>
        </w:rPr>
        <w:instrText xml:space="preserve"> </w:instrText>
      </w:r>
      <w:r>
        <w:instrText xml:space="preserve">PAGEREF _Toc176192732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36CB82F9">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"_Toc176192733" </w:instrText>
      </w:r>
      <w:r>
        <w:fldChar w:fldCharType="separate"/>
      </w:r>
      <w:r>
        <w:rPr>
          <w:rStyle w:val="46"/>
          <w:rFonts w:hint="eastAsia" w:ascii="宋体" w:hAnsi="宋体" w:eastAsia="宋体" w:cs="宋体"/>
          <w:b/>
          <w:snapToGrid w:val="0"/>
          <w:color w:val="auto"/>
          <w:kern w:val="0"/>
        </w:rPr>
        <w:t>5、工程师</w:t>
      </w:r>
      <w:r>
        <w:rPr>
          <w:rFonts w:hint="eastAsia"/>
        </w:rPr>
        <w:tab/>
      </w:r>
      <w:r>
        <w:rPr>
          <w:rFonts w:hint="eastAsia"/>
        </w:rPr>
        <w:fldChar w:fldCharType="begin"/>
      </w:r>
      <w:r>
        <w:rPr>
          <w:rFonts w:hint="eastAsia"/>
        </w:rPr>
        <w:instrText xml:space="preserve"> </w:instrText>
      </w:r>
      <w:r>
        <w:instrText xml:space="preserve">PAGEREF _Toc176192733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386C6E1D">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"_Toc176192734" </w:instrText>
      </w:r>
      <w:r>
        <w:fldChar w:fldCharType="separate"/>
      </w:r>
      <w:r>
        <w:rPr>
          <w:rStyle w:val="46"/>
          <w:rFonts w:hint="eastAsia" w:ascii="宋体" w:hAnsi="宋体" w:eastAsia="宋体" w:cs="宋体"/>
          <w:b/>
          <w:snapToGrid w:val="0"/>
          <w:color w:val="auto"/>
          <w:kern w:val="0"/>
        </w:rPr>
        <w:t>6、工程师的委派和指令</w:t>
      </w:r>
      <w:r>
        <w:rPr>
          <w:rFonts w:hint="eastAsia"/>
        </w:rPr>
        <w:tab/>
      </w:r>
      <w:r>
        <w:rPr>
          <w:rFonts w:hint="eastAsia"/>
        </w:rPr>
        <w:fldChar w:fldCharType="begin"/>
      </w:r>
      <w:r>
        <w:rPr>
          <w:rFonts w:hint="eastAsia"/>
        </w:rPr>
        <w:instrText xml:space="preserve"> </w:instrText>
      </w:r>
      <w:r>
        <w:instrText xml:space="preserve">PAGEREF _Toc176192734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32C91857">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"_Toc176192735" </w:instrText>
      </w:r>
      <w:r>
        <w:fldChar w:fldCharType="separate"/>
      </w:r>
      <w:r>
        <w:rPr>
          <w:rStyle w:val="46"/>
          <w:rFonts w:hint="eastAsia" w:ascii="宋体" w:hAnsi="宋体" w:eastAsia="宋体" w:cs="宋体"/>
          <w:b/>
          <w:snapToGrid w:val="0"/>
          <w:color w:val="auto"/>
          <w:kern w:val="0"/>
        </w:rPr>
        <w:t>7、项目经理</w:t>
      </w:r>
      <w:r>
        <w:rPr>
          <w:rFonts w:hint="eastAsia"/>
        </w:rPr>
        <w:tab/>
      </w:r>
      <w:r>
        <w:rPr>
          <w:rFonts w:hint="eastAsia"/>
        </w:rPr>
        <w:fldChar w:fldCharType="begin"/>
      </w:r>
      <w:r>
        <w:rPr>
          <w:rFonts w:hint="eastAsia"/>
        </w:rPr>
        <w:instrText xml:space="preserve"> </w:instrText>
      </w:r>
      <w:r>
        <w:instrText xml:space="preserve">PAGEREF _Toc176192735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67B79838">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"_Toc176192736" </w:instrText>
      </w:r>
      <w:r>
        <w:fldChar w:fldCharType="separate"/>
      </w:r>
      <w:r>
        <w:rPr>
          <w:rStyle w:val="46"/>
          <w:rFonts w:hint="eastAsia" w:ascii="宋体" w:hAnsi="宋体" w:eastAsia="宋体" w:cs="宋体"/>
          <w:b/>
          <w:snapToGrid w:val="0"/>
          <w:color w:val="auto"/>
          <w:kern w:val="0"/>
        </w:rPr>
        <w:t>8、发包人工作</w:t>
      </w:r>
      <w:r>
        <w:rPr>
          <w:rFonts w:hint="eastAsia"/>
        </w:rPr>
        <w:tab/>
      </w:r>
      <w:r>
        <w:rPr>
          <w:rFonts w:hint="eastAsia"/>
        </w:rPr>
        <w:fldChar w:fldCharType="begin"/>
      </w:r>
      <w:r>
        <w:rPr>
          <w:rFonts w:hint="eastAsia"/>
        </w:rPr>
        <w:instrText xml:space="preserve"> </w:instrText>
      </w:r>
      <w:r>
        <w:instrText xml:space="preserve">PAGEREF _Toc176192736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09579BA7">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"_Toc176192737" </w:instrText>
      </w:r>
      <w:r>
        <w:fldChar w:fldCharType="separate"/>
      </w:r>
      <w:r>
        <w:rPr>
          <w:rStyle w:val="46"/>
          <w:rFonts w:hint="eastAsia" w:ascii="宋体" w:hAnsi="宋体" w:eastAsia="宋体" w:cs="宋体"/>
          <w:b/>
          <w:snapToGrid w:val="0"/>
          <w:color w:val="auto"/>
          <w:kern w:val="0"/>
        </w:rPr>
        <w:t>9、承包人工作</w:t>
      </w:r>
      <w:r>
        <w:rPr>
          <w:rFonts w:hint="eastAsia"/>
        </w:rPr>
        <w:tab/>
      </w:r>
      <w:r>
        <w:rPr>
          <w:rFonts w:hint="eastAsia"/>
        </w:rPr>
        <w:fldChar w:fldCharType="begin"/>
      </w:r>
      <w:r>
        <w:rPr>
          <w:rFonts w:hint="eastAsia"/>
        </w:rPr>
        <w:instrText xml:space="preserve"> </w:instrText>
      </w:r>
      <w:r>
        <w:instrText xml:space="preserve">PAGEREF _Toc176192737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00FAFA16">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"_Toc176192738" </w:instrText>
      </w:r>
      <w:r>
        <w:fldChar w:fldCharType="separate"/>
      </w:r>
      <w:r>
        <w:rPr>
          <w:rStyle w:val="46"/>
          <w:rFonts w:hint="eastAsia" w:ascii="宋体" w:hAnsi="宋体" w:eastAsia="宋体" w:cs="宋体"/>
          <w:b/>
          <w:snapToGrid w:val="0"/>
          <w:color w:val="auto"/>
          <w:kern w:val="0"/>
        </w:rPr>
        <w:t>三、施工组织设计和工期</w:t>
      </w:r>
      <w:r>
        <w:rPr>
          <w:rFonts w:hint="eastAsia"/>
        </w:rPr>
        <w:tab/>
      </w:r>
      <w:r>
        <w:rPr>
          <w:rFonts w:hint="eastAsia"/>
        </w:rPr>
        <w:fldChar w:fldCharType="begin"/>
      </w:r>
      <w:r>
        <w:rPr>
          <w:rFonts w:hint="eastAsia"/>
        </w:rPr>
        <w:instrText xml:space="preserve"> </w:instrText>
      </w:r>
      <w:r>
        <w:instrText xml:space="preserve">PAGEREF _Toc176192738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3758DC1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"_Toc176192739" </w:instrText>
      </w:r>
      <w:r>
        <w:fldChar w:fldCharType="separate"/>
      </w:r>
      <w:r>
        <w:rPr>
          <w:rStyle w:val="46"/>
          <w:rFonts w:hint="eastAsia" w:ascii="宋体" w:hAnsi="宋体" w:eastAsia="宋体" w:cs="宋体"/>
          <w:b/>
          <w:snapToGrid w:val="0"/>
          <w:color w:val="auto"/>
          <w:kern w:val="0"/>
        </w:rPr>
        <w:t>10、进度计划</w:t>
      </w:r>
      <w:r>
        <w:rPr>
          <w:rFonts w:hint="eastAsia"/>
        </w:rPr>
        <w:tab/>
      </w:r>
      <w:r>
        <w:rPr>
          <w:rFonts w:hint="eastAsia"/>
        </w:rPr>
        <w:fldChar w:fldCharType="begin"/>
      </w:r>
      <w:r>
        <w:rPr>
          <w:rFonts w:hint="eastAsia"/>
        </w:rPr>
        <w:instrText xml:space="preserve"> </w:instrText>
      </w:r>
      <w:r>
        <w:instrText xml:space="preserve">PAGEREF _Toc176192739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6700E7E7">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"_Toc176192740" </w:instrText>
      </w:r>
      <w:r>
        <w:fldChar w:fldCharType="separate"/>
      </w:r>
      <w:r>
        <w:rPr>
          <w:rStyle w:val="46"/>
          <w:rFonts w:hint="eastAsia" w:ascii="宋体" w:hAnsi="宋体" w:eastAsia="宋体" w:cs="宋体"/>
          <w:b/>
          <w:snapToGrid w:val="0"/>
          <w:color w:val="auto"/>
          <w:kern w:val="0"/>
        </w:rPr>
        <w:t>11、开工及延期开工</w:t>
      </w:r>
      <w:r>
        <w:rPr>
          <w:rFonts w:hint="eastAsia"/>
        </w:rPr>
        <w:tab/>
      </w:r>
      <w:r>
        <w:rPr>
          <w:rFonts w:hint="eastAsia"/>
        </w:rPr>
        <w:fldChar w:fldCharType="begin"/>
      </w:r>
      <w:r>
        <w:rPr>
          <w:rFonts w:hint="eastAsia"/>
        </w:rPr>
        <w:instrText xml:space="preserve"> </w:instrText>
      </w:r>
      <w:r>
        <w:instrText xml:space="preserve">PAGEREF _Toc176192740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28CD6408">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"_Toc176192741" </w:instrText>
      </w:r>
      <w:r>
        <w:fldChar w:fldCharType="separate"/>
      </w:r>
      <w:r>
        <w:rPr>
          <w:rStyle w:val="46"/>
          <w:rFonts w:hint="eastAsia" w:ascii="宋体" w:hAnsi="宋体" w:eastAsia="宋体" w:cs="宋体"/>
          <w:b/>
          <w:snapToGrid w:val="0"/>
          <w:color w:val="auto"/>
          <w:kern w:val="0"/>
        </w:rPr>
        <w:t>12、暂停施工</w:t>
      </w:r>
      <w:r>
        <w:rPr>
          <w:rFonts w:hint="eastAsia"/>
        </w:rPr>
        <w:tab/>
      </w:r>
      <w:r>
        <w:rPr>
          <w:rFonts w:hint="eastAsia"/>
        </w:rPr>
        <w:fldChar w:fldCharType="begin"/>
      </w:r>
      <w:r>
        <w:rPr>
          <w:rFonts w:hint="eastAsia"/>
        </w:rPr>
        <w:instrText xml:space="preserve"> </w:instrText>
      </w:r>
      <w:r>
        <w:instrText xml:space="preserve">PAGEREF _Toc176192741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6A835BF3">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"_Toc176192742" </w:instrText>
      </w:r>
      <w:r>
        <w:fldChar w:fldCharType="separate"/>
      </w:r>
      <w:r>
        <w:rPr>
          <w:rStyle w:val="46"/>
          <w:rFonts w:hint="eastAsia" w:ascii="宋体" w:hAnsi="宋体" w:eastAsia="宋体" w:cs="宋体"/>
          <w:b/>
          <w:snapToGrid w:val="0"/>
          <w:color w:val="auto"/>
          <w:kern w:val="0"/>
        </w:rPr>
        <w:t>13、工期延误</w:t>
      </w:r>
      <w:r>
        <w:rPr>
          <w:rFonts w:hint="eastAsia"/>
        </w:rPr>
        <w:tab/>
      </w:r>
      <w:r>
        <w:rPr>
          <w:rFonts w:hint="eastAsia"/>
        </w:rPr>
        <w:fldChar w:fldCharType="begin"/>
      </w:r>
      <w:r>
        <w:rPr>
          <w:rFonts w:hint="eastAsia"/>
        </w:rPr>
        <w:instrText xml:space="preserve"> </w:instrText>
      </w:r>
      <w:r>
        <w:instrText xml:space="preserve">PAGEREF _Toc176192742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4C6B5956">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"_Toc176192743" </w:instrText>
      </w:r>
      <w:r>
        <w:fldChar w:fldCharType="separate"/>
      </w:r>
      <w:r>
        <w:rPr>
          <w:rStyle w:val="46"/>
          <w:rFonts w:hint="eastAsia" w:ascii="宋体" w:hAnsi="宋体" w:eastAsia="宋体" w:cs="宋体"/>
          <w:b/>
          <w:snapToGrid w:val="0"/>
          <w:color w:val="auto"/>
          <w:kern w:val="0"/>
        </w:rPr>
        <w:t>14、工程竣工</w:t>
      </w:r>
      <w:r>
        <w:rPr>
          <w:rFonts w:hint="eastAsia"/>
        </w:rPr>
        <w:tab/>
      </w:r>
      <w:r>
        <w:rPr>
          <w:rFonts w:hint="eastAsia"/>
        </w:rPr>
        <w:fldChar w:fldCharType="begin"/>
      </w:r>
      <w:r>
        <w:rPr>
          <w:rFonts w:hint="eastAsia"/>
        </w:rPr>
        <w:instrText xml:space="preserve"> </w:instrText>
      </w:r>
      <w:r>
        <w:instrText xml:space="preserve">PAGEREF _Toc176192743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4D4F0CD6">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"_Toc176192744" </w:instrText>
      </w:r>
      <w:r>
        <w:fldChar w:fldCharType="separate"/>
      </w:r>
      <w:r>
        <w:rPr>
          <w:rStyle w:val="46"/>
          <w:rFonts w:hint="eastAsia" w:ascii="宋体" w:hAnsi="宋体" w:eastAsia="宋体" w:cs="宋体"/>
          <w:b/>
          <w:snapToGrid w:val="0"/>
          <w:color w:val="auto"/>
          <w:kern w:val="0"/>
        </w:rPr>
        <w:t>四、质量与检验</w:t>
      </w:r>
      <w:r>
        <w:rPr>
          <w:rFonts w:hint="eastAsia"/>
        </w:rPr>
        <w:tab/>
      </w:r>
      <w:r>
        <w:rPr>
          <w:rFonts w:hint="eastAsia"/>
        </w:rPr>
        <w:fldChar w:fldCharType="begin"/>
      </w:r>
      <w:r>
        <w:rPr>
          <w:rFonts w:hint="eastAsia"/>
        </w:rPr>
        <w:instrText xml:space="preserve"> </w:instrText>
      </w:r>
      <w:r>
        <w:instrText xml:space="preserve">PAGEREF _Toc176192744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6CAC4A5A">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"_Toc176192745" </w:instrText>
      </w:r>
      <w:r>
        <w:fldChar w:fldCharType="separate"/>
      </w:r>
      <w:r>
        <w:rPr>
          <w:rStyle w:val="46"/>
          <w:rFonts w:hint="eastAsia" w:ascii="宋体" w:hAnsi="宋体" w:eastAsia="宋体" w:cs="宋体"/>
          <w:b/>
          <w:snapToGrid w:val="0"/>
          <w:color w:val="auto"/>
          <w:kern w:val="0"/>
        </w:rPr>
        <w:t>15、工程质量</w:t>
      </w:r>
      <w:r>
        <w:rPr>
          <w:rFonts w:hint="eastAsia"/>
        </w:rPr>
        <w:tab/>
      </w:r>
      <w:r>
        <w:rPr>
          <w:rFonts w:hint="eastAsia"/>
        </w:rPr>
        <w:fldChar w:fldCharType="begin"/>
      </w:r>
      <w:r>
        <w:rPr>
          <w:rFonts w:hint="eastAsia"/>
        </w:rPr>
        <w:instrText xml:space="preserve"> </w:instrText>
      </w:r>
      <w:r>
        <w:instrText xml:space="preserve">PAGEREF _Toc176192745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28AD4C04">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"_Toc176192746" </w:instrText>
      </w:r>
      <w:r>
        <w:fldChar w:fldCharType="separate"/>
      </w:r>
      <w:r>
        <w:rPr>
          <w:rStyle w:val="46"/>
          <w:rFonts w:hint="eastAsia" w:ascii="宋体" w:hAnsi="宋体" w:eastAsia="宋体" w:cs="宋体"/>
          <w:b/>
          <w:snapToGrid w:val="0"/>
          <w:color w:val="auto"/>
          <w:kern w:val="0"/>
        </w:rPr>
        <w:t>16、检查和返工</w:t>
      </w:r>
      <w:r>
        <w:rPr>
          <w:rFonts w:hint="eastAsia"/>
        </w:rPr>
        <w:tab/>
      </w:r>
      <w:r>
        <w:rPr>
          <w:rFonts w:hint="eastAsia"/>
        </w:rPr>
        <w:fldChar w:fldCharType="begin"/>
      </w:r>
      <w:r>
        <w:rPr>
          <w:rFonts w:hint="eastAsia"/>
        </w:rPr>
        <w:instrText xml:space="preserve"> </w:instrText>
      </w:r>
      <w:r>
        <w:instrText xml:space="preserve">PAGEREF _Toc176192746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1B4A0FE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"_Toc176192747" </w:instrText>
      </w:r>
      <w:r>
        <w:fldChar w:fldCharType="separate"/>
      </w:r>
      <w:r>
        <w:rPr>
          <w:rStyle w:val="46"/>
          <w:rFonts w:hint="eastAsia" w:ascii="宋体" w:hAnsi="宋体" w:eastAsia="宋体" w:cs="宋体"/>
          <w:b/>
          <w:snapToGrid w:val="0"/>
          <w:color w:val="auto"/>
          <w:kern w:val="0"/>
        </w:rPr>
        <w:t>17、隐蔽工程和中间验收</w:t>
      </w:r>
      <w:r>
        <w:rPr>
          <w:rFonts w:hint="eastAsia"/>
        </w:rPr>
        <w:tab/>
      </w:r>
      <w:r>
        <w:rPr>
          <w:rFonts w:hint="eastAsia"/>
        </w:rPr>
        <w:fldChar w:fldCharType="begin"/>
      </w:r>
      <w:r>
        <w:rPr>
          <w:rFonts w:hint="eastAsia"/>
        </w:rPr>
        <w:instrText xml:space="preserve"> </w:instrText>
      </w:r>
      <w:r>
        <w:instrText xml:space="preserve">PAGEREF _Toc176192747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035080E3">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"_Toc176192748" </w:instrText>
      </w:r>
      <w:r>
        <w:fldChar w:fldCharType="separate"/>
      </w:r>
      <w:r>
        <w:rPr>
          <w:rStyle w:val="46"/>
          <w:rFonts w:hint="eastAsia" w:ascii="宋体" w:hAnsi="宋体" w:eastAsia="宋体" w:cs="宋体"/>
          <w:b/>
          <w:snapToGrid w:val="0"/>
          <w:color w:val="auto"/>
          <w:kern w:val="0"/>
        </w:rPr>
        <w:t>18、重新检验</w:t>
      </w:r>
      <w:r>
        <w:rPr>
          <w:rFonts w:hint="eastAsia"/>
        </w:rPr>
        <w:tab/>
      </w:r>
      <w:r>
        <w:rPr>
          <w:rFonts w:hint="eastAsia"/>
        </w:rPr>
        <w:fldChar w:fldCharType="begin"/>
      </w:r>
      <w:r>
        <w:rPr>
          <w:rFonts w:hint="eastAsia"/>
        </w:rPr>
        <w:instrText xml:space="preserve"> </w:instrText>
      </w:r>
      <w:r>
        <w:instrText xml:space="preserve">PAGEREF _Toc176192748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426D3CE3">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"_Toc176192749" </w:instrText>
      </w:r>
      <w:r>
        <w:fldChar w:fldCharType="separate"/>
      </w:r>
      <w:r>
        <w:rPr>
          <w:rStyle w:val="46"/>
          <w:rFonts w:hint="eastAsia" w:ascii="宋体" w:hAnsi="宋体" w:eastAsia="宋体" w:cs="宋体"/>
          <w:b/>
          <w:snapToGrid w:val="0"/>
          <w:color w:val="auto"/>
          <w:kern w:val="0"/>
        </w:rPr>
        <w:t>19、工程试车</w:t>
      </w:r>
      <w:r>
        <w:rPr>
          <w:rFonts w:hint="eastAsia"/>
        </w:rPr>
        <w:tab/>
      </w:r>
      <w:r>
        <w:rPr>
          <w:rFonts w:hint="eastAsia"/>
        </w:rPr>
        <w:fldChar w:fldCharType="begin"/>
      </w:r>
      <w:r>
        <w:rPr>
          <w:rFonts w:hint="eastAsia"/>
        </w:rPr>
        <w:instrText xml:space="preserve"> </w:instrText>
      </w:r>
      <w:r>
        <w:instrText xml:space="preserve">PAGEREF _Toc176192749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73C5A1B0">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"_Toc176192750" </w:instrText>
      </w:r>
      <w:r>
        <w:fldChar w:fldCharType="separate"/>
      </w:r>
      <w:r>
        <w:rPr>
          <w:rStyle w:val="46"/>
          <w:rFonts w:hint="eastAsia" w:ascii="宋体" w:hAnsi="宋体" w:eastAsia="宋体" w:cs="宋体"/>
          <w:b/>
          <w:snapToGrid w:val="0"/>
          <w:color w:val="auto"/>
          <w:kern w:val="0"/>
        </w:rPr>
        <w:t>五、安全文明施工</w:t>
      </w:r>
      <w:r>
        <w:rPr>
          <w:rFonts w:hint="eastAsia"/>
        </w:rPr>
        <w:tab/>
      </w:r>
      <w:r>
        <w:rPr>
          <w:rFonts w:hint="eastAsia"/>
        </w:rPr>
        <w:fldChar w:fldCharType="begin"/>
      </w:r>
      <w:r>
        <w:rPr>
          <w:rFonts w:hint="eastAsia"/>
        </w:rPr>
        <w:instrText xml:space="preserve"> </w:instrText>
      </w:r>
      <w:r>
        <w:instrText xml:space="preserve">PAGEREF _Toc176192750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7FD8C9E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"_Toc176192751" </w:instrText>
      </w:r>
      <w:r>
        <w:fldChar w:fldCharType="separate"/>
      </w:r>
      <w:r>
        <w:rPr>
          <w:rStyle w:val="46"/>
          <w:rFonts w:hint="eastAsia" w:ascii="宋体" w:hAnsi="宋体" w:eastAsia="宋体" w:cs="宋体"/>
          <w:b/>
          <w:snapToGrid w:val="0"/>
          <w:color w:val="auto"/>
          <w:kern w:val="0"/>
        </w:rPr>
        <w:t>20、施工场地的占用和管理</w:t>
      </w:r>
      <w:r>
        <w:rPr>
          <w:rFonts w:hint="eastAsia"/>
        </w:rPr>
        <w:tab/>
      </w:r>
      <w:r>
        <w:rPr>
          <w:rFonts w:hint="eastAsia"/>
        </w:rPr>
        <w:fldChar w:fldCharType="begin"/>
      </w:r>
      <w:r>
        <w:rPr>
          <w:rFonts w:hint="eastAsia"/>
        </w:rPr>
        <w:instrText xml:space="preserve"> </w:instrText>
      </w:r>
      <w:r>
        <w:instrText xml:space="preserve">PAGEREF _Toc176192751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3AC5C123">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"_Toc176192752" </w:instrText>
      </w:r>
      <w:r>
        <w:fldChar w:fldCharType="separate"/>
      </w:r>
      <w:r>
        <w:rPr>
          <w:rStyle w:val="46"/>
          <w:rFonts w:hint="eastAsia" w:ascii="宋体" w:hAnsi="宋体" w:eastAsia="宋体" w:cs="宋体"/>
          <w:b/>
          <w:snapToGrid w:val="0"/>
          <w:color w:val="auto"/>
          <w:kern w:val="0"/>
        </w:rPr>
        <w:t>21、安全施工与检查</w:t>
      </w:r>
      <w:r>
        <w:rPr>
          <w:rFonts w:hint="eastAsia"/>
        </w:rPr>
        <w:tab/>
      </w:r>
      <w:r>
        <w:rPr>
          <w:rFonts w:hint="eastAsia"/>
        </w:rPr>
        <w:fldChar w:fldCharType="begin"/>
      </w:r>
      <w:r>
        <w:rPr>
          <w:rFonts w:hint="eastAsia"/>
        </w:rPr>
        <w:instrText xml:space="preserve"> </w:instrText>
      </w:r>
      <w:r>
        <w:instrText xml:space="preserve">PAGEREF _Toc176192752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4F8F340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"_Toc176192753" </w:instrText>
      </w:r>
      <w:r>
        <w:fldChar w:fldCharType="separate"/>
      </w:r>
      <w:r>
        <w:rPr>
          <w:rStyle w:val="46"/>
          <w:rFonts w:hint="eastAsia" w:ascii="宋体" w:hAnsi="宋体" w:eastAsia="宋体" w:cs="宋体"/>
          <w:b/>
          <w:snapToGrid w:val="0"/>
          <w:color w:val="auto"/>
          <w:kern w:val="0"/>
        </w:rPr>
        <w:t>22、安全防护</w:t>
      </w:r>
      <w:r>
        <w:rPr>
          <w:rFonts w:hint="eastAsia"/>
        </w:rPr>
        <w:tab/>
      </w:r>
      <w:r>
        <w:rPr>
          <w:rFonts w:hint="eastAsia"/>
        </w:rPr>
        <w:fldChar w:fldCharType="begin"/>
      </w:r>
      <w:r>
        <w:rPr>
          <w:rFonts w:hint="eastAsia"/>
        </w:rPr>
        <w:instrText xml:space="preserve"> </w:instrText>
      </w:r>
      <w:r>
        <w:instrText xml:space="preserve">PAGEREF _Toc176192753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43CCDCD8">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"_Toc176192754" </w:instrText>
      </w:r>
      <w:r>
        <w:fldChar w:fldCharType="separate"/>
      </w:r>
      <w:r>
        <w:rPr>
          <w:rStyle w:val="46"/>
          <w:rFonts w:hint="eastAsia" w:ascii="宋体" w:hAnsi="宋体" w:eastAsia="宋体" w:cs="宋体"/>
          <w:b/>
          <w:snapToGrid w:val="0"/>
          <w:color w:val="auto"/>
          <w:kern w:val="0"/>
        </w:rPr>
        <w:t>23、事故处理</w:t>
      </w:r>
      <w:r>
        <w:rPr>
          <w:rFonts w:hint="eastAsia"/>
        </w:rPr>
        <w:tab/>
      </w:r>
      <w:r>
        <w:rPr>
          <w:rFonts w:hint="eastAsia"/>
        </w:rPr>
        <w:fldChar w:fldCharType="begin"/>
      </w:r>
      <w:r>
        <w:rPr>
          <w:rFonts w:hint="eastAsia"/>
        </w:rPr>
        <w:instrText xml:space="preserve"> </w:instrText>
      </w:r>
      <w:r>
        <w:instrText xml:space="preserve">PAGEREF _Toc176192754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2541298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"_Toc176192755" </w:instrText>
      </w:r>
      <w:r>
        <w:fldChar w:fldCharType="separate"/>
      </w:r>
      <w:r>
        <w:rPr>
          <w:rStyle w:val="46"/>
          <w:rFonts w:hint="eastAsia" w:ascii="宋体" w:hAnsi="宋体" w:eastAsia="宋体" w:cs="宋体"/>
          <w:b/>
          <w:snapToGrid w:val="0"/>
          <w:color w:val="auto"/>
          <w:kern w:val="0"/>
        </w:rPr>
        <w:t>24、文明施工与环境保护</w:t>
      </w:r>
      <w:r>
        <w:rPr>
          <w:rFonts w:hint="eastAsia"/>
        </w:rPr>
        <w:tab/>
      </w:r>
      <w:r>
        <w:rPr>
          <w:rFonts w:hint="eastAsia"/>
        </w:rPr>
        <w:fldChar w:fldCharType="begin"/>
      </w:r>
      <w:r>
        <w:rPr>
          <w:rFonts w:hint="eastAsia"/>
        </w:rPr>
        <w:instrText xml:space="preserve"> </w:instrText>
      </w:r>
      <w:r>
        <w:instrText xml:space="preserve">PAGEREF _Toc176192755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4FE3F351">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"_Toc176192756" </w:instrText>
      </w:r>
      <w:r>
        <w:fldChar w:fldCharType="separate"/>
      </w:r>
      <w:r>
        <w:rPr>
          <w:rStyle w:val="46"/>
          <w:rFonts w:hint="eastAsia" w:ascii="宋体" w:hAnsi="宋体" w:eastAsia="宋体" w:cs="宋体"/>
          <w:b/>
          <w:snapToGrid w:val="0"/>
          <w:color w:val="auto"/>
          <w:kern w:val="0"/>
        </w:rPr>
        <w:t>六、合同价款与支付</w:t>
      </w:r>
      <w:r>
        <w:rPr>
          <w:rFonts w:hint="eastAsia"/>
        </w:rPr>
        <w:tab/>
      </w:r>
      <w:r>
        <w:rPr>
          <w:rFonts w:hint="eastAsia"/>
        </w:rPr>
        <w:fldChar w:fldCharType="begin"/>
      </w:r>
      <w:r>
        <w:rPr>
          <w:rFonts w:hint="eastAsia"/>
        </w:rPr>
        <w:instrText xml:space="preserve"> </w:instrText>
      </w:r>
      <w:r>
        <w:instrText xml:space="preserve">PAGEREF _Toc176192756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76FA563F">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"_Toc176192757" </w:instrText>
      </w:r>
      <w:r>
        <w:fldChar w:fldCharType="separate"/>
      </w:r>
      <w:r>
        <w:rPr>
          <w:rStyle w:val="46"/>
          <w:rFonts w:hint="eastAsia" w:ascii="宋体" w:hAnsi="宋体" w:eastAsia="宋体" w:cs="宋体"/>
          <w:b/>
          <w:snapToGrid w:val="0"/>
          <w:color w:val="auto"/>
          <w:kern w:val="0"/>
        </w:rPr>
        <w:t>25、合同价款及调整</w:t>
      </w:r>
      <w:r>
        <w:rPr>
          <w:rFonts w:hint="eastAsia"/>
        </w:rPr>
        <w:tab/>
      </w:r>
      <w:r>
        <w:rPr>
          <w:rFonts w:hint="eastAsia"/>
        </w:rPr>
        <w:fldChar w:fldCharType="begin"/>
      </w:r>
      <w:r>
        <w:rPr>
          <w:rFonts w:hint="eastAsia"/>
        </w:rPr>
        <w:instrText xml:space="preserve"> </w:instrText>
      </w:r>
      <w:r>
        <w:instrText xml:space="preserve">PAGEREF _Toc176192757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7CCB975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"_Toc176192758" </w:instrText>
      </w:r>
      <w:r>
        <w:fldChar w:fldCharType="separate"/>
      </w:r>
      <w:r>
        <w:rPr>
          <w:rStyle w:val="46"/>
          <w:rFonts w:hint="eastAsia" w:ascii="宋体" w:hAnsi="宋体" w:eastAsia="宋体" w:cs="宋体"/>
          <w:b/>
          <w:snapToGrid w:val="0"/>
          <w:color w:val="auto"/>
          <w:kern w:val="0"/>
        </w:rPr>
        <w:t>26、工程预付款</w:t>
      </w:r>
      <w:r>
        <w:rPr>
          <w:rFonts w:hint="eastAsia"/>
        </w:rPr>
        <w:tab/>
      </w:r>
      <w:r>
        <w:rPr>
          <w:rFonts w:hint="eastAsia"/>
        </w:rPr>
        <w:fldChar w:fldCharType="begin"/>
      </w:r>
      <w:r>
        <w:rPr>
          <w:rFonts w:hint="eastAsia"/>
        </w:rPr>
        <w:instrText xml:space="preserve"> </w:instrText>
      </w:r>
      <w:r>
        <w:instrText xml:space="preserve">PAGEREF _Toc176192758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2979A02D">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"_Toc176192759" </w:instrText>
      </w:r>
      <w:r>
        <w:fldChar w:fldCharType="separate"/>
      </w:r>
      <w:r>
        <w:rPr>
          <w:rStyle w:val="46"/>
          <w:rFonts w:hint="eastAsia" w:ascii="宋体" w:hAnsi="宋体" w:eastAsia="宋体" w:cs="宋体"/>
          <w:b/>
          <w:snapToGrid w:val="0"/>
          <w:color w:val="auto"/>
          <w:kern w:val="0"/>
        </w:rPr>
        <w:t>27、工程量的确认</w:t>
      </w:r>
      <w:r>
        <w:rPr>
          <w:rFonts w:hint="eastAsia"/>
        </w:rPr>
        <w:tab/>
      </w:r>
      <w:r>
        <w:rPr>
          <w:rFonts w:hint="eastAsia"/>
        </w:rPr>
        <w:fldChar w:fldCharType="begin"/>
      </w:r>
      <w:r>
        <w:rPr>
          <w:rFonts w:hint="eastAsia"/>
        </w:rPr>
        <w:instrText xml:space="preserve"> </w:instrText>
      </w:r>
      <w:r>
        <w:instrText xml:space="preserve">PAGEREF _Toc176192759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3A02A169">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"_Toc176192760" </w:instrText>
      </w:r>
      <w:r>
        <w:fldChar w:fldCharType="separate"/>
      </w:r>
      <w:r>
        <w:rPr>
          <w:rStyle w:val="46"/>
          <w:rFonts w:hint="eastAsia" w:ascii="宋体" w:hAnsi="宋体" w:eastAsia="宋体" w:cs="宋体"/>
          <w:b/>
          <w:snapToGrid w:val="0"/>
          <w:color w:val="auto"/>
          <w:kern w:val="0"/>
        </w:rPr>
        <w:t>28、工程款（进度款）支付</w:t>
      </w:r>
      <w:r>
        <w:rPr>
          <w:rFonts w:hint="eastAsia"/>
        </w:rPr>
        <w:tab/>
      </w:r>
      <w:r>
        <w:rPr>
          <w:rFonts w:hint="eastAsia"/>
        </w:rPr>
        <w:fldChar w:fldCharType="begin"/>
      </w:r>
      <w:r>
        <w:rPr>
          <w:rFonts w:hint="eastAsia"/>
        </w:rPr>
        <w:instrText xml:space="preserve"> </w:instrText>
      </w:r>
      <w:r>
        <w:instrText xml:space="preserve">PAGEREF _Toc176192760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11F7026D">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"_Toc176192761" </w:instrText>
      </w:r>
      <w:r>
        <w:fldChar w:fldCharType="separate"/>
      </w:r>
      <w:r>
        <w:rPr>
          <w:rStyle w:val="46"/>
          <w:rFonts w:hint="eastAsia" w:ascii="宋体" w:hAnsi="宋体" w:eastAsia="宋体" w:cs="宋体"/>
          <w:b/>
          <w:snapToGrid w:val="0"/>
          <w:color w:val="auto"/>
          <w:kern w:val="0"/>
        </w:rPr>
        <w:t>七、材料设备供应</w:t>
      </w:r>
      <w:r>
        <w:rPr>
          <w:rFonts w:hint="eastAsia"/>
        </w:rPr>
        <w:tab/>
      </w:r>
      <w:r>
        <w:rPr>
          <w:rFonts w:hint="eastAsia"/>
        </w:rPr>
        <w:fldChar w:fldCharType="begin"/>
      </w:r>
      <w:r>
        <w:rPr>
          <w:rFonts w:hint="eastAsia"/>
        </w:rPr>
        <w:instrText xml:space="preserve"> </w:instrText>
      </w:r>
      <w:r>
        <w:instrText xml:space="preserve">PAGEREF _Toc176192761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4C24DBCD">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"_Toc176192762" </w:instrText>
      </w:r>
      <w:r>
        <w:fldChar w:fldCharType="separate"/>
      </w:r>
      <w:r>
        <w:rPr>
          <w:rStyle w:val="46"/>
          <w:rFonts w:hint="eastAsia" w:ascii="宋体" w:hAnsi="宋体" w:eastAsia="宋体" w:cs="宋体"/>
          <w:b/>
          <w:snapToGrid w:val="0"/>
          <w:color w:val="auto"/>
          <w:kern w:val="0"/>
        </w:rPr>
        <w:t>29、发包人供应材料设备</w:t>
      </w:r>
      <w:r>
        <w:rPr>
          <w:rFonts w:hint="eastAsia"/>
        </w:rPr>
        <w:tab/>
      </w:r>
      <w:r>
        <w:rPr>
          <w:rFonts w:hint="eastAsia"/>
        </w:rPr>
        <w:fldChar w:fldCharType="begin"/>
      </w:r>
      <w:r>
        <w:rPr>
          <w:rFonts w:hint="eastAsia"/>
        </w:rPr>
        <w:instrText xml:space="preserve"> </w:instrText>
      </w:r>
      <w:r>
        <w:instrText xml:space="preserve">PAGEREF _Toc176192762 \h</w:instrText>
      </w:r>
      <w:r>
        <w:rPr>
          <w:rFonts w:hint="eastAsia"/>
        </w:rPr>
        <w:instrText xml:space="preserve"> </w:instrText>
      </w:r>
      <w:r>
        <w:rPr>
          <w:rFonts w:hint="eastAsia"/>
        </w:rPr>
        <w:fldChar w:fldCharType="separate"/>
      </w:r>
      <w:r>
        <w:t>25</w:t>
      </w:r>
      <w:r>
        <w:rPr>
          <w:rFonts w:hint="eastAsia"/>
        </w:rPr>
        <w:fldChar w:fldCharType="end"/>
      </w:r>
      <w:r>
        <w:rPr>
          <w:rFonts w:hint="eastAsia"/>
        </w:rPr>
        <w:fldChar w:fldCharType="end"/>
      </w:r>
    </w:p>
    <w:p w14:paraId="3D1116E6">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"_Toc176192763" </w:instrText>
      </w:r>
      <w:r>
        <w:fldChar w:fldCharType="separate"/>
      </w:r>
      <w:r>
        <w:rPr>
          <w:rStyle w:val="46"/>
          <w:rFonts w:hint="eastAsia" w:ascii="宋体" w:hAnsi="宋体" w:eastAsia="宋体" w:cs="宋体"/>
          <w:b/>
          <w:snapToGrid w:val="0"/>
          <w:color w:val="auto"/>
          <w:kern w:val="0"/>
        </w:rPr>
        <w:t>30、承包人采购材料设备</w:t>
      </w:r>
      <w:r>
        <w:rPr>
          <w:rFonts w:hint="eastAsia"/>
        </w:rPr>
        <w:tab/>
      </w:r>
      <w:r>
        <w:rPr>
          <w:rFonts w:hint="eastAsia"/>
        </w:rPr>
        <w:fldChar w:fldCharType="begin"/>
      </w:r>
      <w:r>
        <w:rPr>
          <w:rFonts w:hint="eastAsia"/>
        </w:rPr>
        <w:instrText xml:space="preserve"> </w:instrText>
      </w:r>
      <w:r>
        <w:instrText xml:space="preserve">PAGEREF _Toc176192763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53A83DB6">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"_Toc176192764" </w:instrText>
      </w:r>
      <w:r>
        <w:fldChar w:fldCharType="separate"/>
      </w:r>
      <w:r>
        <w:rPr>
          <w:rStyle w:val="46"/>
          <w:rFonts w:hint="eastAsia" w:ascii="宋体" w:hAnsi="宋体" w:eastAsia="宋体" w:cs="宋体"/>
          <w:b/>
          <w:snapToGrid w:val="0"/>
          <w:color w:val="auto"/>
          <w:kern w:val="0"/>
        </w:rPr>
        <w:t>八、工程变更</w:t>
      </w:r>
      <w:r>
        <w:rPr>
          <w:rFonts w:hint="eastAsia"/>
        </w:rPr>
        <w:tab/>
      </w:r>
      <w:r>
        <w:rPr>
          <w:rFonts w:hint="eastAsia"/>
        </w:rPr>
        <w:fldChar w:fldCharType="begin"/>
      </w:r>
      <w:r>
        <w:rPr>
          <w:rFonts w:hint="eastAsia"/>
        </w:rPr>
        <w:instrText xml:space="preserve"> </w:instrText>
      </w:r>
      <w:r>
        <w:instrText xml:space="preserve">PAGEREF _Toc176192764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785445E2">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"_Toc176192765" </w:instrText>
      </w:r>
      <w:r>
        <w:fldChar w:fldCharType="separate"/>
      </w:r>
      <w:r>
        <w:rPr>
          <w:rStyle w:val="46"/>
          <w:rFonts w:hint="eastAsia" w:ascii="宋体" w:hAnsi="宋体" w:eastAsia="宋体" w:cs="宋体"/>
          <w:b/>
          <w:snapToGrid w:val="0"/>
          <w:color w:val="auto"/>
          <w:kern w:val="0"/>
        </w:rPr>
        <w:t>31、工程设计变更</w:t>
      </w:r>
      <w:r>
        <w:rPr>
          <w:rFonts w:hint="eastAsia"/>
        </w:rPr>
        <w:tab/>
      </w:r>
      <w:r>
        <w:rPr>
          <w:rFonts w:hint="eastAsia"/>
        </w:rPr>
        <w:fldChar w:fldCharType="begin"/>
      </w:r>
      <w:r>
        <w:rPr>
          <w:rFonts w:hint="eastAsia"/>
        </w:rPr>
        <w:instrText xml:space="preserve"> </w:instrText>
      </w:r>
      <w:r>
        <w:instrText xml:space="preserve">PAGEREF _Toc176192765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5409D5FA">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"_Toc176192766" </w:instrText>
      </w:r>
      <w:r>
        <w:fldChar w:fldCharType="separate"/>
      </w:r>
      <w:r>
        <w:rPr>
          <w:rStyle w:val="46"/>
          <w:rFonts w:hint="eastAsia" w:ascii="宋体" w:hAnsi="宋体" w:eastAsia="宋体" w:cs="宋体"/>
          <w:b/>
          <w:snapToGrid w:val="0"/>
          <w:color w:val="auto"/>
          <w:kern w:val="0"/>
        </w:rPr>
        <w:t>32、其他变更</w:t>
      </w:r>
      <w:r>
        <w:rPr>
          <w:rFonts w:hint="eastAsia"/>
        </w:rPr>
        <w:tab/>
      </w:r>
      <w:r>
        <w:rPr>
          <w:rFonts w:hint="eastAsia"/>
        </w:rPr>
        <w:fldChar w:fldCharType="begin"/>
      </w:r>
      <w:r>
        <w:rPr>
          <w:rFonts w:hint="eastAsia"/>
        </w:rPr>
        <w:instrText xml:space="preserve"> </w:instrText>
      </w:r>
      <w:r>
        <w:instrText xml:space="preserve">PAGEREF _Toc176192766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1862C0C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"_Toc176192767" </w:instrText>
      </w:r>
      <w:r>
        <w:fldChar w:fldCharType="separate"/>
      </w:r>
      <w:r>
        <w:rPr>
          <w:rStyle w:val="46"/>
          <w:rFonts w:hint="eastAsia" w:ascii="宋体" w:hAnsi="宋体" w:eastAsia="宋体" w:cs="宋体"/>
          <w:b/>
          <w:snapToGrid w:val="0"/>
          <w:color w:val="auto"/>
          <w:kern w:val="0"/>
        </w:rPr>
        <w:t>33、确定变更价款</w:t>
      </w:r>
      <w:r>
        <w:rPr>
          <w:rFonts w:hint="eastAsia"/>
        </w:rPr>
        <w:tab/>
      </w:r>
      <w:r>
        <w:rPr>
          <w:rFonts w:hint="eastAsia"/>
        </w:rPr>
        <w:fldChar w:fldCharType="begin"/>
      </w:r>
      <w:r>
        <w:rPr>
          <w:rFonts w:hint="eastAsia"/>
        </w:rPr>
        <w:instrText xml:space="preserve"> </w:instrText>
      </w:r>
      <w:r>
        <w:instrText xml:space="preserve">PAGEREF _Toc176192767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1F8B17F2">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"_Toc176192768" </w:instrText>
      </w:r>
      <w:r>
        <w:fldChar w:fldCharType="separate"/>
      </w:r>
      <w:r>
        <w:rPr>
          <w:rStyle w:val="46"/>
          <w:rFonts w:hint="eastAsia" w:ascii="宋体" w:hAnsi="宋体" w:eastAsia="宋体" w:cs="宋体"/>
          <w:b/>
          <w:snapToGrid w:val="0"/>
          <w:color w:val="auto"/>
          <w:kern w:val="0"/>
        </w:rPr>
        <w:t>九、竣工验收与结算</w:t>
      </w:r>
      <w:r>
        <w:rPr>
          <w:rFonts w:hint="eastAsia"/>
        </w:rPr>
        <w:tab/>
      </w:r>
      <w:r>
        <w:rPr>
          <w:rFonts w:hint="eastAsia"/>
        </w:rPr>
        <w:fldChar w:fldCharType="begin"/>
      </w:r>
      <w:r>
        <w:rPr>
          <w:rFonts w:hint="eastAsia"/>
        </w:rPr>
        <w:instrText xml:space="preserve"> </w:instrText>
      </w:r>
      <w:r>
        <w:instrText xml:space="preserve">PAGEREF _Toc176192768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36225D7B">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"_Toc176192769" </w:instrText>
      </w:r>
      <w:r>
        <w:fldChar w:fldCharType="separate"/>
      </w:r>
      <w:r>
        <w:rPr>
          <w:rStyle w:val="46"/>
          <w:rFonts w:hint="eastAsia" w:ascii="宋体" w:hAnsi="宋体" w:eastAsia="宋体" w:cs="宋体"/>
          <w:b/>
          <w:snapToGrid w:val="0"/>
          <w:color w:val="auto"/>
          <w:kern w:val="0"/>
        </w:rPr>
        <w:t>34、竣工验收</w:t>
      </w:r>
      <w:r>
        <w:rPr>
          <w:rFonts w:hint="eastAsia"/>
        </w:rPr>
        <w:tab/>
      </w:r>
      <w:r>
        <w:rPr>
          <w:rFonts w:hint="eastAsia"/>
        </w:rPr>
        <w:fldChar w:fldCharType="begin"/>
      </w:r>
      <w:r>
        <w:rPr>
          <w:rFonts w:hint="eastAsia"/>
        </w:rPr>
        <w:instrText xml:space="preserve"> </w:instrText>
      </w:r>
      <w:r>
        <w:instrText xml:space="preserve">PAGEREF _Toc176192769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5F6904D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"_Toc176192770" </w:instrText>
      </w:r>
      <w:r>
        <w:fldChar w:fldCharType="separate"/>
      </w:r>
      <w:r>
        <w:rPr>
          <w:rStyle w:val="46"/>
          <w:rFonts w:hint="eastAsia" w:ascii="宋体" w:hAnsi="宋体" w:eastAsia="宋体" w:cs="宋体"/>
          <w:b/>
          <w:snapToGrid w:val="0"/>
          <w:color w:val="auto"/>
          <w:kern w:val="0"/>
        </w:rPr>
        <w:t>35、工程移交</w:t>
      </w:r>
      <w:r>
        <w:rPr>
          <w:rFonts w:hint="eastAsia"/>
        </w:rPr>
        <w:tab/>
      </w:r>
      <w:r>
        <w:rPr>
          <w:rFonts w:hint="eastAsia"/>
        </w:rPr>
        <w:fldChar w:fldCharType="begin"/>
      </w:r>
      <w:r>
        <w:rPr>
          <w:rFonts w:hint="eastAsia"/>
        </w:rPr>
        <w:instrText xml:space="preserve"> </w:instrText>
      </w:r>
      <w:r>
        <w:instrText xml:space="preserve">PAGEREF _Toc176192770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5AEC493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"_Toc176192771" </w:instrText>
      </w:r>
      <w:r>
        <w:fldChar w:fldCharType="separate"/>
      </w:r>
      <w:r>
        <w:rPr>
          <w:rStyle w:val="46"/>
          <w:rFonts w:hint="eastAsia" w:ascii="宋体" w:hAnsi="宋体" w:eastAsia="宋体" w:cs="宋体"/>
          <w:b/>
          <w:snapToGrid w:val="0"/>
          <w:color w:val="auto"/>
          <w:kern w:val="0"/>
        </w:rPr>
        <w:t>36、竣工结算</w:t>
      </w:r>
      <w:r>
        <w:rPr>
          <w:rFonts w:hint="eastAsia"/>
        </w:rPr>
        <w:tab/>
      </w:r>
      <w:r>
        <w:rPr>
          <w:rFonts w:hint="eastAsia"/>
        </w:rPr>
        <w:fldChar w:fldCharType="begin"/>
      </w:r>
      <w:r>
        <w:rPr>
          <w:rFonts w:hint="eastAsia"/>
        </w:rPr>
        <w:instrText xml:space="preserve"> </w:instrText>
      </w:r>
      <w:r>
        <w:instrText xml:space="preserve">PAGEREF _Toc176192771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35C15590">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"_Toc176192772" </w:instrText>
      </w:r>
      <w:r>
        <w:fldChar w:fldCharType="separate"/>
      </w:r>
      <w:r>
        <w:rPr>
          <w:rStyle w:val="46"/>
          <w:rFonts w:hint="eastAsia" w:ascii="宋体" w:hAnsi="宋体" w:eastAsia="宋体" w:cs="宋体"/>
          <w:b/>
          <w:snapToGrid w:val="0"/>
          <w:color w:val="auto"/>
          <w:kern w:val="0"/>
        </w:rPr>
        <w:t>37、质量保修</w:t>
      </w:r>
      <w:r>
        <w:rPr>
          <w:rFonts w:hint="eastAsia"/>
        </w:rPr>
        <w:tab/>
      </w:r>
      <w:r>
        <w:rPr>
          <w:rFonts w:hint="eastAsia"/>
        </w:rPr>
        <w:fldChar w:fldCharType="begin"/>
      </w:r>
      <w:r>
        <w:rPr>
          <w:rFonts w:hint="eastAsia"/>
        </w:rPr>
        <w:instrText xml:space="preserve"> </w:instrText>
      </w:r>
      <w:r>
        <w:instrText xml:space="preserve">PAGEREF _Toc176192772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54FC50F3">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"_Toc176192773" </w:instrText>
      </w:r>
      <w:r>
        <w:fldChar w:fldCharType="separate"/>
      </w:r>
      <w:r>
        <w:rPr>
          <w:rStyle w:val="46"/>
          <w:rFonts w:hint="eastAsia" w:ascii="宋体" w:hAnsi="宋体" w:eastAsia="宋体" w:cs="宋体"/>
          <w:b/>
          <w:snapToGrid w:val="0"/>
          <w:color w:val="auto"/>
          <w:kern w:val="0"/>
        </w:rPr>
        <w:t>十、违约、索赔和争议</w:t>
      </w:r>
      <w:r>
        <w:rPr>
          <w:rFonts w:hint="eastAsia"/>
        </w:rPr>
        <w:tab/>
      </w:r>
      <w:r>
        <w:rPr>
          <w:rFonts w:hint="eastAsia"/>
        </w:rPr>
        <w:fldChar w:fldCharType="begin"/>
      </w:r>
      <w:r>
        <w:rPr>
          <w:rFonts w:hint="eastAsia"/>
        </w:rPr>
        <w:instrText xml:space="preserve"> </w:instrText>
      </w:r>
      <w:r>
        <w:instrText xml:space="preserve">PAGEREF _Toc176192773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6EBA59B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"_Toc176192774" </w:instrText>
      </w:r>
      <w:r>
        <w:fldChar w:fldCharType="separate"/>
      </w:r>
      <w:r>
        <w:rPr>
          <w:rStyle w:val="46"/>
          <w:rFonts w:hint="eastAsia" w:ascii="宋体" w:hAnsi="宋体" w:eastAsia="宋体" w:cs="宋体"/>
          <w:b/>
          <w:snapToGrid w:val="0"/>
          <w:color w:val="auto"/>
          <w:kern w:val="0"/>
        </w:rPr>
        <w:t>38、违约</w:t>
      </w:r>
      <w:r>
        <w:rPr>
          <w:rFonts w:hint="eastAsia"/>
        </w:rPr>
        <w:tab/>
      </w:r>
      <w:r>
        <w:rPr>
          <w:rFonts w:hint="eastAsia"/>
        </w:rPr>
        <w:fldChar w:fldCharType="begin"/>
      </w:r>
      <w:r>
        <w:rPr>
          <w:rFonts w:hint="eastAsia"/>
        </w:rPr>
        <w:instrText xml:space="preserve"> </w:instrText>
      </w:r>
      <w:r>
        <w:instrText xml:space="preserve">PAGEREF _Toc176192774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7E116AD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"_Toc176192775" </w:instrText>
      </w:r>
      <w:r>
        <w:fldChar w:fldCharType="separate"/>
      </w:r>
      <w:r>
        <w:rPr>
          <w:rStyle w:val="46"/>
          <w:rFonts w:hint="eastAsia" w:ascii="宋体" w:hAnsi="宋体" w:eastAsia="宋体" w:cs="宋体"/>
          <w:b/>
          <w:snapToGrid w:val="0"/>
          <w:color w:val="auto"/>
          <w:kern w:val="0"/>
        </w:rPr>
        <w:t>39、索赔</w:t>
      </w:r>
      <w:r>
        <w:rPr>
          <w:rFonts w:hint="eastAsia"/>
        </w:rPr>
        <w:tab/>
      </w:r>
      <w:r>
        <w:rPr>
          <w:rFonts w:hint="eastAsia"/>
        </w:rPr>
        <w:fldChar w:fldCharType="begin"/>
      </w:r>
      <w:r>
        <w:rPr>
          <w:rFonts w:hint="eastAsia"/>
        </w:rPr>
        <w:instrText xml:space="preserve"> </w:instrText>
      </w:r>
      <w:r>
        <w:instrText xml:space="preserve">PAGEREF _Toc176192775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7D3DC44D">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"_Toc176192776" </w:instrText>
      </w:r>
      <w:r>
        <w:fldChar w:fldCharType="separate"/>
      </w:r>
      <w:r>
        <w:rPr>
          <w:rStyle w:val="46"/>
          <w:rFonts w:hint="eastAsia" w:ascii="宋体" w:hAnsi="宋体" w:eastAsia="宋体" w:cs="宋体"/>
          <w:b/>
          <w:snapToGrid w:val="0"/>
          <w:color w:val="auto"/>
          <w:kern w:val="0"/>
        </w:rPr>
        <w:t>40、争议</w:t>
      </w:r>
      <w:r>
        <w:rPr>
          <w:rFonts w:hint="eastAsia"/>
        </w:rPr>
        <w:tab/>
      </w:r>
      <w:r>
        <w:rPr>
          <w:rFonts w:hint="eastAsia"/>
        </w:rPr>
        <w:fldChar w:fldCharType="begin"/>
      </w:r>
      <w:r>
        <w:rPr>
          <w:rFonts w:hint="eastAsia"/>
        </w:rPr>
        <w:instrText xml:space="preserve"> </w:instrText>
      </w:r>
      <w:r>
        <w:instrText xml:space="preserve">PAGEREF _Toc176192776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45A0AF57">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"_Toc176192777" </w:instrText>
      </w:r>
      <w:r>
        <w:fldChar w:fldCharType="separate"/>
      </w:r>
      <w:r>
        <w:rPr>
          <w:rStyle w:val="46"/>
          <w:rFonts w:hint="eastAsia" w:ascii="宋体" w:hAnsi="宋体" w:eastAsia="宋体" w:cs="宋体"/>
          <w:b/>
          <w:snapToGrid w:val="0"/>
          <w:color w:val="auto"/>
          <w:kern w:val="0"/>
        </w:rPr>
        <w:t>十一、其他</w:t>
      </w:r>
      <w:r>
        <w:rPr>
          <w:rFonts w:hint="eastAsia"/>
        </w:rPr>
        <w:tab/>
      </w:r>
      <w:r>
        <w:rPr>
          <w:rFonts w:hint="eastAsia"/>
        </w:rPr>
        <w:fldChar w:fldCharType="begin"/>
      </w:r>
      <w:r>
        <w:rPr>
          <w:rFonts w:hint="eastAsia"/>
        </w:rPr>
        <w:instrText xml:space="preserve"> </w:instrText>
      </w:r>
      <w:r>
        <w:instrText xml:space="preserve">PAGEREF _Toc176192777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40736FB4">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"_Toc176192778" </w:instrText>
      </w:r>
      <w:r>
        <w:fldChar w:fldCharType="separate"/>
      </w:r>
      <w:r>
        <w:rPr>
          <w:rStyle w:val="46"/>
          <w:rFonts w:hint="eastAsia" w:ascii="宋体" w:hAnsi="宋体" w:eastAsia="宋体" w:cs="宋体"/>
          <w:b/>
          <w:snapToGrid w:val="0"/>
          <w:color w:val="auto"/>
          <w:kern w:val="0"/>
        </w:rPr>
        <w:t>41、工程分包</w:t>
      </w:r>
      <w:r>
        <w:rPr>
          <w:rFonts w:hint="eastAsia"/>
        </w:rPr>
        <w:tab/>
      </w:r>
      <w:r>
        <w:rPr>
          <w:rFonts w:hint="eastAsia"/>
        </w:rPr>
        <w:fldChar w:fldCharType="begin"/>
      </w:r>
      <w:r>
        <w:rPr>
          <w:rFonts w:hint="eastAsia"/>
        </w:rPr>
        <w:instrText xml:space="preserve"> </w:instrText>
      </w:r>
      <w:r>
        <w:instrText xml:space="preserve">PAGEREF _Toc176192778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279110BA">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"_Toc176192779" </w:instrText>
      </w:r>
      <w:r>
        <w:fldChar w:fldCharType="separate"/>
      </w:r>
      <w:r>
        <w:rPr>
          <w:rStyle w:val="46"/>
          <w:rFonts w:hint="eastAsia" w:ascii="宋体" w:hAnsi="宋体" w:eastAsia="宋体" w:cs="宋体"/>
          <w:b/>
          <w:snapToGrid w:val="0"/>
          <w:color w:val="auto"/>
          <w:kern w:val="0"/>
        </w:rPr>
        <w:t>42、不可抗力</w:t>
      </w:r>
      <w:r>
        <w:rPr>
          <w:rFonts w:hint="eastAsia"/>
        </w:rPr>
        <w:tab/>
      </w:r>
      <w:r>
        <w:rPr>
          <w:rFonts w:hint="eastAsia"/>
        </w:rPr>
        <w:fldChar w:fldCharType="begin"/>
      </w:r>
      <w:r>
        <w:rPr>
          <w:rFonts w:hint="eastAsia"/>
        </w:rPr>
        <w:instrText xml:space="preserve"> </w:instrText>
      </w:r>
      <w:r>
        <w:instrText xml:space="preserve">PAGEREF _Toc176192779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033B7C3A">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"_Toc176192780" </w:instrText>
      </w:r>
      <w:r>
        <w:fldChar w:fldCharType="separate"/>
      </w:r>
      <w:r>
        <w:rPr>
          <w:rStyle w:val="46"/>
          <w:rFonts w:hint="eastAsia" w:ascii="宋体" w:hAnsi="宋体" w:eastAsia="宋体" w:cs="宋体"/>
          <w:b/>
          <w:snapToGrid w:val="0"/>
          <w:color w:val="auto"/>
          <w:kern w:val="0"/>
        </w:rPr>
        <w:t>43、保险</w:t>
      </w:r>
      <w:r>
        <w:rPr>
          <w:rFonts w:hint="eastAsia"/>
        </w:rPr>
        <w:tab/>
      </w:r>
      <w:r>
        <w:rPr>
          <w:rFonts w:hint="eastAsia"/>
        </w:rPr>
        <w:fldChar w:fldCharType="begin"/>
      </w:r>
      <w:r>
        <w:rPr>
          <w:rFonts w:hint="eastAsia"/>
        </w:rPr>
        <w:instrText xml:space="preserve"> </w:instrText>
      </w:r>
      <w:r>
        <w:instrText xml:space="preserve">PAGEREF _Toc176192780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1C19699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"_Toc176192781" </w:instrText>
      </w:r>
      <w:r>
        <w:fldChar w:fldCharType="separate"/>
      </w:r>
      <w:r>
        <w:rPr>
          <w:rStyle w:val="46"/>
          <w:rFonts w:hint="eastAsia" w:ascii="宋体" w:hAnsi="宋体" w:eastAsia="宋体" w:cs="宋体"/>
          <w:b/>
          <w:snapToGrid w:val="0"/>
          <w:color w:val="auto"/>
          <w:kern w:val="0"/>
        </w:rPr>
        <w:t>44、担保</w:t>
      </w:r>
      <w:r>
        <w:rPr>
          <w:rFonts w:hint="eastAsia"/>
        </w:rPr>
        <w:tab/>
      </w:r>
      <w:r>
        <w:rPr>
          <w:rFonts w:hint="eastAsia"/>
        </w:rPr>
        <w:fldChar w:fldCharType="begin"/>
      </w:r>
      <w:r>
        <w:rPr>
          <w:rFonts w:hint="eastAsia"/>
        </w:rPr>
        <w:instrText xml:space="preserve"> </w:instrText>
      </w:r>
      <w:r>
        <w:instrText xml:space="preserve">PAGEREF _Toc176192781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15F42890">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"_Toc176192782" </w:instrText>
      </w:r>
      <w:r>
        <w:fldChar w:fldCharType="separate"/>
      </w:r>
      <w:r>
        <w:rPr>
          <w:rStyle w:val="46"/>
          <w:rFonts w:hint="eastAsia" w:ascii="宋体" w:hAnsi="宋体" w:eastAsia="宋体" w:cs="宋体"/>
          <w:b/>
          <w:snapToGrid w:val="0"/>
          <w:color w:val="auto"/>
          <w:kern w:val="0"/>
        </w:rPr>
        <w:t>45、专利技术及特殊工艺</w:t>
      </w:r>
      <w:r>
        <w:rPr>
          <w:rFonts w:hint="eastAsia"/>
        </w:rPr>
        <w:tab/>
      </w:r>
      <w:r>
        <w:rPr>
          <w:rFonts w:hint="eastAsia"/>
        </w:rPr>
        <w:fldChar w:fldCharType="begin"/>
      </w:r>
      <w:r>
        <w:rPr>
          <w:rFonts w:hint="eastAsia"/>
        </w:rPr>
        <w:instrText xml:space="preserve"> </w:instrText>
      </w:r>
      <w:r>
        <w:instrText xml:space="preserve">PAGEREF _Toc176192782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52C4E5F7">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"_Toc176192783" </w:instrText>
      </w:r>
      <w:r>
        <w:fldChar w:fldCharType="separate"/>
      </w:r>
      <w:r>
        <w:rPr>
          <w:rStyle w:val="46"/>
          <w:rFonts w:hint="eastAsia" w:ascii="宋体" w:hAnsi="宋体" w:eastAsia="宋体" w:cs="宋体"/>
          <w:b/>
          <w:snapToGrid w:val="0"/>
          <w:color w:val="auto"/>
          <w:kern w:val="0"/>
        </w:rPr>
        <w:t>46、文物和地下障碍物</w:t>
      </w:r>
      <w:r>
        <w:rPr>
          <w:rFonts w:hint="eastAsia"/>
        </w:rPr>
        <w:tab/>
      </w:r>
      <w:r>
        <w:rPr>
          <w:rFonts w:hint="eastAsia"/>
        </w:rPr>
        <w:fldChar w:fldCharType="begin"/>
      </w:r>
      <w:r>
        <w:rPr>
          <w:rFonts w:hint="eastAsia"/>
        </w:rPr>
        <w:instrText xml:space="preserve"> </w:instrText>
      </w:r>
      <w:r>
        <w:instrText xml:space="preserve">PAGEREF _Toc176192783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66B723C6">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"_Toc176192784" </w:instrText>
      </w:r>
      <w:r>
        <w:fldChar w:fldCharType="separate"/>
      </w:r>
      <w:r>
        <w:rPr>
          <w:rStyle w:val="46"/>
          <w:rFonts w:hint="eastAsia" w:ascii="宋体" w:hAnsi="宋体" w:eastAsia="宋体" w:cs="宋体"/>
          <w:b/>
          <w:snapToGrid w:val="0"/>
          <w:color w:val="auto"/>
          <w:kern w:val="0"/>
        </w:rPr>
        <w:t>47、合同解除</w:t>
      </w:r>
      <w:r>
        <w:rPr>
          <w:rFonts w:hint="eastAsia"/>
        </w:rPr>
        <w:tab/>
      </w:r>
      <w:r>
        <w:rPr>
          <w:rFonts w:hint="eastAsia"/>
        </w:rPr>
        <w:fldChar w:fldCharType="begin"/>
      </w:r>
      <w:r>
        <w:rPr>
          <w:rFonts w:hint="eastAsia"/>
        </w:rPr>
        <w:instrText xml:space="preserve"> </w:instrText>
      </w:r>
      <w:r>
        <w:instrText xml:space="preserve">PAGEREF _Toc176192784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1AE4441D">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"_Toc176192785" </w:instrText>
      </w:r>
      <w:r>
        <w:fldChar w:fldCharType="separate"/>
      </w:r>
      <w:r>
        <w:rPr>
          <w:rStyle w:val="46"/>
          <w:rFonts w:hint="eastAsia" w:ascii="宋体" w:hAnsi="宋体" w:eastAsia="宋体" w:cs="宋体"/>
          <w:b/>
          <w:snapToGrid w:val="0"/>
          <w:color w:val="auto"/>
          <w:kern w:val="0"/>
        </w:rPr>
        <w:t>48、合同生效与终止</w:t>
      </w:r>
      <w:r>
        <w:rPr>
          <w:rFonts w:hint="eastAsia"/>
        </w:rPr>
        <w:tab/>
      </w:r>
      <w:r>
        <w:rPr>
          <w:rFonts w:hint="eastAsia"/>
        </w:rPr>
        <w:fldChar w:fldCharType="begin"/>
      </w:r>
      <w:r>
        <w:rPr>
          <w:rFonts w:hint="eastAsia"/>
        </w:rPr>
        <w:instrText xml:space="preserve"> </w:instrText>
      </w:r>
      <w:r>
        <w:instrText xml:space="preserve">PAGEREF _Toc176192785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4215D69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"_Toc176192786" </w:instrText>
      </w:r>
      <w:r>
        <w:fldChar w:fldCharType="separate"/>
      </w:r>
      <w:r>
        <w:rPr>
          <w:rStyle w:val="46"/>
          <w:rFonts w:hint="eastAsia" w:ascii="宋体" w:hAnsi="宋体" w:eastAsia="宋体" w:cs="宋体"/>
          <w:b/>
          <w:snapToGrid w:val="0"/>
          <w:color w:val="auto"/>
          <w:kern w:val="0"/>
        </w:rPr>
        <w:t>49、合同份数</w:t>
      </w:r>
      <w:r>
        <w:rPr>
          <w:rFonts w:hint="eastAsia"/>
        </w:rPr>
        <w:tab/>
      </w:r>
      <w:r>
        <w:rPr>
          <w:rFonts w:hint="eastAsia"/>
        </w:rPr>
        <w:fldChar w:fldCharType="begin"/>
      </w:r>
      <w:r>
        <w:rPr>
          <w:rFonts w:hint="eastAsia"/>
        </w:rPr>
        <w:instrText xml:space="preserve"> </w:instrText>
      </w:r>
      <w:r>
        <w:instrText xml:space="preserve">PAGEREF _Toc176192786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5AD53DD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"_Toc176192787" </w:instrText>
      </w:r>
      <w:r>
        <w:fldChar w:fldCharType="separate"/>
      </w:r>
      <w:r>
        <w:rPr>
          <w:rStyle w:val="46"/>
          <w:rFonts w:hint="eastAsia" w:ascii="宋体" w:hAnsi="宋体" w:eastAsia="宋体" w:cs="宋体"/>
          <w:b/>
          <w:snapToGrid w:val="0"/>
          <w:color w:val="auto"/>
          <w:kern w:val="0"/>
        </w:rPr>
        <w:t>50、补充条款</w:t>
      </w:r>
      <w:r>
        <w:rPr>
          <w:rFonts w:hint="eastAsia"/>
        </w:rPr>
        <w:tab/>
      </w:r>
      <w:r>
        <w:rPr>
          <w:rFonts w:hint="eastAsia"/>
        </w:rPr>
        <w:fldChar w:fldCharType="begin"/>
      </w:r>
      <w:r>
        <w:rPr>
          <w:rFonts w:hint="eastAsia"/>
        </w:rPr>
        <w:instrText xml:space="preserve"> </w:instrText>
      </w:r>
      <w:r>
        <w:instrText xml:space="preserve">PAGEREF _Toc176192787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41B20752">
      <w:pPr>
        <w:pStyle w:val="30"/>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"_Toc176192788" </w:instrText>
      </w:r>
      <w:r>
        <w:fldChar w:fldCharType="separate"/>
      </w:r>
      <w:r>
        <w:rPr>
          <w:rStyle w:val="46"/>
          <w:rFonts w:hint="eastAsia" w:ascii="宋体" w:hAnsi="宋体" w:eastAsia="宋体" w:cs="宋体"/>
          <w:b/>
          <w:bCs/>
          <w:snapToGrid w:val="0"/>
          <w:color w:val="auto"/>
          <w:kern w:val="0"/>
        </w:rPr>
        <w:t xml:space="preserve">第三部分 </w:t>
      </w:r>
      <w:r>
        <w:rPr>
          <w:rStyle w:val="46"/>
          <w:rFonts w:hint="eastAsia" w:ascii="宋体" w:hAnsi="宋体" w:eastAsia="宋体" w:cs="宋体"/>
          <w:snapToGrid w:val="0"/>
          <w:color w:val="auto"/>
          <w:kern w:val="0"/>
        </w:rPr>
        <w:t xml:space="preserve"> </w:t>
      </w:r>
      <w:r>
        <w:rPr>
          <w:rStyle w:val="46"/>
          <w:rFonts w:hint="eastAsia" w:ascii="宋体" w:hAnsi="宋体" w:eastAsia="宋体" w:cs="宋体"/>
          <w:b/>
          <w:bCs/>
          <w:snapToGrid w:val="0"/>
          <w:color w:val="auto"/>
          <w:kern w:val="0"/>
        </w:rPr>
        <w:t>专用条款</w:t>
      </w:r>
      <w:r>
        <w:rPr>
          <w:rFonts w:hint="eastAsia"/>
        </w:rPr>
        <w:tab/>
      </w:r>
      <w:r>
        <w:rPr>
          <w:rFonts w:hint="eastAsia"/>
        </w:rPr>
        <w:fldChar w:fldCharType="begin"/>
      </w:r>
      <w:r>
        <w:rPr>
          <w:rFonts w:hint="eastAsia"/>
        </w:rPr>
        <w:instrText xml:space="preserve"> </w:instrText>
      </w:r>
      <w:r>
        <w:instrText xml:space="preserve">PAGEREF _Toc176192788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65CFA0B0">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"_Toc176192789" </w:instrText>
      </w:r>
      <w:r>
        <w:fldChar w:fldCharType="separate"/>
      </w:r>
      <w:r>
        <w:rPr>
          <w:rStyle w:val="46"/>
          <w:rFonts w:hint="eastAsia" w:ascii="宋体" w:hAnsi="宋体" w:eastAsia="宋体" w:cs="宋体"/>
          <w:b/>
          <w:snapToGrid w:val="0"/>
          <w:color w:val="auto"/>
          <w:kern w:val="0"/>
        </w:rPr>
        <w:t>总  则</w:t>
      </w:r>
      <w:r>
        <w:rPr>
          <w:rFonts w:hint="eastAsia"/>
        </w:rPr>
        <w:tab/>
      </w:r>
      <w:r>
        <w:rPr>
          <w:rFonts w:hint="eastAsia"/>
        </w:rPr>
        <w:fldChar w:fldCharType="begin"/>
      </w:r>
      <w:r>
        <w:rPr>
          <w:rFonts w:hint="eastAsia"/>
        </w:rPr>
        <w:instrText xml:space="preserve"> </w:instrText>
      </w:r>
      <w:r>
        <w:instrText xml:space="preserve">PAGEREF _Toc176192789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69548036">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"_Toc176192790" </w:instrText>
      </w:r>
      <w:r>
        <w:fldChar w:fldCharType="separate"/>
      </w:r>
      <w:r>
        <w:rPr>
          <w:rStyle w:val="46"/>
          <w:rFonts w:hint="eastAsia" w:ascii="宋体" w:hAnsi="宋体" w:eastAsia="宋体" w:cs="宋体"/>
          <w:b/>
          <w:color w:val="auto"/>
        </w:rPr>
        <w:t>一、词语定义及合同文件</w:t>
      </w:r>
      <w:r>
        <w:rPr>
          <w:rFonts w:hint="eastAsia"/>
        </w:rPr>
        <w:tab/>
      </w:r>
      <w:r>
        <w:rPr>
          <w:rFonts w:hint="eastAsia"/>
        </w:rPr>
        <w:fldChar w:fldCharType="begin"/>
      </w:r>
      <w:r>
        <w:rPr>
          <w:rFonts w:hint="eastAsia"/>
        </w:rPr>
        <w:instrText xml:space="preserve"> </w:instrText>
      </w:r>
      <w:r>
        <w:instrText xml:space="preserve">PAGEREF _Toc176192790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69C7969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"_Toc176192791" </w:instrText>
      </w:r>
      <w:r>
        <w:fldChar w:fldCharType="separate"/>
      </w:r>
      <w:r>
        <w:rPr>
          <w:rStyle w:val="46"/>
          <w:rFonts w:hint="eastAsia" w:ascii="宋体" w:hAnsi="宋体" w:eastAsia="宋体" w:cs="宋体"/>
          <w:b/>
          <w:snapToGrid w:val="0"/>
          <w:color w:val="auto"/>
          <w:kern w:val="0"/>
        </w:rPr>
        <w:t>1、词语定义</w:t>
      </w:r>
      <w:r>
        <w:rPr>
          <w:rFonts w:hint="eastAsia"/>
        </w:rPr>
        <w:tab/>
      </w:r>
      <w:r>
        <w:rPr>
          <w:rFonts w:hint="eastAsia"/>
        </w:rPr>
        <w:fldChar w:fldCharType="begin"/>
      </w:r>
      <w:r>
        <w:rPr>
          <w:rFonts w:hint="eastAsia"/>
        </w:rPr>
        <w:instrText xml:space="preserve"> </w:instrText>
      </w:r>
      <w:r>
        <w:instrText xml:space="preserve">PAGEREF _Toc176192791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28EA2708">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"_Toc176192792" </w:instrText>
      </w:r>
      <w:r>
        <w:fldChar w:fldCharType="separate"/>
      </w:r>
      <w:r>
        <w:rPr>
          <w:rStyle w:val="46"/>
          <w:rFonts w:hint="eastAsia" w:ascii="宋体" w:hAnsi="宋体" w:eastAsia="宋体" w:cs="宋体"/>
          <w:b/>
          <w:snapToGrid w:val="0"/>
          <w:color w:val="auto"/>
          <w:kern w:val="0"/>
        </w:rPr>
        <w:t>2、合同文件及解释顺序</w:t>
      </w:r>
      <w:r>
        <w:rPr>
          <w:rFonts w:hint="eastAsia"/>
        </w:rPr>
        <w:tab/>
      </w:r>
      <w:r>
        <w:rPr>
          <w:rFonts w:hint="eastAsia"/>
        </w:rPr>
        <w:fldChar w:fldCharType="begin"/>
      </w:r>
      <w:r>
        <w:rPr>
          <w:rFonts w:hint="eastAsia"/>
        </w:rPr>
        <w:instrText xml:space="preserve"> </w:instrText>
      </w:r>
      <w:r>
        <w:instrText xml:space="preserve">PAGEREF _Toc176192792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39E82C82">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"_Toc176192793" </w:instrText>
      </w:r>
      <w:r>
        <w:fldChar w:fldCharType="separate"/>
      </w:r>
      <w:r>
        <w:rPr>
          <w:rStyle w:val="46"/>
          <w:rFonts w:hint="eastAsia" w:ascii="宋体" w:hAnsi="宋体" w:eastAsia="宋体" w:cs="宋体"/>
          <w:b/>
          <w:snapToGrid w:val="0"/>
          <w:color w:val="auto"/>
          <w:kern w:val="0"/>
        </w:rPr>
        <w:t>3、语言文字和适用法律、标准及规范</w:t>
      </w:r>
      <w:r>
        <w:rPr>
          <w:rFonts w:hint="eastAsia"/>
        </w:rPr>
        <w:tab/>
      </w:r>
      <w:r>
        <w:rPr>
          <w:rFonts w:hint="eastAsia"/>
        </w:rPr>
        <w:fldChar w:fldCharType="begin"/>
      </w:r>
      <w:r>
        <w:rPr>
          <w:rFonts w:hint="eastAsia"/>
        </w:rPr>
        <w:instrText xml:space="preserve"> </w:instrText>
      </w:r>
      <w:r>
        <w:instrText xml:space="preserve">PAGEREF _Toc176192793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1B003F76">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"_Toc176192794" </w:instrText>
      </w:r>
      <w:r>
        <w:fldChar w:fldCharType="separate"/>
      </w:r>
      <w:r>
        <w:rPr>
          <w:rStyle w:val="46"/>
          <w:rFonts w:hint="eastAsia" w:ascii="宋体" w:hAnsi="宋体" w:eastAsia="宋体" w:cs="宋体"/>
          <w:b/>
          <w:snapToGrid w:val="0"/>
          <w:color w:val="auto"/>
          <w:kern w:val="0"/>
        </w:rPr>
        <w:t>4、图纸</w:t>
      </w:r>
      <w:r>
        <w:rPr>
          <w:rFonts w:hint="eastAsia"/>
        </w:rPr>
        <w:tab/>
      </w:r>
      <w:r>
        <w:rPr>
          <w:rFonts w:hint="eastAsia"/>
        </w:rPr>
        <w:fldChar w:fldCharType="begin"/>
      </w:r>
      <w:r>
        <w:rPr>
          <w:rFonts w:hint="eastAsia"/>
        </w:rPr>
        <w:instrText xml:space="preserve"> </w:instrText>
      </w:r>
      <w:r>
        <w:instrText xml:space="preserve">PAGEREF _Toc176192794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738F493D">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"_Toc176192795" </w:instrText>
      </w:r>
      <w:r>
        <w:fldChar w:fldCharType="separate"/>
      </w:r>
      <w:r>
        <w:rPr>
          <w:rStyle w:val="46"/>
          <w:rFonts w:hint="eastAsia" w:ascii="宋体" w:hAnsi="宋体" w:eastAsia="宋体" w:cs="宋体"/>
          <w:b/>
          <w:bCs/>
          <w:snapToGrid w:val="0"/>
          <w:color w:val="auto"/>
          <w:kern w:val="0"/>
        </w:rPr>
        <w:t>二、双方一般权利和义务</w:t>
      </w:r>
      <w:r>
        <w:rPr>
          <w:rFonts w:hint="eastAsia"/>
        </w:rPr>
        <w:tab/>
      </w:r>
      <w:r>
        <w:rPr>
          <w:rFonts w:hint="eastAsia"/>
        </w:rPr>
        <w:fldChar w:fldCharType="begin"/>
      </w:r>
      <w:r>
        <w:rPr>
          <w:rFonts w:hint="eastAsia"/>
        </w:rPr>
        <w:instrText xml:space="preserve"> </w:instrText>
      </w:r>
      <w:r>
        <w:instrText xml:space="preserve">PAGEREF _Toc176192795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5AF98BEA">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"_Toc176192796" </w:instrText>
      </w:r>
      <w:r>
        <w:fldChar w:fldCharType="separate"/>
      </w:r>
      <w:r>
        <w:rPr>
          <w:rStyle w:val="46"/>
          <w:rFonts w:hint="eastAsia" w:ascii="宋体" w:hAnsi="宋体" w:eastAsia="宋体" w:cs="宋体"/>
          <w:b/>
          <w:snapToGrid w:val="0"/>
          <w:color w:val="auto"/>
          <w:kern w:val="0"/>
        </w:rPr>
        <w:t>5、工程师</w:t>
      </w:r>
      <w:r>
        <w:rPr>
          <w:rFonts w:hint="eastAsia"/>
        </w:rPr>
        <w:tab/>
      </w:r>
      <w:r>
        <w:rPr>
          <w:rFonts w:hint="eastAsia"/>
        </w:rPr>
        <w:fldChar w:fldCharType="begin"/>
      </w:r>
      <w:r>
        <w:rPr>
          <w:rFonts w:hint="eastAsia"/>
        </w:rPr>
        <w:instrText xml:space="preserve"> </w:instrText>
      </w:r>
      <w:r>
        <w:instrText xml:space="preserve">PAGEREF _Toc176192796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3279796F">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"_Toc176192797" </w:instrText>
      </w:r>
      <w:r>
        <w:fldChar w:fldCharType="separate"/>
      </w:r>
      <w:r>
        <w:rPr>
          <w:rStyle w:val="46"/>
          <w:rFonts w:hint="eastAsia" w:ascii="宋体" w:hAnsi="宋体" w:eastAsia="宋体" w:cs="宋体"/>
          <w:b/>
          <w:snapToGrid w:val="0"/>
          <w:color w:val="auto"/>
          <w:kern w:val="0"/>
        </w:rPr>
        <w:t>6、工程师的委派和指令</w:t>
      </w:r>
      <w:r>
        <w:rPr>
          <w:rFonts w:hint="eastAsia"/>
        </w:rPr>
        <w:tab/>
      </w:r>
      <w:r>
        <w:rPr>
          <w:rFonts w:hint="eastAsia"/>
        </w:rPr>
        <w:fldChar w:fldCharType="begin"/>
      </w:r>
      <w:r>
        <w:rPr>
          <w:rFonts w:hint="eastAsia"/>
        </w:rPr>
        <w:instrText xml:space="preserve"> </w:instrText>
      </w:r>
      <w:r>
        <w:instrText xml:space="preserve">PAGEREF _Toc176192797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7934609A">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"_Toc176192798" </w:instrText>
      </w:r>
      <w:r>
        <w:fldChar w:fldCharType="separate"/>
      </w:r>
      <w:r>
        <w:rPr>
          <w:rStyle w:val="46"/>
          <w:rFonts w:hint="eastAsia" w:ascii="宋体" w:hAnsi="宋体" w:eastAsia="宋体" w:cs="宋体"/>
          <w:b/>
          <w:snapToGrid w:val="0"/>
          <w:color w:val="auto"/>
          <w:kern w:val="0"/>
        </w:rPr>
        <w:t>7、项目经理</w:t>
      </w:r>
      <w:r>
        <w:rPr>
          <w:rFonts w:hint="eastAsia"/>
        </w:rPr>
        <w:tab/>
      </w:r>
      <w:r>
        <w:rPr>
          <w:rFonts w:hint="eastAsia"/>
        </w:rPr>
        <w:fldChar w:fldCharType="begin"/>
      </w:r>
      <w:r>
        <w:rPr>
          <w:rFonts w:hint="eastAsia"/>
        </w:rPr>
        <w:instrText xml:space="preserve"> </w:instrText>
      </w:r>
      <w:r>
        <w:instrText xml:space="preserve">PAGEREF _Toc176192798 \h</w:instrText>
      </w:r>
      <w:r>
        <w:rPr>
          <w:rFonts w:hint="eastAsia"/>
        </w:rPr>
        <w:instrText xml:space="preserve"> </w:instrText>
      </w:r>
      <w:r>
        <w:rPr>
          <w:rFonts w:hint="eastAsia"/>
        </w:rPr>
        <w:fldChar w:fldCharType="separate"/>
      </w:r>
      <w:r>
        <w:t>39</w:t>
      </w:r>
      <w:r>
        <w:rPr>
          <w:rFonts w:hint="eastAsia"/>
        </w:rPr>
        <w:fldChar w:fldCharType="end"/>
      </w:r>
      <w:r>
        <w:rPr>
          <w:rFonts w:hint="eastAsia"/>
        </w:rPr>
        <w:fldChar w:fldCharType="end"/>
      </w:r>
    </w:p>
    <w:p w14:paraId="696AE682">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"_Toc176192799" </w:instrText>
      </w:r>
      <w:r>
        <w:fldChar w:fldCharType="separate"/>
      </w:r>
      <w:r>
        <w:rPr>
          <w:rStyle w:val="46"/>
          <w:rFonts w:hint="eastAsia" w:ascii="宋体" w:hAnsi="宋体" w:eastAsia="宋体" w:cs="宋体"/>
          <w:b/>
          <w:snapToGrid w:val="0"/>
          <w:color w:val="auto"/>
          <w:kern w:val="0"/>
        </w:rPr>
        <w:t>8、发包人工作</w:t>
      </w:r>
      <w:r>
        <w:rPr>
          <w:rFonts w:hint="eastAsia"/>
        </w:rPr>
        <w:tab/>
      </w:r>
      <w:r>
        <w:rPr>
          <w:rFonts w:hint="eastAsia"/>
        </w:rPr>
        <w:fldChar w:fldCharType="begin"/>
      </w:r>
      <w:r>
        <w:rPr>
          <w:rFonts w:hint="eastAsia"/>
        </w:rPr>
        <w:instrText xml:space="preserve"> </w:instrText>
      </w:r>
      <w:r>
        <w:instrText xml:space="preserve">PAGEREF _Toc176192799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4519FF17">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"_Toc176192800" </w:instrText>
      </w:r>
      <w:r>
        <w:fldChar w:fldCharType="separate"/>
      </w:r>
      <w:r>
        <w:rPr>
          <w:rStyle w:val="46"/>
          <w:rFonts w:hint="eastAsia" w:ascii="宋体" w:hAnsi="宋体" w:eastAsia="宋体" w:cs="宋体"/>
          <w:b/>
          <w:snapToGrid w:val="0"/>
          <w:color w:val="auto"/>
          <w:kern w:val="0"/>
        </w:rPr>
        <w:t>9、承包人工作</w:t>
      </w:r>
      <w:r>
        <w:rPr>
          <w:rFonts w:hint="eastAsia"/>
        </w:rPr>
        <w:tab/>
      </w:r>
      <w:r>
        <w:rPr>
          <w:rFonts w:hint="eastAsia"/>
        </w:rPr>
        <w:fldChar w:fldCharType="begin"/>
      </w:r>
      <w:r>
        <w:rPr>
          <w:rFonts w:hint="eastAsia"/>
        </w:rPr>
        <w:instrText xml:space="preserve"> </w:instrText>
      </w:r>
      <w:r>
        <w:instrText xml:space="preserve">PAGEREF _Toc176192800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115BE47C">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"_Toc176192801" </w:instrText>
      </w:r>
      <w:r>
        <w:fldChar w:fldCharType="separate"/>
      </w:r>
      <w:r>
        <w:rPr>
          <w:rStyle w:val="46"/>
          <w:rFonts w:hint="eastAsia" w:ascii="宋体" w:hAnsi="宋体" w:eastAsia="宋体" w:cs="宋体"/>
          <w:b/>
          <w:bCs/>
          <w:snapToGrid w:val="0"/>
          <w:color w:val="auto"/>
          <w:kern w:val="0"/>
        </w:rPr>
        <w:t>三、施工组织设计和工期</w:t>
      </w:r>
      <w:r>
        <w:rPr>
          <w:rFonts w:hint="eastAsia"/>
        </w:rPr>
        <w:tab/>
      </w:r>
      <w:r>
        <w:rPr>
          <w:rFonts w:hint="eastAsia"/>
        </w:rPr>
        <w:fldChar w:fldCharType="begin"/>
      </w:r>
      <w:r>
        <w:rPr>
          <w:rFonts w:hint="eastAsia"/>
        </w:rPr>
        <w:instrText xml:space="preserve"> </w:instrText>
      </w:r>
      <w:r>
        <w:instrText xml:space="preserve">PAGEREF _Toc176192801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0D59155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"_Toc176192802" </w:instrText>
      </w:r>
      <w:r>
        <w:fldChar w:fldCharType="separate"/>
      </w:r>
      <w:r>
        <w:rPr>
          <w:rStyle w:val="46"/>
          <w:rFonts w:hint="eastAsia" w:ascii="宋体" w:hAnsi="宋体" w:eastAsia="宋体" w:cs="宋体"/>
          <w:b/>
          <w:snapToGrid w:val="0"/>
          <w:color w:val="auto"/>
          <w:kern w:val="0"/>
        </w:rPr>
        <w:t>10、进度计划</w:t>
      </w:r>
      <w:r>
        <w:rPr>
          <w:rFonts w:hint="eastAsia"/>
        </w:rPr>
        <w:tab/>
      </w:r>
      <w:r>
        <w:rPr>
          <w:rFonts w:hint="eastAsia"/>
        </w:rPr>
        <w:fldChar w:fldCharType="begin"/>
      </w:r>
      <w:r>
        <w:rPr>
          <w:rFonts w:hint="eastAsia"/>
        </w:rPr>
        <w:instrText xml:space="preserve"> </w:instrText>
      </w:r>
      <w:r>
        <w:instrText xml:space="preserve">PAGEREF _Toc176192802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2D941EC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"_Toc176192803" </w:instrText>
      </w:r>
      <w:r>
        <w:fldChar w:fldCharType="separate"/>
      </w:r>
      <w:r>
        <w:rPr>
          <w:rStyle w:val="46"/>
          <w:rFonts w:hint="eastAsia" w:ascii="宋体" w:hAnsi="宋体" w:eastAsia="宋体" w:cs="宋体"/>
          <w:b/>
          <w:snapToGrid w:val="0"/>
          <w:color w:val="auto"/>
          <w:kern w:val="0"/>
        </w:rPr>
        <w:t>11、开工及延期开工</w:t>
      </w:r>
      <w:r>
        <w:rPr>
          <w:rFonts w:hint="eastAsia"/>
        </w:rPr>
        <w:tab/>
      </w:r>
      <w:r>
        <w:rPr>
          <w:rFonts w:hint="eastAsia"/>
        </w:rPr>
        <w:fldChar w:fldCharType="begin"/>
      </w:r>
      <w:r>
        <w:rPr>
          <w:rFonts w:hint="eastAsia"/>
        </w:rPr>
        <w:instrText xml:space="preserve"> </w:instrText>
      </w:r>
      <w:r>
        <w:instrText xml:space="preserve">PAGEREF _Toc176192803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266D2A9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"_Toc176192804" </w:instrText>
      </w:r>
      <w:r>
        <w:fldChar w:fldCharType="separate"/>
      </w:r>
      <w:r>
        <w:rPr>
          <w:rStyle w:val="46"/>
          <w:rFonts w:hint="eastAsia" w:ascii="宋体" w:hAnsi="宋体" w:eastAsia="宋体" w:cs="宋体"/>
          <w:b/>
          <w:snapToGrid w:val="0"/>
          <w:color w:val="auto"/>
          <w:kern w:val="0"/>
        </w:rPr>
        <w:t>12、暂停施工</w:t>
      </w:r>
      <w:r>
        <w:rPr>
          <w:rFonts w:hint="eastAsia"/>
        </w:rPr>
        <w:tab/>
      </w:r>
      <w:r>
        <w:rPr>
          <w:rFonts w:hint="eastAsia"/>
        </w:rPr>
        <w:fldChar w:fldCharType="begin"/>
      </w:r>
      <w:r>
        <w:rPr>
          <w:rFonts w:hint="eastAsia"/>
        </w:rPr>
        <w:instrText xml:space="preserve"> </w:instrText>
      </w:r>
      <w:r>
        <w:instrText xml:space="preserve">PAGEREF _Toc176192804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450766C0">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"_Toc176192805" </w:instrText>
      </w:r>
      <w:r>
        <w:fldChar w:fldCharType="separate"/>
      </w:r>
      <w:r>
        <w:rPr>
          <w:rStyle w:val="46"/>
          <w:rFonts w:hint="eastAsia" w:ascii="宋体" w:hAnsi="宋体" w:eastAsia="宋体" w:cs="宋体"/>
          <w:b/>
          <w:snapToGrid w:val="0"/>
          <w:color w:val="auto"/>
          <w:kern w:val="0"/>
        </w:rPr>
        <w:t>13、工期延误</w:t>
      </w:r>
      <w:r>
        <w:rPr>
          <w:rFonts w:hint="eastAsia"/>
        </w:rPr>
        <w:tab/>
      </w:r>
      <w:r>
        <w:rPr>
          <w:rFonts w:hint="eastAsia"/>
        </w:rPr>
        <w:fldChar w:fldCharType="begin"/>
      </w:r>
      <w:r>
        <w:rPr>
          <w:rFonts w:hint="eastAsia"/>
        </w:rPr>
        <w:instrText xml:space="preserve"> </w:instrText>
      </w:r>
      <w:r>
        <w:instrText xml:space="preserve">PAGEREF _Toc176192805 \h</w:instrText>
      </w:r>
      <w:r>
        <w:rPr>
          <w:rFonts w:hint="eastAsia"/>
        </w:rPr>
        <w:instrText xml:space="preserve"> </w:instrText>
      </w:r>
      <w:r>
        <w:rPr>
          <w:rFonts w:hint="eastAsia"/>
        </w:rPr>
        <w:fldChar w:fldCharType="separate"/>
      </w:r>
      <w:r>
        <w:t>50</w:t>
      </w:r>
      <w:r>
        <w:rPr>
          <w:rFonts w:hint="eastAsia"/>
        </w:rPr>
        <w:fldChar w:fldCharType="end"/>
      </w:r>
      <w:r>
        <w:rPr>
          <w:rFonts w:hint="eastAsia"/>
        </w:rPr>
        <w:fldChar w:fldCharType="end"/>
      </w:r>
    </w:p>
    <w:p w14:paraId="47FDBEA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"_Toc176192806" </w:instrText>
      </w:r>
      <w:r>
        <w:fldChar w:fldCharType="separate"/>
      </w:r>
      <w:r>
        <w:rPr>
          <w:rStyle w:val="46"/>
          <w:rFonts w:hint="eastAsia" w:ascii="宋体" w:hAnsi="宋体" w:eastAsia="宋体" w:cs="宋体"/>
          <w:b/>
          <w:snapToGrid w:val="0"/>
          <w:color w:val="auto"/>
          <w:kern w:val="0"/>
        </w:rPr>
        <w:t>14、工程竣工</w:t>
      </w:r>
      <w:r>
        <w:rPr>
          <w:rFonts w:hint="eastAsia"/>
        </w:rPr>
        <w:tab/>
      </w:r>
      <w:r>
        <w:rPr>
          <w:rFonts w:hint="eastAsia"/>
        </w:rPr>
        <w:fldChar w:fldCharType="begin"/>
      </w:r>
      <w:r>
        <w:rPr>
          <w:rFonts w:hint="eastAsia"/>
        </w:rPr>
        <w:instrText xml:space="preserve"> </w:instrText>
      </w:r>
      <w:r>
        <w:instrText xml:space="preserve">PAGEREF _Toc176192806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14:paraId="6C88AE0A">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"_Toc176192807" </w:instrText>
      </w:r>
      <w:r>
        <w:fldChar w:fldCharType="separate"/>
      </w:r>
      <w:r>
        <w:rPr>
          <w:rStyle w:val="46"/>
          <w:rFonts w:hint="eastAsia" w:ascii="宋体" w:hAnsi="宋体" w:eastAsia="宋体" w:cs="宋体"/>
          <w:b/>
          <w:bCs/>
          <w:snapToGrid w:val="0"/>
          <w:color w:val="auto"/>
          <w:kern w:val="0"/>
        </w:rPr>
        <w:t>四、质量与检验</w:t>
      </w:r>
      <w:r>
        <w:rPr>
          <w:rFonts w:hint="eastAsia"/>
        </w:rPr>
        <w:tab/>
      </w:r>
      <w:r>
        <w:rPr>
          <w:rFonts w:hint="eastAsia"/>
        </w:rPr>
        <w:fldChar w:fldCharType="begin"/>
      </w:r>
      <w:r>
        <w:rPr>
          <w:rFonts w:hint="eastAsia"/>
        </w:rPr>
        <w:instrText xml:space="preserve"> </w:instrText>
      </w:r>
      <w:r>
        <w:instrText xml:space="preserve">PAGEREF _Toc176192807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5289A28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"_Toc176192808" </w:instrText>
      </w:r>
      <w:r>
        <w:fldChar w:fldCharType="separate"/>
      </w:r>
      <w:r>
        <w:rPr>
          <w:rStyle w:val="46"/>
          <w:rFonts w:hint="eastAsia" w:ascii="宋体" w:hAnsi="宋体" w:eastAsia="宋体" w:cs="宋体"/>
          <w:b/>
          <w:snapToGrid w:val="0"/>
          <w:color w:val="auto"/>
          <w:kern w:val="0"/>
        </w:rPr>
        <w:t>15、工程质量</w:t>
      </w:r>
      <w:r>
        <w:rPr>
          <w:rFonts w:hint="eastAsia"/>
        </w:rPr>
        <w:tab/>
      </w:r>
      <w:r>
        <w:rPr>
          <w:rFonts w:hint="eastAsia"/>
        </w:rPr>
        <w:fldChar w:fldCharType="begin"/>
      </w:r>
      <w:r>
        <w:rPr>
          <w:rFonts w:hint="eastAsia"/>
        </w:rPr>
        <w:instrText xml:space="preserve"> </w:instrText>
      </w:r>
      <w:r>
        <w:instrText xml:space="preserve">PAGEREF _Toc176192808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052C05D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"_Toc176192809" </w:instrText>
      </w:r>
      <w:r>
        <w:fldChar w:fldCharType="separate"/>
      </w:r>
      <w:r>
        <w:rPr>
          <w:rStyle w:val="46"/>
          <w:rFonts w:hint="eastAsia" w:ascii="宋体" w:hAnsi="宋体" w:eastAsia="宋体" w:cs="宋体"/>
          <w:b/>
          <w:snapToGrid w:val="0"/>
          <w:color w:val="auto"/>
          <w:kern w:val="0"/>
        </w:rPr>
        <w:t>16、检查和返工</w:t>
      </w:r>
      <w:r>
        <w:rPr>
          <w:rFonts w:hint="eastAsia"/>
        </w:rPr>
        <w:tab/>
      </w:r>
      <w:r>
        <w:rPr>
          <w:rFonts w:hint="eastAsia"/>
        </w:rPr>
        <w:fldChar w:fldCharType="begin"/>
      </w:r>
      <w:r>
        <w:rPr>
          <w:rFonts w:hint="eastAsia"/>
        </w:rPr>
        <w:instrText xml:space="preserve"> </w:instrText>
      </w:r>
      <w:r>
        <w:instrText xml:space="preserve">PAGEREF _Toc176192809 \h</w:instrText>
      </w:r>
      <w:r>
        <w:rPr>
          <w:rFonts w:hint="eastAsia"/>
        </w:rPr>
        <w:instrText xml:space="preserve"> </w:instrText>
      </w:r>
      <w:r>
        <w:rPr>
          <w:rFonts w:hint="eastAsia"/>
        </w:rPr>
        <w:fldChar w:fldCharType="separate"/>
      </w:r>
      <w:r>
        <w:t>53</w:t>
      </w:r>
      <w:r>
        <w:rPr>
          <w:rFonts w:hint="eastAsia"/>
        </w:rPr>
        <w:fldChar w:fldCharType="end"/>
      </w:r>
      <w:r>
        <w:rPr>
          <w:rFonts w:hint="eastAsia"/>
        </w:rPr>
        <w:fldChar w:fldCharType="end"/>
      </w:r>
    </w:p>
    <w:p w14:paraId="04E977FB">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"_Toc176192810" </w:instrText>
      </w:r>
      <w:r>
        <w:fldChar w:fldCharType="separate"/>
      </w:r>
      <w:r>
        <w:rPr>
          <w:rStyle w:val="46"/>
          <w:rFonts w:hint="eastAsia" w:ascii="宋体" w:hAnsi="宋体" w:eastAsia="宋体" w:cs="宋体"/>
          <w:b/>
          <w:snapToGrid w:val="0"/>
          <w:color w:val="auto"/>
          <w:kern w:val="0"/>
        </w:rPr>
        <w:t>17、隐蔽工程和中间验收</w:t>
      </w:r>
      <w:r>
        <w:rPr>
          <w:rFonts w:hint="eastAsia"/>
        </w:rPr>
        <w:tab/>
      </w:r>
      <w:r>
        <w:rPr>
          <w:rFonts w:hint="eastAsia"/>
        </w:rPr>
        <w:fldChar w:fldCharType="begin"/>
      </w:r>
      <w:r>
        <w:rPr>
          <w:rFonts w:hint="eastAsia"/>
        </w:rPr>
        <w:instrText xml:space="preserve"> </w:instrText>
      </w:r>
      <w:r>
        <w:instrText xml:space="preserve">PAGEREF _Toc176192810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14:paraId="0BAC8E5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"_Toc176192811" </w:instrText>
      </w:r>
      <w:r>
        <w:fldChar w:fldCharType="separate"/>
      </w:r>
      <w:r>
        <w:rPr>
          <w:rStyle w:val="46"/>
          <w:rFonts w:hint="eastAsia" w:ascii="宋体" w:hAnsi="宋体" w:eastAsia="宋体" w:cs="宋体"/>
          <w:b/>
          <w:snapToGrid w:val="0"/>
          <w:color w:val="auto"/>
          <w:kern w:val="0"/>
        </w:rPr>
        <w:t>19、工程试车</w:t>
      </w:r>
      <w:r>
        <w:rPr>
          <w:rFonts w:hint="eastAsia"/>
        </w:rPr>
        <w:tab/>
      </w:r>
      <w:r>
        <w:rPr>
          <w:rFonts w:hint="eastAsia"/>
        </w:rPr>
        <w:fldChar w:fldCharType="begin"/>
      </w:r>
      <w:r>
        <w:rPr>
          <w:rFonts w:hint="eastAsia"/>
        </w:rPr>
        <w:instrText xml:space="preserve"> </w:instrText>
      </w:r>
      <w:r>
        <w:instrText xml:space="preserve">PAGEREF _Toc176192811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75DE1F68">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"_Toc176192812" </w:instrText>
      </w:r>
      <w:r>
        <w:fldChar w:fldCharType="separate"/>
      </w:r>
      <w:r>
        <w:rPr>
          <w:rStyle w:val="46"/>
          <w:rFonts w:hint="eastAsia" w:ascii="宋体" w:hAnsi="宋体" w:eastAsia="宋体" w:cs="宋体"/>
          <w:b/>
          <w:bCs/>
          <w:snapToGrid w:val="0"/>
          <w:color w:val="auto"/>
          <w:kern w:val="0"/>
        </w:rPr>
        <w:t>五、安全文明施工</w:t>
      </w:r>
      <w:r>
        <w:rPr>
          <w:rFonts w:hint="eastAsia"/>
        </w:rPr>
        <w:tab/>
      </w:r>
      <w:r>
        <w:rPr>
          <w:rFonts w:hint="eastAsia"/>
        </w:rPr>
        <w:fldChar w:fldCharType="begin"/>
      </w:r>
      <w:r>
        <w:rPr>
          <w:rFonts w:hint="eastAsia"/>
        </w:rPr>
        <w:instrText xml:space="preserve"> </w:instrText>
      </w:r>
      <w:r>
        <w:instrText xml:space="preserve">PAGEREF _Toc176192812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6567DDA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"_Toc176192813" </w:instrText>
      </w:r>
      <w:r>
        <w:fldChar w:fldCharType="separate"/>
      </w:r>
      <w:r>
        <w:rPr>
          <w:rStyle w:val="46"/>
          <w:rFonts w:hint="eastAsia" w:ascii="宋体" w:hAnsi="宋体" w:eastAsia="宋体" w:cs="宋体"/>
          <w:b/>
          <w:snapToGrid w:val="0"/>
          <w:color w:val="auto"/>
          <w:kern w:val="0"/>
        </w:rPr>
        <w:t>20、施工场地的占用与管理</w:t>
      </w:r>
      <w:r>
        <w:rPr>
          <w:rFonts w:hint="eastAsia"/>
        </w:rPr>
        <w:tab/>
      </w:r>
      <w:r>
        <w:rPr>
          <w:rFonts w:hint="eastAsia"/>
        </w:rPr>
        <w:fldChar w:fldCharType="begin"/>
      </w:r>
      <w:r>
        <w:rPr>
          <w:rFonts w:hint="eastAsia"/>
        </w:rPr>
        <w:instrText xml:space="preserve"> </w:instrText>
      </w:r>
      <w:r>
        <w:instrText xml:space="preserve">PAGEREF _Toc176192813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5CAE4546">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"_Toc176192814" </w:instrText>
      </w:r>
      <w:r>
        <w:fldChar w:fldCharType="separate"/>
      </w:r>
      <w:r>
        <w:rPr>
          <w:rStyle w:val="46"/>
          <w:rFonts w:hint="eastAsia" w:ascii="宋体" w:hAnsi="宋体" w:eastAsia="宋体" w:cs="宋体"/>
          <w:b/>
          <w:snapToGrid w:val="0"/>
          <w:color w:val="auto"/>
          <w:kern w:val="0"/>
        </w:rPr>
        <w:t>21、安全施工与检查</w:t>
      </w:r>
      <w:r>
        <w:rPr>
          <w:rFonts w:hint="eastAsia"/>
        </w:rPr>
        <w:tab/>
      </w:r>
      <w:r>
        <w:rPr>
          <w:rFonts w:hint="eastAsia"/>
        </w:rPr>
        <w:fldChar w:fldCharType="begin"/>
      </w:r>
      <w:r>
        <w:rPr>
          <w:rFonts w:hint="eastAsia"/>
        </w:rPr>
        <w:instrText xml:space="preserve"> </w:instrText>
      </w:r>
      <w:r>
        <w:instrText xml:space="preserve">PAGEREF _Toc176192814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24A47BD4">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"_Toc176192815" </w:instrText>
      </w:r>
      <w:r>
        <w:fldChar w:fldCharType="separate"/>
      </w:r>
      <w:r>
        <w:rPr>
          <w:rStyle w:val="46"/>
          <w:rFonts w:hint="eastAsia" w:ascii="宋体" w:hAnsi="宋体" w:eastAsia="宋体" w:cs="宋体"/>
          <w:b/>
          <w:snapToGrid w:val="0"/>
          <w:color w:val="auto"/>
          <w:kern w:val="0"/>
        </w:rPr>
        <w:t>22、安全防护</w:t>
      </w:r>
      <w:r>
        <w:rPr>
          <w:rFonts w:hint="eastAsia"/>
        </w:rPr>
        <w:tab/>
      </w:r>
      <w:r>
        <w:rPr>
          <w:rFonts w:hint="eastAsia"/>
        </w:rPr>
        <w:fldChar w:fldCharType="begin"/>
      </w:r>
      <w:r>
        <w:rPr>
          <w:rFonts w:hint="eastAsia"/>
        </w:rPr>
        <w:instrText xml:space="preserve"> </w:instrText>
      </w:r>
      <w:r>
        <w:instrText xml:space="preserve">PAGEREF _Toc176192815 \h</w:instrText>
      </w:r>
      <w:r>
        <w:rPr>
          <w:rFonts w:hint="eastAsia"/>
        </w:rPr>
        <w:instrText xml:space="preserve"> </w:instrText>
      </w:r>
      <w:r>
        <w:rPr>
          <w:rFonts w:hint="eastAsia"/>
        </w:rPr>
        <w:fldChar w:fldCharType="separate"/>
      </w:r>
      <w:r>
        <w:t>57</w:t>
      </w:r>
      <w:r>
        <w:rPr>
          <w:rFonts w:hint="eastAsia"/>
        </w:rPr>
        <w:fldChar w:fldCharType="end"/>
      </w:r>
      <w:r>
        <w:rPr>
          <w:rFonts w:hint="eastAsia"/>
        </w:rPr>
        <w:fldChar w:fldCharType="end"/>
      </w:r>
    </w:p>
    <w:p w14:paraId="552F2EFC">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"_Toc176192816" </w:instrText>
      </w:r>
      <w:r>
        <w:fldChar w:fldCharType="separate"/>
      </w:r>
      <w:r>
        <w:rPr>
          <w:rStyle w:val="46"/>
          <w:rFonts w:hint="eastAsia" w:ascii="宋体" w:hAnsi="宋体" w:eastAsia="宋体" w:cs="宋体"/>
          <w:b/>
          <w:snapToGrid w:val="0"/>
          <w:color w:val="auto"/>
          <w:kern w:val="0"/>
        </w:rPr>
        <w:t>23、事故处理</w:t>
      </w:r>
      <w:r>
        <w:rPr>
          <w:rFonts w:hint="eastAsia"/>
        </w:rPr>
        <w:tab/>
      </w:r>
      <w:r>
        <w:rPr>
          <w:rFonts w:hint="eastAsia"/>
        </w:rPr>
        <w:fldChar w:fldCharType="begin"/>
      </w:r>
      <w:r>
        <w:rPr>
          <w:rFonts w:hint="eastAsia"/>
        </w:rPr>
        <w:instrText xml:space="preserve"> </w:instrText>
      </w:r>
      <w:r>
        <w:instrText xml:space="preserve">PAGEREF _Toc176192816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0E2A5184">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"_Toc176192817" </w:instrText>
      </w:r>
      <w:r>
        <w:fldChar w:fldCharType="separate"/>
      </w:r>
      <w:r>
        <w:rPr>
          <w:rStyle w:val="46"/>
          <w:rFonts w:hint="eastAsia" w:ascii="宋体" w:hAnsi="宋体" w:eastAsia="宋体" w:cs="宋体"/>
          <w:b/>
          <w:snapToGrid w:val="0"/>
          <w:color w:val="auto"/>
          <w:kern w:val="0"/>
        </w:rPr>
        <w:t>24、文明施工与环境保护</w:t>
      </w:r>
      <w:r>
        <w:rPr>
          <w:rFonts w:hint="eastAsia"/>
        </w:rPr>
        <w:tab/>
      </w:r>
      <w:r>
        <w:rPr>
          <w:rFonts w:hint="eastAsia"/>
        </w:rPr>
        <w:fldChar w:fldCharType="begin"/>
      </w:r>
      <w:r>
        <w:rPr>
          <w:rFonts w:hint="eastAsia"/>
        </w:rPr>
        <w:instrText xml:space="preserve"> </w:instrText>
      </w:r>
      <w:r>
        <w:instrText xml:space="preserve">PAGEREF _Toc176192817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0885F1E0">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"_Toc176192818" </w:instrText>
      </w:r>
      <w:r>
        <w:fldChar w:fldCharType="separate"/>
      </w:r>
      <w:r>
        <w:rPr>
          <w:rStyle w:val="46"/>
          <w:rFonts w:hint="eastAsia" w:ascii="宋体" w:hAnsi="宋体" w:eastAsia="宋体" w:cs="宋体"/>
          <w:b/>
          <w:bCs/>
          <w:snapToGrid w:val="0"/>
          <w:color w:val="auto"/>
          <w:kern w:val="0"/>
        </w:rPr>
        <w:t>六、合同价款与支付</w:t>
      </w:r>
      <w:r>
        <w:rPr>
          <w:rFonts w:hint="eastAsia"/>
        </w:rPr>
        <w:tab/>
      </w:r>
      <w:r>
        <w:rPr>
          <w:rFonts w:hint="eastAsia"/>
        </w:rPr>
        <w:fldChar w:fldCharType="begin"/>
      </w:r>
      <w:r>
        <w:rPr>
          <w:rFonts w:hint="eastAsia"/>
        </w:rPr>
        <w:instrText xml:space="preserve"> </w:instrText>
      </w:r>
      <w:r>
        <w:instrText xml:space="preserve">PAGEREF _Toc176192818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14:paraId="159CC557">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"_Toc176192819" </w:instrText>
      </w:r>
      <w:r>
        <w:fldChar w:fldCharType="separate"/>
      </w:r>
      <w:r>
        <w:rPr>
          <w:rStyle w:val="46"/>
          <w:rFonts w:hint="eastAsia" w:ascii="宋体" w:hAnsi="宋体" w:eastAsia="宋体" w:cs="宋体"/>
          <w:b/>
          <w:snapToGrid w:val="0"/>
          <w:color w:val="auto"/>
          <w:kern w:val="0"/>
        </w:rPr>
        <w:t>25、合同价款及调整</w:t>
      </w:r>
      <w:r>
        <w:rPr>
          <w:rFonts w:hint="eastAsia"/>
        </w:rPr>
        <w:tab/>
      </w:r>
      <w:r>
        <w:rPr>
          <w:rFonts w:hint="eastAsia"/>
        </w:rPr>
        <w:fldChar w:fldCharType="begin"/>
      </w:r>
      <w:r>
        <w:rPr>
          <w:rFonts w:hint="eastAsia"/>
        </w:rPr>
        <w:instrText xml:space="preserve"> </w:instrText>
      </w:r>
      <w:r>
        <w:instrText xml:space="preserve">PAGEREF _Toc176192819 \h</w:instrText>
      </w:r>
      <w:r>
        <w:rPr>
          <w:rFonts w:hint="eastAsia"/>
        </w:rPr>
        <w:instrText xml:space="preserve"> </w:instrText>
      </w:r>
      <w:r>
        <w:rPr>
          <w:rFonts w:hint="eastAsia"/>
        </w:rPr>
        <w:fldChar w:fldCharType="separate"/>
      </w:r>
      <w:r>
        <w:t>59</w:t>
      </w:r>
      <w:r>
        <w:rPr>
          <w:rFonts w:hint="eastAsia"/>
        </w:rPr>
        <w:fldChar w:fldCharType="end"/>
      </w:r>
      <w:r>
        <w:rPr>
          <w:rFonts w:hint="eastAsia"/>
        </w:rPr>
        <w:fldChar w:fldCharType="end"/>
      </w:r>
    </w:p>
    <w:p w14:paraId="3A4B5F77">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"_Toc176192820" </w:instrText>
      </w:r>
      <w:r>
        <w:fldChar w:fldCharType="separate"/>
      </w:r>
      <w:r>
        <w:rPr>
          <w:rStyle w:val="46"/>
          <w:rFonts w:hint="eastAsia" w:ascii="宋体" w:hAnsi="宋体" w:eastAsia="宋体" w:cs="宋体"/>
          <w:b/>
          <w:snapToGrid w:val="0"/>
          <w:color w:val="auto"/>
          <w:kern w:val="0"/>
        </w:rPr>
        <w:t>26、工程预付款</w:t>
      </w:r>
      <w:r>
        <w:rPr>
          <w:rFonts w:hint="eastAsia"/>
        </w:rPr>
        <w:tab/>
      </w:r>
      <w:r>
        <w:rPr>
          <w:rFonts w:hint="eastAsia"/>
        </w:rPr>
        <w:fldChar w:fldCharType="begin"/>
      </w:r>
      <w:r>
        <w:rPr>
          <w:rFonts w:hint="eastAsia"/>
        </w:rPr>
        <w:instrText xml:space="preserve"> </w:instrText>
      </w:r>
      <w:r>
        <w:instrText xml:space="preserve">PAGEREF _Toc176192820 \h</w:instrText>
      </w:r>
      <w:r>
        <w:rPr>
          <w:rFonts w:hint="eastAsia"/>
        </w:rPr>
        <w:instrText xml:space="preserve"> </w:instrText>
      </w:r>
      <w:r>
        <w:rPr>
          <w:rFonts w:hint="eastAsia"/>
        </w:rPr>
        <w:fldChar w:fldCharType="separate"/>
      </w:r>
      <w:r>
        <w:t>63</w:t>
      </w:r>
      <w:r>
        <w:rPr>
          <w:rFonts w:hint="eastAsia"/>
        </w:rPr>
        <w:fldChar w:fldCharType="end"/>
      </w:r>
      <w:r>
        <w:rPr>
          <w:rFonts w:hint="eastAsia"/>
        </w:rPr>
        <w:fldChar w:fldCharType="end"/>
      </w:r>
    </w:p>
    <w:p w14:paraId="789A2F4B">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"_Toc176192821" </w:instrText>
      </w:r>
      <w:r>
        <w:fldChar w:fldCharType="separate"/>
      </w:r>
      <w:r>
        <w:rPr>
          <w:rStyle w:val="46"/>
          <w:rFonts w:hint="eastAsia" w:ascii="宋体" w:hAnsi="宋体" w:eastAsia="宋体" w:cs="宋体"/>
          <w:b/>
          <w:snapToGrid w:val="0"/>
          <w:color w:val="auto"/>
          <w:kern w:val="0"/>
        </w:rPr>
        <w:t>27、工程量的确认</w:t>
      </w:r>
      <w:r>
        <w:rPr>
          <w:rFonts w:hint="eastAsia"/>
        </w:rPr>
        <w:tab/>
      </w:r>
      <w:r>
        <w:rPr>
          <w:rFonts w:hint="eastAsia"/>
        </w:rPr>
        <w:fldChar w:fldCharType="begin"/>
      </w:r>
      <w:r>
        <w:rPr>
          <w:rFonts w:hint="eastAsia"/>
        </w:rPr>
        <w:instrText xml:space="preserve"> </w:instrText>
      </w:r>
      <w:r>
        <w:instrText xml:space="preserve">PAGEREF _Toc176192821 \h</w:instrText>
      </w:r>
      <w:r>
        <w:rPr>
          <w:rFonts w:hint="eastAsia"/>
        </w:rPr>
        <w:instrText xml:space="preserve"> </w:instrText>
      </w:r>
      <w:r>
        <w:rPr>
          <w:rFonts w:hint="eastAsia"/>
        </w:rPr>
        <w:fldChar w:fldCharType="separate"/>
      </w:r>
      <w:r>
        <w:t>63</w:t>
      </w:r>
      <w:r>
        <w:rPr>
          <w:rFonts w:hint="eastAsia"/>
        </w:rPr>
        <w:fldChar w:fldCharType="end"/>
      </w:r>
      <w:r>
        <w:rPr>
          <w:rFonts w:hint="eastAsia"/>
        </w:rPr>
        <w:fldChar w:fldCharType="end"/>
      </w:r>
    </w:p>
    <w:p w14:paraId="4E1552FF">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"_Toc176192822" </w:instrText>
      </w:r>
      <w:r>
        <w:fldChar w:fldCharType="separate"/>
      </w:r>
      <w:r>
        <w:rPr>
          <w:rStyle w:val="46"/>
          <w:rFonts w:hint="eastAsia" w:ascii="宋体" w:hAnsi="宋体" w:eastAsia="宋体" w:cs="宋体"/>
          <w:b/>
          <w:snapToGrid w:val="0"/>
          <w:color w:val="auto"/>
          <w:kern w:val="0"/>
        </w:rPr>
        <w:t>28、工程款（进度款）支付</w:t>
      </w:r>
      <w:r>
        <w:rPr>
          <w:rFonts w:hint="eastAsia"/>
        </w:rPr>
        <w:tab/>
      </w:r>
      <w:r>
        <w:rPr>
          <w:rFonts w:hint="eastAsia"/>
        </w:rPr>
        <w:fldChar w:fldCharType="begin"/>
      </w:r>
      <w:r>
        <w:rPr>
          <w:rFonts w:hint="eastAsia"/>
        </w:rPr>
        <w:instrText xml:space="preserve"> </w:instrText>
      </w:r>
      <w:r>
        <w:instrText xml:space="preserve">PAGEREF _Toc176192822 \h</w:instrText>
      </w:r>
      <w:r>
        <w:rPr>
          <w:rFonts w:hint="eastAsia"/>
        </w:rPr>
        <w:instrText xml:space="preserve"> </w:instrText>
      </w:r>
      <w:r>
        <w:rPr>
          <w:rFonts w:hint="eastAsia"/>
        </w:rPr>
        <w:fldChar w:fldCharType="separate"/>
      </w:r>
      <w:r>
        <w:t>64</w:t>
      </w:r>
      <w:r>
        <w:rPr>
          <w:rFonts w:hint="eastAsia"/>
        </w:rPr>
        <w:fldChar w:fldCharType="end"/>
      </w:r>
      <w:r>
        <w:rPr>
          <w:rFonts w:hint="eastAsia"/>
        </w:rPr>
        <w:fldChar w:fldCharType="end"/>
      </w:r>
    </w:p>
    <w:p w14:paraId="231DD921">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"_Toc176192823" </w:instrText>
      </w:r>
      <w:r>
        <w:fldChar w:fldCharType="separate"/>
      </w:r>
      <w:r>
        <w:rPr>
          <w:rStyle w:val="46"/>
          <w:rFonts w:hint="eastAsia" w:ascii="宋体" w:hAnsi="宋体" w:eastAsia="宋体" w:cs="宋体"/>
          <w:b/>
          <w:bCs/>
          <w:snapToGrid w:val="0"/>
          <w:color w:val="auto"/>
          <w:kern w:val="0"/>
        </w:rPr>
        <w:t>七、材料设备供应</w:t>
      </w:r>
      <w:r>
        <w:rPr>
          <w:rFonts w:hint="eastAsia"/>
        </w:rPr>
        <w:tab/>
      </w:r>
      <w:r>
        <w:rPr>
          <w:rFonts w:hint="eastAsia"/>
        </w:rPr>
        <w:fldChar w:fldCharType="begin"/>
      </w:r>
      <w:r>
        <w:rPr>
          <w:rFonts w:hint="eastAsia"/>
        </w:rPr>
        <w:instrText xml:space="preserve"> </w:instrText>
      </w:r>
      <w:r>
        <w:instrText xml:space="preserve">PAGEREF _Toc176192823 \h</w:instrText>
      </w:r>
      <w:r>
        <w:rPr>
          <w:rFonts w:hint="eastAsia"/>
        </w:rPr>
        <w:instrText xml:space="preserve"> </w:instrText>
      </w:r>
      <w:r>
        <w:rPr>
          <w:rFonts w:hint="eastAsia"/>
        </w:rPr>
        <w:fldChar w:fldCharType="separate"/>
      </w:r>
      <w:r>
        <w:t>66</w:t>
      </w:r>
      <w:r>
        <w:rPr>
          <w:rFonts w:hint="eastAsia"/>
        </w:rPr>
        <w:fldChar w:fldCharType="end"/>
      </w:r>
      <w:r>
        <w:rPr>
          <w:rFonts w:hint="eastAsia"/>
        </w:rPr>
        <w:fldChar w:fldCharType="end"/>
      </w:r>
    </w:p>
    <w:p w14:paraId="4B1F8E52">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"_Toc176192824" </w:instrText>
      </w:r>
      <w:r>
        <w:fldChar w:fldCharType="separate"/>
      </w:r>
      <w:r>
        <w:rPr>
          <w:rStyle w:val="46"/>
          <w:rFonts w:hint="eastAsia" w:ascii="宋体" w:hAnsi="宋体" w:eastAsia="宋体" w:cs="宋体"/>
          <w:b/>
          <w:snapToGrid w:val="0"/>
          <w:color w:val="auto"/>
          <w:kern w:val="0"/>
        </w:rPr>
        <w:t>29、发包人供应材料设备</w:t>
      </w:r>
      <w:r>
        <w:rPr>
          <w:rFonts w:hint="eastAsia"/>
        </w:rPr>
        <w:tab/>
      </w:r>
      <w:r>
        <w:rPr>
          <w:rFonts w:hint="eastAsia"/>
        </w:rPr>
        <w:fldChar w:fldCharType="begin"/>
      </w:r>
      <w:r>
        <w:rPr>
          <w:rFonts w:hint="eastAsia"/>
        </w:rPr>
        <w:instrText xml:space="preserve"> </w:instrText>
      </w:r>
      <w:r>
        <w:instrText xml:space="preserve">PAGEREF _Toc176192824 \h</w:instrText>
      </w:r>
      <w:r>
        <w:rPr>
          <w:rFonts w:hint="eastAsia"/>
        </w:rPr>
        <w:instrText xml:space="preserve"> </w:instrText>
      </w:r>
      <w:r>
        <w:rPr>
          <w:rFonts w:hint="eastAsia"/>
        </w:rPr>
        <w:fldChar w:fldCharType="separate"/>
      </w:r>
      <w:r>
        <w:t>66</w:t>
      </w:r>
      <w:r>
        <w:rPr>
          <w:rFonts w:hint="eastAsia"/>
        </w:rPr>
        <w:fldChar w:fldCharType="end"/>
      </w:r>
      <w:r>
        <w:rPr>
          <w:rFonts w:hint="eastAsia"/>
        </w:rPr>
        <w:fldChar w:fldCharType="end"/>
      </w:r>
    </w:p>
    <w:p w14:paraId="14A3B6A2">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"_Toc176192825" </w:instrText>
      </w:r>
      <w:r>
        <w:fldChar w:fldCharType="separate"/>
      </w:r>
      <w:r>
        <w:rPr>
          <w:rStyle w:val="46"/>
          <w:rFonts w:hint="eastAsia" w:ascii="宋体" w:hAnsi="宋体" w:eastAsia="宋体" w:cs="宋体"/>
          <w:b/>
          <w:snapToGrid w:val="0"/>
          <w:color w:val="auto"/>
          <w:kern w:val="0"/>
        </w:rPr>
        <w:t>30、承包人采购材料设备</w:t>
      </w:r>
      <w:r>
        <w:rPr>
          <w:rFonts w:hint="eastAsia"/>
        </w:rPr>
        <w:tab/>
      </w:r>
      <w:r>
        <w:rPr>
          <w:rFonts w:hint="eastAsia"/>
        </w:rPr>
        <w:fldChar w:fldCharType="begin"/>
      </w:r>
      <w:r>
        <w:rPr>
          <w:rFonts w:hint="eastAsia"/>
        </w:rPr>
        <w:instrText xml:space="preserve"> </w:instrText>
      </w:r>
      <w:r>
        <w:instrText xml:space="preserve">PAGEREF _Toc176192825 \h</w:instrText>
      </w:r>
      <w:r>
        <w:rPr>
          <w:rFonts w:hint="eastAsia"/>
        </w:rPr>
        <w:instrText xml:space="preserve"> </w:instrText>
      </w:r>
      <w:r>
        <w:rPr>
          <w:rFonts w:hint="eastAsia"/>
        </w:rPr>
        <w:fldChar w:fldCharType="separate"/>
      </w:r>
      <w:r>
        <w:t>66</w:t>
      </w:r>
      <w:r>
        <w:rPr>
          <w:rFonts w:hint="eastAsia"/>
        </w:rPr>
        <w:fldChar w:fldCharType="end"/>
      </w:r>
      <w:r>
        <w:rPr>
          <w:rFonts w:hint="eastAsia"/>
        </w:rPr>
        <w:fldChar w:fldCharType="end"/>
      </w:r>
    </w:p>
    <w:p w14:paraId="67A22C55">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"_Toc176192826" </w:instrText>
      </w:r>
      <w:r>
        <w:fldChar w:fldCharType="separate"/>
      </w:r>
      <w:r>
        <w:rPr>
          <w:rStyle w:val="46"/>
          <w:rFonts w:hint="eastAsia" w:ascii="宋体" w:hAnsi="宋体" w:eastAsia="宋体" w:cs="宋体"/>
          <w:b/>
          <w:bCs/>
          <w:snapToGrid w:val="0"/>
          <w:color w:val="auto"/>
          <w:kern w:val="0"/>
        </w:rPr>
        <w:t>八、工程变更</w:t>
      </w:r>
      <w:r>
        <w:rPr>
          <w:rFonts w:hint="eastAsia"/>
        </w:rPr>
        <w:tab/>
      </w:r>
      <w:r>
        <w:rPr>
          <w:rFonts w:hint="eastAsia"/>
        </w:rPr>
        <w:fldChar w:fldCharType="begin"/>
      </w:r>
      <w:r>
        <w:rPr>
          <w:rFonts w:hint="eastAsia"/>
        </w:rPr>
        <w:instrText xml:space="preserve"> </w:instrText>
      </w:r>
      <w:r>
        <w:instrText xml:space="preserve">PAGEREF _Toc176192826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14:paraId="538B9DA8">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"_Toc176192827" </w:instrText>
      </w:r>
      <w:r>
        <w:fldChar w:fldCharType="separate"/>
      </w:r>
      <w:r>
        <w:rPr>
          <w:rStyle w:val="46"/>
          <w:rFonts w:hint="eastAsia" w:ascii="宋体" w:hAnsi="宋体" w:eastAsia="宋体" w:cs="宋体"/>
          <w:b/>
          <w:snapToGrid w:val="0"/>
          <w:color w:val="auto"/>
          <w:kern w:val="0"/>
        </w:rPr>
        <w:t>31、工程设计变更</w:t>
      </w:r>
      <w:r>
        <w:rPr>
          <w:rFonts w:hint="eastAsia"/>
        </w:rPr>
        <w:tab/>
      </w:r>
      <w:r>
        <w:rPr>
          <w:rFonts w:hint="eastAsia"/>
        </w:rPr>
        <w:fldChar w:fldCharType="begin"/>
      </w:r>
      <w:r>
        <w:rPr>
          <w:rFonts w:hint="eastAsia"/>
        </w:rPr>
        <w:instrText xml:space="preserve"> </w:instrText>
      </w:r>
      <w:r>
        <w:instrText xml:space="preserve">PAGEREF _Toc176192827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14:paraId="2E2C1BA3">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"_Toc176192828" </w:instrText>
      </w:r>
      <w:r>
        <w:fldChar w:fldCharType="separate"/>
      </w:r>
      <w:r>
        <w:rPr>
          <w:rStyle w:val="46"/>
          <w:rFonts w:hint="eastAsia" w:ascii="宋体" w:hAnsi="宋体" w:eastAsia="宋体" w:cs="宋体"/>
          <w:b/>
          <w:snapToGrid w:val="0"/>
          <w:color w:val="auto"/>
          <w:kern w:val="0"/>
        </w:rPr>
        <w:t>32、其他变更</w:t>
      </w:r>
      <w:r>
        <w:rPr>
          <w:rFonts w:hint="eastAsia"/>
        </w:rPr>
        <w:tab/>
      </w:r>
      <w:r>
        <w:rPr>
          <w:rFonts w:hint="eastAsia"/>
        </w:rPr>
        <w:fldChar w:fldCharType="begin"/>
      </w:r>
      <w:r>
        <w:rPr>
          <w:rFonts w:hint="eastAsia"/>
        </w:rPr>
        <w:instrText xml:space="preserve"> </w:instrText>
      </w:r>
      <w:r>
        <w:instrText xml:space="preserve">PAGEREF _Toc176192828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6D2CFB6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"_Toc176192829" </w:instrText>
      </w:r>
      <w:r>
        <w:fldChar w:fldCharType="separate"/>
      </w:r>
      <w:r>
        <w:rPr>
          <w:rStyle w:val="46"/>
          <w:rFonts w:hint="eastAsia" w:ascii="宋体" w:hAnsi="宋体" w:eastAsia="宋体" w:cs="宋体"/>
          <w:b/>
          <w:snapToGrid w:val="0"/>
          <w:color w:val="auto"/>
          <w:kern w:val="0"/>
        </w:rPr>
        <w:t>33、确定变更价款</w:t>
      </w:r>
      <w:r>
        <w:rPr>
          <w:rFonts w:hint="eastAsia"/>
        </w:rPr>
        <w:tab/>
      </w:r>
      <w:r>
        <w:rPr>
          <w:rFonts w:hint="eastAsia"/>
        </w:rPr>
        <w:fldChar w:fldCharType="begin"/>
      </w:r>
      <w:r>
        <w:rPr>
          <w:rFonts w:hint="eastAsia"/>
        </w:rPr>
        <w:instrText xml:space="preserve"> </w:instrText>
      </w:r>
      <w:r>
        <w:instrText xml:space="preserve">PAGEREF _Toc176192829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71B496CC">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"_Toc176192830" </w:instrText>
      </w:r>
      <w:r>
        <w:fldChar w:fldCharType="separate"/>
      </w:r>
      <w:r>
        <w:rPr>
          <w:rStyle w:val="46"/>
          <w:rFonts w:hint="eastAsia" w:ascii="宋体" w:hAnsi="宋体" w:eastAsia="宋体" w:cs="宋体"/>
          <w:b/>
          <w:bCs/>
          <w:snapToGrid w:val="0"/>
          <w:color w:val="auto"/>
          <w:kern w:val="0"/>
        </w:rPr>
        <w:t>九、竣工验收与结算</w:t>
      </w:r>
      <w:r>
        <w:rPr>
          <w:rFonts w:hint="eastAsia"/>
        </w:rPr>
        <w:tab/>
      </w:r>
      <w:r>
        <w:rPr>
          <w:rFonts w:hint="eastAsia"/>
        </w:rPr>
        <w:fldChar w:fldCharType="begin"/>
      </w:r>
      <w:r>
        <w:rPr>
          <w:rFonts w:hint="eastAsia"/>
        </w:rPr>
        <w:instrText xml:space="preserve"> </w:instrText>
      </w:r>
      <w:r>
        <w:instrText xml:space="preserve">PAGEREF _Toc176192830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p>
    <w:p w14:paraId="3809F2F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"_Toc176192831" </w:instrText>
      </w:r>
      <w:r>
        <w:fldChar w:fldCharType="separate"/>
      </w:r>
      <w:r>
        <w:rPr>
          <w:rStyle w:val="46"/>
          <w:rFonts w:hint="eastAsia" w:ascii="宋体" w:hAnsi="宋体" w:eastAsia="宋体" w:cs="宋体"/>
          <w:b/>
          <w:bCs/>
          <w:snapToGrid w:val="0"/>
          <w:color w:val="auto"/>
          <w:kern w:val="0"/>
        </w:rPr>
        <w:t>34、竣工验收</w:t>
      </w:r>
      <w:r>
        <w:rPr>
          <w:rFonts w:hint="eastAsia"/>
        </w:rPr>
        <w:tab/>
      </w:r>
      <w:r>
        <w:rPr>
          <w:rFonts w:hint="eastAsia"/>
        </w:rPr>
        <w:fldChar w:fldCharType="begin"/>
      </w:r>
      <w:r>
        <w:rPr>
          <w:rFonts w:hint="eastAsia"/>
        </w:rPr>
        <w:instrText xml:space="preserve"> </w:instrText>
      </w:r>
      <w:r>
        <w:instrText xml:space="preserve">PAGEREF _Toc176192831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p>
    <w:p w14:paraId="70B9D181">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"_Toc176192832" </w:instrText>
      </w:r>
      <w:r>
        <w:fldChar w:fldCharType="separate"/>
      </w:r>
      <w:r>
        <w:rPr>
          <w:rStyle w:val="46"/>
          <w:rFonts w:hint="eastAsia" w:ascii="宋体" w:hAnsi="宋体" w:eastAsia="宋体" w:cs="宋体"/>
          <w:b/>
          <w:bCs/>
          <w:snapToGrid w:val="0"/>
          <w:color w:val="auto"/>
          <w:kern w:val="0"/>
        </w:rPr>
        <w:t>35、工程移交</w:t>
      </w:r>
      <w:r>
        <w:rPr>
          <w:rFonts w:hint="eastAsia"/>
        </w:rPr>
        <w:tab/>
      </w:r>
      <w:r>
        <w:rPr>
          <w:rFonts w:hint="eastAsia"/>
        </w:rPr>
        <w:fldChar w:fldCharType="begin"/>
      </w:r>
      <w:r>
        <w:rPr>
          <w:rFonts w:hint="eastAsia"/>
        </w:rPr>
        <w:instrText xml:space="preserve"> </w:instrText>
      </w:r>
      <w:r>
        <w:instrText xml:space="preserve">PAGEREF _Toc176192832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23A7266B">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"_Toc176192833" </w:instrText>
      </w:r>
      <w:r>
        <w:fldChar w:fldCharType="separate"/>
      </w:r>
      <w:r>
        <w:rPr>
          <w:rStyle w:val="46"/>
          <w:rFonts w:hint="eastAsia" w:ascii="宋体" w:hAnsi="宋体" w:eastAsia="宋体" w:cs="宋体"/>
          <w:b/>
          <w:bCs/>
          <w:snapToGrid w:val="0"/>
          <w:color w:val="auto"/>
          <w:kern w:val="0"/>
        </w:rPr>
        <w:t>36、竣工结算</w:t>
      </w:r>
      <w:r>
        <w:rPr>
          <w:rFonts w:hint="eastAsia"/>
        </w:rPr>
        <w:tab/>
      </w:r>
      <w:r>
        <w:rPr>
          <w:rFonts w:hint="eastAsia"/>
        </w:rPr>
        <w:fldChar w:fldCharType="begin"/>
      </w:r>
      <w:r>
        <w:rPr>
          <w:rFonts w:hint="eastAsia"/>
        </w:rPr>
        <w:instrText xml:space="preserve"> </w:instrText>
      </w:r>
      <w:r>
        <w:instrText xml:space="preserve">PAGEREF _Toc176192833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p>
    <w:p w14:paraId="5E79A7B8">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"_Toc176192834" </w:instrText>
      </w:r>
      <w:r>
        <w:fldChar w:fldCharType="separate"/>
      </w:r>
      <w:r>
        <w:rPr>
          <w:rStyle w:val="46"/>
          <w:rFonts w:hint="eastAsia" w:ascii="宋体" w:hAnsi="宋体" w:eastAsia="宋体" w:cs="宋体"/>
          <w:b/>
          <w:bCs/>
          <w:snapToGrid w:val="0"/>
          <w:color w:val="auto"/>
          <w:kern w:val="0"/>
        </w:rPr>
        <w:t>十、违约、索赔和争议</w:t>
      </w:r>
      <w:r>
        <w:rPr>
          <w:rFonts w:hint="eastAsia"/>
        </w:rPr>
        <w:tab/>
      </w:r>
      <w:r>
        <w:rPr>
          <w:rFonts w:hint="eastAsia"/>
        </w:rPr>
        <w:fldChar w:fldCharType="begin"/>
      </w:r>
      <w:r>
        <w:rPr>
          <w:rFonts w:hint="eastAsia"/>
        </w:rPr>
        <w:instrText xml:space="preserve"> </w:instrText>
      </w:r>
      <w:r>
        <w:instrText xml:space="preserve">PAGEREF _Toc176192834 \h</w:instrText>
      </w:r>
      <w:r>
        <w:rPr>
          <w:rFonts w:hint="eastAsia"/>
        </w:rPr>
        <w:instrText xml:space="preserve"> </w:instrText>
      </w:r>
      <w:r>
        <w:rPr>
          <w:rFonts w:hint="eastAsia"/>
        </w:rPr>
        <w:fldChar w:fldCharType="separate"/>
      </w:r>
      <w:r>
        <w:t>77</w:t>
      </w:r>
      <w:r>
        <w:rPr>
          <w:rFonts w:hint="eastAsia"/>
        </w:rPr>
        <w:fldChar w:fldCharType="end"/>
      </w:r>
      <w:r>
        <w:rPr>
          <w:rFonts w:hint="eastAsia"/>
        </w:rPr>
        <w:fldChar w:fldCharType="end"/>
      </w:r>
    </w:p>
    <w:p w14:paraId="7C24174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"_Toc176192835" </w:instrText>
      </w:r>
      <w:r>
        <w:fldChar w:fldCharType="separate"/>
      </w:r>
      <w:r>
        <w:rPr>
          <w:rStyle w:val="46"/>
          <w:rFonts w:hint="eastAsia" w:ascii="宋体" w:hAnsi="宋体" w:eastAsia="宋体" w:cs="宋体"/>
          <w:b/>
          <w:bCs/>
          <w:snapToGrid w:val="0"/>
          <w:color w:val="auto"/>
          <w:kern w:val="0"/>
        </w:rPr>
        <w:t>38、违约</w:t>
      </w:r>
      <w:r>
        <w:rPr>
          <w:rFonts w:hint="eastAsia"/>
        </w:rPr>
        <w:tab/>
      </w:r>
      <w:r>
        <w:rPr>
          <w:rFonts w:hint="eastAsia"/>
        </w:rPr>
        <w:fldChar w:fldCharType="begin"/>
      </w:r>
      <w:r>
        <w:rPr>
          <w:rFonts w:hint="eastAsia"/>
        </w:rPr>
        <w:instrText xml:space="preserve"> </w:instrText>
      </w:r>
      <w:r>
        <w:instrText xml:space="preserve">PAGEREF _Toc176192835 \h</w:instrText>
      </w:r>
      <w:r>
        <w:rPr>
          <w:rFonts w:hint="eastAsia"/>
        </w:rPr>
        <w:instrText xml:space="preserve"> </w:instrText>
      </w:r>
      <w:r>
        <w:rPr>
          <w:rFonts w:hint="eastAsia"/>
        </w:rPr>
        <w:fldChar w:fldCharType="separate"/>
      </w:r>
      <w:r>
        <w:t>77</w:t>
      </w:r>
      <w:r>
        <w:rPr>
          <w:rFonts w:hint="eastAsia"/>
        </w:rPr>
        <w:fldChar w:fldCharType="end"/>
      </w:r>
      <w:r>
        <w:rPr>
          <w:rFonts w:hint="eastAsia"/>
        </w:rPr>
        <w:fldChar w:fldCharType="end"/>
      </w:r>
    </w:p>
    <w:p w14:paraId="0F9F06E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"_Toc176192836" </w:instrText>
      </w:r>
      <w:r>
        <w:fldChar w:fldCharType="separate"/>
      </w:r>
      <w:r>
        <w:rPr>
          <w:rStyle w:val="46"/>
          <w:rFonts w:hint="eastAsia" w:ascii="宋体" w:hAnsi="宋体" w:eastAsia="宋体" w:cs="宋体"/>
          <w:b/>
          <w:bCs/>
          <w:snapToGrid w:val="0"/>
          <w:color w:val="auto"/>
          <w:kern w:val="0"/>
        </w:rPr>
        <w:t>39、索赔</w:t>
      </w:r>
      <w:r>
        <w:rPr>
          <w:rFonts w:hint="eastAsia"/>
        </w:rPr>
        <w:tab/>
      </w:r>
      <w:r>
        <w:rPr>
          <w:rFonts w:hint="eastAsia"/>
        </w:rPr>
        <w:fldChar w:fldCharType="begin"/>
      </w:r>
      <w:r>
        <w:rPr>
          <w:rFonts w:hint="eastAsia"/>
        </w:rPr>
        <w:instrText xml:space="preserve"> </w:instrText>
      </w:r>
      <w:r>
        <w:instrText xml:space="preserve">PAGEREF _Toc176192836 \h</w:instrText>
      </w:r>
      <w:r>
        <w:rPr>
          <w:rFonts w:hint="eastAsia"/>
        </w:rPr>
        <w:instrText xml:space="preserve"> </w:instrText>
      </w:r>
      <w:r>
        <w:rPr>
          <w:rFonts w:hint="eastAsia"/>
        </w:rPr>
        <w:fldChar w:fldCharType="separate"/>
      </w:r>
      <w:r>
        <w:t>86</w:t>
      </w:r>
      <w:r>
        <w:rPr>
          <w:rFonts w:hint="eastAsia"/>
        </w:rPr>
        <w:fldChar w:fldCharType="end"/>
      </w:r>
      <w:r>
        <w:rPr>
          <w:rFonts w:hint="eastAsia"/>
        </w:rPr>
        <w:fldChar w:fldCharType="end"/>
      </w:r>
    </w:p>
    <w:p w14:paraId="62D846E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"_Toc176192837" </w:instrText>
      </w:r>
      <w:r>
        <w:fldChar w:fldCharType="separate"/>
      </w:r>
      <w:r>
        <w:rPr>
          <w:rStyle w:val="46"/>
          <w:rFonts w:hint="eastAsia" w:ascii="宋体" w:hAnsi="宋体" w:eastAsia="宋体" w:cs="宋体"/>
          <w:b/>
          <w:bCs/>
          <w:snapToGrid w:val="0"/>
          <w:color w:val="auto"/>
          <w:kern w:val="0"/>
        </w:rPr>
        <w:t>40、争议</w:t>
      </w:r>
      <w:r>
        <w:rPr>
          <w:rFonts w:hint="eastAsia"/>
        </w:rPr>
        <w:tab/>
      </w:r>
      <w:r>
        <w:rPr>
          <w:rFonts w:hint="eastAsia"/>
        </w:rPr>
        <w:fldChar w:fldCharType="begin"/>
      </w:r>
      <w:r>
        <w:rPr>
          <w:rFonts w:hint="eastAsia"/>
        </w:rPr>
        <w:instrText xml:space="preserve"> </w:instrText>
      </w:r>
      <w:r>
        <w:instrText xml:space="preserve">PAGEREF _Toc176192837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1E24B8E1">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"_Toc176192838" </w:instrText>
      </w:r>
      <w:r>
        <w:fldChar w:fldCharType="separate"/>
      </w:r>
      <w:r>
        <w:rPr>
          <w:rStyle w:val="46"/>
          <w:rFonts w:hint="eastAsia" w:ascii="宋体" w:hAnsi="宋体" w:eastAsia="宋体" w:cs="宋体"/>
          <w:b/>
          <w:snapToGrid w:val="0"/>
          <w:color w:val="auto"/>
          <w:kern w:val="0"/>
        </w:rPr>
        <w:t>十一、其他</w:t>
      </w:r>
      <w:r>
        <w:rPr>
          <w:rFonts w:hint="eastAsia"/>
        </w:rPr>
        <w:tab/>
      </w:r>
      <w:r>
        <w:rPr>
          <w:rFonts w:hint="eastAsia"/>
        </w:rPr>
        <w:fldChar w:fldCharType="begin"/>
      </w:r>
      <w:r>
        <w:rPr>
          <w:rFonts w:hint="eastAsia"/>
        </w:rPr>
        <w:instrText xml:space="preserve"> </w:instrText>
      </w:r>
      <w:r>
        <w:instrText xml:space="preserve">PAGEREF _Toc176192838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01D5429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"_Toc176192839" </w:instrText>
      </w:r>
      <w:r>
        <w:fldChar w:fldCharType="separate"/>
      </w:r>
      <w:r>
        <w:rPr>
          <w:rStyle w:val="46"/>
          <w:rFonts w:hint="eastAsia" w:ascii="宋体" w:hAnsi="宋体" w:eastAsia="宋体" w:cs="宋体"/>
          <w:b/>
          <w:bCs/>
          <w:snapToGrid w:val="0"/>
          <w:color w:val="auto"/>
          <w:kern w:val="0"/>
        </w:rPr>
        <w:t>41、工程分包</w:t>
      </w:r>
      <w:r>
        <w:rPr>
          <w:rFonts w:hint="eastAsia"/>
        </w:rPr>
        <w:tab/>
      </w:r>
      <w:r>
        <w:rPr>
          <w:rFonts w:hint="eastAsia"/>
        </w:rPr>
        <w:fldChar w:fldCharType="begin"/>
      </w:r>
      <w:r>
        <w:rPr>
          <w:rFonts w:hint="eastAsia"/>
        </w:rPr>
        <w:instrText xml:space="preserve"> </w:instrText>
      </w:r>
      <w:r>
        <w:instrText xml:space="preserve">PAGEREF _Toc176192839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6D6967AF">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"_Toc176192840" </w:instrText>
      </w:r>
      <w:r>
        <w:fldChar w:fldCharType="separate"/>
      </w:r>
      <w:r>
        <w:rPr>
          <w:rStyle w:val="46"/>
          <w:rFonts w:hint="eastAsia" w:ascii="宋体" w:hAnsi="宋体" w:eastAsia="宋体" w:cs="宋体"/>
          <w:b/>
          <w:bCs/>
          <w:snapToGrid w:val="0"/>
          <w:color w:val="auto"/>
          <w:kern w:val="0"/>
        </w:rPr>
        <w:t>42、不可抗力</w:t>
      </w:r>
      <w:r>
        <w:rPr>
          <w:rFonts w:hint="eastAsia"/>
        </w:rPr>
        <w:tab/>
      </w:r>
      <w:r>
        <w:rPr>
          <w:rFonts w:hint="eastAsia"/>
        </w:rPr>
        <w:fldChar w:fldCharType="begin"/>
      </w:r>
      <w:r>
        <w:rPr>
          <w:rFonts w:hint="eastAsia"/>
        </w:rPr>
        <w:instrText xml:space="preserve"> </w:instrText>
      </w:r>
      <w:r>
        <w:instrText xml:space="preserve">PAGEREF _Toc176192840 \h</w:instrText>
      </w:r>
      <w:r>
        <w:rPr>
          <w:rFonts w:hint="eastAsia"/>
        </w:rPr>
        <w:instrText xml:space="preserve"> </w:instrText>
      </w:r>
      <w:r>
        <w:rPr>
          <w:rFonts w:hint="eastAsia"/>
        </w:rPr>
        <w:fldChar w:fldCharType="separate"/>
      </w:r>
      <w:r>
        <w:t>88</w:t>
      </w:r>
      <w:r>
        <w:rPr>
          <w:rFonts w:hint="eastAsia"/>
        </w:rPr>
        <w:fldChar w:fldCharType="end"/>
      </w:r>
      <w:r>
        <w:rPr>
          <w:rFonts w:hint="eastAsia"/>
        </w:rPr>
        <w:fldChar w:fldCharType="end"/>
      </w:r>
    </w:p>
    <w:p w14:paraId="7FBB9EE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"_Toc176192841" </w:instrText>
      </w:r>
      <w:r>
        <w:fldChar w:fldCharType="separate"/>
      </w:r>
      <w:r>
        <w:rPr>
          <w:rStyle w:val="46"/>
          <w:rFonts w:hint="eastAsia" w:ascii="宋体" w:hAnsi="宋体" w:eastAsia="宋体" w:cs="宋体"/>
          <w:b/>
          <w:bCs/>
          <w:snapToGrid w:val="0"/>
          <w:color w:val="auto"/>
          <w:kern w:val="0"/>
        </w:rPr>
        <w:t>43、保险</w:t>
      </w:r>
      <w:r>
        <w:rPr>
          <w:rFonts w:hint="eastAsia"/>
        </w:rPr>
        <w:tab/>
      </w:r>
      <w:r>
        <w:rPr>
          <w:rFonts w:hint="eastAsia"/>
        </w:rPr>
        <w:fldChar w:fldCharType="begin"/>
      </w:r>
      <w:r>
        <w:rPr>
          <w:rFonts w:hint="eastAsia"/>
        </w:rPr>
        <w:instrText xml:space="preserve"> </w:instrText>
      </w:r>
      <w:r>
        <w:instrText xml:space="preserve">PAGEREF _Toc176192841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5BCD190E">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"_Toc176192842" </w:instrText>
      </w:r>
      <w:r>
        <w:fldChar w:fldCharType="separate"/>
      </w:r>
      <w:r>
        <w:rPr>
          <w:rStyle w:val="46"/>
          <w:rFonts w:hint="eastAsia" w:ascii="宋体" w:hAnsi="宋体" w:eastAsia="宋体" w:cs="宋体"/>
          <w:b/>
          <w:bCs/>
          <w:snapToGrid w:val="0"/>
          <w:color w:val="auto"/>
          <w:kern w:val="0"/>
        </w:rPr>
        <w:t>44、担保</w:t>
      </w:r>
      <w:r>
        <w:rPr>
          <w:rFonts w:hint="eastAsia"/>
        </w:rPr>
        <w:tab/>
      </w:r>
      <w:r>
        <w:rPr>
          <w:rFonts w:hint="eastAsia"/>
        </w:rPr>
        <w:fldChar w:fldCharType="begin"/>
      </w:r>
      <w:r>
        <w:rPr>
          <w:rFonts w:hint="eastAsia"/>
        </w:rPr>
        <w:instrText xml:space="preserve"> </w:instrText>
      </w:r>
      <w:r>
        <w:instrText xml:space="preserve">PAGEREF _Toc176192842 \h</w:instrText>
      </w:r>
      <w:r>
        <w:rPr>
          <w:rFonts w:hint="eastAsia"/>
        </w:rPr>
        <w:instrText xml:space="preserve"> </w:instrText>
      </w:r>
      <w:r>
        <w:rPr>
          <w:rFonts w:hint="eastAsia"/>
        </w:rPr>
        <w:fldChar w:fldCharType="separate"/>
      </w:r>
      <w:r>
        <w:t>90</w:t>
      </w:r>
      <w:r>
        <w:rPr>
          <w:rFonts w:hint="eastAsia"/>
        </w:rPr>
        <w:fldChar w:fldCharType="end"/>
      </w:r>
      <w:r>
        <w:rPr>
          <w:rFonts w:hint="eastAsia"/>
        </w:rPr>
        <w:fldChar w:fldCharType="end"/>
      </w:r>
    </w:p>
    <w:p w14:paraId="66470D0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"_Toc176192843" </w:instrText>
      </w:r>
      <w:r>
        <w:fldChar w:fldCharType="separate"/>
      </w:r>
      <w:r>
        <w:rPr>
          <w:rStyle w:val="46"/>
          <w:rFonts w:hint="eastAsia" w:ascii="宋体" w:hAnsi="宋体" w:eastAsia="宋体" w:cs="宋体"/>
          <w:b/>
          <w:bCs/>
          <w:snapToGrid w:val="0"/>
          <w:color w:val="auto"/>
          <w:kern w:val="0"/>
        </w:rPr>
        <w:t>47、合同解除</w:t>
      </w:r>
      <w:r>
        <w:rPr>
          <w:rFonts w:hint="eastAsia"/>
        </w:rPr>
        <w:tab/>
      </w:r>
      <w:r>
        <w:rPr>
          <w:rFonts w:hint="eastAsia"/>
        </w:rPr>
        <w:fldChar w:fldCharType="begin"/>
      </w:r>
      <w:r>
        <w:rPr>
          <w:rFonts w:hint="eastAsia"/>
        </w:rPr>
        <w:instrText xml:space="preserve"> </w:instrText>
      </w:r>
      <w:r>
        <w:instrText xml:space="preserve">PAGEREF _Toc176192843 \h</w:instrText>
      </w:r>
      <w:r>
        <w:rPr>
          <w:rFonts w:hint="eastAsia"/>
        </w:rPr>
        <w:instrText xml:space="preserve"> </w:instrText>
      </w:r>
      <w:r>
        <w:rPr>
          <w:rFonts w:hint="eastAsia"/>
        </w:rPr>
        <w:fldChar w:fldCharType="separate"/>
      </w:r>
      <w:r>
        <w:t>91</w:t>
      </w:r>
      <w:r>
        <w:rPr>
          <w:rFonts w:hint="eastAsia"/>
        </w:rPr>
        <w:fldChar w:fldCharType="end"/>
      </w:r>
      <w:r>
        <w:rPr>
          <w:rFonts w:hint="eastAsia"/>
        </w:rPr>
        <w:fldChar w:fldCharType="end"/>
      </w:r>
    </w:p>
    <w:p w14:paraId="4ECB57FA">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"_Toc176192844" </w:instrText>
      </w:r>
      <w:r>
        <w:fldChar w:fldCharType="separate"/>
      </w:r>
      <w:r>
        <w:rPr>
          <w:rStyle w:val="46"/>
          <w:rFonts w:hint="eastAsia" w:ascii="宋体" w:hAnsi="宋体" w:eastAsia="宋体" w:cs="宋体"/>
          <w:b/>
          <w:bCs/>
          <w:snapToGrid w:val="0"/>
          <w:color w:val="auto"/>
          <w:kern w:val="0"/>
        </w:rPr>
        <w:t>50、其他</w:t>
      </w:r>
      <w:r>
        <w:rPr>
          <w:rFonts w:hint="eastAsia"/>
        </w:rPr>
        <w:tab/>
      </w:r>
      <w:r>
        <w:rPr>
          <w:rFonts w:hint="eastAsia"/>
        </w:rPr>
        <w:fldChar w:fldCharType="begin"/>
      </w:r>
      <w:r>
        <w:rPr>
          <w:rFonts w:hint="eastAsia"/>
        </w:rPr>
        <w:instrText xml:space="preserve"> </w:instrText>
      </w:r>
      <w:r>
        <w:instrText xml:space="preserve">PAGEREF _Toc176192844 \h</w:instrText>
      </w:r>
      <w:r>
        <w:rPr>
          <w:rFonts w:hint="eastAsia"/>
        </w:rPr>
        <w:instrText xml:space="preserve"> </w:instrText>
      </w:r>
      <w:r>
        <w:rPr>
          <w:rFonts w:hint="eastAsia"/>
        </w:rPr>
        <w:fldChar w:fldCharType="separate"/>
      </w:r>
      <w:r>
        <w:t>92</w:t>
      </w:r>
      <w:r>
        <w:rPr>
          <w:rFonts w:hint="eastAsia"/>
        </w:rPr>
        <w:fldChar w:fldCharType="end"/>
      </w:r>
      <w:r>
        <w:rPr>
          <w:rFonts w:hint="eastAsia"/>
        </w:rPr>
        <w:fldChar w:fldCharType="end"/>
      </w:r>
    </w:p>
    <w:p w14:paraId="69FADF85">
      <w:pPr>
        <w:pStyle w:val="21"/>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"_Toc176192845" </w:instrText>
      </w:r>
      <w:r>
        <w:fldChar w:fldCharType="separate"/>
      </w:r>
      <w:r>
        <w:rPr>
          <w:rStyle w:val="46"/>
          <w:rFonts w:hint="eastAsia" w:ascii="宋体" w:hAnsi="宋体" w:eastAsia="宋体" w:cs="宋体"/>
          <w:b/>
          <w:bCs/>
          <w:snapToGrid w:val="0"/>
          <w:color w:val="auto"/>
          <w:kern w:val="0"/>
        </w:rPr>
        <w:t>51、修正条款或补充条款</w:t>
      </w:r>
      <w:r>
        <w:rPr>
          <w:rFonts w:hint="eastAsia"/>
        </w:rPr>
        <w:tab/>
      </w:r>
      <w:r>
        <w:rPr>
          <w:rFonts w:hint="eastAsia"/>
        </w:rPr>
        <w:fldChar w:fldCharType="begin"/>
      </w:r>
      <w:r>
        <w:rPr>
          <w:rFonts w:hint="eastAsia"/>
        </w:rPr>
        <w:instrText xml:space="preserve"> </w:instrText>
      </w:r>
      <w:r>
        <w:instrText xml:space="preserve">PAGEREF _Toc176192845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585DD904">
      <w:pPr>
        <w:pStyle w:val="30"/>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"_Toc176192846" </w:instrText>
      </w:r>
      <w:r>
        <w:fldChar w:fldCharType="separate"/>
      </w:r>
      <w:r>
        <w:rPr>
          <w:rStyle w:val="46"/>
          <w:rFonts w:hint="eastAsia" w:ascii="宋体" w:hAnsi="宋体" w:eastAsia="宋体" w:cs="宋体"/>
          <w:b/>
          <w:bCs/>
          <w:snapToGrid w:val="0"/>
          <w:color w:val="auto"/>
          <w:kern w:val="0"/>
        </w:rPr>
        <w:t>第四部分  合同附件</w:t>
      </w:r>
      <w:r>
        <w:rPr>
          <w:rFonts w:hint="eastAsia"/>
        </w:rPr>
        <w:tab/>
      </w:r>
      <w:r>
        <w:rPr>
          <w:rFonts w:hint="eastAsia"/>
        </w:rPr>
        <w:fldChar w:fldCharType="begin"/>
      </w:r>
      <w:r>
        <w:rPr>
          <w:rFonts w:hint="eastAsia"/>
        </w:rPr>
        <w:instrText xml:space="preserve"> </w:instrText>
      </w:r>
      <w:r>
        <w:instrText xml:space="preserve">PAGEREF _Toc176192846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235B5748">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"_Toc176192847" </w:instrText>
      </w:r>
      <w:r>
        <w:fldChar w:fldCharType="separate"/>
      </w:r>
      <w:r>
        <w:rPr>
          <w:rStyle w:val="46"/>
          <w:rFonts w:hint="eastAsia" w:ascii="宋体" w:hAnsi="宋体" w:eastAsia="宋体" w:cs="宋体"/>
          <w:b/>
          <w:bCs/>
          <w:snapToGrid w:val="0"/>
          <w:color w:val="auto"/>
          <w:kern w:val="0"/>
        </w:rPr>
        <w:t>1、中标通知书</w:t>
      </w:r>
      <w:r>
        <w:rPr>
          <w:rFonts w:hint="eastAsia"/>
        </w:rPr>
        <w:tab/>
      </w:r>
      <w:r>
        <w:rPr>
          <w:rFonts w:hint="eastAsia"/>
        </w:rPr>
        <w:fldChar w:fldCharType="begin"/>
      </w:r>
      <w:r>
        <w:rPr>
          <w:rFonts w:hint="eastAsia"/>
        </w:rPr>
        <w:instrText xml:space="preserve"> </w:instrText>
      </w:r>
      <w:r>
        <w:instrText xml:space="preserve">PAGEREF _Toc176192847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02301D0F">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"_Toc176192848" </w:instrText>
      </w:r>
      <w:r>
        <w:fldChar w:fldCharType="separate"/>
      </w:r>
      <w:r>
        <w:rPr>
          <w:rStyle w:val="46"/>
          <w:rFonts w:hint="eastAsia" w:ascii="宋体" w:hAnsi="宋体" w:eastAsia="宋体" w:cs="宋体"/>
          <w:b/>
          <w:bCs/>
          <w:snapToGrid w:val="0"/>
          <w:color w:val="auto"/>
          <w:kern w:val="0"/>
        </w:rPr>
        <w:t>2、施工组织架构图及投入主要人员汇总表</w:t>
      </w:r>
      <w:r>
        <w:rPr>
          <w:rFonts w:hint="eastAsia"/>
        </w:rPr>
        <w:tab/>
      </w:r>
      <w:r>
        <w:rPr>
          <w:rFonts w:hint="eastAsia"/>
        </w:rPr>
        <w:fldChar w:fldCharType="begin"/>
      </w:r>
      <w:r>
        <w:rPr>
          <w:rFonts w:hint="eastAsia"/>
        </w:rPr>
        <w:instrText xml:space="preserve"> </w:instrText>
      </w:r>
      <w:r>
        <w:instrText xml:space="preserve">PAGEREF _Toc176192848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0AD768E6">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"_Toc176192849" </w:instrText>
      </w:r>
      <w:r>
        <w:fldChar w:fldCharType="separate"/>
      </w:r>
      <w:r>
        <w:rPr>
          <w:rStyle w:val="46"/>
          <w:rFonts w:hint="eastAsia" w:ascii="宋体" w:hAnsi="宋体" w:eastAsia="宋体" w:cs="宋体"/>
          <w:b/>
          <w:bCs/>
          <w:snapToGrid w:val="0"/>
          <w:color w:val="auto"/>
          <w:kern w:val="0"/>
        </w:rPr>
        <w:t>3、投入主要施工机械设备表</w:t>
      </w:r>
      <w:r>
        <w:rPr>
          <w:rFonts w:hint="eastAsia"/>
        </w:rPr>
        <w:tab/>
      </w:r>
      <w:r>
        <w:rPr>
          <w:rFonts w:hint="eastAsia"/>
        </w:rPr>
        <w:fldChar w:fldCharType="begin"/>
      </w:r>
      <w:r>
        <w:rPr>
          <w:rFonts w:hint="eastAsia"/>
        </w:rPr>
        <w:instrText xml:space="preserve"> </w:instrText>
      </w:r>
      <w:r>
        <w:instrText xml:space="preserve">PAGEREF _Toc176192849 \h</w:instrText>
      </w:r>
      <w:r>
        <w:rPr>
          <w:rFonts w:hint="eastAsia"/>
        </w:rPr>
        <w:instrText xml:space="preserve"> </w:instrText>
      </w:r>
      <w:r>
        <w:rPr>
          <w:rFonts w:hint="eastAsia"/>
        </w:rPr>
        <w:fldChar w:fldCharType="separate"/>
      </w:r>
      <w:r>
        <w:t>97</w:t>
      </w:r>
      <w:r>
        <w:rPr>
          <w:rFonts w:hint="eastAsia"/>
        </w:rPr>
        <w:fldChar w:fldCharType="end"/>
      </w:r>
      <w:r>
        <w:rPr>
          <w:rFonts w:hint="eastAsia"/>
        </w:rPr>
        <w:fldChar w:fldCharType="end"/>
      </w:r>
    </w:p>
    <w:p w14:paraId="04DFE5A0">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"_Toc176192850" </w:instrText>
      </w:r>
      <w:r>
        <w:fldChar w:fldCharType="separate"/>
      </w:r>
      <w:r>
        <w:rPr>
          <w:rStyle w:val="46"/>
          <w:rFonts w:hint="eastAsia" w:ascii="宋体" w:hAnsi="宋体" w:eastAsia="宋体" w:cs="宋体"/>
          <w:b/>
          <w:bCs/>
          <w:snapToGrid w:val="0"/>
          <w:color w:val="auto"/>
          <w:kern w:val="0"/>
        </w:rPr>
        <w:t>4、廉洁协议</w:t>
      </w:r>
      <w:r>
        <w:rPr>
          <w:rFonts w:hint="eastAsia"/>
        </w:rPr>
        <w:tab/>
      </w:r>
      <w:r>
        <w:rPr>
          <w:rFonts w:hint="eastAsia"/>
        </w:rPr>
        <w:fldChar w:fldCharType="begin"/>
      </w:r>
      <w:r>
        <w:rPr>
          <w:rFonts w:hint="eastAsia"/>
        </w:rPr>
        <w:instrText xml:space="preserve"> </w:instrText>
      </w:r>
      <w:r>
        <w:instrText xml:space="preserve">PAGEREF _Toc176192850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1C78D9B9">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"_Toc176192851" </w:instrText>
      </w:r>
      <w:r>
        <w:fldChar w:fldCharType="separate"/>
      </w:r>
      <w:r>
        <w:rPr>
          <w:rStyle w:val="46"/>
          <w:rFonts w:hint="eastAsia" w:ascii="宋体" w:hAnsi="宋体" w:eastAsia="宋体" w:cs="宋体"/>
          <w:b/>
          <w:bCs/>
          <w:snapToGrid w:val="0"/>
          <w:color w:val="auto"/>
          <w:kern w:val="0"/>
        </w:rPr>
        <w:t>5、保密协议</w:t>
      </w:r>
      <w:r>
        <w:rPr>
          <w:rFonts w:hint="eastAsia"/>
        </w:rPr>
        <w:tab/>
      </w:r>
      <w:r>
        <w:rPr>
          <w:rFonts w:hint="eastAsia"/>
        </w:rPr>
        <w:fldChar w:fldCharType="begin"/>
      </w:r>
      <w:r>
        <w:rPr>
          <w:rFonts w:hint="eastAsia"/>
        </w:rPr>
        <w:instrText xml:space="preserve"> </w:instrText>
      </w:r>
      <w:r>
        <w:instrText xml:space="preserve">PAGEREF _Toc176192851 \h</w:instrText>
      </w:r>
      <w:r>
        <w:rPr>
          <w:rFonts w:hint="eastAsia"/>
        </w:rPr>
        <w:instrText xml:space="preserve"> </w:instrText>
      </w:r>
      <w:r>
        <w:rPr>
          <w:rFonts w:hint="eastAsia"/>
        </w:rPr>
        <w:fldChar w:fldCharType="separate"/>
      </w:r>
      <w:r>
        <w:t>100</w:t>
      </w:r>
      <w:r>
        <w:rPr>
          <w:rFonts w:hint="eastAsia"/>
        </w:rPr>
        <w:fldChar w:fldCharType="end"/>
      </w:r>
      <w:r>
        <w:rPr>
          <w:rFonts w:hint="eastAsia"/>
        </w:rPr>
        <w:fldChar w:fldCharType="end"/>
      </w:r>
    </w:p>
    <w:p w14:paraId="6345580A">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"_Toc176192852" </w:instrText>
      </w:r>
      <w:r>
        <w:fldChar w:fldCharType="separate"/>
      </w:r>
      <w:r>
        <w:rPr>
          <w:rStyle w:val="46"/>
          <w:rFonts w:hint="eastAsia" w:ascii="宋体" w:hAnsi="宋体" w:eastAsia="宋体" w:cs="宋体"/>
          <w:b/>
          <w:bCs/>
          <w:snapToGrid w:val="0"/>
          <w:color w:val="auto"/>
          <w:kern w:val="0"/>
        </w:rPr>
        <w:t>6、安全生产协议书</w:t>
      </w:r>
      <w:r>
        <w:rPr>
          <w:rFonts w:hint="eastAsia"/>
        </w:rPr>
        <w:tab/>
      </w:r>
      <w:r>
        <w:rPr>
          <w:rFonts w:hint="eastAsia"/>
        </w:rPr>
        <w:fldChar w:fldCharType="begin"/>
      </w:r>
      <w:r>
        <w:rPr>
          <w:rFonts w:hint="eastAsia"/>
        </w:rPr>
        <w:instrText xml:space="preserve"> </w:instrText>
      </w:r>
      <w:r>
        <w:instrText xml:space="preserve">PAGEREF _Toc176192852 \h</w:instrText>
      </w:r>
      <w:r>
        <w:rPr>
          <w:rFonts w:hint="eastAsia"/>
        </w:rPr>
        <w:instrText xml:space="preserve"> </w:instrText>
      </w:r>
      <w:r>
        <w:rPr>
          <w:rFonts w:hint="eastAsia"/>
        </w:rPr>
        <w:fldChar w:fldCharType="separate"/>
      </w:r>
      <w:r>
        <w:t>101</w:t>
      </w:r>
      <w:r>
        <w:rPr>
          <w:rFonts w:hint="eastAsia"/>
        </w:rPr>
        <w:fldChar w:fldCharType="end"/>
      </w:r>
      <w:r>
        <w:rPr>
          <w:rFonts w:hint="eastAsia"/>
        </w:rPr>
        <w:fldChar w:fldCharType="end"/>
      </w:r>
    </w:p>
    <w:p w14:paraId="764F55AA">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"_Toc176192853" </w:instrText>
      </w:r>
      <w:r>
        <w:fldChar w:fldCharType="separate"/>
      </w:r>
      <w:r>
        <w:rPr>
          <w:rStyle w:val="46"/>
          <w:rFonts w:hint="eastAsia" w:ascii="宋体" w:hAnsi="宋体" w:eastAsia="宋体" w:cs="宋体"/>
          <w:b/>
          <w:bCs/>
          <w:snapToGrid w:val="0"/>
          <w:color w:val="auto"/>
          <w:kern w:val="0"/>
        </w:rPr>
        <w:t>7、工程质量保修书</w:t>
      </w:r>
      <w:r>
        <w:rPr>
          <w:rFonts w:hint="eastAsia"/>
        </w:rPr>
        <w:tab/>
      </w:r>
      <w:r>
        <w:rPr>
          <w:rFonts w:hint="eastAsia"/>
        </w:rPr>
        <w:fldChar w:fldCharType="begin"/>
      </w:r>
      <w:r>
        <w:rPr>
          <w:rFonts w:hint="eastAsia"/>
        </w:rPr>
        <w:instrText xml:space="preserve"> </w:instrText>
      </w:r>
      <w:r>
        <w:instrText xml:space="preserve">PAGEREF _Toc176192853 \h</w:instrText>
      </w:r>
      <w:r>
        <w:rPr>
          <w:rFonts w:hint="eastAsia"/>
        </w:rPr>
        <w:instrText xml:space="preserve"> </w:instrText>
      </w:r>
      <w:r>
        <w:rPr>
          <w:rFonts w:hint="eastAsia"/>
        </w:rPr>
        <w:fldChar w:fldCharType="separate"/>
      </w:r>
      <w:r>
        <w:t>103</w:t>
      </w:r>
      <w:r>
        <w:rPr>
          <w:rFonts w:hint="eastAsia"/>
        </w:rPr>
        <w:fldChar w:fldCharType="end"/>
      </w:r>
      <w:r>
        <w:rPr>
          <w:rFonts w:hint="eastAsia"/>
        </w:rPr>
        <w:fldChar w:fldCharType="end"/>
      </w:r>
    </w:p>
    <w:p w14:paraId="5C965963">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"_Toc176192854" </w:instrText>
      </w:r>
      <w:r>
        <w:fldChar w:fldCharType="separate"/>
      </w:r>
      <w:r>
        <w:rPr>
          <w:rStyle w:val="46"/>
          <w:rFonts w:hint="eastAsia" w:ascii="宋体" w:hAnsi="宋体" w:eastAsia="宋体" w:cs="宋体"/>
          <w:b/>
          <w:bCs/>
          <w:snapToGrid w:val="0"/>
          <w:color w:val="auto"/>
          <w:kern w:val="0"/>
        </w:rPr>
        <w:t>8、招标文件的修改、答疑或澄清（如有）</w:t>
      </w:r>
      <w:r>
        <w:rPr>
          <w:rFonts w:hint="eastAsia"/>
        </w:rPr>
        <w:tab/>
      </w:r>
      <w:r>
        <w:rPr>
          <w:rFonts w:hint="eastAsia"/>
        </w:rPr>
        <w:fldChar w:fldCharType="begin"/>
      </w:r>
      <w:r>
        <w:rPr>
          <w:rFonts w:hint="eastAsia"/>
        </w:rPr>
        <w:instrText xml:space="preserve"> </w:instrText>
      </w:r>
      <w:r>
        <w:instrText xml:space="preserve">PAGEREF _Toc176192854 \h</w:instrText>
      </w:r>
      <w:r>
        <w:rPr>
          <w:rFonts w:hint="eastAsia"/>
        </w:rPr>
        <w:instrText xml:space="preserve"> </w:instrText>
      </w:r>
      <w:r>
        <w:rPr>
          <w:rFonts w:hint="eastAsia"/>
        </w:rPr>
        <w:fldChar w:fldCharType="separate"/>
      </w:r>
      <w:r>
        <w:t>105</w:t>
      </w:r>
      <w:r>
        <w:rPr>
          <w:rFonts w:hint="eastAsia"/>
        </w:rPr>
        <w:fldChar w:fldCharType="end"/>
      </w:r>
      <w:r>
        <w:rPr>
          <w:rFonts w:hint="eastAsia"/>
        </w:rPr>
        <w:fldChar w:fldCharType="end"/>
      </w:r>
    </w:p>
    <w:p w14:paraId="0EF003E8">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"_Toc176192855" </w:instrText>
      </w:r>
      <w:r>
        <w:fldChar w:fldCharType="separate"/>
      </w:r>
      <w:r>
        <w:rPr>
          <w:rStyle w:val="46"/>
          <w:rFonts w:hint="eastAsia" w:ascii="宋体" w:hAnsi="宋体" w:eastAsia="宋体" w:cs="宋体"/>
          <w:b/>
          <w:bCs/>
          <w:snapToGrid w:val="0"/>
          <w:color w:val="auto"/>
          <w:kern w:val="0"/>
        </w:rPr>
        <w:t>9、营业执照及资质证书</w:t>
      </w:r>
      <w:r>
        <w:rPr>
          <w:rFonts w:hint="eastAsia"/>
        </w:rPr>
        <w:tab/>
      </w:r>
      <w:r>
        <w:rPr>
          <w:rFonts w:hint="eastAsia"/>
        </w:rPr>
        <w:fldChar w:fldCharType="begin"/>
      </w:r>
      <w:r>
        <w:rPr>
          <w:rFonts w:hint="eastAsia"/>
        </w:rPr>
        <w:instrText xml:space="preserve"> </w:instrText>
      </w:r>
      <w:r>
        <w:instrText xml:space="preserve">PAGEREF _Toc176192855 \h</w:instrText>
      </w:r>
      <w:r>
        <w:rPr>
          <w:rFonts w:hint="eastAsia"/>
        </w:rPr>
        <w:instrText xml:space="preserve"> </w:instrText>
      </w:r>
      <w:r>
        <w:rPr>
          <w:rFonts w:hint="eastAsia"/>
        </w:rPr>
        <w:fldChar w:fldCharType="separate"/>
      </w:r>
      <w:r>
        <w:t>106</w:t>
      </w:r>
      <w:r>
        <w:rPr>
          <w:rFonts w:hint="eastAsia"/>
        </w:rPr>
        <w:fldChar w:fldCharType="end"/>
      </w:r>
      <w:r>
        <w:rPr>
          <w:rFonts w:hint="eastAsia"/>
        </w:rPr>
        <w:fldChar w:fldCharType="end"/>
      </w:r>
    </w:p>
    <w:p w14:paraId="28D2A610">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"_Toc176192856" </w:instrText>
      </w:r>
      <w:r>
        <w:fldChar w:fldCharType="separate"/>
      </w:r>
      <w:r>
        <w:rPr>
          <w:rStyle w:val="46"/>
          <w:rFonts w:hint="eastAsia" w:ascii="宋体" w:hAnsi="宋体" w:eastAsia="宋体" w:cs="宋体"/>
          <w:b/>
          <w:bCs/>
          <w:snapToGrid w:val="0"/>
          <w:color w:val="auto"/>
          <w:kern w:val="0"/>
        </w:rPr>
        <w:t>10、投标报价清单</w:t>
      </w:r>
      <w:r>
        <w:rPr>
          <w:rFonts w:hint="eastAsia"/>
        </w:rPr>
        <w:tab/>
      </w:r>
      <w:r>
        <w:rPr>
          <w:rFonts w:hint="eastAsia"/>
        </w:rPr>
        <w:fldChar w:fldCharType="begin"/>
      </w:r>
      <w:r>
        <w:rPr>
          <w:rFonts w:hint="eastAsia"/>
        </w:rPr>
        <w:instrText xml:space="preserve"> </w:instrText>
      </w:r>
      <w:r>
        <w:instrText xml:space="preserve">PAGEREF _Toc176192856 \h</w:instrText>
      </w:r>
      <w:r>
        <w:rPr>
          <w:rFonts w:hint="eastAsia"/>
        </w:rPr>
        <w:instrText xml:space="preserve"> </w:instrText>
      </w:r>
      <w:r>
        <w:rPr>
          <w:rFonts w:hint="eastAsia"/>
        </w:rPr>
        <w:fldChar w:fldCharType="separate"/>
      </w:r>
      <w:r>
        <w:t>107</w:t>
      </w:r>
      <w:r>
        <w:rPr>
          <w:rFonts w:hint="eastAsia"/>
        </w:rPr>
        <w:fldChar w:fldCharType="end"/>
      </w:r>
      <w:r>
        <w:rPr>
          <w:rFonts w:hint="eastAsia"/>
        </w:rPr>
        <w:fldChar w:fldCharType="end"/>
      </w:r>
    </w:p>
    <w:p w14:paraId="343971EE">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"_Toc176192857" </w:instrText>
      </w:r>
      <w:r>
        <w:fldChar w:fldCharType="separate"/>
      </w:r>
      <w:r>
        <w:rPr>
          <w:rStyle w:val="46"/>
          <w:rFonts w:hint="eastAsia" w:ascii="宋体" w:hAnsi="宋体" w:eastAsia="宋体" w:cs="宋体"/>
          <w:b/>
          <w:bCs/>
          <w:snapToGrid w:val="0"/>
          <w:color w:val="auto"/>
          <w:kern w:val="0"/>
        </w:rPr>
        <w:t>11、危险性较大的分部分项工程清单及超过一定规模的危险性较大的分部分项工程清单</w:t>
      </w:r>
      <w:r>
        <w:rPr>
          <w:rFonts w:hint="eastAsia"/>
        </w:rPr>
        <w:tab/>
      </w:r>
      <w:r>
        <w:rPr>
          <w:rFonts w:hint="eastAsia"/>
        </w:rPr>
        <w:fldChar w:fldCharType="begin"/>
      </w:r>
      <w:r>
        <w:rPr>
          <w:rFonts w:hint="eastAsia"/>
        </w:rPr>
        <w:instrText xml:space="preserve"> </w:instrText>
      </w:r>
      <w:r>
        <w:instrText xml:space="preserve">PAGEREF _Toc176192857 \h</w:instrText>
      </w:r>
      <w:r>
        <w:rPr>
          <w:rFonts w:hint="eastAsia"/>
        </w:rPr>
        <w:instrText xml:space="preserve"> </w:instrText>
      </w:r>
      <w:r>
        <w:rPr>
          <w:rFonts w:hint="eastAsia"/>
        </w:rPr>
        <w:fldChar w:fldCharType="separate"/>
      </w:r>
      <w:r>
        <w:t>108</w:t>
      </w:r>
      <w:r>
        <w:rPr>
          <w:rFonts w:hint="eastAsia"/>
        </w:rPr>
        <w:fldChar w:fldCharType="end"/>
      </w:r>
      <w:r>
        <w:rPr>
          <w:rFonts w:hint="eastAsia"/>
        </w:rPr>
        <w:fldChar w:fldCharType="end"/>
      </w:r>
    </w:p>
    <w:p w14:paraId="1AD48131">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"_Toc176192858" </w:instrText>
      </w:r>
      <w:r>
        <w:fldChar w:fldCharType="separate"/>
      </w:r>
      <w:r>
        <w:rPr>
          <w:rStyle w:val="46"/>
          <w:rFonts w:hint="eastAsia" w:ascii="宋体" w:hAnsi="宋体" w:eastAsia="宋体" w:cs="宋体"/>
          <w:b/>
          <w:bCs/>
          <w:snapToGrid w:val="0"/>
          <w:color w:val="auto"/>
          <w:kern w:val="0"/>
        </w:rPr>
        <w:t>12、技术条件（工程建设标准）</w:t>
      </w:r>
      <w:r>
        <w:rPr>
          <w:rFonts w:hint="eastAsia"/>
        </w:rPr>
        <w:tab/>
      </w:r>
      <w:r>
        <w:rPr>
          <w:rFonts w:hint="eastAsia"/>
        </w:rPr>
        <w:fldChar w:fldCharType="begin"/>
      </w:r>
      <w:r>
        <w:rPr>
          <w:rFonts w:hint="eastAsia"/>
        </w:rPr>
        <w:instrText xml:space="preserve"> </w:instrText>
      </w:r>
      <w:r>
        <w:instrText xml:space="preserve">PAGEREF _Toc176192858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656D0473">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"_Toc176192859" </w:instrText>
      </w:r>
      <w:r>
        <w:fldChar w:fldCharType="separate"/>
      </w:r>
      <w:r>
        <w:rPr>
          <w:rStyle w:val="46"/>
          <w:rFonts w:hint="eastAsia" w:ascii="宋体" w:hAnsi="宋体" w:eastAsia="宋体" w:cs="宋体"/>
          <w:b/>
          <w:bCs/>
          <w:snapToGrid w:val="0"/>
          <w:color w:val="auto"/>
          <w:kern w:val="0"/>
        </w:rPr>
        <w:t>13、品牌清单</w:t>
      </w:r>
      <w:r>
        <w:rPr>
          <w:rFonts w:hint="eastAsia"/>
        </w:rPr>
        <w:tab/>
      </w:r>
      <w:r>
        <w:rPr>
          <w:rFonts w:hint="eastAsia"/>
        </w:rPr>
        <w:fldChar w:fldCharType="begin"/>
      </w:r>
      <w:r>
        <w:rPr>
          <w:rFonts w:hint="eastAsia"/>
        </w:rPr>
        <w:instrText xml:space="preserve"> </w:instrText>
      </w:r>
      <w:r>
        <w:instrText xml:space="preserve">PAGEREF _Toc176192859 \h</w:instrText>
      </w:r>
      <w:r>
        <w:rPr>
          <w:rFonts w:hint="eastAsia"/>
        </w:rPr>
        <w:instrText xml:space="preserve"> </w:instrText>
      </w:r>
      <w:r>
        <w:rPr>
          <w:rFonts w:hint="eastAsia"/>
        </w:rPr>
        <w:fldChar w:fldCharType="separate"/>
      </w:r>
      <w:r>
        <w:t>110</w:t>
      </w:r>
      <w:r>
        <w:rPr>
          <w:rFonts w:hint="eastAsia"/>
        </w:rPr>
        <w:fldChar w:fldCharType="end"/>
      </w:r>
      <w:r>
        <w:rPr>
          <w:rFonts w:hint="eastAsia"/>
        </w:rPr>
        <w:fldChar w:fldCharType="end"/>
      </w:r>
    </w:p>
    <w:p w14:paraId="22508CD7">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"_Toc176192860" </w:instrText>
      </w:r>
      <w:r>
        <w:fldChar w:fldCharType="separate"/>
      </w:r>
      <w:r>
        <w:rPr>
          <w:rStyle w:val="46"/>
          <w:rFonts w:hint="eastAsia" w:ascii="宋体" w:hAnsi="宋体" w:eastAsia="宋体" w:cs="宋体"/>
          <w:b/>
          <w:bCs/>
          <w:snapToGrid w:val="0"/>
          <w:color w:val="auto"/>
          <w:kern w:val="0"/>
        </w:rPr>
        <w:t>14、建设项目竣工资料移交清单</w:t>
      </w:r>
      <w:r>
        <w:rPr>
          <w:rFonts w:hint="eastAsia"/>
        </w:rPr>
        <w:tab/>
      </w:r>
      <w:r>
        <w:rPr>
          <w:rFonts w:hint="eastAsia"/>
        </w:rPr>
        <w:fldChar w:fldCharType="begin"/>
      </w:r>
      <w:r>
        <w:rPr>
          <w:rFonts w:hint="eastAsia"/>
        </w:rPr>
        <w:instrText xml:space="preserve"> </w:instrText>
      </w:r>
      <w:r>
        <w:instrText xml:space="preserve">PAGEREF _Toc176192860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0737DE83">
      <w:pPr>
        <w:pStyle w:val="33"/>
        <w:tabs>
          <w:tab w:val="right" w:leader="dot" w:pos="8303"/>
        </w:tabs>
        <w:rPr>
          <w:rFonts w:hint="eastAsia" w:asciiTheme="minorHAnsi" w:hAnsiTheme="minorHAnsi" w:eastAsiaTheme="minorEastAsia" w:cstheme="minorBidi"/>
          <w:sz w:val="22"/>
          <w14:ligatures w14:val="standardContextual"/>
        </w:rPr>
      </w:pPr>
      <w:r>
        <w:fldChar w:fldCharType="begin"/>
      </w:r>
      <w:r>
        <w:instrText xml:space="preserve"> HYPERLINK \l "_Toc176192861" </w:instrText>
      </w:r>
      <w:r>
        <w:fldChar w:fldCharType="separate"/>
      </w:r>
      <w:r>
        <w:rPr>
          <w:rStyle w:val="46"/>
          <w:rFonts w:hint="eastAsia" w:ascii="宋体" w:hAnsi="宋体" w:eastAsia="宋体" w:cs="宋体"/>
          <w:b/>
          <w:bCs/>
          <w:snapToGrid w:val="0"/>
          <w:color w:val="auto"/>
          <w:kern w:val="0"/>
        </w:rPr>
        <w:t>15、项目相册（模板）</w:t>
      </w:r>
      <w:r>
        <w:rPr>
          <w:rFonts w:hint="eastAsia"/>
        </w:rPr>
        <w:tab/>
      </w:r>
      <w:r>
        <w:rPr>
          <w:rFonts w:hint="eastAsia"/>
        </w:rPr>
        <w:fldChar w:fldCharType="begin"/>
      </w:r>
      <w:r>
        <w:rPr>
          <w:rFonts w:hint="eastAsia"/>
        </w:rPr>
        <w:instrText xml:space="preserve"> </w:instrText>
      </w:r>
      <w:r>
        <w:instrText xml:space="preserve">PAGEREF _Toc176192861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729ACE10">
      <w:pPr>
        <w:pStyle w:val="33"/>
        <w:tabs>
          <w:tab w:val="right" w:leader="dot" w:pos="8313"/>
        </w:tabs>
        <w:rPr>
          <w:rFonts w:hint="eastAsia" w:ascii="宋体" w:hAnsi="宋体" w:eastAsia="宋体" w:cs="宋体"/>
          <w:bCs/>
          <w:snapToGrid w:val="0"/>
          <w:kern w:val="0"/>
          <w:sz w:val="24"/>
        </w:rPr>
      </w:pPr>
      <w:r>
        <w:rPr>
          <w:rFonts w:hint="eastAsia" w:ascii="宋体" w:hAnsi="宋体" w:eastAsia="宋体" w:cs="宋体"/>
          <w:bCs/>
          <w:snapToGrid w:val="0"/>
          <w:kern w:val="0"/>
        </w:rPr>
        <w:fldChar w:fldCharType="end"/>
      </w:r>
    </w:p>
    <w:p w14:paraId="37E029BC">
      <w:pPr>
        <w:adjustRightInd w:val="0"/>
        <w:snapToGrid w:val="0"/>
        <w:spacing w:after="156" w:afterLines="50" w:line="440" w:lineRule="exact"/>
        <w:jc w:val="center"/>
        <w:outlineLvl w:val="0"/>
        <w:rPr>
          <w:rFonts w:hint="eastAsia" w:ascii="宋体" w:hAnsi="宋体" w:eastAsia="宋体" w:cs="宋体"/>
          <w:b/>
          <w:bCs/>
          <w:snapToGrid w:val="0"/>
          <w:kern w:val="0"/>
          <w:sz w:val="44"/>
          <w:szCs w:val="44"/>
        </w:rPr>
      </w:pPr>
      <w:r>
        <w:rPr>
          <w:rFonts w:hint="eastAsia" w:ascii="宋体" w:hAnsi="宋体" w:eastAsia="宋体" w:cs="宋体"/>
          <w:b/>
          <w:bCs/>
          <w:snapToGrid w:val="0"/>
          <w:kern w:val="0"/>
          <w:sz w:val="30"/>
          <w:szCs w:val="30"/>
        </w:rPr>
        <w:br w:type="page"/>
      </w:r>
      <w:bookmarkEnd w:id="3"/>
      <w:bookmarkEnd w:id="4"/>
      <w:bookmarkEnd w:id="5"/>
      <w:bookmarkStart w:id="10" w:name="_Toc26004"/>
      <w:bookmarkStart w:id="11" w:name="_Toc29811"/>
      <w:bookmarkStart w:id="12" w:name="_Toc176192712"/>
      <w:bookmarkStart w:id="13" w:name="_Toc396662261"/>
      <w:bookmarkStart w:id="14" w:name="_Toc397364810"/>
      <w:bookmarkStart w:id="15" w:name="_Toc27875"/>
      <w:r>
        <w:rPr>
          <w:rFonts w:hint="eastAsia" w:ascii="宋体" w:hAnsi="宋体" w:eastAsia="宋体" w:cs="宋体"/>
          <w:b/>
          <w:bCs/>
          <w:snapToGrid w:val="0"/>
          <w:kern w:val="0"/>
          <w:sz w:val="44"/>
          <w:szCs w:val="44"/>
        </w:rPr>
        <w:t>第一部分  合同协议书</w:t>
      </w:r>
      <w:bookmarkEnd w:id="10"/>
      <w:bookmarkEnd w:id="11"/>
      <w:bookmarkEnd w:id="12"/>
      <w:bookmarkEnd w:id="13"/>
      <w:bookmarkEnd w:id="14"/>
      <w:bookmarkEnd w:id="15"/>
    </w:p>
    <w:p w14:paraId="2DADD6C2">
      <w:pPr>
        <w:tabs>
          <w:tab w:val="left" w:pos="9100"/>
        </w:tabs>
        <w:autoSpaceDE w:val="0"/>
        <w:autoSpaceDN w:val="0"/>
        <w:adjustRightInd w:val="0"/>
        <w:spacing w:line="440" w:lineRule="exact"/>
        <w:ind w:right="910"/>
        <w:jc w:val="left"/>
        <w:rPr>
          <w:rFonts w:hint="eastAsia" w:ascii="宋体" w:hAnsi="宋体" w:eastAsia="宋体" w:cs="宋体"/>
          <w:b/>
          <w:kern w:val="0"/>
          <w:sz w:val="24"/>
        </w:rPr>
      </w:pPr>
    </w:p>
    <w:p w14:paraId="01149291">
      <w:pPr>
        <w:tabs>
          <w:tab w:val="left" w:pos="9100"/>
        </w:tabs>
        <w:autoSpaceDE w:val="0"/>
        <w:autoSpaceDN w:val="0"/>
        <w:adjustRightInd w:val="0"/>
        <w:spacing w:line="440" w:lineRule="exact"/>
        <w:ind w:right="910"/>
        <w:jc w:val="left"/>
        <w:rPr>
          <w:rFonts w:hint="eastAsia" w:ascii="宋体" w:hAnsi="宋体" w:eastAsia="宋体" w:cs="宋体"/>
          <w:b/>
          <w:kern w:val="0"/>
          <w:sz w:val="24"/>
        </w:rPr>
      </w:pPr>
      <w:r>
        <w:rPr>
          <w:rFonts w:hint="eastAsia" w:ascii="宋体" w:hAnsi="宋体" w:eastAsia="宋体" w:cs="宋体"/>
          <w:b/>
          <w:kern w:val="0"/>
          <w:sz w:val="24"/>
        </w:rPr>
        <w:t>发包人（甲方）：广州新中轴建设有限公司</w:t>
      </w:r>
    </w:p>
    <w:p w14:paraId="0D478019">
      <w:pPr>
        <w:tabs>
          <w:tab w:val="left" w:pos="9100"/>
        </w:tabs>
        <w:autoSpaceDE w:val="0"/>
        <w:autoSpaceDN w:val="0"/>
        <w:adjustRightInd w:val="0"/>
        <w:spacing w:after="156" w:afterLines="50" w:line="440" w:lineRule="exact"/>
        <w:ind w:right="913"/>
        <w:jc w:val="left"/>
        <w:rPr>
          <w:rFonts w:hint="eastAsia" w:ascii="宋体" w:hAnsi="宋体" w:eastAsia="宋体" w:cs="宋体"/>
          <w:spacing w:val="1"/>
          <w:kern w:val="0"/>
          <w:position w:val="-3"/>
          <w:sz w:val="24"/>
          <w:u w:val="single"/>
        </w:rPr>
      </w:pPr>
      <w:r>
        <w:rPr>
          <w:rFonts w:hint="eastAsia" w:ascii="宋体" w:hAnsi="宋体" w:eastAsia="宋体" w:cs="宋体"/>
          <w:b/>
          <w:kern w:val="0"/>
          <w:sz w:val="24"/>
        </w:rPr>
        <w:t>承包人（乙方）：【承包人单位名称】</w:t>
      </w:r>
    </w:p>
    <w:p w14:paraId="0B09F423">
      <w:pPr>
        <w:adjustRightInd w:val="0"/>
        <w:spacing w:line="440" w:lineRule="exact"/>
        <w:ind w:right="11" w:firstLine="480" w:firstLineChars="200"/>
        <w:rPr>
          <w:rFonts w:hint="eastAsia" w:ascii="宋体" w:hAnsi="宋体" w:eastAsia="宋体" w:cs="宋体"/>
          <w:sz w:val="24"/>
        </w:rPr>
      </w:pPr>
      <w:bookmarkStart w:id="16" w:name="_Toc307908844"/>
      <w:bookmarkStart w:id="17" w:name="_Toc298406487"/>
      <w:bookmarkStart w:id="18" w:name="_Toc298413074"/>
    </w:p>
    <w:p w14:paraId="17E79269">
      <w:pPr>
        <w:adjustRightIn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z w:val="24"/>
        </w:rPr>
        <w:t>依照《中华人民共和国民法典》、《中华人民共和国建筑法》、《中华人民共和国招投标法》及其他有关法律、行政法规、部门规章、地方性法规和规章，遵循平等、自愿、公平和诚实信用的原则，发包人、承包人双方就广州珠江两岸、新中轴线等重要区域夜景灯光品质提升项目施工（标段名称）（以下简称“本工程”）协商一致，订立本合同。</w:t>
      </w:r>
    </w:p>
    <w:p w14:paraId="29E87E01">
      <w:pPr>
        <w:autoSpaceDE w:val="0"/>
        <w:autoSpaceDN w:val="0"/>
        <w:adjustRightInd w:val="0"/>
        <w:spacing w:line="440" w:lineRule="exact"/>
        <w:ind w:left="102" w:right="-873" w:firstLine="482" w:firstLineChars="200"/>
        <w:jc w:val="left"/>
        <w:outlineLvl w:val="1"/>
        <w:rPr>
          <w:rFonts w:hint="eastAsia" w:ascii="宋体" w:hAnsi="宋体" w:eastAsia="宋体" w:cs="宋体"/>
          <w:kern w:val="0"/>
          <w:sz w:val="24"/>
        </w:rPr>
      </w:pPr>
      <w:bookmarkStart w:id="19" w:name="_Toc24580"/>
      <w:bookmarkStart w:id="20" w:name="_Toc16464"/>
      <w:bookmarkStart w:id="21" w:name="_Toc396662262"/>
      <w:bookmarkStart w:id="22" w:name="_Toc397364811"/>
      <w:bookmarkStart w:id="23" w:name="_Toc176192713"/>
      <w:r>
        <w:rPr>
          <w:rFonts w:hint="eastAsia" w:ascii="宋体" w:hAnsi="宋体" w:eastAsia="宋体" w:cs="宋体"/>
          <w:b/>
          <w:bCs/>
          <w:snapToGrid w:val="0"/>
          <w:kern w:val="0"/>
          <w:sz w:val="24"/>
        </w:rPr>
        <w:t>1、工程概况</w:t>
      </w:r>
      <w:bookmarkEnd w:id="16"/>
      <w:bookmarkEnd w:id="17"/>
      <w:bookmarkEnd w:id="18"/>
      <w:bookmarkEnd w:id="19"/>
      <w:bookmarkEnd w:id="20"/>
      <w:bookmarkEnd w:id="21"/>
      <w:bookmarkEnd w:id="22"/>
      <w:bookmarkEnd w:id="23"/>
    </w:p>
    <w:p w14:paraId="6B75EC12">
      <w:pPr>
        <w:adjustRightInd w:val="0"/>
        <w:spacing w:line="440" w:lineRule="exact"/>
        <w:ind w:right="11" w:firstLine="480" w:firstLineChars="200"/>
        <w:rPr>
          <w:rFonts w:hint="eastAsia" w:ascii="宋体" w:hAnsi="宋体" w:eastAsia="宋体" w:cs="宋体"/>
          <w:sz w:val="24"/>
        </w:rPr>
      </w:pPr>
      <w:bookmarkStart w:id="24" w:name="_Hlk176160349"/>
      <w:r>
        <w:rPr>
          <w:rFonts w:hint="eastAsia" w:ascii="宋体" w:hAnsi="宋体" w:eastAsia="宋体" w:cs="宋体"/>
          <w:sz w:val="24"/>
        </w:rPr>
        <w:t>【以招标文件为准】</w:t>
      </w:r>
    </w:p>
    <w:bookmarkEnd w:id="24"/>
    <w:p w14:paraId="6ADEA051">
      <w:pPr>
        <w:autoSpaceDE w:val="0"/>
        <w:autoSpaceDN w:val="0"/>
        <w:adjustRightInd w:val="0"/>
        <w:spacing w:line="440" w:lineRule="exact"/>
        <w:ind w:left="102" w:right="-873" w:firstLine="482" w:firstLineChars="200"/>
        <w:jc w:val="left"/>
        <w:outlineLvl w:val="1"/>
        <w:rPr>
          <w:rFonts w:hint="eastAsia" w:ascii="宋体" w:hAnsi="宋体" w:eastAsia="宋体" w:cs="宋体"/>
          <w:b/>
          <w:bCs/>
          <w:snapToGrid w:val="0"/>
          <w:kern w:val="0"/>
          <w:sz w:val="24"/>
        </w:rPr>
      </w:pPr>
      <w:bookmarkStart w:id="25" w:name="_Toc397364812"/>
      <w:bookmarkStart w:id="26" w:name="_Toc176192714"/>
      <w:bookmarkStart w:id="27" w:name="_Toc20877"/>
      <w:bookmarkStart w:id="28" w:name="_Toc298413075"/>
      <w:bookmarkStart w:id="29" w:name="_Toc298406488"/>
      <w:bookmarkStart w:id="30" w:name="_Toc396662263"/>
      <w:bookmarkStart w:id="31" w:name="_Toc23495"/>
      <w:bookmarkStart w:id="32" w:name="_Toc307908845"/>
      <w:r>
        <w:rPr>
          <w:rFonts w:hint="eastAsia" w:ascii="宋体" w:hAnsi="宋体" w:eastAsia="宋体" w:cs="宋体"/>
          <w:b/>
          <w:bCs/>
          <w:snapToGrid w:val="0"/>
          <w:kern w:val="0"/>
          <w:sz w:val="24"/>
        </w:rPr>
        <w:t>2、承包范围、内容及方式</w:t>
      </w:r>
      <w:bookmarkEnd w:id="25"/>
      <w:bookmarkEnd w:id="26"/>
      <w:bookmarkEnd w:id="27"/>
      <w:bookmarkEnd w:id="28"/>
      <w:bookmarkEnd w:id="29"/>
      <w:bookmarkEnd w:id="30"/>
      <w:bookmarkEnd w:id="31"/>
      <w:bookmarkEnd w:id="32"/>
    </w:p>
    <w:p w14:paraId="79B92787">
      <w:pPr>
        <w:adjustRightInd w:val="0"/>
        <w:spacing w:line="440" w:lineRule="exact"/>
        <w:ind w:right="11" w:firstLine="600" w:firstLineChars="250"/>
        <w:rPr>
          <w:rFonts w:hint="eastAsia" w:ascii="宋体" w:hAnsi="宋体" w:eastAsia="宋体" w:cs="宋体"/>
          <w:sz w:val="24"/>
        </w:rPr>
      </w:pPr>
      <w:bookmarkStart w:id="33" w:name="_Toc396662264"/>
      <w:r>
        <w:rPr>
          <w:rFonts w:hint="eastAsia" w:ascii="宋体" w:hAnsi="宋体" w:eastAsia="宋体" w:cs="宋体"/>
          <w:sz w:val="24"/>
        </w:rPr>
        <w:t>2.1工程内容与承包范围</w:t>
      </w:r>
    </w:p>
    <w:p w14:paraId="2B5B2934">
      <w:pPr>
        <w:adjustRightInd w:val="0"/>
        <w:spacing w:line="440" w:lineRule="exact"/>
        <w:ind w:right="11" w:firstLine="480" w:firstLineChars="200"/>
        <w:rPr>
          <w:rFonts w:hint="eastAsia" w:ascii="宋体" w:hAnsi="宋体" w:eastAsia="宋体" w:cs="宋体"/>
          <w:sz w:val="24"/>
        </w:rPr>
      </w:pPr>
      <w:r>
        <w:rPr>
          <w:rFonts w:hint="eastAsia" w:ascii="宋体" w:hAnsi="宋体" w:eastAsia="宋体" w:cs="宋体"/>
          <w:sz w:val="24"/>
        </w:rPr>
        <w:t>【以招标文件为准】</w:t>
      </w:r>
    </w:p>
    <w:p w14:paraId="69781B57">
      <w:pPr>
        <w:adjustRightInd w:val="0"/>
        <w:spacing w:line="440" w:lineRule="exact"/>
        <w:ind w:right="11" w:firstLine="480" w:firstLineChars="200"/>
        <w:rPr>
          <w:rFonts w:hint="eastAsia" w:ascii="宋体" w:hAnsi="宋体" w:eastAsia="宋体" w:cs="宋体"/>
          <w:sz w:val="24"/>
        </w:rPr>
      </w:pPr>
      <w:r>
        <w:rPr>
          <w:rFonts w:hint="eastAsia" w:ascii="宋体" w:hAnsi="宋体" w:eastAsia="宋体" w:cs="宋体"/>
          <w:sz w:val="24"/>
        </w:rPr>
        <w:t>具体详见发包人提供的图纸、工程量清单及招标过程中所发出的相关文件所包含的全部内容。发包人根据工程实施情况，有权对承包人的承包范围及内容进行适当调整。</w:t>
      </w:r>
    </w:p>
    <w:p w14:paraId="3FBDD06B">
      <w:pPr>
        <w:adjustRightInd w:val="0"/>
        <w:spacing w:line="440" w:lineRule="exact"/>
        <w:ind w:right="11" w:firstLine="480" w:firstLineChars="200"/>
        <w:rPr>
          <w:rFonts w:hint="eastAsia" w:ascii="宋体" w:hAnsi="宋体" w:eastAsia="宋体" w:cs="宋体"/>
          <w:sz w:val="24"/>
        </w:rPr>
      </w:pPr>
      <w:r>
        <w:rPr>
          <w:rFonts w:hint="eastAsia" w:ascii="宋体" w:hAnsi="宋体" w:eastAsia="宋体" w:cs="宋体"/>
          <w:sz w:val="24"/>
        </w:rPr>
        <w:t>2.2承包方式</w:t>
      </w:r>
    </w:p>
    <w:p w14:paraId="6BEFE77E">
      <w:pPr>
        <w:adjustRightInd w:val="0"/>
        <w:snapToGrid w:val="0"/>
        <w:spacing w:line="440" w:lineRule="exact"/>
        <w:ind w:right="11" w:firstLine="480" w:firstLineChars="200"/>
        <w:rPr>
          <w:rFonts w:hint="eastAsia" w:ascii="宋体" w:hAnsi="宋体" w:eastAsia="宋体" w:cs="宋体"/>
          <w:sz w:val="24"/>
        </w:rPr>
      </w:pPr>
      <w:r>
        <w:rPr>
          <w:rFonts w:hint="eastAsia" w:ascii="宋体" w:hAnsi="宋体" w:eastAsia="宋体" w:cs="宋体"/>
          <w:sz w:val="24"/>
        </w:rPr>
        <w:t>2.2.1合同价格形式</w:t>
      </w:r>
    </w:p>
    <w:p w14:paraId="6FF15D5A">
      <w:pPr>
        <w:adjustRightInd w:val="0"/>
        <w:snapToGrid w:val="0"/>
        <w:spacing w:line="440" w:lineRule="exact"/>
        <w:ind w:right="11" w:firstLine="480" w:firstLineChars="200"/>
        <w:rPr>
          <w:rFonts w:hint="eastAsia" w:ascii="宋体" w:hAnsi="宋体" w:eastAsia="宋体" w:cs="宋体"/>
          <w:sz w:val="24"/>
        </w:rPr>
      </w:pPr>
      <w:r>
        <w:rPr>
          <w:rFonts w:hint="eastAsia" w:ascii="宋体" w:hAnsi="宋体" w:eastAsia="宋体" w:cs="宋体"/>
          <w:sz w:val="24"/>
        </w:rPr>
        <w:t>单价合同：本合同采用工程量清单综合单价包干，工程量按实结算；措施费单价项目工程量按实计量，措施费总价项目（按项和费率计价项目）合价包干；合同协议书第13条有更详尽约定的从其约定，有不同约定的以第13条约定为准。由承包人按照本合同约定范围和图纸内容进行工程施工，包括但不限于包工期、包材料、包质量、包安全生产、包文明施工、包承包范围内相关报批手续及缴费、包承包范围内工程验收通过、包移交、包结算、包施工管理和现场整体组织的实施工作、包竣工验收备案和档案移交及相关资料整理等。</w:t>
      </w:r>
    </w:p>
    <w:bookmarkEnd w:id="33"/>
    <w:p w14:paraId="199746A6">
      <w:pPr>
        <w:adjustRightInd w:val="0"/>
        <w:snapToGrid w:val="0"/>
        <w:spacing w:line="440" w:lineRule="exact"/>
        <w:ind w:right="11" w:firstLine="480" w:firstLineChars="200"/>
        <w:rPr>
          <w:rFonts w:hint="eastAsia" w:ascii="宋体" w:hAnsi="宋体" w:eastAsia="宋体" w:cs="宋体"/>
          <w:sz w:val="24"/>
        </w:rPr>
      </w:pPr>
      <w:r>
        <w:rPr>
          <w:rFonts w:hint="eastAsia" w:ascii="宋体" w:hAnsi="宋体" w:eastAsia="宋体" w:cs="宋体"/>
          <w:sz w:val="24"/>
        </w:rPr>
        <w:t>2.2.2如物价涨落，本合同人工费、施工机具费均不调整。除专用条款25.3.2约定以外，不因施工期间材料、设备、施工条件、工程规模的变化等而调整，招标文件及本合同另有约定的除外。工程结算价最终以结算终审单位审定为准。</w:t>
      </w:r>
    </w:p>
    <w:p w14:paraId="5B7E1902">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34" w:name="_Toc176192715"/>
      <w:bookmarkStart w:id="35" w:name="_Toc29015"/>
      <w:bookmarkStart w:id="36" w:name="_Toc23467"/>
      <w:bookmarkStart w:id="37" w:name="_Toc397364813"/>
      <w:bookmarkStart w:id="38" w:name="_Toc396662267"/>
      <w:r>
        <w:rPr>
          <w:rFonts w:hint="eastAsia" w:ascii="宋体" w:hAnsi="宋体" w:eastAsia="宋体" w:cs="宋体"/>
          <w:b/>
          <w:bCs/>
          <w:snapToGrid w:val="0"/>
          <w:kern w:val="0"/>
          <w:sz w:val="24"/>
        </w:rPr>
        <w:t>3、合同工期</w:t>
      </w:r>
      <w:bookmarkEnd w:id="34"/>
      <w:bookmarkEnd w:id="35"/>
      <w:bookmarkEnd w:id="36"/>
      <w:bookmarkEnd w:id="37"/>
      <w:bookmarkEnd w:id="38"/>
    </w:p>
    <w:p w14:paraId="0F923F3E">
      <w:pPr>
        <w:tabs>
          <w:tab w:val="left" w:pos="540"/>
        </w:tabs>
        <w:spacing w:line="440" w:lineRule="exact"/>
        <w:ind w:firstLine="540" w:firstLineChars="225"/>
        <w:rPr>
          <w:rFonts w:hint="eastAsia" w:ascii="宋体" w:hAnsi="宋体" w:eastAsia="宋体" w:cs="宋体"/>
          <w:spacing w:val="1"/>
          <w:kern w:val="0"/>
          <w:position w:val="-3"/>
          <w:sz w:val="24"/>
        </w:rPr>
      </w:pPr>
      <w:r>
        <w:rPr>
          <w:rFonts w:hint="eastAsia" w:ascii="宋体" w:hAnsi="宋体" w:eastAsia="宋体" w:cs="宋体"/>
          <w:sz w:val="24"/>
          <w:szCs w:val="20"/>
        </w:rPr>
        <w:t>3.1计划施工总工期：</w:t>
      </w:r>
      <w:r>
        <w:rPr>
          <w:rFonts w:hint="eastAsia" w:ascii="宋体" w:hAnsi="宋体" w:eastAsia="宋体" w:cs="宋体"/>
          <w:sz w:val="24"/>
          <w:szCs w:val="20"/>
          <w:u w:val="single"/>
        </w:rPr>
        <w:t xml:space="preserve">   </w:t>
      </w:r>
      <w:r>
        <w:rPr>
          <w:rFonts w:hint="eastAsia" w:ascii="宋体" w:hAnsi="宋体" w:eastAsia="宋体" w:cs="宋体"/>
          <w:sz w:val="24"/>
          <w:szCs w:val="20"/>
        </w:rPr>
        <w:t>日历天。</w:t>
      </w:r>
    </w:p>
    <w:p w14:paraId="7890D502">
      <w:pPr>
        <w:tabs>
          <w:tab w:val="left" w:pos="540"/>
        </w:tabs>
        <w:spacing w:line="440" w:lineRule="exact"/>
        <w:ind w:firstLine="540" w:firstLineChars="225"/>
        <w:rPr>
          <w:rFonts w:hint="eastAsia" w:ascii="宋体" w:hAnsi="宋体" w:eastAsia="宋体" w:cs="宋体"/>
          <w:sz w:val="24"/>
          <w:szCs w:val="20"/>
        </w:rPr>
      </w:pPr>
      <w:r>
        <w:rPr>
          <w:rFonts w:hint="eastAsia" w:ascii="宋体" w:hAnsi="宋体" w:eastAsia="宋体" w:cs="宋体"/>
          <w:sz w:val="24"/>
          <w:szCs w:val="20"/>
        </w:rPr>
        <w:t>3.2开工日期具体以发包人或发包人委托的监理单位发出的开工令为准。</w:t>
      </w:r>
    </w:p>
    <w:p w14:paraId="6748A35D">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39" w:name="_Toc397364814"/>
      <w:bookmarkStart w:id="40" w:name="_Toc14036"/>
      <w:bookmarkStart w:id="41" w:name="_Toc12281"/>
      <w:bookmarkStart w:id="42" w:name="_Toc396662271"/>
      <w:bookmarkStart w:id="43" w:name="_Toc176192716"/>
      <w:r>
        <w:rPr>
          <w:rFonts w:hint="eastAsia" w:ascii="宋体" w:hAnsi="宋体" w:eastAsia="宋体" w:cs="宋体"/>
          <w:b/>
          <w:bCs/>
          <w:snapToGrid w:val="0"/>
          <w:kern w:val="0"/>
          <w:sz w:val="24"/>
        </w:rPr>
        <w:t>4、质量</w:t>
      </w:r>
      <w:bookmarkEnd w:id="39"/>
      <w:bookmarkEnd w:id="40"/>
      <w:bookmarkEnd w:id="41"/>
      <w:bookmarkEnd w:id="42"/>
      <w:r>
        <w:rPr>
          <w:rFonts w:hint="eastAsia" w:ascii="宋体" w:hAnsi="宋体" w:eastAsia="宋体" w:cs="宋体"/>
          <w:b/>
          <w:bCs/>
          <w:snapToGrid w:val="0"/>
          <w:kern w:val="0"/>
          <w:sz w:val="24"/>
        </w:rPr>
        <w:t>要求</w:t>
      </w:r>
      <w:bookmarkEnd w:id="43"/>
    </w:p>
    <w:p w14:paraId="68B00784">
      <w:pPr>
        <w:adjustRightInd w:val="0"/>
        <w:snapToGrid w:val="0"/>
        <w:spacing w:line="440" w:lineRule="exact"/>
        <w:ind w:right="11" w:firstLine="480" w:firstLineChars="200"/>
        <w:rPr>
          <w:rFonts w:hint="eastAsia" w:ascii="宋体" w:hAnsi="宋体" w:eastAsia="宋体" w:cs="宋体"/>
          <w:snapToGrid w:val="0"/>
          <w:kern w:val="0"/>
          <w:sz w:val="24"/>
        </w:rPr>
      </w:pPr>
      <w:bookmarkStart w:id="44" w:name="_Toc24520"/>
      <w:bookmarkStart w:id="45" w:name="_Toc26754"/>
      <w:bookmarkStart w:id="46" w:name="_Toc397364816"/>
      <w:bookmarkStart w:id="47" w:name="_Toc396662273"/>
      <w:r>
        <w:rPr>
          <w:rFonts w:hint="eastAsia" w:ascii="宋体" w:hAnsi="宋体" w:eastAsia="宋体" w:cs="宋体"/>
          <w:snapToGrid w:val="0"/>
          <w:kern w:val="0"/>
          <w:sz w:val="24"/>
        </w:rPr>
        <w:t>（1）质量标准：</w:t>
      </w:r>
      <w:bookmarkEnd w:id="44"/>
      <w:bookmarkEnd w:id="45"/>
      <w:bookmarkStart w:id="48" w:name="_Toc20767"/>
      <w:bookmarkStart w:id="49" w:name="_Toc5331"/>
      <w:bookmarkStart w:id="50" w:name="_Toc13903"/>
      <w:r>
        <w:rPr>
          <w:rFonts w:hint="eastAsia" w:ascii="宋体" w:hAnsi="宋体" w:eastAsia="宋体" w:cs="宋体"/>
          <w:snapToGrid w:val="0"/>
          <w:kern w:val="0"/>
          <w:sz w:val="24"/>
        </w:rPr>
        <w:t>满足设计文件要求</w:t>
      </w:r>
      <w:bookmarkEnd w:id="48"/>
      <w:r>
        <w:rPr>
          <w:rFonts w:hint="eastAsia" w:ascii="宋体" w:hAnsi="宋体" w:eastAsia="宋体" w:cs="宋体"/>
          <w:snapToGrid w:val="0"/>
          <w:kern w:val="0"/>
          <w:sz w:val="24"/>
        </w:rPr>
        <w:t>、符合招标文件所要求的设计规范、标准和国家、地方、行业有关标准及投标文件承诺。符合《建筑工程施工质量验收统一标准》（GB50300-2013）、《工程施工质量验收规范》、《建设工程质量管理条例》及国家现行工程施工质量验收规范等，并达到合格（或以上）标准。如有新的规范标准，则按新的规范标准执行</w:t>
      </w:r>
      <w:bookmarkEnd w:id="49"/>
      <w:bookmarkEnd w:id="50"/>
      <w:r>
        <w:rPr>
          <w:rFonts w:hint="eastAsia" w:ascii="宋体" w:hAnsi="宋体" w:eastAsia="宋体" w:cs="宋体"/>
          <w:snapToGrid w:val="0"/>
          <w:kern w:val="0"/>
          <w:sz w:val="24"/>
        </w:rPr>
        <w:t>。</w:t>
      </w:r>
    </w:p>
    <w:p w14:paraId="441D3FE6">
      <w:pPr>
        <w:adjustRightInd w:val="0"/>
        <w:snapToGrid w:val="0"/>
        <w:spacing w:line="440" w:lineRule="exact"/>
        <w:ind w:right="11" w:firstLine="480" w:firstLineChars="200"/>
        <w:rPr>
          <w:rFonts w:hint="eastAsia" w:ascii="宋体" w:hAnsi="宋体" w:eastAsia="宋体" w:cs="宋体"/>
          <w:snapToGrid w:val="0"/>
          <w:kern w:val="0"/>
          <w:sz w:val="24"/>
          <w:lang w:val="zh-CN"/>
        </w:rPr>
      </w:pPr>
      <w:bookmarkStart w:id="51" w:name="_Toc10400"/>
      <w:bookmarkStart w:id="52" w:name="_Toc2160"/>
      <w:r>
        <w:rPr>
          <w:rFonts w:hint="eastAsia" w:ascii="宋体" w:hAnsi="宋体" w:eastAsia="宋体" w:cs="宋体"/>
          <w:snapToGrid w:val="0"/>
          <w:kern w:val="0"/>
          <w:sz w:val="24"/>
        </w:rPr>
        <w:t>（2）质量目标：</w:t>
      </w:r>
      <w:bookmarkEnd w:id="46"/>
      <w:bookmarkEnd w:id="47"/>
      <w:r>
        <w:rPr>
          <w:rFonts w:hint="eastAsia" w:ascii="宋体" w:hAnsi="宋体" w:eastAsia="宋体" w:cs="宋体"/>
          <w:snapToGrid w:val="0"/>
          <w:kern w:val="0"/>
          <w:sz w:val="24"/>
        </w:rPr>
        <w:t>一次竣工验收合格</w:t>
      </w:r>
      <w:r>
        <w:rPr>
          <w:rFonts w:hint="eastAsia" w:ascii="宋体" w:hAnsi="宋体" w:eastAsia="宋体" w:cs="宋体"/>
          <w:snapToGrid w:val="0"/>
          <w:kern w:val="0"/>
          <w:sz w:val="24"/>
          <w:lang w:val="zh-CN"/>
        </w:rPr>
        <w:t>。</w:t>
      </w:r>
      <w:bookmarkEnd w:id="51"/>
      <w:bookmarkEnd w:id="52"/>
    </w:p>
    <w:p w14:paraId="31293871">
      <w:pPr>
        <w:adjustRightInd w:val="0"/>
        <w:snapToGrid w:val="0"/>
        <w:spacing w:line="440" w:lineRule="exact"/>
        <w:ind w:right="11" w:firstLine="480" w:firstLineChars="200"/>
        <w:rPr>
          <w:rFonts w:hint="eastAsia" w:ascii="宋体" w:hAnsi="宋体" w:eastAsia="宋体" w:cs="宋体"/>
          <w:snapToGrid w:val="0"/>
          <w:kern w:val="0"/>
          <w:sz w:val="24"/>
          <w:lang w:val="zh-CN"/>
        </w:rPr>
      </w:pPr>
      <w:bookmarkStart w:id="53" w:name="_Toc397364817"/>
      <w:bookmarkStart w:id="54" w:name="_Toc396662274"/>
      <w:bookmarkStart w:id="55" w:name="_Toc14514"/>
      <w:bookmarkStart w:id="56" w:name="_Toc19980"/>
      <w:r>
        <w:rPr>
          <w:rFonts w:hint="eastAsia" w:ascii="宋体" w:hAnsi="宋体" w:eastAsia="宋体" w:cs="宋体"/>
          <w:snapToGrid w:val="0"/>
          <w:kern w:val="0"/>
          <w:sz w:val="24"/>
        </w:rPr>
        <w:t>（</w:t>
      </w:r>
      <w:r>
        <w:rPr>
          <w:rFonts w:ascii="宋体" w:hAnsi="宋体" w:eastAsia="宋体" w:cs="宋体"/>
          <w:snapToGrid w:val="0"/>
          <w:kern w:val="0"/>
          <w:sz w:val="24"/>
        </w:rPr>
        <w:t>3</w:t>
      </w:r>
      <w:r>
        <w:rPr>
          <w:rFonts w:hint="eastAsia" w:ascii="宋体" w:hAnsi="宋体" w:eastAsia="宋体" w:cs="宋体"/>
          <w:snapToGrid w:val="0"/>
          <w:kern w:val="0"/>
          <w:sz w:val="24"/>
        </w:rPr>
        <w:t>）</w:t>
      </w:r>
      <w:bookmarkStart w:id="57" w:name="_Hlk120976323"/>
      <w:r>
        <w:rPr>
          <w:rFonts w:hint="eastAsia" w:ascii="宋体" w:hAnsi="宋体" w:eastAsia="宋体" w:cs="宋体"/>
          <w:snapToGrid w:val="0"/>
          <w:kern w:val="0"/>
          <w:sz w:val="24"/>
        </w:rPr>
        <w:t>技术条件要求</w:t>
      </w:r>
      <w:bookmarkEnd w:id="57"/>
      <w:r>
        <w:rPr>
          <w:rFonts w:hint="eastAsia" w:ascii="宋体" w:hAnsi="宋体" w:eastAsia="宋体" w:cs="宋体"/>
          <w:snapToGrid w:val="0"/>
          <w:kern w:val="0"/>
          <w:sz w:val="24"/>
        </w:rPr>
        <w:t>：满足本合同附件《技术条件（工程建设标准）》要求</w:t>
      </w:r>
      <w:r>
        <w:rPr>
          <w:rFonts w:hint="eastAsia" w:ascii="宋体" w:hAnsi="宋体" w:eastAsia="宋体" w:cs="宋体"/>
          <w:snapToGrid w:val="0"/>
          <w:kern w:val="0"/>
          <w:sz w:val="24"/>
          <w:lang w:val="zh-CN"/>
        </w:rPr>
        <w:t>。</w:t>
      </w:r>
    </w:p>
    <w:p w14:paraId="43490B86">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（4）本工程（包括但不限于工程的所有材料、设备及其施工安装）质量保修期为五年（国家相关规定超过五年的，按国家相关规定年限）。</w:t>
      </w:r>
    </w:p>
    <w:p w14:paraId="15671162">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58" w:name="_Toc176192717"/>
      <w:r>
        <w:rPr>
          <w:rFonts w:hint="eastAsia" w:ascii="宋体" w:hAnsi="宋体" w:eastAsia="宋体" w:cs="宋体"/>
          <w:b/>
          <w:bCs/>
          <w:snapToGrid w:val="0"/>
          <w:kern w:val="0"/>
          <w:sz w:val="24"/>
        </w:rPr>
        <w:t>5、职业健康安全管理目标和环境管理目标</w:t>
      </w:r>
      <w:bookmarkEnd w:id="53"/>
      <w:bookmarkEnd w:id="54"/>
      <w:bookmarkEnd w:id="55"/>
      <w:bookmarkEnd w:id="56"/>
      <w:bookmarkEnd w:id="58"/>
    </w:p>
    <w:p w14:paraId="2E129746">
      <w:pPr>
        <w:adjustRightInd w:val="0"/>
        <w:snapToGrid w:val="0"/>
        <w:spacing w:line="440" w:lineRule="exact"/>
        <w:ind w:right="11" w:firstLine="480" w:firstLineChars="200"/>
        <w:rPr>
          <w:rFonts w:hint="eastAsia" w:ascii="宋体" w:hAnsi="宋体" w:eastAsia="宋体" w:cs="宋体"/>
          <w:snapToGrid w:val="0"/>
          <w:kern w:val="0"/>
          <w:sz w:val="24"/>
        </w:rPr>
      </w:pPr>
      <w:bookmarkStart w:id="59" w:name="_Toc396662275"/>
      <w:r>
        <w:rPr>
          <w:rFonts w:hint="eastAsia" w:ascii="宋体" w:hAnsi="宋体" w:eastAsia="宋体" w:cs="宋体"/>
          <w:bCs/>
          <w:snapToGrid w:val="0"/>
          <w:kern w:val="0"/>
          <w:sz w:val="24"/>
        </w:rPr>
        <w:t>（1）职业健康安全管理目标：</w:t>
      </w:r>
      <w:r>
        <w:rPr>
          <w:rFonts w:hint="eastAsia" w:ascii="宋体" w:hAnsi="宋体" w:eastAsia="宋体" w:cs="宋体"/>
          <w:snapToGrid w:val="0"/>
          <w:kern w:val="0"/>
          <w:sz w:val="24"/>
        </w:rPr>
        <w:t>杜绝发生一般事故等级及以上的伤亡事故且工伤责任事故死亡人数为零。</w:t>
      </w:r>
      <w:bookmarkEnd w:id="59"/>
    </w:p>
    <w:p w14:paraId="1A421486">
      <w:pPr>
        <w:adjustRightInd w:val="0"/>
        <w:snapToGrid w:val="0"/>
        <w:spacing w:line="440" w:lineRule="exact"/>
        <w:ind w:right="11" w:firstLine="480" w:firstLineChars="200"/>
        <w:rPr>
          <w:rFonts w:hint="eastAsia" w:ascii="宋体" w:hAnsi="宋体" w:eastAsia="宋体" w:cs="宋体"/>
          <w:bCs/>
          <w:snapToGrid w:val="0"/>
          <w:kern w:val="0"/>
          <w:sz w:val="24"/>
        </w:rPr>
      </w:pPr>
      <w:bookmarkStart w:id="60" w:name="_Toc396662276"/>
      <w:r>
        <w:rPr>
          <w:rFonts w:hint="eastAsia" w:ascii="宋体" w:hAnsi="宋体" w:eastAsia="宋体" w:cs="宋体"/>
          <w:bCs/>
          <w:snapToGrid w:val="0"/>
          <w:kern w:val="0"/>
          <w:sz w:val="24"/>
        </w:rPr>
        <w:t>（2）环境管理目标：</w:t>
      </w:r>
      <w:bookmarkEnd w:id="60"/>
      <w:r>
        <w:rPr>
          <w:rFonts w:hint="eastAsia" w:ascii="宋体" w:hAnsi="宋体" w:eastAsia="宋体" w:cs="宋体"/>
          <w:snapToGrid w:val="0"/>
          <w:kern w:val="0"/>
          <w:sz w:val="24"/>
        </w:rPr>
        <w:t>严格执行</w:t>
      </w:r>
      <w:r>
        <w:rPr>
          <w:rFonts w:hint="eastAsia" w:ascii="宋体" w:hAnsi="宋体" w:eastAsia="宋体" w:cs="宋体"/>
          <w:bCs/>
          <w:snapToGrid w:val="0"/>
          <w:kern w:val="0"/>
          <w:sz w:val="24"/>
        </w:rPr>
        <w:t>《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住房和城乡建设局等9部门关于印发广州市建设工程绿色施工围蔽指导图集（V2.0版）的通知》（穗建质〔2020〕1号）、《广州市提升建设工程安全文明施工管理水平的工作指引》（穗建质[2017]815号）、《广州市住房和城乡建设局等8部门关于印发广州市建设工程扬尘防治“6个100%”管理标准图集（V2.0版）的通知》等相关现行文件要求。</w:t>
      </w:r>
    </w:p>
    <w:p w14:paraId="741A2614">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61" w:name="_Toc396662277"/>
      <w:bookmarkStart w:id="62" w:name="_Toc397364818"/>
      <w:bookmarkStart w:id="63" w:name="_Toc9437"/>
      <w:bookmarkStart w:id="64" w:name="_Toc20939"/>
      <w:bookmarkStart w:id="65" w:name="_Toc176192718"/>
      <w:r>
        <w:rPr>
          <w:rFonts w:hint="eastAsia" w:ascii="宋体" w:hAnsi="宋体" w:eastAsia="宋体" w:cs="宋体"/>
          <w:b/>
          <w:bCs/>
          <w:snapToGrid w:val="0"/>
          <w:kern w:val="0"/>
          <w:sz w:val="24"/>
        </w:rPr>
        <w:t>6、合同</w:t>
      </w:r>
      <w:bookmarkEnd w:id="61"/>
      <w:bookmarkEnd w:id="62"/>
      <w:bookmarkEnd w:id="63"/>
      <w:bookmarkEnd w:id="64"/>
      <w:r>
        <w:rPr>
          <w:rFonts w:hint="eastAsia" w:ascii="宋体" w:hAnsi="宋体" w:eastAsia="宋体" w:cs="宋体"/>
          <w:b/>
          <w:bCs/>
          <w:snapToGrid w:val="0"/>
          <w:kern w:val="0"/>
          <w:sz w:val="24"/>
        </w:rPr>
        <w:t>金额</w:t>
      </w:r>
      <w:bookmarkEnd w:id="65"/>
    </w:p>
    <w:p w14:paraId="2A33BF75">
      <w:pPr>
        <w:adjustRightInd w:val="0"/>
        <w:snapToGrid w:val="0"/>
        <w:spacing w:line="440" w:lineRule="exact"/>
        <w:ind w:right="11" w:firstLine="480" w:firstLineChars="200"/>
        <w:rPr>
          <w:rFonts w:hint="eastAsia" w:ascii="宋体" w:hAnsi="宋体" w:eastAsia="宋体" w:cs="宋体"/>
          <w:bCs/>
          <w:snapToGrid w:val="0"/>
          <w:kern w:val="0"/>
          <w:sz w:val="24"/>
        </w:rPr>
      </w:pPr>
      <w:bookmarkStart w:id="66" w:name="_Toc396662278"/>
      <w:r>
        <w:rPr>
          <w:rFonts w:hint="eastAsia" w:ascii="宋体" w:hAnsi="宋体" w:eastAsia="宋体" w:cs="宋体"/>
          <w:bCs/>
          <w:snapToGrid w:val="0"/>
          <w:kern w:val="0"/>
          <w:sz w:val="24"/>
        </w:rPr>
        <w:t>6.1本合同以人民币为报价和结算货币，除非发包人、承包人双方另有约定。</w:t>
      </w:r>
      <w:bookmarkEnd w:id="66"/>
    </w:p>
    <w:p w14:paraId="1E44BE74">
      <w:pPr>
        <w:adjustRightInd w:val="0"/>
        <w:snapToGrid w:val="0"/>
        <w:spacing w:line="440" w:lineRule="exact"/>
        <w:ind w:right="11" w:firstLine="480" w:firstLineChars="200"/>
        <w:rPr>
          <w:rFonts w:hint="eastAsia" w:ascii="宋体" w:hAnsi="宋体" w:eastAsia="宋体" w:cs="宋体"/>
          <w:bCs/>
          <w:snapToGrid w:val="0"/>
          <w:kern w:val="0"/>
          <w:sz w:val="24"/>
        </w:rPr>
      </w:pPr>
      <w:bookmarkStart w:id="67" w:name="_Toc396662279"/>
      <w:r>
        <w:rPr>
          <w:rFonts w:hint="eastAsia" w:ascii="宋体" w:hAnsi="宋体" w:eastAsia="宋体" w:cs="宋体"/>
          <w:bCs/>
          <w:snapToGrid w:val="0"/>
          <w:kern w:val="0"/>
          <w:sz w:val="24"/>
        </w:rPr>
        <w:t>6.2本合同含税总价暂定为</w:t>
      </w:r>
      <w:r>
        <w:rPr>
          <w:rFonts w:hint="eastAsia" w:ascii="宋体" w:hAnsi="宋体" w:eastAsia="宋体" w:cs="宋体"/>
          <w:sz w:val="24"/>
        </w:rPr>
        <w:t>¥</w:t>
      </w:r>
      <w:r>
        <w:rPr>
          <w:rFonts w:hint="eastAsia" w:ascii="宋体" w:hAnsi="宋体" w:eastAsia="宋体" w:cs="宋体"/>
          <w:b/>
          <w:bCs/>
          <w:snapToGrid w:val="0"/>
          <w:kern w:val="0"/>
          <w:sz w:val="24"/>
          <w:u w:val="single"/>
        </w:rPr>
        <w:t>【含税合同金额小写】</w:t>
      </w:r>
      <w:r>
        <w:rPr>
          <w:rFonts w:hint="eastAsia" w:ascii="宋体" w:hAnsi="宋体" w:eastAsia="宋体" w:cs="宋体"/>
          <w:snapToGrid w:val="0"/>
          <w:kern w:val="0"/>
          <w:sz w:val="24"/>
        </w:rPr>
        <w:t>（大写人民币</w:t>
      </w:r>
      <w:r>
        <w:rPr>
          <w:rFonts w:hint="eastAsia" w:ascii="宋体" w:hAnsi="宋体" w:eastAsia="宋体" w:cs="宋体"/>
          <w:b/>
          <w:bCs/>
          <w:snapToGrid w:val="0"/>
          <w:kern w:val="0"/>
          <w:sz w:val="24"/>
          <w:u w:val="single"/>
        </w:rPr>
        <w:t>【含税合同金额大写】</w:t>
      </w:r>
      <w:r>
        <w:rPr>
          <w:rFonts w:hint="eastAsia" w:ascii="宋体" w:hAnsi="宋体" w:eastAsia="宋体" w:cs="宋体"/>
          <w:snapToGrid w:val="0"/>
          <w:kern w:val="0"/>
          <w:sz w:val="24"/>
        </w:rPr>
        <w:t>）</w:t>
      </w:r>
      <w:bookmarkEnd w:id="67"/>
      <w:r>
        <w:rPr>
          <w:rFonts w:hint="eastAsia" w:ascii="宋体" w:hAnsi="宋体" w:eastAsia="宋体" w:cs="宋体"/>
          <w:snapToGrid w:val="0"/>
          <w:kern w:val="0"/>
          <w:sz w:val="24"/>
        </w:rPr>
        <w:t>，其中不含税价¥</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，税率</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%，税额¥</w:t>
      </w: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w:t>
      </w:r>
    </w:p>
    <w:p w14:paraId="4E4B1E8A">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6.3 合同价款的支付与结算</w:t>
      </w:r>
    </w:p>
    <w:p w14:paraId="5436C8B3">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（1）合同价款的支付</w:t>
      </w:r>
    </w:p>
    <w:p w14:paraId="32DF6907">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合同价款由项目业主单位支付，后续由甲方、乙方、项目业主单位三方签订补充合同后，由乙方向甲方提交完整的合同请款资料（包括但不限于相关支付依据及相应增值税专用发票；发票抬头为项目业主单位），甲方于15个工作日内完成审核并向项目业主单位申报支付，项目业主单位对请款资料进行审定后直接支付给乙方。</w:t>
      </w:r>
    </w:p>
    <w:p w14:paraId="3FCD03AA">
      <w:pPr>
        <w:adjustRightInd w:val="0"/>
        <w:snapToGrid w:val="0"/>
        <w:spacing w:line="440" w:lineRule="exact"/>
        <w:ind w:right="11" w:firstLine="482"/>
        <w:rPr>
          <w:rFonts w:hint="eastAsia" w:ascii="宋体" w:hAnsi="宋体" w:eastAsia="宋体" w:cs="宋体"/>
          <w:bCs/>
          <w:snapToGrid w:val="0"/>
          <w:kern w:val="0"/>
          <w:sz w:val="24"/>
        </w:rPr>
      </w:pPr>
      <w:r>
        <w:rPr>
          <w:rFonts w:hint="eastAsia" w:ascii="宋体" w:hAnsi="宋体" w:eastAsia="宋体" w:cs="宋体"/>
          <w:bCs/>
          <w:snapToGrid w:val="0"/>
          <w:kern w:val="0"/>
          <w:sz w:val="24"/>
        </w:rPr>
        <w:t>（</w:t>
      </w:r>
      <w:r>
        <w:rPr>
          <w:rFonts w:ascii="宋体" w:hAnsi="宋体" w:eastAsia="宋体" w:cs="宋体"/>
          <w:bCs/>
          <w:snapToGrid w:val="0"/>
          <w:kern w:val="0"/>
          <w:sz w:val="24"/>
        </w:rPr>
        <w:t>2</w:t>
      </w:r>
      <w:r>
        <w:rPr>
          <w:rFonts w:hint="eastAsia" w:ascii="宋体" w:hAnsi="宋体" w:eastAsia="宋体" w:cs="宋体"/>
          <w:bCs/>
          <w:snapToGrid w:val="0"/>
          <w:kern w:val="0"/>
          <w:sz w:val="24"/>
        </w:rPr>
        <w:t>）合同价款的结算</w:t>
      </w:r>
    </w:p>
    <w:p w14:paraId="37126D98">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本合同工程竣工验收合格后</w:t>
      </w:r>
      <w:r>
        <w:rPr>
          <w:rFonts w:hint="eastAsia" w:ascii="宋体" w:hAnsi="宋体" w:eastAsia="宋体" w:cs="宋体"/>
          <w:snapToGrid w:val="0"/>
          <w:kern w:val="0"/>
          <w:sz w:val="24"/>
          <w:u w:val="single"/>
        </w:rPr>
        <w:t>90</w:t>
      </w:r>
      <w:r>
        <w:rPr>
          <w:rFonts w:hint="eastAsia" w:ascii="宋体" w:hAnsi="宋体" w:eastAsia="宋体" w:cs="宋体"/>
          <w:snapToGrid w:val="0"/>
          <w:kern w:val="0"/>
          <w:sz w:val="24"/>
        </w:rPr>
        <w:t>日历天内，承包人根据合同专用条款的结算规定，向发包人提交本合同的结算书及完整的结算资料。发包人收到承包人结算书及结算资料并审核确认后，由发包人按其管理制度组织工程结算终审，结算以有权终审单位审定为准。</w:t>
      </w:r>
    </w:p>
    <w:p w14:paraId="59033C14">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68" w:name="_Toc397364819"/>
      <w:bookmarkStart w:id="69" w:name="_Toc22254"/>
      <w:bookmarkStart w:id="70" w:name="_Toc26376"/>
      <w:bookmarkStart w:id="71" w:name="_Toc176192719"/>
      <w:bookmarkStart w:id="72" w:name="_Toc396662280"/>
      <w:r>
        <w:rPr>
          <w:rFonts w:hint="eastAsia" w:ascii="宋体" w:hAnsi="宋体" w:eastAsia="宋体" w:cs="宋体"/>
          <w:b/>
          <w:bCs/>
          <w:snapToGrid w:val="0"/>
          <w:kern w:val="0"/>
          <w:sz w:val="24"/>
        </w:rPr>
        <w:t>7、组成合同的文件</w:t>
      </w:r>
      <w:bookmarkEnd w:id="68"/>
      <w:bookmarkEnd w:id="69"/>
      <w:bookmarkEnd w:id="70"/>
      <w:bookmarkEnd w:id="71"/>
      <w:bookmarkEnd w:id="72"/>
    </w:p>
    <w:p w14:paraId="6C24BFA0">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下列文件应被认为是组成本合同的一部分，并互为补充和解释，如各文件存在冲突之处，以如下排列次序在前者优先适用：</w:t>
      </w:r>
    </w:p>
    <w:p w14:paraId="58D860B3">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（1）相关政府主管部门关于本工程的有关文件；</w:t>
      </w:r>
    </w:p>
    <w:p w14:paraId="00028B5F">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（2）本合同履行期间发包人与承包人双方签订的补充合同（协议）或修正文件；</w:t>
      </w:r>
    </w:p>
    <w:p w14:paraId="7CA974E7">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（3）合同协议书；</w:t>
      </w:r>
    </w:p>
    <w:p w14:paraId="0BF6C75F">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（4）中标通知书；</w:t>
      </w:r>
    </w:p>
    <w:p w14:paraId="154B35BF">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（5）合同专用条款；</w:t>
      </w:r>
    </w:p>
    <w:p w14:paraId="015996A4">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（6）发包人的各项工程项目管理制度、规定，包括</w:t>
      </w:r>
      <w:r>
        <w:rPr>
          <w:rFonts w:hint="eastAsia" w:ascii="宋体" w:hAnsi="宋体" w:eastAsia="宋体" w:cs="宋体"/>
          <w:snapToGrid w:val="0"/>
          <w:kern w:val="0"/>
          <w:sz w:val="24"/>
        </w:rPr>
        <w:t>工程管理办法、设计变更管理办法等</w:t>
      </w:r>
      <w:r>
        <w:rPr>
          <w:rFonts w:hint="eastAsia" w:ascii="宋体" w:hAnsi="宋体" w:eastAsia="宋体" w:cs="宋体"/>
          <w:bCs/>
          <w:snapToGrid w:val="0"/>
          <w:kern w:val="0"/>
          <w:sz w:val="24"/>
        </w:rPr>
        <w:t>；</w:t>
      </w:r>
    </w:p>
    <w:p w14:paraId="64F4B22C">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（7）合同附件[属本条第（1）项和第（6）项内容的除外]；</w:t>
      </w:r>
    </w:p>
    <w:p w14:paraId="1A641C5A">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（8）合同通用条款；</w:t>
      </w:r>
    </w:p>
    <w:p w14:paraId="0DA069E3">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（9）招标文件[含招标文件补充文件、澄清文件、答疑文件、招标图等，属本条第（7）项内容的除外]；</w:t>
      </w:r>
    </w:p>
    <w:p w14:paraId="5E0ADDFD">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（10）承包人投标文件及其附件[含投标文件澄清等，属本条第（7）项内容的除外]；</w:t>
      </w:r>
    </w:p>
    <w:p w14:paraId="61F31969">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（11）国家及广东省、广州市的标准、规范及有关技术文件；</w:t>
      </w:r>
    </w:p>
    <w:p w14:paraId="4622BD91">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（12）组成合同的其他文件。</w:t>
      </w:r>
    </w:p>
    <w:p w14:paraId="3DCF372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通过上述顺序解释仍无法明确的事项，由发包人、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w:t>
      </w:r>
      <w:r>
        <w:rPr>
          <w:rFonts w:hint="eastAsia" w:ascii="宋体" w:hAnsi="宋体" w:eastAsia="宋体" w:cs="宋体"/>
          <w:bCs/>
          <w:snapToGrid w:val="0"/>
          <w:kern w:val="0"/>
          <w:sz w:val="24"/>
        </w:rPr>
        <w:t>承包人</w:t>
      </w:r>
      <w:r>
        <w:rPr>
          <w:rFonts w:hint="eastAsia" w:ascii="宋体" w:hAnsi="宋体" w:eastAsia="宋体" w:cs="宋体"/>
          <w:snapToGrid w:val="0"/>
          <w:kern w:val="0"/>
          <w:sz w:val="24"/>
        </w:rPr>
        <w:t>不服的，可按</w:t>
      </w:r>
      <w:r>
        <w:rPr>
          <w:rFonts w:hint="eastAsia" w:ascii="宋体" w:hAnsi="宋体" w:eastAsia="宋体" w:cs="宋体"/>
          <w:bCs/>
          <w:snapToGrid w:val="0"/>
          <w:kern w:val="0"/>
          <w:sz w:val="24"/>
        </w:rPr>
        <w:t>合同专用条款第40条的约定处理，但在有关部门没有作出正式裁决之前，承包人必须无条件先行执行发包人的决定。</w:t>
      </w:r>
    </w:p>
    <w:p w14:paraId="51836D9E">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73" w:name="_Toc176192720"/>
      <w:bookmarkStart w:id="74" w:name="_Toc31074"/>
      <w:bookmarkStart w:id="75" w:name="_Toc24635"/>
      <w:bookmarkStart w:id="76" w:name="_Toc396662285"/>
      <w:bookmarkStart w:id="77" w:name="_Toc397364824"/>
      <w:r>
        <w:rPr>
          <w:rFonts w:hint="eastAsia" w:ascii="宋体" w:hAnsi="宋体" w:eastAsia="宋体" w:cs="宋体"/>
          <w:b/>
          <w:bCs/>
          <w:snapToGrid w:val="0"/>
          <w:kern w:val="0"/>
          <w:sz w:val="24"/>
        </w:rPr>
        <w:t>8、词语含义</w:t>
      </w:r>
      <w:bookmarkEnd w:id="73"/>
      <w:bookmarkEnd w:id="74"/>
      <w:bookmarkEnd w:id="75"/>
    </w:p>
    <w:p w14:paraId="3A1124CF">
      <w:pPr>
        <w:adjustRightInd w:val="0"/>
        <w:snapToGrid w:val="0"/>
        <w:spacing w:line="440" w:lineRule="exact"/>
        <w:ind w:right="11" w:firstLine="480" w:firstLineChars="200"/>
        <w:rPr>
          <w:rFonts w:hint="eastAsia" w:ascii="宋体" w:hAnsi="宋体" w:eastAsia="宋体" w:cs="宋体"/>
          <w:bCs/>
          <w:snapToGrid w:val="0"/>
          <w:kern w:val="0"/>
          <w:sz w:val="24"/>
        </w:rPr>
      </w:pPr>
      <w:bookmarkStart w:id="78" w:name="_Toc63329372"/>
      <w:bookmarkStart w:id="79" w:name="_Toc23714"/>
      <w:bookmarkStart w:id="80" w:name="_Toc15366"/>
      <w:r>
        <w:rPr>
          <w:rFonts w:hint="eastAsia" w:ascii="宋体" w:hAnsi="宋体" w:eastAsia="宋体" w:cs="宋体"/>
          <w:bCs/>
          <w:snapToGrid w:val="0"/>
          <w:kern w:val="0"/>
          <w:sz w:val="24"/>
        </w:rPr>
        <w:t>合同协议书中有关词语含义与合同通用条款、合同专用条款中分别赋予它们的定义相同。</w:t>
      </w:r>
      <w:bookmarkEnd w:id="76"/>
      <w:bookmarkEnd w:id="77"/>
      <w:bookmarkEnd w:id="78"/>
      <w:bookmarkEnd w:id="79"/>
      <w:bookmarkEnd w:id="80"/>
    </w:p>
    <w:p w14:paraId="3EBDEDF2">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81" w:name="_Toc28798"/>
      <w:bookmarkStart w:id="82" w:name="_Toc176192721"/>
      <w:bookmarkStart w:id="83" w:name="_Toc24734"/>
      <w:r>
        <w:rPr>
          <w:rFonts w:hint="eastAsia" w:ascii="宋体" w:hAnsi="宋体" w:eastAsia="宋体" w:cs="宋体"/>
          <w:b/>
          <w:bCs/>
          <w:snapToGrid w:val="0"/>
          <w:kern w:val="0"/>
          <w:sz w:val="24"/>
        </w:rPr>
        <w:t>9、承诺</w:t>
      </w:r>
      <w:bookmarkEnd w:id="81"/>
      <w:bookmarkEnd w:id="82"/>
      <w:bookmarkEnd w:id="83"/>
    </w:p>
    <w:p w14:paraId="175E211A">
      <w:pPr>
        <w:adjustRightInd w:val="0"/>
        <w:snapToGrid w:val="0"/>
        <w:spacing w:line="440" w:lineRule="exact"/>
        <w:ind w:right="11" w:firstLine="480" w:firstLineChars="200"/>
        <w:rPr>
          <w:rFonts w:hint="eastAsia" w:ascii="宋体" w:hAnsi="宋体" w:eastAsia="宋体" w:cs="宋体"/>
          <w:bCs/>
          <w:snapToGrid w:val="0"/>
          <w:kern w:val="0"/>
          <w:sz w:val="24"/>
        </w:rPr>
      </w:pPr>
      <w:bookmarkStart w:id="84" w:name="_Toc63329374"/>
      <w:bookmarkStart w:id="85" w:name="_Toc396662286"/>
      <w:bookmarkStart w:id="86" w:name="_Toc14076"/>
      <w:bookmarkStart w:id="87" w:name="_Toc734"/>
      <w:bookmarkStart w:id="88" w:name="_Toc11877"/>
      <w:bookmarkStart w:id="89" w:name="_Toc397364825"/>
      <w:r>
        <w:rPr>
          <w:rFonts w:hint="eastAsia" w:ascii="宋体" w:hAnsi="宋体" w:eastAsia="宋体" w:cs="宋体"/>
          <w:bCs/>
          <w:snapToGrid w:val="0"/>
          <w:kern w:val="0"/>
          <w:sz w:val="24"/>
        </w:rPr>
        <w:t>（1）承包人向发包人承诺按照合同约定进行采购、施工、竣工验收、移交、结算、管理及配合服务，并在质量保修期内承担工程质量保修责任。</w:t>
      </w:r>
      <w:bookmarkEnd w:id="84"/>
      <w:bookmarkEnd w:id="85"/>
      <w:bookmarkEnd w:id="86"/>
      <w:bookmarkEnd w:id="87"/>
      <w:bookmarkEnd w:id="88"/>
      <w:bookmarkEnd w:id="89"/>
    </w:p>
    <w:p w14:paraId="1128A12A">
      <w:pPr>
        <w:adjustRightInd w:val="0"/>
        <w:snapToGrid w:val="0"/>
        <w:spacing w:line="440" w:lineRule="exact"/>
        <w:ind w:right="11" w:firstLine="480" w:firstLineChars="200"/>
        <w:rPr>
          <w:rFonts w:hint="eastAsia" w:ascii="宋体" w:hAnsi="宋体" w:eastAsia="宋体" w:cs="宋体"/>
          <w:bCs/>
          <w:snapToGrid w:val="0"/>
          <w:kern w:val="0"/>
          <w:sz w:val="24"/>
        </w:rPr>
      </w:pPr>
      <w:bookmarkStart w:id="90" w:name="_Toc20235"/>
      <w:bookmarkStart w:id="91" w:name="_Toc397364826"/>
      <w:bookmarkStart w:id="92" w:name="_Toc396662287"/>
      <w:bookmarkStart w:id="93" w:name="_Toc26360"/>
      <w:bookmarkStart w:id="94" w:name="_Toc63329375"/>
      <w:bookmarkStart w:id="95" w:name="_Toc17788"/>
      <w:r>
        <w:rPr>
          <w:rFonts w:hint="eastAsia" w:ascii="宋体" w:hAnsi="宋体" w:eastAsia="宋体" w:cs="宋体"/>
          <w:bCs/>
          <w:snapToGrid w:val="0"/>
          <w:kern w:val="0"/>
          <w:sz w:val="24"/>
        </w:rPr>
        <w:t>（2）发包人向承包人承诺按照合同约定的期限和方式申报支付合同价款及按合同约定应申报支付的其他款项。</w:t>
      </w:r>
      <w:bookmarkEnd w:id="90"/>
      <w:bookmarkEnd w:id="91"/>
      <w:bookmarkEnd w:id="92"/>
      <w:bookmarkEnd w:id="93"/>
      <w:bookmarkEnd w:id="94"/>
      <w:bookmarkEnd w:id="95"/>
    </w:p>
    <w:p w14:paraId="5EBB7D01">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96" w:name="_Toc176192722"/>
      <w:bookmarkStart w:id="97" w:name="_Toc5427"/>
      <w:bookmarkStart w:id="98" w:name="_Toc397364827"/>
      <w:bookmarkStart w:id="99" w:name="_Toc22666"/>
      <w:bookmarkStart w:id="100" w:name="_Toc25232"/>
      <w:r>
        <w:rPr>
          <w:rFonts w:hint="eastAsia" w:ascii="宋体" w:hAnsi="宋体" w:eastAsia="宋体" w:cs="宋体"/>
          <w:b/>
          <w:bCs/>
          <w:snapToGrid w:val="0"/>
          <w:kern w:val="0"/>
          <w:sz w:val="24"/>
        </w:rPr>
        <w:t>10、</w:t>
      </w:r>
      <w:bookmarkStart w:id="101" w:name="_Toc307908854"/>
      <w:bookmarkStart w:id="102" w:name="_Toc298406500"/>
      <w:bookmarkStart w:id="103" w:name="_Toc298413084"/>
      <w:r>
        <w:rPr>
          <w:rFonts w:hint="eastAsia" w:ascii="宋体" w:hAnsi="宋体" w:eastAsia="宋体" w:cs="宋体"/>
          <w:b/>
          <w:bCs/>
          <w:snapToGrid w:val="0"/>
          <w:kern w:val="0"/>
          <w:sz w:val="24"/>
        </w:rPr>
        <w:t>争议解决</w:t>
      </w:r>
      <w:bookmarkEnd w:id="96"/>
      <w:bookmarkEnd w:id="97"/>
      <w:bookmarkEnd w:id="98"/>
      <w:bookmarkEnd w:id="99"/>
      <w:bookmarkEnd w:id="100"/>
      <w:bookmarkEnd w:id="101"/>
      <w:bookmarkEnd w:id="102"/>
      <w:bookmarkEnd w:id="103"/>
    </w:p>
    <w:p w14:paraId="59B78AC5">
      <w:pPr>
        <w:autoSpaceDE w:val="0"/>
        <w:autoSpaceDN w:val="0"/>
        <w:adjustRightInd w:val="0"/>
        <w:spacing w:line="440" w:lineRule="exact"/>
        <w:ind w:right="403" w:firstLine="480" w:firstLineChars="200"/>
        <w:rPr>
          <w:rFonts w:hint="eastAsia" w:ascii="宋体" w:hAnsi="宋体" w:eastAsia="宋体" w:cs="宋体"/>
          <w:kern w:val="0"/>
          <w:sz w:val="24"/>
        </w:rPr>
      </w:pPr>
      <w:r>
        <w:rPr>
          <w:rFonts w:hint="eastAsia" w:ascii="宋体" w:hAnsi="宋体" w:eastAsia="宋体" w:cs="宋体"/>
          <w:kern w:val="0"/>
          <w:sz w:val="24"/>
        </w:rPr>
        <w:t>在本合同执行过程中若发生分歧或争议，双方应通过协商及时解决；如果协商不成，双方当事人均可向</w:t>
      </w:r>
      <w:r>
        <w:rPr>
          <w:rFonts w:hint="eastAsia" w:ascii="宋体" w:hAnsi="宋体" w:eastAsia="宋体" w:cs="宋体"/>
          <w:sz w:val="24"/>
        </w:rPr>
        <w:t>工程所在地人民法</w:t>
      </w:r>
      <w:r>
        <w:rPr>
          <w:rFonts w:hint="eastAsia" w:ascii="宋体" w:hAnsi="宋体" w:eastAsia="宋体" w:cs="宋体"/>
          <w:kern w:val="0"/>
          <w:sz w:val="24"/>
        </w:rPr>
        <w:t>院起诉。</w:t>
      </w:r>
    </w:p>
    <w:p w14:paraId="7153879F">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104" w:name="_Toc20122"/>
      <w:bookmarkStart w:id="105" w:name="_Toc397364828"/>
      <w:bookmarkStart w:id="106" w:name="_Toc176192723"/>
      <w:bookmarkStart w:id="107" w:name="_Toc396662288"/>
      <w:bookmarkStart w:id="108" w:name="_Toc12789"/>
      <w:r>
        <w:rPr>
          <w:rFonts w:hint="eastAsia" w:ascii="宋体" w:hAnsi="宋体" w:eastAsia="宋体" w:cs="宋体"/>
          <w:b/>
          <w:bCs/>
          <w:snapToGrid w:val="0"/>
          <w:kern w:val="0"/>
          <w:sz w:val="24"/>
        </w:rPr>
        <w:t>11、合同生效</w:t>
      </w:r>
      <w:bookmarkEnd w:id="104"/>
      <w:bookmarkEnd w:id="105"/>
      <w:bookmarkEnd w:id="106"/>
      <w:bookmarkEnd w:id="107"/>
      <w:bookmarkEnd w:id="108"/>
    </w:p>
    <w:p w14:paraId="4C5B4488">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本合同自合同各方法定代表人或其授权代表签字，并加盖公章或合同专用章后生效。本合同有效期至本工程质量保修期满且竣工结算满60日及各方的责任、义务履行完毕时终止。</w:t>
      </w:r>
    </w:p>
    <w:p w14:paraId="6460E354">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109" w:name="_Toc176192724"/>
      <w:bookmarkStart w:id="110" w:name="_Toc5709"/>
      <w:bookmarkStart w:id="111" w:name="_Toc9173"/>
      <w:r>
        <w:rPr>
          <w:rFonts w:hint="eastAsia" w:ascii="宋体" w:hAnsi="宋体" w:eastAsia="宋体" w:cs="宋体"/>
          <w:b/>
          <w:bCs/>
          <w:snapToGrid w:val="0"/>
          <w:kern w:val="0"/>
          <w:sz w:val="24"/>
        </w:rPr>
        <w:t>12、合同份数</w:t>
      </w:r>
      <w:bookmarkEnd w:id="109"/>
      <w:bookmarkEnd w:id="110"/>
      <w:bookmarkEnd w:id="111"/>
    </w:p>
    <w:p w14:paraId="73FE0A1E">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本合同正本一式</w:t>
      </w:r>
      <w:r>
        <w:rPr>
          <w:rFonts w:hint="eastAsia" w:ascii="宋体" w:hAnsi="宋体" w:eastAsia="宋体" w:cs="宋体"/>
          <w:snapToGrid w:val="0"/>
          <w:kern w:val="0"/>
          <w:sz w:val="24"/>
        </w:rPr>
        <w:t>【正本总份数】份，发包人执【发包人正本份数】份，承包人执【承包人正本份数】份；副本【副本总份数】份，发包人执【发包人副本份数】份，承包人执【承包人副本份数】</w:t>
      </w:r>
      <w:r>
        <w:rPr>
          <w:rFonts w:hint="eastAsia" w:ascii="宋体" w:hAnsi="宋体" w:eastAsia="宋体" w:cs="宋体"/>
          <w:bCs/>
          <w:snapToGrid w:val="0"/>
          <w:kern w:val="0"/>
          <w:sz w:val="24"/>
        </w:rPr>
        <w:t>份。</w:t>
      </w:r>
    </w:p>
    <w:p w14:paraId="2AEFB0EB">
      <w:pPr>
        <w:adjustRightInd w:val="0"/>
        <w:snapToGrid w:val="0"/>
        <w:spacing w:line="440" w:lineRule="exact"/>
        <w:ind w:right="11" w:firstLine="482" w:firstLineChars="200"/>
        <w:outlineLvl w:val="1"/>
        <w:rPr>
          <w:rFonts w:hint="eastAsia" w:ascii="宋体" w:hAnsi="宋体" w:eastAsia="宋体" w:cs="宋体"/>
          <w:b/>
          <w:bCs/>
          <w:snapToGrid w:val="0"/>
          <w:kern w:val="0"/>
          <w:sz w:val="24"/>
        </w:rPr>
      </w:pPr>
      <w:bookmarkStart w:id="112" w:name="_Toc176192725"/>
      <w:r>
        <w:rPr>
          <w:rFonts w:hint="eastAsia" w:ascii="宋体" w:hAnsi="宋体" w:eastAsia="宋体" w:cs="宋体"/>
          <w:b/>
          <w:bCs/>
          <w:snapToGrid w:val="0"/>
          <w:kern w:val="0"/>
          <w:sz w:val="24"/>
        </w:rPr>
        <w:t>13、修正条款或补充条款</w:t>
      </w:r>
      <w:bookmarkEnd w:id="112"/>
    </w:p>
    <w:p w14:paraId="7E0908E9">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z w:val="24"/>
        </w:rPr>
        <w:t>13.1消纳费按照《广州市建设工程造价管理站关于建设工程余泥渣土场外运输费用计价办法的通知》（穗建造价〔2019〕53号）相关规定执行</w:t>
      </w:r>
      <w:r>
        <w:rPr>
          <w:rFonts w:hint="eastAsia" w:ascii="宋体" w:hAnsi="宋体" w:eastAsia="宋体" w:cs="宋体"/>
          <w:b/>
          <w:bCs/>
          <w:snapToGrid w:val="0"/>
          <w:kern w:val="0"/>
          <w:sz w:val="24"/>
        </w:rPr>
        <w:t>。</w:t>
      </w:r>
    </w:p>
    <w:p w14:paraId="7DE63B4A">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13.2特殊施工作业费需综合考虑的费用详见招标清单，主要有以下类型：</w:t>
      </w:r>
    </w:p>
    <w:p w14:paraId="6ACAA907">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（1）综合考虑蜘蛛人施工、移动式钢护栏及其他配套费用总价包干。</w:t>
      </w:r>
    </w:p>
    <w:p w14:paraId="7EA2C969">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（2）综合考虑蜘蛛人施工、曲臂式高空作业车、移动式钢护栏及其他配套费用总价包干。</w:t>
      </w:r>
    </w:p>
    <w:p w14:paraId="19F790FA">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（3）综合考虑蜘蛛人施工、桥梁检测车（用于安装作业）、曲臂式高空作业车、移动式钢护栏及其他配套费用总价包干。</w:t>
      </w:r>
    </w:p>
    <w:p w14:paraId="3E1D59F4">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（4）综合考虑移动式钢护栏及其他配套费用总价包干。</w:t>
      </w:r>
    </w:p>
    <w:p w14:paraId="29889D44">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（5）综合考虑墙面脚手架及其他配套费用总价包干。</w:t>
      </w:r>
    </w:p>
    <w:p w14:paraId="506D0051">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13.3网络服务费需综合考虑的费用详见招标清单，主要有以下类型：</w:t>
      </w:r>
    </w:p>
    <w:p w14:paraId="6A07F435">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（1）无线4G网络服务费</w:t>
      </w:r>
    </w:p>
    <w:p w14:paraId="4E3074B6">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无线4G网络（下行速度：4G 物联网卡下行速度100Mbps - 150Mbps 上行速度：4G 物联网卡上行速度 20Mbps - 50Mbps ）服务期限5年。</w:t>
      </w:r>
    </w:p>
    <w:p w14:paraId="33FA53B1">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（2）无线4G网络和有线光纤双网络服务费</w:t>
      </w:r>
    </w:p>
    <w:p w14:paraId="42C70D6F">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无线4G网络（下行速度：4G 物联网卡下行速度100Mbps - 150Mbps 上行速度：4G 物联网卡上行速度 20Mbps - 50Mbps）、有线光纤双网络（光纤接入速率＞10M）服务期限5年。</w:t>
      </w:r>
    </w:p>
    <w:p w14:paraId="53FE3E28">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13.4光纤入户需综合考虑的费用详见招标清单，主要有以下类型：</w:t>
      </w:r>
    </w:p>
    <w:p w14:paraId="05DBC1DA">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（1）1000M入户光纤服务（全网通（移动、电信、联通）接入，VPN专网，服务周期5年）。</w:t>
      </w:r>
    </w:p>
    <w:p w14:paraId="165B6AF4">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（2）100M入户光纤服务（全网通（移动、电信、联通）接入，VPN专网，服务周期5年）。</w:t>
      </w:r>
    </w:p>
    <w:p w14:paraId="73D723B8">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（以下无正文）</w:t>
      </w:r>
    </w:p>
    <w:p w14:paraId="1F824FBE">
      <w:pPr>
        <w:adjustRightInd w:val="0"/>
        <w:snapToGrid w:val="0"/>
        <w:spacing w:line="440" w:lineRule="exact"/>
        <w:ind w:right="11" w:firstLine="480" w:firstLineChars="200"/>
        <w:rPr>
          <w:rFonts w:hint="eastAsia" w:ascii="宋体" w:hAnsi="宋体" w:eastAsia="宋体" w:cs="宋体"/>
          <w:bCs/>
          <w:snapToGrid w:val="0"/>
          <w:kern w:val="0"/>
          <w:sz w:val="24"/>
        </w:rPr>
      </w:pPr>
    </w:p>
    <w:p w14:paraId="6539F647">
      <w:pPr>
        <w:pStyle w:val="62"/>
        <w:jc w:val="both"/>
        <w:sectPr>
          <w:footerReference r:id="rId5" w:type="first"/>
          <w:footerReference r:id="rId4" w:type="default"/>
          <w:pgSz w:w="11907" w:h="16840"/>
          <w:pgMar w:top="1440" w:right="1797" w:bottom="1440" w:left="1797" w:header="851" w:footer="992" w:gutter="0"/>
          <w:cols w:space="720" w:num="1"/>
          <w:docGrid w:type="lines" w:linePitch="312" w:charSpace="0"/>
        </w:sectPr>
      </w:pPr>
    </w:p>
    <w:p w14:paraId="7BA9DBDA">
      <w:pPr>
        <w:adjustRightInd w:val="0"/>
        <w:snapToGrid w:val="0"/>
        <w:spacing w:line="440" w:lineRule="exact"/>
        <w:rPr>
          <w:rFonts w:hint="eastAsia" w:ascii="宋体" w:hAnsi="宋体" w:eastAsia="宋体" w:cs="宋体"/>
          <w:snapToGrid w:val="0"/>
          <w:kern w:val="0"/>
          <w:sz w:val="24"/>
        </w:rPr>
      </w:pPr>
      <w:r>
        <w:rPr>
          <w:rFonts w:hint="eastAsia" w:ascii="宋体" w:hAnsi="宋体" w:eastAsia="宋体" w:cs="宋体"/>
          <w:snapToGrid w:val="0"/>
          <w:kern w:val="0"/>
          <w:sz w:val="24"/>
        </w:rPr>
        <w:t>（本页无正文，为合同签署页）</w:t>
      </w:r>
    </w:p>
    <w:tbl>
      <w:tblPr>
        <w:tblStyle w:val="40"/>
        <w:tblpPr w:leftFromText="180" w:rightFromText="180" w:vertAnchor="text" w:horzAnchor="margin" w:tblpY="1683"/>
        <w:tblW w:w="0" w:type="auto"/>
        <w:tblInd w:w="0" w:type="dxa"/>
        <w:tblLayout w:type="autofit"/>
        <w:tblCellMar>
          <w:top w:w="0" w:type="dxa"/>
          <w:left w:w="108" w:type="dxa"/>
          <w:bottom w:w="0" w:type="dxa"/>
          <w:right w:w="108" w:type="dxa"/>
        </w:tblCellMar>
      </w:tblPr>
      <w:tblGrid>
        <w:gridCol w:w="4104"/>
        <w:gridCol w:w="4424"/>
      </w:tblGrid>
      <w:tr w14:paraId="42AC06DB">
        <w:tblPrEx>
          <w:tblCellMar>
            <w:top w:w="0" w:type="dxa"/>
            <w:left w:w="108" w:type="dxa"/>
            <w:bottom w:w="0" w:type="dxa"/>
            <w:right w:w="108" w:type="dxa"/>
          </w:tblCellMar>
        </w:tblPrEx>
        <w:tc>
          <w:tcPr>
            <w:tcW w:w="4104" w:type="dxa"/>
          </w:tcPr>
          <w:p w14:paraId="3E644723">
            <w:pPr>
              <w:adjustRightInd w:val="0"/>
              <w:snapToGrid w:val="0"/>
              <w:spacing w:line="440" w:lineRule="exact"/>
              <w:ind w:right="11"/>
              <w:rPr>
                <w:rFonts w:hint="eastAsia" w:ascii="黑体" w:hAnsi="黑体"/>
                <w:sz w:val="24"/>
              </w:rPr>
            </w:pPr>
            <w:bookmarkStart w:id="113" w:name="_Toc114119682"/>
            <w:bookmarkStart w:id="114" w:name="_Toc122759215"/>
            <w:bookmarkStart w:id="115" w:name="_Toc115711030"/>
            <w:bookmarkStart w:id="116" w:name="_Toc82141021"/>
            <w:r>
              <w:rPr>
                <w:rFonts w:hint="eastAsia" w:ascii="黑体" w:hAnsi="黑体"/>
                <w:sz w:val="24"/>
              </w:rPr>
              <w:t>发包人（甲方）：</w:t>
            </w:r>
          </w:p>
          <w:p w14:paraId="2809D6D1">
            <w:pPr>
              <w:spacing w:line="560" w:lineRule="exact"/>
              <w:rPr>
                <w:rFonts w:hint="eastAsia" w:ascii="黑体" w:hAnsi="黑体"/>
                <w:sz w:val="24"/>
              </w:rPr>
            </w:pPr>
            <w:r>
              <w:rPr>
                <w:rFonts w:hint="eastAsia" w:ascii="黑体" w:hAnsi="黑体"/>
                <w:sz w:val="24"/>
              </w:rPr>
              <w:t>广州新中轴建设有限公司</w:t>
            </w:r>
          </w:p>
          <w:p w14:paraId="1C82E63F">
            <w:pPr>
              <w:spacing w:line="560" w:lineRule="exact"/>
              <w:rPr>
                <w:rFonts w:hint="eastAsia" w:ascii="黑体" w:hAnsi="黑体"/>
                <w:sz w:val="24"/>
              </w:rPr>
            </w:pPr>
            <w:r>
              <w:rPr>
                <w:rFonts w:hint="eastAsia" w:ascii="黑体" w:hAnsi="黑体"/>
                <w:sz w:val="24"/>
              </w:rPr>
              <w:t>（盖章）</w:t>
            </w:r>
          </w:p>
          <w:p w14:paraId="64C7BBF4">
            <w:pPr>
              <w:spacing w:line="560" w:lineRule="exact"/>
              <w:rPr>
                <w:rFonts w:hint="eastAsia" w:ascii="黑体" w:hAnsi="黑体"/>
                <w:sz w:val="24"/>
              </w:rPr>
            </w:pPr>
          </w:p>
        </w:tc>
        <w:tc>
          <w:tcPr>
            <w:tcW w:w="4424" w:type="dxa"/>
          </w:tcPr>
          <w:p w14:paraId="5D825AE7">
            <w:pPr>
              <w:adjustRightInd w:val="0"/>
              <w:snapToGrid w:val="0"/>
              <w:spacing w:line="440" w:lineRule="exact"/>
              <w:ind w:right="11"/>
              <w:rPr>
                <w:rFonts w:hint="eastAsia" w:ascii="黑体" w:hAnsi="黑体"/>
                <w:sz w:val="24"/>
              </w:rPr>
            </w:pPr>
            <w:r>
              <w:rPr>
                <w:rFonts w:hint="eastAsia" w:ascii="黑体" w:hAnsi="黑体"/>
                <w:sz w:val="24"/>
              </w:rPr>
              <w:t>承包人（乙方）：</w:t>
            </w:r>
          </w:p>
          <w:p w14:paraId="6CE632E5">
            <w:pPr>
              <w:spacing w:line="560" w:lineRule="exact"/>
              <w:rPr>
                <w:rFonts w:hint="eastAsia" w:ascii="黑体" w:hAnsi="黑体"/>
                <w:sz w:val="24"/>
              </w:rPr>
            </w:pPr>
            <w:r>
              <w:rPr>
                <w:rFonts w:hint="eastAsia" w:ascii="黑体" w:hAnsi="黑体"/>
                <w:sz w:val="24"/>
              </w:rPr>
              <w:t>【承包人单位名称】</w:t>
            </w:r>
          </w:p>
          <w:p w14:paraId="563B795F">
            <w:pPr>
              <w:adjustRightInd w:val="0"/>
              <w:snapToGrid w:val="0"/>
              <w:spacing w:line="440" w:lineRule="exact"/>
              <w:ind w:right="11"/>
              <w:rPr>
                <w:rFonts w:hint="eastAsia" w:ascii="黑体" w:hAnsi="黑体"/>
                <w:sz w:val="24"/>
              </w:rPr>
            </w:pPr>
            <w:r>
              <w:rPr>
                <w:rFonts w:hint="eastAsia" w:ascii="黑体" w:hAnsi="黑体"/>
                <w:sz w:val="24"/>
              </w:rPr>
              <w:t>（盖章）</w:t>
            </w:r>
          </w:p>
        </w:tc>
      </w:tr>
      <w:tr w14:paraId="2855FC28">
        <w:tblPrEx>
          <w:tblCellMar>
            <w:top w:w="0" w:type="dxa"/>
            <w:left w:w="108" w:type="dxa"/>
            <w:bottom w:w="0" w:type="dxa"/>
            <w:right w:w="108" w:type="dxa"/>
          </w:tblCellMar>
        </w:tblPrEx>
        <w:tc>
          <w:tcPr>
            <w:tcW w:w="4104" w:type="dxa"/>
          </w:tcPr>
          <w:p w14:paraId="5C8FD520">
            <w:pPr>
              <w:spacing w:line="560" w:lineRule="exact"/>
              <w:rPr>
                <w:rFonts w:hint="eastAsia" w:ascii="黑体" w:hAnsi="黑体"/>
                <w:sz w:val="24"/>
              </w:rPr>
            </w:pPr>
            <w:r>
              <w:rPr>
                <w:rFonts w:hint="eastAsia" w:ascii="黑体" w:hAnsi="黑体"/>
                <w:sz w:val="24"/>
              </w:rPr>
              <w:t>法定代表人</w:t>
            </w:r>
          </w:p>
          <w:p w14:paraId="14F0171A">
            <w:pPr>
              <w:spacing w:line="560" w:lineRule="exact"/>
              <w:rPr>
                <w:rFonts w:hint="eastAsia" w:ascii="黑体" w:hAnsi="黑体"/>
                <w:sz w:val="24"/>
              </w:rPr>
            </w:pPr>
            <w:r>
              <w:rPr>
                <w:rFonts w:hint="eastAsia" w:ascii="黑体" w:hAnsi="黑体"/>
                <w:sz w:val="24"/>
              </w:rPr>
              <w:t>或委托代理人：</w:t>
            </w:r>
          </w:p>
          <w:p w14:paraId="59B2F831">
            <w:pPr>
              <w:spacing w:line="560" w:lineRule="exact"/>
              <w:rPr>
                <w:rFonts w:hint="eastAsia" w:ascii="黑体" w:hAnsi="黑体"/>
                <w:sz w:val="24"/>
              </w:rPr>
            </w:pPr>
            <w:r>
              <w:rPr>
                <w:rFonts w:hint="eastAsia" w:ascii="黑体" w:hAnsi="黑体"/>
                <w:sz w:val="24"/>
              </w:rPr>
              <w:t>（签字）</w:t>
            </w:r>
          </w:p>
          <w:p w14:paraId="41E84F09">
            <w:pPr>
              <w:spacing w:line="560" w:lineRule="exact"/>
              <w:rPr>
                <w:rFonts w:hint="eastAsia" w:ascii="黑体" w:hAnsi="黑体"/>
                <w:sz w:val="24"/>
              </w:rPr>
            </w:pPr>
          </w:p>
        </w:tc>
        <w:tc>
          <w:tcPr>
            <w:tcW w:w="4424" w:type="dxa"/>
          </w:tcPr>
          <w:p w14:paraId="082CE0F1">
            <w:pPr>
              <w:spacing w:line="560" w:lineRule="exact"/>
              <w:rPr>
                <w:rFonts w:hint="eastAsia" w:ascii="黑体" w:hAnsi="黑体"/>
                <w:sz w:val="24"/>
              </w:rPr>
            </w:pPr>
            <w:r>
              <w:rPr>
                <w:rFonts w:hint="eastAsia" w:ascii="黑体" w:hAnsi="黑体"/>
                <w:sz w:val="24"/>
              </w:rPr>
              <w:t>法定代表人</w:t>
            </w:r>
          </w:p>
          <w:p w14:paraId="3CBE3AC5">
            <w:pPr>
              <w:spacing w:line="560" w:lineRule="exact"/>
              <w:rPr>
                <w:rFonts w:hint="eastAsia" w:ascii="黑体" w:hAnsi="黑体"/>
                <w:sz w:val="24"/>
              </w:rPr>
            </w:pPr>
            <w:r>
              <w:rPr>
                <w:rFonts w:hint="eastAsia" w:ascii="黑体" w:hAnsi="黑体"/>
                <w:sz w:val="24"/>
              </w:rPr>
              <w:t>或委托代理人：</w:t>
            </w:r>
          </w:p>
          <w:p w14:paraId="68E15A66">
            <w:pPr>
              <w:spacing w:line="560" w:lineRule="exact"/>
              <w:rPr>
                <w:rFonts w:hint="eastAsia" w:ascii="黑体" w:hAnsi="黑体"/>
                <w:sz w:val="24"/>
              </w:rPr>
            </w:pPr>
            <w:r>
              <w:rPr>
                <w:rFonts w:hint="eastAsia" w:ascii="黑体" w:hAnsi="黑体"/>
                <w:sz w:val="24"/>
              </w:rPr>
              <w:t>（签字）</w:t>
            </w:r>
          </w:p>
        </w:tc>
      </w:tr>
      <w:tr w14:paraId="47212BFC">
        <w:tblPrEx>
          <w:tblCellMar>
            <w:top w:w="0" w:type="dxa"/>
            <w:left w:w="108" w:type="dxa"/>
            <w:bottom w:w="0" w:type="dxa"/>
            <w:right w:w="108" w:type="dxa"/>
          </w:tblCellMar>
        </w:tblPrEx>
        <w:tc>
          <w:tcPr>
            <w:tcW w:w="4104" w:type="dxa"/>
          </w:tcPr>
          <w:p w14:paraId="05B7631A">
            <w:pPr>
              <w:spacing w:line="560" w:lineRule="exact"/>
              <w:rPr>
                <w:rFonts w:hint="eastAsia" w:ascii="黑体" w:hAnsi="黑体"/>
                <w:sz w:val="24"/>
              </w:rPr>
            </w:pPr>
            <w:r>
              <w:rPr>
                <w:rFonts w:ascii="黑体" w:hAnsi="黑体"/>
                <w:sz w:val="24"/>
              </w:rPr>
              <w:t>地址：</w:t>
            </w:r>
            <w:r>
              <w:rPr>
                <w:rFonts w:hint="eastAsia" w:ascii="黑体" w:hAnsi="黑体"/>
                <w:sz w:val="24"/>
              </w:rPr>
              <w:t>广州市越秀区流花路117号</w:t>
            </w:r>
          </w:p>
          <w:p w14:paraId="67618461">
            <w:pPr>
              <w:spacing w:line="560" w:lineRule="exact"/>
              <w:ind w:firstLine="720" w:firstLineChars="300"/>
              <w:rPr>
                <w:rFonts w:hint="eastAsia" w:ascii="黑体" w:hAnsi="黑体"/>
                <w:sz w:val="24"/>
              </w:rPr>
            </w:pPr>
            <w:r>
              <w:rPr>
                <w:rFonts w:hint="eastAsia" w:ascii="黑体" w:hAnsi="黑体"/>
                <w:sz w:val="24"/>
              </w:rPr>
              <w:t>流花展馆15号馆6楼</w:t>
            </w:r>
          </w:p>
        </w:tc>
        <w:tc>
          <w:tcPr>
            <w:tcW w:w="4424" w:type="dxa"/>
          </w:tcPr>
          <w:p w14:paraId="23207653">
            <w:pPr>
              <w:spacing w:line="560" w:lineRule="exact"/>
              <w:rPr>
                <w:rFonts w:hint="eastAsia" w:ascii="黑体" w:hAnsi="黑体"/>
                <w:sz w:val="24"/>
              </w:rPr>
            </w:pPr>
            <w:r>
              <w:rPr>
                <w:rFonts w:hint="eastAsia" w:ascii="黑体" w:hAnsi="黑体"/>
                <w:sz w:val="24"/>
              </w:rPr>
              <w:t>地址：【承包人地址】</w:t>
            </w:r>
          </w:p>
          <w:p w14:paraId="2F681603">
            <w:pPr>
              <w:spacing w:line="560" w:lineRule="exact"/>
              <w:rPr>
                <w:rFonts w:hint="eastAsia" w:ascii="黑体" w:hAnsi="黑体"/>
                <w:sz w:val="24"/>
              </w:rPr>
            </w:pPr>
          </w:p>
        </w:tc>
      </w:tr>
      <w:tr w14:paraId="546A3E81">
        <w:tblPrEx>
          <w:tblCellMar>
            <w:top w:w="0" w:type="dxa"/>
            <w:left w:w="108" w:type="dxa"/>
            <w:bottom w:w="0" w:type="dxa"/>
            <w:right w:w="108" w:type="dxa"/>
          </w:tblCellMar>
        </w:tblPrEx>
        <w:tc>
          <w:tcPr>
            <w:tcW w:w="4104" w:type="dxa"/>
          </w:tcPr>
          <w:p w14:paraId="5EA1338B">
            <w:pPr>
              <w:spacing w:line="560" w:lineRule="exact"/>
              <w:rPr>
                <w:rFonts w:hint="eastAsia" w:ascii="黑体" w:hAnsi="黑体"/>
                <w:sz w:val="24"/>
              </w:rPr>
            </w:pPr>
            <w:r>
              <w:rPr>
                <w:rFonts w:hint="eastAsia" w:ascii="黑体" w:hAnsi="黑体"/>
                <w:sz w:val="24"/>
              </w:rPr>
              <w:t>电话：【发包人电话】</w:t>
            </w:r>
          </w:p>
        </w:tc>
        <w:tc>
          <w:tcPr>
            <w:tcW w:w="4424" w:type="dxa"/>
          </w:tcPr>
          <w:p w14:paraId="694342E5">
            <w:pPr>
              <w:adjustRightInd w:val="0"/>
              <w:snapToGrid w:val="0"/>
              <w:spacing w:line="440" w:lineRule="exact"/>
              <w:ind w:right="11"/>
              <w:rPr>
                <w:rFonts w:hint="eastAsia" w:ascii="黑体" w:hAnsi="黑体"/>
                <w:sz w:val="24"/>
              </w:rPr>
            </w:pPr>
            <w:r>
              <w:rPr>
                <w:rFonts w:hint="eastAsia" w:ascii="黑体" w:hAnsi="黑体"/>
                <w:sz w:val="24"/>
              </w:rPr>
              <w:t>电话：【承包人电话】</w:t>
            </w:r>
          </w:p>
        </w:tc>
      </w:tr>
      <w:tr w14:paraId="3020B9B3">
        <w:tblPrEx>
          <w:tblCellMar>
            <w:top w:w="0" w:type="dxa"/>
            <w:left w:w="108" w:type="dxa"/>
            <w:bottom w:w="0" w:type="dxa"/>
            <w:right w:w="108" w:type="dxa"/>
          </w:tblCellMar>
        </w:tblPrEx>
        <w:tc>
          <w:tcPr>
            <w:tcW w:w="4104" w:type="dxa"/>
          </w:tcPr>
          <w:p w14:paraId="0AECC99C">
            <w:pPr>
              <w:spacing w:line="560" w:lineRule="exact"/>
              <w:rPr>
                <w:rFonts w:hint="eastAsia" w:ascii="黑体" w:hAnsi="黑体"/>
                <w:sz w:val="24"/>
              </w:rPr>
            </w:pPr>
          </w:p>
        </w:tc>
        <w:tc>
          <w:tcPr>
            <w:tcW w:w="4424" w:type="dxa"/>
          </w:tcPr>
          <w:p w14:paraId="38FF2AFB">
            <w:pPr>
              <w:adjustRightInd w:val="0"/>
              <w:snapToGrid w:val="0"/>
              <w:spacing w:line="440" w:lineRule="exact"/>
              <w:ind w:right="11"/>
              <w:rPr>
                <w:rFonts w:hint="eastAsia" w:ascii="黑体" w:hAnsi="黑体"/>
                <w:sz w:val="24"/>
              </w:rPr>
            </w:pPr>
            <w:r>
              <w:rPr>
                <w:rFonts w:hint="eastAsia" w:ascii="黑体" w:hAnsi="黑体"/>
                <w:sz w:val="24"/>
              </w:rPr>
              <w:t>开户银行：【承包人开户银行】</w:t>
            </w:r>
          </w:p>
        </w:tc>
      </w:tr>
      <w:tr w14:paraId="3CFE5AB1">
        <w:tblPrEx>
          <w:tblCellMar>
            <w:top w:w="0" w:type="dxa"/>
            <w:left w:w="108" w:type="dxa"/>
            <w:bottom w:w="0" w:type="dxa"/>
            <w:right w:w="108" w:type="dxa"/>
          </w:tblCellMar>
        </w:tblPrEx>
        <w:tc>
          <w:tcPr>
            <w:tcW w:w="4104" w:type="dxa"/>
          </w:tcPr>
          <w:p w14:paraId="7280CBAF">
            <w:pPr>
              <w:spacing w:line="560" w:lineRule="exact"/>
              <w:rPr>
                <w:rFonts w:hint="eastAsia" w:ascii="黑体" w:hAnsi="黑体"/>
                <w:sz w:val="24"/>
              </w:rPr>
            </w:pPr>
          </w:p>
        </w:tc>
        <w:tc>
          <w:tcPr>
            <w:tcW w:w="4424" w:type="dxa"/>
          </w:tcPr>
          <w:p w14:paraId="5212F99A">
            <w:pPr>
              <w:adjustRightInd w:val="0"/>
              <w:snapToGrid w:val="0"/>
              <w:spacing w:line="440" w:lineRule="exact"/>
              <w:ind w:right="11"/>
              <w:rPr>
                <w:rFonts w:hint="eastAsia" w:ascii="黑体" w:hAnsi="黑体"/>
                <w:sz w:val="24"/>
              </w:rPr>
            </w:pPr>
            <w:r>
              <w:rPr>
                <w:rFonts w:hint="eastAsia" w:ascii="黑体" w:hAnsi="黑体"/>
                <w:sz w:val="24"/>
              </w:rPr>
              <w:t>账号：【承包人账号】</w:t>
            </w:r>
          </w:p>
        </w:tc>
      </w:tr>
      <w:tr w14:paraId="37CB5BA1">
        <w:tblPrEx>
          <w:tblCellMar>
            <w:top w:w="0" w:type="dxa"/>
            <w:left w:w="108" w:type="dxa"/>
            <w:bottom w:w="0" w:type="dxa"/>
            <w:right w:w="108" w:type="dxa"/>
          </w:tblCellMar>
        </w:tblPrEx>
        <w:tc>
          <w:tcPr>
            <w:tcW w:w="4104" w:type="dxa"/>
          </w:tcPr>
          <w:p w14:paraId="04EA18AA">
            <w:pPr>
              <w:spacing w:line="560" w:lineRule="exact"/>
              <w:rPr>
                <w:rFonts w:hint="eastAsia" w:ascii="黑体" w:hAnsi="黑体"/>
                <w:sz w:val="24"/>
              </w:rPr>
            </w:pPr>
          </w:p>
        </w:tc>
        <w:tc>
          <w:tcPr>
            <w:tcW w:w="4424" w:type="dxa"/>
          </w:tcPr>
          <w:p w14:paraId="23C0D580">
            <w:pPr>
              <w:adjustRightInd w:val="0"/>
              <w:snapToGrid w:val="0"/>
              <w:spacing w:line="440" w:lineRule="exact"/>
              <w:ind w:right="11"/>
              <w:rPr>
                <w:rFonts w:hint="eastAsia" w:ascii="黑体" w:hAnsi="黑体"/>
                <w:sz w:val="24"/>
              </w:rPr>
            </w:pPr>
          </w:p>
        </w:tc>
      </w:tr>
      <w:tr w14:paraId="6299ED31">
        <w:tblPrEx>
          <w:tblCellMar>
            <w:top w:w="0" w:type="dxa"/>
            <w:left w:w="108" w:type="dxa"/>
            <w:bottom w:w="0" w:type="dxa"/>
            <w:right w:w="108" w:type="dxa"/>
          </w:tblCellMar>
        </w:tblPrEx>
        <w:tc>
          <w:tcPr>
            <w:tcW w:w="4104" w:type="dxa"/>
          </w:tcPr>
          <w:p w14:paraId="51997903">
            <w:pPr>
              <w:spacing w:line="560" w:lineRule="exact"/>
              <w:rPr>
                <w:rFonts w:hint="eastAsia" w:ascii="黑体" w:hAnsi="黑体"/>
                <w:sz w:val="24"/>
              </w:rPr>
            </w:pPr>
            <w:r>
              <w:rPr>
                <w:rFonts w:hint="eastAsia" w:ascii="黑体" w:hAnsi="黑体"/>
                <w:sz w:val="24"/>
              </w:rPr>
              <w:t>合同订立时间：</w:t>
            </w:r>
            <w:bookmarkStart w:id="117" w:name="_Hlk176167377"/>
            <w:r>
              <w:rPr>
                <w:rFonts w:hint="eastAsia" w:ascii="黑体" w:hAnsi="黑体"/>
                <w:sz w:val="24"/>
              </w:rPr>
              <w:t>2025年   月   日</w:t>
            </w:r>
            <w:bookmarkEnd w:id="117"/>
          </w:p>
          <w:p w14:paraId="0F86F7F2">
            <w:pPr>
              <w:spacing w:line="560" w:lineRule="exact"/>
              <w:rPr>
                <w:rFonts w:hint="eastAsia" w:ascii="黑体" w:hAnsi="黑体"/>
                <w:sz w:val="24"/>
              </w:rPr>
            </w:pPr>
            <w:r>
              <w:rPr>
                <w:rFonts w:hint="eastAsia" w:ascii="黑体" w:hAnsi="黑体"/>
                <w:sz w:val="24"/>
              </w:rPr>
              <w:t>合同订立地点：广州市</w:t>
            </w:r>
          </w:p>
        </w:tc>
        <w:tc>
          <w:tcPr>
            <w:tcW w:w="4424" w:type="dxa"/>
          </w:tcPr>
          <w:p w14:paraId="47E2CB31">
            <w:pPr>
              <w:adjustRightInd w:val="0"/>
              <w:snapToGrid w:val="0"/>
              <w:spacing w:line="440" w:lineRule="exact"/>
              <w:ind w:right="11"/>
              <w:rPr>
                <w:rFonts w:hint="eastAsia" w:ascii="黑体" w:hAnsi="黑体"/>
                <w:sz w:val="24"/>
              </w:rPr>
            </w:pPr>
          </w:p>
        </w:tc>
      </w:tr>
    </w:tbl>
    <w:p w14:paraId="462D5B33">
      <w:pPr>
        <w:pStyle w:val="8"/>
        <w:spacing w:line="440" w:lineRule="exact"/>
        <w:ind w:firstLine="0"/>
        <w:rPr>
          <w:rFonts w:hint="eastAsia" w:ascii="宋体" w:hAnsi="宋体" w:eastAsia="宋体" w:cs="宋体"/>
          <w:snapToGrid w:val="0"/>
          <w:kern w:val="0"/>
          <w:sz w:val="24"/>
        </w:rPr>
      </w:pPr>
    </w:p>
    <w:p w14:paraId="55108AAB">
      <w:pPr>
        <w:pStyle w:val="8"/>
        <w:spacing w:line="440" w:lineRule="exact"/>
        <w:ind w:firstLine="0"/>
        <w:rPr>
          <w:rFonts w:hint="eastAsia" w:ascii="宋体" w:hAnsi="宋体" w:eastAsia="宋体" w:cs="宋体"/>
          <w:snapToGrid w:val="0"/>
          <w:kern w:val="0"/>
          <w:sz w:val="24"/>
        </w:rPr>
      </w:pPr>
    </w:p>
    <w:p w14:paraId="76A4A579">
      <w:pPr>
        <w:pStyle w:val="8"/>
        <w:spacing w:line="440" w:lineRule="exact"/>
        <w:ind w:firstLine="0"/>
        <w:rPr>
          <w:rFonts w:hint="eastAsia" w:ascii="宋体" w:hAnsi="宋体" w:eastAsia="宋体" w:cs="宋体"/>
          <w:snapToGrid w:val="0"/>
          <w:kern w:val="0"/>
          <w:sz w:val="24"/>
        </w:rPr>
      </w:pPr>
    </w:p>
    <w:p w14:paraId="256D0D9E">
      <w:pPr>
        <w:adjustRightInd w:val="0"/>
        <w:snapToGrid w:val="0"/>
        <w:spacing w:line="440" w:lineRule="exact"/>
        <w:ind w:right="11"/>
        <w:outlineLvl w:val="0"/>
        <w:rPr>
          <w:rFonts w:hint="eastAsia" w:ascii="宋体" w:hAnsi="宋体" w:eastAsia="宋体" w:cs="宋体"/>
          <w:b/>
          <w:bCs/>
          <w:snapToGrid w:val="0"/>
          <w:kern w:val="0"/>
          <w:sz w:val="44"/>
          <w:szCs w:val="44"/>
        </w:rPr>
      </w:pPr>
    </w:p>
    <w:p w14:paraId="63B02736">
      <w:pPr>
        <w:adjustRightInd w:val="0"/>
        <w:snapToGrid w:val="0"/>
        <w:spacing w:line="440" w:lineRule="exact"/>
        <w:ind w:right="11"/>
        <w:jc w:val="center"/>
        <w:outlineLvl w:val="0"/>
        <w:rPr>
          <w:rFonts w:hint="eastAsia" w:ascii="宋体" w:hAnsi="宋体" w:eastAsia="宋体" w:cs="宋体"/>
          <w:b/>
          <w:bCs/>
          <w:snapToGrid w:val="0"/>
          <w:kern w:val="0"/>
          <w:sz w:val="44"/>
          <w:szCs w:val="44"/>
        </w:rPr>
      </w:pPr>
    </w:p>
    <w:p w14:paraId="77DD2106">
      <w:pPr>
        <w:adjustRightInd w:val="0"/>
        <w:snapToGrid w:val="0"/>
        <w:spacing w:line="440" w:lineRule="exact"/>
        <w:ind w:right="11"/>
        <w:jc w:val="center"/>
        <w:outlineLvl w:val="0"/>
        <w:rPr>
          <w:rFonts w:hint="eastAsia" w:ascii="宋体" w:hAnsi="宋体" w:eastAsia="宋体" w:cs="宋体"/>
          <w:b/>
          <w:bCs/>
          <w:snapToGrid w:val="0"/>
          <w:kern w:val="0"/>
          <w:sz w:val="44"/>
          <w:szCs w:val="44"/>
        </w:rPr>
        <w:sectPr>
          <w:pgSz w:w="11907" w:h="16840"/>
          <w:pgMar w:top="1440" w:right="1797" w:bottom="1440" w:left="1797" w:header="851" w:footer="992" w:gutter="0"/>
          <w:cols w:space="720" w:num="1"/>
          <w:docGrid w:type="lines" w:linePitch="312" w:charSpace="0"/>
        </w:sectPr>
      </w:pPr>
      <w:bookmarkStart w:id="118" w:name="_Toc23873"/>
      <w:bookmarkStart w:id="119" w:name="_Toc13213"/>
      <w:bookmarkStart w:id="120" w:name="_Toc397364829"/>
    </w:p>
    <w:p w14:paraId="7948DE49">
      <w:pPr>
        <w:adjustRightInd w:val="0"/>
        <w:snapToGrid w:val="0"/>
        <w:spacing w:line="440" w:lineRule="exact"/>
        <w:ind w:right="11"/>
        <w:jc w:val="center"/>
        <w:outlineLvl w:val="0"/>
        <w:rPr>
          <w:rFonts w:hint="eastAsia" w:ascii="宋体" w:hAnsi="宋体" w:eastAsia="宋体" w:cs="宋体"/>
          <w:b/>
          <w:bCs/>
          <w:snapToGrid w:val="0"/>
          <w:kern w:val="0"/>
          <w:sz w:val="44"/>
          <w:szCs w:val="44"/>
        </w:rPr>
      </w:pPr>
      <w:bookmarkStart w:id="121" w:name="_Toc176192726"/>
      <w:r>
        <w:rPr>
          <w:rFonts w:hint="eastAsia" w:ascii="宋体" w:hAnsi="宋体" w:eastAsia="宋体" w:cs="宋体"/>
          <w:b/>
          <w:bCs/>
          <w:snapToGrid w:val="0"/>
          <w:kern w:val="0"/>
          <w:sz w:val="44"/>
          <w:szCs w:val="44"/>
        </w:rPr>
        <w:t>第二部分  通用条款</w:t>
      </w:r>
      <w:bookmarkEnd w:id="118"/>
      <w:bookmarkEnd w:id="119"/>
      <w:bookmarkEnd w:id="120"/>
      <w:bookmarkEnd w:id="121"/>
    </w:p>
    <w:p w14:paraId="7B848124">
      <w:pPr>
        <w:pStyle w:val="24"/>
        <w:adjustRightInd w:val="0"/>
        <w:snapToGrid w:val="0"/>
        <w:spacing w:line="440" w:lineRule="exact"/>
        <w:jc w:val="center"/>
        <w:rPr>
          <w:rFonts w:hint="eastAsia" w:ascii="宋体" w:hAnsi="宋体" w:eastAsia="宋体" w:cs="宋体"/>
          <w:snapToGrid w:val="0"/>
          <w:kern w:val="0"/>
          <w:sz w:val="24"/>
        </w:rPr>
      </w:pPr>
    </w:p>
    <w:p w14:paraId="255B2E34">
      <w:pPr>
        <w:adjustRightInd w:val="0"/>
        <w:snapToGrid w:val="0"/>
        <w:spacing w:line="440" w:lineRule="exact"/>
        <w:ind w:right="11"/>
        <w:outlineLvl w:val="1"/>
        <w:rPr>
          <w:rFonts w:hint="eastAsia" w:ascii="宋体" w:hAnsi="宋体" w:eastAsia="宋体" w:cs="宋体"/>
          <w:b/>
          <w:snapToGrid w:val="0"/>
          <w:kern w:val="0"/>
          <w:sz w:val="28"/>
        </w:rPr>
      </w:pPr>
      <w:bookmarkStart w:id="122" w:name="_Toc176192727"/>
      <w:bookmarkStart w:id="123" w:name="_Toc30419"/>
      <w:bookmarkStart w:id="124" w:name="_Toc397364830"/>
      <w:bookmarkStart w:id="125" w:name="_Toc3411"/>
      <w:r>
        <w:rPr>
          <w:rFonts w:hint="eastAsia" w:ascii="宋体" w:hAnsi="宋体" w:eastAsia="宋体" w:cs="宋体"/>
          <w:b/>
          <w:snapToGrid w:val="0"/>
          <w:kern w:val="0"/>
          <w:sz w:val="28"/>
        </w:rPr>
        <w:t>一、词语定义及合同文件</w:t>
      </w:r>
      <w:bookmarkEnd w:id="122"/>
      <w:bookmarkEnd w:id="123"/>
      <w:bookmarkEnd w:id="124"/>
      <w:bookmarkEnd w:id="125"/>
    </w:p>
    <w:p w14:paraId="36083890">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26" w:name="_Toc176192728"/>
      <w:bookmarkStart w:id="127" w:name="_Toc397364831"/>
      <w:bookmarkStart w:id="128" w:name="_Toc11569"/>
      <w:bookmarkStart w:id="129" w:name="_Toc4364"/>
      <w:r>
        <w:rPr>
          <w:rFonts w:hint="eastAsia" w:ascii="宋体" w:hAnsi="宋体" w:eastAsia="宋体" w:cs="宋体"/>
          <w:b/>
          <w:snapToGrid w:val="0"/>
          <w:kern w:val="0"/>
          <w:sz w:val="24"/>
        </w:rPr>
        <w:t>1、词语定义</w:t>
      </w:r>
      <w:bookmarkEnd w:id="126"/>
      <w:bookmarkEnd w:id="127"/>
      <w:bookmarkEnd w:id="128"/>
      <w:bookmarkEnd w:id="129"/>
    </w:p>
    <w:p w14:paraId="746EC49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下列词语除合同专用条款另有约定外，应具有本条所赋予的定义：</w:t>
      </w:r>
    </w:p>
    <w:p w14:paraId="58783A8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1.1合同通用条款：是根据法律、行政法规规定及建设工程施工的需要订立，通用于建设工程施工的条款。</w:t>
      </w:r>
    </w:p>
    <w:p w14:paraId="176B3CD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1.2合同专用条款：是发包人与承包人根据法律、行政法规规定，结合具体工程实际，经协商达成一致意见的条款，是对合同通用条款的具体化、补充或修改。</w:t>
      </w:r>
    </w:p>
    <w:p w14:paraId="080ADDF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1.3发包人：指在合同协议书中约定，具有工程发包主体资格和支付工程价款能力的当事人以及取得该当事人资格的合法继承人。</w:t>
      </w:r>
    </w:p>
    <w:p w14:paraId="23F284A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1.4承包人：指在合同协议书中约定，被发包人接受的具有工程施工承包主体资格的当事人以及取得该当事人资格的合法继承人。</w:t>
      </w:r>
    </w:p>
    <w:p w14:paraId="29D8DE4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1.5项目经理：指承包人在合同专用条款中指定的负责施工管理和合同履行的代表。</w:t>
      </w:r>
    </w:p>
    <w:p w14:paraId="7FD4262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1.6设计单位：指发包人委托的负责本工程设计并取得相应工程设计资质等级证书的单位。</w:t>
      </w:r>
    </w:p>
    <w:p w14:paraId="08C98B2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1.7监理单位：指发包人委托的负责本工程监理并取得相应工程监理资质等级证书的单位。</w:t>
      </w:r>
    </w:p>
    <w:p w14:paraId="36EB315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1.8工程师：指本工程监理单位委派的总监理工程师或发包人指定的履行本合同的代表，其具体身份和职权由发包人、承包人在合同专用条款中约定。</w:t>
      </w:r>
    </w:p>
    <w:p w14:paraId="77D124A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1.9工程造价管理部门：指国务院有关部门、县级以上人民政府建设行政主管部门或其委托的工程造价管理机构。</w:t>
      </w:r>
    </w:p>
    <w:p w14:paraId="2D782E8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1.10工程：指发包人、承包人在合同协议书中约定的承包范围内的工程。</w:t>
      </w:r>
    </w:p>
    <w:p w14:paraId="769CCCD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1.11合同价款：指发包人、承包人在合同协议书中约定，发包人用以支付承包人按照合同约定完成承包范围内全部工程并承担质量保修责任的款项。</w:t>
      </w:r>
    </w:p>
    <w:p w14:paraId="786C882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1.12追加合同价款：指在合同履行中发生需要增加合同价款的情况，经发包人确认后按计算合同价款的方法增加的合同价款。</w:t>
      </w:r>
    </w:p>
    <w:p w14:paraId="76B178F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1.13费用：指不包含在合同价款之内的应当由发包人或承包人承担的经济支出。</w:t>
      </w:r>
    </w:p>
    <w:p w14:paraId="117AB2B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1.14工期：指发包人、承包人在合同协议书中约定，按总日历天数（包括法定节假日）计算的承包天数。</w:t>
      </w:r>
    </w:p>
    <w:p w14:paraId="2B26CA4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1.15开工日期：指发包人、承包人在合同协议书中约定，承包人开始施工的绝对或相对的日期。</w:t>
      </w:r>
    </w:p>
    <w:p w14:paraId="0A2A0D2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1.16竣工日期：指发包人、承包人在合同协议书中约定，承包人完成承包范围内工程的绝对或相对的日期。</w:t>
      </w:r>
    </w:p>
    <w:p w14:paraId="0A47A6C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1.17图纸：指由发包人提供或由承包人提供并经发包人批准，满足承包人施工需要的所有图纸（包括配套说明和有关资料）。</w:t>
      </w:r>
    </w:p>
    <w:p w14:paraId="79D6D63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1.18施工场地：指由发包人提供的用于工程施工的场所以及发包人在图纸中具体指定的供施工使用的任何其他场所。</w:t>
      </w:r>
    </w:p>
    <w:p w14:paraId="41E4203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1.19书面形式：指合同书、信件和数据电文（包括电报、电传、传真、电子数据交换和电子邮件）等可以有形地表现所载内容的形式。</w:t>
      </w:r>
    </w:p>
    <w:p w14:paraId="67B3E48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1.20违约责任：指合同一方不履行合同义务或履行合同义务不符合约定所应承担的责任。</w:t>
      </w:r>
    </w:p>
    <w:p w14:paraId="7B52B1A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1.21索赔：指在合同履行过程中，对于并非自己的过错，而是应由对方承担责任的情况造成的实际损失，向对方提出经济补偿和（或）工期顺延的要求。</w:t>
      </w:r>
    </w:p>
    <w:p w14:paraId="2E76771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1.22不可抗力：指不能预见、不能避免并不能克服的客观情况。</w:t>
      </w:r>
    </w:p>
    <w:p w14:paraId="11C366F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10525273">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30" w:name="_Toc176192729"/>
      <w:bookmarkStart w:id="131" w:name="_Toc397364832"/>
      <w:bookmarkStart w:id="132" w:name="_Toc3907"/>
      <w:bookmarkStart w:id="133" w:name="_Toc21961"/>
      <w:r>
        <w:rPr>
          <w:rFonts w:hint="eastAsia" w:ascii="宋体" w:hAnsi="宋体" w:eastAsia="宋体" w:cs="宋体"/>
          <w:b/>
          <w:snapToGrid w:val="0"/>
          <w:kern w:val="0"/>
          <w:sz w:val="24"/>
        </w:rPr>
        <w:t>2、合同文件及解释顺序</w:t>
      </w:r>
      <w:bookmarkEnd w:id="130"/>
      <w:bookmarkEnd w:id="131"/>
      <w:bookmarkEnd w:id="132"/>
      <w:bookmarkEnd w:id="133"/>
    </w:p>
    <w:p w14:paraId="4131C02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2.1合同文件应能相互解释，互为说明。除合同专用条款另有约定外，组成本合同的文件及优先解释顺序如下：</w:t>
      </w:r>
    </w:p>
    <w:p w14:paraId="2CA5386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（1）合同协议书</w:t>
      </w:r>
    </w:p>
    <w:p w14:paraId="59710BD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（2）中标通知书</w:t>
      </w:r>
    </w:p>
    <w:p w14:paraId="60E0748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（3）合同通用条款</w:t>
      </w:r>
    </w:p>
    <w:p w14:paraId="1DE319B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（4）标准、规范及有关技术文件</w:t>
      </w:r>
    </w:p>
    <w:p w14:paraId="2C5E3D9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（5）图纸</w:t>
      </w:r>
    </w:p>
    <w:p w14:paraId="366CFDC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（6）工程量清单</w:t>
      </w:r>
    </w:p>
    <w:p w14:paraId="0E5193A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（7）工程报价单或预算书</w:t>
      </w:r>
    </w:p>
    <w:p w14:paraId="6A9AB3B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合同履行中，发包人、承包人有关工程的洽商、变更等书面协议或文件视为本合同的组成部分。</w:t>
      </w:r>
    </w:p>
    <w:p w14:paraId="4BECDD2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争议的约定处理。</w:t>
      </w:r>
    </w:p>
    <w:p w14:paraId="58ECF60F">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34" w:name="_Toc397364833"/>
      <w:bookmarkStart w:id="135" w:name="_Toc176192730"/>
      <w:bookmarkStart w:id="136" w:name="_Toc26858"/>
      <w:bookmarkStart w:id="137" w:name="_Toc21976"/>
      <w:r>
        <w:rPr>
          <w:rFonts w:hint="eastAsia" w:ascii="宋体" w:hAnsi="宋体" w:eastAsia="宋体" w:cs="宋体"/>
          <w:b/>
          <w:snapToGrid w:val="0"/>
          <w:kern w:val="0"/>
          <w:sz w:val="24"/>
        </w:rPr>
        <w:t>3、语言文字和适用法律、标准及规范</w:t>
      </w:r>
      <w:bookmarkEnd w:id="134"/>
      <w:bookmarkEnd w:id="135"/>
      <w:bookmarkEnd w:id="136"/>
      <w:bookmarkEnd w:id="137"/>
    </w:p>
    <w:p w14:paraId="15A895F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3.1语言文字</w:t>
      </w:r>
    </w:p>
    <w:p w14:paraId="7F8CCEA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本合同文件使用汉语语言文字书写、解释和说明。如合同专用条款约定使用两种以上（含两种）语言文字时，汉语应为解释和说明本合同的标准语言文字。</w:t>
      </w:r>
    </w:p>
    <w:p w14:paraId="57E1054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在少数民族地区，双方可以约定使用少数民族语言文字书写和解释、说明本合同。</w:t>
      </w:r>
    </w:p>
    <w:p w14:paraId="6E93832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3.2适用法律和法规</w:t>
      </w:r>
    </w:p>
    <w:p w14:paraId="2C1A4DC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本合同文件适用国家的法律和行政法规。需要明示的法律、行政法规，由双方在合同专用条款中约定。</w:t>
      </w:r>
    </w:p>
    <w:p w14:paraId="0826752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3.3适用标准、规范</w:t>
      </w:r>
    </w:p>
    <w:p w14:paraId="466A2DC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726B948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242E837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本条所发生的购买、翻译标准、规范或制定施工工艺的费用，由发包人承担。</w:t>
      </w:r>
    </w:p>
    <w:p w14:paraId="2777614D">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38" w:name="_Toc4435"/>
      <w:bookmarkStart w:id="139" w:name="_Toc19905"/>
      <w:bookmarkStart w:id="140" w:name="_Toc397364834"/>
      <w:bookmarkStart w:id="141" w:name="_Toc176192731"/>
      <w:r>
        <w:rPr>
          <w:rFonts w:hint="eastAsia" w:ascii="宋体" w:hAnsi="宋体" w:eastAsia="宋体" w:cs="宋体"/>
          <w:b/>
          <w:snapToGrid w:val="0"/>
          <w:kern w:val="0"/>
          <w:sz w:val="24"/>
        </w:rPr>
        <w:t>4、图纸</w:t>
      </w:r>
      <w:bookmarkEnd w:id="138"/>
      <w:bookmarkEnd w:id="139"/>
      <w:bookmarkEnd w:id="140"/>
      <w:bookmarkEnd w:id="141"/>
    </w:p>
    <w:p w14:paraId="29DC895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14:paraId="0C8E65B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4.2承包人未经发包人同意，不得将本工程图纸转给第三人。工程质量保修期满后，除承包人存档需要的图纸外，应将全部图纸退还给发包人。</w:t>
      </w:r>
    </w:p>
    <w:p w14:paraId="4DE0E86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4.3承包人应在施工现场保留一套完整图纸，供工程师及有关人员进行工程检查时使用。</w:t>
      </w:r>
    </w:p>
    <w:p w14:paraId="4840D032">
      <w:pPr>
        <w:adjustRightInd w:val="0"/>
        <w:snapToGrid w:val="0"/>
        <w:spacing w:line="440" w:lineRule="exact"/>
        <w:rPr>
          <w:rFonts w:hint="eastAsia" w:ascii="宋体" w:hAnsi="宋体" w:eastAsia="宋体" w:cs="宋体"/>
          <w:snapToGrid w:val="0"/>
          <w:kern w:val="0"/>
          <w:sz w:val="24"/>
        </w:rPr>
      </w:pPr>
    </w:p>
    <w:p w14:paraId="797FF603">
      <w:pPr>
        <w:adjustRightInd w:val="0"/>
        <w:snapToGrid w:val="0"/>
        <w:spacing w:line="440" w:lineRule="exact"/>
        <w:ind w:right="11"/>
        <w:outlineLvl w:val="1"/>
        <w:rPr>
          <w:rFonts w:hint="eastAsia" w:ascii="宋体" w:hAnsi="宋体" w:eastAsia="宋体" w:cs="宋体"/>
          <w:b/>
          <w:snapToGrid w:val="0"/>
          <w:kern w:val="0"/>
          <w:sz w:val="28"/>
        </w:rPr>
      </w:pPr>
      <w:bookmarkStart w:id="142" w:name="_Toc15816"/>
      <w:bookmarkStart w:id="143" w:name="_Toc28768"/>
      <w:bookmarkStart w:id="144" w:name="_Toc176192732"/>
      <w:bookmarkStart w:id="145" w:name="_Toc397364835"/>
      <w:r>
        <w:rPr>
          <w:rFonts w:hint="eastAsia" w:ascii="宋体" w:hAnsi="宋体" w:eastAsia="宋体" w:cs="宋体"/>
          <w:b/>
          <w:snapToGrid w:val="0"/>
          <w:kern w:val="0"/>
          <w:sz w:val="28"/>
        </w:rPr>
        <w:t>二、双方一般权利和义务</w:t>
      </w:r>
      <w:bookmarkEnd w:id="142"/>
      <w:bookmarkEnd w:id="143"/>
      <w:bookmarkEnd w:id="144"/>
      <w:bookmarkEnd w:id="145"/>
    </w:p>
    <w:p w14:paraId="3D0DC7DA">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46" w:name="_Toc4465"/>
      <w:bookmarkStart w:id="147" w:name="_Toc397364836"/>
      <w:bookmarkStart w:id="148" w:name="_Toc30272"/>
      <w:bookmarkStart w:id="149" w:name="_Toc176192733"/>
      <w:r>
        <w:rPr>
          <w:rFonts w:hint="eastAsia" w:ascii="宋体" w:hAnsi="宋体" w:eastAsia="宋体" w:cs="宋体"/>
          <w:b/>
          <w:snapToGrid w:val="0"/>
          <w:kern w:val="0"/>
          <w:sz w:val="24"/>
        </w:rPr>
        <w:t>5、工程师</w:t>
      </w:r>
      <w:bookmarkEnd w:id="146"/>
      <w:bookmarkEnd w:id="147"/>
      <w:bookmarkEnd w:id="148"/>
      <w:bookmarkEnd w:id="149"/>
    </w:p>
    <w:p w14:paraId="54B8CC4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5.1实行工程监理的，发包人应在实施监理前将委托的监理单位名称、监理内容及监理权限以书面形式通知承包人。</w:t>
      </w:r>
    </w:p>
    <w:p w14:paraId="5082016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267CDA6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1ED3A9A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14:paraId="391FB49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5.5除合同内有明确约定或经发包人同意外，负责监理的工程师无权解释本合同约定的承包人任何权利与义务。</w:t>
      </w:r>
    </w:p>
    <w:p w14:paraId="1060180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5.6不实行工程监理的，本合同中工程师专指发包人派驻施工场地履行合同的代表，其具体职权由发包人在合同专用条款内写明。</w:t>
      </w:r>
    </w:p>
    <w:p w14:paraId="51862167">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50" w:name="_Toc397364837"/>
      <w:bookmarkStart w:id="151" w:name="_Toc23426"/>
      <w:bookmarkStart w:id="152" w:name="_Toc176192734"/>
      <w:bookmarkStart w:id="153" w:name="_Toc18077"/>
      <w:r>
        <w:rPr>
          <w:rFonts w:hint="eastAsia" w:ascii="宋体" w:hAnsi="宋体" w:eastAsia="宋体" w:cs="宋体"/>
          <w:b/>
          <w:snapToGrid w:val="0"/>
          <w:kern w:val="0"/>
          <w:sz w:val="24"/>
        </w:rPr>
        <w:t>6、工程师的委派和指令</w:t>
      </w:r>
      <w:bookmarkEnd w:id="150"/>
      <w:bookmarkEnd w:id="151"/>
      <w:bookmarkEnd w:id="152"/>
      <w:bookmarkEnd w:id="153"/>
    </w:p>
    <w:p w14:paraId="21BC3EF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4DC9503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14:paraId="3F16514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除工程师或工程师代表外，发包人派驻工地的其他人员均无权向承包人发出任何指令。</w:t>
      </w:r>
    </w:p>
    <w:p w14:paraId="5639C73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019C9DC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705E1E2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本款规定同样适用于由工程师代表发出的指令、通知。</w:t>
      </w:r>
    </w:p>
    <w:p w14:paraId="65B8B5B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7A1FD4D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6.4如需更换工程师，发包人应至少提前7天以书面形式通知承包人，后任继续行使合同文件约定的前任的职权，履行前任的义务。</w:t>
      </w:r>
    </w:p>
    <w:p w14:paraId="32343DA1">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54" w:name="_Toc397364838"/>
      <w:bookmarkStart w:id="155" w:name="_Toc28135"/>
      <w:bookmarkStart w:id="156" w:name="_Toc176192735"/>
      <w:bookmarkStart w:id="157" w:name="_Toc32178"/>
      <w:r>
        <w:rPr>
          <w:rFonts w:hint="eastAsia" w:ascii="宋体" w:hAnsi="宋体" w:eastAsia="宋体" w:cs="宋体"/>
          <w:b/>
          <w:snapToGrid w:val="0"/>
          <w:kern w:val="0"/>
          <w:sz w:val="24"/>
        </w:rPr>
        <w:t>7、项目经理</w:t>
      </w:r>
      <w:bookmarkEnd w:id="154"/>
      <w:bookmarkEnd w:id="155"/>
      <w:bookmarkEnd w:id="156"/>
      <w:bookmarkEnd w:id="157"/>
    </w:p>
    <w:p w14:paraId="192D0BF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7.1项目经理的姓名在合同专用条款内写明。</w:t>
      </w:r>
    </w:p>
    <w:p w14:paraId="7030478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7.2承包人依据合同发出的通知，以书面形式由项目经理签字后送交工程师，工程师在回执上签署姓名和收到时间后生效。</w:t>
      </w:r>
    </w:p>
    <w:p w14:paraId="07353FF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20E2CD0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7.4承包人如需更换项目经理，应至少提前7天以书面形式通知发包人，并征得发包人同意。后任继续行使合同文件约定的前任的职权，履行前任的义务。</w:t>
      </w:r>
    </w:p>
    <w:p w14:paraId="37E1570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7.5发包人可以与承包人协商，建议更换其认为不称职的项目经理。</w:t>
      </w:r>
    </w:p>
    <w:p w14:paraId="5AD438DA">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58" w:name="_Toc24027"/>
      <w:bookmarkStart w:id="159" w:name="_Toc176192736"/>
      <w:bookmarkStart w:id="160" w:name="_Toc15721"/>
      <w:bookmarkStart w:id="161" w:name="_Toc397364839"/>
      <w:r>
        <w:rPr>
          <w:rFonts w:hint="eastAsia" w:ascii="宋体" w:hAnsi="宋体" w:eastAsia="宋体" w:cs="宋体"/>
          <w:b/>
          <w:snapToGrid w:val="0"/>
          <w:kern w:val="0"/>
          <w:sz w:val="24"/>
        </w:rPr>
        <w:t>8、发包人工作</w:t>
      </w:r>
      <w:bookmarkEnd w:id="158"/>
      <w:bookmarkEnd w:id="159"/>
      <w:bookmarkEnd w:id="160"/>
      <w:bookmarkEnd w:id="161"/>
    </w:p>
    <w:p w14:paraId="1A95DB7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8.1发包人按合同专用条款约定的内容和时间完成以下工作：</w:t>
      </w:r>
    </w:p>
    <w:p w14:paraId="021116A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（1）办理土地征用、拆迁补偿、平整施工场地等工作，使施工场地具备施工条件，在开工后继续负责解决以上事项遗留问题；</w:t>
      </w:r>
    </w:p>
    <w:p w14:paraId="649F0E3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（2）将施工所需水、电、电讯线路从施工场地外部接至合同专用条款约定地点，保证施工期间的需要；</w:t>
      </w:r>
    </w:p>
    <w:p w14:paraId="44F2008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（3）开通施工场地与城乡公共道路的通道，以及合同专用条款约定的施工场地内的主要道路，满足施工运输的需要，保证施工期间的畅通；</w:t>
      </w:r>
    </w:p>
    <w:p w14:paraId="130ACE4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（4）向承包人提供施工场地的工程地质和地下管线资料，对资料的真实准确性负责；</w:t>
      </w:r>
    </w:p>
    <w:p w14:paraId="20992D9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（5）办理施工许可证及其他施工所需证件、批件和临时用地、停水、停电、中断道路交通、爆破作业等的申请批准手续（证明承包人自身资质的证件除外）；</w:t>
      </w:r>
    </w:p>
    <w:p w14:paraId="2F77275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（6）确定水准点与坐标控制点，以书面形式交给承包人，进行现场交验；</w:t>
      </w:r>
    </w:p>
    <w:p w14:paraId="092C150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（7）组织承包人和设计单位进行图纸会审和设计交底；</w:t>
      </w:r>
    </w:p>
    <w:p w14:paraId="7B2ECB9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（8）协调处理施工场地周围地下管线和邻近建筑物、构筑物（包括文物保护建筑）、古树名木的保护工作，承担有关费用；</w:t>
      </w:r>
    </w:p>
    <w:p w14:paraId="4D46105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（9）发包人应做的其他工作，双方在合同专用条款内约定。</w:t>
      </w:r>
    </w:p>
    <w:p w14:paraId="13EEA0D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8.2发包人可以将8.1款部分工作委托承包人办理，双方在合同专用条款内约定，其费用由发包人承担。</w:t>
      </w:r>
    </w:p>
    <w:p w14:paraId="449C546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8.3发包人未能履行8.1款各项义务，导致工期延误或给承包人造成损失的，发包人赔偿承包人有关损失，顺延延误的工期。</w:t>
      </w:r>
    </w:p>
    <w:p w14:paraId="3C5E0101">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62" w:name="_Toc397364840"/>
      <w:bookmarkStart w:id="163" w:name="_Toc21790"/>
      <w:bookmarkStart w:id="164" w:name="_Toc4022"/>
      <w:bookmarkStart w:id="165" w:name="_Toc176192737"/>
      <w:r>
        <w:rPr>
          <w:rFonts w:hint="eastAsia" w:ascii="宋体" w:hAnsi="宋体" w:eastAsia="宋体" w:cs="宋体"/>
          <w:b/>
          <w:snapToGrid w:val="0"/>
          <w:kern w:val="0"/>
          <w:sz w:val="24"/>
        </w:rPr>
        <w:t>9、承包人工作</w:t>
      </w:r>
      <w:bookmarkEnd w:id="162"/>
      <w:bookmarkEnd w:id="163"/>
      <w:bookmarkEnd w:id="164"/>
      <w:bookmarkEnd w:id="165"/>
    </w:p>
    <w:p w14:paraId="7D594F3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9.1承包人按合同专用条款约定的内容和时间完成以下工作：</w:t>
      </w:r>
    </w:p>
    <w:p w14:paraId="663FDDB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（1）根据发包人委托，在其设计资质等级和业务允许的范围内，完成施工图设计或工程配套的设计，经工程师确认后使用，发包人承担由此发生的费用；</w:t>
      </w:r>
    </w:p>
    <w:p w14:paraId="3B2AC53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（2）向工程师提供年、季、月度工程进度计划及相应进度统计报表；</w:t>
      </w:r>
    </w:p>
    <w:p w14:paraId="72DCF79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（3）根据工程需要，提供和维修非夜间施工使用的照明、围栏设施，并负责安全保卫；</w:t>
      </w:r>
    </w:p>
    <w:p w14:paraId="22126A0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（4）按合同专用条款约定的数量和要求，向发包人提供施工场地办公和生活的房屋及设施，发包人承担由此发生的费用；</w:t>
      </w:r>
    </w:p>
    <w:p w14:paraId="377ADEE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（5）遵守政府有关主管部门对施工场地交通、施工噪音以及环境保护和安全生产等的管理规定，按规定办理有关手续，并以书面形式通知发包人，发包人承担由此发生的费用，因承包人责任造成的罚款除外；</w:t>
      </w:r>
    </w:p>
    <w:p w14:paraId="7FC6BCA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14:paraId="06413AD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（7）按合同专用条款约定做好施工场地架空线、地下管线和邻近建筑物、构筑物（包括文物保护建筑）、古树名木的保护工作；</w:t>
      </w:r>
    </w:p>
    <w:p w14:paraId="0F7B765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（8）保证施工场地清洁符合环境卫生管理的有关规定，交工前清理现场达到合同专用条款约定的要求，承担因自身原因违反有关规定造成的损失和罚款；</w:t>
      </w:r>
    </w:p>
    <w:p w14:paraId="0E78BE5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（9）承包人应做的其他工作，双方在合同专用条款内约定。</w:t>
      </w:r>
    </w:p>
    <w:p w14:paraId="492A6F9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9.2承包人未能履行9.1款各项义务，造成发包人损失的，承包人赔偿发包人有关损失。</w:t>
      </w:r>
    </w:p>
    <w:p w14:paraId="7C089E5E">
      <w:pPr>
        <w:adjustRightInd w:val="0"/>
        <w:snapToGrid w:val="0"/>
        <w:spacing w:line="440" w:lineRule="exact"/>
        <w:rPr>
          <w:rFonts w:hint="eastAsia" w:ascii="宋体" w:hAnsi="宋体" w:eastAsia="宋体" w:cs="宋体"/>
          <w:snapToGrid w:val="0"/>
          <w:kern w:val="0"/>
          <w:sz w:val="24"/>
        </w:rPr>
      </w:pPr>
    </w:p>
    <w:p w14:paraId="71B06F29">
      <w:pPr>
        <w:adjustRightInd w:val="0"/>
        <w:snapToGrid w:val="0"/>
        <w:spacing w:line="440" w:lineRule="exact"/>
        <w:ind w:right="11"/>
        <w:outlineLvl w:val="1"/>
        <w:rPr>
          <w:rFonts w:hint="eastAsia" w:ascii="宋体" w:hAnsi="宋体" w:eastAsia="宋体" w:cs="宋体"/>
          <w:b/>
          <w:snapToGrid w:val="0"/>
          <w:kern w:val="0"/>
          <w:sz w:val="28"/>
        </w:rPr>
      </w:pPr>
      <w:bookmarkStart w:id="166" w:name="_Toc7024"/>
      <w:bookmarkStart w:id="167" w:name="_Toc27740"/>
      <w:bookmarkStart w:id="168" w:name="_Toc397364841"/>
      <w:bookmarkStart w:id="169" w:name="_Toc176192738"/>
      <w:r>
        <w:rPr>
          <w:rFonts w:hint="eastAsia" w:ascii="宋体" w:hAnsi="宋体" w:eastAsia="宋体" w:cs="宋体"/>
          <w:b/>
          <w:snapToGrid w:val="0"/>
          <w:kern w:val="0"/>
          <w:sz w:val="28"/>
        </w:rPr>
        <w:t>三、施工组织设计和工期</w:t>
      </w:r>
      <w:bookmarkEnd w:id="166"/>
      <w:bookmarkEnd w:id="167"/>
      <w:bookmarkEnd w:id="168"/>
      <w:bookmarkEnd w:id="169"/>
    </w:p>
    <w:p w14:paraId="18A57135">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70" w:name="_Toc24848"/>
      <w:bookmarkStart w:id="171" w:name="_Toc176192739"/>
      <w:bookmarkStart w:id="172" w:name="_Toc397364842"/>
      <w:bookmarkStart w:id="173" w:name="_Toc8896"/>
      <w:r>
        <w:rPr>
          <w:rFonts w:hint="eastAsia" w:ascii="宋体" w:hAnsi="宋体" w:eastAsia="宋体" w:cs="宋体"/>
          <w:b/>
          <w:snapToGrid w:val="0"/>
          <w:kern w:val="0"/>
          <w:sz w:val="24"/>
        </w:rPr>
        <w:t>10、进度计划</w:t>
      </w:r>
      <w:bookmarkEnd w:id="170"/>
      <w:bookmarkEnd w:id="171"/>
      <w:bookmarkEnd w:id="172"/>
      <w:bookmarkEnd w:id="173"/>
    </w:p>
    <w:p w14:paraId="1DF4B4B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10.1承包人应按合同专用条款约定的日期，将施工组织设计和工程进度计划提交工程师，工程师按合同专用条款约定的时间予以确认或提出修改意见，逾期不确认也不提出书面意见的，视为同意。</w:t>
      </w:r>
    </w:p>
    <w:p w14:paraId="4FC61F6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10.2群体工程中单位工程分期进行施工的，承包人应按照发包人提供图纸及有关资料的时间，按单位工程编制进度计划，其具体内容双方在合同专用条款中约定。</w:t>
      </w:r>
    </w:p>
    <w:p w14:paraId="7EB0B35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5BDC545D">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74" w:name="_Toc397364843"/>
      <w:bookmarkStart w:id="175" w:name="_Toc12215"/>
      <w:bookmarkStart w:id="176" w:name="_Toc176192740"/>
      <w:bookmarkStart w:id="177" w:name="_Toc1456"/>
      <w:r>
        <w:rPr>
          <w:rFonts w:hint="eastAsia" w:ascii="宋体" w:hAnsi="宋体" w:eastAsia="宋体" w:cs="宋体"/>
          <w:b/>
          <w:snapToGrid w:val="0"/>
          <w:kern w:val="0"/>
          <w:sz w:val="24"/>
        </w:rPr>
        <w:t>11、开工及延期开工</w:t>
      </w:r>
      <w:bookmarkEnd w:id="174"/>
      <w:bookmarkEnd w:id="175"/>
      <w:bookmarkEnd w:id="176"/>
      <w:bookmarkEnd w:id="177"/>
    </w:p>
    <w:p w14:paraId="2E9D4C2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14:paraId="637E476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11.2因发包人原因不能按照合同协议书约定的开工日期开工，工程师应以书面形式通知承包人，推迟开工日期，发包人赔偿承包人因延期开工造成的损失，并相应顺延工期。</w:t>
      </w:r>
    </w:p>
    <w:p w14:paraId="7E8559AF">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78" w:name="_Toc397364844"/>
      <w:bookmarkStart w:id="179" w:name="_Toc5980"/>
      <w:bookmarkStart w:id="180" w:name="_Toc6971"/>
      <w:bookmarkStart w:id="181" w:name="_Toc176192741"/>
      <w:r>
        <w:rPr>
          <w:rFonts w:hint="eastAsia" w:ascii="宋体" w:hAnsi="宋体" w:eastAsia="宋体" w:cs="宋体"/>
          <w:b/>
          <w:snapToGrid w:val="0"/>
          <w:kern w:val="0"/>
          <w:sz w:val="24"/>
        </w:rPr>
        <w:t>12、暂停施工</w:t>
      </w:r>
      <w:bookmarkEnd w:id="178"/>
      <w:bookmarkEnd w:id="179"/>
      <w:bookmarkEnd w:id="180"/>
      <w:bookmarkEnd w:id="181"/>
    </w:p>
    <w:p w14:paraId="5CCE7BA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786B3AF1">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82" w:name="_Toc176192742"/>
      <w:bookmarkStart w:id="183" w:name="_Toc28026"/>
      <w:bookmarkStart w:id="184" w:name="_Toc3851"/>
      <w:bookmarkStart w:id="185" w:name="_Toc397364845"/>
      <w:r>
        <w:rPr>
          <w:rFonts w:hint="eastAsia" w:ascii="宋体" w:hAnsi="宋体" w:eastAsia="宋体" w:cs="宋体"/>
          <w:b/>
          <w:snapToGrid w:val="0"/>
          <w:kern w:val="0"/>
          <w:sz w:val="24"/>
        </w:rPr>
        <w:t>13、工期延误</w:t>
      </w:r>
      <w:bookmarkEnd w:id="182"/>
      <w:bookmarkEnd w:id="183"/>
      <w:bookmarkEnd w:id="184"/>
      <w:bookmarkEnd w:id="185"/>
    </w:p>
    <w:p w14:paraId="44C1180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13.1因以下原因造成工期延误，经工程师确认，工期相应顺延；</w:t>
      </w:r>
    </w:p>
    <w:p w14:paraId="3EC299E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（1）发包人未能按合同专用条款的约定提供图纸及开工条件；</w:t>
      </w:r>
    </w:p>
    <w:p w14:paraId="4A9828C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（2）发包人未能按约定日期支付工程预付款、进度款，致使施工不能正常进行；</w:t>
      </w:r>
    </w:p>
    <w:p w14:paraId="4A6275E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（3）工程师未按合同约定提供所需指令、批准等，致使施工不能正常进行；</w:t>
      </w:r>
    </w:p>
    <w:p w14:paraId="3E50E2B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（4）设计变更和工程量增加；</w:t>
      </w:r>
    </w:p>
    <w:p w14:paraId="4015BC1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（5）一周内非承包人原因停水、停电、停气造成停工累计超过8小时；</w:t>
      </w:r>
    </w:p>
    <w:p w14:paraId="1CDD16F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（6）不可抗力；</w:t>
      </w:r>
    </w:p>
    <w:p w14:paraId="68C606E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（7）合同专用条款中约定或工程师同意工期顺延的其他情况。</w:t>
      </w:r>
    </w:p>
    <w:p w14:paraId="100470B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13.2承包人在13.1款情况发生后14天内，就延误的工期以书面形式向工程师提出报告。工程师在收到报告后14天内予以确认，逾期不予确认也不提出修改意见，视为同意顺延工期。</w:t>
      </w:r>
    </w:p>
    <w:p w14:paraId="1565D6CF">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86" w:name="_Toc397364846"/>
      <w:bookmarkStart w:id="187" w:name="_Toc176192743"/>
      <w:bookmarkStart w:id="188" w:name="_Toc5196"/>
      <w:bookmarkStart w:id="189" w:name="_Toc24535"/>
      <w:r>
        <w:rPr>
          <w:rFonts w:hint="eastAsia" w:ascii="宋体" w:hAnsi="宋体" w:eastAsia="宋体" w:cs="宋体"/>
          <w:b/>
          <w:snapToGrid w:val="0"/>
          <w:kern w:val="0"/>
          <w:sz w:val="24"/>
        </w:rPr>
        <w:t>14、工程竣工</w:t>
      </w:r>
      <w:bookmarkEnd w:id="186"/>
      <w:bookmarkEnd w:id="187"/>
      <w:bookmarkEnd w:id="188"/>
      <w:bookmarkEnd w:id="189"/>
    </w:p>
    <w:p w14:paraId="7EEE75F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14.1承包人必须按照合同协议书约定的竣工日期或工程师同意顺延的工期竣工。</w:t>
      </w:r>
    </w:p>
    <w:p w14:paraId="1D31BDB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14.2因承包人原因不能按照合同协议书约定的竣工日期或工程师同意顺延的工期竣工的，承包人承担违约责任。</w:t>
      </w:r>
    </w:p>
    <w:p w14:paraId="1846BAC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6C77C306">
      <w:pPr>
        <w:adjustRightInd w:val="0"/>
        <w:snapToGrid w:val="0"/>
        <w:spacing w:line="440" w:lineRule="exact"/>
        <w:rPr>
          <w:rFonts w:hint="eastAsia" w:ascii="宋体" w:hAnsi="宋体" w:eastAsia="宋体" w:cs="宋体"/>
          <w:snapToGrid w:val="0"/>
          <w:kern w:val="0"/>
          <w:sz w:val="24"/>
        </w:rPr>
      </w:pPr>
    </w:p>
    <w:p w14:paraId="4981A481">
      <w:pPr>
        <w:adjustRightInd w:val="0"/>
        <w:snapToGrid w:val="0"/>
        <w:spacing w:line="440" w:lineRule="exact"/>
        <w:ind w:right="11"/>
        <w:outlineLvl w:val="1"/>
        <w:rPr>
          <w:rFonts w:hint="eastAsia" w:ascii="宋体" w:hAnsi="宋体" w:eastAsia="宋体" w:cs="宋体"/>
          <w:b/>
          <w:snapToGrid w:val="0"/>
          <w:kern w:val="0"/>
          <w:sz w:val="28"/>
        </w:rPr>
      </w:pPr>
      <w:bookmarkStart w:id="190" w:name="_Toc176192744"/>
      <w:bookmarkStart w:id="191" w:name="_Toc15065"/>
      <w:bookmarkStart w:id="192" w:name="_Toc1173"/>
      <w:bookmarkStart w:id="193" w:name="_Toc397364847"/>
      <w:r>
        <w:rPr>
          <w:rFonts w:hint="eastAsia" w:ascii="宋体" w:hAnsi="宋体" w:eastAsia="宋体" w:cs="宋体"/>
          <w:b/>
          <w:snapToGrid w:val="0"/>
          <w:kern w:val="0"/>
          <w:sz w:val="28"/>
        </w:rPr>
        <w:t>四、质量与检验</w:t>
      </w:r>
      <w:bookmarkEnd w:id="190"/>
      <w:bookmarkEnd w:id="191"/>
      <w:bookmarkEnd w:id="192"/>
      <w:bookmarkEnd w:id="193"/>
    </w:p>
    <w:p w14:paraId="0D90D54A">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94" w:name="_Toc176192745"/>
      <w:bookmarkStart w:id="195" w:name="_Toc3376"/>
      <w:bookmarkStart w:id="196" w:name="_Toc8912"/>
      <w:bookmarkStart w:id="197" w:name="_Toc397364848"/>
      <w:r>
        <w:rPr>
          <w:rFonts w:hint="eastAsia" w:ascii="宋体" w:hAnsi="宋体" w:eastAsia="宋体" w:cs="宋体"/>
          <w:b/>
          <w:snapToGrid w:val="0"/>
          <w:kern w:val="0"/>
          <w:sz w:val="24"/>
        </w:rPr>
        <w:t>15、工程质量</w:t>
      </w:r>
      <w:bookmarkEnd w:id="194"/>
      <w:bookmarkEnd w:id="195"/>
      <w:bookmarkEnd w:id="196"/>
      <w:bookmarkEnd w:id="197"/>
    </w:p>
    <w:p w14:paraId="085324F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15.1工程质量应当达到合同协议书约定的质量标准，质量标准的评定以国家或行业的质量检验评定标准为依据。因承包人原因工程质量达不到约定的质量标准，承包人承担违约责任。</w:t>
      </w:r>
    </w:p>
    <w:p w14:paraId="78BEE51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15.2双方对工程质量有争议，由双方同意的工程质量检测机构鉴定，所需费用及因此造成的损失，由责任方承担。双方均有责任，由双方根据其责任分别承担。</w:t>
      </w:r>
    </w:p>
    <w:p w14:paraId="4E675B67">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198" w:name="_Toc4076"/>
      <w:bookmarkStart w:id="199" w:name="_Toc7271"/>
      <w:bookmarkStart w:id="200" w:name="_Toc397364849"/>
      <w:bookmarkStart w:id="201" w:name="_Toc176192746"/>
      <w:r>
        <w:rPr>
          <w:rFonts w:hint="eastAsia" w:ascii="宋体" w:hAnsi="宋体" w:eastAsia="宋体" w:cs="宋体"/>
          <w:b/>
          <w:snapToGrid w:val="0"/>
          <w:kern w:val="0"/>
          <w:sz w:val="24"/>
        </w:rPr>
        <w:t>16、检查和返工</w:t>
      </w:r>
      <w:bookmarkEnd w:id="198"/>
      <w:bookmarkEnd w:id="199"/>
      <w:bookmarkEnd w:id="200"/>
      <w:bookmarkEnd w:id="201"/>
    </w:p>
    <w:p w14:paraId="6E2A532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16.1承包人应认真按照标准、规范和设计图纸要求以及工程师依据合同发出的指令施工，随时接受工程师的检查检验，为检查检验提供便利条件。</w:t>
      </w:r>
    </w:p>
    <w:p w14:paraId="68C5367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70C6724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16.3工程师的检查检验不应影响施工正常进行。如影响施工正常进行，检查检验不合格时，影响正常施工的费用由承包人承担。除此之外影响正常施工的追加合同价款由发包人承担，相应顺延工期。</w:t>
      </w:r>
    </w:p>
    <w:p w14:paraId="081AF6D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16.4因工程师指令失误或其他非承包人原因发生的追加合同价款，由发包人承担。</w:t>
      </w:r>
    </w:p>
    <w:p w14:paraId="0D7C896C">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02" w:name="_Toc176192747"/>
      <w:bookmarkStart w:id="203" w:name="_Toc397364850"/>
      <w:bookmarkStart w:id="204" w:name="_Toc1503"/>
      <w:bookmarkStart w:id="205" w:name="_Toc30522"/>
      <w:r>
        <w:rPr>
          <w:rFonts w:hint="eastAsia" w:ascii="宋体" w:hAnsi="宋体" w:eastAsia="宋体" w:cs="宋体"/>
          <w:b/>
          <w:snapToGrid w:val="0"/>
          <w:kern w:val="0"/>
          <w:sz w:val="24"/>
        </w:rPr>
        <w:t>17、隐蔽工程和中间验收</w:t>
      </w:r>
      <w:bookmarkEnd w:id="202"/>
      <w:bookmarkEnd w:id="203"/>
      <w:bookmarkEnd w:id="204"/>
      <w:bookmarkEnd w:id="205"/>
    </w:p>
    <w:p w14:paraId="7DB0BC9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0040BEB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4EE1005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17.3经工程师验收，工程质量符合标准、规范和设计图纸等要求，验收24小时后，工程师不在验收记录上签字，视为工程师已经认可验收记录，承包人可进行隐蔽或继续施工。</w:t>
      </w:r>
    </w:p>
    <w:p w14:paraId="28D6FA9A">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06" w:name="_Toc18089"/>
      <w:bookmarkStart w:id="207" w:name="_Toc397364851"/>
      <w:bookmarkStart w:id="208" w:name="_Toc25405"/>
      <w:bookmarkStart w:id="209" w:name="_Toc176192748"/>
      <w:r>
        <w:rPr>
          <w:rFonts w:hint="eastAsia" w:ascii="宋体" w:hAnsi="宋体" w:eastAsia="宋体" w:cs="宋体"/>
          <w:b/>
          <w:snapToGrid w:val="0"/>
          <w:kern w:val="0"/>
          <w:sz w:val="24"/>
        </w:rPr>
        <w:t>18、重新检验</w:t>
      </w:r>
      <w:bookmarkEnd w:id="206"/>
      <w:bookmarkEnd w:id="207"/>
      <w:bookmarkEnd w:id="208"/>
      <w:bookmarkEnd w:id="209"/>
    </w:p>
    <w:p w14:paraId="5A58A48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15AC02C5">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10" w:name="_Toc397364852"/>
      <w:bookmarkStart w:id="211" w:name="_Toc10273"/>
      <w:bookmarkStart w:id="212" w:name="_Toc176192749"/>
      <w:bookmarkStart w:id="213" w:name="_Toc19685"/>
      <w:r>
        <w:rPr>
          <w:rFonts w:hint="eastAsia" w:ascii="宋体" w:hAnsi="宋体" w:eastAsia="宋体" w:cs="宋体"/>
          <w:b/>
          <w:snapToGrid w:val="0"/>
          <w:kern w:val="0"/>
          <w:sz w:val="24"/>
        </w:rPr>
        <w:t>19、工程试车</w:t>
      </w:r>
      <w:bookmarkEnd w:id="210"/>
      <w:bookmarkEnd w:id="211"/>
      <w:bookmarkEnd w:id="212"/>
      <w:bookmarkEnd w:id="213"/>
    </w:p>
    <w:p w14:paraId="02F2F67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19.1双方约定需要试车的，试车内容应与承包人承包的安装范围相一致。</w:t>
      </w:r>
    </w:p>
    <w:p w14:paraId="3DE6F8B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60E0867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19.3工程师不能按时参加试车，须在开始试车前24小时以书面形式向承包人提出延期要求，延期不能超过48小时。工程师未能按以上时间提出延期要求，不参加试车，应承认试车记录。</w:t>
      </w:r>
    </w:p>
    <w:p w14:paraId="2094132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6BAF52F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19.5双方责任</w:t>
      </w:r>
    </w:p>
    <w:p w14:paraId="400E0C5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（1）由于设计原因试车达不到验收要求，发包人应要求设计单位修改设计，承包人按修改后的设计重新安装。发包人承担修改设计、拆除及重新安装的全部费用和追加合同价款，工期相应顺延。</w:t>
      </w:r>
    </w:p>
    <w:p w14:paraId="75FB69B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4914BAE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（3）由于承包人施工原因试车达不到验收要求，承包人按工程师要求重新安装和试车，并承担重新安装和试车的费用，工期不予顺延。</w:t>
      </w:r>
    </w:p>
    <w:p w14:paraId="3B53D75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（4）试车费用除已包括在合同价款之内或合同专用条款另有约定外，均由发包人承担。</w:t>
      </w:r>
    </w:p>
    <w:p w14:paraId="1A79C64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（5）工程师在试车合格后不在试车记录上签字，试车结束24小时后，视为工程师已经认可试车记录，承包人可继续施工或办理竣工手续。</w:t>
      </w:r>
    </w:p>
    <w:p w14:paraId="4CB8742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19.6投料试车应在工程竣工验收后由发包人负责，如发包人要求在工程竣工验收前进行或需要承包人配合时，应征得承包人同意，另行签订补充协议。</w:t>
      </w:r>
    </w:p>
    <w:p w14:paraId="5B4DA8C7">
      <w:pPr>
        <w:adjustRightInd w:val="0"/>
        <w:snapToGrid w:val="0"/>
        <w:spacing w:line="440" w:lineRule="exact"/>
        <w:rPr>
          <w:rFonts w:hint="eastAsia" w:ascii="宋体" w:hAnsi="宋体" w:eastAsia="宋体" w:cs="宋体"/>
          <w:snapToGrid w:val="0"/>
          <w:kern w:val="0"/>
          <w:sz w:val="24"/>
        </w:rPr>
      </w:pPr>
    </w:p>
    <w:p w14:paraId="4D50D09B">
      <w:pPr>
        <w:adjustRightInd w:val="0"/>
        <w:snapToGrid w:val="0"/>
        <w:spacing w:line="440" w:lineRule="exact"/>
        <w:ind w:right="11"/>
        <w:outlineLvl w:val="1"/>
        <w:rPr>
          <w:rFonts w:hint="eastAsia" w:ascii="宋体" w:hAnsi="宋体" w:eastAsia="宋体" w:cs="宋体"/>
          <w:b/>
          <w:snapToGrid w:val="0"/>
          <w:kern w:val="0"/>
          <w:sz w:val="28"/>
        </w:rPr>
      </w:pPr>
      <w:bookmarkStart w:id="214" w:name="_Toc12958"/>
      <w:bookmarkStart w:id="215" w:name="_Toc176192750"/>
      <w:bookmarkStart w:id="216" w:name="_Toc397364853"/>
      <w:bookmarkStart w:id="217" w:name="_Toc24534"/>
      <w:r>
        <w:rPr>
          <w:rFonts w:hint="eastAsia" w:ascii="宋体" w:hAnsi="宋体" w:eastAsia="宋体" w:cs="宋体"/>
          <w:b/>
          <w:snapToGrid w:val="0"/>
          <w:kern w:val="0"/>
          <w:sz w:val="28"/>
        </w:rPr>
        <w:t>五、安全文明施工</w:t>
      </w:r>
      <w:bookmarkEnd w:id="214"/>
      <w:bookmarkEnd w:id="215"/>
      <w:bookmarkEnd w:id="216"/>
      <w:bookmarkEnd w:id="217"/>
    </w:p>
    <w:p w14:paraId="305F9CE1">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18" w:name="_Toc27606"/>
      <w:bookmarkStart w:id="219" w:name="_Toc176192751"/>
      <w:bookmarkStart w:id="220" w:name="_Toc30661"/>
      <w:bookmarkStart w:id="221" w:name="_Toc397364854"/>
      <w:r>
        <w:rPr>
          <w:rFonts w:hint="eastAsia" w:ascii="宋体" w:hAnsi="宋体" w:eastAsia="宋体" w:cs="宋体"/>
          <w:b/>
          <w:snapToGrid w:val="0"/>
          <w:kern w:val="0"/>
          <w:sz w:val="24"/>
        </w:rPr>
        <w:t>20、施工场地的占用和管理</w:t>
      </w:r>
      <w:bookmarkEnd w:id="218"/>
      <w:bookmarkEnd w:id="219"/>
      <w:bookmarkEnd w:id="220"/>
      <w:bookmarkEnd w:id="221"/>
    </w:p>
    <w:p w14:paraId="5F12440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5AC85D5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20.2承包人应当严格遵守国家有关建设项目施工现场管理的有关规定，做好施工场地方方面面的管理工作，并应对管理不善引发的纠纷和损失承担全部责任。</w:t>
      </w:r>
    </w:p>
    <w:p w14:paraId="53B0BCA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3E4300E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20.4承包人应当随时接受政府主管部门的监督和执法检查，并对管理不善之处及时予以全面整改。</w:t>
      </w:r>
    </w:p>
    <w:p w14:paraId="2B877A43">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22" w:name="_Toc176192752"/>
      <w:bookmarkStart w:id="223" w:name="_Toc18836"/>
      <w:bookmarkStart w:id="224" w:name="_Toc14498"/>
      <w:bookmarkStart w:id="225" w:name="_Toc397364855"/>
      <w:r>
        <w:rPr>
          <w:rFonts w:hint="eastAsia" w:ascii="宋体" w:hAnsi="宋体" w:eastAsia="宋体" w:cs="宋体"/>
          <w:b/>
          <w:snapToGrid w:val="0"/>
          <w:kern w:val="0"/>
          <w:sz w:val="24"/>
        </w:rPr>
        <w:t>21、安全施工与检查</w:t>
      </w:r>
      <w:bookmarkEnd w:id="222"/>
      <w:bookmarkEnd w:id="223"/>
      <w:bookmarkEnd w:id="224"/>
      <w:bookmarkEnd w:id="225"/>
    </w:p>
    <w:p w14:paraId="076A20F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0D7FD8F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21.2发包人不得要求承包人违反安全管理的规定进行施工。因发包人原因导致的安全事故，由发包人承担相应责任及发生的费用。</w:t>
      </w:r>
    </w:p>
    <w:p w14:paraId="7CB3FDEE">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26" w:name="_Toc6617"/>
      <w:bookmarkStart w:id="227" w:name="_Toc397364856"/>
      <w:bookmarkStart w:id="228" w:name="_Toc176192753"/>
      <w:bookmarkStart w:id="229" w:name="_Toc11070"/>
      <w:r>
        <w:rPr>
          <w:rFonts w:hint="eastAsia" w:ascii="宋体" w:hAnsi="宋体" w:eastAsia="宋体" w:cs="宋体"/>
          <w:b/>
          <w:snapToGrid w:val="0"/>
          <w:kern w:val="0"/>
          <w:sz w:val="24"/>
        </w:rPr>
        <w:t>22、安全防护</w:t>
      </w:r>
      <w:bookmarkEnd w:id="226"/>
      <w:bookmarkEnd w:id="227"/>
      <w:bookmarkEnd w:id="228"/>
      <w:bookmarkEnd w:id="229"/>
    </w:p>
    <w:p w14:paraId="2021911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22.1承包人在动力设备、输电线路、地下管道、密封防震车间、易燃易爆地段以及临街交通要道附近施工时，施工开始前应向工程师提出安全防护措施，经工程师认可后实施，防护措施费用由发包人承担。</w:t>
      </w:r>
    </w:p>
    <w:p w14:paraId="42C8F6E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32B4CEF1">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30" w:name="_Toc397364857"/>
      <w:bookmarkStart w:id="231" w:name="_Toc7037"/>
      <w:bookmarkStart w:id="232" w:name="_Toc176192754"/>
      <w:bookmarkStart w:id="233" w:name="_Toc1604"/>
      <w:r>
        <w:rPr>
          <w:rFonts w:hint="eastAsia" w:ascii="宋体" w:hAnsi="宋体" w:eastAsia="宋体" w:cs="宋体"/>
          <w:b/>
          <w:snapToGrid w:val="0"/>
          <w:kern w:val="0"/>
          <w:sz w:val="24"/>
        </w:rPr>
        <w:t>23、事故处理</w:t>
      </w:r>
      <w:bookmarkEnd w:id="230"/>
      <w:bookmarkEnd w:id="231"/>
      <w:bookmarkEnd w:id="232"/>
      <w:bookmarkEnd w:id="233"/>
    </w:p>
    <w:p w14:paraId="5D73B0E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23.1发生重大伤亡及其他安全事故，承包人应按《建设工程安全管理条例》的规定立即上报有关部门并通知工程师，同时按政府有关部门要求处理，由事故责任方承担发生的费用。</w:t>
      </w:r>
    </w:p>
    <w:p w14:paraId="3A56F82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23.2发包人、承包人对事故责任有争议时，应按政府有关部门的认定处理。</w:t>
      </w:r>
    </w:p>
    <w:p w14:paraId="357A75F0">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34" w:name="_Toc397364858"/>
      <w:bookmarkStart w:id="235" w:name="_Toc176192755"/>
      <w:bookmarkStart w:id="236" w:name="_Toc29288"/>
      <w:bookmarkStart w:id="237" w:name="_Toc9555"/>
      <w:r>
        <w:rPr>
          <w:rFonts w:hint="eastAsia" w:ascii="宋体" w:hAnsi="宋体" w:eastAsia="宋体" w:cs="宋体"/>
          <w:b/>
          <w:snapToGrid w:val="0"/>
          <w:kern w:val="0"/>
          <w:sz w:val="24"/>
        </w:rPr>
        <w:t>24、文明施工与环境保护</w:t>
      </w:r>
      <w:bookmarkEnd w:id="234"/>
      <w:bookmarkEnd w:id="235"/>
      <w:bookmarkEnd w:id="236"/>
      <w:bookmarkEnd w:id="237"/>
    </w:p>
    <w:p w14:paraId="360B518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24.1承包人应遵守工程建设文明施工有关管理规定，建立健全文明施工制度，切实采取有效措施，创建文明施工现场。</w:t>
      </w:r>
    </w:p>
    <w:p w14:paraId="6B42891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72933A22">
      <w:pPr>
        <w:adjustRightInd w:val="0"/>
        <w:snapToGrid w:val="0"/>
        <w:spacing w:line="440" w:lineRule="exact"/>
        <w:rPr>
          <w:rFonts w:hint="eastAsia" w:ascii="宋体" w:hAnsi="宋体" w:eastAsia="宋体" w:cs="宋体"/>
          <w:snapToGrid w:val="0"/>
          <w:kern w:val="0"/>
          <w:sz w:val="24"/>
        </w:rPr>
      </w:pPr>
    </w:p>
    <w:p w14:paraId="152A1C78">
      <w:pPr>
        <w:adjustRightInd w:val="0"/>
        <w:snapToGrid w:val="0"/>
        <w:spacing w:line="440" w:lineRule="exact"/>
        <w:ind w:right="11"/>
        <w:outlineLvl w:val="1"/>
        <w:rPr>
          <w:rFonts w:hint="eastAsia" w:ascii="宋体" w:hAnsi="宋体" w:eastAsia="宋体" w:cs="宋体"/>
          <w:b/>
          <w:snapToGrid w:val="0"/>
          <w:kern w:val="0"/>
          <w:sz w:val="28"/>
        </w:rPr>
      </w:pPr>
      <w:bookmarkStart w:id="238" w:name="_Toc7602"/>
      <w:bookmarkStart w:id="239" w:name="_Toc397364859"/>
      <w:bookmarkStart w:id="240" w:name="_Toc146"/>
      <w:bookmarkStart w:id="241" w:name="_Toc176192756"/>
      <w:r>
        <w:rPr>
          <w:rFonts w:hint="eastAsia" w:ascii="宋体" w:hAnsi="宋体" w:eastAsia="宋体" w:cs="宋体"/>
          <w:b/>
          <w:snapToGrid w:val="0"/>
          <w:kern w:val="0"/>
          <w:sz w:val="28"/>
        </w:rPr>
        <w:t>六、合同价款与支付</w:t>
      </w:r>
      <w:bookmarkEnd w:id="238"/>
      <w:bookmarkEnd w:id="239"/>
      <w:bookmarkEnd w:id="240"/>
      <w:bookmarkEnd w:id="241"/>
    </w:p>
    <w:p w14:paraId="0B92F3A6">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42" w:name="_Toc27137"/>
      <w:bookmarkStart w:id="243" w:name="_Toc176192757"/>
      <w:bookmarkStart w:id="244" w:name="_Toc16924"/>
      <w:bookmarkStart w:id="245" w:name="_Toc397364860"/>
      <w:r>
        <w:rPr>
          <w:rFonts w:hint="eastAsia" w:ascii="宋体" w:hAnsi="宋体" w:eastAsia="宋体" w:cs="宋体"/>
          <w:b/>
          <w:snapToGrid w:val="0"/>
          <w:kern w:val="0"/>
          <w:sz w:val="24"/>
        </w:rPr>
        <w:t>25、合同价款及调整</w:t>
      </w:r>
      <w:bookmarkEnd w:id="242"/>
      <w:bookmarkEnd w:id="243"/>
      <w:bookmarkEnd w:id="244"/>
      <w:bookmarkEnd w:id="245"/>
    </w:p>
    <w:p w14:paraId="1F99E8C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25.1招标工程的合同价款由发包人、承包人依据中标通知书中的中标价格在合同协议书内约定。非招标工程的合同价款由发包人、承包人依据工程预算书在合同协议书内约定。</w:t>
      </w:r>
    </w:p>
    <w:p w14:paraId="6E84842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25.2合同价款在合同协议书内约定后，任何一方不得擅自改变。下列三种确定合同价款的方式，双方可在合同专用条款内约定采用其中一种：</w:t>
      </w:r>
    </w:p>
    <w:p w14:paraId="6CCE557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（1）固定价格合同。双方在合同专用条款内约定合同价款包含的风险范围和风险费用的计算方法，在约定的风险范围内合同价款不再调整。风险范围以外的合同价款调整方法，应当在合同专用条款内约定。</w:t>
      </w:r>
    </w:p>
    <w:p w14:paraId="42B1576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（2）可调价格合同。合同价款可根据双方的约定而调整，双方在合同专用条款内约定合同价款调整方法。</w:t>
      </w:r>
    </w:p>
    <w:p w14:paraId="2873B60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（3）成本加酬金合同。合同价款包括成本和酬金两部分，双方在合同专用条款内约定成本构成和酬金的计算方法。</w:t>
      </w:r>
    </w:p>
    <w:p w14:paraId="7A1C1F8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25.3可调价格合同中合同价款的调整因素包括：</w:t>
      </w:r>
    </w:p>
    <w:p w14:paraId="23F2AC8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（1）法律、行政法规和国家有关政策变化影响合同价款；</w:t>
      </w:r>
    </w:p>
    <w:p w14:paraId="2FD278B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（2）工程造价管理部门颁布的价格调整；</w:t>
      </w:r>
    </w:p>
    <w:p w14:paraId="386DAFA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（3）一周内非承包人原因停水、停电、停气造成停工累计超过8小时；</w:t>
      </w:r>
    </w:p>
    <w:p w14:paraId="62F7F20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（4）双方约定的其他因素。</w:t>
      </w:r>
    </w:p>
    <w:p w14:paraId="5D0CF35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54E174E1">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46" w:name="_Toc16828"/>
      <w:bookmarkStart w:id="247" w:name="_Toc397364861"/>
      <w:bookmarkStart w:id="248" w:name="_Toc176192758"/>
      <w:bookmarkStart w:id="249" w:name="_Toc19419"/>
      <w:r>
        <w:rPr>
          <w:rFonts w:hint="eastAsia" w:ascii="宋体" w:hAnsi="宋体" w:eastAsia="宋体" w:cs="宋体"/>
          <w:b/>
          <w:snapToGrid w:val="0"/>
          <w:kern w:val="0"/>
          <w:sz w:val="24"/>
        </w:rPr>
        <w:t>26、工程预付款</w:t>
      </w:r>
      <w:bookmarkEnd w:id="246"/>
      <w:bookmarkEnd w:id="247"/>
      <w:bookmarkEnd w:id="248"/>
      <w:bookmarkEnd w:id="249"/>
    </w:p>
    <w:p w14:paraId="684DAEC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07362C36">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50" w:name="_Toc31735"/>
      <w:bookmarkStart w:id="251" w:name="_Toc397364862"/>
      <w:bookmarkStart w:id="252" w:name="_Toc32265"/>
      <w:bookmarkStart w:id="253" w:name="_Toc176192759"/>
      <w:r>
        <w:rPr>
          <w:rFonts w:hint="eastAsia" w:ascii="宋体" w:hAnsi="宋体" w:eastAsia="宋体" w:cs="宋体"/>
          <w:b/>
          <w:snapToGrid w:val="0"/>
          <w:kern w:val="0"/>
          <w:sz w:val="24"/>
        </w:rPr>
        <w:t>27、工程量的确认</w:t>
      </w:r>
      <w:bookmarkEnd w:id="250"/>
      <w:bookmarkEnd w:id="251"/>
      <w:bookmarkEnd w:id="252"/>
      <w:bookmarkEnd w:id="253"/>
    </w:p>
    <w:p w14:paraId="444ABE0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0268E50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0D2789F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27.3对承包人超出设计图纸范围和因承包人原因造成返工的工程量，工程师不予计量。</w:t>
      </w:r>
    </w:p>
    <w:p w14:paraId="40E3F689">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54" w:name="_Toc2494"/>
      <w:bookmarkStart w:id="255" w:name="_Toc25316"/>
      <w:bookmarkStart w:id="256" w:name="_Toc397364863"/>
      <w:bookmarkStart w:id="257" w:name="_Toc176192760"/>
      <w:r>
        <w:rPr>
          <w:rFonts w:hint="eastAsia" w:ascii="宋体" w:hAnsi="宋体" w:eastAsia="宋体" w:cs="宋体"/>
          <w:b/>
          <w:snapToGrid w:val="0"/>
          <w:kern w:val="0"/>
          <w:sz w:val="24"/>
        </w:rPr>
        <w:t>28、工程款（进度款）支付</w:t>
      </w:r>
      <w:bookmarkEnd w:id="254"/>
      <w:bookmarkEnd w:id="255"/>
      <w:bookmarkEnd w:id="256"/>
      <w:bookmarkEnd w:id="257"/>
    </w:p>
    <w:p w14:paraId="0475CCA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28.1在确认计量结果后14天内，发包人应向承包人支付工程款（进度款）。按约定时间发包人应扣回的预付款，与工程款（进度款）同期结算。</w:t>
      </w:r>
    </w:p>
    <w:p w14:paraId="363862D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28.2合同通用条款第25条确定调整的合同价款，第33条工程变更调整的合同价款及其他条款中约定的追加合同价款，应与工程款（进度款）同期调整支付。</w:t>
      </w:r>
    </w:p>
    <w:p w14:paraId="2C34422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6BDA6B3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28.4发包人不按合同约定支付工程款（进度款），双方又未达成延期付款协议，导致施工无法进行，承包人可停止施工，由发包人承担违约责任。</w:t>
      </w:r>
    </w:p>
    <w:p w14:paraId="354F2A44">
      <w:pPr>
        <w:adjustRightInd w:val="0"/>
        <w:snapToGrid w:val="0"/>
        <w:spacing w:line="440" w:lineRule="exact"/>
        <w:ind w:right="11"/>
        <w:outlineLvl w:val="1"/>
        <w:rPr>
          <w:rFonts w:hint="eastAsia" w:ascii="宋体" w:hAnsi="宋体" w:eastAsia="宋体" w:cs="宋体"/>
          <w:b/>
          <w:snapToGrid w:val="0"/>
          <w:kern w:val="0"/>
          <w:sz w:val="28"/>
        </w:rPr>
      </w:pPr>
      <w:bookmarkStart w:id="258" w:name="_Toc27252"/>
      <w:bookmarkStart w:id="259" w:name="_Toc176192761"/>
      <w:bookmarkStart w:id="260" w:name="_Toc17302"/>
      <w:bookmarkStart w:id="261" w:name="_Toc397364864"/>
      <w:r>
        <w:rPr>
          <w:rFonts w:hint="eastAsia" w:ascii="宋体" w:hAnsi="宋体" w:eastAsia="宋体" w:cs="宋体"/>
          <w:b/>
          <w:snapToGrid w:val="0"/>
          <w:kern w:val="0"/>
          <w:sz w:val="28"/>
        </w:rPr>
        <w:t>七、材料设备供应</w:t>
      </w:r>
      <w:bookmarkEnd w:id="258"/>
      <w:bookmarkEnd w:id="259"/>
      <w:bookmarkEnd w:id="260"/>
      <w:bookmarkEnd w:id="261"/>
    </w:p>
    <w:p w14:paraId="39154919">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62" w:name="_Toc397364865"/>
      <w:bookmarkStart w:id="263" w:name="_Toc26414"/>
      <w:bookmarkStart w:id="264" w:name="_Toc29717"/>
      <w:bookmarkStart w:id="265" w:name="_Toc176192762"/>
      <w:r>
        <w:rPr>
          <w:rFonts w:hint="eastAsia" w:ascii="宋体" w:hAnsi="宋体" w:eastAsia="宋体" w:cs="宋体"/>
          <w:b/>
          <w:snapToGrid w:val="0"/>
          <w:kern w:val="0"/>
          <w:sz w:val="24"/>
        </w:rPr>
        <w:t>29、发包人供应材料设备</w:t>
      </w:r>
      <w:bookmarkEnd w:id="262"/>
      <w:bookmarkEnd w:id="263"/>
      <w:bookmarkEnd w:id="264"/>
      <w:bookmarkEnd w:id="265"/>
    </w:p>
    <w:p w14:paraId="00A2081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29.1实行发包人供应材料设备的，双方应当约定发包人供应材料设备的一览表，作为合同附件。一览表包括发包人供应材料设备的品种、规格、型号、数量、单价、质量等级、提供时间和地点。</w:t>
      </w:r>
    </w:p>
    <w:p w14:paraId="631E3E0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29.2发包人按一览表约定的内容提供材料设备，并向承包人提供产品合格证明，对其质量负责。发包人在所供材料设备到货前24小时，以书面形式通知承包人，由承包人派人与发包人共同清点。</w:t>
      </w:r>
    </w:p>
    <w:p w14:paraId="1A3EE8F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29.3发包人供应的材料设备，承包人派人参加清点后由承包人妥善保管，发包人支付相应保管费用。因承包人原因发生丢失损坏，由承包人负责赔偿。</w:t>
      </w:r>
    </w:p>
    <w:p w14:paraId="7A7D11A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发包人未通知承包人清点，承包人不负责材料设备的保管，丢失损坏由发包人负责。</w:t>
      </w:r>
    </w:p>
    <w:p w14:paraId="2B1BAC3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29.4发包人供应的材料设备与一览表不符时，发包人承担有关责任。发包人应承担责任的具体内容，双方根据下列情况在合同专用条款内约定：</w:t>
      </w:r>
    </w:p>
    <w:p w14:paraId="5FAA340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（1）材料设备单价与一览表不符，由发包人承担所有价差；</w:t>
      </w:r>
    </w:p>
    <w:p w14:paraId="1F9C163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（2）材料设备的品种、规格、型号、质量等级与一览表不符，承包人可拒绝接收保管，由发包人运出施工场地并重新采购；</w:t>
      </w:r>
    </w:p>
    <w:p w14:paraId="420E067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（3）发包人供应的材料规格、型号与一览表不符，经发包人同意，承包人可代为调剂串换，由发包人承担相应费用；</w:t>
      </w:r>
    </w:p>
    <w:p w14:paraId="2F1BCB9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（4）到货地点与一览表不符，由发包人负责运至一览表指定地点；</w:t>
      </w:r>
    </w:p>
    <w:p w14:paraId="585D519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（5）供应数量少于一览表约定的数量时，由发包人补齐，多于一览表约定数量时，发包人负责将多出部分运出施工场地；</w:t>
      </w:r>
    </w:p>
    <w:p w14:paraId="0F0F03F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（6）到货时间早于一览表约定时间，由发包人承担因此发生的保管费用；到货时间迟于一览表约定的供应时间，发包人赔偿由此造成承包人损失，造成工期延误的，相应顺延工期。</w:t>
      </w:r>
    </w:p>
    <w:p w14:paraId="4E18D25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29.5发包人供应的材料设备使用前，由承包人负责检验或试验，不合格的不得使用，检验或试验费用由发包人承担。</w:t>
      </w:r>
    </w:p>
    <w:p w14:paraId="294AD7E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29.6发包人供应材料设备的结算方法，双方在合同专用条款内约定。</w:t>
      </w:r>
    </w:p>
    <w:p w14:paraId="3749B9DF">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66" w:name="_Toc176192763"/>
      <w:bookmarkStart w:id="267" w:name="_Toc7539"/>
      <w:bookmarkStart w:id="268" w:name="_Toc10676"/>
      <w:bookmarkStart w:id="269" w:name="_Toc397364866"/>
      <w:r>
        <w:rPr>
          <w:rFonts w:hint="eastAsia" w:ascii="宋体" w:hAnsi="宋体" w:eastAsia="宋体" w:cs="宋体"/>
          <w:b/>
          <w:snapToGrid w:val="0"/>
          <w:kern w:val="0"/>
          <w:sz w:val="24"/>
        </w:rPr>
        <w:t>30、承包人采购材料设备</w:t>
      </w:r>
      <w:bookmarkEnd w:id="266"/>
      <w:bookmarkEnd w:id="267"/>
      <w:bookmarkEnd w:id="268"/>
      <w:bookmarkEnd w:id="269"/>
    </w:p>
    <w:p w14:paraId="226C6AA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30.1承包人负责采购材料设备的，应按照合同专用条款约定及设计和有关标准要求采购，并提供产品合格证明，对材料设备质量负责。承包人在材料设备到货前24小时通知工程师清点。</w:t>
      </w:r>
    </w:p>
    <w:p w14:paraId="3443EC1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30.2承包人采购的材料设备与设计或标准要求不符时，承包人应按工程师要求的时间运出施工场地，重新采购符合要求的产品，承担由此发生的费用，由此延误的工期不予顺延。</w:t>
      </w:r>
    </w:p>
    <w:p w14:paraId="2CC6333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30.3承包人采购的材料设备在使用前，承包人应按工程师的要求进行检验或试验，不合格的不得使用，检验或试验费用由承包人承担。</w:t>
      </w:r>
    </w:p>
    <w:p w14:paraId="4AA853B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30.4工程师发现承包人采购并使用不符合设计或标准要求的材料或设备时，应要求由承包人负责修复、拆除或重新采购，并承担发生的费用，由此延误的工期不予顺延。</w:t>
      </w:r>
    </w:p>
    <w:p w14:paraId="369FB7C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30.5承包人需要使用代用材料时，应经工程师认可后才能使用，由此增减的合同价款双方以书面形式议定。</w:t>
      </w:r>
    </w:p>
    <w:p w14:paraId="2859CDD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30.6由承包人采购的材料设备，发包人不得指定生产厂或供应商。</w:t>
      </w:r>
    </w:p>
    <w:p w14:paraId="1839AF2F">
      <w:pPr>
        <w:adjustRightInd w:val="0"/>
        <w:snapToGrid w:val="0"/>
        <w:spacing w:line="440" w:lineRule="exact"/>
        <w:rPr>
          <w:rFonts w:hint="eastAsia" w:ascii="宋体" w:hAnsi="宋体" w:eastAsia="宋体" w:cs="宋体"/>
          <w:snapToGrid w:val="0"/>
          <w:kern w:val="0"/>
          <w:sz w:val="24"/>
        </w:rPr>
      </w:pPr>
    </w:p>
    <w:p w14:paraId="780252E5">
      <w:pPr>
        <w:adjustRightInd w:val="0"/>
        <w:snapToGrid w:val="0"/>
        <w:spacing w:line="440" w:lineRule="exact"/>
        <w:ind w:right="11"/>
        <w:outlineLvl w:val="1"/>
        <w:rPr>
          <w:rFonts w:hint="eastAsia" w:ascii="宋体" w:hAnsi="宋体" w:eastAsia="宋体" w:cs="宋体"/>
          <w:b/>
          <w:snapToGrid w:val="0"/>
          <w:kern w:val="0"/>
          <w:sz w:val="28"/>
        </w:rPr>
      </w:pPr>
      <w:bookmarkStart w:id="270" w:name="_Toc176192764"/>
      <w:bookmarkStart w:id="271" w:name="_Toc397364867"/>
      <w:bookmarkStart w:id="272" w:name="_Toc20465"/>
      <w:bookmarkStart w:id="273" w:name="_Toc316"/>
      <w:r>
        <w:rPr>
          <w:rFonts w:hint="eastAsia" w:ascii="宋体" w:hAnsi="宋体" w:eastAsia="宋体" w:cs="宋体"/>
          <w:b/>
          <w:snapToGrid w:val="0"/>
          <w:kern w:val="0"/>
          <w:sz w:val="28"/>
        </w:rPr>
        <w:t>八、工程变更</w:t>
      </w:r>
      <w:bookmarkEnd w:id="270"/>
      <w:bookmarkEnd w:id="271"/>
      <w:bookmarkEnd w:id="272"/>
      <w:bookmarkEnd w:id="273"/>
    </w:p>
    <w:p w14:paraId="0C331D92">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74" w:name="_Toc29338"/>
      <w:bookmarkStart w:id="275" w:name="_Toc176192765"/>
      <w:bookmarkStart w:id="276" w:name="_Toc397364868"/>
      <w:bookmarkStart w:id="277" w:name="_Toc24133"/>
      <w:r>
        <w:rPr>
          <w:rFonts w:hint="eastAsia" w:ascii="宋体" w:hAnsi="宋体" w:eastAsia="宋体" w:cs="宋体"/>
          <w:b/>
          <w:snapToGrid w:val="0"/>
          <w:kern w:val="0"/>
          <w:sz w:val="24"/>
        </w:rPr>
        <w:t>31、工程设计变更</w:t>
      </w:r>
      <w:bookmarkEnd w:id="274"/>
      <w:bookmarkEnd w:id="275"/>
      <w:bookmarkEnd w:id="276"/>
      <w:bookmarkEnd w:id="277"/>
    </w:p>
    <w:p w14:paraId="20021F9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0C839F0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（1）更改工程有关部分的标高、基线、位置和尺寸；</w:t>
      </w:r>
    </w:p>
    <w:p w14:paraId="3077C27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（2）增减合同中约定的工程量；</w:t>
      </w:r>
    </w:p>
    <w:p w14:paraId="7D6BB4D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（3）改变有关工程的施工时间和顺序；</w:t>
      </w:r>
    </w:p>
    <w:p w14:paraId="280611C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（4）其他有关工程变更需要的附加工作。</w:t>
      </w:r>
    </w:p>
    <w:p w14:paraId="0BE589A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因变更导致合同价款的增减及造成的承包人损失，由发包人承担，延误的工期相应顺延。</w:t>
      </w:r>
    </w:p>
    <w:p w14:paraId="7FDF0E5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31.2施工中承包人不得对原工程设计进行变更。因承包人擅自变更设计发生的费用和由此导致发包人的直接损失，由承包人承担，延误的工期不予顺延。</w:t>
      </w:r>
    </w:p>
    <w:p w14:paraId="2B35A8F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44A0270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工程师同意采用承包人合理化建议，所发生的费用和获得的收益，发包人、承包人另行约定分担或分享。</w:t>
      </w:r>
    </w:p>
    <w:p w14:paraId="4F0732AE">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78" w:name="_Toc19059"/>
      <w:bookmarkStart w:id="279" w:name="_Toc176192766"/>
      <w:bookmarkStart w:id="280" w:name="_Toc397364869"/>
      <w:bookmarkStart w:id="281" w:name="_Toc6511"/>
      <w:r>
        <w:rPr>
          <w:rFonts w:hint="eastAsia" w:ascii="宋体" w:hAnsi="宋体" w:eastAsia="宋体" w:cs="宋体"/>
          <w:b/>
          <w:snapToGrid w:val="0"/>
          <w:kern w:val="0"/>
          <w:sz w:val="24"/>
        </w:rPr>
        <w:t>32、其他变更</w:t>
      </w:r>
      <w:bookmarkEnd w:id="278"/>
      <w:bookmarkEnd w:id="279"/>
      <w:bookmarkEnd w:id="280"/>
      <w:bookmarkEnd w:id="281"/>
    </w:p>
    <w:p w14:paraId="62301AF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合同履行中发包人要求变更工程质量标准及发生其他实质性变更，由双方协商解决。</w:t>
      </w:r>
    </w:p>
    <w:p w14:paraId="6A8698AB">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82" w:name="_Toc8418"/>
      <w:bookmarkStart w:id="283" w:name="_Toc176192767"/>
      <w:bookmarkStart w:id="284" w:name="_Toc397364870"/>
      <w:bookmarkStart w:id="285" w:name="_Toc17312"/>
      <w:r>
        <w:rPr>
          <w:rFonts w:hint="eastAsia" w:ascii="宋体" w:hAnsi="宋体" w:eastAsia="宋体" w:cs="宋体"/>
          <w:b/>
          <w:snapToGrid w:val="0"/>
          <w:kern w:val="0"/>
          <w:sz w:val="24"/>
        </w:rPr>
        <w:t>33、确定变更价款</w:t>
      </w:r>
      <w:bookmarkEnd w:id="282"/>
      <w:bookmarkEnd w:id="283"/>
      <w:bookmarkEnd w:id="284"/>
      <w:bookmarkEnd w:id="285"/>
    </w:p>
    <w:p w14:paraId="489BC16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33.1承包人在工程变更确定后14天内，提出变更工程价款的报告，经工程师确认后调整合同价款。变更合同价款按下列方法进行：</w:t>
      </w:r>
    </w:p>
    <w:p w14:paraId="1A57216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（1）合同中已有适用于变更工程的价格，按合同已有的价格变更合同价款；</w:t>
      </w:r>
    </w:p>
    <w:p w14:paraId="1BA91A8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（2）合同中只有类似于变更工程的价格，可以参照类似价格变更合同价款；</w:t>
      </w:r>
    </w:p>
    <w:p w14:paraId="416A6F2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（3）合同中没有适用或类似于变更工程的价格，由承包人提出适当的变更价款，经工程师确认后执行。</w:t>
      </w:r>
    </w:p>
    <w:p w14:paraId="2B37E08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33.2承包人在双方确定变更后14天内不向工程师提出变更工程价款报告时，视为该项变更不涉及合同价款的变更。</w:t>
      </w:r>
    </w:p>
    <w:p w14:paraId="19AE347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33.3工程师应在收到变更工程价款报告之日起14天内予以确认，工程师无正当理由不确认时，自变更工程价款报告送达之日起14天后视为变更工程价款报告已被确认。</w:t>
      </w:r>
    </w:p>
    <w:p w14:paraId="4B1FE91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33.4工程师不同意承包人提出的变更价款，按合同通用条款第40条关于争议的约定处理。</w:t>
      </w:r>
    </w:p>
    <w:p w14:paraId="223DD6B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33.5工程师确认增加的工程变更价款作为追加合同价款，与工程款同期支付。</w:t>
      </w:r>
    </w:p>
    <w:p w14:paraId="39642A7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33.6因承包人自身原因导致的工程变更，承包人无权要求追加合同价款。</w:t>
      </w:r>
    </w:p>
    <w:p w14:paraId="52BED3BA">
      <w:pPr>
        <w:adjustRightInd w:val="0"/>
        <w:snapToGrid w:val="0"/>
        <w:spacing w:line="440" w:lineRule="exact"/>
        <w:rPr>
          <w:rFonts w:hint="eastAsia" w:ascii="宋体" w:hAnsi="宋体" w:eastAsia="宋体" w:cs="宋体"/>
          <w:snapToGrid w:val="0"/>
          <w:kern w:val="0"/>
          <w:sz w:val="24"/>
        </w:rPr>
      </w:pPr>
    </w:p>
    <w:p w14:paraId="7DCD69FF">
      <w:pPr>
        <w:adjustRightInd w:val="0"/>
        <w:snapToGrid w:val="0"/>
        <w:spacing w:line="440" w:lineRule="exact"/>
        <w:ind w:right="11"/>
        <w:outlineLvl w:val="1"/>
        <w:rPr>
          <w:rFonts w:hint="eastAsia" w:ascii="宋体" w:hAnsi="宋体" w:eastAsia="宋体" w:cs="宋体"/>
          <w:b/>
          <w:snapToGrid w:val="0"/>
          <w:kern w:val="0"/>
          <w:sz w:val="28"/>
        </w:rPr>
      </w:pPr>
      <w:bookmarkStart w:id="286" w:name="_Toc397364871"/>
      <w:bookmarkStart w:id="287" w:name="_Toc21853"/>
      <w:bookmarkStart w:id="288" w:name="_Toc24360"/>
      <w:bookmarkStart w:id="289" w:name="_Toc176192768"/>
      <w:r>
        <w:rPr>
          <w:rFonts w:hint="eastAsia" w:ascii="宋体" w:hAnsi="宋体" w:eastAsia="宋体" w:cs="宋体"/>
          <w:b/>
          <w:snapToGrid w:val="0"/>
          <w:kern w:val="0"/>
          <w:sz w:val="28"/>
        </w:rPr>
        <w:t>九、竣工验收与结算</w:t>
      </w:r>
      <w:bookmarkEnd w:id="286"/>
      <w:bookmarkEnd w:id="287"/>
      <w:bookmarkEnd w:id="288"/>
      <w:bookmarkEnd w:id="289"/>
    </w:p>
    <w:p w14:paraId="4C685D43">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90" w:name="_Toc27145"/>
      <w:bookmarkStart w:id="291" w:name="_Toc176192769"/>
      <w:bookmarkStart w:id="292" w:name="_Toc397364872"/>
      <w:bookmarkStart w:id="293" w:name="_Toc9601"/>
      <w:r>
        <w:rPr>
          <w:rFonts w:hint="eastAsia" w:ascii="宋体" w:hAnsi="宋体" w:eastAsia="宋体" w:cs="宋体"/>
          <w:b/>
          <w:snapToGrid w:val="0"/>
          <w:kern w:val="0"/>
          <w:sz w:val="24"/>
        </w:rPr>
        <w:t>34、竣工验收</w:t>
      </w:r>
      <w:bookmarkEnd w:id="290"/>
      <w:bookmarkEnd w:id="291"/>
      <w:bookmarkEnd w:id="292"/>
      <w:bookmarkEnd w:id="293"/>
    </w:p>
    <w:p w14:paraId="5ACEB67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34.1工程具备竣工验收条件，承包人按国家工程竣工验收有关规定，向发包人提供完整竣工资料及竣工验收报告。双方约定由承包人提供竣工图的，应当在合同专用条款约定提供的日期和份数。</w:t>
      </w:r>
    </w:p>
    <w:p w14:paraId="473AFF5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34.2发包人收到竣工验收报告后28天内组织有关单位验收，并在验收后14天内给予认可或提出修改意见。承包人按要求修改，并承担由自身原因造成修改的费用。</w:t>
      </w:r>
    </w:p>
    <w:p w14:paraId="3D62C66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34.3发包人收到承包人送交的竣工验收报告后28天内不组织验收，或验收后14天内不提出修改意见，视为竣工验收报告已被认可。</w:t>
      </w:r>
    </w:p>
    <w:p w14:paraId="116366A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34.4工程竣工验收通过，承包人送交竣工验收报告的日期为实际竣工日期。工程按发包人要求修改后通过竣工验收的，实际竣工日期为承包人修改后提请发包人验收的日期。</w:t>
      </w:r>
    </w:p>
    <w:p w14:paraId="2D65850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34.5发包人收到承包人竣工验收报告后28天内不组织验收，从第29天起承担工程保管及一切意外责任。</w:t>
      </w:r>
    </w:p>
    <w:p w14:paraId="2AAC78F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34.6中间交工工程的范围和竣工时间，双方在合同专用条款内约定，其验收程序按合同通用条款34.1款至34.4款办理。</w:t>
      </w:r>
    </w:p>
    <w:p w14:paraId="35AA64E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34.7因特殊原因，发包人要求部分单位工程或工程部位甩项竣工的，双方另行签订甩项竣工协议，明确双方责任和工程价款的支付方法。</w:t>
      </w:r>
    </w:p>
    <w:p w14:paraId="64ED56A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34.8工程未经竣工验收或竣工验收未通过的，发包人不得使用。发包人强行使用时，由此发生的质量问题及其他问题，由发包人承担责任。</w:t>
      </w:r>
    </w:p>
    <w:p w14:paraId="0021CD4A">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94" w:name="_Toc18767"/>
      <w:bookmarkStart w:id="295" w:name="_Toc397364873"/>
      <w:bookmarkStart w:id="296" w:name="_Toc5034"/>
      <w:bookmarkStart w:id="297" w:name="_Toc176192770"/>
      <w:r>
        <w:rPr>
          <w:rFonts w:hint="eastAsia" w:ascii="宋体" w:hAnsi="宋体" w:eastAsia="宋体" w:cs="宋体"/>
          <w:b/>
          <w:snapToGrid w:val="0"/>
          <w:kern w:val="0"/>
          <w:sz w:val="24"/>
        </w:rPr>
        <w:t>35、工程移交</w:t>
      </w:r>
      <w:bookmarkEnd w:id="294"/>
      <w:bookmarkEnd w:id="295"/>
      <w:bookmarkEnd w:id="296"/>
      <w:bookmarkEnd w:id="297"/>
    </w:p>
    <w:p w14:paraId="2BCD3F1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双方在合同专用条款内约定工程移交办法。</w:t>
      </w:r>
    </w:p>
    <w:p w14:paraId="7BFA1977">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298" w:name="_Toc30596"/>
      <w:bookmarkStart w:id="299" w:name="_Toc397364874"/>
      <w:bookmarkStart w:id="300" w:name="_Toc8909"/>
      <w:bookmarkStart w:id="301" w:name="_Toc176192771"/>
      <w:r>
        <w:rPr>
          <w:rFonts w:hint="eastAsia" w:ascii="宋体" w:hAnsi="宋体" w:eastAsia="宋体" w:cs="宋体"/>
          <w:b/>
          <w:snapToGrid w:val="0"/>
          <w:kern w:val="0"/>
          <w:sz w:val="24"/>
        </w:rPr>
        <w:t>36、竣工结算</w:t>
      </w:r>
      <w:bookmarkEnd w:id="298"/>
      <w:bookmarkEnd w:id="299"/>
      <w:bookmarkEnd w:id="300"/>
      <w:bookmarkEnd w:id="301"/>
    </w:p>
    <w:p w14:paraId="44AFD6B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28CD780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6D81C7C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36.3发包人收到竣工结算报告及结算资料后28天内无正当理由不支付工程竣工结算价款，从第29天起按承包人同期向银行贷款利率支付拖欠工程价款的利息，并承担违约责任。</w:t>
      </w:r>
    </w:p>
    <w:p w14:paraId="26DA227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19681A5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14:paraId="49C7A53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36.6发包人、承包人对工程竣工结算价款发生争议时，按合同通用条款40条关于争议的约定处理。</w:t>
      </w:r>
    </w:p>
    <w:p w14:paraId="0B1B1E5B">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02" w:name="_Toc397364875"/>
      <w:bookmarkStart w:id="303" w:name="_Toc176192772"/>
      <w:bookmarkStart w:id="304" w:name="_Toc11049"/>
      <w:bookmarkStart w:id="305" w:name="_Toc717"/>
      <w:r>
        <w:rPr>
          <w:rFonts w:hint="eastAsia" w:ascii="宋体" w:hAnsi="宋体" w:eastAsia="宋体" w:cs="宋体"/>
          <w:b/>
          <w:snapToGrid w:val="0"/>
          <w:kern w:val="0"/>
          <w:sz w:val="24"/>
        </w:rPr>
        <w:t>37、质量保修</w:t>
      </w:r>
      <w:bookmarkEnd w:id="302"/>
      <w:bookmarkEnd w:id="303"/>
      <w:bookmarkEnd w:id="304"/>
      <w:bookmarkEnd w:id="305"/>
    </w:p>
    <w:p w14:paraId="2A6852F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37.1承包人应按法律、行政法规或国家关于工程质量保修的有关规定，对交付发包人使用的工程在质量保修期内承担质量保修责任。</w:t>
      </w:r>
    </w:p>
    <w:p w14:paraId="7F429EC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37.2质量保修工作的实施。承包人应在工程竣工验收之前，与发包人签订质量保修书，作为合同附件1。</w:t>
      </w:r>
    </w:p>
    <w:p w14:paraId="39D1E6C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37.3质量保修书的主要内容包括：</w:t>
      </w:r>
    </w:p>
    <w:p w14:paraId="448E1EE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（1）质量保修项目内容及范围；</w:t>
      </w:r>
    </w:p>
    <w:p w14:paraId="1B4464E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（2）质量保修期；</w:t>
      </w:r>
    </w:p>
    <w:p w14:paraId="29DEC0D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（3）质量保修责任；</w:t>
      </w:r>
    </w:p>
    <w:p w14:paraId="6199AFC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（4）质量保修金的支付方法。</w:t>
      </w:r>
    </w:p>
    <w:p w14:paraId="5FFA63A6">
      <w:pPr>
        <w:adjustRightInd w:val="0"/>
        <w:snapToGrid w:val="0"/>
        <w:spacing w:line="440" w:lineRule="exact"/>
        <w:rPr>
          <w:rFonts w:hint="eastAsia" w:ascii="宋体" w:hAnsi="宋体" w:eastAsia="宋体" w:cs="宋体"/>
          <w:snapToGrid w:val="0"/>
          <w:kern w:val="0"/>
          <w:sz w:val="24"/>
        </w:rPr>
      </w:pPr>
    </w:p>
    <w:p w14:paraId="23CDD423">
      <w:pPr>
        <w:adjustRightInd w:val="0"/>
        <w:snapToGrid w:val="0"/>
        <w:spacing w:line="440" w:lineRule="exact"/>
        <w:ind w:right="11"/>
        <w:outlineLvl w:val="1"/>
        <w:rPr>
          <w:rFonts w:hint="eastAsia" w:ascii="宋体" w:hAnsi="宋体" w:eastAsia="宋体" w:cs="宋体"/>
          <w:b/>
          <w:snapToGrid w:val="0"/>
          <w:kern w:val="0"/>
          <w:sz w:val="28"/>
        </w:rPr>
      </w:pPr>
      <w:bookmarkStart w:id="306" w:name="_Toc397364876"/>
      <w:bookmarkStart w:id="307" w:name="_Toc176192773"/>
      <w:bookmarkStart w:id="308" w:name="_Toc10607"/>
      <w:bookmarkStart w:id="309" w:name="_Toc26126"/>
      <w:r>
        <w:rPr>
          <w:rFonts w:hint="eastAsia" w:ascii="宋体" w:hAnsi="宋体" w:eastAsia="宋体" w:cs="宋体"/>
          <w:b/>
          <w:snapToGrid w:val="0"/>
          <w:kern w:val="0"/>
          <w:sz w:val="28"/>
        </w:rPr>
        <w:t>十、违约、索赔和争议</w:t>
      </w:r>
      <w:bookmarkEnd w:id="306"/>
      <w:bookmarkEnd w:id="307"/>
      <w:bookmarkEnd w:id="308"/>
      <w:bookmarkEnd w:id="309"/>
    </w:p>
    <w:p w14:paraId="2A500DB8">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10" w:name="_Toc176192774"/>
      <w:bookmarkStart w:id="311" w:name="_Toc6266"/>
      <w:bookmarkStart w:id="312" w:name="_Toc397364877"/>
      <w:bookmarkStart w:id="313" w:name="_Toc26101"/>
      <w:r>
        <w:rPr>
          <w:rFonts w:hint="eastAsia" w:ascii="宋体" w:hAnsi="宋体" w:eastAsia="宋体" w:cs="宋体"/>
          <w:b/>
          <w:snapToGrid w:val="0"/>
          <w:kern w:val="0"/>
          <w:sz w:val="24"/>
        </w:rPr>
        <w:t>38、违约</w:t>
      </w:r>
      <w:bookmarkEnd w:id="310"/>
      <w:bookmarkEnd w:id="311"/>
      <w:bookmarkEnd w:id="312"/>
      <w:bookmarkEnd w:id="313"/>
    </w:p>
    <w:p w14:paraId="5C2B1ED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38.1发包人违约。当发生下列情况时：</w:t>
      </w:r>
    </w:p>
    <w:p w14:paraId="7D4BE80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（1）合同通用条款第26条提到的发包人不按时支付工程预付款；</w:t>
      </w:r>
    </w:p>
    <w:p w14:paraId="6410B23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（2）合同通用条款第28.4款提到的发包人不按合同约定支付工程款，导致施工无法进行；</w:t>
      </w:r>
    </w:p>
    <w:p w14:paraId="6F922DB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（3）合同通用条款第36.3款提到的发包人无正当理由不支付工程竣工结算价款；</w:t>
      </w:r>
    </w:p>
    <w:p w14:paraId="55F0ACB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（4）发包人不履行合同义务或不按合同约定履行义务的其他情况。</w:t>
      </w:r>
    </w:p>
    <w:p w14:paraId="0D1F677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发包人承担违约责任，赔偿因其违约给承包人造成的经济损失，顺延延误的工期。双方在合同专用条款内约定发包人赔偿承包人损失的计算方法或者发包人应当支付违约金的数额或计算方法。</w:t>
      </w:r>
    </w:p>
    <w:p w14:paraId="08D0F86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38.2承包人违约。当发生下列情况时：</w:t>
      </w:r>
    </w:p>
    <w:p w14:paraId="53D7504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（1）合同通用条款第14.2款提到的因承包人原因不能按照合同协议书约定的竣工日期或工程师同意顺延的工期竣工；</w:t>
      </w:r>
    </w:p>
    <w:p w14:paraId="062F961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（2）合同通用条款第15.1款提到的因承包人原因工程质量达不到合同协议书约定的质量标准；</w:t>
      </w:r>
    </w:p>
    <w:p w14:paraId="6A9E22E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（3）承包人不履行合同义务或不按合同约定履行义务的其他情况。</w:t>
      </w:r>
    </w:p>
    <w:p w14:paraId="4FAE18B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承包人承担违约，赔偿因其违约给发包人造成的损失。双方在合同专用条款内约定承包人赔偿发包人损失的计算方法或者承包人应当扣减违约金的数额或计算方法。</w:t>
      </w:r>
    </w:p>
    <w:p w14:paraId="64F6F6A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38.3一方违约后，另一方要求违约方继续履行合同时，违约方承担上述违约责任后仍应继续履行合同。</w:t>
      </w:r>
    </w:p>
    <w:p w14:paraId="71622EA6">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14" w:name="_Toc397364878"/>
      <w:bookmarkStart w:id="315" w:name="_Toc176192775"/>
      <w:bookmarkStart w:id="316" w:name="_Toc31453"/>
      <w:bookmarkStart w:id="317" w:name="_Toc13269"/>
      <w:r>
        <w:rPr>
          <w:rFonts w:hint="eastAsia" w:ascii="宋体" w:hAnsi="宋体" w:eastAsia="宋体" w:cs="宋体"/>
          <w:b/>
          <w:snapToGrid w:val="0"/>
          <w:kern w:val="0"/>
          <w:sz w:val="24"/>
        </w:rPr>
        <w:t>39、索赔</w:t>
      </w:r>
      <w:bookmarkEnd w:id="314"/>
      <w:bookmarkEnd w:id="315"/>
      <w:bookmarkEnd w:id="316"/>
      <w:bookmarkEnd w:id="317"/>
    </w:p>
    <w:p w14:paraId="5EA4946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39.1当一方向另一方提出索赔时，要有正当索赔理由，且有索赔事件发生时的有效证据。</w:t>
      </w:r>
    </w:p>
    <w:p w14:paraId="6ADE4E9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6D79FDE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（1）索赔事件发生后28天内，向工程师发出索赔意向通知；</w:t>
      </w:r>
    </w:p>
    <w:p w14:paraId="7C0D608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（2）发出索赔意向通知后28天内，向工程师提出延长工期和（或）补偿经济损失的索赔报告及有关资料；</w:t>
      </w:r>
    </w:p>
    <w:p w14:paraId="283BFE8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（3）工程师在收到承包人送交的索赔报告和有关资料后，于28天内给予答复，或要求承包人进一步补充索赔理由和证据；</w:t>
      </w:r>
    </w:p>
    <w:p w14:paraId="209FFD1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（4）工程师在收到承包人送交的索赔报告和有关资料后28天内未予答复或未对承包人作出进一步要求，视为该项索赔已经认可；</w:t>
      </w:r>
    </w:p>
    <w:p w14:paraId="34BC83B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（5）当该索赔事件持续进行时，承包人应当阶段性向工程师发出索赔意向，在索赔事件终了后28天内，向工程师送交索赔的有关资料和最终索赔报告。索赔答复程序与（3）、（4）规定相同。</w:t>
      </w:r>
    </w:p>
    <w:p w14:paraId="3F14E33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39.3承包人未能按合同约定履行自己的各项义务或发生错误，给发包人造成经济损失，发包人可按39.2款确定的时限向承包人提出索赔。</w:t>
      </w:r>
    </w:p>
    <w:p w14:paraId="1F5D5427">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18" w:name="_Toc397364879"/>
      <w:bookmarkStart w:id="319" w:name="_Toc176192776"/>
      <w:bookmarkStart w:id="320" w:name="_Toc13390"/>
      <w:bookmarkStart w:id="321" w:name="_Toc31790"/>
      <w:r>
        <w:rPr>
          <w:rFonts w:hint="eastAsia" w:ascii="宋体" w:hAnsi="宋体" w:eastAsia="宋体" w:cs="宋体"/>
          <w:b/>
          <w:snapToGrid w:val="0"/>
          <w:kern w:val="0"/>
          <w:sz w:val="24"/>
        </w:rPr>
        <w:t>40、争议</w:t>
      </w:r>
      <w:bookmarkEnd w:id="318"/>
      <w:bookmarkEnd w:id="319"/>
      <w:bookmarkEnd w:id="320"/>
      <w:bookmarkEnd w:id="321"/>
    </w:p>
    <w:p w14:paraId="5A72253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40.1发包人、承包人在履行合同时发生争议，可以和解或者要求有关主管部门调解。当事人不愿和解、调解或者和解、调解不成的，双方可以在合同专用条款内约定以下一种方式解决争议：</w:t>
      </w:r>
    </w:p>
    <w:p w14:paraId="680AD95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第一种解决方式：双方达成仲裁协议，向约定的仲裁委员会申请仲裁；</w:t>
      </w:r>
    </w:p>
    <w:p w14:paraId="0341C6F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第二种解决方式：向有管辖权的人民法院起诉。</w:t>
      </w:r>
    </w:p>
    <w:p w14:paraId="0D79AC3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40.2发生争议后，除非出现下列情况的，双方都应继续履行合同，保持施工连续，保护好已完工程：</w:t>
      </w:r>
    </w:p>
    <w:p w14:paraId="0FD0C1A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（1）单方违约导致合同确已无法履行，双方协议停止施工；</w:t>
      </w:r>
    </w:p>
    <w:p w14:paraId="56A2F8D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（2）调解要求停止施工，且为双方接受；</w:t>
      </w:r>
    </w:p>
    <w:p w14:paraId="4530442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（3）仲裁机构要求停止施工；</w:t>
      </w:r>
    </w:p>
    <w:p w14:paraId="67B2E73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（4）法院要求停止施工。</w:t>
      </w:r>
    </w:p>
    <w:p w14:paraId="555D8737">
      <w:pPr>
        <w:adjustRightInd w:val="0"/>
        <w:snapToGrid w:val="0"/>
        <w:spacing w:line="440" w:lineRule="exact"/>
        <w:rPr>
          <w:rFonts w:hint="eastAsia" w:ascii="宋体" w:hAnsi="宋体" w:eastAsia="宋体" w:cs="宋体"/>
          <w:snapToGrid w:val="0"/>
          <w:kern w:val="0"/>
          <w:sz w:val="24"/>
        </w:rPr>
      </w:pPr>
    </w:p>
    <w:p w14:paraId="00193F72">
      <w:pPr>
        <w:adjustRightInd w:val="0"/>
        <w:snapToGrid w:val="0"/>
        <w:spacing w:line="440" w:lineRule="exact"/>
        <w:ind w:right="11"/>
        <w:outlineLvl w:val="1"/>
        <w:rPr>
          <w:rFonts w:hint="eastAsia" w:ascii="宋体" w:hAnsi="宋体" w:eastAsia="宋体" w:cs="宋体"/>
          <w:b/>
          <w:snapToGrid w:val="0"/>
          <w:kern w:val="0"/>
          <w:sz w:val="28"/>
        </w:rPr>
      </w:pPr>
      <w:bookmarkStart w:id="322" w:name="_Toc32375"/>
      <w:bookmarkStart w:id="323" w:name="_Toc397364880"/>
      <w:bookmarkStart w:id="324" w:name="_Toc176192777"/>
      <w:bookmarkStart w:id="325" w:name="_Toc22344"/>
      <w:r>
        <w:rPr>
          <w:rFonts w:hint="eastAsia" w:ascii="宋体" w:hAnsi="宋体" w:eastAsia="宋体" w:cs="宋体"/>
          <w:b/>
          <w:snapToGrid w:val="0"/>
          <w:kern w:val="0"/>
          <w:sz w:val="28"/>
        </w:rPr>
        <w:t>十一、其他</w:t>
      </w:r>
      <w:bookmarkEnd w:id="322"/>
      <w:bookmarkEnd w:id="323"/>
      <w:bookmarkEnd w:id="324"/>
      <w:bookmarkEnd w:id="325"/>
    </w:p>
    <w:p w14:paraId="63A3B28E">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26" w:name="_Toc9691"/>
      <w:bookmarkStart w:id="327" w:name="_Toc176192778"/>
      <w:bookmarkStart w:id="328" w:name="_Toc6426"/>
      <w:bookmarkStart w:id="329" w:name="_Toc397364881"/>
      <w:r>
        <w:rPr>
          <w:rFonts w:hint="eastAsia" w:ascii="宋体" w:hAnsi="宋体" w:eastAsia="宋体" w:cs="宋体"/>
          <w:b/>
          <w:snapToGrid w:val="0"/>
          <w:kern w:val="0"/>
          <w:sz w:val="24"/>
        </w:rPr>
        <w:t>41、工程分包</w:t>
      </w:r>
      <w:bookmarkEnd w:id="326"/>
      <w:bookmarkEnd w:id="327"/>
      <w:bookmarkEnd w:id="328"/>
      <w:bookmarkEnd w:id="329"/>
    </w:p>
    <w:p w14:paraId="1A05EFF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41.1承包人按合同专用条款的约定分包所承包的部分工程，并与分包单位签订分包合同。非经发包人同意，承包人不得将承包工程的任务部分分包。</w:t>
      </w:r>
    </w:p>
    <w:p w14:paraId="70D4B4C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41.2承包人不得将其承包的全部工程转包给他人，也不得将其承包的全部工程肢解以后以分包的名义分别转包给他人。</w:t>
      </w:r>
    </w:p>
    <w:p w14:paraId="2B28C19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559687D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41.4分包工程价款由承包人与发包单位结算。发包人未经承包人同意不得以任何形式向分包单位支付各种工程款项。</w:t>
      </w:r>
    </w:p>
    <w:p w14:paraId="0AE6AE89">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30" w:name="_Toc176192779"/>
      <w:bookmarkStart w:id="331" w:name="_Toc8742"/>
      <w:bookmarkStart w:id="332" w:name="_Toc397364882"/>
      <w:bookmarkStart w:id="333" w:name="_Toc19348"/>
      <w:r>
        <w:rPr>
          <w:rFonts w:hint="eastAsia" w:ascii="宋体" w:hAnsi="宋体" w:eastAsia="宋体" w:cs="宋体"/>
          <w:b/>
          <w:snapToGrid w:val="0"/>
          <w:kern w:val="0"/>
          <w:sz w:val="24"/>
        </w:rPr>
        <w:t>42、不可抗力</w:t>
      </w:r>
      <w:bookmarkEnd w:id="330"/>
      <w:bookmarkEnd w:id="331"/>
      <w:bookmarkEnd w:id="332"/>
      <w:bookmarkEnd w:id="333"/>
    </w:p>
    <w:p w14:paraId="4EC2664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42.1不可抗力包括因战争、动乱、空中飞行物体坠落或其他非发包人、承包人责任造成的爆炸、火灾，以及合同专用条款约定的风、雨、雪、洪、震等自然灾害。</w:t>
      </w:r>
    </w:p>
    <w:p w14:paraId="12DBA27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0EF3964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42.3因不可抗力事件导致的费用及延误的工期由双方按以下方法分别承担：</w:t>
      </w:r>
    </w:p>
    <w:p w14:paraId="31D9EC3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（1）工程本身的损害、因工程损害导致第三人人员伤亡和财产损失以及运至施工场地用于施工的材料和待安装的设备的损害，由发包人承担；</w:t>
      </w:r>
    </w:p>
    <w:p w14:paraId="1048484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（2）发包人、承包人人员伤亡由其所在单位负责，并承担相应费用；</w:t>
      </w:r>
    </w:p>
    <w:p w14:paraId="4008E7F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（3）承包人机械设备损坏及停工损失，由承包人承担；</w:t>
      </w:r>
    </w:p>
    <w:p w14:paraId="30B8B0D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（4）停工期间，承包人应工程师要求留在施工场地的必要的管理人员及保卫人员的费用由发包人承担；</w:t>
      </w:r>
    </w:p>
    <w:p w14:paraId="386549C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（5）工程所需清理、修复费用，由发包人承担；</w:t>
      </w:r>
    </w:p>
    <w:p w14:paraId="20CD169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（6）延误的工期相应顺延。</w:t>
      </w:r>
    </w:p>
    <w:p w14:paraId="76E76B0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42.4因合同一方迟延履行合同后发生不可抗力的，不能免除迟延履行方的相应责任。</w:t>
      </w:r>
    </w:p>
    <w:p w14:paraId="2701C7C8">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34" w:name="_Toc7759"/>
      <w:bookmarkStart w:id="335" w:name="_Toc176192780"/>
      <w:bookmarkStart w:id="336" w:name="_Toc397364883"/>
      <w:bookmarkStart w:id="337" w:name="_Toc9160"/>
      <w:r>
        <w:rPr>
          <w:rFonts w:hint="eastAsia" w:ascii="宋体" w:hAnsi="宋体" w:eastAsia="宋体" w:cs="宋体"/>
          <w:b/>
          <w:snapToGrid w:val="0"/>
          <w:kern w:val="0"/>
          <w:sz w:val="24"/>
        </w:rPr>
        <w:t>43、保险</w:t>
      </w:r>
      <w:bookmarkEnd w:id="334"/>
      <w:bookmarkEnd w:id="335"/>
      <w:bookmarkEnd w:id="336"/>
      <w:bookmarkEnd w:id="337"/>
    </w:p>
    <w:p w14:paraId="0A5A0E3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43.1工程开工前，发包人为建设工程和施工场地内的自有人员及第三人人员生命财产办理保险，支付保险费用。</w:t>
      </w:r>
    </w:p>
    <w:p w14:paraId="3BDFFD3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43.2运至施工场地内用于工程的材料和待安装设备，由发包人办理保险，并支付保险费用。</w:t>
      </w:r>
    </w:p>
    <w:p w14:paraId="1B0116E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43.3发包人可以将有关保险事项委托承包人办理，费用由发包人承担。</w:t>
      </w:r>
    </w:p>
    <w:p w14:paraId="13D81DB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43.4承包人必须为从事危险作业的职工办理意外伤害保险，并为施工场地内自有人员生命财产和施工机械设备办理保险，支付保险费用。</w:t>
      </w:r>
    </w:p>
    <w:p w14:paraId="64F8DD1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43.5保险事故发生时，发包人、承包人有责任尽力采取必要的措施，防止或者减少损失。</w:t>
      </w:r>
    </w:p>
    <w:p w14:paraId="3A4736A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43.6具体投保内容和相关责任，发包人、承包人在合同专用条款中约定。</w:t>
      </w:r>
    </w:p>
    <w:p w14:paraId="5908FA23">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38" w:name="_Toc397364884"/>
      <w:bookmarkStart w:id="339" w:name="_Toc1525"/>
      <w:bookmarkStart w:id="340" w:name="_Toc176192781"/>
      <w:bookmarkStart w:id="341" w:name="_Toc15719"/>
      <w:r>
        <w:rPr>
          <w:rFonts w:hint="eastAsia" w:ascii="宋体" w:hAnsi="宋体" w:eastAsia="宋体" w:cs="宋体"/>
          <w:b/>
          <w:snapToGrid w:val="0"/>
          <w:kern w:val="0"/>
          <w:sz w:val="24"/>
        </w:rPr>
        <w:t>44、担保</w:t>
      </w:r>
      <w:bookmarkEnd w:id="338"/>
      <w:bookmarkEnd w:id="339"/>
      <w:bookmarkEnd w:id="340"/>
      <w:bookmarkEnd w:id="341"/>
    </w:p>
    <w:p w14:paraId="4870FD8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44.1发包人、承包人为了全面履行合同，应互相提供以下担保：</w:t>
      </w:r>
    </w:p>
    <w:p w14:paraId="31BA5A8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（1）发包人向承包人提供履约担保，按合同约定支付工程价款及履行合同约定的其他义务。</w:t>
      </w:r>
    </w:p>
    <w:p w14:paraId="553032B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（2）承包人向发包人提供履约担保，按合同约定履行自己的各项义务。</w:t>
      </w:r>
    </w:p>
    <w:p w14:paraId="351603A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44.2一方违约后，另一方可要求提供担保的第三人承担相应责任。</w:t>
      </w:r>
    </w:p>
    <w:p w14:paraId="2897C6F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44.3提供担保的内容、方式和相关责任，发包人、承包人除在合同专用条款中约定外，被担保方与担保方还应签订担保合同，作为合同附件。</w:t>
      </w:r>
    </w:p>
    <w:p w14:paraId="61B981CB">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42" w:name="_Toc12806"/>
      <w:bookmarkStart w:id="343" w:name="_Toc397364885"/>
      <w:bookmarkStart w:id="344" w:name="_Toc176192782"/>
      <w:bookmarkStart w:id="345" w:name="_Toc12633"/>
      <w:r>
        <w:rPr>
          <w:rFonts w:hint="eastAsia" w:ascii="宋体" w:hAnsi="宋体" w:eastAsia="宋体" w:cs="宋体"/>
          <w:b/>
          <w:snapToGrid w:val="0"/>
          <w:kern w:val="0"/>
          <w:sz w:val="24"/>
        </w:rPr>
        <w:t>45、专利技术及特殊工艺</w:t>
      </w:r>
      <w:bookmarkEnd w:id="342"/>
      <w:bookmarkEnd w:id="343"/>
      <w:bookmarkEnd w:id="344"/>
      <w:bookmarkEnd w:id="345"/>
    </w:p>
    <w:p w14:paraId="24B5373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45.1发包人要求使用专利技术或特殊工艺，应负责办理相应的申报手续，承担申报、试验、使用等费用；承包人提出使用专利技术或特殊工艺，应取得工程师认可，承包人负责办理申报手续并承担有关费用。</w:t>
      </w:r>
    </w:p>
    <w:p w14:paraId="5713229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45.2擅自使用专利技术侵犯他人专利权的，责任者依法承担相应责任。</w:t>
      </w:r>
    </w:p>
    <w:p w14:paraId="14233295">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46" w:name="_Toc176192783"/>
      <w:bookmarkStart w:id="347" w:name="_Toc397364886"/>
      <w:bookmarkStart w:id="348" w:name="_Toc15673"/>
      <w:bookmarkStart w:id="349" w:name="_Toc32261"/>
      <w:r>
        <w:rPr>
          <w:rFonts w:hint="eastAsia" w:ascii="宋体" w:hAnsi="宋体" w:eastAsia="宋体" w:cs="宋体"/>
          <w:b/>
          <w:snapToGrid w:val="0"/>
          <w:kern w:val="0"/>
          <w:sz w:val="24"/>
        </w:rPr>
        <w:t>46、文物和地下障碍物</w:t>
      </w:r>
      <w:bookmarkEnd w:id="346"/>
      <w:bookmarkEnd w:id="347"/>
      <w:bookmarkEnd w:id="348"/>
      <w:bookmarkEnd w:id="349"/>
    </w:p>
    <w:p w14:paraId="2558404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45A73FA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如发现隐瞒不报，致使文物遭受破坏，责任者依法承担相应责任。</w:t>
      </w:r>
    </w:p>
    <w:p w14:paraId="3C41012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24D5B35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所发现的地下障碍物有归属单位时，发包人应报请有关部门协同处置。</w:t>
      </w:r>
    </w:p>
    <w:p w14:paraId="354F0F91">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50" w:name="_Toc2533"/>
      <w:bookmarkStart w:id="351" w:name="_Toc6105"/>
      <w:bookmarkStart w:id="352" w:name="_Toc176192784"/>
      <w:bookmarkStart w:id="353" w:name="_Toc397364887"/>
      <w:r>
        <w:rPr>
          <w:rFonts w:hint="eastAsia" w:ascii="宋体" w:hAnsi="宋体" w:eastAsia="宋体" w:cs="宋体"/>
          <w:b/>
          <w:snapToGrid w:val="0"/>
          <w:kern w:val="0"/>
          <w:sz w:val="24"/>
        </w:rPr>
        <w:t>47、合同解除</w:t>
      </w:r>
      <w:bookmarkEnd w:id="350"/>
      <w:bookmarkEnd w:id="351"/>
      <w:bookmarkEnd w:id="352"/>
      <w:bookmarkEnd w:id="353"/>
    </w:p>
    <w:p w14:paraId="3514EF2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47.1发包人、承包人协商一致，可以解除合同。</w:t>
      </w:r>
    </w:p>
    <w:p w14:paraId="7F27EEA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47.2发生合同通用条款第28.4款情况，停止施工超过56天，发包人仍不支付工程款（进度款），承包人有权解除合同。</w:t>
      </w:r>
    </w:p>
    <w:p w14:paraId="39FB790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47.3发生合同通用条款第41.2款禁止的情况，承包人将其承包的全部工程转包给他人或者肢解以后以分包的名义分别转包给他人，发包人有权解除合同。</w:t>
      </w:r>
    </w:p>
    <w:p w14:paraId="7F5FAF4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47.4有下列情形之一的，发包人、承包人可以解除合同：</w:t>
      </w:r>
    </w:p>
    <w:p w14:paraId="14D4228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（1）因不可抗力致使合同无法履行；</w:t>
      </w:r>
    </w:p>
    <w:p w14:paraId="293DE9C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（2）因一方违约（包括因发包人原因造成工程停建或缓建）致使合同无法履行。</w:t>
      </w:r>
    </w:p>
    <w:p w14:paraId="473DD1A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29A1D30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4028C28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47.7合同解除后，不影响双方在合同约定的结算和清理条款的效力。</w:t>
      </w:r>
    </w:p>
    <w:p w14:paraId="76BC785B">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54" w:name="_Toc21505"/>
      <w:bookmarkStart w:id="355" w:name="_Toc176192785"/>
      <w:bookmarkStart w:id="356" w:name="_Toc3658"/>
      <w:bookmarkStart w:id="357" w:name="_Toc397364888"/>
      <w:r>
        <w:rPr>
          <w:rFonts w:hint="eastAsia" w:ascii="宋体" w:hAnsi="宋体" w:eastAsia="宋体" w:cs="宋体"/>
          <w:b/>
          <w:snapToGrid w:val="0"/>
          <w:kern w:val="0"/>
          <w:sz w:val="24"/>
        </w:rPr>
        <w:t>48、合同生效与终止</w:t>
      </w:r>
      <w:bookmarkEnd w:id="354"/>
      <w:bookmarkEnd w:id="355"/>
      <w:bookmarkEnd w:id="356"/>
      <w:bookmarkEnd w:id="357"/>
    </w:p>
    <w:p w14:paraId="376232C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48.1双方在合同协议书中约定合同生效方式。</w:t>
      </w:r>
    </w:p>
    <w:p w14:paraId="4D4379C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48.2除合同通用条款第40条外，发包人、承包人履行合同全部义务，竣工结算价款支付完毕，承包人向发包人交付竣工工程后，本合同即告终止。</w:t>
      </w:r>
    </w:p>
    <w:p w14:paraId="30A38D9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48.3合同的权利义务终止后，发包人、承包人应当遵循诚实信用原则，履行通知，协助、保密等义务。</w:t>
      </w:r>
    </w:p>
    <w:p w14:paraId="0D7B28C8">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58" w:name="_Toc14692"/>
      <w:bookmarkStart w:id="359" w:name="_Toc176192786"/>
      <w:bookmarkStart w:id="360" w:name="_Toc20476"/>
      <w:bookmarkStart w:id="361" w:name="_Toc397364889"/>
      <w:r>
        <w:rPr>
          <w:rFonts w:hint="eastAsia" w:ascii="宋体" w:hAnsi="宋体" w:eastAsia="宋体" w:cs="宋体"/>
          <w:b/>
          <w:snapToGrid w:val="0"/>
          <w:kern w:val="0"/>
          <w:sz w:val="24"/>
        </w:rPr>
        <w:t>49、合同份数</w:t>
      </w:r>
      <w:bookmarkEnd w:id="358"/>
      <w:bookmarkEnd w:id="359"/>
      <w:bookmarkEnd w:id="360"/>
      <w:bookmarkEnd w:id="361"/>
    </w:p>
    <w:p w14:paraId="48D8351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49.1本合同正本两份，具有同等效力，由发包人、承包人分别保存一份。</w:t>
      </w:r>
    </w:p>
    <w:p w14:paraId="297A2C5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49.2本合同副本份数，由双方根据需要在合同专用条款内约定。</w:t>
      </w:r>
    </w:p>
    <w:p w14:paraId="4F03F626">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362" w:name="_Toc397364890"/>
      <w:bookmarkStart w:id="363" w:name="_Toc472"/>
      <w:bookmarkStart w:id="364" w:name="_Toc2421"/>
      <w:bookmarkStart w:id="365" w:name="_Toc176192787"/>
      <w:r>
        <w:rPr>
          <w:rFonts w:hint="eastAsia" w:ascii="宋体" w:hAnsi="宋体" w:eastAsia="宋体" w:cs="宋体"/>
          <w:b/>
          <w:snapToGrid w:val="0"/>
          <w:kern w:val="0"/>
          <w:sz w:val="24"/>
        </w:rPr>
        <w:t>50、补充条款</w:t>
      </w:r>
      <w:bookmarkEnd w:id="362"/>
      <w:bookmarkEnd w:id="363"/>
      <w:bookmarkEnd w:id="364"/>
      <w:bookmarkEnd w:id="365"/>
    </w:p>
    <w:p w14:paraId="6606E2E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双方根据有关法律、行政法规规定，结合工程实际，经协商一致后，可对合同通用条款内容具体化、补充或修改，在合同专用条款内约定。</w:t>
      </w:r>
    </w:p>
    <w:p w14:paraId="313B7C41">
      <w:pPr>
        <w:adjustRightInd w:val="0"/>
        <w:snapToGrid w:val="0"/>
        <w:spacing w:line="440" w:lineRule="exact"/>
        <w:ind w:firstLine="480" w:firstLineChars="200"/>
        <w:rPr>
          <w:rFonts w:hint="eastAsia" w:ascii="宋体" w:hAnsi="宋体" w:eastAsia="宋体" w:cs="宋体"/>
          <w:snapToGrid w:val="0"/>
          <w:kern w:val="0"/>
          <w:sz w:val="24"/>
        </w:rPr>
      </w:pPr>
    </w:p>
    <w:p w14:paraId="521A9644">
      <w:pPr>
        <w:adjustRightInd w:val="0"/>
        <w:snapToGrid w:val="0"/>
        <w:spacing w:line="440" w:lineRule="exact"/>
        <w:ind w:right="11"/>
        <w:jc w:val="center"/>
        <w:outlineLvl w:val="0"/>
        <w:rPr>
          <w:rFonts w:hint="eastAsia" w:ascii="宋体" w:hAnsi="宋体" w:eastAsia="宋体" w:cs="宋体"/>
          <w:b/>
          <w:bCs/>
          <w:snapToGrid w:val="0"/>
          <w:kern w:val="0"/>
          <w:sz w:val="44"/>
          <w:szCs w:val="44"/>
        </w:rPr>
      </w:pPr>
      <w:r>
        <w:rPr>
          <w:rFonts w:hint="eastAsia" w:ascii="宋体" w:hAnsi="宋体" w:eastAsia="宋体" w:cs="宋体"/>
          <w:snapToGrid w:val="0"/>
          <w:kern w:val="0"/>
          <w:sz w:val="24"/>
        </w:rPr>
        <w:br w:type="page"/>
      </w:r>
      <w:bookmarkStart w:id="366" w:name="_Toc397364891"/>
      <w:bookmarkStart w:id="367" w:name="_Toc11286"/>
      <w:bookmarkStart w:id="368" w:name="_Toc176192788"/>
      <w:bookmarkStart w:id="369" w:name="_Toc24530"/>
      <w:r>
        <w:rPr>
          <w:rFonts w:hint="eastAsia" w:ascii="宋体" w:hAnsi="宋体" w:eastAsia="宋体" w:cs="宋体"/>
          <w:b/>
          <w:bCs/>
          <w:snapToGrid w:val="0"/>
          <w:kern w:val="0"/>
          <w:sz w:val="44"/>
          <w:szCs w:val="44"/>
        </w:rPr>
        <w:t xml:space="preserve">第三部分 </w:t>
      </w:r>
      <w:r>
        <w:rPr>
          <w:rFonts w:hint="eastAsia" w:ascii="宋体" w:hAnsi="宋体" w:eastAsia="宋体" w:cs="宋体"/>
          <w:snapToGrid w:val="0"/>
          <w:kern w:val="0"/>
          <w:sz w:val="24"/>
        </w:rPr>
        <w:t xml:space="preserve"> </w:t>
      </w:r>
      <w:r>
        <w:rPr>
          <w:rFonts w:hint="eastAsia" w:ascii="宋体" w:hAnsi="宋体" w:eastAsia="宋体" w:cs="宋体"/>
          <w:b/>
          <w:bCs/>
          <w:snapToGrid w:val="0"/>
          <w:kern w:val="0"/>
          <w:sz w:val="44"/>
          <w:szCs w:val="44"/>
        </w:rPr>
        <w:t>专用条款</w:t>
      </w:r>
      <w:bookmarkEnd w:id="113"/>
      <w:bookmarkEnd w:id="114"/>
      <w:bookmarkEnd w:id="115"/>
      <w:bookmarkEnd w:id="116"/>
      <w:bookmarkEnd w:id="366"/>
      <w:bookmarkEnd w:id="367"/>
      <w:bookmarkEnd w:id="368"/>
      <w:bookmarkEnd w:id="369"/>
    </w:p>
    <w:p w14:paraId="61038192">
      <w:pPr>
        <w:pStyle w:val="24"/>
        <w:adjustRightInd w:val="0"/>
        <w:snapToGrid w:val="0"/>
        <w:spacing w:line="44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（本部分条款的序号与合同通用条款的序号相对应，是根据本工程的实际情况</w:t>
      </w:r>
    </w:p>
    <w:p w14:paraId="5E8EBA32">
      <w:pPr>
        <w:pStyle w:val="24"/>
        <w:adjustRightInd w:val="0"/>
        <w:snapToGrid w:val="0"/>
        <w:spacing w:line="44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对合同通用条款中相对应条款进行修改、补充或否定，其适用顺序优先于合同</w:t>
      </w:r>
    </w:p>
    <w:p w14:paraId="2489E92E">
      <w:pPr>
        <w:pStyle w:val="24"/>
        <w:adjustRightInd w:val="0"/>
        <w:snapToGrid w:val="0"/>
        <w:spacing w:line="440" w:lineRule="exact"/>
        <w:jc w:val="center"/>
        <w:rPr>
          <w:rFonts w:hint="eastAsia" w:ascii="宋体" w:hAnsi="宋体" w:eastAsia="宋体" w:cs="宋体"/>
          <w:snapToGrid w:val="0"/>
          <w:kern w:val="0"/>
          <w:sz w:val="24"/>
        </w:rPr>
      </w:pPr>
      <w:r>
        <w:rPr>
          <w:rFonts w:hint="eastAsia" w:ascii="宋体" w:hAnsi="宋体" w:eastAsia="宋体" w:cs="宋体"/>
          <w:snapToGrid w:val="0"/>
          <w:kern w:val="0"/>
          <w:sz w:val="24"/>
        </w:rPr>
        <w:t>通用条款。本部分条款未阐明的内容，则按合同通用条款的有关约定执行）</w:t>
      </w:r>
    </w:p>
    <w:p w14:paraId="59C35B75">
      <w:pPr>
        <w:adjustRightInd w:val="0"/>
        <w:snapToGrid w:val="0"/>
        <w:spacing w:line="440" w:lineRule="exact"/>
        <w:jc w:val="center"/>
        <w:rPr>
          <w:rFonts w:hint="eastAsia" w:ascii="宋体" w:hAnsi="宋体" w:eastAsia="宋体" w:cs="宋体"/>
          <w:b/>
          <w:snapToGrid w:val="0"/>
          <w:kern w:val="0"/>
          <w:sz w:val="28"/>
          <w:szCs w:val="28"/>
        </w:rPr>
      </w:pPr>
    </w:p>
    <w:p w14:paraId="369877DD">
      <w:pPr>
        <w:adjustRightInd w:val="0"/>
        <w:snapToGrid w:val="0"/>
        <w:spacing w:line="440" w:lineRule="exact"/>
        <w:jc w:val="center"/>
        <w:outlineLvl w:val="1"/>
        <w:rPr>
          <w:rFonts w:hint="eastAsia" w:ascii="宋体" w:hAnsi="宋体" w:eastAsia="宋体" w:cs="宋体"/>
          <w:b/>
          <w:snapToGrid w:val="0"/>
          <w:kern w:val="0"/>
          <w:sz w:val="28"/>
          <w:szCs w:val="28"/>
        </w:rPr>
      </w:pPr>
      <w:bookmarkStart w:id="370" w:name="_Toc6716"/>
      <w:bookmarkStart w:id="371" w:name="_Toc6414"/>
      <w:bookmarkStart w:id="372" w:name="_Toc397364892"/>
      <w:bookmarkStart w:id="373" w:name="_Toc176192789"/>
      <w:r>
        <w:rPr>
          <w:rFonts w:hint="eastAsia" w:ascii="宋体" w:hAnsi="宋体" w:eastAsia="宋体" w:cs="宋体"/>
          <w:b/>
          <w:snapToGrid w:val="0"/>
          <w:kern w:val="0"/>
          <w:sz w:val="28"/>
          <w:szCs w:val="28"/>
        </w:rPr>
        <w:t>总  则</w:t>
      </w:r>
      <w:bookmarkEnd w:id="370"/>
      <w:bookmarkEnd w:id="371"/>
      <w:bookmarkEnd w:id="372"/>
      <w:bookmarkEnd w:id="373"/>
    </w:p>
    <w:p w14:paraId="123B2364">
      <w:pPr>
        <w:adjustRightInd w:val="0"/>
        <w:snapToGrid w:val="0"/>
        <w:spacing w:line="440" w:lineRule="exact"/>
        <w:ind w:firstLine="480" w:firstLineChars="200"/>
        <w:rPr>
          <w:rFonts w:hint="eastAsia" w:ascii="宋体" w:hAnsi="宋体" w:eastAsia="宋体" w:cs="宋体"/>
          <w:snapToGrid w:val="0"/>
          <w:kern w:val="0"/>
          <w:sz w:val="24"/>
        </w:rPr>
      </w:pPr>
      <w:bookmarkStart w:id="374" w:name="_Toc396662354"/>
      <w:r>
        <w:rPr>
          <w:rFonts w:hint="eastAsia" w:ascii="宋体" w:hAnsi="宋体" w:eastAsia="宋体" w:cs="宋体"/>
          <w:snapToGrid w:val="0"/>
          <w:kern w:val="0"/>
          <w:sz w:val="24"/>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bookmarkEnd w:id="374"/>
    </w:p>
    <w:p w14:paraId="01C97F76">
      <w:pPr>
        <w:adjustRightInd w:val="0"/>
        <w:snapToGrid w:val="0"/>
        <w:spacing w:line="440" w:lineRule="exact"/>
        <w:ind w:firstLine="480" w:firstLineChars="200"/>
        <w:rPr>
          <w:rFonts w:hint="eastAsia" w:ascii="宋体" w:hAnsi="宋体" w:eastAsia="宋体" w:cs="宋体"/>
          <w:snapToGrid w:val="0"/>
          <w:kern w:val="0"/>
          <w:sz w:val="24"/>
        </w:rPr>
      </w:pPr>
      <w:bookmarkStart w:id="375" w:name="_Toc396662355"/>
      <w:r>
        <w:rPr>
          <w:rFonts w:hint="eastAsia" w:ascii="宋体" w:hAnsi="宋体" w:eastAsia="宋体" w:cs="宋体"/>
          <w:snapToGrid w:val="0"/>
          <w:kern w:val="0"/>
          <w:sz w:val="24"/>
        </w:rPr>
        <w:t>2、发包人通过监理单位下达指令，监督承包人履约行为，承包人所有请求事项由监理单位协调并一般均通过监理单位接受或提出处理意见（发包人有特别要求和规定的除外）。</w:t>
      </w:r>
      <w:bookmarkEnd w:id="375"/>
    </w:p>
    <w:p w14:paraId="2A2B73F6">
      <w:pPr>
        <w:adjustRightInd w:val="0"/>
        <w:snapToGrid w:val="0"/>
        <w:spacing w:line="440" w:lineRule="exact"/>
        <w:ind w:firstLine="480" w:firstLineChars="200"/>
        <w:rPr>
          <w:rFonts w:hint="eastAsia" w:ascii="宋体" w:hAnsi="宋体" w:eastAsia="宋体" w:cs="宋体"/>
          <w:snapToGrid w:val="0"/>
          <w:kern w:val="0"/>
          <w:sz w:val="24"/>
        </w:rPr>
      </w:pPr>
      <w:bookmarkStart w:id="376" w:name="_Toc396662356"/>
      <w:r>
        <w:rPr>
          <w:rFonts w:hint="eastAsia" w:ascii="宋体" w:hAnsi="宋体" w:eastAsia="宋体" w:cs="宋体"/>
          <w:snapToGrid w:val="0"/>
          <w:kern w:val="0"/>
          <w:sz w:val="24"/>
        </w:rPr>
        <w:t>3、考虑到本工程的重要性，发包人将采取较为严密的组织管理形式，承包人需投入有别于其他项目的人力、物力，以满足本工程施工需要。</w:t>
      </w:r>
      <w:bookmarkEnd w:id="376"/>
    </w:p>
    <w:p w14:paraId="600C70A5">
      <w:pPr>
        <w:adjustRightInd w:val="0"/>
        <w:snapToGrid w:val="0"/>
        <w:spacing w:line="440" w:lineRule="exact"/>
        <w:ind w:firstLine="480" w:firstLineChars="200"/>
        <w:rPr>
          <w:rFonts w:hint="eastAsia" w:ascii="宋体" w:hAnsi="宋体" w:eastAsia="宋体" w:cs="宋体"/>
          <w:snapToGrid w:val="0"/>
          <w:kern w:val="0"/>
          <w:sz w:val="24"/>
        </w:rPr>
      </w:pPr>
      <w:bookmarkStart w:id="377" w:name="_Toc396662357"/>
      <w:r>
        <w:rPr>
          <w:rFonts w:hint="eastAsia" w:ascii="宋体" w:hAnsi="宋体" w:eastAsia="宋体" w:cs="宋体"/>
          <w:snapToGrid w:val="0"/>
          <w:kern w:val="0"/>
          <w:sz w:val="24"/>
        </w:rPr>
        <w:t>4、发包人根据工程推进实际情况，有权要求承包人的法定代表人或总经理进驻施工现场，协调各种事项。</w:t>
      </w:r>
      <w:bookmarkEnd w:id="377"/>
    </w:p>
    <w:p w14:paraId="584A5756">
      <w:pPr>
        <w:adjustRightInd w:val="0"/>
        <w:snapToGrid w:val="0"/>
        <w:spacing w:line="440" w:lineRule="exact"/>
        <w:ind w:firstLine="480" w:firstLineChars="200"/>
        <w:rPr>
          <w:rFonts w:hint="eastAsia" w:ascii="宋体" w:hAnsi="宋体" w:eastAsia="宋体" w:cs="宋体"/>
          <w:snapToGrid w:val="0"/>
          <w:kern w:val="0"/>
          <w:sz w:val="24"/>
        </w:rPr>
      </w:pPr>
      <w:bookmarkStart w:id="378" w:name="_Toc396662358"/>
      <w:r>
        <w:rPr>
          <w:rFonts w:hint="eastAsia" w:ascii="宋体" w:hAnsi="宋体" w:eastAsia="宋体" w:cs="宋体"/>
          <w:snapToGrid w:val="0"/>
          <w:kern w:val="0"/>
          <w:sz w:val="24"/>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bookmarkEnd w:id="378"/>
    </w:p>
    <w:p w14:paraId="37055F93">
      <w:pPr>
        <w:adjustRightInd w:val="0"/>
        <w:snapToGrid w:val="0"/>
        <w:spacing w:line="440" w:lineRule="exact"/>
        <w:ind w:firstLine="480" w:firstLineChars="200"/>
        <w:rPr>
          <w:rFonts w:hint="eastAsia" w:ascii="宋体" w:hAnsi="宋体" w:eastAsia="宋体" w:cs="宋体"/>
          <w:snapToGrid w:val="0"/>
          <w:kern w:val="0"/>
          <w:sz w:val="24"/>
        </w:rPr>
      </w:pPr>
      <w:bookmarkStart w:id="379" w:name="_Toc396662359"/>
      <w:r>
        <w:rPr>
          <w:rFonts w:hint="eastAsia" w:ascii="宋体" w:hAnsi="宋体" w:eastAsia="宋体" w:cs="宋体"/>
          <w:snapToGrid w:val="0"/>
          <w:kern w:val="0"/>
          <w:sz w:val="24"/>
        </w:rPr>
        <w:t>6、承包人承诺遵守发包人所制定的针对本工程管理的各项制度、规定，这些管理制度、规定必须符合下列原则：</w:t>
      </w:r>
      <w:bookmarkEnd w:id="379"/>
    </w:p>
    <w:p w14:paraId="6430625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（1）符合国家、广东省、广州市的有关法律法规、规范和标准；</w:t>
      </w:r>
    </w:p>
    <w:p w14:paraId="2F3A936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（2）符合对本工程进行有效管理的基本精神和要求；</w:t>
      </w:r>
    </w:p>
    <w:p w14:paraId="7536B049">
      <w:pPr>
        <w:adjustRightInd w:val="0"/>
        <w:snapToGrid w:val="0"/>
        <w:spacing w:line="440" w:lineRule="exact"/>
        <w:ind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（3）为确保工程质量、进度、安全文明施工管理所必须；</w:t>
      </w:r>
    </w:p>
    <w:p w14:paraId="4E15CBB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（4）不是针对某一特定的承包人。</w:t>
      </w:r>
    </w:p>
    <w:p w14:paraId="35360F2B">
      <w:pPr>
        <w:adjustRightInd w:val="0"/>
        <w:snapToGrid w:val="0"/>
        <w:spacing w:line="440" w:lineRule="exact"/>
        <w:rPr>
          <w:rFonts w:hint="eastAsia" w:ascii="宋体" w:hAnsi="宋体" w:eastAsia="宋体" w:cs="宋体"/>
          <w:snapToGrid w:val="0"/>
          <w:kern w:val="0"/>
          <w:sz w:val="24"/>
        </w:rPr>
      </w:pPr>
    </w:p>
    <w:p w14:paraId="75F0A19C">
      <w:pPr>
        <w:adjustRightInd w:val="0"/>
        <w:snapToGrid w:val="0"/>
        <w:spacing w:line="440" w:lineRule="exact"/>
        <w:jc w:val="left"/>
        <w:outlineLvl w:val="1"/>
        <w:rPr>
          <w:rFonts w:hint="eastAsia" w:ascii="宋体" w:hAnsi="宋体" w:eastAsia="宋体" w:cs="宋体"/>
          <w:b/>
          <w:sz w:val="28"/>
          <w:szCs w:val="28"/>
        </w:rPr>
      </w:pPr>
      <w:bookmarkStart w:id="380" w:name="_Toc10830"/>
      <w:bookmarkStart w:id="381" w:name="_Toc397364893"/>
      <w:bookmarkStart w:id="382" w:name="_Toc176192790"/>
      <w:bookmarkStart w:id="383" w:name="_Toc25109"/>
      <w:r>
        <w:rPr>
          <w:rFonts w:hint="eastAsia" w:ascii="宋体" w:hAnsi="宋体" w:eastAsia="宋体" w:cs="宋体"/>
          <w:b/>
          <w:sz w:val="28"/>
          <w:szCs w:val="28"/>
        </w:rPr>
        <w:t>一、词语定义及合同文件</w:t>
      </w:r>
      <w:bookmarkEnd w:id="380"/>
      <w:bookmarkEnd w:id="381"/>
      <w:bookmarkEnd w:id="382"/>
      <w:bookmarkEnd w:id="383"/>
    </w:p>
    <w:p w14:paraId="2B74D855">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384" w:name="_Toc10720"/>
      <w:bookmarkStart w:id="385" w:name="_Toc397364894"/>
      <w:bookmarkStart w:id="386" w:name="_Toc2263"/>
      <w:bookmarkStart w:id="387" w:name="_Toc176192791"/>
      <w:r>
        <w:rPr>
          <w:rFonts w:hint="eastAsia" w:ascii="宋体" w:hAnsi="宋体" w:eastAsia="宋体" w:cs="宋体"/>
          <w:b/>
          <w:snapToGrid w:val="0"/>
          <w:kern w:val="0"/>
          <w:sz w:val="24"/>
        </w:rPr>
        <w:t>1、词语定义</w:t>
      </w:r>
      <w:bookmarkEnd w:id="384"/>
      <w:bookmarkEnd w:id="385"/>
      <w:bookmarkEnd w:id="386"/>
      <w:bookmarkEnd w:id="387"/>
    </w:p>
    <w:p w14:paraId="3C9BF5B1">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1.3发包人</w:t>
      </w:r>
    </w:p>
    <w:p w14:paraId="462D65B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bCs/>
          <w:snapToGrid w:val="0"/>
          <w:kern w:val="0"/>
          <w:sz w:val="24"/>
        </w:rPr>
        <w:t>（1）发包人</w:t>
      </w:r>
      <w:r>
        <w:rPr>
          <w:rFonts w:hint="eastAsia" w:ascii="宋体" w:hAnsi="宋体" w:eastAsia="宋体" w:cs="宋体"/>
          <w:snapToGrid w:val="0"/>
          <w:kern w:val="0"/>
          <w:sz w:val="24"/>
        </w:rPr>
        <w:t>：在本合同中特指广州新中轴建设有限公司。</w:t>
      </w:r>
    </w:p>
    <w:p w14:paraId="56A3CBD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bCs/>
          <w:snapToGrid w:val="0"/>
          <w:kern w:val="0"/>
          <w:sz w:val="24"/>
        </w:rPr>
        <w:t>（2）</w:t>
      </w:r>
      <w:r>
        <w:rPr>
          <w:rFonts w:hint="eastAsia" w:ascii="宋体" w:hAnsi="宋体" w:eastAsia="宋体" w:cs="宋体"/>
          <w:snapToGrid w:val="0"/>
          <w:kern w:val="0"/>
          <w:sz w:val="24"/>
        </w:rPr>
        <w:t>合法继承人：指工程竣工验收合格后，发包人依据广州市人民政府的规定或者相关合同（协议）约定，将工程移交给其承接使用的产权管理单位。在继承生效后，合法继承人享有发包人在本合同中的一切权利及承担相应的义务。</w:t>
      </w:r>
    </w:p>
    <w:p w14:paraId="64D0A178">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1.6设计单位</w:t>
      </w:r>
    </w:p>
    <w:p w14:paraId="32CF5DA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本工程的设计单位是：</w:t>
      </w:r>
      <w:r>
        <w:rPr>
          <w:rFonts w:hint="eastAsia" w:ascii="宋体" w:hAnsi="宋体" w:eastAsia="宋体" w:cs="宋体"/>
          <w:snapToGrid w:val="0"/>
          <w:kern w:val="0"/>
          <w:sz w:val="24"/>
          <w:u w:val="single"/>
        </w:rPr>
        <w:t>【设计单位名称】</w:t>
      </w:r>
      <w:r>
        <w:rPr>
          <w:rFonts w:hint="eastAsia" w:ascii="宋体" w:hAnsi="宋体" w:eastAsia="宋体" w:cs="宋体"/>
          <w:snapToGrid w:val="0"/>
          <w:kern w:val="0"/>
          <w:sz w:val="24"/>
        </w:rPr>
        <w:t>。</w:t>
      </w:r>
    </w:p>
    <w:p w14:paraId="58496A99">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1.7监理单位</w:t>
      </w:r>
    </w:p>
    <w:p w14:paraId="138B44A1">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本工程的监理单位是：</w:t>
      </w:r>
      <w:r>
        <w:rPr>
          <w:rFonts w:hint="eastAsia" w:ascii="宋体" w:hAnsi="宋体" w:eastAsia="宋体" w:cs="宋体"/>
          <w:snapToGrid w:val="0"/>
          <w:kern w:val="0"/>
          <w:sz w:val="24"/>
          <w:u w:val="single"/>
        </w:rPr>
        <w:t>【监理单位名称】</w:t>
      </w:r>
      <w:r>
        <w:rPr>
          <w:rFonts w:hint="eastAsia" w:ascii="宋体" w:hAnsi="宋体" w:eastAsia="宋体" w:cs="宋体"/>
          <w:snapToGrid w:val="0"/>
          <w:kern w:val="0"/>
          <w:sz w:val="24"/>
        </w:rPr>
        <w:t>。</w:t>
      </w:r>
    </w:p>
    <w:p w14:paraId="60D48E2E">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1.8工程师</w:t>
      </w:r>
    </w:p>
    <w:p w14:paraId="555F75AB">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合同通用条款中的工程师，如无特别注明，均是指监理等单位派驻本工程施工场地的现场工作机构的负责人。</w:t>
      </w:r>
    </w:p>
    <w:p w14:paraId="4A31FDBB">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1.14工期</w:t>
      </w:r>
    </w:p>
    <w:p w14:paraId="7ADFDC40">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节点工期：指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791183F9">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1.20违约责任：指合同任何一方不履行或不完全履行合同约定的义务或者履行义务不符合合同约定所应承担的责任。</w:t>
      </w:r>
    </w:p>
    <w:p w14:paraId="3000EA0F">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（1）一般违约责任：指虽然违反本合同的约定，但其违约行为不对本合同的履行造成严重影响而应承担的责任。</w:t>
      </w:r>
    </w:p>
    <w:p w14:paraId="2E200C01">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（2）严重违约责任。指违反本合同的约定且其违约行为足以对本合同的履行造成严重或实质性的影响而应承担的责任。</w:t>
      </w:r>
    </w:p>
    <w:p w14:paraId="1E7951F1">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1.24通知：指合同中所提及的各方之间传达意思表示的方式，包括但不限于申请、报告、同意、答复、批准、指令、证书、决定等。除合同专用条款有特别约定外，只有采用书面形式的通知才有效。</w:t>
      </w:r>
    </w:p>
    <w:p w14:paraId="2F493A48">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1.25缺陷责任期：整体工程缺陷责任期</w:t>
      </w:r>
      <w:r>
        <w:rPr>
          <w:rFonts w:ascii="宋体" w:hAnsi="宋体" w:eastAsia="宋体" w:cs="宋体"/>
          <w:bCs/>
          <w:snapToGrid w:val="0"/>
          <w:kern w:val="0"/>
          <w:sz w:val="24"/>
          <w:u w:val="single"/>
        </w:rPr>
        <w:t>2</w:t>
      </w:r>
      <w:r>
        <w:rPr>
          <w:rFonts w:hint="eastAsia" w:ascii="宋体" w:hAnsi="宋体" w:eastAsia="宋体" w:cs="宋体"/>
          <w:bCs/>
          <w:snapToGrid w:val="0"/>
          <w:kern w:val="0"/>
          <w:sz w:val="24"/>
        </w:rPr>
        <w:t>年。</w:t>
      </w:r>
    </w:p>
    <w:p w14:paraId="274DAAAF">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1.26安全事故等级[《关于进一步规范房屋建筑和市政工程生产安全事故报告和调查处理工作的若干意见》（建质[2007]257号）]：</w:t>
      </w:r>
    </w:p>
    <w:p w14:paraId="6999BCD6">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（1）特别重大事故，是指造成30人以</w:t>
      </w:r>
      <w:bookmarkStart w:id="388" w:name="修改1"/>
      <w:bookmarkEnd w:id="388"/>
      <w:r>
        <w:rPr>
          <w:rFonts w:hint="eastAsia" w:ascii="宋体" w:hAnsi="宋体" w:eastAsia="宋体" w:cs="宋体"/>
          <w:bCs/>
          <w:snapToGrid w:val="0"/>
          <w:kern w:val="0"/>
          <w:sz w:val="24"/>
        </w:rPr>
        <w:t>上死亡，或者100人以上重伤，或者1亿元以上直接经济损失的事故；</w:t>
      </w:r>
    </w:p>
    <w:p w14:paraId="49EE3F99">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（2）重大事故，是指造成10人以上30人以下死亡，或者50人以上100人以下重伤，或者5000万元以上1亿元以下直接经济损失的事故；</w:t>
      </w:r>
    </w:p>
    <w:p w14:paraId="540AB2F6">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（3）较大事故，是指造成3人以上10人以下死亡，或者10人以上50人以下重伤，或者1000万元以上5000万元以下直接经济损失的事故；</w:t>
      </w:r>
    </w:p>
    <w:p w14:paraId="3980742A">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（4）一般事故，是指造成3人以下死亡，或者10人以下重伤，或者100万元以上1000万元以下直接经济损失的事故。</w:t>
      </w:r>
    </w:p>
    <w:p w14:paraId="0FF53F36">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上述所称的“以上”包括本数，所称的“以下”不包括本数。</w:t>
      </w:r>
    </w:p>
    <w:p w14:paraId="4E86A6D3">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1.27质量事故等级[《关于做好房屋建筑和市政基础设施工程质量事故报告和调查处理工作的通知》（建质[2010]111号）]：</w:t>
      </w:r>
    </w:p>
    <w:p w14:paraId="1EBACCF0">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根据工程质量事故造成的人员伤亡或者直接经济损失，工程质量事故分为4个等级：</w:t>
      </w:r>
    </w:p>
    <w:p w14:paraId="7F54D652">
      <w:pPr>
        <w:adjustRightInd w:val="0"/>
        <w:snapToGrid w:val="0"/>
        <w:spacing w:line="440" w:lineRule="exact"/>
        <w:ind w:firstLine="360" w:firstLineChars="150"/>
        <w:rPr>
          <w:rFonts w:hint="eastAsia" w:ascii="宋体" w:hAnsi="宋体" w:eastAsia="宋体" w:cs="宋体"/>
          <w:bCs/>
          <w:snapToGrid w:val="0"/>
          <w:kern w:val="0"/>
          <w:sz w:val="24"/>
        </w:rPr>
      </w:pPr>
      <w:r>
        <w:rPr>
          <w:rFonts w:hint="eastAsia" w:ascii="宋体" w:hAnsi="宋体" w:eastAsia="宋体" w:cs="宋体"/>
          <w:bCs/>
          <w:snapToGrid w:val="0"/>
          <w:kern w:val="0"/>
          <w:sz w:val="24"/>
        </w:rPr>
        <w:t>（1）特别重大事故，是指造成30人以上死亡，或者100人以上重伤，或者1亿元以上直接经济损失的事故；</w:t>
      </w:r>
    </w:p>
    <w:p w14:paraId="74AEFE66">
      <w:pPr>
        <w:adjustRightInd w:val="0"/>
        <w:snapToGrid w:val="0"/>
        <w:spacing w:line="440" w:lineRule="exact"/>
        <w:ind w:firstLine="360" w:firstLineChars="150"/>
        <w:rPr>
          <w:rFonts w:hint="eastAsia" w:ascii="宋体" w:hAnsi="宋体" w:eastAsia="宋体" w:cs="宋体"/>
          <w:bCs/>
          <w:snapToGrid w:val="0"/>
          <w:kern w:val="0"/>
          <w:sz w:val="24"/>
        </w:rPr>
      </w:pPr>
      <w:r>
        <w:rPr>
          <w:rFonts w:hint="eastAsia" w:ascii="宋体" w:hAnsi="宋体" w:eastAsia="宋体" w:cs="宋体"/>
          <w:bCs/>
          <w:snapToGrid w:val="0"/>
          <w:kern w:val="0"/>
          <w:sz w:val="24"/>
        </w:rPr>
        <w:t>（2）重大事故，是指造成10人以上30人以下死亡，或者50人以上100人以下重伤，或者5000万元以上1亿元以下直接经济损失的事故；</w:t>
      </w:r>
    </w:p>
    <w:p w14:paraId="78627D92">
      <w:pPr>
        <w:adjustRightInd w:val="0"/>
        <w:snapToGrid w:val="0"/>
        <w:spacing w:line="440" w:lineRule="exact"/>
        <w:ind w:firstLine="360" w:firstLineChars="150"/>
        <w:rPr>
          <w:rFonts w:hint="eastAsia" w:ascii="宋体" w:hAnsi="宋体" w:eastAsia="宋体" w:cs="宋体"/>
          <w:bCs/>
          <w:snapToGrid w:val="0"/>
          <w:kern w:val="0"/>
          <w:sz w:val="24"/>
        </w:rPr>
      </w:pPr>
      <w:r>
        <w:rPr>
          <w:rFonts w:hint="eastAsia" w:ascii="宋体" w:hAnsi="宋体" w:eastAsia="宋体" w:cs="宋体"/>
          <w:bCs/>
          <w:snapToGrid w:val="0"/>
          <w:kern w:val="0"/>
          <w:sz w:val="24"/>
        </w:rPr>
        <w:t>（3）较大事故，是指造成3人以上10人以下死亡，或者10人以上50人以下重伤，或者1000万元以上5000万元以下直接经济损失的事故；</w:t>
      </w:r>
    </w:p>
    <w:p w14:paraId="7578473E">
      <w:pPr>
        <w:adjustRightInd w:val="0"/>
        <w:snapToGrid w:val="0"/>
        <w:spacing w:line="440" w:lineRule="exact"/>
        <w:ind w:firstLine="360" w:firstLineChars="150"/>
        <w:rPr>
          <w:rFonts w:hint="eastAsia" w:ascii="宋体" w:hAnsi="宋体" w:eastAsia="宋体" w:cs="宋体"/>
          <w:bCs/>
          <w:snapToGrid w:val="0"/>
          <w:kern w:val="0"/>
          <w:sz w:val="24"/>
        </w:rPr>
      </w:pPr>
      <w:r>
        <w:rPr>
          <w:rFonts w:hint="eastAsia" w:ascii="宋体" w:hAnsi="宋体" w:eastAsia="宋体" w:cs="宋体"/>
          <w:bCs/>
          <w:snapToGrid w:val="0"/>
          <w:kern w:val="0"/>
          <w:sz w:val="24"/>
        </w:rPr>
        <w:t>（4）一般事故，是指造成3人以下死亡，或者10人以下重伤，或者100万元以上1000万元以下直接经济损失的事故。</w:t>
      </w:r>
    </w:p>
    <w:p w14:paraId="22520372">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本等级划分所称的“以上”包括本数，所称的“以下”不包括本数。</w:t>
      </w:r>
    </w:p>
    <w:p w14:paraId="3F5AF1DF">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1.28“综合单价（合价）包干项目”、“分部分项工程量清单计价”、“措施项目清单计价”、“其他项目清单计价”、“绿色施工安全防护措施费”、“暂列金额”等费用项目以招标文件的定义为准。</w:t>
      </w:r>
    </w:p>
    <w:p w14:paraId="1EFDE077">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1.29元：指人民币元。</w:t>
      </w:r>
    </w:p>
    <w:p w14:paraId="0C98F0A7">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1.30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6254EBB7">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1.32</w:t>
      </w:r>
      <w:r>
        <w:rPr>
          <w:rFonts w:hint="eastAsia" w:ascii="宋体" w:hAnsi="宋体" w:eastAsia="宋体" w:cs="宋体"/>
          <w:bCs/>
          <w:snapToGrid w:val="0"/>
          <w:spacing w:val="-6"/>
          <w:kern w:val="0"/>
          <w:sz w:val="24"/>
        </w:rPr>
        <w:t>单项工程：指具备独立施工条件并能形成独立使用功能的建筑物及构筑物。</w:t>
      </w:r>
    </w:p>
    <w:p w14:paraId="6EE3BC65">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1.33单位工程：指一个独立建筑物或构筑物中的每个专业工程，如：建筑工程、土建工程、安装工程等。</w:t>
      </w:r>
    </w:p>
    <w:p w14:paraId="31BF64A1">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1.34专业承包单位：指与发包人直接签订专业工程施工承包合同具有相应施工承包资格和资质的承包单位。</w:t>
      </w:r>
    </w:p>
    <w:p w14:paraId="16844ABC">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1.35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未使用部分仍归发包人所有。</w:t>
      </w:r>
    </w:p>
    <w:p w14:paraId="6C33C465">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w:t>
      </w:r>
      <w:r>
        <w:rPr>
          <w:rFonts w:ascii="宋体" w:hAnsi="宋体" w:eastAsia="宋体" w:cs="宋体"/>
          <w:bCs/>
          <w:snapToGrid w:val="0"/>
          <w:kern w:val="0"/>
          <w:sz w:val="24"/>
        </w:rPr>
        <w:t>6</w:t>
      </w:r>
      <w:r>
        <w:rPr>
          <w:rFonts w:hint="eastAsia" w:ascii="宋体" w:hAnsi="宋体" w:eastAsia="宋体" w:cs="宋体"/>
          <w:bCs/>
          <w:snapToGrid w:val="0"/>
          <w:kern w:val="0"/>
          <w:sz w:val="24"/>
        </w:rPr>
        <w:t>暂估价：指发包人在工程量清单中提供的用于支付必然发生但暂时不能确定价格的材料设备的单价以及专业工程的金额。</w:t>
      </w:r>
    </w:p>
    <w:p w14:paraId="19023614">
      <w:pPr>
        <w:adjustRightInd w:val="0"/>
        <w:snapToGrid w:val="0"/>
        <w:spacing w:line="440" w:lineRule="exact"/>
        <w:ind w:firstLine="480" w:firstLineChars="200"/>
        <w:outlineLvl w:val="3"/>
        <w:rPr>
          <w:rFonts w:hint="eastAsia" w:ascii="宋体" w:hAnsi="宋体" w:eastAsia="宋体" w:cs="宋体"/>
          <w:bCs/>
          <w:snapToGrid w:val="0"/>
          <w:kern w:val="0"/>
          <w:sz w:val="24"/>
        </w:rPr>
      </w:pPr>
      <w:bookmarkStart w:id="389" w:name="_Toc397364895"/>
      <w:bookmarkStart w:id="390" w:name="_Toc4775"/>
      <w:bookmarkStart w:id="391" w:name="_Toc14873"/>
      <w:r>
        <w:rPr>
          <w:rFonts w:hint="eastAsia" w:ascii="宋体" w:hAnsi="宋体" w:eastAsia="宋体" w:cs="宋体"/>
          <w:bCs/>
          <w:snapToGrid w:val="0"/>
          <w:kern w:val="0"/>
          <w:sz w:val="24"/>
        </w:rPr>
        <w:t>1.3</w:t>
      </w:r>
      <w:r>
        <w:rPr>
          <w:rFonts w:ascii="宋体" w:hAnsi="宋体" w:eastAsia="宋体" w:cs="宋体"/>
          <w:bCs/>
          <w:snapToGrid w:val="0"/>
          <w:kern w:val="0"/>
          <w:sz w:val="24"/>
        </w:rPr>
        <w:t>7</w:t>
      </w:r>
      <w:r>
        <w:rPr>
          <w:rFonts w:hint="eastAsia" w:ascii="宋体" w:hAnsi="宋体" w:eastAsia="宋体" w:cs="宋体"/>
          <w:bCs/>
          <w:snapToGrid w:val="0"/>
          <w:kern w:val="0"/>
          <w:sz w:val="24"/>
        </w:rPr>
        <w:t>本工程综合考评小组：指在本工程建设期间，由发包人组建的、代表发包人对各参建单位合同履约情况进行考核的机构。</w:t>
      </w:r>
    </w:p>
    <w:p w14:paraId="04E15996">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w:t>
      </w:r>
      <w:r>
        <w:rPr>
          <w:rFonts w:ascii="宋体" w:hAnsi="宋体" w:eastAsia="宋体" w:cs="宋体"/>
          <w:bCs/>
          <w:snapToGrid w:val="0"/>
          <w:kern w:val="0"/>
          <w:sz w:val="24"/>
        </w:rPr>
        <w:t>8</w:t>
      </w:r>
      <w:bookmarkStart w:id="392" w:name="_Hlk176185387"/>
      <w:r>
        <w:rPr>
          <w:rFonts w:hint="eastAsia" w:ascii="宋体" w:hAnsi="宋体" w:eastAsia="宋体" w:cs="宋体"/>
          <w:bCs/>
          <w:snapToGrid w:val="0"/>
          <w:kern w:val="0"/>
          <w:sz w:val="24"/>
        </w:rPr>
        <w:t>信息价基准期</w:t>
      </w:r>
      <w:bookmarkEnd w:id="392"/>
      <w:r>
        <w:rPr>
          <w:rFonts w:hint="eastAsia" w:ascii="宋体" w:hAnsi="宋体" w:eastAsia="宋体" w:cs="宋体"/>
          <w:bCs/>
          <w:snapToGrid w:val="0"/>
          <w:kern w:val="0"/>
          <w:sz w:val="24"/>
        </w:rPr>
        <w:t>：</w:t>
      </w:r>
      <w:r>
        <w:rPr>
          <w:rFonts w:hint="eastAsia" w:ascii="宋体" w:hAnsi="宋体" w:eastAsia="宋体" w:cs="宋体"/>
          <w:snapToGrid w:val="0"/>
          <w:kern w:val="0"/>
          <w:sz w:val="24"/>
          <w:u w:val="single"/>
        </w:rPr>
        <w:t>2025年1月</w:t>
      </w:r>
      <w:r>
        <w:rPr>
          <w:rFonts w:hint="eastAsia" w:ascii="宋体" w:hAnsi="宋体" w:eastAsia="宋体" w:cs="宋体"/>
          <w:bCs/>
          <w:snapToGrid w:val="0"/>
          <w:kern w:val="0"/>
          <w:sz w:val="24"/>
        </w:rPr>
        <w:t>。</w:t>
      </w:r>
    </w:p>
    <w:p w14:paraId="54368B6F">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393" w:name="_Toc176192792"/>
      <w:r>
        <w:rPr>
          <w:rFonts w:hint="eastAsia" w:ascii="宋体" w:hAnsi="宋体" w:eastAsia="宋体" w:cs="宋体"/>
          <w:b/>
          <w:snapToGrid w:val="0"/>
          <w:kern w:val="0"/>
          <w:sz w:val="24"/>
        </w:rPr>
        <w:t>2、合同文件及解释顺序</w:t>
      </w:r>
      <w:bookmarkEnd w:id="389"/>
      <w:bookmarkEnd w:id="390"/>
      <w:bookmarkEnd w:id="391"/>
      <w:bookmarkEnd w:id="393"/>
    </w:p>
    <w:p w14:paraId="4B90072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2.1按合同协议书第7条执行。</w:t>
      </w:r>
    </w:p>
    <w:p w14:paraId="6F6F373C">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394" w:name="_Toc397364896"/>
      <w:bookmarkStart w:id="395" w:name="_Toc176192793"/>
      <w:bookmarkStart w:id="396" w:name="_Toc5228"/>
      <w:bookmarkStart w:id="397" w:name="_Toc23953"/>
      <w:r>
        <w:rPr>
          <w:rFonts w:hint="eastAsia" w:ascii="宋体" w:hAnsi="宋体" w:eastAsia="宋体" w:cs="宋体"/>
          <w:b/>
          <w:snapToGrid w:val="0"/>
          <w:kern w:val="0"/>
          <w:sz w:val="24"/>
        </w:rPr>
        <w:t>3、语言文字和适用法律、标准及规范</w:t>
      </w:r>
      <w:bookmarkEnd w:id="394"/>
      <w:bookmarkEnd w:id="395"/>
      <w:bookmarkEnd w:id="396"/>
      <w:bookmarkEnd w:id="397"/>
    </w:p>
    <w:p w14:paraId="18A6F15C">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3.2适用法律和法规</w:t>
      </w:r>
    </w:p>
    <w:p w14:paraId="578613F0">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snapToGrid w:val="0"/>
          <w:kern w:val="0"/>
          <w:sz w:val="24"/>
        </w:rPr>
        <w:t>适用于本合同的法律法规是中华人民共和国法律、法规，合同约定的部门规章及工程所在地的地方法规。</w:t>
      </w:r>
    </w:p>
    <w:p w14:paraId="4DB7BCE5">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需要明示的法律、行政法规：《中华人民共和国民法典》、《中华人民共和国建筑法》、《中华人民共和国招投标法》、《建设工程质量管理条例》。</w:t>
      </w:r>
    </w:p>
    <w:p w14:paraId="1CD68DD0">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3.3适用标准、规范</w:t>
      </w:r>
    </w:p>
    <w:p w14:paraId="6E0B1843">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适用标准、规范的名称：国家及广东省、广州市现行有效的有关建设项目管理、设计、施工及验收规范和验收标准，以及发包人根据本工程具体情况依照国家有关标准、规范制订的建设工程管理办法。</w:t>
      </w:r>
    </w:p>
    <w:p w14:paraId="3AAEA8EB">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398" w:name="_Toc176192794"/>
      <w:bookmarkStart w:id="399" w:name="_Toc31240"/>
      <w:bookmarkStart w:id="400" w:name="_Toc397364897"/>
      <w:bookmarkStart w:id="401" w:name="_Toc24347"/>
      <w:r>
        <w:rPr>
          <w:rFonts w:hint="eastAsia" w:ascii="宋体" w:hAnsi="宋体" w:eastAsia="宋体" w:cs="宋体"/>
          <w:b/>
          <w:snapToGrid w:val="0"/>
          <w:kern w:val="0"/>
          <w:sz w:val="24"/>
        </w:rPr>
        <w:t>4、图纸</w:t>
      </w:r>
      <w:bookmarkEnd w:id="398"/>
      <w:bookmarkEnd w:id="399"/>
      <w:bookmarkEnd w:id="400"/>
      <w:bookmarkEnd w:id="401"/>
    </w:p>
    <w:p w14:paraId="59930C79">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4.1发包人向承包人提供图纸的日期和套数：发包人在开工前向承包人提供8套图纸（其中4套为编制竣工图所需）。承包人确需增加图纸套数的，应当取得发包人的同意，所需费用由承包人自行承担。</w:t>
      </w:r>
    </w:p>
    <w:p w14:paraId="79525445">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4.2对图纸的保密要求：由发包人提供的图纸、文件等，未经发包人许可，承包人不得用于本工程以外的项目或者转借、出让、泄露给第三方。保密措施费用由承包人自行承担。</w:t>
      </w:r>
    </w:p>
    <w:p w14:paraId="6677E4DC">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4.3承包人需对发包人提供的图纸进行必要的深化设计，经发包人审批同意后进行施工安装，相关深化设计费用由承包人自行承担。</w:t>
      </w:r>
    </w:p>
    <w:p w14:paraId="2093A743">
      <w:pPr>
        <w:adjustRightInd w:val="0"/>
        <w:snapToGrid w:val="0"/>
        <w:spacing w:line="440" w:lineRule="exact"/>
        <w:ind w:right="11"/>
        <w:rPr>
          <w:rFonts w:hint="eastAsia" w:ascii="宋体" w:hAnsi="宋体" w:eastAsia="宋体" w:cs="宋体"/>
          <w:bCs/>
          <w:snapToGrid w:val="0"/>
          <w:kern w:val="0"/>
          <w:sz w:val="24"/>
        </w:rPr>
      </w:pPr>
    </w:p>
    <w:p w14:paraId="5B8478EC">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402" w:name="_Toc17992"/>
      <w:bookmarkStart w:id="403" w:name="_Toc176192795"/>
      <w:bookmarkStart w:id="404" w:name="_Toc17973"/>
      <w:bookmarkStart w:id="405" w:name="_Toc397364898"/>
      <w:r>
        <w:rPr>
          <w:rFonts w:hint="eastAsia" w:ascii="宋体" w:hAnsi="宋体" w:eastAsia="宋体" w:cs="宋体"/>
          <w:b/>
          <w:bCs/>
          <w:snapToGrid w:val="0"/>
          <w:kern w:val="0"/>
          <w:sz w:val="28"/>
          <w:szCs w:val="28"/>
        </w:rPr>
        <w:t>二、双方一般权利和义务</w:t>
      </w:r>
      <w:bookmarkEnd w:id="402"/>
      <w:bookmarkEnd w:id="403"/>
      <w:bookmarkEnd w:id="404"/>
      <w:bookmarkEnd w:id="405"/>
    </w:p>
    <w:p w14:paraId="041FEFCC">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406" w:name="_Toc32386"/>
      <w:bookmarkStart w:id="407" w:name="_Toc29031"/>
      <w:bookmarkStart w:id="408" w:name="_Toc397364899"/>
      <w:bookmarkStart w:id="409" w:name="_Toc176192796"/>
      <w:r>
        <w:rPr>
          <w:rFonts w:hint="eastAsia" w:ascii="宋体" w:hAnsi="宋体" w:eastAsia="宋体" w:cs="宋体"/>
          <w:b/>
          <w:snapToGrid w:val="0"/>
          <w:kern w:val="0"/>
          <w:sz w:val="24"/>
        </w:rPr>
        <w:t>5、工程师</w:t>
      </w:r>
      <w:bookmarkEnd w:id="406"/>
      <w:bookmarkEnd w:id="407"/>
      <w:bookmarkEnd w:id="408"/>
      <w:bookmarkEnd w:id="409"/>
    </w:p>
    <w:p w14:paraId="583F1477">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5.1监理单位</w:t>
      </w:r>
    </w:p>
    <w:p w14:paraId="0700EB4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本工程的监理单位的职责以发包人与监理单位签订的监理合同为准。</w:t>
      </w:r>
    </w:p>
    <w:p w14:paraId="494ED8A9">
      <w:pPr>
        <w:spacing w:line="440" w:lineRule="exact"/>
        <w:ind w:right="11" w:firstLine="480" w:firstLineChars="200"/>
        <w:rPr>
          <w:rFonts w:hint="eastAsia" w:ascii="宋体" w:hAnsi="宋体" w:eastAsia="宋体" w:cs="宋体"/>
          <w:sz w:val="24"/>
          <w:szCs w:val="20"/>
        </w:rPr>
      </w:pPr>
      <w:r>
        <w:rPr>
          <w:rFonts w:hint="eastAsia" w:ascii="宋体" w:hAnsi="宋体" w:eastAsia="宋体" w:cs="宋体"/>
          <w:sz w:val="24"/>
          <w:szCs w:val="20"/>
        </w:rPr>
        <w:t>5.2总监理工程师</w:t>
      </w:r>
    </w:p>
    <w:p w14:paraId="70DAAB60">
      <w:pPr>
        <w:spacing w:line="440" w:lineRule="exact"/>
        <w:ind w:right="11" w:firstLine="480" w:firstLineChars="200"/>
        <w:rPr>
          <w:rFonts w:hint="eastAsia" w:ascii="宋体" w:hAnsi="宋体" w:eastAsia="宋体" w:cs="宋体"/>
          <w:sz w:val="24"/>
          <w:szCs w:val="20"/>
        </w:rPr>
      </w:pPr>
      <w:r>
        <w:rPr>
          <w:rFonts w:hint="eastAsia" w:ascii="宋体" w:hAnsi="宋体" w:eastAsia="宋体" w:cs="宋体"/>
          <w:sz w:val="24"/>
          <w:szCs w:val="20"/>
        </w:rPr>
        <w:t>5.2.1总监理工程师是监理单位派驻本工程施工场地的监理机构的负责人。</w:t>
      </w:r>
    </w:p>
    <w:p w14:paraId="0FED75DE">
      <w:pPr>
        <w:spacing w:line="440" w:lineRule="exact"/>
        <w:ind w:right="11" w:firstLine="460" w:firstLineChars="192"/>
        <w:rPr>
          <w:rFonts w:hint="eastAsia" w:ascii="宋体" w:hAnsi="宋体" w:eastAsia="宋体" w:cs="宋体"/>
          <w:sz w:val="24"/>
          <w:szCs w:val="20"/>
        </w:rPr>
      </w:pPr>
      <w:bookmarkStart w:id="410" w:name="_Hlk176185412"/>
      <w:r>
        <w:rPr>
          <w:rFonts w:hint="eastAsia" w:ascii="宋体" w:hAnsi="宋体" w:eastAsia="宋体" w:cs="宋体"/>
          <w:sz w:val="24"/>
          <w:szCs w:val="20"/>
        </w:rPr>
        <w:t>姓名</w:t>
      </w:r>
      <w:bookmarkEnd w:id="410"/>
      <w:r>
        <w:rPr>
          <w:rFonts w:hint="eastAsia" w:ascii="宋体" w:hAnsi="宋体" w:eastAsia="宋体" w:cs="宋体"/>
          <w:sz w:val="24"/>
          <w:szCs w:val="20"/>
        </w:rPr>
        <w:t>：</w:t>
      </w:r>
      <w:r>
        <w:rPr>
          <w:rFonts w:hint="eastAsia" w:ascii="宋体" w:hAnsi="宋体" w:eastAsia="宋体" w:cs="宋体"/>
          <w:snapToGrid w:val="0"/>
          <w:kern w:val="0"/>
          <w:sz w:val="24"/>
          <w:u w:val="single"/>
        </w:rPr>
        <w:t>【总监理工程师姓名】</w:t>
      </w:r>
      <w:r>
        <w:rPr>
          <w:rFonts w:hint="eastAsia" w:ascii="宋体" w:hAnsi="宋体" w:eastAsia="宋体" w:cs="宋体"/>
          <w:sz w:val="24"/>
          <w:szCs w:val="20"/>
        </w:rPr>
        <w:t>。</w:t>
      </w:r>
    </w:p>
    <w:p w14:paraId="23CF8005">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5.3</w:t>
      </w:r>
      <w:r>
        <w:rPr>
          <w:rFonts w:hint="eastAsia" w:ascii="宋体" w:hAnsi="宋体" w:eastAsia="宋体" w:cs="宋体"/>
          <w:snapToGrid w:val="0"/>
          <w:kern w:val="0"/>
          <w:sz w:val="24"/>
        </w:rPr>
        <w:t>发包人代表</w:t>
      </w:r>
    </w:p>
    <w:p w14:paraId="6A6F0666">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发包人派驻施工场地履行合同的代表在本合同中称为发包人代表。</w:t>
      </w:r>
    </w:p>
    <w:p w14:paraId="405554F1">
      <w:pPr>
        <w:adjustRightInd w:val="0"/>
        <w:snapToGrid w:val="0"/>
        <w:spacing w:line="440" w:lineRule="exact"/>
        <w:ind w:right="11" w:firstLine="460" w:firstLineChars="192"/>
        <w:rPr>
          <w:rFonts w:hint="eastAsia" w:ascii="宋体" w:hAnsi="宋体" w:eastAsia="宋体" w:cs="宋体"/>
          <w:bCs/>
          <w:strike/>
          <w:snapToGrid w:val="0"/>
          <w:kern w:val="0"/>
          <w:sz w:val="24"/>
          <w:u w:val="single"/>
        </w:rPr>
      </w:pPr>
      <w:r>
        <w:rPr>
          <w:rFonts w:hint="eastAsia" w:ascii="宋体" w:hAnsi="宋体" w:eastAsia="宋体" w:cs="宋体"/>
          <w:bCs/>
          <w:snapToGrid w:val="0"/>
          <w:kern w:val="0"/>
          <w:sz w:val="24"/>
        </w:rPr>
        <w:t>姓名：</w:t>
      </w:r>
      <w:r>
        <w:rPr>
          <w:rFonts w:hint="eastAsia" w:ascii="宋体" w:hAnsi="宋体" w:eastAsia="宋体" w:cs="宋体"/>
          <w:snapToGrid w:val="0"/>
          <w:kern w:val="0"/>
          <w:sz w:val="24"/>
          <w:u w:val="single"/>
        </w:rPr>
        <w:t>【发包人代表姓名】</w:t>
      </w:r>
      <w:r>
        <w:rPr>
          <w:rFonts w:hint="eastAsia" w:ascii="宋体" w:hAnsi="宋体" w:eastAsia="宋体" w:cs="宋体"/>
          <w:sz w:val="24"/>
          <w:szCs w:val="20"/>
        </w:rPr>
        <w:t>。</w:t>
      </w:r>
    </w:p>
    <w:p w14:paraId="24A86BE2">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411" w:name="_Toc576"/>
      <w:bookmarkStart w:id="412" w:name="_Toc9045"/>
      <w:bookmarkStart w:id="413" w:name="_Toc397364900"/>
      <w:bookmarkStart w:id="414" w:name="_Toc176192797"/>
      <w:r>
        <w:rPr>
          <w:rFonts w:hint="eastAsia" w:ascii="宋体" w:hAnsi="宋体" w:eastAsia="宋体" w:cs="宋体"/>
          <w:b/>
          <w:snapToGrid w:val="0"/>
          <w:kern w:val="0"/>
          <w:sz w:val="24"/>
        </w:rPr>
        <w:t>6、工程师的委派和指令</w:t>
      </w:r>
      <w:bookmarkEnd w:id="411"/>
      <w:bookmarkEnd w:id="412"/>
      <w:bookmarkEnd w:id="413"/>
      <w:bookmarkEnd w:id="414"/>
    </w:p>
    <w:p w14:paraId="6C3F77C5">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14:paraId="59E2A305">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6.3由于总监理工程师未能按合同约定履行义务造成工期延误的，工期顺延情形只适用于一般节点工期。</w:t>
      </w:r>
    </w:p>
    <w:p w14:paraId="6694EABA">
      <w:pPr>
        <w:adjustRightInd w:val="0"/>
        <w:snapToGrid w:val="0"/>
        <w:spacing w:line="440" w:lineRule="exact"/>
        <w:ind w:right="11" w:firstLine="463" w:firstLineChars="192"/>
        <w:rPr>
          <w:rFonts w:hint="eastAsia" w:ascii="宋体" w:hAnsi="宋体" w:eastAsia="宋体" w:cs="宋体"/>
          <w:b/>
          <w:bCs/>
          <w:snapToGrid w:val="0"/>
          <w:kern w:val="0"/>
          <w:sz w:val="24"/>
        </w:rPr>
      </w:pPr>
      <w:r>
        <w:rPr>
          <w:rFonts w:hint="eastAsia" w:ascii="宋体" w:hAnsi="宋体" w:eastAsia="宋体" w:cs="宋体"/>
          <w:b/>
          <w:bCs/>
          <w:snapToGrid w:val="0"/>
          <w:kern w:val="0"/>
          <w:sz w:val="24"/>
        </w:rPr>
        <w:t>承包人与发包人一致同意增加6.5、6.6：</w:t>
      </w:r>
    </w:p>
    <w:p w14:paraId="79FDE1B2">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6.5除特别指明外，总监理工程师对承包人的任何工作、工程或其采用的材料和设备未提出否定意见的，不应视为已获批准，也不影响总监理工程师在以后拒绝该项工作、工程、材料设备的权利。</w:t>
      </w:r>
    </w:p>
    <w:p w14:paraId="1BC85ABC">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6.6总监理工程师的指令应该有总监理工程师的签字，并加盖监理单位本项目驻场地机构印章。</w:t>
      </w:r>
    </w:p>
    <w:p w14:paraId="704D9584">
      <w:pPr>
        <w:adjustRightInd w:val="0"/>
        <w:snapToGrid w:val="0"/>
        <w:spacing w:line="440" w:lineRule="exact"/>
        <w:ind w:firstLine="480"/>
        <w:outlineLvl w:val="2"/>
        <w:rPr>
          <w:rFonts w:hint="eastAsia" w:ascii="宋体" w:hAnsi="宋体" w:eastAsia="宋体" w:cs="宋体"/>
          <w:b/>
          <w:snapToGrid w:val="0"/>
          <w:kern w:val="0"/>
          <w:sz w:val="24"/>
        </w:rPr>
      </w:pPr>
      <w:bookmarkStart w:id="415" w:name="_Toc176192798"/>
      <w:bookmarkStart w:id="416" w:name="_Toc2794"/>
      <w:bookmarkStart w:id="417" w:name="_Toc397364901"/>
      <w:bookmarkStart w:id="418" w:name="_Toc31606"/>
      <w:r>
        <w:rPr>
          <w:rFonts w:hint="eastAsia" w:ascii="宋体" w:hAnsi="宋体" w:eastAsia="宋体" w:cs="宋体"/>
          <w:b/>
          <w:snapToGrid w:val="0"/>
          <w:kern w:val="0"/>
          <w:sz w:val="24"/>
        </w:rPr>
        <w:t>7、项目经理</w:t>
      </w:r>
      <w:bookmarkEnd w:id="415"/>
      <w:bookmarkEnd w:id="416"/>
      <w:bookmarkEnd w:id="417"/>
      <w:bookmarkEnd w:id="418"/>
    </w:p>
    <w:p w14:paraId="6B6DE422">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7.1本工程项目经理（项目负责人）</w:t>
      </w:r>
    </w:p>
    <w:p w14:paraId="71D5DDDD">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姓名：</w:t>
      </w:r>
      <w:r>
        <w:rPr>
          <w:rFonts w:hint="eastAsia" w:ascii="宋体" w:hAnsi="宋体" w:eastAsia="宋体" w:cs="宋体"/>
          <w:snapToGrid w:val="0"/>
          <w:kern w:val="0"/>
          <w:sz w:val="24"/>
          <w:u w:val="single"/>
        </w:rPr>
        <w:t>【项目负责人姓名】</w:t>
      </w:r>
      <w:r>
        <w:rPr>
          <w:rFonts w:hint="eastAsia" w:ascii="宋体" w:hAnsi="宋体" w:eastAsia="宋体" w:cs="宋体"/>
          <w:sz w:val="24"/>
          <w:szCs w:val="20"/>
        </w:rPr>
        <w:t>。联系方式：</w:t>
      </w:r>
      <w:r>
        <w:rPr>
          <w:rFonts w:hint="eastAsia" w:ascii="宋体" w:hAnsi="宋体" w:eastAsia="宋体" w:cs="宋体"/>
          <w:snapToGrid w:val="0"/>
          <w:kern w:val="0"/>
          <w:sz w:val="24"/>
          <w:u w:val="single"/>
        </w:rPr>
        <w:t>【项目负责人联系方式】</w:t>
      </w:r>
    </w:p>
    <w:p w14:paraId="34AD6EA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7.3合同通用条款第7.3款所提及的工期顺延情形只适用于一般节点工期。</w:t>
      </w:r>
    </w:p>
    <w:p w14:paraId="7C7BEBBD">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b/>
          <w:bCs/>
          <w:snapToGrid w:val="0"/>
          <w:kern w:val="0"/>
          <w:sz w:val="24"/>
        </w:rPr>
        <w:t>承包人与发包人一致同意增加7.6至7.9：</w:t>
      </w:r>
    </w:p>
    <w:p w14:paraId="390FAC65">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7.6现场管理机构</w:t>
      </w:r>
    </w:p>
    <w:p w14:paraId="2955668D">
      <w:pPr>
        <w:adjustRightInd w:val="0"/>
        <w:snapToGrid w:val="0"/>
        <w:spacing w:line="440" w:lineRule="exact"/>
        <w:ind w:firstLine="480"/>
        <w:rPr>
          <w:rFonts w:hint="eastAsia" w:ascii="宋体" w:hAnsi="宋体" w:eastAsia="宋体" w:cs="宋体"/>
          <w:bCs/>
          <w:snapToGrid w:val="0"/>
          <w:kern w:val="0"/>
          <w:sz w:val="24"/>
        </w:rPr>
      </w:pPr>
      <w:r>
        <w:rPr>
          <w:rFonts w:hint="eastAsia" w:ascii="宋体" w:hAnsi="宋体" w:eastAsia="宋体" w:cs="宋体"/>
          <w:snapToGrid w:val="0"/>
          <w:kern w:val="0"/>
          <w:sz w:val="24"/>
        </w:rPr>
        <w:t>（1）承包人必须按照投标文件的承诺建立现场管理机构，严格执行《建设工程项目管理规范》（GB/T50326-2017），并积极主动接受建设行政主管部门的监督和检查。</w:t>
      </w:r>
    </w:p>
    <w:p w14:paraId="4C4BEA1E">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（2）现场管理机构各</w:t>
      </w:r>
      <w:r>
        <w:rPr>
          <w:rFonts w:hint="eastAsia" w:ascii="宋体" w:hAnsi="宋体" w:eastAsia="宋体" w:cs="宋体"/>
          <w:bCs/>
          <w:snapToGrid w:val="0"/>
          <w:kern w:val="0"/>
          <w:sz w:val="24"/>
        </w:rPr>
        <w:t>部</w:t>
      </w:r>
      <w:r>
        <w:rPr>
          <w:rFonts w:hint="eastAsia" w:ascii="宋体" w:hAnsi="宋体" w:eastAsia="宋体" w:cs="宋体"/>
          <w:snapToGrid w:val="0"/>
          <w:kern w:val="0"/>
          <w:sz w:val="24"/>
        </w:rPr>
        <w:t>主要组织管理人员在开工前必须全部到位，并接受总监理工程师和发包人代表的查验。</w:t>
      </w:r>
    </w:p>
    <w:p w14:paraId="176151E6">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3</w:t>
      </w:r>
      <w:r>
        <w:rPr>
          <w:rFonts w:hint="eastAsia" w:ascii="宋体" w:hAnsi="宋体" w:eastAsia="宋体" w:cs="宋体"/>
          <w:snapToGrid w:val="0"/>
          <w:kern w:val="0"/>
          <w:sz w:val="24"/>
        </w:rPr>
        <w:t>）承包人委派的现场管理机构主要组织管理人员不得有在其他项目兼职情况存在，并需接受监理单位的监督。</w:t>
      </w:r>
    </w:p>
    <w:p w14:paraId="0B8FA599">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（4）承包人管理人员不得存在“挂证”投标行为，如存在上述行为，承包人需无条件地按照招标文件约定的人员资格要求进行更换，并按合同条款第3</w:t>
      </w:r>
      <w:r>
        <w:rPr>
          <w:rFonts w:ascii="宋体" w:hAnsi="宋体" w:eastAsia="宋体" w:cs="宋体"/>
          <w:snapToGrid w:val="0"/>
          <w:kern w:val="0"/>
          <w:sz w:val="24"/>
        </w:rPr>
        <w:t>8</w:t>
      </w:r>
      <w:r>
        <w:rPr>
          <w:rFonts w:hint="eastAsia" w:ascii="宋体" w:hAnsi="宋体" w:eastAsia="宋体" w:cs="宋体"/>
          <w:snapToGrid w:val="0"/>
          <w:kern w:val="0"/>
          <w:sz w:val="24"/>
        </w:rPr>
        <w:t>条的约定承担违约金，发包人将保留向行业主管部门通报相关情况的权利。</w:t>
      </w:r>
    </w:p>
    <w:p w14:paraId="20D0852C">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7.7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14:paraId="7A91B15D">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更换人员必须履行建设行政主管部门规定的人员变更手续，后任人员继续行使前任的职权，履行前任的义务。</w:t>
      </w:r>
    </w:p>
    <w:p w14:paraId="424E2875">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7.8现场管理机构各部主要组织管理人员的</w:t>
      </w:r>
      <w:r>
        <w:rPr>
          <w:rFonts w:hint="eastAsia" w:ascii="宋体" w:hAnsi="宋体" w:eastAsia="宋体" w:cs="宋体"/>
          <w:iCs/>
          <w:snapToGrid w:val="0"/>
          <w:kern w:val="0"/>
          <w:sz w:val="24"/>
        </w:rPr>
        <w:t>实际工作能力和工作效果达不到招标文件的明确要求</w:t>
      </w:r>
      <w:r>
        <w:rPr>
          <w:rFonts w:hint="eastAsia" w:ascii="宋体" w:hAnsi="宋体" w:eastAsia="宋体" w:cs="宋体"/>
          <w:snapToGrid w:val="0"/>
          <w:kern w:val="0"/>
          <w:sz w:val="24"/>
        </w:rPr>
        <w:t>或投标文件的承诺或工作态度存在严重不足，不适应现场工作需要的，发包人有权向承包人提出撤换。承包人可以提出整改意见，如发包人不予接受或认为整改效果不明显的，则承包人必须在7天内无条件撤换。所调换来人员的资质、资历、学历、职称、业绩、实际工作能力不低于投标文件中所承诺人员的素质，否则，按合同专用条款第38.7（3）款的约定承担违反投标承诺的违约责任。</w:t>
      </w:r>
    </w:p>
    <w:p w14:paraId="4B72EB18">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发包人要求承包人撤换不合格人员，如承包人既不立即撤换，也不及时提出整改意见，则视同拒绝执行发包人的指令，承包人需按合同专用条款第38.7（1）款的约定承担违约责任。</w:t>
      </w:r>
    </w:p>
    <w:p w14:paraId="12B1C25A">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4879A6E0">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iCs/>
          <w:snapToGrid w:val="0"/>
          <w:kern w:val="0"/>
          <w:sz w:val="24"/>
        </w:rPr>
        <w:t>7.9</w:t>
      </w:r>
      <w:r>
        <w:rPr>
          <w:rFonts w:hint="eastAsia" w:ascii="宋体" w:hAnsi="宋体" w:eastAsia="宋体" w:cs="宋体"/>
          <w:bCs/>
          <w:snapToGrid w:val="0"/>
          <w:kern w:val="0"/>
          <w:sz w:val="24"/>
        </w:rPr>
        <w:t>现场管理机构各部主要组织管理人员必须全职在现场办公，不得兼职或者擅自离岗。因特殊情况需短暂离岗的，应当事先报总监理工程师及发包人批准，且须妥善安排工作交接，并按以下约定执行：</w:t>
      </w:r>
    </w:p>
    <w:p w14:paraId="7E03B158">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（1）离场半天内，须经总监理工程师批准同意；</w:t>
      </w:r>
    </w:p>
    <w:p w14:paraId="6EB7723B">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（2）离场1天内，须经总监理工程师同意，并经发包人代表批准；</w:t>
      </w:r>
    </w:p>
    <w:p w14:paraId="0EA6259E">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（3）离场2天以上（含2天），须经总监理工程师及发包人代表同意，并经发包人主管部门领导批准；</w:t>
      </w:r>
    </w:p>
    <w:p w14:paraId="16FDCC55">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（4）一个月内累计离场时间不得超过5天（经发包人分管领导批准的除外）。</w:t>
      </w:r>
    </w:p>
    <w:p w14:paraId="2194999E">
      <w:pPr>
        <w:adjustRightInd w:val="0"/>
        <w:snapToGrid w:val="0"/>
        <w:spacing w:line="440" w:lineRule="exact"/>
        <w:ind w:right="11" w:firstLine="480" w:firstLineChars="200"/>
        <w:rPr>
          <w:rFonts w:hint="eastAsia" w:ascii="宋体" w:hAnsi="宋体" w:eastAsia="宋体" w:cs="宋体"/>
          <w:iCs/>
          <w:snapToGrid w:val="0"/>
          <w:kern w:val="0"/>
          <w:sz w:val="24"/>
        </w:rPr>
      </w:pPr>
      <w:r>
        <w:rPr>
          <w:rFonts w:hint="eastAsia" w:ascii="宋体" w:hAnsi="宋体" w:eastAsia="宋体" w:cs="宋体"/>
          <w:iCs/>
          <w:snapToGrid w:val="0"/>
          <w:kern w:val="0"/>
          <w:sz w:val="24"/>
        </w:rPr>
        <w:t>承包人若违反上述约定，应按照合同专用条款第38.7款的相关约定承担违约责任。</w:t>
      </w:r>
    </w:p>
    <w:p w14:paraId="5CD619D7">
      <w:pPr>
        <w:adjustRightInd w:val="0"/>
        <w:snapToGrid w:val="0"/>
        <w:spacing w:line="440" w:lineRule="exact"/>
        <w:ind w:right="11" w:firstLine="480" w:firstLineChars="200"/>
        <w:rPr>
          <w:rFonts w:hint="eastAsia" w:ascii="宋体" w:hAnsi="宋体" w:eastAsia="宋体" w:cs="宋体"/>
          <w:iCs/>
          <w:snapToGrid w:val="0"/>
          <w:kern w:val="0"/>
          <w:sz w:val="24"/>
        </w:rPr>
      </w:pPr>
      <w:r>
        <w:rPr>
          <w:rFonts w:hint="eastAsia" w:ascii="宋体" w:hAnsi="宋体" w:eastAsia="宋体" w:cs="宋体"/>
          <w:iCs/>
          <w:snapToGrid w:val="0"/>
          <w:kern w:val="0"/>
          <w:sz w:val="24"/>
        </w:rPr>
        <w:t>本合同所称现场办公，是指在工程实施过程中，现场管理机构主要组织管理人员必须在施工场地全职上班，履行各自的职责。</w:t>
      </w:r>
    </w:p>
    <w:p w14:paraId="1CAA25F9">
      <w:pPr>
        <w:adjustRightInd w:val="0"/>
        <w:snapToGrid w:val="0"/>
        <w:spacing w:line="440" w:lineRule="exact"/>
        <w:ind w:right="11" w:firstLine="480" w:firstLineChars="200"/>
        <w:rPr>
          <w:rFonts w:hint="eastAsia" w:ascii="宋体" w:hAnsi="宋体" w:eastAsia="宋体" w:cs="宋体"/>
          <w:iCs/>
          <w:snapToGrid w:val="0"/>
          <w:kern w:val="0"/>
          <w:sz w:val="24"/>
        </w:rPr>
      </w:pPr>
      <w:r>
        <w:rPr>
          <w:rFonts w:hint="eastAsia" w:ascii="宋体" w:hAnsi="宋体" w:eastAsia="宋体" w:cs="宋体"/>
          <w:iCs/>
          <w:snapToGrid w:val="0"/>
          <w:kern w:val="0"/>
          <w:sz w:val="24"/>
        </w:rPr>
        <w:t>现场管理机构主要组织管理人员现场办公天数，由监理人员按实考勤。</w:t>
      </w:r>
    </w:p>
    <w:p w14:paraId="467F8544">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419" w:name="_Toc3900"/>
      <w:bookmarkStart w:id="420" w:name="_Toc176192799"/>
      <w:bookmarkStart w:id="421" w:name="_Toc20366"/>
      <w:bookmarkStart w:id="422" w:name="_Toc397364902"/>
      <w:r>
        <w:rPr>
          <w:rFonts w:hint="eastAsia" w:ascii="宋体" w:hAnsi="宋体" w:eastAsia="宋体" w:cs="宋体"/>
          <w:b/>
          <w:snapToGrid w:val="0"/>
          <w:kern w:val="0"/>
          <w:sz w:val="24"/>
        </w:rPr>
        <w:t>8、发包人工作</w:t>
      </w:r>
      <w:bookmarkEnd w:id="419"/>
      <w:bookmarkEnd w:id="420"/>
      <w:bookmarkEnd w:id="421"/>
      <w:bookmarkEnd w:id="422"/>
    </w:p>
    <w:p w14:paraId="25286A4E">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8.1发包人应按约定的时间和要求完成以下工作：</w:t>
      </w:r>
    </w:p>
    <w:p w14:paraId="1A82FBB1">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（1）施工场地具备施工条件的要求：发包人不提供施工场地，由承包人自行办理有关手续及支付相关费用；相关费用已包含在合同总价中，发包人及项目业主不再另行支付任何费用。</w:t>
      </w:r>
    </w:p>
    <w:p w14:paraId="2DFE8879">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（2）施工场地与公共道路通道的开通时间和要求：工作内容已包含在本标段工程内，由中标单位结合现场实际情况考虑。</w:t>
      </w:r>
    </w:p>
    <w:p w14:paraId="18C65543">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（3）工程地质和地下管线资料的提供时间：发包人不提供地下管线资料，由承包人自行负责查勘，相关费用已包含在合同总价中，发包人不再就此支付任何费用。</w:t>
      </w:r>
    </w:p>
    <w:p w14:paraId="0BC1B3E0">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（4）发包人负责办理本工程立项文件、建设用地规划许可证等批文</w:t>
      </w:r>
      <w:r>
        <w:rPr>
          <w:rFonts w:hint="eastAsia" w:ascii="宋体" w:hAnsi="宋体" w:eastAsia="宋体" w:cs="宋体"/>
          <w:bCs/>
          <w:iCs/>
          <w:snapToGrid w:val="0"/>
          <w:kern w:val="0"/>
          <w:sz w:val="24"/>
        </w:rPr>
        <w:t>。</w:t>
      </w:r>
    </w:p>
    <w:p w14:paraId="211E4542">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（5）水准点与坐标控制点交验要求：发包人负责在施工现场将已施测的水准点高程与平面控制点坐标以书面形式提供给承包人，由承包人做好交验记录。</w:t>
      </w:r>
    </w:p>
    <w:p w14:paraId="2153C740">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（6）图纸会审和设计交底时间：承包人接到施工图纸后7天内进行。</w:t>
      </w:r>
    </w:p>
    <w:p w14:paraId="260FA6A9">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（7）协调施工场地周围地下管线和邻近建筑物、构筑物（含文物保护建筑）、古树名木的保护工作。</w:t>
      </w:r>
    </w:p>
    <w:p w14:paraId="41797504">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（8）发包人不提供临建搭设场地，承包人需要搭设临建场地，由承包人组织，所需费用已包含在合同总价中，发包人及项目业主不再另行支付任何费用。</w:t>
      </w:r>
    </w:p>
    <w:p w14:paraId="6B8AE933">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（9）所有监督抽检及第三方检测由发包人另行委托，自检部分由中标单位负责。</w:t>
      </w:r>
    </w:p>
    <w:p w14:paraId="4B21460F">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8.2发包人委托承包人办理的工作：包括但不限于办理施工许可证和工程质量安全监督报建手续等工作。</w:t>
      </w:r>
    </w:p>
    <w:p w14:paraId="56898317">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8.3</w:t>
      </w:r>
      <w:r>
        <w:rPr>
          <w:rFonts w:hint="eastAsia" w:ascii="宋体" w:hAnsi="宋体" w:eastAsia="宋体" w:cs="宋体"/>
          <w:snapToGrid w:val="0"/>
          <w:kern w:val="0"/>
          <w:sz w:val="24"/>
        </w:rPr>
        <w:t>合同通用条款第8.3款所提及的工期顺延情形只适用于一般节点工期。</w:t>
      </w:r>
    </w:p>
    <w:p w14:paraId="7476FACB">
      <w:pPr>
        <w:adjustRightInd w:val="0"/>
        <w:snapToGrid w:val="0"/>
        <w:spacing w:line="440" w:lineRule="exact"/>
        <w:ind w:right="11" w:firstLine="463" w:firstLineChars="192"/>
        <w:rPr>
          <w:rFonts w:hint="eastAsia" w:ascii="宋体" w:hAnsi="宋体" w:eastAsia="宋体" w:cs="宋体"/>
          <w:bCs/>
          <w:snapToGrid w:val="0"/>
          <w:kern w:val="0"/>
          <w:sz w:val="24"/>
        </w:rPr>
      </w:pPr>
      <w:bookmarkStart w:id="423" w:name="_Toc397364903"/>
      <w:r>
        <w:rPr>
          <w:rFonts w:hint="eastAsia" w:ascii="宋体" w:hAnsi="宋体" w:eastAsia="宋体" w:cs="宋体"/>
          <w:b/>
          <w:snapToGrid w:val="0"/>
          <w:kern w:val="0"/>
          <w:sz w:val="24"/>
        </w:rPr>
        <w:t>承包人和发包人一致同意增加8.4：</w:t>
      </w:r>
    </w:p>
    <w:p w14:paraId="13803E1A">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8.4经发包人与承包人双方协商一致，发包人保留下列权利：</w:t>
      </w:r>
    </w:p>
    <w:p w14:paraId="39DB24C4">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保留对主要材料设备的分类及采购方式进行调整的权利，若进行调整时，发承人双方另行签订补充合同约定。</w:t>
      </w:r>
    </w:p>
    <w:p w14:paraId="271E4B52">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424" w:name="_Toc176192800"/>
      <w:bookmarkStart w:id="425" w:name="_Toc21637"/>
      <w:bookmarkStart w:id="426" w:name="_Toc4475"/>
      <w:r>
        <w:rPr>
          <w:rFonts w:hint="eastAsia" w:ascii="宋体" w:hAnsi="宋体" w:eastAsia="宋体" w:cs="宋体"/>
          <w:b/>
          <w:snapToGrid w:val="0"/>
          <w:kern w:val="0"/>
          <w:sz w:val="24"/>
        </w:rPr>
        <w:t>9、承包人工作</w:t>
      </w:r>
      <w:bookmarkEnd w:id="423"/>
      <w:bookmarkEnd w:id="424"/>
      <w:bookmarkEnd w:id="425"/>
      <w:bookmarkEnd w:id="426"/>
    </w:p>
    <w:p w14:paraId="503C53A4">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9.1承包人按合同约定的内容和时间完成以下工作：</w:t>
      </w:r>
    </w:p>
    <w:p w14:paraId="3561A607">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（3）根据工程需要，承包人提供和维修白天或夜间施工使用的照明、围栏设施，并负责安全保卫。若承包人未履行上述义务造成工程、财产、人身损害等，由承包人承担责任及因此所发生的一切费用。</w:t>
      </w:r>
    </w:p>
    <w:p w14:paraId="7E2B2026">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（5）</w:t>
      </w:r>
      <w:r>
        <w:rPr>
          <w:rFonts w:hint="eastAsia" w:ascii="宋体" w:hAnsi="宋体" w:eastAsia="宋体" w:cs="宋体"/>
          <w:snapToGrid w:val="0"/>
          <w:kern w:val="0"/>
          <w:sz w:val="24"/>
        </w:rPr>
        <w:t>遵守政府有关部门对施工场地交通、施工噪音以及环境保护和安全生产等的管理规定，</w:t>
      </w:r>
      <w:r>
        <w:rPr>
          <w:rFonts w:hint="eastAsia" w:ascii="宋体" w:hAnsi="宋体" w:eastAsia="宋体" w:cs="宋体"/>
          <w:bCs/>
          <w:snapToGrid w:val="0"/>
          <w:kern w:val="0"/>
          <w:sz w:val="24"/>
        </w:rPr>
        <w:t>按工程所在地政府主管部门的规定办理并承担由此发生的费用，发包人不承担任何费用，承包人在开工后</w:t>
      </w:r>
      <w:r>
        <w:rPr>
          <w:rFonts w:ascii="宋体" w:hAnsi="宋体" w:eastAsia="宋体" w:cs="宋体"/>
          <w:bCs/>
          <w:snapToGrid w:val="0"/>
          <w:kern w:val="0"/>
          <w:sz w:val="24"/>
        </w:rPr>
        <w:t>1</w:t>
      </w:r>
      <w:r>
        <w:rPr>
          <w:rFonts w:hint="eastAsia" w:ascii="宋体" w:hAnsi="宋体" w:eastAsia="宋体" w:cs="宋体"/>
          <w:bCs/>
          <w:snapToGrid w:val="0"/>
          <w:kern w:val="0"/>
          <w:sz w:val="24"/>
        </w:rPr>
        <w:t>个月内完成手续。</w:t>
      </w:r>
    </w:p>
    <w:p w14:paraId="577D4831">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（6）未移交后续施工单位或发包人使用前，对已完工工程的保护工作及费用均由承包人负责，发生损坏由承包人自费修复。</w:t>
      </w:r>
    </w:p>
    <w:p w14:paraId="7C475956">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（7）承包人应对施工场地及周围的地铁除外的架空线、地下管线、建筑物、构筑物（含文物保护建筑）、古树名木之状况进行勘察，根据勘察结果确定具体的保护措施并承担有关费用。若</w:t>
      </w:r>
      <w:r>
        <w:rPr>
          <w:rFonts w:hint="eastAsia" w:ascii="宋体" w:hAnsi="宋体" w:eastAsia="宋体" w:cs="宋体"/>
          <w:snapToGrid w:val="0"/>
          <w:kern w:val="0"/>
          <w:sz w:val="24"/>
        </w:rPr>
        <w:t>发现正常施工措施及现有条件已不能达到保护目的的，承包人应及时报告，经总监理工程师、发包人批准采取特殊措施保护处理的，发包人承担不包含在招投标内容中的额外保护费用。</w:t>
      </w:r>
    </w:p>
    <w:p w14:paraId="583B3AC4">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承包人应对所采取的保护措施进行监测（或实施第三方监测），并应根据监测结果及时反馈信息指导施工，以确保上述受保护物件及作业人员、居民的安全。因承包人原因，受保护物件发生损坏的，由承包人承担责任并负责赔偿。</w:t>
      </w:r>
    </w:p>
    <w:p w14:paraId="734A5B39">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8）承包人须按发包人批准的施工组织设计进行施工现场布置、放置材料机械及其他设施，及时将施工垃圾、余泥运出场外，保证施工场地清洁符合环境卫生管理的有关规定，达到合同协议书约定的安全生产及文明施工目标。</w:t>
      </w:r>
    </w:p>
    <w:p w14:paraId="069A9ABD">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施工过程中，承包人应按合同约定及时清理施工垃圾，做到工完料清，并在工程竣工验收后10天内，对施工场地进行全面清理。</w:t>
      </w:r>
    </w:p>
    <w:p w14:paraId="742EF00A">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（9）承包人应做的其他工作</w:t>
      </w:r>
    </w:p>
    <w:p w14:paraId="47BBB65B">
      <w:pPr>
        <w:adjustRightInd w:val="0"/>
        <w:snapToGrid w:val="0"/>
        <w:spacing w:line="440" w:lineRule="exact"/>
        <w:ind w:firstLine="480"/>
        <w:rPr>
          <w:rFonts w:hint="eastAsia" w:ascii="宋体" w:hAnsi="宋体" w:eastAsia="宋体" w:cs="宋体"/>
          <w:bCs/>
          <w:snapToGrid w:val="0"/>
          <w:kern w:val="0"/>
          <w:sz w:val="24"/>
        </w:rPr>
      </w:pPr>
      <w:r>
        <w:rPr>
          <w:rFonts w:hint="eastAsia" w:ascii="宋体" w:hAnsi="宋体" w:eastAsia="宋体" w:cs="宋体"/>
          <w:bCs/>
          <w:snapToGrid w:val="0"/>
          <w:kern w:val="0"/>
          <w:sz w:val="24"/>
        </w:rPr>
        <w:t>1）进场后每月按审定格式申报人材机投入量及实物工程量完成量，以此作为工程款（进度款）支付的依据。</w:t>
      </w:r>
    </w:p>
    <w:p w14:paraId="074F8B51">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bCs/>
          <w:snapToGrid w:val="0"/>
          <w:kern w:val="0"/>
          <w:sz w:val="24"/>
        </w:rPr>
        <w:t>2）</w:t>
      </w:r>
      <w:r>
        <w:rPr>
          <w:rFonts w:hint="eastAsia" w:ascii="宋体" w:hAnsi="宋体" w:eastAsia="宋体" w:cs="宋体"/>
          <w:snapToGrid w:val="0"/>
          <w:kern w:val="0"/>
          <w:sz w:val="24"/>
        </w:rPr>
        <w:t>保证执行投标文件所承诺的施工组织设计中的资源投入计划，将工程施工所需的机械设备、人员、材料等资源，根据工程进度计划按时、按标准、足额投入；否则，应按</w:t>
      </w:r>
      <w:r>
        <w:rPr>
          <w:rFonts w:hint="eastAsia" w:ascii="宋体" w:hAnsi="宋体" w:eastAsia="宋体" w:cs="宋体"/>
          <w:bCs/>
          <w:snapToGrid w:val="0"/>
          <w:kern w:val="0"/>
          <w:sz w:val="24"/>
        </w:rPr>
        <w:t>合同专用条款第</w:t>
      </w:r>
      <w:r>
        <w:rPr>
          <w:rFonts w:hint="eastAsia" w:ascii="宋体" w:hAnsi="宋体" w:eastAsia="宋体" w:cs="宋体"/>
          <w:snapToGrid w:val="0"/>
          <w:kern w:val="0"/>
          <w:sz w:val="24"/>
        </w:rPr>
        <w:t>38.7（3）款的约定承担违反投标承诺的违约责任。</w:t>
      </w:r>
    </w:p>
    <w:p w14:paraId="11A05621">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施工过程中，承包人因特殊原因需变更资源投入计划或者对已投入的资源进行调整的，应当提前7天提出申请，报总监理工程师和发包人批准。</w:t>
      </w:r>
      <w:r>
        <w:rPr>
          <w:rFonts w:hint="eastAsia" w:ascii="宋体" w:hAnsi="宋体" w:eastAsia="宋体" w:cs="宋体"/>
          <w:snapToGrid w:val="0"/>
          <w:kern w:val="0"/>
          <w:sz w:val="24"/>
        </w:rPr>
        <w:t>允许机械、设备调整的原则为：所调整机械、设备的规格、标准只能比原计划提高，不能降低；数量原则上不允许减少，如确因更换先进设备提高了工效，可考虑在总工作能力不降低的前提下同意调整。</w:t>
      </w:r>
      <w:r>
        <w:rPr>
          <w:rFonts w:hint="eastAsia" w:ascii="宋体" w:hAnsi="宋体" w:eastAsia="宋体" w:cs="宋体"/>
          <w:bCs/>
          <w:snapToGrid w:val="0"/>
          <w:kern w:val="0"/>
          <w:sz w:val="24"/>
        </w:rPr>
        <w:t>未经发包人许可，承包人开工后已进场的机械设备不得在计划使用期间撤出现场。若施工机械、设备在施工过程中发生损坏，承包人必须在3天内修复或更换。</w:t>
      </w:r>
    </w:p>
    <w:p w14:paraId="4F14F03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14:paraId="714FC7EA">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3）对施工图、技术资料认真地复核和检查，有预见性地发现和指正设计缺陷和错误，应提出能实质性地节约资金和缩短工期的建议和措施。</w:t>
      </w:r>
    </w:p>
    <w:p w14:paraId="1CB551B9">
      <w:pPr>
        <w:adjustRightInd w:val="0"/>
        <w:snapToGrid w:val="0"/>
        <w:spacing w:line="440" w:lineRule="exact"/>
        <w:ind w:right="11" w:firstLine="480" w:firstLineChars="200"/>
        <w:rPr>
          <w:rFonts w:hint="eastAsia" w:ascii="宋体" w:hAnsi="宋体" w:eastAsia="宋体" w:cs="宋体"/>
          <w:iCs/>
          <w:snapToGrid w:val="0"/>
          <w:kern w:val="0"/>
          <w:sz w:val="24"/>
        </w:rPr>
      </w:pPr>
      <w:bookmarkStart w:id="427" w:name="_Toc535252420"/>
      <w:bookmarkStart w:id="428" w:name="_Toc519583858"/>
      <w:r>
        <w:rPr>
          <w:rFonts w:hint="eastAsia" w:ascii="宋体" w:hAnsi="宋体" w:eastAsia="宋体" w:cs="宋体"/>
          <w:iCs/>
          <w:snapToGrid w:val="0"/>
          <w:kern w:val="0"/>
          <w:sz w:val="24"/>
        </w:rPr>
        <w:t>4）</w:t>
      </w:r>
      <w:bookmarkEnd w:id="427"/>
      <w:bookmarkEnd w:id="428"/>
      <w:r>
        <w:rPr>
          <w:rFonts w:hint="eastAsia" w:ascii="宋体" w:hAnsi="宋体" w:eastAsia="宋体" w:cs="宋体"/>
          <w:iCs/>
          <w:snapToGrid w:val="0"/>
          <w:kern w:val="0"/>
          <w:sz w:val="24"/>
        </w:rPr>
        <w:t>承包人应当清楚地预计到施工期间对外界可能产生的不可避免的干扰，并保证主动努力减少这些干扰对外界的影响，积极主动与外界进行协调。</w:t>
      </w:r>
    </w:p>
    <w:p w14:paraId="730CE777">
      <w:pPr>
        <w:adjustRightInd w:val="0"/>
        <w:snapToGrid w:val="0"/>
        <w:spacing w:line="440" w:lineRule="exact"/>
        <w:ind w:right="11" w:firstLine="480" w:firstLineChars="200"/>
        <w:rPr>
          <w:rFonts w:hint="eastAsia" w:ascii="宋体" w:hAnsi="宋体" w:eastAsia="宋体" w:cs="宋体"/>
          <w:iCs/>
          <w:snapToGrid w:val="0"/>
          <w:kern w:val="0"/>
          <w:sz w:val="24"/>
        </w:rPr>
      </w:pPr>
      <w:r>
        <w:rPr>
          <w:rFonts w:hint="eastAsia" w:ascii="宋体" w:hAnsi="宋体" w:eastAsia="宋体" w:cs="宋体"/>
          <w:iCs/>
          <w:snapToGrid w:val="0"/>
          <w:kern w:val="0"/>
          <w:sz w:val="24"/>
        </w:rPr>
        <w:t>5）承包人应努力创建节能减排和节约型工地。</w:t>
      </w:r>
    </w:p>
    <w:p w14:paraId="5118C873">
      <w:pPr>
        <w:adjustRightInd w:val="0"/>
        <w:snapToGrid w:val="0"/>
        <w:spacing w:line="440" w:lineRule="exact"/>
        <w:ind w:right="11" w:firstLine="460" w:firstLineChars="192"/>
        <w:rPr>
          <w:rFonts w:hint="eastAsia" w:ascii="宋体" w:hAnsi="宋体" w:eastAsia="宋体" w:cs="宋体"/>
          <w:iCs/>
          <w:snapToGrid w:val="0"/>
          <w:kern w:val="0"/>
          <w:sz w:val="24"/>
        </w:rPr>
      </w:pPr>
      <w:r>
        <w:rPr>
          <w:rFonts w:ascii="宋体" w:hAnsi="宋体" w:eastAsia="宋体" w:cs="宋体"/>
          <w:iCs/>
          <w:snapToGrid w:val="0"/>
          <w:kern w:val="0"/>
          <w:sz w:val="24"/>
        </w:rPr>
        <w:t>6</w:t>
      </w:r>
      <w:r>
        <w:rPr>
          <w:rFonts w:hint="eastAsia" w:ascii="宋体" w:hAnsi="宋体" w:eastAsia="宋体" w:cs="宋体"/>
          <w:iCs/>
          <w:snapToGrid w:val="0"/>
          <w:kern w:val="0"/>
          <w:sz w:val="24"/>
        </w:rPr>
        <w:t>)承包人应向发包人、监理及设计人员提供满足项目建设需求的现场办公场所（包周边围墙、场地硬化及简单装修），并配备发包人使用的办公场所内必需的办公设施（如电脑、网络、空调、桌椅、投影、会议室设备等），须满足办公需要，费用已包含在合同总价中</w:t>
      </w:r>
      <w:r>
        <w:rPr>
          <w:rFonts w:hint="eastAsia" w:ascii="宋体" w:hAnsi="宋体" w:eastAsia="宋体" w:cs="宋体"/>
          <w:bCs/>
          <w:snapToGrid w:val="0"/>
          <w:kern w:val="0"/>
          <w:sz w:val="24"/>
        </w:rPr>
        <w:t>，发包人及项目业主不再另行支付任何费用</w:t>
      </w:r>
      <w:r>
        <w:rPr>
          <w:rFonts w:hint="eastAsia" w:ascii="宋体" w:hAnsi="宋体" w:eastAsia="宋体" w:cs="宋体"/>
          <w:iCs/>
          <w:snapToGrid w:val="0"/>
          <w:kern w:val="0"/>
          <w:sz w:val="24"/>
        </w:rPr>
        <w:t>。</w:t>
      </w:r>
    </w:p>
    <w:p w14:paraId="3ECEC64F">
      <w:pPr>
        <w:adjustRightInd w:val="0"/>
        <w:snapToGrid w:val="0"/>
        <w:spacing w:line="440" w:lineRule="exact"/>
        <w:ind w:right="11" w:firstLine="480" w:firstLineChars="200"/>
        <w:rPr>
          <w:rFonts w:hint="eastAsia" w:ascii="宋体" w:hAnsi="宋体" w:eastAsia="宋体" w:cs="宋体"/>
          <w:iCs/>
          <w:snapToGrid w:val="0"/>
          <w:kern w:val="0"/>
          <w:sz w:val="24"/>
        </w:rPr>
      </w:pPr>
      <w:r>
        <w:rPr>
          <w:rFonts w:hint="eastAsia" w:ascii="宋体" w:hAnsi="宋体" w:eastAsia="宋体" w:cs="宋体"/>
          <w:iCs/>
          <w:snapToGrid w:val="0"/>
          <w:kern w:val="0"/>
          <w:sz w:val="24"/>
        </w:rPr>
        <w:t>7）承包人负责发包人、监理及设计人员现场办公区域的安全、文明及保洁管理，相关费用已包含在合同总价中</w:t>
      </w:r>
      <w:r>
        <w:rPr>
          <w:rFonts w:hint="eastAsia" w:ascii="宋体" w:hAnsi="宋体" w:eastAsia="宋体" w:cs="宋体"/>
          <w:bCs/>
          <w:snapToGrid w:val="0"/>
          <w:kern w:val="0"/>
          <w:sz w:val="24"/>
        </w:rPr>
        <w:t>，发包人及项目业主不再另行支付任何费用</w:t>
      </w:r>
      <w:r>
        <w:rPr>
          <w:rFonts w:hint="eastAsia" w:ascii="宋体" w:hAnsi="宋体" w:eastAsia="宋体" w:cs="宋体"/>
          <w:iCs/>
          <w:snapToGrid w:val="0"/>
          <w:kern w:val="0"/>
          <w:sz w:val="24"/>
        </w:rPr>
        <w:t>。</w:t>
      </w:r>
    </w:p>
    <w:p w14:paraId="1D9A9912">
      <w:pPr>
        <w:adjustRightInd w:val="0"/>
        <w:snapToGrid w:val="0"/>
        <w:spacing w:line="440" w:lineRule="exact"/>
        <w:ind w:right="11" w:firstLine="480" w:firstLineChars="200"/>
        <w:rPr>
          <w:rFonts w:hint="eastAsia" w:ascii="宋体" w:hAnsi="宋体" w:eastAsia="宋体" w:cs="宋体"/>
          <w:iCs/>
          <w:snapToGrid w:val="0"/>
          <w:kern w:val="0"/>
          <w:sz w:val="24"/>
        </w:rPr>
      </w:pPr>
      <w:r>
        <w:rPr>
          <w:rFonts w:hint="eastAsia" w:ascii="宋体" w:hAnsi="宋体" w:eastAsia="宋体" w:cs="宋体"/>
          <w:iCs/>
          <w:snapToGrid w:val="0"/>
          <w:kern w:val="0"/>
          <w:sz w:val="24"/>
        </w:rPr>
        <w:t>8）场地平整费用已包含在合同总价中</w:t>
      </w:r>
      <w:r>
        <w:rPr>
          <w:rFonts w:hint="eastAsia" w:ascii="宋体" w:hAnsi="宋体" w:eastAsia="宋体" w:cs="宋体"/>
          <w:bCs/>
          <w:snapToGrid w:val="0"/>
          <w:kern w:val="0"/>
          <w:sz w:val="24"/>
        </w:rPr>
        <w:t>，发包人及项目业主不再另行支付任何费用</w:t>
      </w:r>
      <w:r>
        <w:rPr>
          <w:rFonts w:hint="eastAsia" w:ascii="宋体" w:hAnsi="宋体" w:eastAsia="宋体" w:cs="宋体"/>
          <w:iCs/>
          <w:snapToGrid w:val="0"/>
          <w:kern w:val="0"/>
          <w:sz w:val="24"/>
        </w:rPr>
        <w:t>。</w:t>
      </w:r>
    </w:p>
    <w:p w14:paraId="4EEF0F3F">
      <w:pPr>
        <w:adjustRightInd w:val="0"/>
        <w:snapToGrid w:val="0"/>
        <w:spacing w:line="440" w:lineRule="exact"/>
        <w:ind w:right="11" w:firstLine="482" w:firstLineChars="200"/>
        <w:rPr>
          <w:rFonts w:hint="eastAsia" w:ascii="宋体" w:hAnsi="宋体" w:eastAsia="宋体" w:cs="宋体"/>
          <w:b/>
          <w:iCs/>
          <w:snapToGrid w:val="0"/>
          <w:kern w:val="0"/>
          <w:sz w:val="24"/>
        </w:rPr>
      </w:pPr>
      <w:r>
        <w:rPr>
          <w:rFonts w:hint="eastAsia" w:ascii="宋体" w:hAnsi="宋体" w:eastAsia="宋体" w:cs="宋体"/>
          <w:b/>
          <w:iCs/>
          <w:snapToGrid w:val="0"/>
          <w:kern w:val="0"/>
          <w:sz w:val="24"/>
        </w:rPr>
        <w:t>承包人与发包人一致同意增加9.3至9.</w:t>
      </w:r>
      <w:r>
        <w:rPr>
          <w:rFonts w:ascii="宋体" w:hAnsi="宋体" w:eastAsia="宋体" w:cs="宋体"/>
          <w:b/>
          <w:iCs/>
          <w:snapToGrid w:val="0"/>
          <w:kern w:val="0"/>
          <w:sz w:val="24"/>
        </w:rPr>
        <w:t>9</w:t>
      </w:r>
      <w:r>
        <w:rPr>
          <w:rFonts w:hint="eastAsia" w:ascii="宋体" w:hAnsi="宋体" w:eastAsia="宋体" w:cs="宋体"/>
          <w:b/>
          <w:iCs/>
          <w:snapToGrid w:val="0"/>
          <w:kern w:val="0"/>
          <w:sz w:val="24"/>
        </w:rPr>
        <w:t>：</w:t>
      </w:r>
    </w:p>
    <w:p w14:paraId="4428B735">
      <w:pPr>
        <w:adjustRightInd w:val="0"/>
        <w:snapToGrid w:val="0"/>
        <w:spacing w:line="440" w:lineRule="exact"/>
        <w:ind w:right="11" w:firstLine="480" w:firstLineChars="200"/>
        <w:outlineLvl w:val="3"/>
        <w:rPr>
          <w:rFonts w:hint="eastAsia" w:ascii="宋体" w:hAnsi="宋体" w:eastAsia="宋体" w:cs="宋体"/>
          <w:iCs/>
          <w:snapToGrid w:val="0"/>
          <w:kern w:val="0"/>
          <w:sz w:val="24"/>
        </w:rPr>
      </w:pPr>
      <w:r>
        <w:rPr>
          <w:rFonts w:hint="eastAsia" w:ascii="宋体" w:hAnsi="宋体" w:eastAsia="宋体" w:cs="宋体"/>
          <w:iCs/>
          <w:snapToGrid w:val="0"/>
          <w:kern w:val="0"/>
          <w:sz w:val="24"/>
        </w:rPr>
        <w:t>9.3根据工程需要，承包人应采用计算机信息管理，具备网络办公能力，以便同发包人、监理、政府工程监督管理部门等有关单位进行数据交换，提高工作效率。</w:t>
      </w:r>
      <w:bookmarkStart w:id="429" w:name="_Toc3908438"/>
      <w:bookmarkStart w:id="430" w:name="_Toc3979677"/>
      <w:bookmarkStart w:id="431" w:name="_Toc3633674"/>
      <w:bookmarkStart w:id="432" w:name="_Toc4071351"/>
      <w:bookmarkStart w:id="433" w:name="_Toc3517697"/>
      <w:bookmarkStart w:id="434" w:name="_Toc3831323"/>
      <w:bookmarkStart w:id="435" w:name="_Toc4051040"/>
      <w:bookmarkStart w:id="436" w:name="_Toc3518173"/>
      <w:bookmarkStart w:id="437" w:name="_Toc3636823"/>
    </w:p>
    <w:p w14:paraId="6909457E">
      <w:pPr>
        <w:adjustRightInd w:val="0"/>
        <w:snapToGrid w:val="0"/>
        <w:spacing w:line="440" w:lineRule="exact"/>
        <w:ind w:right="11" w:firstLine="480" w:firstLineChars="200"/>
        <w:outlineLvl w:val="4"/>
        <w:rPr>
          <w:rFonts w:hint="eastAsia" w:ascii="宋体" w:hAnsi="宋体" w:eastAsia="宋体" w:cs="宋体"/>
          <w:iCs/>
          <w:snapToGrid w:val="0"/>
          <w:kern w:val="0"/>
          <w:sz w:val="24"/>
        </w:rPr>
      </w:pPr>
      <w:r>
        <w:rPr>
          <w:rFonts w:hint="eastAsia" w:ascii="宋体" w:hAnsi="宋体" w:eastAsia="宋体" w:cs="宋体"/>
          <w:iCs/>
          <w:snapToGrid w:val="0"/>
          <w:kern w:val="0"/>
          <w:sz w:val="24"/>
        </w:rPr>
        <w:t>（1）计算机信息管理的内容和基本要求</w:t>
      </w:r>
      <w:bookmarkEnd w:id="429"/>
      <w:bookmarkEnd w:id="430"/>
      <w:bookmarkEnd w:id="431"/>
      <w:bookmarkEnd w:id="432"/>
      <w:bookmarkEnd w:id="433"/>
      <w:bookmarkEnd w:id="434"/>
      <w:bookmarkEnd w:id="435"/>
      <w:bookmarkEnd w:id="436"/>
      <w:bookmarkEnd w:id="437"/>
    </w:p>
    <w:p w14:paraId="23BBD96D">
      <w:pPr>
        <w:pStyle w:val="22"/>
        <w:adjustRightInd w:val="0"/>
        <w:snapToGrid w:val="0"/>
        <w:spacing w:line="440" w:lineRule="exact"/>
        <w:ind w:firstLine="413"/>
        <w:rPr>
          <w:rFonts w:hint="eastAsia" w:hAnsi="宋体" w:eastAsia="宋体" w:cs="宋体"/>
          <w:iCs/>
          <w:snapToGrid w:val="0"/>
          <w:kern w:val="0"/>
          <w:sz w:val="24"/>
          <w:szCs w:val="24"/>
        </w:rPr>
      </w:pPr>
      <w:r>
        <w:rPr>
          <w:rFonts w:hint="eastAsia" w:hAnsi="宋体" w:eastAsia="宋体" w:cs="宋体"/>
          <w:iCs/>
          <w:snapToGrid w:val="0"/>
          <w:kern w:val="0"/>
          <w:sz w:val="24"/>
          <w:szCs w:val="24"/>
        </w:rPr>
        <w:t>承包人应运用计算机信息管理技术对合同项目进行科学管理，全面提高工程施工管理水平。</w:t>
      </w:r>
    </w:p>
    <w:p w14:paraId="7890FE97">
      <w:pPr>
        <w:pStyle w:val="22"/>
        <w:adjustRightInd w:val="0"/>
        <w:snapToGrid w:val="0"/>
        <w:spacing w:line="440" w:lineRule="exact"/>
        <w:ind w:firstLine="413"/>
        <w:outlineLvl w:val="4"/>
        <w:rPr>
          <w:rFonts w:hint="eastAsia" w:hAnsi="宋体" w:eastAsia="宋体" w:cs="宋体"/>
          <w:iCs/>
          <w:snapToGrid w:val="0"/>
          <w:kern w:val="0"/>
          <w:sz w:val="24"/>
          <w:szCs w:val="24"/>
        </w:rPr>
      </w:pPr>
      <w:bookmarkStart w:id="438" w:name="_Toc480258777"/>
      <w:bookmarkStart w:id="439" w:name="_Toc3908439"/>
      <w:bookmarkStart w:id="440" w:name="_Toc4071352"/>
      <w:bookmarkStart w:id="441" w:name="_Toc521924603"/>
      <w:bookmarkStart w:id="442" w:name="_Toc4051041"/>
      <w:bookmarkStart w:id="443" w:name="_Toc3831324"/>
      <w:bookmarkStart w:id="444" w:name="_Toc479500868"/>
      <w:bookmarkStart w:id="445" w:name="_Toc522866705"/>
      <w:bookmarkStart w:id="446" w:name="_Toc523542705"/>
      <w:bookmarkStart w:id="447" w:name="_Toc3633675"/>
      <w:bookmarkStart w:id="448" w:name="_Toc3517698"/>
      <w:bookmarkStart w:id="449" w:name="_Toc3636824"/>
      <w:bookmarkStart w:id="450" w:name="_Toc3518174"/>
      <w:bookmarkStart w:id="451" w:name="_Toc522249977"/>
      <w:bookmarkStart w:id="452" w:name="_Toc1876217"/>
      <w:bookmarkStart w:id="453" w:name="_Toc923750"/>
      <w:bookmarkStart w:id="454" w:name="_Toc2071537"/>
      <w:bookmarkStart w:id="455" w:name="_Toc522940798"/>
      <w:bookmarkStart w:id="456" w:name="_Toc1877122"/>
      <w:bookmarkStart w:id="457" w:name="_Toc523825990"/>
      <w:bookmarkStart w:id="458" w:name="_Toc3979678"/>
      <w:bookmarkStart w:id="459" w:name="_Toc522250423"/>
      <w:r>
        <w:rPr>
          <w:rFonts w:hint="eastAsia" w:hAnsi="宋体" w:eastAsia="宋体" w:cs="宋体"/>
          <w:iCs/>
          <w:snapToGrid w:val="0"/>
          <w:kern w:val="0"/>
          <w:sz w:val="24"/>
          <w:szCs w:val="24"/>
        </w:rPr>
        <w:t>（2）计算机网络</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D83D872">
      <w:pPr>
        <w:pStyle w:val="22"/>
        <w:adjustRightInd w:val="0"/>
        <w:snapToGrid w:val="0"/>
        <w:spacing w:line="440" w:lineRule="exact"/>
        <w:ind w:firstLine="413"/>
        <w:rPr>
          <w:rFonts w:hint="eastAsia" w:hAnsi="宋体" w:eastAsia="宋体" w:cs="宋体"/>
          <w:iCs/>
          <w:snapToGrid w:val="0"/>
          <w:kern w:val="0"/>
          <w:sz w:val="24"/>
          <w:szCs w:val="24"/>
        </w:rPr>
      </w:pPr>
      <w:bookmarkStart w:id="460" w:name="_Toc3517699"/>
      <w:bookmarkStart w:id="461" w:name="_Toc3979679"/>
      <w:bookmarkStart w:id="462" w:name="_Toc1877123"/>
      <w:bookmarkStart w:id="463" w:name="_Toc4071353"/>
      <w:bookmarkStart w:id="464" w:name="_Toc1876218"/>
      <w:bookmarkStart w:id="465" w:name="_Toc2071538"/>
      <w:bookmarkStart w:id="466" w:name="_Toc522250424"/>
      <w:bookmarkStart w:id="467" w:name="_Toc3633676"/>
      <w:bookmarkStart w:id="468" w:name="_Toc3518175"/>
      <w:bookmarkStart w:id="469" w:name="_Toc523825991"/>
      <w:bookmarkStart w:id="470" w:name="_Toc480258778"/>
      <w:bookmarkStart w:id="471" w:name="_Toc522940799"/>
      <w:bookmarkStart w:id="472" w:name="_Toc3831325"/>
      <w:bookmarkStart w:id="473" w:name="_Toc3908440"/>
      <w:bookmarkStart w:id="474" w:name="_Toc479500869"/>
      <w:bookmarkStart w:id="475" w:name="_Toc4051042"/>
      <w:bookmarkStart w:id="476" w:name="_Toc521924604"/>
      <w:bookmarkStart w:id="477" w:name="_Toc522249978"/>
      <w:bookmarkStart w:id="478" w:name="_Toc3636825"/>
      <w:bookmarkStart w:id="479" w:name="_Toc923751"/>
      <w:bookmarkStart w:id="480" w:name="_Toc523542706"/>
      <w:bookmarkStart w:id="481" w:name="_Toc522866706"/>
      <w:r>
        <w:rPr>
          <w:rFonts w:hint="eastAsia" w:hAnsi="宋体" w:eastAsia="宋体" w:cs="宋体"/>
          <w:iCs/>
          <w:snapToGrid w:val="0"/>
          <w:kern w:val="0"/>
          <w:sz w:val="24"/>
          <w:szCs w:val="24"/>
        </w:rPr>
        <w:t>承包人须以宽带形式接入发包人网站以保证信息传输速度要求，网络规划、布线、网络设备、维护由承包人负责。</w:t>
      </w:r>
    </w:p>
    <w:p w14:paraId="76137556">
      <w:pPr>
        <w:pStyle w:val="22"/>
        <w:adjustRightInd w:val="0"/>
        <w:snapToGrid w:val="0"/>
        <w:spacing w:line="440" w:lineRule="exact"/>
        <w:ind w:firstLine="413"/>
        <w:outlineLvl w:val="4"/>
        <w:rPr>
          <w:rFonts w:hint="eastAsia" w:hAnsi="宋体" w:eastAsia="宋体" w:cs="宋体"/>
          <w:snapToGrid w:val="0"/>
          <w:kern w:val="0"/>
          <w:sz w:val="24"/>
        </w:rPr>
      </w:pPr>
      <w:r>
        <w:rPr>
          <w:rFonts w:hint="eastAsia" w:hAnsi="宋体" w:eastAsia="宋体" w:cs="宋体"/>
          <w:snapToGrid w:val="0"/>
          <w:kern w:val="0"/>
          <w:sz w:val="24"/>
        </w:rPr>
        <w:t>（3）</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Start w:id="482" w:name="_Toc522940802"/>
      <w:bookmarkStart w:id="483" w:name="_Toc2071541"/>
      <w:bookmarkStart w:id="484" w:name="_Toc523825994"/>
      <w:bookmarkStart w:id="485" w:name="_Toc4071356"/>
      <w:bookmarkStart w:id="486" w:name="_Toc3518178"/>
      <w:bookmarkStart w:id="487" w:name="_Toc522249981"/>
      <w:bookmarkStart w:id="488" w:name="_Toc522866709"/>
      <w:bookmarkStart w:id="489" w:name="_Toc3633679"/>
      <w:bookmarkStart w:id="490" w:name="_Toc4051045"/>
      <w:bookmarkStart w:id="491" w:name="_Toc3517702"/>
      <w:bookmarkStart w:id="492" w:name="_Toc1877126"/>
      <w:bookmarkStart w:id="493" w:name="_Toc3831328"/>
      <w:bookmarkStart w:id="494" w:name="_Toc479500872"/>
      <w:bookmarkStart w:id="495" w:name="_Toc521924607"/>
      <w:bookmarkStart w:id="496" w:name="_Toc3636828"/>
      <w:bookmarkStart w:id="497" w:name="_Toc923754"/>
      <w:bookmarkStart w:id="498" w:name="_Toc480258781"/>
      <w:bookmarkStart w:id="499" w:name="_Toc3908443"/>
      <w:bookmarkStart w:id="500" w:name="_Toc522250427"/>
      <w:bookmarkStart w:id="501" w:name="_Toc523542709"/>
      <w:bookmarkStart w:id="502" w:name="_Toc1876221"/>
      <w:bookmarkStart w:id="503" w:name="_Toc3979682"/>
      <w:r>
        <w:rPr>
          <w:rFonts w:hint="eastAsia" w:hAnsi="宋体" w:eastAsia="宋体" w:cs="宋体"/>
          <w:snapToGrid w:val="0"/>
          <w:kern w:val="0"/>
          <w:sz w:val="24"/>
        </w:rPr>
        <w:t>信息内容、格式及信息传递要求</w:t>
      </w:r>
    </w:p>
    <w:p w14:paraId="6389620C">
      <w:pPr>
        <w:pStyle w:val="22"/>
        <w:adjustRightInd w:val="0"/>
        <w:snapToGrid w:val="0"/>
        <w:spacing w:line="440" w:lineRule="exact"/>
        <w:ind w:firstLine="413"/>
        <w:rPr>
          <w:rFonts w:hint="eastAsia" w:hAnsi="宋体" w:eastAsia="宋体" w:cs="宋体"/>
          <w:snapToGrid w:val="0"/>
          <w:kern w:val="0"/>
          <w:sz w:val="24"/>
        </w:rPr>
      </w:pPr>
      <w:r>
        <w:rPr>
          <w:rFonts w:hint="eastAsia" w:hAnsi="宋体" w:eastAsia="宋体" w:cs="宋体"/>
          <w:snapToGrid w:val="0"/>
          <w:kern w:val="0"/>
          <w:sz w:val="24"/>
        </w:rPr>
        <w:t>承包人应及时准确地按政府工程建设监督管理部门、发包人和总监理工程师所要求的时限、内容和格式将相关工程信息录入并上传。因承包人原因未能及时上传信息所造成的所有损失及不良影响均由承包人负责。</w:t>
      </w:r>
    </w:p>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14:paraId="28833F4D">
      <w:pPr>
        <w:adjustRightInd w:val="0"/>
        <w:snapToGrid w:val="0"/>
        <w:spacing w:line="440" w:lineRule="exact"/>
        <w:ind w:right="11" w:firstLine="480" w:firstLineChars="200"/>
        <w:outlineLvl w:val="3"/>
        <w:rPr>
          <w:rFonts w:hint="eastAsia" w:ascii="宋体" w:hAnsi="宋体" w:eastAsia="宋体" w:cs="宋体"/>
          <w:bCs/>
          <w:iCs/>
          <w:snapToGrid w:val="0"/>
          <w:kern w:val="0"/>
          <w:sz w:val="24"/>
        </w:rPr>
      </w:pPr>
      <w:r>
        <w:rPr>
          <w:rFonts w:hint="eastAsia" w:ascii="宋体" w:hAnsi="宋体" w:eastAsia="宋体" w:cs="宋体"/>
          <w:bCs/>
          <w:iCs/>
          <w:snapToGrid w:val="0"/>
          <w:kern w:val="0"/>
          <w:sz w:val="24"/>
        </w:rPr>
        <w:t>9.4承包人应在签订本合同的同时按招标文件提供的格式与发包人签订《工程质量保修书》、《工程建设廉洁协议书》、《安全生产合同》等文件。</w:t>
      </w:r>
    </w:p>
    <w:p w14:paraId="4E2037C0">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bCs/>
          <w:iCs/>
          <w:snapToGrid w:val="0"/>
          <w:kern w:val="0"/>
          <w:sz w:val="24"/>
        </w:rPr>
        <w:t>9.5</w:t>
      </w:r>
      <w:r>
        <w:rPr>
          <w:rFonts w:hint="eastAsia" w:ascii="宋体" w:hAnsi="宋体" w:eastAsia="宋体" w:cs="宋体"/>
          <w:snapToGrid w:val="0"/>
          <w:kern w:val="0"/>
          <w:sz w:val="24"/>
        </w:rPr>
        <w:t>承包人应当按照国家及广东省、广州市的有关规定和本合同的有关约定加强其参与本工程建设人员（包括施工人员）的管理。</w:t>
      </w:r>
    </w:p>
    <w:p w14:paraId="4507A53B">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（1）实行实名制管理制度</w:t>
      </w:r>
    </w:p>
    <w:p w14:paraId="515A922A">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1）承包人应按广州市的有关规定，对其参与本工程建设的从业人员基本信息、作业工人考勤与工资支付信息和施工进度情况等信息登记建档,建立动态管理台账，并将以上信息报送行政监管部门接受监督管理。</w:t>
      </w:r>
    </w:p>
    <w:p w14:paraId="1AA624E9">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2）承包人应当建立实名制管理机构，建立健全实名制信息采集、登记、报送、审核和档案管理的有关制度。并对其承包管理范围内依法分包的专业承包企业和劳务分包企业实施统一管理，督促落实实名制管理。</w:t>
      </w:r>
    </w:p>
    <w:p w14:paraId="72E2B557">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3）承包人应按月向负责该工程监管工作的建设行政主管部门或其委托的管理机构报送实名制信息。并对信息的真实性、实效性和完整性负责。</w:t>
      </w:r>
    </w:p>
    <w:p w14:paraId="7E53BB5E">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发包人及监理单位将不定期抽查承包人及其所管辖的专业承包单位和分包单位实行实名制管理制度的情况，如发现违反本合同有关约定或因未按要求落实实名制的行为受到国家、省、市、区等建设行政主管部门通报批评的，由承包人按合同专用条款第38.7（4）款的约定承担违约责任。如发现有冒名顶替或人不到场而代为刷卡等弄虚作假现象的，由承包人按合同专用条款第38.7（3）款的约定承担违约责任。</w:t>
      </w:r>
    </w:p>
    <w:p w14:paraId="6D481396">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bCs/>
          <w:iCs/>
          <w:snapToGrid w:val="0"/>
          <w:kern w:val="0"/>
          <w:sz w:val="24"/>
        </w:rPr>
        <w:t>（2）</w:t>
      </w:r>
      <w:r>
        <w:rPr>
          <w:rFonts w:hint="eastAsia" w:ascii="宋体" w:hAnsi="宋体" w:eastAsia="宋体" w:cs="宋体"/>
          <w:snapToGrid w:val="0"/>
          <w:kern w:val="0"/>
          <w:sz w:val="24"/>
        </w:rPr>
        <w:t>按时足额支付施工人员工资</w:t>
      </w:r>
    </w:p>
    <w:p w14:paraId="012446E0">
      <w:pPr>
        <w:spacing w:line="440" w:lineRule="exact"/>
        <w:ind w:firstLine="600" w:firstLineChars="250"/>
        <w:rPr>
          <w:rFonts w:hint="eastAsia" w:ascii="宋体" w:hAnsi="宋体" w:eastAsia="宋体" w:cs="宋体"/>
          <w:sz w:val="24"/>
        </w:rPr>
      </w:pPr>
      <w:r>
        <w:rPr>
          <w:rFonts w:hint="eastAsia" w:ascii="宋体" w:hAnsi="宋体" w:eastAsia="宋体" w:cs="宋体"/>
          <w:sz w:val="24"/>
        </w:rPr>
        <w:t>1）承包人应根据《关于印发广州市建设领域工人工资支付分账管理实施细则的通知》（穗建规字[2020]37号）的规定，对建设项目工程款中的工人工资款与其他款项实行分开银行账户管理，在商业银行设立建设领域工人工资款支付专用账户，用于支付工人工资。</w:t>
      </w:r>
    </w:p>
    <w:p w14:paraId="67BFA9B5">
      <w:pPr>
        <w:spacing w:line="440" w:lineRule="exact"/>
        <w:ind w:firstLine="600" w:firstLineChars="250"/>
        <w:rPr>
          <w:rFonts w:hint="eastAsia" w:ascii="宋体" w:hAnsi="宋体" w:eastAsia="宋体" w:cs="宋体"/>
          <w:sz w:val="24"/>
        </w:rPr>
      </w:pPr>
      <w:r>
        <w:rPr>
          <w:rFonts w:hint="eastAsia" w:ascii="宋体" w:hAnsi="宋体" w:eastAsia="宋体" w:cs="宋体"/>
          <w:sz w:val="24"/>
        </w:rPr>
        <w:t>2）发包人在支付工程进度款时，根据《关于印发广州市建设领域工人工资支付分账管理实施细则的通知》（穗建规字[2020]37号）的规定，按照本合同约定的比例（依法必须进行招标的工程项目，工程进度款中的工人工资款比例参照施工招标的《中标通知书》中单列的人工费金额除以中标金额计算）划拨用于支付工人工资的工程款到承包人设立的工人工资款支付专用账户。承包人在申请每期工程进度款时，填报申请表中需加以说明，“申请进度款的总金额中，其中：工程项目支付金额（</w:t>
      </w:r>
      <w:r>
        <w:rPr>
          <w:rFonts w:hint="eastAsia" w:ascii="宋体" w:hAnsi="宋体" w:eastAsia="宋体" w:cs="宋体"/>
          <w:sz w:val="24"/>
          <w:u w:val="single"/>
        </w:rPr>
        <w:t>/</w:t>
      </w:r>
      <w:r>
        <w:rPr>
          <w:rFonts w:hint="eastAsia" w:ascii="宋体" w:hAnsi="宋体" w:eastAsia="宋体" w:cs="宋体"/>
          <w:sz w:val="24"/>
        </w:rPr>
        <w:t>%）为：</w:t>
      </w:r>
      <w:r>
        <w:rPr>
          <w:rFonts w:hint="eastAsia" w:ascii="宋体" w:hAnsi="宋体" w:eastAsia="宋体" w:cs="宋体"/>
          <w:sz w:val="24"/>
          <w:u w:val="single"/>
        </w:rPr>
        <w:t>/</w:t>
      </w:r>
      <w:r>
        <w:rPr>
          <w:rFonts w:hint="eastAsia" w:ascii="宋体" w:hAnsi="宋体" w:eastAsia="宋体" w:cs="宋体"/>
          <w:sz w:val="24"/>
        </w:rPr>
        <w:t>元，工人工资支付金额（</w:t>
      </w:r>
      <w:r>
        <w:rPr>
          <w:rFonts w:hint="eastAsia" w:ascii="宋体" w:hAnsi="宋体" w:eastAsia="宋体" w:cs="宋体"/>
          <w:sz w:val="24"/>
          <w:u w:val="single"/>
        </w:rPr>
        <w:t>/</w:t>
      </w:r>
      <w:r>
        <w:rPr>
          <w:rFonts w:hint="eastAsia" w:ascii="宋体" w:hAnsi="宋体" w:eastAsia="宋体" w:cs="宋体"/>
          <w:sz w:val="24"/>
        </w:rPr>
        <w:t>%）为：</w:t>
      </w:r>
      <w:r>
        <w:rPr>
          <w:rFonts w:hint="eastAsia" w:ascii="宋体" w:hAnsi="宋体" w:eastAsia="宋体" w:cs="宋体"/>
          <w:sz w:val="24"/>
          <w:u w:val="single"/>
        </w:rPr>
        <w:t>/</w:t>
      </w:r>
      <w:r>
        <w:rPr>
          <w:rFonts w:hint="eastAsia" w:ascii="宋体" w:hAnsi="宋体" w:eastAsia="宋体" w:cs="宋体"/>
          <w:sz w:val="24"/>
        </w:rPr>
        <w:t>元”，由发包人审核后分别出单分账汇入。专用账户除发放工人工资外，不得用于其他用途，不得提取现金和开通网上银行的电子支付渠道。承包人应指定专人负责建设项目施工现场台账管理，为每一位工人办理个人银行工资账户并在收到进度款的一个月内发放工人工资。</w:t>
      </w:r>
    </w:p>
    <w:p w14:paraId="3EDE76A5">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3）承包人应当根据劳动合同约定的施工人员工资标准等内容，按照依法签订的集体合同或劳动合同约定的日期按月支付工资，并不得低于当地最低工资标准。</w:t>
      </w:r>
    </w:p>
    <w:p w14:paraId="777A80D7">
      <w:pPr>
        <w:adjustRightInd w:val="0"/>
        <w:snapToGrid w:val="0"/>
        <w:spacing w:line="440" w:lineRule="exact"/>
        <w:ind w:right="11" w:firstLine="480" w:firstLineChars="200"/>
        <w:rPr>
          <w:rFonts w:hint="eastAsia" w:ascii="宋体" w:hAnsi="宋体" w:eastAsia="宋体" w:cs="宋体"/>
          <w:bCs/>
          <w:iCs/>
          <w:snapToGrid w:val="0"/>
          <w:kern w:val="0"/>
          <w:sz w:val="24"/>
        </w:rPr>
      </w:pPr>
      <w:r>
        <w:rPr>
          <w:rFonts w:hint="eastAsia" w:ascii="宋体" w:hAnsi="宋体" w:eastAsia="宋体" w:cs="宋体"/>
          <w:bCs/>
          <w:iCs/>
          <w:snapToGrid w:val="0"/>
          <w:kern w:val="0"/>
          <w:sz w:val="24"/>
        </w:rPr>
        <w:t>4）承包人应每月编制</w:t>
      </w:r>
      <w:r>
        <w:rPr>
          <w:rFonts w:hint="eastAsia" w:ascii="宋体" w:hAnsi="宋体" w:eastAsia="宋体" w:cs="宋体"/>
          <w:snapToGrid w:val="0"/>
          <w:kern w:val="0"/>
          <w:sz w:val="24"/>
        </w:rPr>
        <w:t>施工人员</w:t>
      </w:r>
      <w:r>
        <w:rPr>
          <w:rFonts w:hint="eastAsia" w:ascii="宋体" w:hAnsi="宋体" w:eastAsia="宋体" w:cs="宋体"/>
          <w:bCs/>
          <w:iCs/>
          <w:snapToGrid w:val="0"/>
          <w:kern w:val="0"/>
          <w:sz w:val="24"/>
        </w:rPr>
        <w:t>工资支付表，如实记录支付时间、支付对象、支付金额等工资支付情况，并于每月底在其现场管理机构办公场所显眼位置公示，接受监督。</w:t>
      </w:r>
    </w:p>
    <w:p w14:paraId="31AD9D56">
      <w:pPr>
        <w:adjustRightInd w:val="0"/>
        <w:snapToGrid w:val="0"/>
        <w:spacing w:line="440" w:lineRule="exact"/>
        <w:ind w:right="11" w:firstLine="480" w:firstLineChars="200"/>
        <w:rPr>
          <w:rFonts w:hint="eastAsia" w:ascii="宋体" w:hAnsi="宋体" w:eastAsia="宋体" w:cs="宋体"/>
          <w:bCs/>
          <w:iCs/>
          <w:snapToGrid w:val="0"/>
          <w:kern w:val="0"/>
          <w:sz w:val="24"/>
        </w:rPr>
      </w:pPr>
      <w:r>
        <w:rPr>
          <w:rFonts w:hint="eastAsia" w:ascii="宋体" w:hAnsi="宋体" w:eastAsia="宋体" w:cs="宋体"/>
          <w:bCs/>
          <w:iCs/>
          <w:snapToGrid w:val="0"/>
          <w:kern w:val="0"/>
          <w:sz w:val="24"/>
        </w:rPr>
        <w:t>5）承包人应对其专业分包或劳务分包单位工资支付进行监督，督促其依法支付施工人员工资。</w:t>
      </w:r>
    </w:p>
    <w:p w14:paraId="6C79AF00">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bCs/>
          <w:iCs/>
          <w:snapToGrid w:val="0"/>
          <w:kern w:val="0"/>
          <w:sz w:val="24"/>
        </w:rPr>
        <w:t>6）承包人</w:t>
      </w:r>
      <w:r>
        <w:rPr>
          <w:rFonts w:hint="eastAsia" w:ascii="宋体" w:hAnsi="宋体" w:eastAsia="宋体" w:cs="宋体"/>
          <w:snapToGrid w:val="0"/>
          <w:kern w:val="0"/>
          <w:sz w:val="24"/>
        </w:rPr>
        <w:t>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w:t>
      </w:r>
      <w:r>
        <w:rPr>
          <w:rFonts w:hint="eastAsia" w:ascii="宋体" w:hAnsi="宋体" w:eastAsia="宋体" w:cs="宋体"/>
          <w:bCs/>
          <w:iCs/>
          <w:snapToGrid w:val="0"/>
          <w:kern w:val="0"/>
          <w:sz w:val="24"/>
        </w:rPr>
        <w:t>承包人</w:t>
      </w:r>
      <w:r>
        <w:rPr>
          <w:rFonts w:hint="eastAsia" w:ascii="宋体" w:hAnsi="宋体" w:eastAsia="宋体" w:cs="宋体"/>
          <w:snapToGrid w:val="0"/>
          <w:kern w:val="0"/>
          <w:sz w:val="24"/>
        </w:rPr>
        <w:t>的合同，并上报省、市主管部门建议取消其参加广州地区省、市重大项目的投标资格，并予以公告。如属恶意煽动并造成社会不良影响的，发包人将提请司法部门追究其法律责任。</w:t>
      </w:r>
    </w:p>
    <w:p w14:paraId="133B8D23">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38.14（2）款的约定扣回相关款项作为补偿。</w:t>
      </w:r>
    </w:p>
    <w:p w14:paraId="6EA22E2F">
      <w:pPr>
        <w:adjustRightInd w:val="0"/>
        <w:snapToGrid w:val="0"/>
        <w:spacing w:line="440" w:lineRule="exact"/>
        <w:ind w:right="11" w:firstLine="480" w:firstLineChars="200"/>
        <w:rPr>
          <w:rFonts w:hint="eastAsia" w:ascii="宋体" w:hAnsi="宋体" w:eastAsia="宋体" w:cs="宋体"/>
          <w:bCs/>
          <w:iCs/>
          <w:snapToGrid w:val="0"/>
          <w:kern w:val="0"/>
          <w:sz w:val="24"/>
        </w:rPr>
      </w:pPr>
      <w:r>
        <w:rPr>
          <w:rFonts w:hint="eastAsia" w:ascii="宋体" w:hAnsi="宋体" w:eastAsia="宋体" w:cs="宋体"/>
          <w:snapToGrid w:val="0"/>
          <w:kern w:val="0"/>
          <w:sz w:val="24"/>
        </w:rPr>
        <w:t>8）</w:t>
      </w:r>
      <w:r>
        <w:rPr>
          <w:rFonts w:hint="eastAsia" w:ascii="宋体" w:hAnsi="宋体" w:eastAsia="宋体" w:cs="宋体"/>
          <w:bCs/>
          <w:iCs/>
          <w:snapToGrid w:val="0"/>
          <w:kern w:val="0"/>
          <w:sz w:val="24"/>
        </w:rPr>
        <w:t>承包人必须</w:t>
      </w:r>
      <w:r>
        <w:rPr>
          <w:rFonts w:hint="eastAsia" w:ascii="宋体" w:hAnsi="宋体" w:eastAsia="宋体" w:cs="宋体"/>
          <w:snapToGrid w:val="0"/>
          <w:kern w:val="0"/>
          <w:sz w:val="24"/>
        </w:rPr>
        <w:t>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5ED2C34C">
      <w:pPr>
        <w:adjustRightInd w:val="0"/>
        <w:snapToGrid w:val="0"/>
        <w:spacing w:line="440" w:lineRule="exact"/>
        <w:ind w:right="11" w:firstLine="480" w:firstLineChars="200"/>
        <w:rPr>
          <w:rFonts w:hint="eastAsia" w:ascii="宋体" w:hAnsi="宋体" w:eastAsia="宋体" w:cs="宋体"/>
          <w:bCs/>
          <w:iCs/>
          <w:snapToGrid w:val="0"/>
          <w:kern w:val="0"/>
          <w:sz w:val="24"/>
        </w:rPr>
      </w:pPr>
      <w:r>
        <w:rPr>
          <w:rFonts w:hint="eastAsia" w:ascii="宋体" w:hAnsi="宋体" w:eastAsia="宋体" w:cs="宋体"/>
          <w:bCs/>
          <w:iCs/>
          <w:snapToGrid w:val="0"/>
          <w:kern w:val="0"/>
          <w:sz w:val="24"/>
        </w:rPr>
        <w:t>（3）成立处理劳资纠纷的协调机构</w:t>
      </w:r>
    </w:p>
    <w:p w14:paraId="569B2F1F">
      <w:pPr>
        <w:adjustRightInd w:val="0"/>
        <w:snapToGrid w:val="0"/>
        <w:spacing w:line="440" w:lineRule="exact"/>
        <w:ind w:firstLine="480" w:firstLineChars="200"/>
        <w:rPr>
          <w:rFonts w:hint="eastAsia" w:ascii="宋体" w:hAnsi="宋体" w:eastAsia="宋体" w:cs="宋体"/>
          <w:bCs/>
          <w:iCs/>
          <w:snapToGrid w:val="0"/>
          <w:kern w:val="0"/>
          <w:sz w:val="24"/>
        </w:rPr>
      </w:pPr>
      <w:r>
        <w:rPr>
          <w:rFonts w:hint="eastAsia" w:ascii="宋体" w:hAnsi="宋体" w:eastAsia="宋体" w:cs="宋体"/>
          <w:bCs/>
          <w:iCs/>
          <w:snapToGrid w:val="0"/>
          <w:kern w:val="0"/>
          <w:sz w:val="24"/>
        </w:rPr>
        <w:t>承包人</w:t>
      </w:r>
      <w:r>
        <w:rPr>
          <w:rFonts w:hint="eastAsia" w:ascii="宋体" w:hAnsi="宋体" w:eastAsia="宋体" w:cs="宋体"/>
          <w:snapToGrid w:val="0"/>
          <w:kern w:val="0"/>
          <w:sz w:val="24"/>
        </w:rPr>
        <w:t>必须成立处理劳资纠纷的协调机构，</w:t>
      </w:r>
      <w:r>
        <w:rPr>
          <w:rFonts w:hint="eastAsia" w:ascii="宋体" w:hAnsi="宋体" w:eastAsia="宋体" w:cs="宋体"/>
          <w:bCs/>
          <w:iCs/>
          <w:snapToGrid w:val="0"/>
          <w:kern w:val="0"/>
          <w:sz w:val="24"/>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1A6BA369">
      <w:pPr>
        <w:adjustRightInd w:val="0"/>
        <w:snapToGrid w:val="0"/>
        <w:spacing w:line="440" w:lineRule="exact"/>
        <w:ind w:firstLine="480" w:firstLineChars="200"/>
        <w:rPr>
          <w:rFonts w:hint="eastAsia" w:ascii="宋体" w:hAnsi="宋体" w:eastAsia="宋体" w:cs="宋体"/>
          <w:bCs/>
          <w:iCs/>
          <w:snapToGrid w:val="0"/>
          <w:kern w:val="0"/>
          <w:sz w:val="24"/>
        </w:rPr>
      </w:pPr>
      <w:r>
        <w:rPr>
          <w:rFonts w:hint="eastAsia" w:ascii="宋体" w:hAnsi="宋体" w:eastAsia="宋体" w:cs="宋体"/>
          <w:bCs/>
          <w:snapToGrid w:val="0"/>
          <w:kern w:val="0"/>
          <w:sz w:val="24"/>
        </w:rPr>
        <w:t>(4)承包人必须对项目管理人员实行刷卡考勤制度，并每月将考勤情况交监理审核备案。</w:t>
      </w:r>
    </w:p>
    <w:p w14:paraId="2E68C33F">
      <w:pPr>
        <w:adjustRightInd w:val="0"/>
        <w:snapToGrid w:val="0"/>
        <w:spacing w:line="440" w:lineRule="exact"/>
        <w:ind w:right="11"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9.6承包人须于每月28日前向总监理工程师提供综合报表（内容包括但不限于如下计划、报表或报告），经总监理工程师审核，并报发包人批准后实施：</w:t>
      </w:r>
    </w:p>
    <w:p w14:paraId="04170209">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1）上月工程进度款《资金使用反馈表》（统计时段从上上月25日至上月24日），并提交已支付分包及材料设备供货单位价款凭证复印件，由总监理工程师核实确认资金落实情况并报发包人，以保证承包人将工程进度款用于本工程。</w:t>
      </w:r>
    </w:p>
    <w:p w14:paraId="01B5C4F3">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2）当月应完成的工程进度和实际完成进度统计报表，当月完成的工程量申报（要求分细项申报，并含有完成金额），当月工程质量、安全生产、文明施工情况报告，当月工程事故报告（如果发生时，须同时报政府相关部门），当月</w:t>
      </w:r>
      <w:r>
        <w:rPr>
          <w:rFonts w:hint="eastAsia" w:ascii="宋体" w:hAnsi="宋体" w:eastAsia="宋体" w:cs="宋体"/>
          <w:snapToGrid w:val="0"/>
          <w:kern w:val="0"/>
          <w:sz w:val="24"/>
        </w:rPr>
        <w:t>其承包管理范围内各专业间的组织管理、协调、配合等方面情况及所出现问题的专项报告</w:t>
      </w:r>
      <w:r>
        <w:rPr>
          <w:rFonts w:hint="eastAsia" w:ascii="宋体" w:hAnsi="宋体" w:eastAsia="宋体" w:cs="宋体"/>
          <w:bCs/>
          <w:snapToGrid w:val="0"/>
          <w:kern w:val="0"/>
          <w:sz w:val="24"/>
        </w:rPr>
        <w:t>（统计时段从上月25日至当月24日）。</w:t>
      </w:r>
    </w:p>
    <w:p w14:paraId="3551622A">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（3）下月资金使用计划，下月施工进度计划，下月施工拟投入设备、劳动力计划（统计时段从本月25日至下月24日）。</w:t>
      </w:r>
    </w:p>
    <w:p w14:paraId="0E2FAE78">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所有计划、报表及报告的具体格式，应按照发包人相关管理办法的要求，上报纸质文件前填报电子文件传送给发包人。</w:t>
      </w:r>
    </w:p>
    <w:p w14:paraId="5644E777">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9.7分部验收工作计划的提交要求</w:t>
      </w:r>
    </w:p>
    <w:p w14:paraId="2C70B113">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7A45EE81">
      <w:pPr>
        <w:adjustRightInd w:val="0"/>
        <w:snapToGrid w:val="0"/>
        <w:spacing w:line="440" w:lineRule="exact"/>
        <w:ind w:right="11" w:firstLine="480" w:firstLineChars="200"/>
        <w:rPr>
          <w:rFonts w:hint="eastAsia" w:ascii="宋体" w:hAnsi="宋体" w:eastAsia="宋体" w:cs="宋体"/>
          <w:bCs/>
          <w:snapToGrid w:val="0"/>
          <w:kern w:val="0"/>
          <w:sz w:val="24"/>
        </w:rPr>
      </w:pPr>
      <w:bookmarkStart w:id="504" w:name="_Toc397364904"/>
      <w:bookmarkStart w:id="505" w:name="_Toc17131"/>
      <w:bookmarkStart w:id="506" w:name="_Toc3276"/>
      <w:r>
        <w:rPr>
          <w:rFonts w:hint="eastAsia" w:ascii="宋体" w:hAnsi="宋体" w:eastAsia="宋体" w:cs="宋体"/>
          <w:bCs/>
          <w:snapToGrid w:val="0"/>
          <w:kern w:val="0"/>
          <w:sz w:val="24"/>
        </w:rPr>
        <w:t>9.</w:t>
      </w:r>
      <w:r>
        <w:rPr>
          <w:rFonts w:ascii="宋体" w:hAnsi="宋体" w:eastAsia="宋体" w:cs="宋体"/>
          <w:bCs/>
          <w:snapToGrid w:val="0"/>
          <w:kern w:val="0"/>
          <w:sz w:val="24"/>
        </w:rPr>
        <w:t>8</w:t>
      </w:r>
      <w:r>
        <w:rPr>
          <w:rFonts w:hint="eastAsia" w:ascii="宋体" w:hAnsi="宋体" w:eastAsia="宋体" w:cs="宋体"/>
          <w:snapToGrid w:val="0"/>
          <w:kern w:val="0"/>
          <w:sz w:val="24"/>
        </w:rPr>
        <w:t>工程建设过程中，承包人应按照发包人建设工程声像档案管理的相关要求，定期采用全景拍摄本合同承包范围内工程建设的照片、视频等声像档案。上述工作产生的相关费用已包含在合同总价中，发包人不再就此支付任何费用。声像档案具体要求如下：</w:t>
      </w:r>
    </w:p>
    <w:tbl>
      <w:tblPr>
        <w:tblStyle w:val="40"/>
        <w:tblW w:w="8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2248"/>
        <w:gridCol w:w="1802"/>
        <w:gridCol w:w="1802"/>
        <w:gridCol w:w="1803"/>
      </w:tblGrid>
      <w:tr w14:paraId="0A119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80" w:type="dxa"/>
            <w:vAlign w:val="center"/>
          </w:tcPr>
          <w:p w14:paraId="67DBCB70">
            <w:pPr>
              <w:spacing w:line="240" w:lineRule="exact"/>
              <w:jc w:val="center"/>
              <w:rPr>
                <w:rFonts w:hint="eastAsia" w:ascii="宋体" w:hAnsi="宋体" w:eastAsia="宋体" w:cs="宋体"/>
                <w:sz w:val="20"/>
                <w:szCs w:val="20"/>
              </w:rPr>
            </w:pPr>
          </w:p>
        </w:tc>
        <w:tc>
          <w:tcPr>
            <w:tcW w:w="2248" w:type="dxa"/>
            <w:vAlign w:val="center"/>
          </w:tcPr>
          <w:p w14:paraId="76187C33">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照片</w:t>
            </w:r>
          </w:p>
        </w:tc>
        <w:tc>
          <w:tcPr>
            <w:tcW w:w="1802" w:type="dxa"/>
            <w:vAlign w:val="center"/>
          </w:tcPr>
          <w:p w14:paraId="24619BAD">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视频</w:t>
            </w:r>
          </w:p>
        </w:tc>
        <w:tc>
          <w:tcPr>
            <w:tcW w:w="1802" w:type="dxa"/>
            <w:vAlign w:val="center"/>
          </w:tcPr>
          <w:p w14:paraId="4F9E0C18">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专题片</w:t>
            </w:r>
          </w:p>
        </w:tc>
        <w:tc>
          <w:tcPr>
            <w:tcW w:w="1803" w:type="dxa"/>
            <w:vAlign w:val="center"/>
          </w:tcPr>
          <w:p w14:paraId="7D42E329">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档案成果册</w:t>
            </w:r>
          </w:p>
        </w:tc>
      </w:tr>
      <w:tr w14:paraId="452C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9" w:hRule="atLeast"/>
          <w:jc w:val="center"/>
        </w:trPr>
        <w:tc>
          <w:tcPr>
            <w:tcW w:w="680" w:type="dxa"/>
            <w:vAlign w:val="center"/>
          </w:tcPr>
          <w:p w14:paraId="5F1D0E28">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数量</w:t>
            </w:r>
          </w:p>
        </w:tc>
        <w:tc>
          <w:tcPr>
            <w:tcW w:w="2248" w:type="dxa"/>
            <w:vAlign w:val="center"/>
          </w:tcPr>
          <w:p w14:paraId="78B50405">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每月不少于30张</w:t>
            </w:r>
          </w:p>
        </w:tc>
        <w:tc>
          <w:tcPr>
            <w:tcW w:w="1802" w:type="dxa"/>
            <w:vAlign w:val="center"/>
          </w:tcPr>
          <w:p w14:paraId="53683ECF">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每月不少于2条，每条不少于15分钟，并附有解说词稿。</w:t>
            </w:r>
          </w:p>
        </w:tc>
        <w:tc>
          <w:tcPr>
            <w:tcW w:w="1802" w:type="dxa"/>
            <w:vAlign w:val="center"/>
          </w:tcPr>
          <w:p w14:paraId="613E62F0">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项目竣工后，编辑制作专题片，专题片结构完整，片长不少于20分钟，并附有解说词稿。</w:t>
            </w:r>
          </w:p>
        </w:tc>
        <w:tc>
          <w:tcPr>
            <w:tcW w:w="1803" w:type="dxa"/>
            <w:vAlign w:val="center"/>
          </w:tcPr>
          <w:p w14:paraId="316685ED">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项目竣工后，提交30本</w:t>
            </w:r>
          </w:p>
        </w:tc>
      </w:tr>
      <w:tr w14:paraId="446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5E3A3F1E">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技术参数</w:t>
            </w:r>
          </w:p>
        </w:tc>
        <w:tc>
          <w:tcPr>
            <w:tcW w:w="2248" w:type="dxa"/>
            <w:vAlign w:val="center"/>
          </w:tcPr>
          <w:p w14:paraId="7B944387">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数码照片应冲洗为4R（152mm×102mm）彩色照片，分辨率不低于2560×1920</w:t>
            </w:r>
          </w:p>
        </w:tc>
        <w:tc>
          <w:tcPr>
            <w:tcW w:w="1802" w:type="dxa"/>
            <w:vAlign w:val="center"/>
          </w:tcPr>
          <w:p w14:paraId="01EF85E3">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彩色，记录同期声音，输出码流不应低于10M</w:t>
            </w:r>
          </w:p>
        </w:tc>
        <w:tc>
          <w:tcPr>
            <w:tcW w:w="1802" w:type="dxa"/>
            <w:vAlign w:val="center"/>
          </w:tcPr>
          <w:p w14:paraId="5CF0020C">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彩色，记录同期声音，输出码流不应低于10M</w:t>
            </w:r>
          </w:p>
        </w:tc>
        <w:tc>
          <w:tcPr>
            <w:tcW w:w="1803" w:type="dxa"/>
            <w:vAlign w:val="center"/>
          </w:tcPr>
          <w:p w14:paraId="7E8B631F">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从归档的照片中，挑选不少于150张高质量照片，对图片进行精修、设计、排版，制作不少于大8开铜版精装彩色画册</w:t>
            </w:r>
          </w:p>
        </w:tc>
      </w:tr>
      <w:tr w14:paraId="758B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2C8255F3">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电子文件</w:t>
            </w:r>
          </w:p>
          <w:p w14:paraId="1F2828F1">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格式</w:t>
            </w:r>
          </w:p>
        </w:tc>
        <w:tc>
          <w:tcPr>
            <w:tcW w:w="2248" w:type="dxa"/>
            <w:vAlign w:val="center"/>
          </w:tcPr>
          <w:p w14:paraId="62B75AF9">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同时归档电子文件，通用格式为JPEG、TIFF、RAW格式。其中JPEG格式的文件不低于2M，TIFF或RAW格式的文件大小不低于10M</w:t>
            </w:r>
          </w:p>
        </w:tc>
        <w:tc>
          <w:tcPr>
            <w:tcW w:w="1802" w:type="dxa"/>
            <w:vAlign w:val="center"/>
          </w:tcPr>
          <w:p w14:paraId="2F29EFDB">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同时归档电子文件，通用格式为MPEG2、AVI、AVS等格式</w:t>
            </w:r>
          </w:p>
        </w:tc>
        <w:tc>
          <w:tcPr>
            <w:tcW w:w="1802" w:type="dxa"/>
            <w:vAlign w:val="center"/>
          </w:tcPr>
          <w:p w14:paraId="76E35F86">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同时归档电子文件，通用格式为MPEG2、AVI、AVS等格式</w:t>
            </w:r>
          </w:p>
        </w:tc>
        <w:tc>
          <w:tcPr>
            <w:tcW w:w="1803" w:type="dxa"/>
            <w:vAlign w:val="center"/>
          </w:tcPr>
          <w:p w14:paraId="0BD49603">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同时归档电子文件，通用格式为PDF</w:t>
            </w:r>
          </w:p>
        </w:tc>
      </w:tr>
      <w:tr w14:paraId="1BAF8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0AA50FCC">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存储光盘</w:t>
            </w:r>
          </w:p>
        </w:tc>
        <w:tc>
          <w:tcPr>
            <w:tcW w:w="2248" w:type="dxa"/>
            <w:vAlign w:val="center"/>
          </w:tcPr>
          <w:p w14:paraId="795BC1E0">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只读CD-R/DVD-R，无毒、有效</w:t>
            </w:r>
          </w:p>
        </w:tc>
        <w:tc>
          <w:tcPr>
            <w:tcW w:w="1802" w:type="dxa"/>
            <w:vAlign w:val="center"/>
          </w:tcPr>
          <w:p w14:paraId="50299421">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只读CD-R/DVD-R，无毒、有效</w:t>
            </w:r>
          </w:p>
        </w:tc>
        <w:tc>
          <w:tcPr>
            <w:tcW w:w="1802" w:type="dxa"/>
            <w:vAlign w:val="center"/>
          </w:tcPr>
          <w:p w14:paraId="6624833D">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只读CD-R/DVD-R，无毒、有效</w:t>
            </w:r>
          </w:p>
        </w:tc>
        <w:tc>
          <w:tcPr>
            <w:tcW w:w="1803" w:type="dxa"/>
            <w:vAlign w:val="center"/>
          </w:tcPr>
          <w:p w14:paraId="21CB9F6B">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只读CD-R/DVD-R，无毒、有效</w:t>
            </w:r>
          </w:p>
        </w:tc>
      </w:tr>
      <w:tr w14:paraId="59D0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14:paraId="36E908AD">
            <w:pPr>
              <w:spacing w:line="240" w:lineRule="exact"/>
              <w:jc w:val="center"/>
              <w:rPr>
                <w:rFonts w:hint="eastAsia" w:ascii="宋体" w:hAnsi="宋体" w:eastAsia="宋体" w:cs="宋体"/>
                <w:b/>
                <w:sz w:val="20"/>
                <w:szCs w:val="20"/>
              </w:rPr>
            </w:pPr>
            <w:r>
              <w:rPr>
                <w:rFonts w:hint="eastAsia" w:ascii="宋体" w:hAnsi="宋体" w:eastAsia="宋体" w:cs="宋体"/>
                <w:b/>
                <w:sz w:val="20"/>
                <w:szCs w:val="20"/>
              </w:rPr>
              <w:t>其他要求</w:t>
            </w:r>
          </w:p>
        </w:tc>
        <w:tc>
          <w:tcPr>
            <w:tcW w:w="7655" w:type="dxa"/>
            <w:gridSpan w:val="4"/>
            <w:vAlign w:val="center"/>
          </w:tcPr>
          <w:p w14:paraId="24FEB0C9">
            <w:pPr>
              <w:spacing w:line="240" w:lineRule="exact"/>
              <w:jc w:val="center"/>
              <w:rPr>
                <w:rFonts w:hint="eastAsia" w:ascii="宋体" w:hAnsi="宋体" w:eastAsia="宋体" w:cs="宋体"/>
                <w:sz w:val="20"/>
                <w:szCs w:val="20"/>
              </w:rPr>
            </w:pPr>
            <w:r>
              <w:rPr>
                <w:rFonts w:hint="eastAsia" w:ascii="宋体" w:hAnsi="宋体" w:eastAsia="宋体" w:cs="宋体"/>
                <w:sz w:val="20"/>
                <w:szCs w:val="20"/>
              </w:rPr>
              <w:t>声像档案应保留原始信息，不能进行添加、合成、挖补等技术修改</w:t>
            </w:r>
          </w:p>
        </w:tc>
      </w:tr>
    </w:tbl>
    <w:p w14:paraId="3DC73A00">
      <w:pPr>
        <w:adjustRightInd w:val="0"/>
        <w:snapToGrid w:val="0"/>
        <w:spacing w:line="240" w:lineRule="exact"/>
        <w:ind w:firstLine="480" w:firstLineChars="200"/>
        <w:outlineLvl w:val="3"/>
        <w:rPr>
          <w:rFonts w:hint="eastAsia" w:ascii="宋体" w:hAnsi="宋体" w:eastAsia="宋体" w:cs="宋体"/>
          <w:bCs/>
          <w:snapToGrid w:val="0"/>
          <w:kern w:val="0"/>
          <w:sz w:val="24"/>
        </w:rPr>
      </w:pPr>
    </w:p>
    <w:p w14:paraId="1F08EAB8">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9.</w:t>
      </w:r>
      <w:r>
        <w:rPr>
          <w:rFonts w:ascii="宋体" w:hAnsi="宋体" w:eastAsia="宋体" w:cs="宋体"/>
          <w:bCs/>
          <w:snapToGrid w:val="0"/>
          <w:kern w:val="0"/>
          <w:sz w:val="24"/>
        </w:rPr>
        <w:t>9</w:t>
      </w:r>
      <w:r>
        <w:rPr>
          <w:rFonts w:hint="eastAsia" w:ascii="宋体" w:hAnsi="宋体" w:eastAsia="宋体" w:cs="宋体"/>
          <w:bCs/>
          <w:snapToGrid w:val="0"/>
          <w:kern w:val="0"/>
          <w:sz w:val="24"/>
        </w:rPr>
        <w:t>承包人应在本合同签订后一个月内或合同施工工期的三分之一时间之内（以时间短者为限）完成工程量清单复核工作，即对招标工程量清单、合同工程量清单出现的错误、缺项、重复等情况进行全面核查，将核查结果提交监理、发包人审核并办理相关变更手续。</w:t>
      </w:r>
    </w:p>
    <w:p w14:paraId="34214AB8">
      <w:pPr>
        <w:adjustRightInd w:val="0"/>
        <w:snapToGrid w:val="0"/>
        <w:spacing w:line="240" w:lineRule="exact"/>
        <w:ind w:firstLine="480" w:firstLineChars="200"/>
        <w:outlineLvl w:val="3"/>
        <w:rPr>
          <w:rFonts w:hint="eastAsia" w:ascii="宋体" w:hAnsi="宋体" w:eastAsia="宋体" w:cs="宋体"/>
          <w:bCs/>
          <w:snapToGrid w:val="0"/>
          <w:kern w:val="0"/>
          <w:sz w:val="24"/>
        </w:rPr>
      </w:pPr>
    </w:p>
    <w:p w14:paraId="7C3C3F52">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507" w:name="_Toc176192801"/>
      <w:r>
        <w:rPr>
          <w:rFonts w:hint="eastAsia" w:ascii="宋体" w:hAnsi="宋体" w:eastAsia="宋体" w:cs="宋体"/>
          <w:b/>
          <w:bCs/>
          <w:snapToGrid w:val="0"/>
          <w:kern w:val="0"/>
          <w:sz w:val="28"/>
          <w:szCs w:val="28"/>
        </w:rPr>
        <w:t>三、施工组织设计和工期</w:t>
      </w:r>
      <w:bookmarkEnd w:id="504"/>
      <w:bookmarkEnd w:id="505"/>
      <w:bookmarkEnd w:id="506"/>
      <w:bookmarkEnd w:id="507"/>
    </w:p>
    <w:p w14:paraId="2E561BC2">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08" w:name="_Toc397364905"/>
      <w:bookmarkStart w:id="509" w:name="_Toc176192802"/>
      <w:bookmarkStart w:id="510" w:name="_Toc28094"/>
      <w:bookmarkStart w:id="511" w:name="_Toc20516"/>
      <w:r>
        <w:rPr>
          <w:rFonts w:hint="eastAsia" w:ascii="宋体" w:hAnsi="宋体" w:eastAsia="宋体" w:cs="宋体"/>
          <w:b/>
          <w:snapToGrid w:val="0"/>
          <w:kern w:val="0"/>
          <w:sz w:val="24"/>
        </w:rPr>
        <w:t>10、进度计划</w:t>
      </w:r>
      <w:bookmarkEnd w:id="508"/>
      <w:bookmarkEnd w:id="509"/>
      <w:bookmarkEnd w:id="510"/>
      <w:bookmarkEnd w:id="511"/>
    </w:p>
    <w:p w14:paraId="3873BBC4">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10.1计划的提交和确认</w:t>
      </w:r>
    </w:p>
    <w:p w14:paraId="4AF72352">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（1）承包人应于本合同签订后</w:t>
      </w:r>
      <w:r>
        <w:rPr>
          <w:rFonts w:ascii="宋体" w:hAnsi="宋体" w:eastAsia="宋体" w:cs="宋体"/>
          <w:bCs/>
          <w:snapToGrid w:val="0"/>
          <w:kern w:val="0"/>
          <w:sz w:val="24"/>
        </w:rPr>
        <w:t>3</w:t>
      </w:r>
      <w:r>
        <w:rPr>
          <w:rFonts w:hint="eastAsia" w:ascii="宋体" w:hAnsi="宋体" w:eastAsia="宋体" w:cs="宋体"/>
          <w:bCs/>
          <w:snapToGrid w:val="0"/>
          <w:kern w:val="0"/>
          <w:sz w:val="24"/>
        </w:rPr>
        <w:t>日历天内向总监理工程师提交项目及单位工程的施工组织设计与进度计划。</w:t>
      </w:r>
    </w:p>
    <w:p w14:paraId="0612E7D2">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承包人提交的施工组织设计应当载明如下内容</w:t>
      </w:r>
      <w:r>
        <w:rPr>
          <w:rFonts w:hint="eastAsia" w:ascii="宋体" w:hAnsi="宋体" w:eastAsia="宋体" w:cs="宋体"/>
          <w:bCs/>
          <w:snapToGrid w:val="0"/>
          <w:kern w:val="0"/>
          <w:sz w:val="24"/>
        </w:rPr>
        <w:t>（包括但不限于）</w:t>
      </w:r>
      <w:r>
        <w:rPr>
          <w:rFonts w:hint="eastAsia" w:ascii="宋体" w:hAnsi="宋体" w:eastAsia="宋体" w:cs="宋体"/>
          <w:snapToGrid w:val="0"/>
          <w:kern w:val="0"/>
          <w:sz w:val="24"/>
        </w:rPr>
        <w:t>：</w:t>
      </w:r>
    </w:p>
    <w:p w14:paraId="1E540D6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1）各分部分项工程完整的施工方案；</w:t>
      </w:r>
    </w:p>
    <w:p w14:paraId="1992DF0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2）施工资源投入计划，包括：机械设备进场计划、工程材料和物料进场及仓储计划、施工人员进场计划等；</w:t>
      </w:r>
    </w:p>
    <w:p w14:paraId="32836C6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3）施工现场平面布置图（包括施工道路平面图、各种临时设施、施工用水、监控设施、施工机具、材料构配件存放位置）；</w:t>
      </w:r>
    </w:p>
    <w:p w14:paraId="76E3A41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4）季节性施工措施；</w:t>
      </w:r>
    </w:p>
    <w:p w14:paraId="161A979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5）架空线、地下管线及其他地下设施的处理措施；</w:t>
      </w:r>
    </w:p>
    <w:p w14:paraId="15364D4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6）保证工期、质量的措施；</w:t>
      </w:r>
    </w:p>
    <w:p w14:paraId="5F406DD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7）保证安全生产、文明施工、减少扰民，且满足环境保护要求的措施；</w:t>
      </w:r>
    </w:p>
    <w:p w14:paraId="45C1EBE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8）妥善处理与相邻施工作业现场关系的措施；</w:t>
      </w:r>
    </w:p>
    <w:p w14:paraId="3B82E15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9）其他与工程施工有关的管理方案、措施。</w:t>
      </w:r>
    </w:p>
    <w:p w14:paraId="270CA9B1">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bCs/>
          <w:snapToGrid w:val="0"/>
          <w:kern w:val="0"/>
          <w:sz w:val="24"/>
        </w:rPr>
        <w:t>承包人编制的</w:t>
      </w:r>
      <w:r>
        <w:rPr>
          <w:rFonts w:hint="eastAsia" w:ascii="宋体" w:hAnsi="宋体" w:eastAsia="宋体" w:cs="宋体"/>
          <w:snapToGrid w:val="0"/>
          <w:kern w:val="0"/>
          <w:sz w:val="24"/>
        </w:rPr>
        <w:t>工程进度计划内容应全面详实，且应针对本项目范围内的各专业平行分包工程及建筑工程的全部或分项施工作业和特点提出施工方法、施工穿插顺序及时间安排，并在各节点位置标注相应的工程量、资金使用计划、人力机械组织及材料消耗量，且需在施工过程中设置一个关键工期节点（非完工节点）。</w:t>
      </w:r>
    </w:p>
    <w:p w14:paraId="2BD6BD46">
      <w:pPr>
        <w:numPr>
          <w:ilvl w:val="0"/>
          <w:numId w:val="4"/>
        </w:num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总监理工程师和发包人在接到承包人提交的施工组织设计和工程进度计划后7天内予以确认或提出修改意见（总监理工程师在4天内审核并签署意见，发包人在3天内审核并签署意见）。但如遇到重大或技术复杂、难度大的施工方案（如深基坑支护及高支模等施工方案），则应按政府有关规定召开专家评审会评审并由承包人承担相关费用。</w:t>
      </w:r>
    </w:p>
    <w:p w14:paraId="6827F554">
      <w:pPr>
        <w:numPr>
          <w:ilvl w:val="0"/>
          <w:numId w:val="4"/>
        </w:num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bCs/>
          <w:snapToGrid w:val="0"/>
          <w:kern w:val="0"/>
          <w:sz w:val="24"/>
        </w:rPr>
        <w:t>施工组织设计、第三方监测方案及应急预案经总监理工程师审批及发包人备案。</w:t>
      </w:r>
    </w:p>
    <w:p w14:paraId="5FFB7B9E">
      <w:pPr>
        <w:adjustRightInd w:val="0"/>
        <w:snapToGrid w:val="0"/>
        <w:spacing w:line="440" w:lineRule="exact"/>
        <w:ind w:right="11" w:firstLine="463" w:firstLineChars="192"/>
        <w:rPr>
          <w:rFonts w:hint="eastAsia" w:ascii="宋体" w:hAnsi="宋体" w:eastAsia="宋体" w:cs="宋体"/>
          <w:snapToGrid w:val="0"/>
          <w:kern w:val="0"/>
          <w:sz w:val="24"/>
        </w:rPr>
      </w:pPr>
      <w:r>
        <w:rPr>
          <w:rFonts w:hint="eastAsia" w:ascii="宋体" w:hAnsi="宋体" w:eastAsia="宋体" w:cs="宋体"/>
          <w:b/>
          <w:snapToGrid w:val="0"/>
          <w:kern w:val="0"/>
          <w:sz w:val="24"/>
        </w:rPr>
        <w:t>承包人和发包人一致同意增加10.4：</w:t>
      </w:r>
    </w:p>
    <w:p w14:paraId="4DC25003">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10.4计划的执行</w:t>
      </w:r>
    </w:p>
    <w:p w14:paraId="32846758">
      <w:pPr>
        <w:adjustRightInd w:val="0"/>
        <w:snapToGrid w:val="0"/>
        <w:spacing w:line="440" w:lineRule="exact"/>
        <w:ind w:firstLine="480" w:firstLineChars="200"/>
        <w:outlineLvl w:val="4"/>
        <w:rPr>
          <w:rFonts w:hint="eastAsia" w:ascii="宋体" w:hAnsi="宋体" w:eastAsia="宋体" w:cs="宋体"/>
          <w:snapToGrid w:val="0"/>
          <w:kern w:val="0"/>
          <w:sz w:val="24"/>
        </w:rPr>
      </w:pPr>
      <w:r>
        <w:rPr>
          <w:rFonts w:hint="eastAsia" w:ascii="宋体" w:hAnsi="宋体" w:eastAsia="宋体" w:cs="宋体"/>
          <w:snapToGrid w:val="0"/>
          <w:kern w:val="0"/>
          <w:sz w:val="24"/>
        </w:rPr>
        <w:t>（1）承包人应当加强计划管理，严格按照总监理工程师确认的工程进度计划组织施工，并接受总监理工程师对工程进度的检查、监督。</w:t>
      </w:r>
    </w:p>
    <w:p w14:paraId="1C7D7629">
      <w:pPr>
        <w:adjustRightInd w:val="0"/>
        <w:snapToGrid w:val="0"/>
        <w:spacing w:line="440" w:lineRule="exact"/>
        <w:ind w:firstLine="480" w:firstLineChars="200"/>
        <w:outlineLvl w:val="4"/>
        <w:rPr>
          <w:rFonts w:hint="eastAsia" w:ascii="宋体" w:hAnsi="宋体" w:eastAsia="宋体" w:cs="宋体"/>
          <w:snapToGrid w:val="0"/>
          <w:kern w:val="0"/>
          <w:sz w:val="24"/>
        </w:rPr>
      </w:pPr>
      <w:r>
        <w:rPr>
          <w:rFonts w:hint="eastAsia" w:ascii="宋体" w:hAnsi="宋体" w:eastAsia="宋体" w:cs="宋体"/>
          <w:snapToGrid w:val="0"/>
          <w:kern w:val="0"/>
          <w:sz w:val="24"/>
        </w:rPr>
        <w:t>（2）为便于总监理工程师掌握和控制工期，承包人应于每月底向总监理工程师填报当月工程进度计划完成情况（没完成计划的必须说明原因），</w:t>
      </w:r>
      <w:r>
        <w:rPr>
          <w:rFonts w:hint="eastAsia" w:ascii="宋体" w:hAnsi="宋体" w:eastAsia="宋体" w:cs="宋体"/>
          <w:bCs/>
          <w:snapToGrid w:val="0"/>
          <w:kern w:val="0"/>
          <w:sz w:val="24"/>
        </w:rPr>
        <w:t>并在此基础上更新工程进度计划、</w:t>
      </w:r>
      <w:r>
        <w:rPr>
          <w:rFonts w:hint="eastAsia" w:ascii="宋体" w:hAnsi="宋体" w:eastAsia="宋体" w:cs="宋体"/>
          <w:snapToGrid w:val="0"/>
          <w:kern w:val="0"/>
          <w:sz w:val="24"/>
        </w:rPr>
        <w:t>资金计划和其他工作计划。总监理工程师在接到报告后应当予以确认或提出书面意见，承包人必须按照总监理工程师的确认或者书面意见执行。</w:t>
      </w:r>
    </w:p>
    <w:p w14:paraId="142AB88C">
      <w:pPr>
        <w:adjustRightInd w:val="0"/>
        <w:snapToGrid w:val="0"/>
        <w:spacing w:line="440" w:lineRule="exact"/>
        <w:ind w:firstLine="480" w:firstLineChars="200"/>
        <w:outlineLvl w:val="4"/>
        <w:rPr>
          <w:rFonts w:hint="eastAsia" w:ascii="宋体" w:hAnsi="宋体" w:eastAsia="宋体" w:cs="宋体"/>
          <w:snapToGrid w:val="0"/>
          <w:kern w:val="0"/>
          <w:sz w:val="24"/>
        </w:rPr>
      </w:pPr>
      <w:r>
        <w:rPr>
          <w:rFonts w:hint="eastAsia" w:ascii="宋体" w:hAnsi="宋体" w:eastAsia="宋体" w:cs="宋体"/>
          <w:snapToGrid w:val="0"/>
          <w:kern w:val="0"/>
          <w:sz w:val="24"/>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rFonts w:hint="eastAsia" w:ascii="宋体" w:hAnsi="宋体" w:eastAsia="宋体" w:cs="宋体"/>
          <w:iCs/>
          <w:snapToGrid w:val="0"/>
          <w:kern w:val="0"/>
          <w:sz w:val="24"/>
        </w:rPr>
        <w:t>后10天内采取有效措施，工程进度仍然无明显改</w:t>
      </w:r>
      <w:r>
        <w:rPr>
          <w:rFonts w:hint="eastAsia" w:ascii="宋体" w:hAnsi="宋体" w:eastAsia="宋体" w:cs="宋体"/>
          <w:snapToGrid w:val="0"/>
          <w:kern w:val="0"/>
          <w:sz w:val="24"/>
        </w:rPr>
        <w:t>进，发包人有权部分或全部解除合同，将未完工程另行发包给其他有能力的施工单位；承包人必须无条件服从，由此所造成的损失全部由承包人承担。</w:t>
      </w:r>
    </w:p>
    <w:p w14:paraId="45F6886F">
      <w:pPr>
        <w:adjustRightInd w:val="0"/>
        <w:snapToGrid w:val="0"/>
        <w:spacing w:line="440" w:lineRule="exact"/>
        <w:ind w:firstLine="480" w:firstLineChars="200"/>
        <w:outlineLvl w:val="4"/>
        <w:rPr>
          <w:rFonts w:hint="eastAsia" w:ascii="宋体" w:hAnsi="宋体" w:eastAsia="宋体" w:cs="宋体"/>
          <w:snapToGrid w:val="0"/>
          <w:kern w:val="0"/>
          <w:sz w:val="24"/>
        </w:rPr>
      </w:pPr>
      <w:r>
        <w:rPr>
          <w:rFonts w:hint="eastAsia" w:ascii="宋体" w:hAnsi="宋体" w:eastAsia="宋体" w:cs="宋体"/>
          <w:snapToGrid w:val="0"/>
          <w:kern w:val="0"/>
          <w:sz w:val="24"/>
        </w:rPr>
        <w:t>（4）发包人可以根据情况变化，要求承包人提前完成施工计划。承包人不得拒绝，也不能要求发包人支付任何附加费用。</w:t>
      </w:r>
    </w:p>
    <w:p w14:paraId="1DDCDF4C">
      <w:pPr>
        <w:adjustRightInd w:val="0"/>
        <w:snapToGrid w:val="0"/>
        <w:spacing w:line="440" w:lineRule="exact"/>
        <w:ind w:firstLine="482" w:firstLineChars="200"/>
        <w:rPr>
          <w:rFonts w:hint="eastAsia" w:ascii="宋体" w:hAnsi="宋体" w:eastAsia="宋体" w:cs="宋体"/>
          <w:snapToGrid w:val="0"/>
          <w:kern w:val="0"/>
          <w:sz w:val="24"/>
        </w:rPr>
      </w:pPr>
      <w:r>
        <w:rPr>
          <w:rFonts w:hint="eastAsia" w:ascii="宋体" w:hAnsi="宋体" w:eastAsia="宋体" w:cs="宋体"/>
          <w:b/>
          <w:snapToGrid w:val="0"/>
          <w:kern w:val="0"/>
          <w:sz w:val="24"/>
        </w:rPr>
        <w:t>承包人和发包人一致同意不适用合同通用条款第11条的约定，代之以：</w:t>
      </w:r>
    </w:p>
    <w:p w14:paraId="3D6F1956">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12" w:name="_Toc28241"/>
      <w:bookmarkStart w:id="513" w:name="_Toc176192803"/>
      <w:bookmarkStart w:id="514" w:name="_Toc397364906"/>
      <w:bookmarkStart w:id="515" w:name="_Toc1794"/>
      <w:r>
        <w:rPr>
          <w:rFonts w:hint="eastAsia" w:ascii="宋体" w:hAnsi="宋体" w:eastAsia="宋体" w:cs="宋体"/>
          <w:b/>
          <w:snapToGrid w:val="0"/>
          <w:kern w:val="0"/>
          <w:sz w:val="24"/>
        </w:rPr>
        <w:t>11、开工及延期开工</w:t>
      </w:r>
      <w:bookmarkEnd w:id="512"/>
      <w:bookmarkEnd w:id="513"/>
      <w:bookmarkEnd w:id="514"/>
      <w:bookmarkEnd w:id="515"/>
    </w:p>
    <w:p w14:paraId="6A2BD0F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承包人必须在收到中标通知书的次日进入施工场地，做好施工准备工作，尽快开工。在工程已具备开工条件，但因</w:t>
      </w:r>
      <w:r>
        <w:rPr>
          <w:rFonts w:hint="eastAsia" w:ascii="宋体" w:hAnsi="宋体" w:eastAsia="宋体" w:cs="宋体"/>
          <w:bCs/>
          <w:snapToGrid w:val="0"/>
          <w:kern w:val="0"/>
          <w:sz w:val="24"/>
        </w:rPr>
        <w:t>承包人自身的原因（包括但不限于人员、材料或设备尚未到位）而无法实际开工</w:t>
      </w:r>
      <w:r>
        <w:rPr>
          <w:rFonts w:hint="eastAsia" w:ascii="宋体" w:hAnsi="宋体" w:eastAsia="宋体" w:cs="宋体"/>
          <w:snapToGrid w:val="0"/>
          <w:kern w:val="0"/>
          <w:sz w:val="24"/>
        </w:rPr>
        <w:t>的，经发包人书面同意，总监理工程师可以签发开工令，正式开始计算工期，但现场不允许开工，再由总监理工程师发出停工令，待承包人准备妥当后才批准复工。由此产生的工期延误等损失由承包人承担，并按照合同专用条款第38.8款的有关约定处理。</w:t>
      </w:r>
    </w:p>
    <w:p w14:paraId="2DFC233E">
      <w:pPr>
        <w:adjustRightInd w:val="0"/>
        <w:snapToGrid w:val="0"/>
        <w:spacing w:line="440" w:lineRule="exact"/>
        <w:ind w:right="11" w:firstLine="482" w:firstLineChars="200"/>
        <w:rPr>
          <w:rFonts w:hint="eastAsia" w:ascii="宋体" w:hAnsi="宋体" w:eastAsia="宋体" w:cs="宋体"/>
          <w:b/>
          <w:snapToGrid w:val="0"/>
          <w:kern w:val="0"/>
          <w:sz w:val="24"/>
        </w:rPr>
      </w:pPr>
      <w:r>
        <w:rPr>
          <w:rFonts w:hint="eastAsia" w:ascii="宋体" w:hAnsi="宋体" w:eastAsia="宋体" w:cs="宋体"/>
          <w:b/>
          <w:snapToGrid w:val="0"/>
          <w:kern w:val="0"/>
          <w:sz w:val="24"/>
        </w:rPr>
        <w:t>承包人和发包人一致同意不适用合同通用条款第12条的约定，代之以：</w:t>
      </w:r>
    </w:p>
    <w:p w14:paraId="3CE0CC01">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16" w:name="_Toc176192804"/>
      <w:bookmarkStart w:id="517" w:name="_Toc15004"/>
      <w:bookmarkStart w:id="518" w:name="_Toc751"/>
      <w:bookmarkStart w:id="519" w:name="_Toc397364907"/>
      <w:r>
        <w:rPr>
          <w:rFonts w:hint="eastAsia" w:ascii="宋体" w:hAnsi="宋体" w:eastAsia="宋体" w:cs="宋体"/>
          <w:b/>
          <w:snapToGrid w:val="0"/>
          <w:kern w:val="0"/>
          <w:sz w:val="24"/>
        </w:rPr>
        <w:t>12、暂停施工</w:t>
      </w:r>
      <w:bookmarkEnd w:id="516"/>
      <w:bookmarkEnd w:id="517"/>
      <w:bookmarkEnd w:id="518"/>
      <w:bookmarkEnd w:id="519"/>
    </w:p>
    <w:p w14:paraId="16FF0AF9">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12.1</w:t>
      </w:r>
      <w:r>
        <w:rPr>
          <w:rFonts w:hint="eastAsia" w:ascii="宋体" w:hAnsi="宋体" w:eastAsia="宋体" w:cs="宋体"/>
          <w:snapToGrid w:val="0"/>
          <w:kern w:val="0"/>
          <w:sz w:val="24"/>
        </w:rPr>
        <w:t>因下列原因，总监理工程师报经发包人同意，可通知承包人暂停施工：</w:t>
      </w:r>
    </w:p>
    <w:p w14:paraId="5154A64F">
      <w:pPr>
        <w:adjustRightInd w:val="0"/>
        <w:snapToGrid w:val="0"/>
        <w:spacing w:line="440" w:lineRule="exact"/>
        <w:ind w:left="420"/>
        <w:rPr>
          <w:rFonts w:hint="eastAsia" w:ascii="宋体" w:hAnsi="宋体" w:eastAsia="宋体" w:cs="宋体"/>
          <w:snapToGrid w:val="0"/>
          <w:kern w:val="0"/>
          <w:sz w:val="24"/>
        </w:rPr>
      </w:pPr>
      <w:r>
        <w:rPr>
          <w:rFonts w:hint="eastAsia" w:ascii="宋体" w:hAnsi="宋体" w:eastAsia="宋体" w:cs="宋体"/>
          <w:snapToGrid w:val="0"/>
          <w:kern w:val="0"/>
          <w:sz w:val="24"/>
        </w:rPr>
        <w:t>（1）工程设计发生重大变更；</w:t>
      </w:r>
    </w:p>
    <w:p w14:paraId="377CF2DA">
      <w:pPr>
        <w:adjustRightInd w:val="0"/>
        <w:snapToGrid w:val="0"/>
        <w:spacing w:line="440" w:lineRule="exact"/>
        <w:ind w:left="420"/>
        <w:rPr>
          <w:rFonts w:hint="eastAsia" w:ascii="宋体" w:hAnsi="宋体" w:eastAsia="宋体" w:cs="宋体"/>
          <w:snapToGrid w:val="0"/>
          <w:kern w:val="0"/>
          <w:sz w:val="24"/>
        </w:rPr>
      </w:pPr>
      <w:r>
        <w:rPr>
          <w:rFonts w:hint="eastAsia" w:ascii="宋体" w:hAnsi="宋体" w:eastAsia="宋体" w:cs="宋体"/>
          <w:snapToGrid w:val="0"/>
          <w:kern w:val="0"/>
          <w:sz w:val="24"/>
        </w:rPr>
        <w:t>（2）不可抗力；</w:t>
      </w:r>
    </w:p>
    <w:p w14:paraId="4F7D59FB">
      <w:pPr>
        <w:adjustRightInd w:val="0"/>
        <w:snapToGrid w:val="0"/>
        <w:spacing w:line="440" w:lineRule="exact"/>
        <w:ind w:left="420"/>
        <w:rPr>
          <w:rFonts w:hint="eastAsia" w:ascii="宋体" w:hAnsi="宋体" w:eastAsia="宋体" w:cs="宋体"/>
          <w:snapToGrid w:val="0"/>
          <w:kern w:val="0"/>
          <w:sz w:val="24"/>
        </w:rPr>
      </w:pPr>
      <w:r>
        <w:rPr>
          <w:rFonts w:hint="eastAsia" w:ascii="宋体" w:hAnsi="宋体" w:eastAsia="宋体" w:cs="宋体"/>
          <w:snapToGrid w:val="0"/>
          <w:kern w:val="0"/>
          <w:sz w:val="24"/>
        </w:rPr>
        <w:t>（3）质量事故；</w:t>
      </w:r>
    </w:p>
    <w:p w14:paraId="16F1C249">
      <w:pPr>
        <w:adjustRightInd w:val="0"/>
        <w:snapToGrid w:val="0"/>
        <w:spacing w:line="440" w:lineRule="exact"/>
        <w:ind w:left="420"/>
        <w:rPr>
          <w:rFonts w:hint="eastAsia" w:ascii="宋体" w:hAnsi="宋体" w:eastAsia="宋体" w:cs="宋体"/>
          <w:snapToGrid w:val="0"/>
          <w:kern w:val="0"/>
          <w:sz w:val="24"/>
        </w:rPr>
      </w:pPr>
      <w:r>
        <w:rPr>
          <w:rFonts w:hint="eastAsia" w:ascii="宋体" w:hAnsi="宋体" w:eastAsia="宋体" w:cs="宋体"/>
          <w:snapToGrid w:val="0"/>
          <w:kern w:val="0"/>
          <w:sz w:val="24"/>
        </w:rPr>
        <w:t>（4）安全生产事故。</w:t>
      </w:r>
    </w:p>
    <w:p w14:paraId="53B724A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因发生上述（1）、（2）项原因而暂停施工的，工期调整适用合同专用条款第13条的有关约定；因发生上述第（3）、（4）项原因而暂停施工的，工期不予顺延，承包人必须承担由此发生的费用，并按合同专用条款第38.10款、第38.11款的约定向发包人承担违约责任。</w:t>
      </w:r>
    </w:p>
    <w:p w14:paraId="340665C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承包人不得以与发包人有争议或争议未解决为由而单方面停工，否则，按照合同专用条款第38.8（2）款的约定承担违约责任。</w:t>
      </w:r>
    </w:p>
    <w:p w14:paraId="747C2D5B">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12.2为了保证工程质量安全，凡出现下列情况之一（不仅限于此）的，总监理工程师有权下达停工令，责令承包人停工整改，由此造成的损失由承包人自行负责，造成工期延误的由承包人按合同专用条款第38.8款的有关约定承担违约责任：</w:t>
      </w:r>
    </w:p>
    <w:p w14:paraId="5AE4EBA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（1）拒绝监理等相应管理单位的管理；</w:t>
      </w:r>
    </w:p>
    <w:p w14:paraId="1B3044C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（2）施工组织设计（方案）未获总监理工程师批准而进行施工；</w:t>
      </w:r>
    </w:p>
    <w:p w14:paraId="25CC20A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（3）未经监理单位检验而进行下一道工序作业；</w:t>
      </w:r>
    </w:p>
    <w:p w14:paraId="230C5DC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（4）擅自采用未经监理单位及发包人认可或批准的材料，或者使用的原材料、构配件不合格或未经检查确认，或者擅自采用未经认可的代用材料；</w:t>
      </w:r>
    </w:p>
    <w:p w14:paraId="2C76C2A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（5）擅自变更设计图纸的要求；</w:t>
      </w:r>
    </w:p>
    <w:p w14:paraId="6317852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（6）转包工程；</w:t>
      </w:r>
    </w:p>
    <w:p w14:paraId="185CBB6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（7）擅自让未经发包人批准的分包单位进场作业；</w:t>
      </w:r>
    </w:p>
    <w:p w14:paraId="388E5721">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（8）存在安全隐患，未按监理单位要求及时进行整改；</w:t>
      </w:r>
    </w:p>
    <w:p w14:paraId="47B1585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（9）未按双方约定的要求上报所需的资料。</w:t>
      </w:r>
    </w:p>
    <w:p w14:paraId="7997DDA5">
      <w:pPr>
        <w:adjustRightInd w:val="0"/>
        <w:snapToGrid w:val="0"/>
        <w:spacing w:line="440" w:lineRule="exact"/>
        <w:ind w:right="11" w:firstLine="482" w:firstLineChars="200"/>
        <w:rPr>
          <w:rFonts w:hint="eastAsia" w:ascii="宋体" w:hAnsi="宋体" w:eastAsia="宋体" w:cs="宋体"/>
          <w:b/>
          <w:snapToGrid w:val="0"/>
          <w:kern w:val="0"/>
          <w:sz w:val="24"/>
        </w:rPr>
      </w:pPr>
      <w:r>
        <w:rPr>
          <w:rFonts w:hint="eastAsia" w:ascii="宋体" w:hAnsi="宋体" w:eastAsia="宋体" w:cs="宋体"/>
          <w:b/>
          <w:snapToGrid w:val="0"/>
          <w:kern w:val="0"/>
          <w:sz w:val="24"/>
        </w:rPr>
        <w:t>承包人和发包人一致同意不适用合同通用条款第13条的约定，代之以：</w:t>
      </w:r>
    </w:p>
    <w:p w14:paraId="521EF86E">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20" w:name="_Toc30098"/>
      <w:bookmarkStart w:id="521" w:name="_Toc176192805"/>
      <w:bookmarkStart w:id="522" w:name="_Toc18062"/>
      <w:bookmarkStart w:id="523" w:name="_Toc397364908"/>
      <w:r>
        <w:rPr>
          <w:rFonts w:hint="eastAsia" w:ascii="宋体" w:hAnsi="宋体" w:eastAsia="宋体" w:cs="宋体"/>
          <w:b/>
          <w:snapToGrid w:val="0"/>
          <w:kern w:val="0"/>
          <w:sz w:val="24"/>
        </w:rPr>
        <w:t>13、工期延误</w:t>
      </w:r>
      <w:bookmarkEnd w:id="520"/>
      <w:bookmarkEnd w:id="521"/>
      <w:bookmarkEnd w:id="522"/>
      <w:bookmarkEnd w:id="523"/>
    </w:p>
    <w:p w14:paraId="092D669C">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13.1工期控制与调整</w:t>
      </w:r>
    </w:p>
    <w:p w14:paraId="2DC62F90">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（1）本工程工期分为关键节点工期和一般节点工期两类控制，承包人必须在施工组织设计文件中分专业详细区分和列明本工程</w:t>
      </w:r>
      <w:r>
        <w:rPr>
          <w:rFonts w:hint="eastAsia" w:ascii="宋体" w:hAnsi="宋体" w:eastAsia="宋体" w:cs="宋体"/>
          <w:bCs/>
          <w:snapToGrid w:val="0"/>
          <w:kern w:val="0"/>
          <w:sz w:val="24"/>
        </w:rPr>
        <w:t>总体及各单体工程</w:t>
      </w:r>
      <w:r>
        <w:rPr>
          <w:rFonts w:hint="eastAsia" w:ascii="宋体" w:hAnsi="宋体" w:eastAsia="宋体" w:cs="宋体"/>
          <w:snapToGrid w:val="0"/>
          <w:kern w:val="0"/>
          <w:sz w:val="24"/>
        </w:rPr>
        <w:t>的关键节点工期和一般节点工期，并报总监理工程师和发包人批准后实施。</w:t>
      </w:r>
    </w:p>
    <w:p w14:paraId="271B6654">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z w:val="24"/>
        </w:rPr>
        <w:t>承包人应确保合同工期的实现，并投入足够的人力、物力及设备，由此引发的措施及投入费用包含在合同总价内，发包人不另行支付。</w:t>
      </w:r>
    </w:p>
    <w:p w14:paraId="6131752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（2）工期调整的原则：对于承包人原因造成的工期延误，工期一概不得顺延；</w:t>
      </w:r>
      <w:r>
        <w:rPr>
          <w:rFonts w:hint="eastAsia" w:ascii="宋体" w:hAnsi="宋体" w:eastAsia="宋体" w:cs="宋体"/>
          <w:sz w:val="24"/>
        </w:rPr>
        <w:t>对于非承包人原因造成的工期延误，经发包人确认通过后工期可顺延。</w:t>
      </w:r>
    </w:p>
    <w:p w14:paraId="4167AAA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在特殊情况下，关键节点工期确需调整的，承包人必须重新编制总工期控制计划和关键节点工期调整计划并报请总监理工程师和发包人审核。经总监理工程师、发包人审核，确认承包人编制的关键节点工期调整计划已</w:t>
      </w:r>
      <w:r>
        <w:rPr>
          <w:rFonts w:hint="eastAsia" w:ascii="宋体" w:hAnsi="宋体" w:eastAsia="宋体" w:cs="宋体"/>
          <w:sz w:val="24"/>
        </w:rPr>
        <w:t>十分完备，应当同意工期调整。</w:t>
      </w:r>
    </w:p>
    <w:p w14:paraId="410A10C6">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13.2工期延误的原因及其处理</w:t>
      </w:r>
    </w:p>
    <w:p w14:paraId="3A32427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bCs/>
          <w:snapToGrid w:val="0"/>
          <w:kern w:val="0"/>
          <w:sz w:val="24"/>
        </w:rPr>
        <w:t>（1）</w:t>
      </w:r>
      <w:r>
        <w:rPr>
          <w:rFonts w:hint="eastAsia" w:ascii="宋体" w:hAnsi="宋体" w:eastAsia="宋体" w:cs="宋体"/>
          <w:snapToGrid w:val="0"/>
          <w:kern w:val="0"/>
          <w:sz w:val="24"/>
        </w:rPr>
        <w:t>非承包人原因造成的工期延误，是指有确凿证据证实因下列原因而直接造成承包人的原定工期计划延误：</w:t>
      </w:r>
    </w:p>
    <w:p w14:paraId="352B999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1）不可抗力；</w:t>
      </w:r>
    </w:p>
    <w:p w14:paraId="64B09DC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2）工程设计有重大变更或重大失误，并经总监理工程师确认会造成工期延误的；</w:t>
      </w:r>
    </w:p>
    <w:p w14:paraId="66A0FC2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3）发包人延期交付施工场地；</w:t>
      </w:r>
    </w:p>
    <w:p w14:paraId="48F58A5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4）施工图纸供应时间影响工期进度，并经总监理工程师确认的；</w:t>
      </w:r>
    </w:p>
    <w:p w14:paraId="0EC89A8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5）发包人</w:t>
      </w:r>
      <w:r>
        <w:rPr>
          <w:rFonts w:hint="eastAsia" w:ascii="宋体" w:hAnsi="宋体" w:eastAsia="宋体" w:cs="宋体"/>
          <w:iCs/>
          <w:snapToGrid w:val="0"/>
          <w:kern w:val="0"/>
          <w:sz w:val="24"/>
        </w:rPr>
        <w:t>不按合同约定</w:t>
      </w:r>
      <w:r>
        <w:rPr>
          <w:rFonts w:hint="eastAsia" w:ascii="宋体" w:hAnsi="宋体" w:eastAsia="宋体" w:cs="宋体"/>
          <w:snapToGrid w:val="0"/>
          <w:kern w:val="0"/>
          <w:sz w:val="24"/>
        </w:rPr>
        <w:t>支付工程款而影响工期进度，并经总监理工程师确认的；</w:t>
      </w:r>
    </w:p>
    <w:p w14:paraId="40DCD0A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6）发包人指令（非承包人原因）引起的停工；</w:t>
      </w:r>
    </w:p>
    <w:p w14:paraId="723CBB6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7）发包人其他违约行为或其他客观原因造成工期延误并经总监理工程师确认的。</w:t>
      </w:r>
    </w:p>
    <w:p w14:paraId="1EEE557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除上述原因之外，其他所有工期延误均为承包人原因造成的延误。</w:t>
      </w:r>
    </w:p>
    <w:p w14:paraId="38521B49">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bCs/>
          <w:snapToGrid w:val="0"/>
          <w:kern w:val="0"/>
          <w:sz w:val="24"/>
        </w:rPr>
        <w:t>（2）</w:t>
      </w:r>
      <w:r>
        <w:rPr>
          <w:rFonts w:hint="eastAsia" w:ascii="宋体" w:hAnsi="宋体" w:eastAsia="宋体" w:cs="宋体"/>
          <w:snapToGrid w:val="0"/>
          <w:kern w:val="0"/>
          <w:sz w:val="24"/>
        </w:rPr>
        <w:t>因承包人原因造成的工期延误，</w:t>
      </w:r>
      <w:r>
        <w:rPr>
          <w:rFonts w:hint="eastAsia" w:ascii="宋体" w:hAnsi="宋体" w:eastAsia="宋体" w:cs="宋体"/>
          <w:sz w:val="24"/>
        </w:rPr>
        <w:t>承包人必须采取一切有效措施消化延误工期。</w:t>
      </w:r>
      <w:r>
        <w:rPr>
          <w:rFonts w:hint="eastAsia" w:ascii="宋体" w:hAnsi="宋体" w:eastAsia="宋体" w:cs="宋体"/>
          <w:snapToGrid w:val="0"/>
          <w:kern w:val="0"/>
          <w:sz w:val="24"/>
        </w:rPr>
        <w:t>承包人还应当按照合同专用条款第38.8款的有关约定承担违约责任。</w:t>
      </w:r>
    </w:p>
    <w:p w14:paraId="40EDA3EC">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（3）因承包人对</w:t>
      </w:r>
      <w:r>
        <w:rPr>
          <w:rFonts w:hint="eastAsia" w:ascii="宋体" w:hAnsi="宋体" w:eastAsia="宋体" w:cs="宋体"/>
          <w:bCs/>
          <w:snapToGrid w:val="0"/>
          <w:kern w:val="0"/>
          <w:sz w:val="24"/>
        </w:rPr>
        <w:t>现场组织管理不力或未能提供协调、配合服务，以致专业工程的进度影响工期，承包人不得以此为由提出延长工期的要求。</w:t>
      </w:r>
    </w:p>
    <w:p w14:paraId="77B67DDB">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13.3</w:t>
      </w:r>
      <w:r>
        <w:rPr>
          <w:rFonts w:hint="eastAsia" w:ascii="宋体" w:hAnsi="宋体" w:eastAsia="宋体" w:cs="宋体"/>
          <w:snapToGrid w:val="0"/>
          <w:kern w:val="0"/>
          <w:sz w:val="24"/>
        </w:rPr>
        <w:t>非承包人原因造成工期延误的，工期顺延，但发包人不补偿承包人由此产生的窝工、二次进场等相关损失；如发包人仍要求承包人按原计划工期完成，承包人须无条件配合，补偿费用双方另行协商。</w:t>
      </w:r>
    </w:p>
    <w:p w14:paraId="2F0734B1">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13.4对于非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427D4723">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24" w:name="_Toc176192806"/>
      <w:bookmarkStart w:id="525" w:name="_Toc397364909"/>
      <w:bookmarkStart w:id="526" w:name="_Toc32673"/>
      <w:bookmarkStart w:id="527" w:name="_Toc21093"/>
      <w:r>
        <w:rPr>
          <w:rFonts w:hint="eastAsia" w:ascii="宋体" w:hAnsi="宋体" w:eastAsia="宋体" w:cs="宋体"/>
          <w:b/>
          <w:snapToGrid w:val="0"/>
          <w:kern w:val="0"/>
          <w:sz w:val="24"/>
        </w:rPr>
        <w:t>14、工程竣工</w:t>
      </w:r>
      <w:bookmarkEnd w:id="524"/>
      <w:bookmarkEnd w:id="525"/>
      <w:bookmarkEnd w:id="526"/>
      <w:bookmarkEnd w:id="527"/>
    </w:p>
    <w:p w14:paraId="5B1EE593">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14.1承包人必须采取一切有效措施保证按照合同协议书约定或者</w:t>
      </w:r>
      <w:r>
        <w:rPr>
          <w:rFonts w:hint="eastAsia" w:ascii="宋体" w:hAnsi="宋体" w:eastAsia="宋体" w:cs="宋体"/>
          <w:bCs/>
          <w:snapToGrid w:val="0"/>
          <w:kern w:val="0"/>
          <w:sz w:val="24"/>
        </w:rPr>
        <w:t>发包人根据工程实施情况调整</w:t>
      </w:r>
      <w:r>
        <w:rPr>
          <w:rFonts w:hint="eastAsia" w:ascii="宋体" w:hAnsi="宋体" w:eastAsia="宋体" w:cs="宋体"/>
          <w:snapToGrid w:val="0"/>
          <w:kern w:val="0"/>
          <w:sz w:val="24"/>
        </w:rPr>
        <w:t>的竣工日期竣工，不得延误，除非发生了以下情形：</w:t>
      </w:r>
    </w:p>
    <w:p w14:paraId="4B5A2CC4">
      <w:pPr>
        <w:adjustRightInd w:val="0"/>
        <w:snapToGrid w:val="0"/>
        <w:spacing w:line="440" w:lineRule="exact"/>
        <w:ind w:left="461" w:right="11"/>
        <w:rPr>
          <w:rFonts w:hint="eastAsia" w:ascii="宋体" w:hAnsi="宋体" w:eastAsia="宋体" w:cs="宋体"/>
          <w:snapToGrid w:val="0"/>
          <w:kern w:val="0"/>
          <w:sz w:val="24"/>
        </w:rPr>
      </w:pPr>
      <w:r>
        <w:rPr>
          <w:rFonts w:hint="eastAsia" w:ascii="宋体" w:hAnsi="宋体" w:eastAsia="宋体" w:cs="宋体"/>
          <w:snapToGrid w:val="0"/>
          <w:kern w:val="0"/>
          <w:sz w:val="24"/>
        </w:rPr>
        <w:t>（1）政府对本工程建设项目作出停建、缓建的决定；</w:t>
      </w:r>
    </w:p>
    <w:p w14:paraId="5D74386A">
      <w:pPr>
        <w:adjustRightInd w:val="0"/>
        <w:snapToGrid w:val="0"/>
        <w:spacing w:line="440" w:lineRule="exact"/>
        <w:ind w:left="461" w:right="11"/>
        <w:rPr>
          <w:rFonts w:hint="eastAsia" w:ascii="宋体" w:hAnsi="宋体" w:eastAsia="宋体" w:cs="宋体"/>
          <w:snapToGrid w:val="0"/>
          <w:kern w:val="0"/>
          <w:sz w:val="24"/>
        </w:rPr>
      </w:pPr>
      <w:r>
        <w:rPr>
          <w:rFonts w:hint="eastAsia" w:ascii="宋体" w:hAnsi="宋体" w:eastAsia="宋体" w:cs="宋体"/>
          <w:snapToGrid w:val="0"/>
          <w:kern w:val="0"/>
          <w:sz w:val="24"/>
        </w:rPr>
        <w:t>（2）重大设计变更导致本工程在规划、使用、功能方面有重大调整；</w:t>
      </w:r>
    </w:p>
    <w:p w14:paraId="4EA512D9">
      <w:pPr>
        <w:adjustRightInd w:val="0"/>
        <w:snapToGrid w:val="0"/>
        <w:spacing w:line="440" w:lineRule="exact"/>
        <w:ind w:left="461" w:right="11"/>
        <w:rPr>
          <w:rFonts w:hint="eastAsia" w:ascii="宋体" w:hAnsi="宋体" w:eastAsia="宋体" w:cs="宋体"/>
          <w:snapToGrid w:val="0"/>
          <w:kern w:val="0"/>
          <w:sz w:val="24"/>
        </w:rPr>
      </w:pPr>
      <w:r>
        <w:rPr>
          <w:rFonts w:hint="eastAsia" w:ascii="宋体" w:hAnsi="宋体" w:eastAsia="宋体" w:cs="宋体"/>
          <w:snapToGrid w:val="0"/>
          <w:kern w:val="0"/>
          <w:sz w:val="24"/>
        </w:rPr>
        <w:t>（3）非因承包人原因造成关键节点工期延误达到30天以上；</w:t>
      </w:r>
    </w:p>
    <w:p w14:paraId="2DD0EE98">
      <w:pPr>
        <w:adjustRightInd w:val="0"/>
        <w:snapToGrid w:val="0"/>
        <w:spacing w:line="440" w:lineRule="exact"/>
        <w:ind w:left="461" w:right="11"/>
        <w:rPr>
          <w:rFonts w:hint="eastAsia" w:ascii="宋体" w:hAnsi="宋体" w:eastAsia="宋体" w:cs="宋体"/>
          <w:snapToGrid w:val="0"/>
          <w:kern w:val="0"/>
          <w:sz w:val="24"/>
        </w:rPr>
      </w:pPr>
      <w:r>
        <w:rPr>
          <w:rFonts w:hint="eastAsia" w:ascii="宋体" w:hAnsi="宋体" w:eastAsia="宋体" w:cs="宋体"/>
          <w:snapToGrid w:val="0"/>
          <w:kern w:val="0"/>
          <w:sz w:val="24"/>
        </w:rPr>
        <w:t>（4）其他非因承包人原因造成的竣工日期延误。</w:t>
      </w:r>
    </w:p>
    <w:p w14:paraId="435DF5F1">
      <w:pPr>
        <w:adjustRightInd w:val="0"/>
        <w:snapToGrid w:val="0"/>
        <w:spacing w:line="440" w:lineRule="exact"/>
        <w:ind w:right="11"/>
        <w:rPr>
          <w:rFonts w:hint="eastAsia" w:ascii="宋体" w:hAnsi="宋体" w:eastAsia="宋体" w:cs="宋体"/>
          <w:bCs/>
          <w:snapToGrid w:val="0"/>
          <w:kern w:val="0"/>
          <w:sz w:val="24"/>
        </w:rPr>
      </w:pPr>
    </w:p>
    <w:p w14:paraId="06B0E549">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528" w:name="_Toc176192807"/>
      <w:bookmarkStart w:id="529" w:name="_Toc2856"/>
      <w:bookmarkStart w:id="530" w:name="_Toc2593"/>
      <w:bookmarkStart w:id="531" w:name="_Toc397364910"/>
      <w:r>
        <w:rPr>
          <w:rFonts w:hint="eastAsia" w:ascii="宋体" w:hAnsi="宋体" w:eastAsia="宋体" w:cs="宋体"/>
          <w:b/>
          <w:bCs/>
          <w:snapToGrid w:val="0"/>
          <w:kern w:val="0"/>
          <w:sz w:val="28"/>
          <w:szCs w:val="28"/>
        </w:rPr>
        <w:t>四、质量与检验</w:t>
      </w:r>
      <w:bookmarkEnd w:id="528"/>
      <w:bookmarkEnd w:id="529"/>
      <w:bookmarkEnd w:id="530"/>
      <w:bookmarkEnd w:id="531"/>
    </w:p>
    <w:p w14:paraId="4B58E6FA">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32" w:name="_Toc27360"/>
      <w:bookmarkStart w:id="533" w:name="_Toc9260"/>
      <w:bookmarkStart w:id="534" w:name="_Toc397364911"/>
      <w:bookmarkStart w:id="535" w:name="_Toc176192808"/>
      <w:r>
        <w:rPr>
          <w:rFonts w:hint="eastAsia" w:ascii="宋体" w:hAnsi="宋体" w:eastAsia="宋体" w:cs="宋体"/>
          <w:b/>
          <w:snapToGrid w:val="0"/>
          <w:kern w:val="0"/>
          <w:sz w:val="24"/>
        </w:rPr>
        <w:t>15、工程质量</w:t>
      </w:r>
      <w:bookmarkEnd w:id="532"/>
      <w:bookmarkEnd w:id="533"/>
      <w:bookmarkEnd w:id="534"/>
      <w:bookmarkEnd w:id="535"/>
    </w:p>
    <w:p w14:paraId="2CA1ED46">
      <w:pPr>
        <w:adjustRightInd w:val="0"/>
        <w:snapToGrid w:val="0"/>
        <w:spacing w:line="440" w:lineRule="exact"/>
        <w:ind w:firstLine="420" w:firstLineChars="175"/>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15.1工程质量标准</w:t>
      </w:r>
    </w:p>
    <w:p w14:paraId="5B1851D9">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（1）本合同工程质量标准按合同协议书第4条的约定执行。</w:t>
      </w:r>
    </w:p>
    <w:p w14:paraId="4F08CD3E">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2）承包人必须确保工程一次验收合格。因承包人原因致使工程未一次验收合格的，由承包人按照合同专用条款第38.10（2）款的约定承担违约责任；因此导致工程不能按计划工期办理竣工验收的，由承包人按照合同专用条款第   38.8（5）款的约定承担违约责任。</w:t>
      </w:r>
    </w:p>
    <w:p w14:paraId="1FB6B471">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15.2工程质量争议与鉴定</w:t>
      </w:r>
    </w:p>
    <w:p w14:paraId="3F3522A0">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双方一致同意，对于本合同履行过程中的工程质量争议，由工程所在地负责工程质量监督的政府主管机构或部门依据《建筑工程施工质量验收统一标准》（GB50300-2013）系列各专业验收规范及设计文件等进行鉴定并按鉴定结论及有关规定承担责任。</w:t>
      </w:r>
    </w:p>
    <w:p w14:paraId="747E2A37">
      <w:pPr>
        <w:adjustRightInd w:val="0"/>
        <w:snapToGrid w:val="0"/>
        <w:spacing w:line="440" w:lineRule="exact"/>
        <w:ind w:firstLine="482" w:firstLineChars="200"/>
        <w:rPr>
          <w:rFonts w:hint="eastAsia" w:ascii="宋体" w:hAnsi="宋体" w:eastAsia="宋体" w:cs="宋体"/>
          <w:snapToGrid w:val="0"/>
          <w:kern w:val="0"/>
          <w:sz w:val="24"/>
        </w:rPr>
      </w:pPr>
      <w:r>
        <w:rPr>
          <w:rFonts w:hint="eastAsia" w:ascii="宋体" w:hAnsi="宋体" w:eastAsia="宋体" w:cs="宋体"/>
          <w:b/>
          <w:snapToGrid w:val="0"/>
          <w:kern w:val="0"/>
          <w:sz w:val="24"/>
        </w:rPr>
        <w:t>承包人和发包人一致同意增加15.3：</w:t>
      </w:r>
    </w:p>
    <w:p w14:paraId="272674DF">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15.3工程质量保证体系</w:t>
      </w:r>
    </w:p>
    <w:p w14:paraId="095E504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应当完善质量管理制度，建立质量控制流程，进行全面质量管理（TQC），以《质量管理体系标准要求》（GB/T19000-2016）为标准，建立并保持一个有效的工程质量管理体系。为此，承包人必须做到（不限于）：</w:t>
      </w:r>
    </w:p>
    <w:p w14:paraId="023A6F4A">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Pr>
          <w:rFonts w:hint="eastAsia" w:ascii="宋体" w:hAnsi="宋体" w:eastAsia="宋体" w:cs="宋体"/>
          <w:bCs/>
          <w:snapToGrid w:val="0"/>
          <w:kern w:val="0"/>
          <w:sz w:val="24"/>
        </w:rPr>
        <w:t>同时，承包人应积极配合工程质量第三方检测工作，并积极采用新材料、新工艺、新技术。</w:t>
      </w:r>
    </w:p>
    <w:p w14:paraId="16CC25E7">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（2）承包人提交总监理工程师批准的施工组织设计或者施工方案必须附有完备的工程质量保证措施，包括：工程质量预控措施，</w:t>
      </w:r>
      <w:r>
        <w:rPr>
          <w:rFonts w:hint="eastAsia" w:ascii="宋体" w:hAnsi="宋体" w:eastAsia="宋体" w:cs="宋体"/>
          <w:iCs/>
          <w:snapToGrid w:val="0"/>
          <w:kern w:val="0"/>
          <w:sz w:val="24"/>
        </w:rPr>
        <w:t>工序质量控制点，</w:t>
      </w:r>
      <w:r>
        <w:rPr>
          <w:rFonts w:hint="eastAsia" w:ascii="宋体" w:hAnsi="宋体" w:eastAsia="宋体" w:cs="宋体"/>
          <w:snapToGrid w:val="0"/>
          <w:kern w:val="0"/>
          <w:sz w:val="24"/>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30D6D55B">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（3）单项工程开工前，承包人必须按要求对职工分级进行技术交底，组织学习有关规程、标准、规范和工艺要求（规程包括但不限于施工企业标准和作业指导书），在施工中必须按规程及工艺进行操作。</w:t>
      </w:r>
    </w:p>
    <w:p w14:paraId="3CC3C4A6">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4</w:t>
      </w:r>
      <w:r>
        <w:rPr>
          <w:rFonts w:hint="eastAsia" w:ascii="宋体" w:hAnsi="宋体" w:eastAsia="宋体" w:cs="宋体"/>
          <w:snapToGrid w:val="0"/>
          <w:kern w:val="0"/>
          <w:sz w:val="24"/>
        </w:rPr>
        <w:t>）按照《关于加强房屋建筑和市政基础设施工程混凝土试件标准养护管理的通知》（穗建质[2011]941号）、《关于加强工程使用混凝土质量管理的通知》（穗建质[2014]985号）和《广州市建设工程材料进场检验管理规定》（穗建质[2010]1084号）的要求，必须在施工现场建立混凝土试件标准养护室或放置标准养护箱。</w:t>
      </w:r>
    </w:p>
    <w:p w14:paraId="3D5BDDCF">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5</w:t>
      </w:r>
      <w:r>
        <w:rPr>
          <w:rFonts w:hint="eastAsia" w:ascii="宋体" w:hAnsi="宋体" w:eastAsia="宋体" w:cs="宋体"/>
          <w:snapToGrid w:val="0"/>
          <w:kern w:val="0"/>
          <w:sz w:val="24"/>
        </w:rPr>
        <w:t>）单项工程和重要部位（包括但不限于砌筑、抹灰、管线安装、装修样板、公共样板段等）必须遵循先试验后铺开施工安装的程序，开工前承包人应熟悉施工图纸会审和设计变更内容并完成施工组织设计和必要的施工准备，送总监理工程师审查批准后方可进行试验性施工安装或首件制施工安装，先进行样板或样板房施工安装，由总监理工程师、发包人检验，符合要求后才能铺开施工安装或者批量生产。如样板或样板房施工安装因工艺或任何原因未能获得发包人接受，承包人须进行拆除、整改、重新施工安装等工作，直至获发包人接受，而有关的返工费用应由承包人负责，亦不得作为拖期的理由。</w:t>
      </w:r>
    </w:p>
    <w:p w14:paraId="08592F4F">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36" w:name="_Toc176192809"/>
      <w:bookmarkStart w:id="537" w:name="_Toc1700"/>
      <w:bookmarkStart w:id="538" w:name="_Toc22873"/>
      <w:bookmarkStart w:id="539" w:name="_Toc397364912"/>
      <w:r>
        <w:rPr>
          <w:rFonts w:hint="eastAsia" w:ascii="宋体" w:hAnsi="宋体" w:eastAsia="宋体" w:cs="宋体"/>
          <w:b/>
          <w:snapToGrid w:val="0"/>
          <w:kern w:val="0"/>
          <w:sz w:val="24"/>
        </w:rPr>
        <w:t>16、检查和返工</w:t>
      </w:r>
      <w:bookmarkEnd w:id="536"/>
      <w:bookmarkEnd w:id="537"/>
      <w:bookmarkEnd w:id="538"/>
      <w:bookmarkEnd w:id="539"/>
    </w:p>
    <w:p w14:paraId="6078ACC2">
      <w:pPr>
        <w:adjustRightInd w:val="0"/>
        <w:snapToGrid w:val="0"/>
        <w:spacing w:line="440" w:lineRule="exact"/>
        <w:ind w:firstLine="482" w:firstLineChars="200"/>
        <w:rPr>
          <w:rFonts w:hint="eastAsia" w:ascii="宋体" w:hAnsi="宋体" w:eastAsia="宋体" w:cs="宋体"/>
          <w:b/>
          <w:snapToGrid w:val="0"/>
          <w:kern w:val="0"/>
          <w:sz w:val="24"/>
        </w:rPr>
      </w:pPr>
      <w:r>
        <w:rPr>
          <w:rFonts w:hint="eastAsia" w:ascii="宋体" w:hAnsi="宋体" w:eastAsia="宋体" w:cs="宋体"/>
          <w:b/>
          <w:snapToGrid w:val="0"/>
          <w:kern w:val="0"/>
          <w:sz w:val="24"/>
        </w:rPr>
        <w:t>承包人和发包人一致同意增加16.5至16.10：</w:t>
      </w:r>
    </w:p>
    <w:p w14:paraId="10887E1F">
      <w:pPr>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16.5对承包人采购的工程材料、设备及采用的工艺的查验</w:t>
      </w:r>
    </w:p>
    <w:p w14:paraId="5F5B3776">
      <w:pPr>
        <w:adjustRightInd w:val="0"/>
        <w:snapToGrid w:val="0"/>
        <w:spacing w:line="440" w:lineRule="exact"/>
        <w:ind w:firstLine="480"/>
        <w:outlineLvl w:val="4"/>
        <w:rPr>
          <w:rFonts w:hint="eastAsia" w:ascii="宋体" w:hAnsi="宋体" w:eastAsia="宋体" w:cs="宋体"/>
          <w:snapToGrid w:val="0"/>
          <w:kern w:val="0"/>
          <w:sz w:val="24"/>
        </w:rPr>
      </w:pPr>
      <w:r>
        <w:rPr>
          <w:rFonts w:hint="eastAsia" w:ascii="宋体" w:hAnsi="宋体" w:eastAsia="宋体" w:cs="宋体"/>
          <w:snapToGrid w:val="0"/>
          <w:kern w:val="0"/>
          <w:sz w:val="24"/>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496B9FA7">
      <w:pPr>
        <w:adjustRightInd w:val="0"/>
        <w:snapToGrid w:val="0"/>
        <w:spacing w:line="440" w:lineRule="exact"/>
        <w:ind w:firstLine="480" w:firstLineChars="200"/>
        <w:outlineLvl w:val="4"/>
        <w:rPr>
          <w:rFonts w:hint="eastAsia" w:ascii="宋体" w:hAnsi="宋体" w:eastAsia="宋体" w:cs="宋体"/>
          <w:snapToGrid w:val="0"/>
          <w:kern w:val="0"/>
          <w:sz w:val="24"/>
        </w:rPr>
      </w:pPr>
      <w:r>
        <w:rPr>
          <w:rFonts w:hint="eastAsia" w:ascii="宋体" w:hAnsi="宋体" w:eastAsia="宋体" w:cs="宋体"/>
          <w:snapToGrid w:val="0"/>
          <w:kern w:val="0"/>
          <w:sz w:val="24"/>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40D8B830">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bCs/>
          <w:snapToGrid w:val="0"/>
          <w:kern w:val="0"/>
          <w:sz w:val="24"/>
        </w:rPr>
        <w:t>发包人和总监理工程师认为有必要的，有权对已检查、检验过的材料、设备进行重复检查、检验，承包人应遵照执行。重复检查、检验的程序和内容适用前述约定。</w:t>
      </w:r>
    </w:p>
    <w:p w14:paraId="551EE034">
      <w:pPr>
        <w:adjustRightInd w:val="0"/>
        <w:snapToGrid w:val="0"/>
        <w:spacing w:line="440" w:lineRule="exact"/>
        <w:ind w:firstLine="420"/>
        <w:outlineLvl w:val="4"/>
        <w:rPr>
          <w:rFonts w:hint="eastAsia" w:ascii="宋体" w:hAnsi="宋体" w:eastAsia="宋体" w:cs="宋体"/>
          <w:iCs/>
          <w:snapToGrid w:val="0"/>
          <w:kern w:val="0"/>
          <w:sz w:val="24"/>
        </w:rPr>
      </w:pPr>
      <w:r>
        <w:rPr>
          <w:rFonts w:hint="eastAsia" w:ascii="宋体" w:hAnsi="宋体" w:eastAsia="宋体" w:cs="宋体"/>
          <w:bCs/>
          <w:snapToGrid w:val="0"/>
          <w:kern w:val="0"/>
          <w:sz w:val="24"/>
        </w:rPr>
        <w:t>（3）</w:t>
      </w:r>
      <w:r>
        <w:rPr>
          <w:rFonts w:hint="eastAsia" w:ascii="宋体" w:hAnsi="宋体" w:eastAsia="宋体" w:cs="宋体"/>
          <w:snapToGrid w:val="0"/>
          <w:kern w:val="0"/>
          <w:sz w:val="24"/>
        </w:rPr>
        <w:t>在施工过程中，总监理工程师有权随时对工程材料、设备的使用进行抽查，包括成品、半成品、器具、设备、附件、小五金等。抽查范围、比例、数量、批次及检查深度可比国家</w:t>
      </w:r>
      <w:r>
        <w:rPr>
          <w:rFonts w:hint="eastAsia" w:ascii="宋体" w:hAnsi="宋体" w:eastAsia="宋体" w:cs="宋体"/>
          <w:iCs/>
          <w:snapToGrid w:val="0"/>
          <w:kern w:val="0"/>
          <w:sz w:val="24"/>
        </w:rPr>
        <w:t>现行施工质量验收规范和</w:t>
      </w:r>
      <w:r>
        <w:rPr>
          <w:rFonts w:hint="eastAsia" w:ascii="宋体" w:hAnsi="宋体" w:eastAsia="宋体" w:cs="宋体"/>
          <w:snapToGrid w:val="0"/>
          <w:kern w:val="0"/>
          <w:sz w:val="24"/>
        </w:rPr>
        <w:t>相关规定有所提高。</w:t>
      </w:r>
    </w:p>
    <w:p w14:paraId="1C8C11C5">
      <w:pPr>
        <w:adjustRightInd w:val="0"/>
        <w:snapToGrid w:val="0"/>
        <w:spacing w:line="440" w:lineRule="exact"/>
        <w:ind w:firstLine="420"/>
        <w:rPr>
          <w:rFonts w:hint="eastAsia" w:ascii="宋体" w:hAnsi="宋体" w:eastAsia="宋体" w:cs="宋体"/>
          <w:snapToGrid w:val="0"/>
          <w:kern w:val="0"/>
          <w:sz w:val="24"/>
        </w:rPr>
      </w:pPr>
      <w:r>
        <w:rPr>
          <w:rFonts w:hint="eastAsia" w:ascii="宋体" w:hAnsi="宋体" w:eastAsia="宋体" w:cs="宋体"/>
          <w:snapToGrid w:val="0"/>
          <w:kern w:val="0"/>
          <w:sz w:val="24"/>
        </w:rPr>
        <w:t>工程材料、设备的质量依据下列顺序之标准认定（排序在前者优先）：</w:t>
      </w:r>
    </w:p>
    <w:p w14:paraId="4492751A">
      <w:pPr>
        <w:adjustRightInd w:val="0"/>
        <w:snapToGrid w:val="0"/>
        <w:spacing w:line="440" w:lineRule="exact"/>
        <w:ind w:firstLine="420"/>
        <w:rPr>
          <w:rFonts w:hint="eastAsia" w:ascii="宋体" w:hAnsi="宋体" w:eastAsia="宋体" w:cs="宋体"/>
          <w:snapToGrid w:val="0"/>
          <w:kern w:val="0"/>
          <w:sz w:val="24"/>
        </w:rPr>
      </w:pPr>
      <w:r>
        <w:rPr>
          <w:rFonts w:hint="eastAsia" w:ascii="宋体" w:hAnsi="宋体" w:eastAsia="宋体" w:cs="宋体"/>
          <w:snapToGrid w:val="0"/>
          <w:kern w:val="0"/>
          <w:sz w:val="24"/>
        </w:rPr>
        <w:t>1）本工程设计图纸规定的设计标准和发包人制定的材料标准及技术要求[不符合下列第4）项标准要求的除外]；</w:t>
      </w:r>
    </w:p>
    <w:p w14:paraId="41A34BAC">
      <w:pPr>
        <w:adjustRightInd w:val="0"/>
        <w:snapToGrid w:val="0"/>
        <w:spacing w:line="440" w:lineRule="exact"/>
        <w:ind w:firstLine="420"/>
        <w:rPr>
          <w:rFonts w:hint="eastAsia" w:ascii="宋体" w:hAnsi="宋体" w:eastAsia="宋体" w:cs="宋体"/>
          <w:iCs/>
          <w:snapToGrid w:val="0"/>
          <w:kern w:val="0"/>
          <w:sz w:val="24"/>
        </w:rPr>
      </w:pPr>
      <w:r>
        <w:rPr>
          <w:rFonts w:hint="eastAsia" w:ascii="宋体" w:hAnsi="宋体" w:eastAsia="宋体" w:cs="宋体"/>
          <w:iCs/>
          <w:snapToGrid w:val="0"/>
          <w:kern w:val="0"/>
          <w:sz w:val="24"/>
        </w:rPr>
        <w:t>2）招投标时确定的规格、技术指标、质量标准、品牌等</w:t>
      </w:r>
      <w:r>
        <w:rPr>
          <w:rFonts w:hint="eastAsia" w:ascii="宋体" w:hAnsi="宋体" w:eastAsia="宋体" w:cs="宋体"/>
          <w:snapToGrid w:val="0"/>
          <w:kern w:val="0"/>
          <w:sz w:val="24"/>
        </w:rPr>
        <w:t>[不符合下列第4）项标准要求的除外]</w:t>
      </w:r>
      <w:r>
        <w:rPr>
          <w:rFonts w:hint="eastAsia" w:ascii="宋体" w:hAnsi="宋体" w:eastAsia="宋体" w:cs="宋体"/>
          <w:iCs/>
          <w:snapToGrid w:val="0"/>
          <w:kern w:val="0"/>
          <w:sz w:val="24"/>
        </w:rPr>
        <w:t>；</w:t>
      </w:r>
    </w:p>
    <w:p w14:paraId="309AEE89">
      <w:pPr>
        <w:adjustRightInd w:val="0"/>
        <w:snapToGrid w:val="0"/>
        <w:spacing w:line="440" w:lineRule="exact"/>
        <w:ind w:firstLine="420"/>
        <w:rPr>
          <w:rFonts w:hint="eastAsia" w:ascii="宋体" w:hAnsi="宋体" w:eastAsia="宋体" w:cs="宋体"/>
          <w:iCs/>
          <w:snapToGrid w:val="0"/>
          <w:kern w:val="0"/>
          <w:sz w:val="24"/>
        </w:rPr>
      </w:pPr>
      <w:r>
        <w:rPr>
          <w:rFonts w:hint="eastAsia" w:ascii="宋体" w:hAnsi="宋体" w:eastAsia="宋体" w:cs="宋体"/>
          <w:iCs/>
          <w:snapToGrid w:val="0"/>
          <w:kern w:val="0"/>
          <w:sz w:val="24"/>
        </w:rPr>
        <w:t>3）经设计单位、监理单位、承包人、发包人共同认定的产品封样、样板（包括样板房等）</w:t>
      </w:r>
      <w:r>
        <w:rPr>
          <w:rFonts w:hint="eastAsia" w:ascii="宋体" w:hAnsi="宋体" w:eastAsia="宋体" w:cs="宋体"/>
          <w:snapToGrid w:val="0"/>
          <w:kern w:val="0"/>
          <w:sz w:val="24"/>
        </w:rPr>
        <w:t>[不符合下列第4）项标准要求的除外]</w:t>
      </w:r>
      <w:r>
        <w:rPr>
          <w:rFonts w:hint="eastAsia" w:ascii="宋体" w:hAnsi="宋体" w:eastAsia="宋体" w:cs="宋体"/>
          <w:iCs/>
          <w:snapToGrid w:val="0"/>
          <w:kern w:val="0"/>
          <w:sz w:val="24"/>
        </w:rPr>
        <w:t>；</w:t>
      </w:r>
    </w:p>
    <w:p w14:paraId="42BDCA92">
      <w:pPr>
        <w:adjustRightInd w:val="0"/>
        <w:snapToGrid w:val="0"/>
        <w:spacing w:line="440" w:lineRule="exact"/>
        <w:ind w:firstLine="420"/>
        <w:rPr>
          <w:rFonts w:hint="eastAsia" w:ascii="宋体" w:hAnsi="宋体" w:eastAsia="宋体" w:cs="宋体"/>
          <w:snapToGrid w:val="0"/>
          <w:kern w:val="0"/>
          <w:sz w:val="24"/>
        </w:rPr>
      </w:pPr>
      <w:r>
        <w:rPr>
          <w:rFonts w:hint="eastAsia" w:ascii="宋体" w:hAnsi="宋体" w:eastAsia="宋体" w:cs="宋体"/>
          <w:snapToGrid w:val="0"/>
          <w:kern w:val="0"/>
          <w:sz w:val="24"/>
        </w:rPr>
        <w:t>4）国家或行业强制执行的技术标准、技术规范。</w:t>
      </w:r>
    </w:p>
    <w:p w14:paraId="061123DA">
      <w:pPr>
        <w:adjustRightInd w:val="0"/>
        <w:snapToGrid w:val="0"/>
        <w:spacing w:line="440" w:lineRule="exact"/>
        <w:ind w:firstLine="420"/>
        <w:rPr>
          <w:rFonts w:hint="eastAsia" w:ascii="宋体" w:hAnsi="宋体" w:eastAsia="宋体" w:cs="宋体"/>
          <w:snapToGrid w:val="0"/>
          <w:kern w:val="0"/>
          <w:sz w:val="24"/>
        </w:rPr>
      </w:pPr>
      <w:r>
        <w:rPr>
          <w:rFonts w:hint="eastAsia" w:ascii="宋体" w:hAnsi="宋体" w:eastAsia="宋体" w:cs="宋体"/>
          <w:snapToGrid w:val="0"/>
          <w:kern w:val="0"/>
          <w:sz w:val="24"/>
        </w:rPr>
        <w:t>工程材料、设备的抽查、检验结果与前款约定不符的，总监理工程师必须扩大对该批材料的抽查范围、增加数量抽检，检测试验单位进行检测试验应执行《建筑节能工程施工质量验收规范》（GB50411-2007）、《广东省建筑节能工程施工质量验收规范》（DBJ15-65-2009）等现行文件要求。承包人必须在监理单位或发包人书面通知的限期内将不符合要求的材料、设备全部无条件拆除、更换，并运出施工现场，由此所造成的工期延误、费用增加等一切损失均由承包人承担；同时，承包人还应当按照合同专用条款第38.9（1）款的约定承担违约责任。</w:t>
      </w:r>
    </w:p>
    <w:p w14:paraId="5A990962">
      <w:pPr>
        <w:adjustRightInd w:val="0"/>
        <w:snapToGrid w:val="0"/>
        <w:spacing w:line="440" w:lineRule="exact"/>
        <w:ind w:right="11" w:firstLine="460" w:firstLineChars="192"/>
        <w:outlineLvl w:val="4"/>
        <w:rPr>
          <w:rFonts w:hint="eastAsia" w:ascii="宋体" w:hAnsi="宋体" w:eastAsia="宋体" w:cs="宋体"/>
          <w:bCs/>
          <w:snapToGrid w:val="0"/>
          <w:kern w:val="0"/>
          <w:sz w:val="24"/>
        </w:rPr>
      </w:pPr>
      <w:r>
        <w:rPr>
          <w:rFonts w:hint="eastAsia" w:ascii="宋体" w:hAnsi="宋体" w:eastAsia="宋体" w:cs="宋体"/>
          <w:iCs/>
          <w:snapToGrid w:val="0"/>
          <w:kern w:val="0"/>
          <w:sz w:val="24"/>
        </w:rPr>
        <w:t>（4）总监理工程师对材料、设备或工程进行检查、检验的费用由承包人负担。总监理工程师或发包人进</w:t>
      </w:r>
      <w:r>
        <w:rPr>
          <w:rFonts w:hint="eastAsia" w:ascii="宋体" w:hAnsi="宋体" w:eastAsia="宋体" w:cs="宋体"/>
          <w:snapToGrid w:val="0"/>
          <w:kern w:val="0"/>
          <w:sz w:val="24"/>
        </w:rPr>
        <w:t>行</w:t>
      </w:r>
      <w:r>
        <w:rPr>
          <w:rFonts w:hint="eastAsia" w:ascii="宋体" w:hAnsi="宋体" w:eastAsia="宋体" w:cs="宋体"/>
          <w:bCs/>
          <w:snapToGrid w:val="0"/>
          <w:kern w:val="0"/>
          <w:sz w:val="24"/>
        </w:rPr>
        <w:t>重复检查、检验的，检查、检验的结果证明材料、设备或工程不符合合同、技术规范要求的，费用由承包人承担；符合合同、招标文件、技术规范要求的，费用由发包人承担。</w:t>
      </w:r>
    </w:p>
    <w:p w14:paraId="3C09CE5E">
      <w:pPr>
        <w:adjustRightInd w:val="0"/>
        <w:snapToGrid w:val="0"/>
        <w:spacing w:line="440" w:lineRule="exact"/>
        <w:ind w:firstLine="42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16.6承包人应当</w:t>
      </w:r>
      <w:r>
        <w:rPr>
          <w:rFonts w:hint="eastAsia" w:ascii="宋体" w:hAnsi="宋体" w:eastAsia="宋体" w:cs="宋体"/>
          <w:snapToGrid w:val="0"/>
          <w:kern w:val="0"/>
          <w:sz w:val="24"/>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hint="eastAsia" w:ascii="宋体" w:hAnsi="宋体" w:eastAsia="宋体" w:cs="宋体"/>
          <w:bCs/>
          <w:snapToGrid w:val="0"/>
          <w:kern w:val="0"/>
          <w:sz w:val="24"/>
        </w:rPr>
        <w:t>由此所产生的工期延误和费用增加等全部损失由承包人承担，并由承包人按照</w:t>
      </w:r>
      <w:r>
        <w:rPr>
          <w:rFonts w:hint="eastAsia" w:ascii="宋体" w:hAnsi="宋体" w:eastAsia="宋体" w:cs="宋体"/>
          <w:snapToGrid w:val="0"/>
          <w:kern w:val="0"/>
          <w:sz w:val="24"/>
        </w:rPr>
        <w:t>合同专用条款第38</w:t>
      </w:r>
      <w:r>
        <w:rPr>
          <w:rFonts w:hint="eastAsia" w:ascii="宋体" w:hAnsi="宋体" w:eastAsia="宋体" w:cs="宋体"/>
          <w:bCs/>
          <w:snapToGrid w:val="0"/>
          <w:kern w:val="0"/>
          <w:sz w:val="24"/>
        </w:rPr>
        <w:t>.10（1）款的约定承担违约责任。</w:t>
      </w:r>
    </w:p>
    <w:p w14:paraId="5F3EB6DA">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16.7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14:paraId="03F9A6B6">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1B7D3B9B">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16.9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相应的责任。</w:t>
      </w:r>
    </w:p>
    <w:p w14:paraId="2E647896">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14:paraId="5F72CCB6">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40" w:name="_Toc397364913"/>
      <w:bookmarkStart w:id="541" w:name="_Toc176192810"/>
      <w:bookmarkStart w:id="542" w:name="_Toc14277"/>
      <w:bookmarkStart w:id="543" w:name="_Toc24599"/>
      <w:r>
        <w:rPr>
          <w:rFonts w:hint="eastAsia" w:ascii="宋体" w:hAnsi="宋体" w:eastAsia="宋体" w:cs="宋体"/>
          <w:b/>
          <w:snapToGrid w:val="0"/>
          <w:kern w:val="0"/>
          <w:sz w:val="24"/>
        </w:rPr>
        <w:t>17、隐蔽工程和中间验收</w:t>
      </w:r>
      <w:bookmarkEnd w:id="540"/>
      <w:bookmarkEnd w:id="541"/>
      <w:bookmarkEnd w:id="542"/>
      <w:bookmarkEnd w:id="543"/>
    </w:p>
    <w:p w14:paraId="52244120">
      <w:pPr>
        <w:adjustRightInd w:val="0"/>
        <w:snapToGrid w:val="0"/>
        <w:spacing w:line="440" w:lineRule="exact"/>
        <w:ind w:right="11" w:firstLine="460" w:firstLineChars="192"/>
        <w:outlineLvl w:val="3"/>
        <w:rPr>
          <w:rFonts w:hint="eastAsia" w:ascii="宋体" w:hAnsi="宋体" w:eastAsia="宋体" w:cs="宋体"/>
          <w:bCs/>
          <w:iCs/>
          <w:snapToGrid w:val="0"/>
          <w:kern w:val="0"/>
          <w:sz w:val="24"/>
        </w:rPr>
      </w:pPr>
      <w:r>
        <w:rPr>
          <w:rFonts w:hint="eastAsia" w:ascii="宋体" w:hAnsi="宋体" w:eastAsia="宋体" w:cs="宋体"/>
          <w:bCs/>
          <w:snapToGrid w:val="0"/>
          <w:kern w:val="0"/>
          <w:sz w:val="24"/>
        </w:rPr>
        <w:t>17.1双方约定，中间验收按《关于印发&lt;建设工程中间验收监督管理规定&gt;的通知》（穗建监字[2001]68号）文执行，验收程序按合同通用条款第17条执行。验收人员组成：发包人、监理单位、承包</w:t>
      </w:r>
      <w:r>
        <w:rPr>
          <w:rFonts w:hint="eastAsia" w:ascii="宋体" w:hAnsi="宋体" w:eastAsia="宋体" w:cs="宋体"/>
          <w:bCs/>
          <w:iCs/>
          <w:snapToGrid w:val="0"/>
          <w:kern w:val="0"/>
          <w:sz w:val="24"/>
        </w:rPr>
        <w:t>人及其他有关单位。</w:t>
      </w:r>
    </w:p>
    <w:p w14:paraId="53E34EC0">
      <w:pPr>
        <w:adjustRightInd w:val="0"/>
        <w:snapToGrid w:val="0"/>
        <w:spacing w:line="440" w:lineRule="exact"/>
        <w:ind w:right="11" w:firstLine="463" w:firstLineChars="192"/>
        <w:rPr>
          <w:rFonts w:hint="eastAsia" w:ascii="宋体" w:hAnsi="宋体" w:eastAsia="宋体" w:cs="宋体"/>
          <w:bCs/>
          <w:snapToGrid w:val="0"/>
          <w:kern w:val="0"/>
          <w:sz w:val="24"/>
        </w:rPr>
      </w:pPr>
      <w:r>
        <w:rPr>
          <w:rFonts w:hint="eastAsia" w:ascii="宋体" w:hAnsi="宋体" w:eastAsia="宋体" w:cs="宋体"/>
          <w:b/>
          <w:snapToGrid w:val="0"/>
          <w:kern w:val="0"/>
          <w:sz w:val="24"/>
        </w:rPr>
        <w:t>承包人和发包人一致同意增加17.4、17.5：</w:t>
      </w:r>
    </w:p>
    <w:p w14:paraId="52510BB1">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17.4</w:t>
      </w:r>
      <w:r>
        <w:rPr>
          <w:rFonts w:hint="eastAsia" w:ascii="宋体" w:hAnsi="宋体" w:eastAsia="宋体" w:cs="宋体"/>
          <w:snapToGrid w:val="0"/>
          <w:kern w:val="0"/>
          <w:sz w:val="24"/>
        </w:rPr>
        <w:t>隐蔽工程或中间验收部位未经专业监理工程师验收合格，不得隐蔽或继续施工，否则该部分工程被视为不合格，</w:t>
      </w:r>
      <w:r>
        <w:rPr>
          <w:rFonts w:hint="eastAsia" w:ascii="宋体" w:hAnsi="宋体" w:eastAsia="宋体" w:cs="宋体"/>
          <w:bCs/>
          <w:snapToGrid w:val="0"/>
          <w:kern w:val="0"/>
          <w:sz w:val="24"/>
        </w:rPr>
        <w:t>由此所产生的返工费用由承包人承担。</w:t>
      </w:r>
    </w:p>
    <w:p w14:paraId="0A3A6D61">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snapToGrid w:val="0"/>
          <w:kern w:val="0"/>
          <w:sz w:val="24"/>
        </w:rPr>
        <w:t>17.5建设、监理单位或建设工程质量监督机构根据有关规定以及工程特点确定的涉及结构安全、重要使用功能、关键部位的其他分部（子分部）工程，须</w:t>
      </w:r>
      <w:r>
        <w:rPr>
          <w:rFonts w:hint="eastAsia" w:ascii="宋体" w:hAnsi="宋体" w:eastAsia="宋体" w:cs="宋体"/>
          <w:bCs/>
          <w:snapToGrid w:val="0"/>
          <w:kern w:val="0"/>
          <w:sz w:val="24"/>
        </w:rPr>
        <w:t>《关于加强房屋建筑重要分部（子分部）工程质量验收工作的通知》（穗建质[2010]1063号）文规定，加强工程质量验收工作。</w:t>
      </w:r>
    </w:p>
    <w:p w14:paraId="7E82E12D">
      <w:pPr>
        <w:adjustRightInd w:val="0"/>
        <w:snapToGrid w:val="0"/>
        <w:spacing w:line="440" w:lineRule="exact"/>
        <w:ind w:firstLine="472" w:firstLineChars="196"/>
        <w:outlineLvl w:val="2"/>
        <w:rPr>
          <w:rFonts w:hint="eastAsia" w:ascii="宋体" w:hAnsi="宋体" w:eastAsia="宋体" w:cs="宋体"/>
          <w:b/>
          <w:snapToGrid w:val="0"/>
          <w:kern w:val="0"/>
          <w:sz w:val="24"/>
        </w:rPr>
      </w:pPr>
      <w:bookmarkStart w:id="544" w:name="_Toc176192811"/>
      <w:r>
        <w:rPr>
          <w:rFonts w:hint="eastAsia" w:ascii="宋体" w:hAnsi="宋体" w:eastAsia="宋体" w:cs="宋体"/>
          <w:b/>
          <w:snapToGrid w:val="0"/>
          <w:kern w:val="0"/>
          <w:sz w:val="24"/>
        </w:rPr>
        <w:t>19、工程试车</w:t>
      </w:r>
      <w:bookmarkEnd w:id="544"/>
    </w:p>
    <w:p w14:paraId="7E056B5D">
      <w:pPr>
        <w:adjustRightInd w:val="0"/>
        <w:snapToGrid w:val="0"/>
        <w:spacing w:line="440" w:lineRule="exact"/>
        <w:ind w:firstLine="480" w:firstLineChars="200"/>
        <w:rPr>
          <w:rFonts w:hint="eastAsia" w:ascii="宋体" w:hAnsi="宋体" w:eastAsia="宋体" w:cs="宋体"/>
          <w:b/>
          <w:bCs/>
          <w:snapToGrid w:val="0"/>
          <w:kern w:val="0"/>
          <w:sz w:val="28"/>
          <w:szCs w:val="28"/>
        </w:rPr>
      </w:pPr>
      <w:r>
        <w:rPr>
          <w:rFonts w:ascii="宋体" w:hAnsi="宋体" w:eastAsia="宋体" w:cs="宋体"/>
          <w:snapToGrid w:val="0"/>
          <w:kern w:val="0"/>
          <w:sz w:val="24"/>
        </w:rPr>
        <w:t>19.5</w:t>
      </w:r>
      <w:r>
        <w:rPr>
          <w:rFonts w:hint="eastAsia" w:ascii="宋体" w:hAnsi="宋体" w:eastAsia="宋体" w:cs="宋体"/>
          <w:snapToGrid w:val="0"/>
          <w:kern w:val="0"/>
          <w:sz w:val="24"/>
        </w:rPr>
        <w:t>（4）试车费用</w:t>
      </w:r>
      <w:r>
        <w:rPr>
          <w:rFonts w:hint="eastAsia" w:ascii="宋体" w:hAnsi="宋体" w:eastAsia="宋体" w:cs="宋体"/>
          <w:iCs/>
          <w:snapToGrid w:val="0"/>
          <w:kern w:val="0"/>
          <w:sz w:val="24"/>
        </w:rPr>
        <w:t>已包含在合同总价中，不再另行支付</w:t>
      </w:r>
      <w:r>
        <w:rPr>
          <w:rFonts w:hint="eastAsia" w:ascii="宋体" w:hAnsi="宋体" w:eastAsia="宋体" w:cs="宋体"/>
          <w:snapToGrid w:val="0"/>
          <w:kern w:val="0"/>
          <w:sz w:val="24"/>
        </w:rPr>
        <w:t>。</w:t>
      </w:r>
    </w:p>
    <w:p w14:paraId="30F4BDE8">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545" w:name="_Toc397364914"/>
    </w:p>
    <w:p w14:paraId="38262F25">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546" w:name="_Toc2175"/>
      <w:bookmarkStart w:id="547" w:name="_Toc176192812"/>
      <w:bookmarkStart w:id="548" w:name="_Toc14218"/>
      <w:r>
        <w:rPr>
          <w:rFonts w:hint="eastAsia" w:ascii="宋体" w:hAnsi="宋体" w:eastAsia="宋体" w:cs="宋体"/>
          <w:b/>
          <w:bCs/>
          <w:snapToGrid w:val="0"/>
          <w:kern w:val="0"/>
          <w:sz w:val="28"/>
          <w:szCs w:val="28"/>
        </w:rPr>
        <w:t>五、安全文明施工</w:t>
      </w:r>
      <w:bookmarkEnd w:id="545"/>
      <w:bookmarkEnd w:id="546"/>
      <w:bookmarkEnd w:id="547"/>
      <w:bookmarkEnd w:id="548"/>
    </w:p>
    <w:p w14:paraId="2BEB6B52">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49" w:name="_Toc23923"/>
      <w:bookmarkStart w:id="550" w:name="_Toc2836"/>
      <w:bookmarkStart w:id="551" w:name="_Toc176192813"/>
      <w:bookmarkStart w:id="552" w:name="_Toc397364915"/>
      <w:r>
        <w:rPr>
          <w:rFonts w:hint="eastAsia" w:ascii="宋体" w:hAnsi="宋体" w:eastAsia="宋体" w:cs="宋体"/>
          <w:b/>
          <w:snapToGrid w:val="0"/>
          <w:kern w:val="0"/>
          <w:sz w:val="24"/>
        </w:rPr>
        <w:t>20、施工场地的占用与管理</w:t>
      </w:r>
      <w:bookmarkEnd w:id="549"/>
      <w:bookmarkEnd w:id="550"/>
      <w:bookmarkEnd w:id="551"/>
    </w:p>
    <w:p w14:paraId="0180EA35">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20.2发包人不提供施工场地，由承包人自行办理施工场地有关手续（包括但不限于施工场地使用许可、施工安全管理协议书等）及支付相关费用；相关费用已包含在合同总价中，发包人及项目业主不再另行支付任何费用。</w:t>
      </w:r>
      <w:r>
        <w:rPr>
          <w:rFonts w:hint="eastAsia" w:ascii="宋体" w:hAnsi="宋体" w:eastAsia="宋体" w:cs="宋体"/>
          <w:snapToGrid w:val="0"/>
          <w:kern w:val="0"/>
          <w:sz w:val="24"/>
        </w:rPr>
        <w:t>承包人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14:paraId="49A59652">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20.3承包人必须在工程竣工后30天内或场地权属方规定的时间内，无条件清退所有施工场地。拒不清退的，发包人有权暂停计价支付、工程结算等工作，并由承包人承担由此而产生的一切后果（包括发包人因此而被第三方索赔所产生的损失）。</w:t>
      </w:r>
    </w:p>
    <w:p w14:paraId="2B44FA1C">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20.4承包人必须服从政府主管部门的执法检查和处罚，并按照检查结果进行整改。</w:t>
      </w:r>
    </w:p>
    <w:p w14:paraId="103BC523">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53" w:name="_Toc8191"/>
      <w:bookmarkStart w:id="554" w:name="_Toc15066"/>
      <w:bookmarkStart w:id="555" w:name="_Toc176192814"/>
      <w:r>
        <w:rPr>
          <w:rFonts w:hint="eastAsia" w:ascii="宋体" w:hAnsi="宋体" w:eastAsia="宋体" w:cs="宋体"/>
          <w:b/>
          <w:snapToGrid w:val="0"/>
          <w:kern w:val="0"/>
          <w:sz w:val="24"/>
        </w:rPr>
        <w:t>21、安全施工与检查</w:t>
      </w:r>
      <w:bookmarkEnd w:id="553"/>
      <w:bookmarkEnd w:id="554"/>
      <w:bookmarkEnd w:id="555"/>
    </w:p>
    <w:p w14:paraId="600695B2">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21.1</w:t>
      </w:r>
      <w:r>
        <w:rPr>
          <w:rFonts w:hint="eastAsia" w:ascii="宋体" w:hAnsi="宋体" w:eastAsia="宋体" w:cs="宋体"/>
          <w:snapToGrid w:val="0"/>
          <w:kern w:val="0"/>
          <w:sz w:val="24"/>
        </w:rPr>
        <w:t>承包人应建立健全建筑施工</w:t>
      </w:r>
      <w:r>
        <w:rPr>
          <w:rFonts w:hint="eastAsia" w:ascii="宋体" w:hAnsi="宋体" w:eastAsia="宋体" w:cs="宋体"/>
          <w:bCs/>
          <w:snapToGrid w:val="0"/>
          <w:kern w:val="0"/>
          <w:sz w:val="24"/>
        </w:rPr>
        <w:t>安全生产组织机构和</w:t>
      </w:r>
      <w:r>
        <w:rPr>
          <w:rFonts w:hint="eastAsia" w:ascii="宋体" w:hAnsi="宋体" w:eastAsia="宋体" w:cs="宋体"/>
          <w:snapToGrid w:val="0"/>
          <w:kern w:val="0"/>
          <w:sz w:val="24"/>
        </w:rPr>
        <w:t>安全保证体系，</w:t>
      </w:r>
      <w:r>
        <w:rPr>
          <w:rFonts w:hint="eastAsia" w:ascii="宋体" w:hAnsi="宋体" w:eastAsia="宋体" w:cs="宋体"/>
          <w:bCs/>
          <w:snapToGrid w:val="0"/>
          <w:kern w:val="0"/>
          <w:sz w:val="24"/>
        </w:rPr>
        <w:t>落实安全生产责任制，</w:t>
      </w:r>
      <w:r>
        <w:rPr>
          <w:rFonts w:hint="eastAsia" w:ascii="宋体" w:hAnsi="宋体" w:eastAsia="宋体" w:cs="宋体"/>
          <w:snapToGrid w:val="0"/>
          <w:kern w:val="0"/>
          <w:sz w:val="24"/>
        </w:rPr>
        <w:t>按照工程建设安全生产的有关管理规定，采取相应措施，负责现场全部作业的安全，并对此承担全部责任。</w:t>
      </w:r>
    </w:p>
    <w:p w14:paraId="77A9C08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21.2承包人应遵守《安全生产法》、《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464BE65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21.3承包人必须按照《建筑施工企业安全生产管理机构设置及专职安全生产管理人员配备办法》的要求，配备从事安全生产管理工作的专职安全生产管理人员，专职安全生产管理人员必须持证上岗。</w:t>
      </w:r>
    </w:p>
    <w:p w14:paraId="68D075A3">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21.4</w:t>
      </w:r>
      <w:r>
        <w:rPr>
          <w:rFonts w:hint="eastAsia" w:ascii="宋体" w:hAnsi="宋体" w:eastAsia="宋体" w:cs="宋体"/>
          <w:snapToGrid w:val="0"/>
          <w:kern w:val="0"/>
          <w:sz w:val="24"/>
        </w:rPr>
        <w:t>承包人在施工中必须制定定期检查制度，加强对自身及其承包管理范围内各专业单位在安全施工方面的检查、监督管理；若被发现存在严重安全隐患的，应按照合同专用条款第38.11（1）、（2）款的约定承担违约责任。</w:t>
      </w:r>
    </w:p>
    <w:p w14:paraId="203DECD9">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21.5发包人不得要求承包人违反安全管理的规定进行施工。因发包人原因导致的安全事故，由发包人承担相应责任及发生的费用。</w:t>
      </w:r>
    </w:p>
    <w:p w14:paraId="02B3F343">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56" w:name="_Toc17445"/>
      <w:bookmarkStart w:id="557" w:name="_Toc176192815"/>
      <w:bookmarkStart w:id="558" w:name="_Toc4020"/>
      <w:r>
        <w:rPr>
          <w:rFonts w:hint="eastAsia" w:ascii="宋体" w:hAnsi="宋体" w:eastAsia="宋体" w:cs="宋体"/>
          <w:b/>
          <w:snapToGrid w:val="0"/>
          <w:kern w:val="0"/>
          <w:sz w:val="24"/>
        </w:rPr>
        <w:t>22、安全防护</w:t>
      </w:r>
      <w:bookmarkEnd w:id="556"/>
      <w:bookmarkEnd w:id="557"/>
      <w:bookmarkEnd w:id="558"/>
    </w:p>
    <w:p w14:paraId="4C880E2E">
      <w:pPr>
        <w:adjustRightInd w:val="0"/>
        <w:snapToGrid w:val="0"/>
        <w:spacing w:line="440" w:lineRule="exact"/>
        <w:ind w:right="11" w:firstLine="463" w:firstLineChars="192"/>
        <w:rPr>
          <w:rFonts w:hint="eastAsia" w:ascii="宋体" w:hAnsi="宋体" w:eastAsia="宋体" w:cs="宋体"/>
          <w:bCs/>
          <w:snapToGrid w:val="0"/>
          <w:kern w:val="0"/>
          <w:sz w:val="24"/>
        </w:rPr>
      </w:pPr>
      <w:r>
        <w:rPr>
          <w:rFonts w:hint="eastAsia" w:ascii="宋体" w:hAnsi="宋体" w:eastAsia="宋体" w:cs="宋体"/>
          <w:b/>
          <w:snapToGrid w:val="0"/>
          <w:kern w:val="0"/>
          <w:sz w:val="24"/>
        </w:rPr>
        <w:t>承包人和发包人一致同意增加22.3、22.4：</w:t>
      </w:r>
    </w:p>
    <w:p w14:paraId="1A94E770">
      <w:pPr>
        <w:adjustRightInd w:val="0"/>
        <w:snapToGrid w:val="0"/>
        <w:spacing w:line="440" w:lineRule="exact"/>
        <w:ind w:firstLine="48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22.3本工程的绿色施工安全防护措施费包括但不限于合同通用条款第22.1款、第22.2款所列明的费用，所有绿色施工安全防护措施费已包含在合同价款之中。</w:t>
      </w:r>
    </w:p>
    <w:p w14:paraId="5D7F6D4E">
      <w:pPr>
        <w:adjustRightInd w:val="0"/>
        <w:snapToGrid w:val="0"/>
        <w:spacing w:line="440" w:lineRule="exact"/>
        <w:ind w:firstLine="48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22.4项目的实施要求须满足《建筑施工安全检查标准》（JGJ59-2011）、《广州市建设工程文明施工管理规定》（广州市人民政府令第62号）、《广州市城乡建设委员会关于印发广州市加强建筑工地环保管理工作方案的通知》（穗建质[2014]754号）、《广州市住房和城乡建设局等9部门关于印发广州市建设工程绿色施工围蔽指导图集（V2.0版）的通知》（穗建质〔2020〕1号）等相关现行文件要求及发包人制定的相关工程管理办法的要求，并应当做到： </w:t>
      </w:r>
    </w:p>
    <w:p w14:paraId="7C913D52">
      <w:pPr>
        <w:adjustRightInd w:val="0"/>
        <w:snapToGrid w:val="0"/>
        <w:spacing w:line="440" w:lineRule="exact"/>
        <w:ind w:firstLine="480"/>
        <w:rPr>
          <w:rFonts w:hint="eastAsia" w:ascii="宋体" w:hAnsi="宋体" w:eastAsia="宋体" w:cs="宋体"/>
          <w:bCs/>
          <w:snapToGrid w:val="0"/>
          <w:kern w:val="0"/>
          <w:sz w:val="24"/>
        </w:rPr>
      </w:pPr>
      <w:r>
        <w:rPr>
          <w:rFonts w:hint="eastAsia" w:ascii="宋体" w:hAnsi="宋体" w:eastAsia="宋体" w:cs="宋体"/>
          <w:bCs/>
          <w:snapToGrid w:val="0"/>
          <w:kern w:val="0"/>
          <w:sz w:val="24"/>
        </w:rPr>
        <w:t>（1）加强对职业健康安全应急预案、安全技术方案的审查管理工作。</w:t>
      </w:r>
    </w:p>
    <w:p w14:paraId="6AEA79E2">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bCs/>
          <w:snapToGrid w:val="0"/>
          <w:kern w:val="0"/>
          <w:sz w:val="24"/>
        </w:rPr>
        <w:t>（2）保护所有在现场人员的安全，保护其管辖范围内的现场以及尚未完</w:t>
      </w:r>
      <w:r>
        <w:rPr>
          <w:rFonts w:hint="eastAsia" w:ascii="宋体" w:hAnsi="宋体" w:eastAsia="宋体" w:cs="宋体"/>
          <w:snapToGrid w:val="0"/>
          <w:kern w:val="0"/>
          <w:sz w:val="24"/>
        </w:rPr>
        <w:t>工的和发包人尚未占用的工程处于良好的安全状态。</w:t>
      </w:r>
    </w:p>
    <w:p w14:paraId="4052C01F">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snapToGrid w:val="0"/>
          <w:kern w:val="0"/>
          <w:sz w:val="24"/>
        </w:rPr>
        <w:t>（3）在需要的时间和地点，根据总监理工程师、发包人或者当地政府的要求，提供和维持所有的照明灯光、护板、围墙、栅栏、警告信号标志和值班人员，对工程进行保护和为公众提供安全和方便。</w:t>
      </w:r>
    </w:p>
    <w:p w14:paraId="41A14A31">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新型冠状病毒肺炎）时，承包人必须遵守并执行省市卫生部门为处理和控制上述传染病而制定的规章、命令和要求，迅速向发包人和工程所在地疾病控制中心报告。</w:t>
      </w:r>
    </w:p>
    <w:p w14:paraId="63A806FA">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5）承包人必须按照《危险性较大的分部分项工程安全管理规定》（住房城乡建设部令第37号）、《广东省住房和城乡建设厅关于房屋市政工程危险性较大的分部分项工程安全管理的实施细则》等最新法律法规要求，严格实施合同内所涉及的危险性较大或超一定规模危险性较大分部分项工程。承包人必须按专项施工方案组织施工，不得擅自修改专项施工方案。</w:t>
      </w:r>
      <w:bookmarkEnd w:id="552"/>
    </w:p>
    <w:p w14:paraId="4020821B">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59" w:name="_Toc24796"/>
      <w:bookmarkStart w:id="560" w:name="_Toc397364918"/>
      <w:bookmarkStart w:id="561" w:name="_Toc176192816"/>
      <w:bookmarkStart w:id="562" w:name="_Toc24055"/>
      <w:r>
        <w:rPr>
          <w:rFonts w:hint="eastAsia" w:ascii="宋体" w:hAnsi="宋体" w:eastAsia="宋体" w:cs="宋体"/>
          <w:b/>
          <w:snapToGrid w:val="0"/>
          <w:kern w:val="0"/>
          <w:sz w:val="24"/>
        </w:rPr>
        <w:t>23、事故处理</w:t>
      </w:r>
      <w:bookmarkEnd w:id="559"/>
      <w:bookmarkEnd w:id="560"/>
      <w:bookmarkEnd w:id="561"/>
      <w:bookmarkEnd w:id="562"/>
    </w:p>
    <w:p w14:paraId="3A2C251E">
      <w:pPr>
        <w:adjustRightInd w:val="0"/>
        <w:snapToGrid w:val="0"/>
        <w:spacing w:line="440" w:lineRule="exact"/>
        <w:ind w:right="11" w:firstLine="463" w:firstLineChars="192"/>
        <w:rPr>
          <w:rFonts w:hint="eastAsia" w:ascii="宋体" w:hAnsi="宋体" w:eastAsia="宋体" w:cs="宋体"/>
          <w:bCs/>
          <w:snapToGrid w:val="0"/>
          <w:kern w:val="0"/>
          <w:sz w:val="24"/>
        </w:rPr>
      </w:pPr>
      <w:r>
        <w:rPr>
          <w:rFonts w:hint="eastAsia" w:ascii="宋体" w:hAnsi="宋体" w:eastAsia="宋体" w:cs="宋体"/>
          <w:b/>
          <w:snapToGrid w:val="0"/>
          <w:kern w:val="0"/>
          <w:sz w:val="24"/>
        </w:rPr>
        <w:t>承包人和发包人一致同意增加23.3、23.4：</w:t>
      </w:r>
    </w:p>
    <w:p w14:paraId="4A98CB89">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23.3因承包人责任过失造成安全事故的，除按照国家规定由行政主管部门给予承包人处罚外，承包人还应负责赔偿发包人的损失，并按照合同专用条款第38.11（3）款的约定承担违约责任。</w:t>
      </w:r>
    </w:p>
    <w:p w14:paraId="62C5263A">
      <w:pPr>
        <w:pStyle w:val="22"/>
        <w:adjustRightInd w:val="0"/>
        <w:snapToGrid w:val="0"/>
        <w:spacing w:line="440" w:lineRule="exact"/>
        <w:ind w:firstLine="480"/>
        <w:outlineLvl w:val="3"/>
        <w:rPr>
          <w:rFonts w:hint="eastAsia" w:hAnsi="宋体" w:eastAsia="宋体" w:cs="宋体"/>
          <w:snapToGrid w:val="0"/>
          <w:kern w:val="0"/>
          <w:sz w:val="24"/>
        </w:rPr>
      </w:pPr>
      <w:r>
        <w:rPr>
          <w:rFonts w:hint="eastAsia" w:hAnsi="宋体" w:eastAsia="宋体" w:cs="宋体"/>
          <w:snapToGrid w:val="0"/>
          <w:kern w:val="0"/>
          <w:sz w:val="24"/>
        </w:rPr>
        <w:t>23.4承包人应保证发包人免于受到或承担应由承包人负责的因承包人现场施工所引起的或与之有关的索赔、诉讼以及其他开支；若有证据证实发包人因此发生了索赔、诉讼以及其他开支，承包人必须在接到发包人通知后三天内据实补偿发包人因此所受到的损失或者由发包人在承包人工程款项中予以扣除。</w:t>
      </w:r>
    </w:p>
    <w:p w14:paraId="405868A5">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63" w:name="_Toc176192817"/>
      <w:bookmarkStart w:id="564" w:name="_Toc6564"/>
      <w:bookmarkStart w:id="565" w:name="_Toc4280"/>
      <w:bookmarkStart w:id="566" w:name="_Toc397364919"/>
      <w:r>
        <w:rPr>
          <w:rFonts w:hint="eastAsia" w:ascii="宋体" w:hAnsi="宋体" w:eastAsia="宋体" w:cs="宋体"/>
          <w:b/>
          <w:snapToGrid w:val="0"/>
          <w:kern w:val="0"/>
          <w:sz w:val="24"/>
        </w:rPr>
        <w:t>24、文明施工与环境保护</w:t>
      </w:r>
      <w:bookmarkEnd w:id="563"/>
      <w:bookmarkEnd w:id="564"/>
      <w:bookmarkEnd w:id="565"/>
      <w:bookmarkEnd w:id="566"/>
    </w:p>
    <w:p w14:paraId="1AB35929">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24.1承包人应严格落实文明施工措施，否则按合同专用条款第38.12款的约定承担违约责任。</w:t>
      </w:r>
    </w:p>
    <w:p w14:paraId="6D703DDA">
      <w:pPr>
        <w:adjustRightInd w:val="0"/>
        <w:snapToGrid w:val="0"/>
        <w:spacing w:line="440" w:lineRule="exact"/>
        <w:ind w:right="11" w:firstLine="460" w:firstLineChars="192"/>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24.2</w:t>
      </w:r>
      <w:r>
        <w:rPr>
          <w:rFonts w:hint="eastAsia" w:ascii="宋体" w:hAnsi="宋体" w:eastAsia="宋体" w:cs="宋体"/>
          <w:snapToGrid w:val="0"/>
          <w:kern w:val="0"/>
          <w:sz w:val="24"/>
        </w:rPr>
        <w:t>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尚应满足国家相关规定要求。</w:t>
      </w:r>
    </w:p>
    <w:p w14:paraId="0601CAB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承包人应在现场布置足量裸土覆盖物资、喷淋洒水设备、洒水车等防尘降尘措施，做到建筑施工现场扬尘治理“六个百分之百”标准。</w:t>
      </w:r>
    </w:p>
    <w:p w14:paraId="0DCB4F90">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4BB802CE">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合同专用条款第38.12款的约定承担相应的违约责任。</w:t>
      </w:r>
    </w:p>
    <w:p w14:paraId="6D507B37">
      <w:pPr>
        <w:adjustRightInd w:val="0"/>
        <w:snapToGrid w:val="0"/>
        <w:spacing w:line="440" w:lineRule="exact"/>
        <w:ind w:right="11" w:firstLine="463" w:firstLineChars="192"/>
        <w:rPr>
          <w:rFonts w:hint="eastAsia" w:ascii="宋体" w:hAnsi="宋体" w:eastAsia="宋体" w:cs="宋体"/>
          <w:bCs/>
          <w:snapToGrid w:val="0"/>
          <w:kern w:val="0"/>
          <w:sz w:val="24"/>
        </w:rPr>
      </w:pPr>
      <w:r>
        <w:rPr>
          <w:rFonts w:hint="eastAsia" w:ascii="宋体" w:hAnsi="宋体" w:eastAsia="宋体" w:cs="宋体"/>
          <w:b/>
          <w:snapToGrid w:val="0"/>
          <w:kern w:val="0"/>
          <w:sz w:val="24"/>
        </w:rPr>
        <w:t>承包人和发包人一致同意增加24.3：</w:t>
      </w:r>
    </w:p>
    <w:p w14:paraId="4393D9C7">
      <w:pPr>
        <w:adjustRightInd w:val="0"/>
        <w:snapToGrid w:val="0"/>
        <w:spacing w:line="440" w:lineRule="exact"/>
        <w:ind w:right="11" w:firstLine="460" w:firstLineChars="192"/>
        <w:outlineLvl w:val="3"/>
        <w:rPr>
          <w:rFonts w:hint="eastAsia" w:ascii="宋体" w:hAnsi="宋体" w:eastAsia="宋体" w:cs="宋体"/>
          <w:bCs/>
          <w:iCs/>
          <w:snapToGrid w:val="0"/>
          <w:kern w:val="0"/>
          <w:sz w:val="24"/>
        </w:rPr>
      </w:pPr>
      <w:r>
        <w:rPr>
          <w:rFonts w:hint="eastAsia" w:ascii="宋体" w:hAnsi="宋体" w:eastAsia="宋体" w:cs="宋体"/>
          <w:bCs/>
          <w:snapToGrid w:val="0"/>
          <w:kern w:val="0"/>
          <w:sz w:val="24"/>
        </w:rPr>
        <w:t>24.3</w:t>
      </w:r>
      <w:r>
        <w:rPr>
          <w:rFonts w:hint="eastAsia" w:ascii="宋体" w:hAnsi="宋体" w:eastAsia="宋体" w:cs="宋体"/>
          <w:bCs/>
          <w:iCs/>
          <w:snapToGrid w:val="0"/>
          <w:kern w:val="0"/>
          <w:sz w:val="24"/>
        </w:rPr>
        <w:t>承包人承诺：所有施工所需的安全设施设备、机具以及围蔽、护栏、临边防护、施工通道、劳护用品等全部按《广东省建筑施工安全生产标准化》及《广州市建筑工程安全生产标准化图集》等国家、省、市发布的法律、法规、规范、标准要求统一实施。安全文明施工、绿色施工的内容按中标后承包人向发包人提交且经发包人批准的详细的施工组织设计实施，但安全防护、文明施工的投标总报价不变。</w:t>
      </w:r>
    </w:p>
    <w:p w14:paraId="1A16773E">
      <w:pPr>
        <w:pStyle w:val="22"/>
        <w:adjustRightInd w:val="0"/>
        <w:snapToGrid w:val="0"/>
        <w:spacing w:line="440" w:lineRule="exact"/>
        <w:ind w:firstLine="465"/>
        <w:rPr>
          <w:rFonts w:hint="eastAsia" w:hAnsi="宋体" w:eastAsia="宋体" w:cs="宋体"/>
          <w:snapToGrid w:val="0"/>
          <w:kern w:val="0"/>
          <w:sz w:val="24"/>
        </w:rPr>
      </w:pPr>
      <w:r>
        <w:rPr>
          <w:rFonts w:hint="eastAsia" w:hAnsi="宋体" w:eastAsia="宋体" w:cs="宋体"/>
          <w:snapToGrid w:val="0"/>
          <w:kern w:val="0"/>
          <w:sz w:val="24"/>
        </w:rPr>
        <w:t>在合同工期内，发包人、总监理工程师对承包人的安全文明施工及环境保护措施进行定期检查，并按招标文件规定的项目和款项执行奖罚。</w:t>
      </w:r>
    </w:p>
    <w:p w14:paraId="6AE95818">
      <w:pPr>
        <w:pStyle w:val="22"/>
        <w:adjustRightInd w:val="0"/>
        <w:snapToGrid w:val="0"/>
        <w:spacing w:line="440" w:lineRule="exact"/>
        <w:rPr>
          <w:rFonts w:hint="eastAsia" w:hAnsi="宋体" w:eastAsia="宋体" w:cs="宋体"/>
          <w:snapToGrid w:val="0"/>
          <w:kern w:val="0"/>
        </w:rPr>
      </w:pPr>
    </w:p>
    <w:p w14:paraId="14E57101">
      <w:pPr>
        <w:adjustRightInd w:val="0"/>
        <w:snapToGrid w:val="0"/>
        <w:spacing w:line="440" w:lineRule="exact"/>
        <w:ind w:right="11" w:firstLine="413" w:firstLineChars="147"/>
        <w:outlineLvl w:val="1"/>
        <w:rPr>
          <w:rFonts w:hint="eastAsia" w:ascii="宋体" w:hAnsi="宋体" w:eastAsia="宋体" w:cs="宋体"/>
          <w:b/>
          <w:bCs/>
          <w:snapToGrid w:val="0"/>
          <w:kern w:val="0"/>
          <w:sz w:val="28"/>
          <w:szCs w:val="28"/>
        </w:rPr>
      </w:pPr>
      <w:bookmarkStart w:id="567" w:name="_Toc32454"/>
      <w:bookmarkStart w:id="568" w:name="_Toc397364920"/>
      <w:bookmarkStart w:id="569" w:name="_Toc22646"/>
      <w:bookmarkStart w:id="570" w:name="_Toc176192818"/>
      <w:r>
        <w:rPr>
          <w:rFonts w:hint="eastAsia" w:ascii="宋体" w:hAnsi="宋体" w:eastAsia="宋体" w:cs="宋体"/>
          <w:b/>
          <w:bCs/>
          <w:snapToGrid w:val="0"/>
          <w:kern w:val="0"/>
          <w:sz w:val="28"/>
          <w:szCs w:val="28"/>
        </w:rPr>
        <w:t>六、合同价款与支付</w:t>
      </w:r>
      <w:bookmarkEnd w:id="567"/>
      <w:bookmarkEnd w:id="568"/>
      <w:bookmarkEnd w:id="569"/>
      <w:bookmarkEnd w:id="570"/>
    </w:p>
    <w:p w14:paraId="412CF693">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71" w:name="_Toc17630"/>
      <w:bookmarkStart w:id="572" w:name="_Toc176192819"/>
      <w:bookmarkStart w:id="573" w:name="_Toc397364921"/>
      <w:bookmarkStart w:id="574" w:name="_Toc24241"/>
      <w:r>
        <w:rPr>
          <w:rFonts w:hint="eastAsia" w:ascii="宋体" w:hAnsi="宋体" w:eastAsia="宋体" w:cs="宋体"/>
          <w:b/>
          <w:snapToGrid w:val="0"/>
          <w:kern w:val="0"/>
          <w:sz w:val="24"/>
        </w:rPr>
        <w:t>25、合同价款及调整</w:t>
      </w:r>
      <w:bookmarkEnd w:id="571"/>
      <w:bookmarkEnd w:id="572"/>
      <w:bookmarkEnd w:id="573"/>
      <w:bookmarkEnd w:id="574"/>
    </w:p>
    <w:p w14:paraId="0ECE2FFD">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本合同含税总价暂定为</w:t>
      </w:r>
      <w:r>
        <w:rPr>
          <w:rFonts w:hint="eastAsia" w:ascii="宋体" w:hAnsi="宋体" w:eastAsia="宋体" w:cs="宋体"/>
          <w:bCs/>
          <w:sz w:val="24"/>
        </w:rPr>
        <w:t>¥</w:t>
      </w:r>
      <w:r>
        <w:rPr>
          <w:rFonts w:hint="eastAsia" w:ascii="宋体" w:hAnsi="宋体" w:eastAsia="宋体" w:cs="宋体"/>
          <w:b/>
          <w:snapToGrid w:val="0"/>
          <w:kern w:val="0"/>
          <w:sz w:val="24"/>
          <w:u w:val="single"/>
        </w:rPr>
        <w:t>【含税合同金额小写】</w:t>
      </w:r>
      <w:r>
        <w:rPr>
          <w:rFonts w:hint="eastAsia" w:ascii="宋体" w:hAnsi="宋体" w:eastAsia="宋体" w:cs="宋体"/>
          <w:bCs/>
          <w:snapToGrid w:val="0"/>
          <w:kern w:val="0"/>
          <w:sz w:val="24"/>
        </w:rPr>
        <w:t>（大写人民币</w:t>
      </w:r>
      <w:r>
        <w:rPr>
          <w:rFonts w:hint="eastAsia" w:ascii="宋体" w:hAnsi="宋体" w:eastAsia="宋体" w:cs="宋体"/>
          <w:b/>
          <w:snapToGrid w:val="0"/>
          <w:kern w:val="0"/>
          <w:sz w:val="24"/>
          <w:u w:val="single"/>
        </w:rPr>
        <w:t>【含税合同金额大写】</w:t>
      </w:r>
      <w:r>
        <w:rPr>
          <w:rFonts w:hint="eastAsia" w:ascii="宋体" w:hAnsi="宋体" w:eastAsia="宋体" w:cs="宋体"/>
          <w:bCs/>
          <w:snapToGrid w:val="0"/>
          <w:kern w:val="0"/>
          <w:sz w:val="24"/>
        </w:rPr>
        <w:t>）。</w:t>
      </w:r>
    </w:p>
    <w:p w14:paraId="2D17789F">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其中：</w:t>
      </w:r>
    </w:p>
    <w:p w14:paraId="2878412B">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暂列金额为</w:t>
      </w:r>
      <w:r>
        <w:rPr>
          <w:rFonts w:hint="eastAsia" w:ascii="宋体" w:hAnsi="宋体" w:eastAsia="宋体" w:cs="宋体"/>
          <w:bCs/>
          <w:sz w:val="24"/>
        </w:rPr>
        <w:t>¥</w:t>
      </w:r>
      <w:r>
        <w:rPr>
          <w:rFonts w:hint="eastAsia" w:ascii="宋体" w:hAnsi="宋体" w:eastAsia="宋体" w:cs="宋体"/>
          <w:bCs/>
          <w:snapToGrid w:val="0"/>
          <w:kern w:val="0"/>
          <w:sz w:val="24"/>
          <w:u w:val="single"/>
        </w:rPr>
        <w:t>【不含税暂列金额】</w:t>
      </w:r>
      <w:r>
        <w:rPr>
          <w:rFonts w:hint="eastAsia" w:ascii="宋体" w:hAnsi="宋体" w:eastAsia="宋体" w:cs="宋体"/>
          <w:bCs/>
          <w:snapToGrid w:val="0"/>
          <w:kern w:val="0"/>
          <w:sz w:val="24"/>
        </w:rPr>
        <w:t>（不含税），</w:t>
      </w:r>
      <w:r>
        <w:rPr>
          <w:rFonts w:hint="eastAsia" w:ascii="宋体" w:hAnsi="宋体" w:eastAsia="宋体" w:cs="宋体"/>
          <w:bCs/>
          <w:sz w:val="24"/>
        </w:rPr>
        <w:t>¥</w:t>
      </w:r>
      <w:r>
        <w:rPr>
          <w:rFonts w:hint="eastAsia" w:ascii="宋体" w:hAnsi="宋体" w:eastAsia="宋体" w:cs="宋体"/>
          <w:bCs/>
          <w:snapToGrid w:val="0"/>
          <w:kern w:val="0"/>
          <w:sz w:val="24"/>
          <w:u w:val="single"/>
        </w:rPr>
        <w:t>【含税暂列金额】</w:t>
      </w:r>
      <w:r>
        <w:rPr>
          <w:rFonts w:hint="eastAsia" w:ascii="宋体" w:hAnsi="宋体" w:eastAsia="宋体" w:cs="宋体"/>
          <w:bCs/>
          <w:snapToGrid w:val="0"/>
          <w:kern w:val="0"/>
          <w:sz w:val="24"/>
        </w:rPr>
        <w:t>（含税）；</w:t>
      </w:r>
      <w:bookmarkStart w:id="575" w:name="_Hlk176165979"/>
    </w:p>
    <w:p w14:paraId="57D3B4C4">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绿色施工安全防护措施费</w:t>
      </w:r>
      <w:bookmarkEnd w:id="575"/>
      <w:r>
        <w:rPr>
          <w:rFonts w:hint="eastAsia" w:ascii="宋体" w:hAnsi="宋体" w:eastAsia="宋体" w:cs="宋体"/>
          <w:bCs/>
          <w:snapToGrid w:val="0"/>
          <w:kern w:val="0"/>
          <w:sz w:val="24"/>
        </w:rPr>
        <w:t>为</w:t>
      </w:r>
      <w:r>
        <w:rPr>
          <w:rFonts w:hint="eastAsia" w:ascii="宋体" w:hAnsi="宋体" w:eastAsia="宋体" w:cs="宋体"/>
          <w:bCs/>
          <w:sz w:val="24"/>
        </w:rPr>
        <w:t>¥</w:t>
      </w:r>
      <w:r>
        <w:rPr>
          <w:rFonts w:hint="eastAsia" w:ascii="宋体" w:hAnsi="宋体" w:eastAsia="宋体" w:cs="宋体"/>
          <w:bCs/>
          <w:snapToGrid w:val="0"/>
          <w:kern w:val="0"/>
          <w:sz w:val="24"/>
          <w:u w:val="single"/>
        </w:rPr>
        <w:t>【不含税绿色施工安全防护措施费】</w:t>
      </w:r>
      <w:r>
        <w:rPr>
          <w:rFonts w:hint="eastAsia" w:ascii="宋体" w:hAnsi="宋体" w:eastAsia="宋体" w:cs="宋体"/>
          <w:bCs/>
          <w:snapToGrid w:val="0"/>
          <w:kern w:val="0"/>
          <w:sz w:val="24"/>
        </w:rPr>
        <w:t>（不含税），</w:t>
      </w:r>
      <w:r>
        <w:rPr>
          <w:rFonts w:hint="eastAsia" w:ascii="宋体" w:hAnsi="宋体" w:eastAsia="宋体" w:cs="宋体"/>
          <w:bCs/>
          <w:sz w:val="24"/>
        </w:rPr>
        <w:t>¥</w:t>
      </w:r>
      <w:r>
        <w:rPr>
          <w:rFonts w:hint="eastAsia" w:ascii="宋体" w:hAnsi="宋体" w:eastAsia="宋体" w:cs="宋体"/>
          <w:bCs/>
          <w:snapToGrid w:val="0"/>
          <w:kern w:val="0"/>
          <w:sz w:val="24"/>
          <w:u w:val="single"/>
        </w:rPr>
        <w:t>【含税绿色施工安全防护措施费】</w:t>
      </w:r>
      <w:r>
        <w:rPr>
          <w:rFonts w:hint="eastAsia" w:ascii="宋体" w:hAnsi="宋体" w:eastAsia="宋体" w:cs="宋体"/>
          <w:bCs/>
          <w:snapToGrid w:val="0"/>
          <w:kern w:val="0"/>
          <w:sz w:val="24"/>
        </w:rPr>
        <w:t>（含税）；</w:t>
      </w:r>
    </w:p>
    <w:p w14:paraId="74FC3C9E">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人工费为</w:t>
      </w:r>
      <w:r>
        <w:rPr>
          <w:rFonts w:hint="eastAsia" w:ascii="宋体" w:hAnsi="宋体" w:eastAsia="宋体" w:cs="宋体"/>
          <w:bCs/>
          <w:sz w:val="24"/>
        </w:rPr>
        <w:t>¥</w:t>
      </w:r>
      <w:r>
        <w:rPr>
          <w:rFonts w:hint="eastAsia" w:ascii="宋体" w:hAnsi="宋体" w:eastAsia="宋体" w:cs="宋体"/>
          <w:bCs/>
          <w:snapToGrid w:val="0"/>
          <w:kern w:val="0"/>
          <w:sz w:val="24"/>
          <w:u w:val="single"/>
        </w:rPr>
        <w:t>【不含税人工费】</w:t>
      </w:r>
      <w:r>
        <w:rPr>
          <w:rFonts w:hint="eastAsia" w:ascii="宋体" w:hAnsi="宋体" w:eastAsia="宋体" w:cs="宋体"/>
          <w:bCs/>
          <w:snapToGrid w:val="0"/>
          <w:kern w:val="0"/>
          <w:sz w:val="24"/>
        </w:rPr>
        <w:t>（不含税）。</w:t>
      </w:r>
    </w:p>
    <w:p w14:paraId="0BAE63BA">
      <w:pPr>
        <w:autoSpaceDE w:val="0"/>
        <w:autoSpaceDN w:val="0"/>
        <w:adjustRightInd w:val="0"/>
        <w:snapToGrid w:val="0"/>
        <w:spacing w:line="440" w:lineRule="exact"/>
        <w:ind w:right="11" w:firstLine="461"/>
        <w:outlineLvl w:val="3"/>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25.1合同价款按照合同协议书第6条和本条第25.2款的约定执行。</w:t>
      </w:r>
    </w:p>
    <w:p w14:paraId="3C348075">
      <w:pPr>
        <w:autoSpaceDE w:val="0"/>
        <w:autoSpaceDN w:val="0"/>
        <w:adjustRightInd w:val="0"/>
        <w:snapToGrid w:val="0"/>
        <w:spacing w:line="440" w:lineRule="exact"/>
        <w:ind w:right="11" w:firstLine="461"/>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25.2</w:t>
      </w:r>
      <w:r>
        <w:rPr>
          <w:rFonts w:hint="eastAsia" w:ascii="宋体" w:hAnsi="宋体" w:eastAsia="宋体" w:cs="宋体"/>
          <w:snapToGrid w:val="0"/>
          <w:kern w:val="0"/>
          <w:sz w:val="24"/>
          <w:lang w:val="zh-CN"/>
        </w:rPr>
        <w:t>确定合同价款的方式</w:t>
      </w:r>
      <w:r>
        <w:rPr>
          <w:rFonts w:hint="eastAsia" w:ascii="宋体" w:hAnsi="宋体" w:eastAsia="宋体" w:cs="宋体"/>
          <w:snapToGrid w:val="0"/>
          <w:kern w:val="0"/>
          <w:sz w:val="24"/>
        </w:rPr>
        <w:t>：</w:t>
      </w:r>
    </w:p>
    <w:p w14:paraId="4530D096">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lang w:val="zh-CN"/>
        </w:rPr>
        <w:t>采用合同协议书第2.</w:t>
      </w:r>
      <w:r>
        <w:rPr>
          <w:rFonts w:hint="eastAsia" w:ascii="宋体" w:hAnsi="宋体" w:eastAsia="宋体" w:cs="宋体"/>
          <w:snapToGrid w:val="0"/>
          <w:kern w:val="0"/>
          <w:sz w:val="24"/>
        </w:rPr>
        <w:t>2</w:t>
      </w:r>
      <w:r>
        <w:rPr>
          <w:rFonts w:hint="eastAsia" w:ascii="宋体" w:hAnsi="宋体" w:eastAsia="宋体" w:cs="宋体"/>
          <w:snapToGrid w:val="0"/>
          <w:kern w:val="0"/>
          <w:sz w:val="24"/>
          <w:lang w:val="zh-CN"/>
        </w:rPr>
        <w:t>款约定、</w:t>
      </w:r>
      <w:r>
        <w:rPr>
          <w:rFonts w:hint="eastAsia" w:ascii="宋体" w:hAnsi="宋体" w:eastAsia="宋体" w:cs="宋体"/>
          <w:snapToGrid w:val="0"/>
          <w:kern w:val="0"/>
          <w:sz w:val="24"/>
        </w:rPr>
        <w:t>本条第25.3款的约定执行</w:t>
      </w:r>
      <w:r>
        <w:rPr>
          <w:rFonts w:hint="eastAsia" w:ascii="宋体" w:hAnsi="宋体" w:eastAsia="宋体" w:cs="宋体"/>
          <w:bCs/>
          <w:snapToGrid w:val="0"/>
          <w:kern w:val="0"/>
          <w:sz w:val="24"/>
        </w:rPr>
        <w:t>，最终按结算终审单位审定价结算。</w:t>
      </w:r>
    </w:p>
    <w:p w14:paraId="7CBEDA4A">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承包人与发包人一致同意不适用合同通用条款第25.3、25.4款的约定，代之以：</w:t>
      </w:r>
    </w:p>
    <w:p w14:paraId="40C933E1">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25.3综合单价包干的合同价款的调整</w:t>
      </w:r>
    </w:p>
    <w:p w14:paraId="01D82744">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25.3.1合同价款的调整按照如下约定执行：</w:t>
      </w:r>
    </w:p>
    <w:p w14:paraId="5C671E17">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（1）承包人应在下列情况发生后5天内将调整原因、金额以书面形式报送监理单位，监理单位审核并签署意见后报送发包人，经监理单位和发包人批准后作为调整合同价款及拨付工程进度款的依据：</w:t>
      </w:r>
    </w:p>
    <w:p w14:paraId="7AFA2FA5">
      <w:pPr>
        <w:adjustRightInd w:val="0"/>
        <w:snapToGrid w:val="0"/>
        <w:spacing w:line="440" w:lineRule="exact"/>
        <w:ind w:right="11" w:firstLine="580" w:firstLineChars="242"/>
        <w:rPr>
          <w:rFonts w:hint="eastAsia" w:ascii="宋体" w:hAnsi="宋体" w:eastAsia="宋体" w:cs="宋体"/>
          <w:snapToGrid w:val="0"/>
          <w:kern w:val="0"/>
          <w:sz w:val="24"/>
        </w:rPr>
      </w:pPr>
      <w:r>
        <w:rPr>
          <w:rFonts w:hint="eastAsia" w:ascii="宋体" w:hAnsi="宋体" w:eastAsia="宋体" w:cs="宋体"/>
          <w:snapToGrid w:val="0"/>
          <w:kern w:val="0"/>
          <w:sz w:val="24"/>
        </w:rPr>
        <w:t>1）发包人及监理单位共同确认的工程量增减。</w:t>
      </w:r>
    </w:p>
    <w:p w14:paraId="6B02D53C">
      <w:pPr>
        <w:adjustRightInd w:val="0"/>
        <w:snapToGrid w:val="0"/>
        <w:spacing w:line="440" w:lineRule="exact"/>
        <w:ind w:right="11" w:firstLine="580" w:firstLineChars="242"/>
        <w:rPr>
          <w:rFonts w:hint="eastAsia" w:ascii="宋体" w:hAnsi="宋体" w:eastAsia="宋体" w:cs="宋体"/>
          <w:snapToGrid w:val="0"/>
          <w:kern w:val="0"/>
          <w:sz w:val="24"/>
        </w:rPr>
      </w:pPr>
      <w:r>
        <w:rPr>
          <w:rFonts w:hint="eastAsia" w:ascii="宋体" w:hAnsi="宋体" w:eastAsia="宋体" w:cs="宋体"/>
          <w:snapToGrid w:val="0"/>
          <w:kern w:val="0"/>
          <w:sz w:val="24"/>
        </w:rPr>
        <w:t>2）发包人及监理单位共同确认的变更工程和新增工程。</w:t>
      </w:r>
    </w:p>
    <w:p w14:paraId="66BB4838">
      <w:pPr>
        <w:adjustRightInd w:val="0"/>
        <w:snapToGrid w:val="0"/>
        <w:spacing w:line="440" w:lineRule="exact"/>
        <w:ind w:right="11"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（2）所有变更工程和新增工程的单价或价格，均按照合同专用条款第33条执行。</w:t>
      </w:r>
    </w:p>
    <w:p w14:paraId="39CE7C10">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25.3.2材料的计价调整</w:t>
      </w:r>
    </w:p>
    <w:p w14:paraId="417A44FC">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25.3.2.1承包人造成招投标时所定材料的品牌、规格、型号等发生变化的：</w:t>
      </w:r>
    </w:p>
    <w:p w14:paraId="0AB542DA">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A、调整原则：计价单价不能高于承包人在投标时经审定的投标报价；品质不能低于招标文件原要求。</w:t>
      </w:r>
    </w:p>
    <w:p w14:paraId="66D26DB9">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B、所有材料的调整都必须经发包人批准，承包人必须提供三家以上（含三家）符合调整原则的材料厂家供发包人选定。</w:t>
      </w:r>
    </w:p>
    <w:p w14:paraId="31C84BD1">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25.3.2.2发包人发起的材料改变，应按实际价格标准对原合同价款进行调整。</w:t>
      </w:r>
    </w:p>
    <w:p w14:paraId="6C116332">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25.3.2.3合同清单中没有的材料价格调整顺序。</w:t>
      </w:r>
    </w:p>
    <w:p w14:paraId="72175FEF">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（1）合同内有的材料、设备价则沿用原价格。</w:t>
      </w:r>
    </w:p>
    <w:p w14:paraId="05C84DE3">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（2）按信息价基准期的广州地区建设工程常用材料（即广州市造价站颁发的信息价）税前综合价格执行计价。</w:t>
      </w:r>
    </w:p>
    <w:p w14:paraId="7060ACE4">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（3）按信息价基准期的</w:t>
      </w:r>
      <w:r>
        <w:rPr>
          <w:rFonts w:hint="eastAsia" w:ascii="宋体" w:hAnsi="宋体" w:eastAsia="宋体" w:cs="宋体"/>
          <w:bCs/>
          <w:snapToGrid w:val="0"/>
          <w:kern w:val="0"/>
          <w:sz w:val="24"/>
        </w:rPr>
        <w:t>广州市工</w:t>
      </w:r>
      <w:r>
        <w:rPr>
          <w:rFonts w:hint="eastAsia" w:ascii="宋体" w:hAnsi="宋体" w:eastAsia="宋体" w:cs="宋体"/>
          <w:snapToGrid w:val="0"/>
          <w:kern w:val="0"/>
          <w:sz w:val="24"/>
        </w:rPr>
        <w:t>程造价行业协会发布的《广州地区建设工程材料（设备）厂商价格信息》综合价格下浮20%执行计价。</w:t>
      </w:r>
    </w:p>
    <w:p w14:paraId="47D5A635">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4</w:t>
      </w:r>
      <w:r>
        <w:rPr>
          <w:rFonts w:hint="eastAsia" w:ascii="宋体" w:hAnsi="宋体" w:eastAsia="宋体" w:cs="宋体"/>
          <w:snapToGrid w:val="0"/>
          <w:kern w:val="0"/>
          <w:sz w:val="24"/>
        </w:rPr>
        <w:t>）以上3点都没有的主材价要求承包人报送三家以上符合设计要求的产品资料和报价给发包人，经发包人审核后确定材料价。</w:t>
      </w:r>
    </w:p>
    <w:p w14:paraId="6A561100">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5</w:t>
      </w:r>
      <w:r>
        <w:rPr>
          <w:rFonts w:hint="eastAsia" w:ascii="宋体" w:hAnsi="宋体" w:eastAsia="宋体" w:cs="宋体"/>
          <w:snapToGrid w:val="0"/>
          <w:kern w:val="0"/>
          <w:sz w:val="24"/>
        </w:rPr>
        <w:t>）通过竞价的方式确定价格或由发包人另行招标确定价格。</w:t>
      </w:r>
    </w:p>
    <w:p w14:paraId="33E8CBF8">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25.3.2.4本合同材料价差调整采用以下第</w:t>
      </w:r>
      <w:r>
        <w:rPr>
          <w:rFonts w:hint="eastAsia" w:ascii="宋体" w:hAnsi="宋体" w:eastAsia="宋体" w:cs="宋体"/>
          <w:snapToGrid w:val="0"/>
          <w:kern w:val="0"/>
          <w:sz w:val="24"/>
          <w:u w:val="single"/>
        </w:rPr>
        <w:t>（1）</w:t>
      </w:r>
      <w:r>
        <w:rPr>
          <w:rFonts w:hint="eastAsia" w:ascii="宋体" w:hAnsi="宋体" w:eastAsia="宋体" w:cs="宋体"/>
          <w:snapToGrid w:val="0"/>
          <w:kern w:val="0"/>
          <w:sz w:val="24"/>
        </w:rPr>
        <w:t>种方式：</w:t>
      </w:r>
    </w:p>
    <w:p w14:paraId="75FC2141">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（1）本合同不调整材料价差。</w:t>
      </w:r>
    </w:p>
    <w:p w14:paraId="39D2B16F">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（2）本合同可以调整主要材料的价差，具体如下：</w:t>
      </w:r>
    </w:p>
    <w:p w14:paraId="62EDB1EF">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主要材料〈可调整材料费范围仅限于钢材（含钢筋）、预拌混凝土（含砂浆）、水泥、砂、碎石（石屑）、混凝土制品（如混凝土砌块、预制管桩、沥青混凝土等）、砌块、电线电缆、母线槽、玻璃〉价格涨跌幅度超过5%时，调价原则为：承包人承担主要材料涨跌幅度在5%以内（含5%）的风险，不予调价；当某一种主要材料价格上涨幅度超过5%时，超出5%的部分由发包人计取增加款项给承包人（如上涨幅度7%时，只计取增加款项2%）；当某一种主要材料价格下跌幅度超过5%时，超出5%的部分扣除承包人价差款（如下跌幅度7%时，只扣除价差款2%），价差调整根据广州市建设工程造价管理站公布的材料信息价进行调价，不采用材料采购价进行调整。价格涨跌幅度的计算按广州市建设工程造价管理站发布的价格信息并结合各施工时期某种主要材料用量计算。计算原则如下:</w:t>
      </w:r>
    </w:p>
    <w:p w14:paraId="53D00A05">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A、材料价变动期T：原则上按本工程的开工令至工程完工的工期计取。如涉及调差材料的单项工程提前完工，则按该单项工程工期计算材料价差，其他单项工程工期则不计算。计算材料价变动期T时，超过15天计算1个月，不足15天不计。停工期内不计算材料调差。</w:t>
      </w:r>
    </w:p>
    <w:p w14:paraId="6F1D46BE">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B、计算公式分两种情况</w:t>
      </w:r>
    </w:p>
    <w:p w14:paraId="512FDA90">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a、当材料价变动期T&lt;=12个月</w:t>
      </w:r>
    </w:p>
    <w:p w14:paraId="33E0A3C0">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 xml:space="preserve">调差材料（n）信息价基准期的信息价（参考广州市工程造价信息的材料综合价格）作为基准价An。当本工程完工后，则先计算该材料价变动期T内各个月份该材料信息价的算术平均价，该平均值即作为对比价Bn。  </w:t>
      </w:r>
    </w:p>
    <w:p w14:paraId="4BF6C3A2">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当n材料价格上涨，且△Cn&gt;0时,  △Cn= Bn-An*1.05；</w:t>
      </w:r>
    </w:p>
    <w:p w14:paraId="54BBF13F">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当n材料价格下跌, 且△Cn&lt;0时， △Cn= Bn-An*0.95；</w:t>
      </w:r>
    </w:p>
    <w:p w14:paraId="4922DE18">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材料（n）调差金额Zn=Gn*△C</w:t>
      </w:r>
    </w:p>
    <w:p w14:paraId="59AF2140">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n种材料调差总额Z=∑（Z1+Z2+...+Zn）</w:t>
      </w:r>
    </w:p>
    <w:p w14:paraId="2E9B689F">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△Cn:材料（n）价差</w:t>
      </w:r>
    </w:p>
    <w:p w14:paraId="1B096378">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Gn:按审定的材料结算工程量（最终以终审单位审定的结算工程量抽料计算为准）；</w:t>
      </w:r>
    </w:p>
    <w:p w14:paraId="5239C5EA">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b、当材料价变动期T &gt;12个月</w:t>
      </w:r>
    </w:p>
    <w:p w14:paraId="0D6A7B40">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调差材料（n）信息价基准期的信息价（参考广州市工程造价信息的材料综合价格）作为基准价An。当本工程完工后，则先将材料价变动期T分为若干期，以六个月为一期，不足六个月按实际月份作为一期，计算第i期内各材料的对比价Bni（即该材料第i期内各个月份信息价的算术平均价）。具体如下:</w:t>
      </w:r>
    </w:p>
    <w:p w14:paraId="4907068A">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第i期价差  当n材料价格上涨，且△Cni &gt;0时,  △Cni= Bni-An*1.05；</w:t>
      </w:r>
    </w:p>
    <w:p w14:paraId="2D92B021">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当n材料价格下跌, 且△Cni&lt;0时， △Cni= Bni-An*0.95；</w:t>
      </w:r>
    </w:p>
    <w:p w14:paraId="6F7BAD37">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第i期n种材料调差金额Zi=∑（G1*△C1+G2*△C2+..+Gni*△Cni）</w:t>
      </w:r>
    </w:p>
    <w:p w14:paraId="76B0FEE7">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 xml:space="preserve">变动期T内材料调差总额Z=∑（Z1+Z2+...+Zi） </w:t>
      </w:r>
    </w:p>
    <w:p w14:paraId="7F2FE1B8">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△Cni:第i期材料（n）价差</w:t>
      </w:r>
    </w:p>
    <w:p w14:paraId="6AF34F25">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Gni:第i期按审定的材料结算工程量（最终以终审单位审定的结算工程量抽料计算为准）；</w:t>
      </w:r>
    </w:p>
    <w:p w14:paraId="13302FA9">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C、除上述调差主材外，其他材料价格不予调整；</w:t>
      </w:r>
    </w:p>
    <w:p w14:paraId="3AA12B8E">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D、当某一种主要材料中标清单内对应的材料价格超过对比价Bn，材料价格不予调整；</w:t>
      </w:r>
    </w:p>
    <w:p w14:paraId="5410B329">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E、分期计算材料价差的情况，需发包方及监理单位确认每期的形象进度，以作为各期计算调差材料工程量的依据；</w:t>
      </w:r>
    </w:p>
    <w:p w14:paraId="02D70D5D">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napToGrid w:val="0"/>
          <w:kern w:val="0"/>
          <w:sz w:val="24"/>
        </w:rPr>
        <w:t>F、调增（减）造价含规费及税金，由承包人申报，经发包人初审，并按相关规定完成有关审批程序后，可在进度款支付时向承包人计取增加款项或扣回承包人该部分调（减）造价。</w:t>
      </w:r>
    </w:p>
    <w:p w14:paraId="0F284C87">
      <w:pPr>
        <w:adjustRightInd w:val="0"/>
        <w:snapToGrid w:val="0"/>
        <w:spacing w:line="440" w:lineRule="exact"/>
        <w:ind w:right="11" w:firstLine="463" w:firstLineChars="192"/>
        <w:rPr>
          <w:rFonts w:hint="eastAsia" w:ascii="宋体" w:hAnsi="宋体" w:eastAsia="宋体" w:cs="宋体"/>
          <w:snapToGrid w:val="0"/>
          <w:kern w:val="0"/>
          <w:sz w:val="24"/>
        </w:rPr>
      </w:pPr>
      <w:r>
        <w:rPr>
          <w:rFonts w:hint="eastAsia" w:ascii="宋体" w:hAnsi="宋体" w:eastAsia="宋体" w:cs="宋体"/>
          <w:b/>
          <w:snapToGrid w:val="0"/>
          <w:kern w:val="0"/>
          <w:sz w:val="24"/>
        </w:rPr>
        <w:t>承包人与发包人一致同意增加25.5至25.</w:t>
      </w:r>
      <w:r>
        <w:rPr>
          <w:rFonts w:ascii="宋体" w:hAnsi="宋体" w:eastAsia="宋体" w:cs="宋体"/>
          <w:b/>
          <w:snapToGrid w:val="0"/>
          <w:kern w:val="0"/>
          <w:sz w:val="24"/>
        </w:rPr>
        <w:t>8</w:t>
      </w:r>
      <w:r>
        <w:rPr>
          <w:rFonts w:hint="eastAsia" w:ascii="宋体" w:hAnsi="宋体" w:eastAsia="宋体" w:cs="宋体"/>
          <w:b/>
          <w:snapToGrid w:val="0"/>
          <w:kern w:val="0"/>
          <w:sz w:val="24"/>
        </w:rPr>
        <w:t>：</w:t>
      </w:r>
    </w:p>
    <w:p w14:paraId="180CA32D">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25.5工程签证的计价</w:t>
      </w:r>
    </w:p>
    <w:p w14:paraId="37DCAE72">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当发包人书面指令必须进行工程签证时，所有工程签证必须在发生后3天内经发包人和监理单位现场核实计量后签字并盖章确认，承包人根据工程签证确认的工程量7天内编制预算报监理单位审核，监理单位7天内提出造价审核意见报发包人，并由发包人签字盖章确认。凡是没有经过发包人和监理单位签字并盖章确认的工程签证，其增加的费用不予确认。结算时工程签证的计价以结算终审单位的审定为准。</w:t>
      </w:r>
    </w:p>
    <w:p w14:paraId="281D0EA0">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38.7、38.8款承担违约责任。</w:t>
      </w:r>
    </w:p>
    <w:p w14:paraId="09E58412">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25.7暂列金额、暂估价</w:t>
      </w:r>
    </w:p>
    <w:p w14:paraId="45085A77">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25.7.1在工程实施中，暂估价所包含的工作范围和图纸、标准深化固定后，如达到法定招标范围标准时，由发包人进行招标。</w:t>
      </w:r>
    </w:p>
    <w:p w14:paraId="6C835C59">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25.7.2在工程实施中，暂估价所包含的工作范围如由其他承包人承包的，纳入本合同承包人的管理和协调范围，由其他承包人向本合同承包人承担质量、安全、文明施工、工期责任，本合同承包人向发包人承担连带责任。承包人已充分考虑此项管理和协调所发生的费用，并按照合同专用条款第25.8款执行。</w:t>
      </w:r>
    </w:p>
    <w:p w14:paraId="52A5DEE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25.7.3暂列金额、暂估价项目结算申请、结算资料提交应与承包合同结算一并申请、提交，但暂列金额、暂估价项目的结算资料应独立分册整理、装订。</w:t>
      </w:r>
    </w:p>
    <w:p w14:paraId="26762355">
      <w:pPr>
        <w:pStyle w:val="37"/>
        <w:adjustRightInd w:val="0"/>
        <w:snapToGrid w:val="0"/>
        <w:spacing w:before="0" w:beforeAutospacing="0" w:after="0" w:afterAutospacing="0" w:line="440" w:lineRule="exact"/>
        <w:ind w:firstLine="482" w:firstLineChars="200"/>
        <w:outlineLvl w:val="3"/>
        <w:rPr>
          <w:rFonts w:hint="eastAsia" w:eastAsia="宋体" w:cs="宋体"/>
          <w:b/>
          <w:snapToGrid w:val="0"/>
        </w:rPr>
      </w:pPr>
      <w:r>
        <w:rPr>
          <w:rFonts w:hint="eastAsia" w:eastAsia="宋体" w:cs="宋体"/>
          <w:b/>
          <w:snapToGrid w:val="0"/>
        </w:rPr>
        <w:t>承包人与发包人一致同意不适用合同通用条款第26条的约定，代之以：</w:t>
      </w:r>
    </w:p>
    <w:p w14:paraId="1D363645">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76" w:name="_Toc6204"/>
      <w:bookmarkStart w:id="577" w:name="_Toc176192820"/>
      <w:bookmarkStart w:id="578" w:name="_Toc397364922"/>
      <w:bookmarkStart w:id="579" w:name="_Toc18776"/>
      <w:r>
        <w:rPr>
          <w:rFonts w:hint="eastAsia" w:ascii="宋体" w:hAnsi="宋体" w:eastAsia="宋体" w:cs="宋体"/>
          <w:b/>
          <w:snapToGrid w:val="0"/>
          <w:kern w:val="0"/>
          <w:sz w:val="24"/>
        </w:rPr>
        <w:t>26、工程预付款</w:t>
      </w:r>
      <w:bookmarkEnd w:id="576"/>
      <w:bookmarkEnd w:id="577"/>
      <w:bookmarkEnd w:id="578"/>
      <w:bookmarkEnd w:id="579"/>
    </w:p>
    <w:p w14:paraId="43CCA5FF">
      <w:pPr>
        <w:pStyle w:val="37"/>
        <w:adjustRightInd w:val="0"/>
        <w:snapToGrid w:val="0"/>
        <w:spacing w:before="0" w:beforeAutospacing="0" w:after="0" w:afterAutospacing="0" w:line="440" w:lineRule="exact"/>
        <w:ind w:firstLine="480" w:firstLineChars="200"/>
        <w:outlineLvl w:val="3"/>
        <w:rPr>
          <w:rFonts w:hint="eastAsia" w:eastAsia="宋体" w:cs="宋体"/>
          <w:b/>
          <w:snapToGrid w:val="0"/>
          <w:u w:val="single"/>
        </w:rPr>
      </w:pPr>
      <w:r>
        <w:rPr>
          <w:rFonts w:hint="eastAsia" w:eastAsia="宋体" w:cs="宋体"/>
          <w:snapToGrid w:val="0"/>
        </w:rPr>
        <w:t>26.1承包人在本合同签订后15天内，按合同专用条款第44条的要求向发包人提交履约担保（担保金额为合同价的</w:t>
      </w:r>
      <w:r>
        <w:rPr>
          <w:rFonts w:hint="eastAsia" w:eastAsia="宋体" w:cs="宋体"/>
          <w:snapToGrid w:val="0"/>
          <w:u w:val="single"/>
        </w:rPr>
        <w:t>10%</w:t>
      </w:r>
      <w:r>
        <w:rPr>
          <w:rFonts w:hint="eastAsia" w:eastAsia="宋体" w:cs="宋体"/>
          <w:snapToGrid w:val="0"/>
        </w:rPr>
        <w:t>，即</w:t>
      </w:r>
      <w:r>
        <w:rPr>
          <w:rFonts w:hint="eastAsia" w:eastAsia="宋体" w:cs="宋体"/>
        </w:rPr>
        <w:t>¥</w:t>
      </w:r>
      <w:bookmarkStart w:id="580" w:name="_Hlk176189231"/>
      <w:r>
        <w:rPr>
          <w:rFonts w:hint="eastAsia" w:eastAsia="宋体" w:cs="宋体"/>
          <w:snapToGrid w:val="0"/>
          <w:u w:val="single"/>
        </w:rPr>
        <w:t xml:space="preserve">         </w:t>
      </w:r>
      <w:bookmarkEnd w:id="580"/>
      <w:r>
        <w:rPr>
          <w:rFonts w:hint="eastAsia" w:eastAsia="宋体" w:cs="宋体"/>
          <w:snapToGrid w:val="0"/>
        </w:rPr>
        <w:t>）后可申请支付合同价</w:t>
      </w:r>
      <w:bookmarkStart w:id="581" w:name="_Hlk140416991"/>
      <w:r>
        <w:rPr>
          <w:rFonts w:hint="eastAsia" w:eastAsia="宋体" w:cs="宋体"/>
          <w:snapToGrid w:val="0"/>
        </w:rPr>
        <w:t>（扣除暂估价）</w:t>
      </w:r>
      <w:bookmarkEnd w:id="581"/>
      <w:r>
        <w:rPr>
          <w:rFonts w:hint="eastAsia" w:eastAsia="宋体" w:cs="宋体"/>
          <w:snapToGrid w:val="0"/>
        </w:rPr>
        <w:t>的</w:t>
      </w:r>
      <w:r>
        <w:rPr>
          <w:rFonts w:hint="eastAsia" w:eastAsia="宋体" w:cs="宋体"/>
          <w:snapToGrid w:val="0"/>
          <w:u w:val="single"/>
        </w:rPr>
        <w:t>20%</w:t>
      </w:r>
      <w:r>
        <w:rPr>
          <w:rFonts w:hint="eastAsia" w:eastAsia="宋体" w:cs="宋体"/>
          <w:snapToGrid w:val="0"/>
        </w:rPr>
        <w:t>作为工程预付款（其中工人工资款</w:t>
      </w:r>
      <w:r>
        <w:rPr>
          <w:rFonts w:hint="eastAsia" w:eastAsia="宋体" w:cs="宋体"/>
        </w:rPr>
        <w:t>划拨至承包人设立的工人工资款支付专用账户</w:t>
      </w:r>
      <w:r>
        <w:rPr>
          <w:rFonts w:hint="eastAsia" w:eastAsia="宋体" w:cs="宋体"/>
          <w:snapToGrid w:val="0"/>
        </w:rPr>
        <w:t>：工人工资款比例参照施工招标的《中标通知书》中单列的人工费金额除以中标金额再乘以</w:t>
      </w:r>
      <w:r>
        <w:rPr>
          <w:rFonts w:hint="eastAsia" w:eastAsia="宋体" w:cs="宋体"/>
          <w:snapToGrid w:val="0"/>
          <w:u w:val="single"/>
        </w:rPr>
        <w:t>20%</w:t>
      </w:r>
      <w:r>
        <w:rPr>
          <w:rFonts w:hint="eastAsia" w:eastAsia="宋体" w:cs="宋体"/>
          <w:snapToGrid w:val="0"/>
        </w:rPr>
        <w:t>计算，计算出不超过中标金额1%的则按中标金额的1%计）。暂估价部分确定由承包人实施的，承包人可申请支付暂估价金额的</w:t>
      </w:r>
      <w:r>
        <w:rPr>
          <w:rFonts w:hint="eastAsia" w:eastAsia="宋体" w:cs="宋体"/>
          <w:snapToGrid w:val="0"/>
          <w:u w:val="single"/>
        </w:rPr>
        <w:t>20%</w:t>
      </w:r>
      <w:r>
        <w:rPr>
          <w:rFonts w:hint="eastAsia" w:eastAsia="宋体" w:cs="宋体"/>
          <w:snapToGrid w:val="0"/>
        </w:rPr>
        <w:t>作为暂估价工程预付款。</w:t>
      </w:r>
    </w:p>
    <w:p w14:paraId="1D08F291">
      <w:pPr>
        <w:pStyle w:val="22"/>
        <w:adjustRightInd w:val="0"/>
        <w:snapToGrid w:val="0"/>
        <w:spacing w:line="440" w:lineRule="exact"/>
        <w:ind w:firstLine="480" w:firstLineChars="200"/>
        <w:outlineLvl w:val="3"/>
        <w:rPr>
          <w:rFonts w:hint="eastAsia" w:hAnsi="宋体" w:eastAsia="宋体" w:cs="宋体"/>
          <w:snapToGrid w:val="0"/>
          <w:kern w:val="0"/>
          <w:sz w:val="24"/>
        </w:rPr>
      </w:pPr>
      <w:r>
        <w:rPr>
          <w:rFonts w:hint="eastAsia" w:hAnsi="宋体" w:eastAsia="宋体" w:cs="宋体"/>
          <w:snapToGrid w:val="0"/>
          <w:kern w:val="0"/>
          <w:sz w:val="24"/>
        </w:rPr>
        <w:t>26.4承包人应将预付款专用于实施本工程所需的施工机械、材料设备及人员费用，同时立即办理施工许可证。并向总监理工程师提交发票或其他证明文件的副本以证明预付款确实专款专用，否则应按合同专用条款第38.15款承担违约责任。</w:t>
      </w:r>
    </w:p>
    <w:p w14:paraId="7B4E70BA">
      <w:pPr>
        <w:pStyle w:val="22"/>
        <w:adjustRightInd w:val="0"/>
        <w:snapToGrid w:val="0"/>
        <w:spacing w:line="440" w:lineRule="exact"/>
        <w:ind w:left="120" w:leftChars="57" w:firstLine="360" w:firstLineChars="150"/>
        <w:outlineLvl w:val="3"/>
        <w:rPr>
          <w:rFonts w:hint="eastAsia" w:hAnsi="宋体" w:eastAsia="宋体" w:cs="宋体"/>
          <w:snapToGrid w:val="0"/>
          <w:kern w:val="0"/>
          <w:sz w:val="24"/>
        </w:rPr>
      </w:pPr>
      <w:r>
        <w:rPr>
          <w:rFonts w:hint="eastAsia" w:hAnsi="宋体" w:eastAsia="宋体" w:cs="宋体"/>
          <w:snapToGrid w:val="0"/>
          <w:kern w:val="0"/>
          <w:sz w:val="24"/>
        </w:rPr>
        <w:t>26.5预付款扣回的时间和比例为：</w:t>
      </w:r>
    </w:p>
    <w:tbl>
      <w:tblPr>
        <w:tblStyle w:val="40"/>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7"/>
        <w:gridCol w:w="2410"/>
        <w:gridCol w:w="1985"/>
      </w:tblGrid>
      <w:tr w14:paraId="6BC2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7" w:type="dxa"/>
          </w:tcPr>
          <w:p w14:paraId="0B47776D">
            <w:pPr>
              <w:snapToGrid w:val="0"/>
              <w:spacing w:line="440" w:lineRule="exact"/>
              <w:ind w:left="360" w:hanging="360" w:hangingChars="150"/>
              <w:jc w:val="center"/>
              <w:rPr>
                <w:rFonts w:hint="eastAsia" w:ascii="宋体" w:hAnsi="宋体" w:eastAsia="宋体" w:cs="宋体"/>
                <w:sz w:val="24"/>
              </w:rPr>
            </w:pPr>
            <w:r>
              <w:rPr>
                <w:rFonts w:hint="eastAsia" w:ascii="宋体" w:hAnsi="宋体" w:eastAsia="宋体" w:cs="宋体"/>
                <w:sz w:val="24"/>
              </w:rPr>
              <w:t>已完工作量与承包合同价（扣除暂估价）之比</w:t>
            </w:r>
          </w:p>
        </w:tc>
        <w:tc>
          <w:tcPr>
            <w:tcW w:w="2410" w:type="dxa"/>
            <w:vAlign w:val="center"/>
          </w:tcPr>
          <w:p w14:paraId="4FBD3AC8">
            <w:pPr>
              <w:snapToGrid w:val="0"/>
              <w:spacing w:line="440" w:lineRule="exact"/>
              <w:jc w:val="center"/>
              <w:rPr>
                <w:rFonts w:hint="eastAsia" w:ascii="宋体" w:hAnsi="宋体" w:eastAsia="宋体" w:cs="宋体"/>
                <w:sz w:val="24"/>
              </w:rPr>
            </w:pPr>
            <w:r>
              <w:rPr>
                <w:rFonts w:hint="eastAsia" w:ascii="宋体" w:hAnsi="宋体" w:eastAsia="宋体" w:cs="宋体"/>
                <w:sz w:val="24"/>
              </w:rPr>
              <w:t>扣回预付款的比例</w:t>
            </w:r>
          </w:p>
        </w:tc>
        <w:tc>
          <w:tcPr>
            <w:tcW w:w="1985" w:type="dxa"/>
            <w:vAlign w:val="center"/>
          </w:tcPr>
          <w:p w14:paraId="2984EE9D">
            <w:pPr>
              <w:snapToGrid w:val="0"/>
              <w:spacing w:line="440" w:lineRule="exact"/>
              <w:jc w:val="center"/>
              <w:rPr>
                <w:rFonts w:hint="eastAsia" w:ascii="宋体" w:hAnsi="宋体" w:eastAsia="宋体" w:cs="宋体"/>
                <w:sz w:val="24"/>
              </w:rPr>
            </w:pPr>
            <w:r>
              <w:rPr>
                <w:rFonts w:hint="eastAsia" w:ascii="宋体" w:hAnsi="宋体" w:eastAsia="宋体" w:cs="宋体"/>
                <w:sz w:val="24"/>
              </w:rPr>
              <w:t>累计扣回比例</w:t>
            </w:r>
          </w:p>
        </w:tc>
      </w:tr>
      <w:tr w14:paraId="20700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28C08ED4">
            <w:pPr>
              <w:snapToGrid w:val="0"/>
              <w:spacing w:line="440" w:lineRule="exact"/>
              <w:jc w:val="center"/>
              <w:rPr>
                <w:rFonts w:hint="eastAsia" w:ascii="宋体" w:hAnsi="宋体" w:eastAsia="宋体" w:cs="宋体"/>
                <w:sz w:val="24"/>
              </w:rPr>
            </w:pPr>
            <w:r>
              <w:rPr>
                <w:rFonts w:hint="eastAsia" w:ascii="宋体" w:hAnsi="宋体" w:eastAsia="宋体" w:cs="宋体"/>
                <w:sz w:val="24"/>
              </w:rPr>
              <w:t>20%≤a＜30%</w:t>
            </w:r>
          </w:p>
        </w:tc>
        <w:tc>
          <w:tcPr>
            <w:tcW w:w="2410" w:type="dxa"/>
            <w:vAlign w:val="center"/>
          </w:tcPr>
          <w:p w14:paraId="7E343573">
            <w:pPr>
              <w:snapToGrid w:val="0"/>
              <w:spacing w:line="440" w:lineRule="exact"/>
              <w:jc w:val="center"/>
              <w:rPr>
                <w:rFonts w:hint="eastAsia" w:ascii="宋体" w:hAnsi="宋体" w:eastAsia="宋体" w:cs="宋体"/>
                <w:sz w:val="24"/>
              </w:rPr>
            </w:pPr>
            <w:r>
              <w:rPr>
                <w:rFonts w:ascii="宋体" w:hAnsi="宋体" w:eastAsia="宋体" w:cs="宋体"/>
                <w:sz w:val="24"/>
              </w:rPr>
              <w:t>25</w:t>
            </w:r>
            <w:r>
              <w:rPr>
                <w:rFonts w:hint="eastAsia" w:ascii="宋体" w:hAnsi="宋体" w:eastAsia="宋体" w:cs="宋体"/>
                <w:sz w:val="24"/>
              </w:rPr>
              <w:t>%</w:t>
            </w:r>
          </w:p>
        </w:tc>
        <w:tc>
          <w:tcPr>
            <w:tcW w:w="1985" w:type="dxa"/>
            <w:vAlign w:val="center"/>
          </w:tcPr>
          <w:p w14:paraId="33F38632">
            <w:pPr>
              <w:snapToGrid w:val="0"/>
              <w:spacing w:line="440" w:lineRule="exact"/>
              <w:jc w:val="center"/>
              <w:rPr>
                <w:rFonts w:hint="eastAsia" w:ascii="宋体" w:hAnsi="宋体" w:eastAsia="宋体" w:cs="宋体"/>
                <w:sz w:val="24"/>
              </w:rPr>
            </w:pPr>
            <w:r>
              <w:rPr>
                <w:rFonts w:ascii="宋体" w:hAnsi="宋体" w:eastAsia="宋体" w:cs="宋体"/>
                <w:sz w:val="24"/>
              </w:rPr>
              <w:t>25</w:t>
            </w:r>
            <w:r>
              <w:rPr>
                <w:rFonts w:hint="eastAsia" w:ascii="宋体" w:hAnsi="宋体" w:eastAsia="宋体" w:cs="宋体"/>
                <w:sz w:val="24"/>
              </w:rPr>
              <w:t>%</w:t>
            </w:r>
          </w:p>
        </w:tc>
      </w:tr>
      <w:tr w14:paraId="498C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05669D3F">
            <w:pPr>
              <w:snapToGrid w:val="0"/>
              <w:spacing w:line="440" w:lineRule="exact"/>
              <w:jc w:val="center"/>
              <w:rPr>
                <w:rFonts w:hint="eastAsia" w:ascii="宋体" w:hAnsi="宋体" w:eastAsia="宋体" w:cs="宋体"/>
                <w:sz w:val="24"/>
              </w:rPr>
            </w:pPr>
            <w:r>
              <w:rPr>
                <w:rFonts w:hint="eastAsia" w:ascii="宋体" w:hAnsi="宋体" w:eastAsia="宋体" w:cs="宋体"/>
                <w:sz w:val="24"/>
              </w:rPr>
              <w:t>30%≤a＜40%</w:t>
            </w:r>
          </w:p>
        </w:tc>
        <w:tc>
          <w:tcPr>
            <w:tcW w:w="2410" w:type="dxa"/>
            <w:vAlign w:val="center"/>
          </w:tcPr>
          <w:p w14:paraId="4CAB2139">
            <w:pPr>
              <w:snapToGrid w:val="0"/>
              <w:spacing w:line="440" w:lineRule="exact"/>
              <w:jc w:val="center"/>
              <w:rPr>
                <w:rFonts w:hint="eastAsia" w:ascii="宋体" w:hAnsi="宋体" w:eastAsia="宋体" w:cs="宋体"/>
                <w:sz w:val="24"/>
              </w:rPr>
            </w:pPr>
            <w:r>
              <w:rPr>
                <w:rFonts w:ascii="宋体" w:hAnsi="宋体" w:eastAsia="宋体" w:cs="宋体"/>
                <w:sz w:val="24"/>
              </w:rPr>
              <w:t>25</w:t>
            </w:r>
            <w:r>
              <w:rPr>
                <w:rFonts w:hint="eastAsia" w:ascii="宋体" w:hAnsi="宋体" w:eastAsia="宋体" w:cs="宋体"/>
                <w:sz w:val="24"/>
              </w:rPr>
              <w:t>%</w:t>
            </w:r>
          </w:p>
        </w:tc>
        <w:tc>
          <w:tcPr>
            <w:tcW w:w="1985" w:type="dxa"/>
          </w:tcPr>
          <w:p w14:paraId="5C266F68">
            <w:pPr>
              <w:snapToGrid w:val="0"/>
              <w:spacing w:line="440" w:lineRule="exact"/>
              <w:jc w:val="center"/>
              <w:rPr>
                <w:rFonts w:hint="eastAsia" w:ascii="宋体" w:hAnsi="宋体" w:eastAsia="宋体" w:cs="宋体"/>
                <w:sz w:val="24"/>
              </w:rPr>
            </w:pPr>
            <w:r>
              <w:rPr>
                <w:rFonts w:ascii="宋体" w:hAnsi="宋体" w:eastAsia="宋体" w:cs="宋体"/>
                <w:sz w:val="24"/>
              </w:rPr>
              <w:t>50</w:t>
            </w:r>
            <w:r>
              <w:rPr>
                <w:rFonts w:hint="eastAsia" w:ascii="宋体" w:hAnsi="宋体" w:eastAsia="宋体" w:cs="宋体"/>
                <w:sz w:val="24"/>
              </w:rPr>
              <w:t>%</w:t>
            </w:r>
          </w:p>
        </w:tc>
      </w:tr>
      <w:tr w14:paraId="07956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3A520592">
            <w:pPr>
              <w:snapToGrid w:val="0"/>
              <w:spacing w:line="440" w:lineRule="exact"/>
              <w:jc w:val="center"/>
              <w:rPr>
                <w:rFonts w:hint="eastAsia" w:ascii="宋体" w:hAnsi="宋体" w:eastAsia="宋体" w:cs="宋体"/>
                <w:sz w:val="24"/>
              </w:rPr>
            </w:pPr>
            <w:r>
              <w:rPr>
                <w:rFonts w:hint="eastAsia" w:ascii="宋体" w:hAnsi="宋体" w:eastAsia="宋体" w:cs="宋体"/>
                <w:sz w:val="24"/>
              </w:rPr>
              <w:t>40%≤a＜50%</w:t>
            </w:r>
          </w:p>
        </w:tc>
        <w:tc>
          <w:tcPr>
            <w:tcW w:w="2410" w:type="dxa"/>
          </w:tcPr>
          <w:p w14:paraId="77AC78D8">
            <w:pPr>
              <w:snapToGrid w:val="0"/>
              <w:spacing w:line="440" w:lineRule="exact"/>
              <w:jc w:val="center"/>
              <w:rPr>
                <w:rFonts w:hint="eastAsia" w:ascii="宋体" w:hAnsi="宋体" w:eastAsia="宋体" w:cs="宋体"/>
                <w:sz w:val="24"/>
              </w:rPr>
            </w:pPr>
            <w:r>
              <w:rPr>
                <w:rFonts w:ascii="宋体" w:hAnsi="宋体" w:eastAsia="宋体" w:cs="宋体"/>
                <w:sz w:val="24"/>
              </w:rPr>
              <w:t>25</w:t>
            </w:r>
            <w:r>
              <w:rPr>
                <w:rFonts w:hint="eastAsia" w:ascii="宋体" w:hAnsi="宋体" w:eastAsia="宋体" w:cs="宋体"/>
                <w:sz w:val="24"/>
              </w:rPr>
              <w:t>%</w:t>
            </w:r>
          </w:p>
        </w:tc>
        <w:tc>
          <w:tcPr>
            <w:tcW w:w="1985" w:type="dxa"/>
          </w:tcPr>
          <w:p w14:paraId="2EA4E943">
            <w:pPr>
              <w:snapToGrid w:val="0"/>
              <w:spacing w:line="440" w:lineRule="exact"/>
              <w:jc w:val="center"/>
              <w:rPr>
                <w:rFonts w:hint="eastAsia" w:ascii="宋体" w:hAnsi="宋体" w:eastAsia="宋体" w:cs="宋体"/>
                <w:sz w:val="24"/>
              </w:rPr>
            </w:pPr>
            <w:r>
              <w:rPr>
                <w:rFonts w:ascii="宋体" w:hAnsi="宋体" w:eastAsia="宋体" w:cs="宋体"/>
                <w:sz w:val="24"/>
              </w:rPr>
              <w:t>75</w:t>
            </w:r>
            <w:r>
              <w:rPr>
                <w:rFonts w:hint="eastAsia" w:ascii="宋体" w:hAnsi="宋体" w:eastAsia="宋体" w:cs="宋体"/>
                <w:sz w:val="24"/>
              </w:rPr>
              <w:t>%</w:t>
            </w:r>
          </w:p>
        </w:tc>
      </w:tr>
      <w:tr w14:paraId="66A1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7" w:type="dxa"/>
            <w:vAlign w:val="center"/>
          </w:tcPr>
          <w:p w14:paraId="0A8F2B7F">
            <w:pPr>
              <w:snapToGrid w:val="0"/>
              <w:spacing w:line="440" w:lineRule="exact"/>
              <w:jc w:val="center"/>
              <w:rPr>
                <w:rFonts w:hint="eastAsia" w:ascii="宋体" w:hAnsi="宋体" w:eastAsia="宋体" w:cs="宋体"/>
                <w:sz w:val="24"/>
              </w:rPr>
            </w:pPr>
            <w:r>
              <w:rPr>
                <w:rFonts w:hint="eastAsia" w:ascii="宋体" w:hAnsi="宋体" w:eastAsia="宋体" w:cs="宋体"/>
                <w:sz w:val="24"/>
              </w:rPr>
              <w:t>50%≤a＜60%</w:t>
            </w:r>
          </w:p>
        </w:tc>
        <w:tc>
          <w:tcPr>
            <w:tcW w:w="2410" w:type="dxa"/>
          </w:tcPr>
          <w:p w14:paraId="318458AA">
            <w:pPr>
              <w:snapToGrid w:val="0"/>
              <w:spacing w:line="440" w:lineRule="exact"/>
              <w:jc w:val="center"/>
              <w:rPr>
                <w:rFonts w:hint="eastAsia" w:ascii="宋体" w:hAnsi="宋体" w:eastAsia="宋体" w:cs="宋体"/>
                <w:sz w:val="24"/>
              </w:rPr>
            </w:pPr>
            <w:r>
              <w:rPr>
                <w:rFonts w:ascii="宋体" w:hAnsi="宋体" w:eastAsia="宋体" w:cs="宋体"/>
                <w:sz w:val="24"/>
              </w:rPr>
              <w:t>25</w:t>
            </w:r>
            <w:r>
              <w:rPr>
                <w:rFonts w:hint="eastAsia" w:ascii="宋体" w:hAnsi="宋体" w:eastAsia="宋体" w:cs="宋体"/>
                <w:sz w:val="24"/>
              </w:rPr>
              <w:t>%</w:t>
            </w:r>
          </w:p>
        </w:tc>
        <w:tc>
          <w:tcPr>
            <w:tcW w:w="1985" w:type="dxa"/>
            <w:vAlign w:val="center"/>
          </w:tcPr>
          <w:p w14:paraId="3D4A4E12">
            <w:pPr>
              <w:snapToGrid w:val="0"/>
              <w:spacing w:line="440" w:lineRule="exact"/>
              <w:jc w:val="center"/>
              <w:rPr>
                <w:rFonts w:hint="eastAsia" w:ascii="宋体" w:hAnsi="宋体" w:eastAsia="宋体" w:cs="宋体"/>
                <w:sz w:val="24"/>
              </w:rPr>
            </w:pPr>
            <w:r>
              <w:rPr>
                <w:rFonts w:hint="eastAsia" w:ascii="宋体" w:hAnsi="宋体" w:eastAsia="宋体" w:cs="宋体"/>
                <w:sz w:val="24"/>
              </w:rPr>
              <w:t>100%</w:t>
            </w:r>
          </w:p>
        </w:tc>
      </w:tr>
    </w:tbl>
    <w:p w14:paraId="6A348364">
      <w:pPr>
        <w:spacing w:line="440" w:lineRule="exact"/>
        <w:ind w:firstLine="210" w:firstLineChars="100"/>
        <w:rPr>
          <w:rFonts w:hint="eastAsia" w:ascii="宋体" w:hAnsi="宋体" w:eastAsia="宋体" w:cs="宋体"/>
          <w:szCs w:val="21"/>
        </w:rPr>
      </w:pPr>
      <w:r>
        <w:rPr>
          <w:rFonts w:hint="eastAsia" w:ascii="宋体" w:hAnsi="宋体" w:eastAsia="宋体" w:cs="宋体"/>
          <w:szCs w:val="21"/>
        </w:rPr>
        <w:t>注：a=已完工作量/承包合同价（扣除暂估价）</w:t>
      </w:r>
    </w:p>
    <w:p w14:paraId="7BA19447">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82" w:name="_Toc27101"/>
      <w:bookmarkStart w:id="583" w:name="_Toc176192821"/>
      <w:bookmarkStart w:id="584" w:name="_Toc397364923"/>
      <w:bookmarkStart w:id="585" w:name="_Toc268"/>
      <w:r>
        <w:rPr>
          <w:rFonts w:hint="eastAsia" w:ascii="宋体" w:hAnsi="宋体" w:eastAsia="宋体" w:cs="宋体"/>
          <w:b/>
          <w:snapToGrid w:val="0"/>
          <w:kern w:val="0"/>
          <w:sz w:val="24"/>
        </w:rPr>
        <w:t>27、工程量的确认</w:t>
      </w:r>
      <w:bookmarkEnd w:id="582"/>
      <w:bookmarkEnd w:id="583"/>
      <w:bookmarkEnd w:id="584"/>
      <w:bookmarkEnd w:id="585"/>
    </w:p>
    <w:p w14:paraId="00C258CA">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27.1承包人每次申请工程进度款时应提交已完工程进度款申请报表。</w:t>
      </w:r>
    </w:p>
    <w:p w14:paraId="3AD4ED90">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已完工程进度款申请报表的提交应按发包人工程的要求执行。</w:t>
      </w:r>
    </w:p>
    <w:p w14:paraId="15AA7F4A">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27.3不予计量的情况：</w:t>
      </w:r>
    </w:p>
    <w:p w14:paraId="48E1EDE2">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（1）隐蔽工程无验收记录表的；</w:t>
      </w:r>
    </w:p>
    <w:p w14:paraId="1E6FD331">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（2）施工图之外的工作量；</w:t>
      </w:r>
    </w:p>
    <w:p w14:paraId="4305BB58">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（3）因承包人责任而增加的工作量；</w:t>
      </w:r>
    </w:p>
    <w:p w14:paraId="4DF0EFD1">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（4）未经发包人批准的分包单位施工的工程；</w:t>
      </w:r>
    </w:p>
    <w:p w14:paraId="2F2CFE64">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（5）不符合合同约定或设计要求的工程；</w:t>
      </w:r>
    </w:p>
    <w:p w14:paraId="6C281785">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6</w:t>
      </w:r>
      <w:r>
        <w:rPr>
          <w:rFonts w:hint="eastAsia" w:ascii="宋体" w:hAnsi="宋体" w:eastAsia="宋体" w:cs="宋体"/>
          <w:snapToGrid w:val="0"/>
          <w:kern w:val="0"/>
          <w:sz w:val="24"/>
        </w:rPr>
        <w:t>）设备到货无监理、发包人书面确认的。</w:t>
      </w:r>
    </w:p>
    <w:p w14:paraId="591B374F">
      <w:pPr>
        <w:adjustRightInd w:val="0"/>
        <w:snapToGrid w:val="0"/>
        <w:spacing w:line="440" w:lineRule="exact"/>
        <w:ind w:right="11" w:firstLine="463" w:firstLineChars="192"/>
        <w:rPr>
          <w:rFonts w:hint="eastAsia" w:ascii="宋体" w:hAnsi="宋体" w:eastAsia="宋体" w:cs="宋体"/>
          <w:bCs/>
          <w:snapToGrid w:val="0"/>
          <w:kern w:val="0"/>
          <w:sz w:val="24"/>
        </w:rPr>
      </w:pPr>
      <w:r>
        <w:rPr>
          <w:rFonts w:hint="eastAsia" w:ascii="宋体" w:hAnsi="宋体" w:eastAsia="宋体" w:cs="宋体"/>
          <w:b/>
          <w:snapToGrid w:val="0"/>
          <w:kern w:val="0"/>
          <w:sz w:val="24"/>
        </w:rPr>
        <w:t>承包人和发包人一致同意增加27.4、27.5：</w:t>
      </w:r>
    </w:p>
    <w:p w14:paraId="0425C46B">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27.4除另有特别说明外，总监理工程师应根据合同的约定和批准的施工图纸、设计变更图纸或工程签证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14:paraId="37ECF3DF">
      <w:pPr>
        <w:adjustRightInd w:val="0"/>
        <w:snapToGrid w:val="0"/>
        <w:spacing w:line="440" w:lineRule="exact"/>
        <w:ind w:right="11" w:firstLine="480" w:firstLineChars="200"/>
        <w:outlineLvl w:val="3"/>
        <w:rPr>
          <w:rFonts w:hint="eastAsia" w:ascii="宋体" w:hAnsi="宋体" w:eastAsia="宋体" w:cs="宋体"/>
          <w:b/>
          <w:snapToGrid w:val="0"/>
          <w:kern w:val="0"/>
          <w:sz w:val="24"/>
        </w:rPr>
      </w:pPr>
      <w:r>
        <w:rPr>
          <w:rFonts w:hint="eastAsia" w:ascii="宋体" w:hAnsi="宋体" w:eastAsia="宋体" w:cs="宋体"/>
          <w:snapToGrid w:val="0"/>
          <w:kern w:val="0"/>
          <w:sz w:val="24"/>
        </w:rPr>
        <w:t>27.5工程的计量应以合同约定为准，双方另有约定的除外。</w:t>
      </w:r>
    </w:p>
    <w:p w14:paraId="185471EE">
      <w:pPr>
        <w:adjustRightInd w:val="0"/>
        <w:snapToGrid w:val="0"/>
        <w:spacing w:line="440" w:lineRule="exact"/>
        <w:ind w:right="11" w:firstLine="482" w:firstLineChars="200"/>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承包人与发包人一致同意不适用合同通用条款第28条的约定，代之以：</w:t>
      </w:r>
    </w:p>
    <w:p w14:paraId="7AA3689C">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86" w:name="_Toc7102"/>
      <w:bookmarkStart w:id="587" w:name="_Toc397364924"/>
      <w:bookmarkStart w:id="588" w:name="_Toc25577"/>
      <w:bookmarkStart w:id="589" w:name="_Toc176192822"/>
      <w:r>
        <w:rPr>
          <w:rFonts w:hint="eastAsia" w:ascii="宋体" w:hAnsi="宋体" w:eastAsia="宋体" w:cs="宋体"/>
          <w:b/>
          <w:snapToGrid w:val="0"/>
          <w:kern w:val="0"/>
          <w:sz w:val="24"/>
        </w:rPr>
        <w:t>28、工程款（进度款）支付</w:t>
      </w:r>
      <w:bookmarkEnd w:id="586"/>
      <w:bookmarkEnd w:id="587"/>
      <w:bookmarkEnd w:id="588"/>
      <w:bookmarkEnd w:id="589"/>
    </w:p>
    <w:p w14:paraId="69F12ED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28.1双方约定的工程进度款支付</w:t>
      </w:r>
      <w:r>
        <w:rPr>
          <w:rFonts w:hint="eastAsia" w:ascii="宋体" w:hAnsi="宋体" w:eastAsia="宋体" w:cs="宋体"/>
          <w:snapToGrid w:val="0"/>
          <w:kern w:val="0"/>
          <w:sz w:val="24"/>
          <w:lang w:val="zh-CN"/>
        </w:rPr>
        <w:t>办法如下：</w:t>
      </w:r>
    </w:p>
    <w:p w14:paraId="649FE0C6">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（1）按月支付，一月一次。</w:t>
      </w:r>
    </w:p>
    <w:p w14:paraId="647EFBD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（2）任何项目的计量与支付必须按合同约定的技术条件、发包人批准的施工图有关要求及规定完成，包括合同约定的与项目计量有关且必须完成的责任和义务。</w:t>
      </w:r>
    </w:p>
    <w:p w14:paraId="76918216">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已完工项目的计量与支付需得到总监理工程师和发包人的认可。如承包人的工作不能使总监理工程师和发包人满意（如：质量不合格，工程进度缓慢，施工管理和配合服务不到位或有其他方面违反合同的行为等），总监理工程师和发包人有权拒绝计量与支付。</w:t>
      </w:r>
    </w:p>
    <w:p w14:paraId="47386B4C">
      <w:pPr>
        <w:autoSpaceDE w:val="0"/>
        <w:autoSpaceDN w:val="0"/>
        <w:adjustRightInd w:val="0"/>
        <w:snapToGrid w:val="0"/>
        <w:spacing w:line="440" w:lineRule="exact"/>
        <w:ind w:right="11" w:firstLine="480"/>
        <w:rPr>
          <w:rFonts w:hint="eastAsia" w:ascii="宋体" w:hAnsi="宋体" w:eastAsia="宋体" w:cs="宋体"/>
          <w:iCs/>
          <w:snapToGrid w:val="0"/>
          <w:kern w:val="0"/>
          <w:sz w:val="24"/>
        </w:rPr>
      </w:pPr>
      <w:r>
        <w:rPr>
          <w:rFonts w:hint="eastAsia" w:ascii="宋体" w:hAnsi="宋体" w:eastAsia="宋体" w:cs="宋体"/>
          <w:snapToGrid w:val="0"/>
          <w:kern w:val="0"/>
          <w:sz w:val="24"/>
          <w:lang w:val="zh-CN"/>
        </w:rPr>
        <w:t>（4）</w:t>
      </w:r>
      <w:r>
        <w:rPr>
          <w:rFonts w:hint="eastAsia" w:ascii="宋体" w:hAnsi="宋体" w:eastAsia="宋体" w:cs="宋体"/>
          <w:iCs/>
          <w:snapToGrid w:val="0"/>
          <w:kern w:val="0"/>
          <w:sz w:val="24"/>
        </w:rPr>
        <w:t>各次</w:t>
      </w:r>
      <w:r>
        <w:rPr>
          <w:rFonts w:hint="eastAsia" w:ascii="宋体" w:hAnsi="宋体" w:eastAsia="宋体" w:cs="宋体"/>
          <w:snapToGrid w:val="0"/>
          <w:kern w:val="0"/>
          <w:sz w:val="24"/>
        </w:rPr>
        <w:t>工程进度款</w:t>
      </w:r>
      <w:r>
        <w:rPr>
          <w:rFonts w:hint="eastAsia" w:ascii="宋体" w:hAnsi="宋体" w:eastAsia="宋体" w:cs="宋体"/>
          <w:iCs/>
          <w:snapToGrid w:val="0"/>
          <w:kern w:val="0"/>
          <w:sz w:val="24"/>
        </w:rPr>
        <w:t>支付中，发包人按经监理及发包人认可的完成工作量支付80%，直至本合同价款</w:t>
      </w:r>
      <w:r>
        <w:rPr>
          <w:rFonts w:hint="eastAsia" w:ascii="宋体" w:hAnsi="宋体" w:eastAsia="宋体" w:cs="宋体"/>
          <w:snapToGrid w:val="0"/>
          <w:kern w:val="0"/>
          <w:sz w:val="24"/>
          <w:lang w:val="zh-CN"/>
        </w:rPr>
        <w:t>（不含暂列金额</w:t>
      </w:r>
      <w:r>
        <w:rPr>
          <w:rFonts w:hint="eastAsia" w:ascii="宋体" w:hAnsi="宋体" w:eastAsia="宋体" w:cs="宋体"/>
          <w:sz w:val="24"/>
        </w:rPr>
        <w:t>及暂估价</w:t>
      </w:r>
      <w:r>
        <w:rPr>
          <w:rFonts w:hint="eastAsia" w:ascii="宋体" w:hAnsi="宋体" w:eastAsia="宋体" w:cs="宋体"/>
          <w:snapToGrid w:val="0"/>
          <w:kern w:val="0"/>
          <w:sz w:val="24"/>
          <w:lang w:val="zh-CN"/>
        </w:rPr>
        <w:t>；不含原清单减少或未实施内容）</w:t>
      </w:r>
      <w:r>
        <w:rPr>
          <w:rFonts w:hint="eastAsia" w:ascii="宋体" w:hAnsi="宋体" w:eastAsia="宋体" w:cs="宋体"/>
          <w:iCs/>
          <w:snapToGrid w:val="0"/>
          <w:kern w:val="0"/>
          <w:sz w:val="24"/>
        </w:rPr>
        <w:t>的80%为止。</w:t>
      </w:r>
    </w:p>
    <w:p w14:paraId="5A790C43">
      <w:pPr>
        <w:spacing w:line="440" w:lineRule="exact"/>
        <w:ind w:firstLine="482"/>
        <w:rPr>
          <w:rFonts w:hint="eastAsia" w:ascii="宋体" w:hAnsi="宋体" w:eastAsia="宋体" w:cs="宋体"/>
          <w:sz w:val="24"/>
        </w:rPr>
      </w:pPr>
      <w:r>
        <w:rPr>
          <w:rFonts w:hint="eastAsia" w:ascii="宋体" w:hAnsi="宋体" w:eastAsia="宋体" w:cs="宋体"/>
          <w:sz w:val="24"/>
        </w:rPr>
        <w:t>（5）发包人在支付工程进度款时，根据《关于印发广州市建设领域工人工资支付分账管理实施细则的通知》（穗建规字[2020]37号）的规定，按照</w:t>
      </w:r>
      <w:r>
        <w:rPr>
          <w:rFonts w:hint="eastAsia" w:ascii="宋体" w:hAnsi="宋体" w:eastAsia="宋体" w:cs="宋体"/>
          <w:snapToGrid w:val="0"/>
          <w:kern w:val="0"/>
          <w:sz w:val="24"/>
          <w:u w:val="single"/>
        </w:rPr>
        <w:t>【工人工资款比例】</w:t>
      </w:r>
      <w:r>
        <w:rPr>
          <w:rFonts w:hint="eastAsia" w:ascii="宋体" w:hAnsi="宋体" w:eastAsia="宋体" w:cs="宋体"/>
          <w:sz w:val="24"/>
        </w:rPr>
        <w:t>的比例（依法必须进行招标的工程项目，工程进度款中的</w:t>
      </w:r>
      <w:bookmarkStart w:id="590" w:name="_Hlk176189830"/>
      <w:r>
        <w:rPr>
          <w:rFonts w:hint="eastAsia" w:ascii="宋体" w:hAnsi="宋体" w:eastAsia="宋体" w:cs="宋体"/>
          <w:sz w:val="24"/>
        </w:rPr>
        <w:t>工人工资款比例</w:t>
      </w:r>
      <w:bookmarkEnd w:id="590"/>
      <w:r>
        <w:rPr>
          <w:rFonts w:hint="eastAsia" w:ascii="宋体" w:hAnsi="宋体" w:eastAsia="宋体" w:cs="宋体"/>
          <w:sz w:val="24"/>
        </w:rPr>
        <w:t>参照施工招标的《中标通知书》中单列的人工费金额除以中标金额计算）划拨用于支付工人工资的工程款到承包人设立的工人工资款支付专用账户。承包人在申请每期工程进度款时，填报申请表中需加以说明，“申请进度款的总金额中，其中：工程项目支付金额（</w:t>
      </w:r>
      <w:r>
        <w:rPr>
          <w:rFonts w:hint="eastAsia" w:ascii="宋体" w:hAnsi="宋体" w:eastAsia="宋体" w:cs="宋体"/>
          <w:sz w:val="24"/>
          <w:u w:val="single"/>
        </w:rPr>
        <w:t>/</w:t>
      </w:r>
      <w:r>
        <w:rPr>
          <w:rFonts w:hint="eastAsia" w:ascii="宋体" w:hAnsi="宋体" w:eastAsia="宋体" w:cs="宋体"/>
          <w:sz w:val="24"/>
        </w:rPr>
        <w:t>%）为：</w:t>
      </w:r>
      <w:r>
        <w:rPr>
          <w:rFonts w:hint="eastAsia" w:ascii="宋体" w:hAnsi="宋体" w:eastAsia="宋体" w:cs="宋体"/>
          <w:sz w:val="24"/>
          <w:u w:val="single"/>
        </w:rPr>
        <w:t>/</w:t>
      </w:r>
      <w:r>
        <w:rPr>
          <w:rFonts w:hint="eastAsia" w:ascii="宋体" w:hAnsi="宋体" w:eastAsia="宋体" w:cs="宋体"/>
          <w:sz w:val="24"/>
        </w:rPr>
        <w:t>元，工人工资支付金额（</w:t>
      </w:r>
      <w:r>
        <w:rPr>
          <w:rFonts w:hint="eastAsia" w:ascii="宋体" w:hAnsi="宋体" w:eastAsia="宋体" w:cs="宋体"/>
          <w:sz w:val="24"/>
          <w:u w:val="single"/>
        </w:rPr>
        <w:t>/</w:t>
      </w:r>
      <w:r>
        <w:rPr>
          <w:rFonts w:hint="eastAsia" w:ascii="宋体" w:hAnsi="宋体" w:eastAsia="宋体" w:cs="宋体"/>
          <w:sz w:val="24"/>
        </w:rPr>
        <w:t>%）为：</w:t>
      </w:r>
      <w:r>
        <w:rPr>
          <w:rFonts w:hint="eastAsia" w:ascii="宋体" w:hAnsi="宋体" w:eastAsia="宋体" w:cs="宋体"/>
          <w:sz w:val="24"/>
          <w:u w:val="single"/>
        </w:rPr>
        <w:t>/</w:t>
      </w:r>
      <w:r>
        <w:rPr>
          <w:rFonts w:hint="eastAsia" w:ascii="宋体" w:hAnsi="宋体" w:eastAsia="宋体" w:cs="宋体"/>
          <w:sz w:val="24"/>
        </w:rPr>
        <w:t>元”，由发包人审核后分别出单分账汇入。</w:t>
      </w:r>
    </w:p>
    <w:p w14:paraId="70D85562">
      <w:pPr>
        <w:autoSpaceDE w:val="0"/>
        <w:autoSpaceDN w:val="0"/>
        <w:adjustRightInd w:val="0"/>
        <w:snapToGrid w:val="0"/>
        <w:spacing w:line="440" w:lineRule="exact"/>
        <w:ind w:right="11" w:firstLine="461"/>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w:t>
      </w:r>
      <w:r>
        <w:rPr>
          <w:rFonts w:ascii="宋体" w:hAnsi="宋体" w:eastAsia="宋体" w:cs="宋体"/>
          <w:snapToGrid w:val="0"/>
          <w:kern w:val="0"/>
          <w:sz w:val="24"/>
          <w:lang w:val="zh-CN"/>
        </w:rPr>
        <w:t>6</w:t>
      </w:r>
      <w:r>
        <w:rPr>
          <w:rFonts w:hint="eastAsia" w:ascii="宋体" w:hAnsi="宋体" w:eastAsia="宋体" w:cs="宋体"/>
          <w:snapToGrid w:val="0"/>
          <w:kern w:val="0"/>
          <w:sz w:val="24"/>
          <w:lang w:val="zh-CN"/>
        </w:rPr>
        <w:t>）本合同约定的工程全部完工，通过工程竣工验收，支付至经监理及发包人认可的完成工作量的85%（累计支付不得超过合同暂定总价（不含暂列金额）的80%）；及本合同工程结算经终审单位定审、承</w:t>
      </w:r>
      <w:r>
        <w:rPr>
          <w:rFonts w:hint="eastAsia" w:ascii="宋体" w:hAnsi="宋体" w:eastAsia="宋体" w:cs="宋体"/>
          <w:snapToGrid w:val="0"/>
          <w:kern w:val="0"/>
          <w:sz w:val="24"/>
        </w:rPr>
        <w:t>包人按合同专用条款第35条约定完整移交工程且不发生</w:t>
      </w:r>
      <w:r>
        <w:rPr>
          <w:rFonts w:hint="eastAsia" w:ascii="宋体" w:hAnsi="宋体" w:eastAsia="宋体" w:cs="宋体"/>
          <w:snapToGrid w:val="0"/>
          <w:kern w:val="0"/>
          <w:sz w:val="24"/>
          <w:lang w:val="zh-CN"/>
        </w:rPr>
        <w:t>合同专用条款第38.10（3）、（4）款</w:t>
      </w:r>
      <w:r>
        <w:rPr>
          <w:rFonts w:hint="eastAsia" w:ascii="宋体" w:hAnsi="宋体" w:eastAsia="宋体" w:cs="宋体"/>
          <w:snapToGrid w:val="0"/>
          <w:kern w:val="0"/>
          <w:sz w:val="24"/>
        </w:rPr>
        <w:t>的违约情形的，发包人累计支付至</w:t>
      </w:r>
      <w:r>
        <w:rPr>
          <w:rFonts w:hint="eastAsia" w:ascii="宋体" w:hAnsi="宋体" w:eastAsia="宋体" w:cs="宋体"/>
          <w:snapToGrid w:val="0"/>
          <w:kern w:val="0"/>
          <w:sz w:val="24"/>
          <w:lang w:val="zh-CN"/>
        </w:rPr>
        <w:t>本合同结算定审金额</w:t>
      </w:r>
      <w:r>
        <w:rPr>
          <w:rFonts w:hint="eastAsia" w:ascii="宋体" w:hAnsi="宋体" w:eastAsia="宋体" w:cs="宋体"/>
          <w:snapToGrid w:val="0"/>
          <w:kern w:val="0"/>
          <w:sz w:val="24"/>
        </w:rPr>
        <w:t>的97%，</w:t>
      </w:r>
      <w:r>
        <w:rPr>
          <w:rFonts w:hint="eastAsia" w:ascii="宋体" w:hAnsi="宋体" w:eastAsia="宋体" w:cs="宋体"/>
          <w:snapToGrid w:val="0"/>
          <w:kern w:val="0"/>
          <w:sz w:val="24"/>
          <w:lang w:val="zh-CN"/>
        </w:rPr>
        <w:t>留下本合同结算定审金额的</w:t>
      </w:r>
      <w:r>
        <w:rPr>
          <w:rFonts w:hint="eastAsia" w:ascii="宋体" w:hAnsi="宋体" w:eastAsia="宋体" w:cs="宋体"/>
          <w:snapToGrid w:val="0"/>
          <w:kern w:val="0"/>
          <w:sz w:val="24"/>
        </w:rPr>
        <w:t>3</w:t>
      </w:r>
      <w:r>
        <w:rPr>
          <w:rFonts w:hint="eastAsia" w:ascii="宋体" w:hAnsi="宋体" w:eastAsia="宋体" w:cs="宋体"/>
          <w:snapToGrid w:val="0"/>
          <w:kern w:val="0"/>
          <w:sz w:val="24"/>
          <w:lang w:val="zh-CN"/>
        </w:rPr>
        <w:t>%作为工程质量无息保修金。</w:t>
      </w:r>
      <w:r>
        <w:rPr>
          <w:rFonts w:hint="eastAsia" w:ascii="宋体" w:hAnsi="宋体" w:eastAsia="宋体" w:cs="宋体"/>
          <w:snapToGrid w:val="0"/>
          <w:kern w:val="0"/>
          <w:sz w:val="24"/>
        </w:rPr>
        <w:t>工程质量保修期（</w:t>
      </w:r>
      <w:r>
        <w:rPr>
          <w:rFonts w:hint="eastAsia" w:ascii="宋体" w:hAnsi="宋体" w:eastAsia="宋体" w:cs="宋体"/>
          <w:snapToGrid w:val="0"/>
          <w:kern w:val="0"/>
          <w:sz w:val="24"/>
          <w:lang w:val="zh-CN"/>
        </w:rPr>
        <w:t>五年</w:t>
      </w:r>
      <w:r>
        <w:rPr>
          <w:rFonts w:hint="eastAsia" w:ascii="宋体" w:hAnsi="宋体" w:eastAsia="宋体" w:cs="宋体"/>
          <w:snapToGrid w:val="0"/>
          <w:kern w:val="0"/>
          <w:sz w:val="24"/>
        </w:rPr>
        <w:t>）满并取得发包人及监理单位确认后支付工程质量保修金尾款</w:t>
      </w:r>
      <w:r>
        <w:rPr>
          <w:rFonts w:hint="eastAsia" w:ascii="宋体" w:hAnsi="宋体" w:eastAsia="宋体" w:cs="宋体"/>
          <w:snapToGrid w:val="0"/>
          <w:kern w:val="0"/>
          <w:sz w:val="24"/>
          <w:lang w:val="zh-CN"/>
        </w:rPr>
        <w:t>。</w:t>
      </w:r>
    </w:p>
    <w:p w14:paraId="365071C9">
      <w:pPr>
        <w:adjustRightInd w:val="0"/>
        <w:snapToGrid w:val="0"/>
        <w:spacing w:line="440" w:lineRule="exact"/>
        <w:ind w:right="11" w:firstLine="360" w:firstLineChars="150"/>
        <w:rPr>
          <w:rFonts w:hint="eastAsia" w:ascii="宋体" w:hAnsi="宋体" w:eastAsia="宋体" w:cs="宋体"/>
          <w:snapToGrid w:val="0"/>
          <w:kern w:val="0"/>
          <w:sz w:val="24"/>
          <w:szCs w:val="28"/>
        </w:rPr>
      </w:pPr>
      <w:r>
        <w:rPr>
          <w:rFonts w:hint="eastAsia" w:ascii="宋体" w:hAnsi="宋体" w:eastAsia="宋体" w:cs="宋体"/>
          <w:snapToGrid w:val="0"/>
          <w:kern w:val="0"/>
          <w:sz w:val="24"/>
          <w:szCs w:val="28"/>
        </w:rPr>
        <w:t>（</w:t>
      </w:r>
      <w:r>
        <w:rPr>
          <w:rFonts w:ascii="宋体" w:hAnsi="宋体" w:eastAsia="宋体" w:cs="宋体"/>
          <w:snapToGrid w:val="0"/>
          <w:kern w:val="0"/>
          <w:sz w:val="24"/>
          <w:szCs w:val="28"/>
        </w:rPr>
        <w:t>7</w:t>
      </w:r>
      <w:r>
        <w:rPr>
          <w:rFonts w:hint="eastAsia" w:ascii="宋体" w:hAnsi="宋体" w:eastAsia="宋体" w:cs="宋体"/>
          <w:snapToGrid w:val="0"/>
          <w:kern w:val="0"/>
          <w:sz w:val="24"/>
          <w:szCs w:val="28"/>
        </w:rPr>
        <w:t>）发包人已支付的累计金额大于</w:t>
      </w:r>
      <w:r>
        <w:rPr>
          <w:rFonts w:hint="eastAsia" w:ascii="宋体" w:hAnsi="宋体" w:eastAsia="宋体" w:cs="宋体"/>
          <w:snapToGrid w:val="0"/>
          <w:kern w:val="0"/>
          <w:sz w:val="24"/>
          <w:lang w:val="zh-CN"/>
        </w:rPr>
        <w:t>本合同</w:t>
      </w:r>
      <w:r>
        <w:rPr>
          <w:rFonts w:hint="eastAsia" w:ascii="宋体" w:hAnsi="宋体" w:eastAsia="宋体" w:cs="宋体"/>
          <w:snapToGrid w:val="0"/>
          <w:kern w:val="0"/>
          <w:sz w:val="24"/>
          <w:szCs w:val="28"/>
        </w:rPr>
        <w:t>结算定审金额的97%的，承包人应在工程结算定审之日起15日内向发包人返还多收的款项；否则，发包人有权向承包人追索，承包人除应足额返还多收的款项外，还应每天按多收款项总金额的2‰从承包人工程款或履约担保中扣减违约金。</w:t>
      </w:r>
    </w:p>
    <w:p w14:paraId="4729F620">
      <w:pPr>
        <w:autoSpaceDE w:val="0"/>
        <w:autoSpaceDN w:val="0"/>
        <w:adjustRightInd w:val="0"/>
        <w:snapToGrid w:val="0"/>
        <w:spacing w:line="440" w:lineRule="exact"/>
        <w:ind w:right="11" w:firstLine="480" w:firstLineChars="200"/>
        <w:outlineLvl w:val="4"/>
        <w:rPr>
          <w:rFonts w:hint="eastAsia" w:ascii="宋体" w:hAnsi="宋体" w:eastAsia="宋体" w:cs="宋体"/>
          <w:snapToGrid w:val="0"/>
          <w:kern w:val="0"/>
          <w:sz w:val="24"/>
        </w:rPr>
      </w:pPr>
      <w:r>
        <w:rPr>
          <w:rFonts w:hint="eastAsia" w:ascii="宋体" w:hAnsi="宋体" w:eastAsia="宋体" w:cs="宋体"/>
          <w:snapToGrid w:val="0"/>
          <w:kern w:val="0"/>
          <w:sz w:val="24"/>
        </w:rPr>
        <w:t>28.2其他</w:t>
      </w:r>
    </w:p>
    <w:p w14:paraId="2FD3F5C1">
      <w:pPr>
        <w:pStyle w:val="37"/>
        <w:adjustRightInd w:val="0"/>
        <w:snapToGrid w:val="0"/>
        <w:spacing w:before="0" w:beforeAutospacing="0" w:after="0" w:afterAutospacing="0" w:line="440" w:lineRule="exact"/>
        <w:ind w:firstLine="480" w:firstLineChars="200"/>
        <w:rPr>
          <w:rFonts w:hint="eastAsia" w:eastAsia="宋体" w:cs="宋体"/>
          <w:snapToGrid w:val="0"/>
        </w:rPr>
      </w:pPr>
      <w:r>
        <w:rPr>
          <w:rFonts w:hint="eastAsia" w:eastAsia="宋体" w:cs="宋体"/>
          <w:snapToGrid w:val="0"/>
        </w:rPr>
        <w:t>（1）规费及税金项目的支付方式</w:t>
      </w:r>
    </w:p>
    <w:p w14:paraId="7187B591">
      <w:pPr>
        <w:pStyle w:val="37"/>
        <w:adjustRightInd w:val="0"/>
        <w:snapToGrid w:val="0"/>
        <w:spacing w:before="0" w:beforeAutospacing="0" w:after="0" w:afterAutospacing="0" w:line="440" w:lineRule="exact"/>
        <w:ind w:firstLine="480" w:firstLineChars="200"/>
        <w:rPr>
          <w:rFonts w:hint="eastAsia" w:eastAsia="宋体" w:cs="宋体"/>
          <w:snapToGrid w:val="0"/>
        </w:rPr>
      </w:pPr>
      <w:r>
        <w:rPr>
          <w:rFonts w:hint="eastAsia" w:eastAsia="宋体" w:cs="宋体"/>
          <w:snapToGrid w:val="0"/>
        </w:rPr>
        <w:t>规费、税金按政府及广州地区税务部门有关规定计算，根据当期进度款按月支付。</w:t>
      </w:r>
    </w:p>
    <w:p w14:paraId="7E4D6E50">
      <w:pPr>
        <w:spacing w:line="440" w:lineRule="exact"/>
        <w:ind w:firstLine="480" w:firstLineChars="200"/>
        <w:rPr>
          <w:rFonts w:hint="eastAsia" w:ascii="宋体" w:hAnsi="宋体" w:eastAsia="宋体" w:cs="宋体"/>
          <w:snapToGrid w:val="0"/>
          <w:kern w:val="0"/>
          <w:sz w:val="24"/>
          <w:szCs w:val="20"/>
        </w:rPr>
      </w:pPr>
      <w:bookmarkStart w:id="591" w:name="_Toc2710"/>
      <w:bookmarkStart w:id="592" w:name="_Toc63329476"/>
      <w:bookmarkStart w:id="593" w:name="_Toc13313"/>
      <w:r>
        <w:rPr>
          <w:rFonts w:hint="eastAsia" w:ascii="宋体" w:hAnsi="宋体" w:eastAsia="宋体" w:cs="宋体"/>
          <w:snapToGrid w:val="0"/>
          <w:kern w:val="0"/>
          <w:sz w:val="24"/>
          <w:szCs w:val="20"/>
        </w:rPr>
        <w:t>28.5绿色施工安全防护措施费</w:t>
      </w:r>
      <w:bookmarkEnd w:id="591"/>
      <w:bookmarkEnd w:id="592"/>
      <w:bookmarkEnd w:id="593"/>
    </w:p>
    <w:p w14:paraId="7B8DEFF7">
      <w:pPr>
        <w:spacing w:line="440" w:lineRule="exact"/>
        <w:ind w:firstLine="480" w:firstLineChars="200"/>
        <w:rPr>
          <w:rFonts w:hint="eastAsia" w:ascii="宋体" w:hAnsi="宋体" w:eastAsia="宋体" w:cs="宋体"/>
          <w:snapToGrid w:val="0"/>
          <w:kern w:val="0"/>
          <w:sz w:val="24"/>
          <w:szCs w:val="20"/>
        </w:rPr>
      </w:pPr>
      <w:r>
        <w:rPr>
          <w:rFonts w:hint="eastAsia" w:ascii="宋体" w:hAnsi="宋体" w:eastAsia="宋体" w:cs="宋体"/>
          <w:snapToGrid w:val="0"/>
          <w:kern w:val="0"/>
          <w:sz w:val="24"/>
          <w:szCs w:val="20"/>
        </w:rPr>
        <w:t>28.5.1内容、范围和金额</w:t>
      </w:r>
    </w:p>
    <w:p w14:paraId="0F3BCF25">
      <w:pPr>
        <w:spacing w:line="440" w:lineRule="exact"/>
        <w:ind w:firstLine="420" w:firstLineChars="200"/>
        <w:rPr>
          <w:rFonts w:hint="eastAsia" w:ascii="宋体" w:hAnsi="宋体" w:eastAsia="宋体" w:cs="宋体"/>
          <w:snapToGrid w:val="0"/>
          <w:kern w:val="0"/>
          <w:sz w:val="24"/>
          <w:szCs w:val="20"/>
        </w:rPr>
      </w:pPr>
      <w:r>
        <w:rPr>
          <w:rFonts w:hint="eastAsia" w:eastAsia="宋体" w:cs="宋体"/>
          <w:snapToGrid w:val="0"/>
        </w:rPr>
        <w:t>（1）</w:t>
      </w:r>
      <w:r>
        <w:rPr>
          <w:rFonts w:hint="eastAsia" w:ascii="宋体" w:hAnsi="宋体" w:eastAsia="宋体" w:cs="宋体"/>
          <w:snapToGrid w:val="0"/>
          <w:kern w:val="0"/>
          <w:sz w:val="24"/>
          <w:szCs w:val="20"/>
        </w:rPr>
        <w:t>绿色施工安全防护措施的内容及范围：以广东省统一计价依据的规定为准。</w:t>
      </w:r>
    </w:p>
    <w:p w14:paraId="04866E06">
      <w:pPr>
        <w:spacing w:line="440" w:lineRule="exact"/>
        <w:ind w:firstLine="420" w:firstLineChars="200"/>
        <w:rPr>
          <w:rFonts w:hint="eastAsia" w:ascii="宋体" w:hAnsi="宋体" w:eastAsia="宋体" w:cs="宋体"/>
          <w:snapToGrid w:val="0"/>
          <w:kern w:val="0"/>
          <w:sz w:val="24"/>
          <w:szCs w:val="20"/>
        </w:rPr>
      </w:pPr>
      <w:r>
        <w:rPr>
          <w:rFonts w:hint="eastAsia" w:eastAsia="宋体" w:cs="宋体"/>
          <w:snapToGrid w:val="0"/>
        </w:rPr>
        <w:t>（</w:t>
      </w:r>
      <w:r>
        <w:rPr>
          <w:rFonts w:eastAsia="宋体" w:cs="宋体"/>
          <w:snapToGrid w:val="0"/>
        </w:rPr>
        <w:t>2</w:t>
      </w:r>
      <w:r>
        <w:rPr>
          <w:rFonts w:hint="eastAsia" w:eastAsia="宋体" w:cs="宋体"/>
          <w:snapToGrid w:val="0"/>
        </w:rPr>
        <w:t>）</w:t>
      </w:r>
      <w:r>
        <w:rPr>
          <w:rFonts w:hint="eastAsia" w:ascii="宋体" w:hAnsi="宋体" w:eastAsia="宋体" w:cs="宋体"/>
          <w:sz w:val="24"/>
        </w:rPr>
        <w:t>绿色施工安全防护措施费</w:t>
      </w:r>
      <w:r>
        <w:rPr>
          <w:rFonts w:hint="eastAsia" w:ascii="宋体" w:hAnsi="宋体" w:eastAsia="宋体" w:cs="宋体"/>
          <w:snapToGrid w:val="0"/>
          <w:kern w:val="0"/>
          <w:sz w:val="24"/>
          <w:szCs w:val="20"/>
        </w:rPr>
        <w:t>包含在合同总价中，专款专用，不得挪为他用。</w:t>
      </w:r>
    </w:p>
    <w:p w14:paraId="34379CC5">
      <w:pPr>
        <w:spacing w:line="440" w:lineRule="exact"/>
        <w:ind w:firstLine="480" w:firstLineChars="200"/>
        <w:rPr>
          <w:rFonts w:hint="eastAsia" w:ascii="宋体" w:hAnsi="宋体" w:eastAsia="宋体" w:cs="宋体"/>
          <w:sz w:val="24"/>
        </w:rPr>
      </w:pPr>
      <w:r>
        <w:rPr>
          <w:rFonts w:hint="eastAsia" w:ascii="宋体" w:hAnsi="宋体" w:eastAsia="宋体" w:cs="宋体"/>
          <w:sz w:val="24"/>
        </w:rPr>
        <w:t>28.5.2约定支付方式</w:t>
      </w:r>
    </w:p>
    <w:p w14:paraId="5485FB12">
      <w:pPr>
        <w:spacing w:line="44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kern w:val="0"/>
          <w:sz w:val="24"/>
        </w:rPr>
        <w:t>本工程</w:t>
      </w:r>
      <w:r>
        <w:rPr>
          <w:rFonts w:hint="eastAsia" w:ascii="宋体" w:hAnsi="宋体" w:eastAsia="宋体" w:cs="宋体"/>
          <w:sz w:val="24"/>
        </w:rPr>
        <w:t>绿色施工安全防护措施费</w:t>
      </w:r>
      <w:r>
        <w:rPr>
          <w:rFonts w:hint="eastAsia" w:ascii="宋体" w:hAnsi="宋体" w:eastAsia="宋体" w:cs="宋体"/>
          <w:kern w:val="0"/>
          <w:sz w:val="24"/>
        </w:rPr>
        <w:t>的</w:t>
      </w:r>
      <w:r>
        <w:rPr>
          <w:rFonts w:hint="eastAsia" w:eastAsia="宋体" w:cs="宋体"/>
          <w:snapToGrid w:val="0"/>
          <w:u w:val="single"/>
        </w:rPr>
        <w:t>20%</w:t>
      </w:r>
      <w:r>
        <w:rPr>
          <w:rFonts w:hint="eastAsia" w:ascii="宋体" w:hAnsi="宋体" w:eastAsia="宋体" w:cs="宋体"/>
          <w:kern w:val="0"/>
          <w:sz w:val="24"/>
        </w:rPr>
        <w:t>（含税）已包含在本合同预付款中一并支付；经发包人和监理工程师审查合格符合开工条件，承包人向发包人申请，发包人批准后，累计支付至该项费用的50%（含税）；施工期间，由发包人和监理工程师组织两次安全文明施工考评，两次考评合格后累计支付至该项费用的</w:t>
      </w:r>
      <w:r>
        <w:rPr>
          <w:rFonts w:ascii="宋体" w:hAnsi="宋体" w:eastAsia="宋体" w:cs="宋体"/>
          <w:kern w:val="0"/>
          <w:sz w:val="24"/>
        </w:rPr>
        <w:t>8</w:t>
      </w:r>
      <w:r>
        <w:rPr>
          <w:rFonts w:hint="eastAsia" w:ascii="宋体" w:hAnsi="宋体" w:eastAsia="宋体" w:cs="宋体"/>
          <w:kern w:val="0"/>
          <w:sz w:val="24"/>
        </w:rPr>
        <w:t>0%（含税），项目完工后支付该项费用余下的尾款。如承包人不按规定使用措施费或安全措施落实不到位，由发包人和监理工程师责令其改正，停止该项费用的划拨，同时上报建设行政主管部门，据情况追究有关责任，并将企业和项目经理的不良行为录入企业信誉档案，与其量化考评办法挂钩。</w:t>
      </w:r>
      <w:r>
        <w:rPr>
          <w:rFonts w:hint="eastAsia" w:ascii="宋体" w:hAnsi="宋体" w:eastAsia="宋体" w:cs="宋体"/>
          <w:sz w:val="24"/>
        </w:rPr>
        <w:t>承包人申请支付绿色施工安全防护措施费时，须提交实际已发生的绿色施工安全防护措施费的支出明细及支出证明，经监理人和发包人核实后与进度款同期支付。</w:t>
      </w:r>
    </w:p>
    <w:p w14:paraId="32FDC2A6">
      <w:pPr>
        <w:pStyle w:val="37"/>
        <w:adjustRightInd w:val="0"/>
        <w:snapToGrid w:val="0"/>
        <w:spacing w:before="0" w:beforeAutospacing="0" w:after="0" w:afterAutospacing="0" w:line="440" w:lineRule="exact"/>
        <w:ind w:firstLine="480" w:firstLineChars="200"/>
        <w:outlineLvl w:val="3"/>
        <w:rPr>
          <w:rFonts w:hint="eastAsia" w:eastAsia="宋体" w:cs="宋体"/>
          <w:snapToGrid w:val="0"/>
        </w:rPr>
      </w:pPr>
      <w:r>
        <w:rPr>
          <w:rFonts w:hint="eastAsia" w:eastAsia="宋体" w:cs="宋体"/>
          <w:snapToGrid w:val="0"/>
        </w:rPr>
        <w:t>28.6因变更引起的工程项目支付方式</w:t>
      </w:r>
    </w:p>
    <w:p w14:paraId="4C211D5D">
      <w:pPr>
        <w:pStyle w:val="37"/>
        <w:adjustRightInd w:val="0"/>
        <w:snapToGrid w:val="0"/>
        <w:spacing w:before="0" w:beforeAutospacing="0" w:after="0" w:afterAutospacing="0" w:line="440" w:lineRule="exact"/>
        <w:ind w:firstLine="480" w:firstLineChars="200"/>
        <w:rPr>
          <w:rFonts w:hint="eastAsia" w:eastAsia="宋体" w:cs="宋体"/>
          <w:snapToGrid w:val="0"/>
        </w:rPr>
      </w:pPr>
      <w:r>
        <w:rPr>
          <w:rFonts w:hint="eastAsia" w:eastAsia="宋体" w:cs="宋体"/>
          <w:snapToGrid w:val="0"/>
        </w:rPr>
        <w:t>经发包人按上级部门规定的变更款审核程序完成审核后纳入下期进度款中一并支付。</w:t>
      </w:r>
    </w:p>
    <w:p w14:paraId="2D70686E">
      <w:pPr>
        <w:autoSpaceDE w:val="0"/>
        <w:autoSpaceDN w:val="0"/>
        <w:adjustRightInd w:val="0"/>
        <w:snapToGrid w:val="0"/>
        <w:spacing w:line="440" w:lineRule="exact"/>
        <w:ind w:right="11" w:firstLine="482"/>
        <w:outlineLvl w:val="3"/>
        <w:rPr>
          <w:rFonts w:hint="eastAsia" w:ascii="宋体" w:hAnsi="宋体" w:eastAsia="宋体" w:cs="宋体"/>
          <w:bCs/>
          <w:snapToGrid w:val="0"/>
          <w:kern w:val="0"/>
          <w:sz w:val="24"/>
          <w:lang w:val="zh-CN"/>
        </w:rPr>
      </w:pPr>
      <w:r>
        <w:rPr>
          <w:rFonts w:hint="eastAsia" w:ascii="宋体" w:hAnsi="宋体" w:eastAsia="宋体" w:cs="宋体"/>
          <w:bCs/>
          <w:snapToGrid w:val="0"/>
          <w:kern w:val="0"/>
          <w:sz w:val="24"/>
          <w:lang w:val="zh-CN"/>
        </w:rPr>
        <w:t>28.</w:t>
      </w:r>
      <w:r>
        <w:rPr>
          <w:rFonts w:ascii="宋体" w:hAnsi="宋体" w:eastAsia="宋体" w:cs="宋体"/>
          <w:bCs/>
          <w:snapToGrid w:val="0"/>
          <w:kern w:val="0"/>
          <w:sz w:val="24"/>
          <w:lang w:val="zh-CN"/>
        </w:rPr>
        <w:t>7</w:t>
      </w:r>
      <w:r>
        <w:rPr>
          <w:rFonts w:hint="eastAsia" w:ascii="宋体" w:hAnsi="宋体" w:eastAsia="宋体" w:cs="宋体"/>
          <w:bCs/>
          <w:snapToGrid w:val="0"/>
          <w:kern w:val="0"/>
          <w:sz w:val="24"/>
          <w:lang w:val="zh-CN"/>
        </w:rPr>
        <w:t>发包人原则上按每个季度统计并计算一次变更工程和新增工程、暂列金额支付情况，当发包人统计的本合同承包范围内的总金额大于本合同价款时，发包人与承包人双方应按有关规定报项目业主及其上级单位（如需）或相关政府主管部门（如需）同意或批准后签订补充合同。</w:t>
      </w:r>
    </w:p>
    <w:p w14:paraId="4C63102A">
      <w:pPr>
        <w:pStyle w:val="37"/>
        <w:adjustRightInd w:val="0"/>
        <w:snapToGrid w:val="0"/>
        <w:spacing w:before="0" w:beforeAutospacing="0" w:after="0" w:afterAutospacing="0" w:line="440" w:lineRule="exact"/>
        <w:ind w:firstLine="480" w:firstLineChars="200"/>
        <w:rPr>
          <w:rFonts w:hint="eastAsia" w:eastAsia="宋体" w:cs="宋体"/>
          <w:snapToGrid w:val="0"/>
        </w:rPr>
      </w:pPr>
      <w:r>
        <w:rPr>
          <w:rFonts w:hint="eastAsia" w:eastAsia="宋体" w:cs="宋体"/>
          <w:snapToGrid w:val="0"/>
        </w:rPr>
        <w:t>补充合同签订后暂列金额归零，在</w:t>
      </w:r>
      <w:bookmarkStart w:id="594" w:name="_Hlk89077405"/>
      <w:r>
        <w:rPr>
          <w:rFonts w:hint="eastAsia" w:eastAsia="宋体" w:cs="宋体"/>
          <w:snapToGrid w:val="0"/>
        </w:rPr>
        <w:t>特殊情况下</w:t>
      </w:r>
      <w:bookmarkEnd w:id="594"/>
      <w:r>
        <w:rPr>
          <w:rFonts w:hint="eastAsia" w:eastAsia="宋体" w:cs="宋体"/>
          <w:snapToGrid w:val="0"/>
        </w:rPr>
        <w:t>，经监理单位及发包人审定后可予支付，但竣工验收前累计支付额不得超过本合同价款的80%。</w:t>
      </w:r>
    </w:p>
    <w:p w14:paraId="0F6FEAAF">
      <w:pPr>
        <w:pStyle w:val="37"/>
        <w:adjustRightInd w:val="0"/>
        <w:snapToGrid w:val="0"/>
        <w:spacing w:before="0" w:beforeAutospacing="0" w:after="0" w:afterAutospacing="0" w:line="440" w:lineRule="exact"/>
        <w:ind w:firstLine="480" w:firstLineChars="200"/>
        <w:rPr>
          <w:rFonts w:hint="eastAsia" w:eastAsia="宋体" w:cs="宋体"/>
          <w:snapToGrid w:val="0"/>
        </w:rPr>
      </w:pPr>
    </w:p>
    <w:p w14:paraId="538B03BB">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595" w:name="_Toc176192823"/>
      <w:bookmarkStart w:id="596" w:name="_Toc8501"/>
      <w:bookmarkStart w:id="597" w:name="_Toc397364925"/>
      <w:bookmarkStart w:id="598" w:name="_Toc15091"/>
      <w:r>
        <w:rPr>
          <w:rFonts w:hint="eastAsia" w:ascii="宋体" w:hAnsi="宋体" w:eastAsia="宋体" w:cs="宋体"/>
          <w:b/>
          <w:bCs/>
          <w:snapToGrid w:val="0"/>
          <w:kern w:val="0"/>
          <w:sz w:val="28"/>
          <w:szCs w:val="28"/>
        </w:rPr>
        <w:t>七、材料设备供应</w:t>
      </w:r>
      <w:bookmarkEnd w:id="595"/>
      <w:bookmarkEnd w:id="596"/>
      <w:bookmarkEnd w:id="597"/>
      <w:bookmarkEnd w:id="598"/>
    </w:p>
    <w:p w14:paraId="171AF3B4">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599" w:name="_Toc176192824"/>
      <w:bookmarkStart w:id="600" w:name="_Toc396662393"/>
      <w:r>
        <w:rPr>
          <w:rFonts w:hint="eastAsia" w:ascii="宋体" w:hAnsi="宋体" w:eastAsia="宋体" w:cs="宋体"/>
          <w:b/>
          <w:snapToGrid w:val="0"/>
          <w:kern w:val="0"/>
          <w:sz w:val="24"/>
        </w:rPr>
        <w:t>29、发包人供应材料设备</w:t>
      </w:r>
      <w:bookmarkEnd w:id="599"/>
    </w:p>
    <w:bookmarkEnd w:id="600"/>
    <w:p w14:paraId="000400E8">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本合同工程发包人不提供任何材料设备</w:t>
      </w:r>
      <w:bookmarkStart w:id="601" w:name="_Toc396662395"/>
      <w:r>
        <w:rPr>
          <w:rFonts w:hint="eastAsia" w:ascii="宋体" w:hAnsi="宋体" w:eastAsia="宋体" w:cs="宋体"/>
          <w:snapToGrid w:val="0"/>
          <w:kern w:val="0"/>
          <w:sz w:val="24"/>
        </w:rPr>
        <w:t>。</w:t>
      </w:r>
    </w:p>
    <w:bookmarkEnd w:id="601"/>
    <w:p w14:paraId="34A386D2">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602" w:name="_Toc176192825"/>
      <w:r>
        <w:rPr>
          <w:rFonts w:hint="eastAsia" w:ascii="宋体" w:hAnsi="宋体" w:eastAsia="宋体" w:cs="宋体"/>
          <w:b/>
          <w:snapToGrid w:val="0"/>
          <w:kern w:val="0"/>
          <w:sz w:val="24"/>
        </w:rPr>
        <w:t>30、承包人采购材料设备</w:t>
      </w:r>
      <w:bookmarkEnd w:id="602"/>
    </w:p>
    <w:p w14:paraId="0077E529">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30.1本合同工程材料设备均为乙供材料设备（即承包人提供材料设备），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w:t>
      </w:r>
    </w:p>
    <w:p w14:paraId="129F000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30.6由承包人采购的材料设备，发包人不得指定生产厂或供应商；但承包人需在采购前向监理单位、发包人报审并取得相应书面同意。主要材料设备的报审资料需包含厂家对本工程开具的供货授权函，以便于维保工作。</w:t>
      </w:r>
    </w:p>
    <w:p w14:paraId="78D17348">
      <w:pPr>
        <w:adjustRightInd w:val="0"/>
        <w:snapToGrid w:val="0"/>
        <w:spacing w:line="440" w:lineRule="exact"/>
        <w:ind w:right="11" w:firstLine="463" w:firstLineChars="192"/>
        <w:rPr>
          <w:rFonts w:hint="eastAsia" w:ascii="宋体" w:hAnsi="宋体" w:eastAsia="宋体" w:cs="宋体"/>
          <w:bCs/>
          <w:snapToGrid w:val="0"/>
          <w:kern w:val="0"/>
          <w:sz w:val="24"/>
        </w:rPr>
      </w:pPr>
      <w:r>
        <w:rPr>
          <w:rFonts w:hint="eastAsia" w:ascii="宋体" w:hAnsi="宋体" w:eastAsia="宋体" w:cs="宋体"/>
          <w:b/>
          <w:snapToGrid w:val="0"/>
          <w:kern w:val="0"/>
          <w:sz w:val="24"/>
        </w:rPr>
        <w:t>承包人和发包人一致同意增加30.7：</w:t>
      </w:r>
    </w:p>
    <w:p w14:paraId="16409795">
      <w:pPr>
        <w:pStyle w:val="22"/>
        <w:adjustRightInd w:val="0"/>
        <w:snapToGrid w:val="0"/>
        <w:spacing w:line="440" w:lineRule="exact"/>
        <w:ind w:firstLine="480" w:firstLineChars="200"/>
        <w:outlineLvl w:val="3"/>
        <w:rPr>
          <w:rFonts w:hint="eastAsia" w:hAnsi="宋体" w:eastAsia="宋体" w:cs="宋体"/>
          <w:snapToGrid w:val="0"/>
          <w:kern w:val="0"/>
          <w:sz w:val="24"/>
        </w:rPr>
      </w:pPr>
      <w:r>
        <w:rPr>
          <w:rFonts w:hint="eastAsia" w:hAnsi="宋体" w:eastAsia="宋体" w:cs="宋体"/>
          <w:snapToGrid w:val="0"/>
          <w:kern w:val="0"/>
          <w:sz w:val="24"/>
        </w:rPr>
        <w:t>30.7对材料设备采购的相关要求</w:t>
      </w:r>
    </w:p>
    <w:p w14:paraId="4703DD82">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（1）混凝土、水泥、钢筋等主材厂家要求</w:t>
      </w:r>
    </w:p>
    <w:p w14:paraId="7A55AEC5">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①混凝土生产厂要求：行政主管部门核定的二级及以上资质，且一年内没发生质量事故和行政主管部门的通报批评。</w:t>
      </w:r>
    </w:p>
    <w:p w14:paraId="441EC702">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②水泥应符合现行通用水泥国家标准，选用质量稳定，低水化热和含碱量、含氯离子量偏低的水泥，不得使用硫铝酸盐水泥、铁铝酸盐水泥和高铝水泥，结构部位不得使用立窑法生产的水泥。</w:t>
      </w:r>
    </w:p>
    <w:p w14:paraId="6BC572E9">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fldChar w:fldCharType="begin"/>
      </w:r>
      <w:r>
        <w:rPr>
          <w:rFonts w:hint="eastAsia" w:hAnsi="宋体" w:eastAsia="宋体" w:cs="宋体"/>
          <w:snapToGrid w:val="0"/>
          <w:kern w:val="0"/>
          <w:sz w:val="24"/>
        </w:rPr>
        <w:instrText xml:space="preserve"> = 3 \* GB3 </w:instrText>
      </w:r>
      <w:r>
        <w:rPr>
          <w:rFonts w:hint="eastAsia" w:hAnsi="宋体" w:eastAsia="宋体" w:cs="宋体"/>
          <w:snapToGrid w:val="0"/>
          <w:kern w:val="0"/>
          <w:sz w:val="24"/>
        </w:rPr>
        <w:fldChar w:fldCharType="separate"/>
      </w:r>
      <w:r>
        <w:rPr>
          <w:rFonts w:hint="eastAsia" w:hAnsi="宋体" w:eastAsia="宋体" w:cs="宋体"/>
          <w:snapToGrid w:val="0"/>
          <w:kern w:val="0"/>
          <w:sz w:val="24"/>
        </w:rPr>
        <w:t>③</w:t>
      </w:r>
      <w:r>
        <w:rPr>
          <w:rFonts w:hint="eastAsia" w:hAnsi="宋体" w:eastAsia="宋体" w:cs="宋体"/>
          <w:snapToGrid w:val="0"/>
          <w:kern w:val="0"/>
          <w:sz w:val="24"/>
        </w:rPr>
        <w:fldChar w:fldCharType="end"/>
      </w:r>
      <w:r>
        <w:rPr>
          <w:rFonts w:hint="eastAsia" w:hAnsi="宋体" w:eastAsia="宋体" w:cs="宋体"/>
          <w:snapToGrid w:val="0"/>
          <w:kern w:val="0"/>
          <w:sz w:val="24"/>
        </w:rPr>
        <w:t>钢筋、钢绞线、钢板供应商要求：国家免检厂家产品，年产量100万吨以上，且二年内无有效投诉。</w:t>
      </w:r>
    </w:p>
    <w:p w14:paraId="10D65706">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2）承包人采购材料设备的约定：本工程中的承包人工作范围内的所有材料设备均由承包人按设计图纸、规范要求及招标文件中的品牌清单，并在征得发包人书面同意的前提下进行采购，材料或设备的采购、装卸、运输、仓储保管、吊装、场内二次转运、质检和验收均由承包人负责，合同价中已考虑物价上涨因素。如因材料或设备生产厂家的原因造成承包人无法按原报价品牌及设计图纸、规范要求进行采购的，承包人须在征得发包人书面同意的前提下购买招标时发包人提供的参考品牌的材料设备中的其他品牌，但该材料或设备的价格在结算时不得进行任何调整。如再因其它原因导致承包人不能按招标时发包人提供的品牌进行采购，则承包人在征得发包人书面同意的前提下，提供三家或以上的品牌（这些品牌的质量和档次必须都不低于原报价品牌）供监理单位、发包人审核并同意后进行采购；相应的材料或设备的价格如高于投标报价的，高出报价部分不予调整，如低于投标报价的则按实结算。</w:t>
      </w:r>
    </w:p>
    <w:p w14:paraId="09D536C2">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w:t>
      </w:r>
      <w:r>
        <w:rPr>
          <w:rFonts w:hAnsi="宋体" w:eastAsia="宋体" w:cs="宋体"/>
          <w:snapToGrid w:val="0"/>
          <w:kern w:val="0"/>
          <w:sz w:val="24"/>
        </w:rPr>
        <w:t>3</w:t>
      </w:r>
      <w:r>
        <w:rPr>
          <w:rFonts w:hint="eastAsia" w:hAnsi="宋体" w:eastAsia="宋体" w:cs="宋体"/>
          <w:snapToGrid w:val="0"/>
          <w:kern w:val="0"/>
          <w:sz w:val="24"/>
        </w:rPr>
        <w:t>）招标文件未列明推荐品牌的材料设备</w:t>
      </w:r>
    </w:p>
    <w:p w14:paraId="53A25F15">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①招标文件未列明推荐品牌的，承包人必须注明所选用材料设备的品牌、产地、规格、等级，承包人所报的材料及设备应按国产高档或合资水平考虑，其单价均为到工地结算价，即包含采购费、运杂费及运输损耗、仓储保管费、装卸费、吊装费及场内二次转运费等。实际施工时，其选型由承包人按照图纸及相关技术参数要求提供不少于三家同等档次品牌产品，报监理单位及发包人审批确定。如未注明，则按发包人的要求采购，且发包人保留调整其材料价格的权利。</w:t>
      </w:r>
    </w:p>
    <w:p w14:paraId="172681B9">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②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3B4B488F">
      <w:pPr>
        <w:pStyle w:val="22"/>
        <w:adjustRightInd w:val="0"/>
        <w:snapToGrid w:val="0"/>
        <w:spacing w:line="440" w:lineRule="exact"/>
        <w:ind w:firstLine="480" w:firstLineChars="200"/>
        <w:outlineLvl w:val="4"/>
        <w:rPr>
          <w:rFonts w:hint="eastAsia" w:hAnsi="宋体" w:eastAsia="宋体" w:cs="宋体"/>
          <w:snapToGrid w:val="0"/>
          <w:kern w:val="0"/>
          <w:sz w:val="24"/>
        </w:rPr>
      </w:pPr>
      <w:r>
        <w:rPr>
          <w:rFonts w:hint="eastAsia" w:hAnsi="宋体" w:eastAsia="宋体" w:cs="宋体"/>
          <w:snapToGrid w:val="0"/>
          <w:kern w:val="0"/>
          <w:sz w:val="24"/>
        </w:rPr>
        <w:t>（</w:t>
      </w:r>
      <w:r>
        <w:rPr>
          <w:rFonts w:hAnsi="宋体" w:eastAsia="宋体" w:cs="宋体"/>
          <w:snapToGrid w:val="0"/>
          <w:kern w:val="0"/>
          <w:sz w:val="24"/>
        </w:rPr>
        <w:t>4</w:t>
      </w:r>
      <w:r>
        <w:rPr>
          <w:rFonts w:hint="eastAsia" w:hAnsi="宋体" w:eastAsia="宋体" w:cs="宋体"/>
          <w:snapToGrid w:val="0"/>
          <w:kern w:val="0"/>
          <w:sz w:val="24"/>
        </w:rPr>
        <w:t>）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522B722F">
      <w:pPr>
        <w:pStyle w:val="22"/>
        <w:adjustRightInd w:val="0"/>
        <w:snapToGrid w:val="0"/>
        <w:spacing w:line="400" w:lineRule="exact"/>
        <w:ind w:firstLine="480" w:firstLineChars="200"/>
        <w:outlineLvl w:val="4"/>
        <w:rPr>
          <w:rFonts w:hint="eastAsia" w:hAnsi="宋体" w:eastAsia="宋体" w:cs="宋体"/>
          <w:snapToGrid w:val="0"/>
          <w:kern w:val="0"/>
          <w:sz w:val="24"/>
        </w:rPr>
      </w:pPr>
      <w:r>
        <w:rPr>
          <w:rFonts w:hint="eastAsia" w:hAnsi="宋体" w:eastAsia="宋体" w:cs="宋体"/>
          <w:snapToGrid w:val="0"/>
          <w:kern w:val="0"/>
          <w:sz w:val="24"/>
        </w:rPr>
        <w:t>（</w:t>
      </w:r>
      <w:r>
        <w:rPr>
          <w:rFonts w:hAnsi="宋体" w:eastAsia="宋体" w:cs="宋体"/>
          <w:snapToGrid w:val="0"/>
          <w:kern w:val="0"/>
          <w:sz w:val="24"/>
        </w:rPr>
        <w:t>5</w:t>
      </w:r>
      <w:r>
        <w:rPr>
          <w:rFonts w:hint="eastAsia" w:hAnsi="宋体" w:eastAsia="宋体" w:cs="宋体"/>
          <w:snapToGrid w:val="0"/>
          <w:kern w:val="0"/>
          <w:sz w:val="24"/>
        </w:rPr>
        <w:t>）承包人在投标时所选定材料设备的品牌、规格和供应商，一经总监理工程师审批报发包人备案后，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品牌清单详见附件。</w:t>
      </w:r>
    </w:p>
    <w:p w14:paraId="67C865EA">
      <w:pPr>
        <w:pStyle w:val="22"/>
        <w:adjustRightInd w:val="0"/>
        <w:snapToGrid w:val="0"/>
        <w:spacing w:line="440" w:lineRule="exact"/>
        <w:ind w:firstLine="480" w:firstLineChars="200"/>
        <w:outlineLvl w:val="4"/>
        <w:rPr>
          <w:rFonts w:hint="eastAsia" w:hAnsi="宋体" w:eastAsia="宋体" w:cs="宋体"/>
          <w:snapToGrid w:val="0"/>
          <w:kern w:val="0"/>
          <w:sz w:val="24"/>
        </w:rPr>
      </w:pPr>
      <w:r>
        <w:rPr>
          <w:rFonts w:hint="eastAsia" w:hAnsi="宋体" w:eastAsia="宋体" w:cs="宋体"/>
          <w:snapToGrid w:val="0"/>
          <w:kern w:val="0"/>
          <w:sz w:val="24"/>
        </w:rPr>
        <w:t>（</w:t>
      </w:r>
      <w:r>
        <w:rPr>
          <w:rFonts w:hAnsi="宋体" w:eastAsia="宋体" w:cs="宋体"/>
          <w:snapToGrid w:val="0"/>
          <w:kern w:val="0"/>
          <w:sz w:val="24"/>
        </w:rPr>
        <w:t>6</w:t>
      </w:r>
      <w:r>
        <w:rPr>
          <w:rFonts w:hint="eastAsia" w:hAnsi="宋体" w:eastAsia="宋体" w:cs="宋体"/>
          <w:snapToGrid w:val="0"/>
          <w:kern w:val="0"/>
          <w:sz w:val="24"/>
        </w:rPr>
        <w:t>）材料设备采购的变更</w:t>
      </w:r>
    </w:p>
    <w:p w14:paraId="0DFAB0FB">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1）在工程施工过程中，根据工程的具体情况，从有利于保证工程质量、进度和投资控制角度考虑，发包人有权对相应材料设备的采购供应方式进行适当的变更（如甲供改乙供，或乙供改甲供，或乙供改甲招乙供），承包人在接到发包人的变更通知后，应无条件地接受发包人对材料设备采购供应方式的变更并予以积极配合。</w:t>
      </w:r>
    </w:p>
    <w:p w14:paraId="65644108">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2）</w:t>
      </w:r>
      <w:r>
        <w:rPr>
          <w:rFonts w:hint="eastAsia" w:hAnsi="宋体" w:eastAsia="宋体" w:cs="宋体"/>
          <w:snapToGrid w:val="0"/>
          <w:spacing w:val="-4"/>
          <w:kern w:val="0"/>
          <w:sz w:val="24"/>
        </w:rPr>
        <w:t>出于为保证本工程的整体质量和效果等特殊原因，发包人决定将某种材料设备的供货方式由乙供改为甲供或甲招乙供时，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521FC46B">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3）材料设备采购方式改变后，发包人将根据招标文件的相关约定调整甲供、甲招乙供材料设备管理费。材料设备采购方式由甲供改为乙供的，其主材费按合同换算综合单价及合同外新增项目综合单价的主材价格确定方式执行。</w:t>
      </w:r>
    </w:p>
    <w:p w14:paraId="27BF2805">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7）为保证项目现场施工材料与定板材料相一致，承包人应在项目现场设立样板间，用于存放和保管安装类和装修类材料样板。对装饰、装修或景观效果可能产生影响的乙供材料设备（如开关插座面板、景观灯具及装饰灯具等）的品牌确定须同时按照发包人看样定板的相关规定执行。</w:t>
      </w:r>
    </w:p>
    <w:p w14:paraId="6B6F17EA">
      <w:pPr>
        <w:adjustRightInd w:val="0"/>
        <w:snapToGrid w:val="0"/>
        <w:spacing w:line="440" w:lineRule="exact"/>
        <w:ind w:right="11" w:firstLine="480" w:firstLineChars="200"/>
        <w:outlineLvl w:val="1"/>
        <w:rPr>
          <w:rFonts w:hint="eastAsia" w:ascii="宋体" w:hAnsi="宋体" w:eastAsia="宋体" w:cs="宋体"/>
          <w:b/>
          <w:bCs/>
          <w:snapToGrid w:val="0"/>
          <w:kern w:val="0"/>
          <w:sz w:val="28"/>
          <w:szCs w:val="28"/>
        </w:rPr>
      </w:pPr>
      <w:bookmarkStart w:id="603" w:name="_Toc397364926"/>
      <w:r>
        <w:rPr>
          <w:rFonts w:hint="eastAsia" w:hAnsi="宋体" w:eastAsia="宋体" w:cs="宋体"/>
          <w:snapToGrid w:val="0"/>
          <w:kern w:val="0"/>
          <w:sz w:val="24"/>
          <w:lang w:eastAsia="zh-CN"/>
        </w:rPr>
        <w:t>（</w:t>
      </w:r>
      <w:r>
        <w:rPr>
          <w:rFonts w:hint="eastAsia" w:hAnsi="宋体" w:eastAsia="宋体" w:cs="宋体"/>
          <w:snapToGrid w:val="0"/>
          <w:kern w:val="0"/>
          <w:sz w:val="24"/>
          <w:lang w:val="en-US" w:eastAsia="zh-CN"/>
        </w:rPr>
        <w:t>8）</w:t>
      </w:r>
      <w:r>
        <w:rPr>
          <w:rFonts w:hint="eastAsia" w:hAnsi="宋体" w:eastAsia="宋体" w:cs="宋体"/>
          <w:b/>
          <w:bCs/>
          <w:snapToGrid w:val="0"/>
          <w:kern w:val="0"/>
          <w:sz w:val="24"/>
          <w:lang w:val="en-US" w:eastAsia="zh-CN"/>
        </w:rPr>
        <w:t>同一区域的建筑群，尽量使用同一品牌。</w:t>
      </w:r>
    </w:p>
    <w:p w14:paraId="3382897F">
      <w:pPr>
        <w:adjustRightInd w:val="0"/>
        <w:snapToGrid w:val="0"/>
        <w:spacing w:line="440" w:lineRule="exact"/>
        <w:ind w:right="11"/>
        <w:outlineLvl w:val="1"/>
        <w:rPr>
          <w:rFonts w:hint="eastAsia" w:ascii="宋体" w:hAnsi="宋体" w:eastAsia="宋体" w:cs="宋体"/>
          <w:b/>
          <w:bCs/>
          <w:snapToGrid w:val="0"/>
          <w:kern w:val="0"/>
          <w:sz w:val="28"/>
          <w:szCs w:val="28"/>
        </w:rPr>
      </w:pPr>
    </w:p>
    <w:p w14:paraId="1FF54C85">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604" w:name="_Toc176192826"/>
      <w:bookmarkStart w:id="605" w:name="_Toc27297"/>
      <w:bookmarkStart w:id="606" w:name="_Toc5140"/>
      <w:r>
        <w:rPr>
          <w:rFonts w:hint="eastAsia" w:ascii="宋体" w:hAnsi="宋体" w:eastAsia="宋体" w:cs="宋体"/>
          <w:b/>
          <w:bCs/>
          <w:snapToGrid w:val="0"/>
          <w:kern w:val="0"/>
          <w:sz w:val="28"/>
          <w:szCs w:val="28"/>
        </w:rPr>
        <w:t>八、工程变更</w:t>
      </w:r>
      <w:bookmarkEnd w:id="603"/>
      <w:bookmarkEnd w:id="604"/>
      <w:bookmarkEnd w:id="605"/>
      <w:bookmarkEnd w:id="606"/>
    </w:p>
    <w:p w14:paraId="20853BFF">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607" w:name="_Toc397364927"/>
      <w:bookmarkStart w:id="608" w:name="_Toc21293"/>
      <w:bookmarkStart w:id="609" w:name="_Toc13048"/>
      <w:bookmarkStart w:id="610" w:name="_Toc176192827"/>
      <w:r>
        <w:rPr>
          <w:rFonts w:hint="eastAsia" w:ascii="宋体" w:hAnsi="宋体" w:eastAsia="宋体" w:cs="宋体"/>
          <w:b/>
          <w:snapToGrid w:val="0"/>
          <w:kern w:val="0"/>
          <w:sz w:val="24"/>
        </w:rPr>
        <w:t>31、工程设计变更</w:t>
      </w:r>
      <w:bookmarkEnd w:id="607"/>
      <w:bookmarkEnd w:id="608"/>
      <w:bookmarkEnd w:id="609"/>
      <w:bookmarkEnd w:id="610"/>
    </w:p>
    <w:p w14:paraId="325B6986">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31.1工程设计变更是指任何改变这类工程的性质、质量、种类、数量。</w:t>
      </w:r>
    </w:p>
    <w:p w14:paraId="77EC02E2">
      <w:pPr>
        <w:adjustRightInd w:val="0"/>
        <w:snapToGrid w:val="0"/>
        <w:spacing w:line="440" w:lineRule="exact"/>
        <w:ind w:right="11" w:firstLine="463" w:firstLineChars="192"/>
        <w:rPr>
          <w:rFonts w:hint="eastAsia" w:ascii="宋体" w:hAnsi="宋体" w:eastAsia="宋体" w:cs="宋体"/>
          <w:bCs/>
          <w:snapToGrid w:val="0"/>
          <w:kern w:val="0"/>
          <w:sz w:val="24"/>
        </w:rPr>
      </w:pPr>
      <w:r>
        <w:rPr>
          <w:rFonts w:hint="eastAsia" w:ascii="宋体" w:hAnsi="宋体" w:eastAsia="宋体" w:cs="宋体"/>
          <w:b/>
          <w:snapToGrid w:val="0"/>
          <w:kern w:val="0"/>
          <w:sz w:val="24"/>
        </w:rPr>
        <w:t>承包人和发包人一致同意增加31.4、31.</w:t>
      </w:r>
      <w:r>
        <w:rPr>
          <w:rFonts w:ascii="宋体" w:hAnsi="宋体" w:eastAsia="宋体" w:cs="宋体"/>
          <w:b/>
          <w:snapToGrid w:val="0"/>
          <w:kern w:val="0"/>
          <w:sz w:val="24"/>
        </w:rPr>
        <w:t>7</w:t>
      </w:r>
      <w:r>
        <w:rPr>
          <w:rFonts w:hint="eastAsia" w:ascii="宋体" w:hAnsi="宋体" w:eastAsia="宋体" w:cs="宋体"/>
          <w:b/>
          <w:snapToGrid w:val="0"/>
          <w:kern w:val="0"/>
          <w:sz w:val="24"/>
        </w:rPr>
        <w:t>：</w:t>
      </w:r>
    </w:p>
    <w:p w14:paraId="343783B3">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31.4如承包人在实施过程中发现设计上有错误或严重不合理，应以书面形式通知发包人，由发包人与设计单位商定认可后，按设计变更实施。</w:t>
      </w:r>
    </w:p>
    <w:p w14:paraId="50C43D92">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31.5所有的变更均应获得发包人正式批准才能生效。</w:t>
      </w:r>
    </w:p>
    <w:p w14:paraId="137AF830">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31.6发包人有权对招标时的图纸及材料设备进行优化及调整，并按照设计变更程序办理。</w:t>
      </w:r>
    </w:p>
    <w:p w14:paraId="6F8FFD5C">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31.7工程设计变更按合同专用条款相关约定和发包人、项目业主及其上级单位的有关工程变更管理办法及实施细则执行。</w:t>
      </w:r>
    </w:p>
    <w:p w14:paraId="01F7ADE8">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611" w:name="_Toc176192828"/>
      <w:bookmarkStart w:id="612" w:name="_Toc397364928"/>
      <w:bookmarkStart w:id="613" w:name="_Toc9467"/>
      <w:bookmarkStart w:id="614" w:name="_Toc23284"/>
      <w:r>
        <w:rPr>
          <w:rFonts w:hint="eastAsia" w:ascii="宋体" w:hAnsi="宋体" w:eastAsia="宋体" w:cs="宋体"/>
          <w:b/>
          <w:snapToGrid w:val="0"/>
          <w:kern w:val="0"/>
          <w:sz w:val="24"/>
        </w:rPr>
        <w:t>32、其他变更</w:t>
      </w:r>
      <w:bookmarkEnd w:id="611"/>
      <w:bookmarkEnd w:id="612"/>
      <w:bookmarkEnd w:id="613"/>
      <w:bookmarkEnd w:id="614"/>
    </w:p>
    <w:p w14:paraId="15D75DF3">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按合同专用条款相关约定和发包人、项目业主及其上级单位的有关工程变更管理方法及实施细则执行。</w:t>
      </w:r>
    </w:p>
    <w:p w14:paraId="023BDD65">
      <w:pPr>
        <w:adjustRightInd w:val="0"/>
        <w:snapToGrid w:val="0"/>
        <w:spacing w:line="440" w:lineRule="exact"/>
        <w:ind w:right="11" w:firstLine="482" w:firstLineChars="200"/>
        <w:rPr>
          <w:rFonts w:hint="eastAsia" w:ascii="宋体" w:hAnsi="宋体" w:eastAsia="宋体" w:cs="宋体"/>
          <w:b/>
          <w:snapToGrid w:val="0"/>
          <w:kern w:val="0"/>
          <w:sz w:val="24"/>
        </w:rPr>
      </w:pPr>
      <w:r>
        <w:rPr>
          <w:rFonts w:hint="eastAsia" w:ascii="宋体" w:hAnsi="宋体" w:eastAsia="宋体" w:cs="宋体"/>
          <w:b/>
          <w:snapToGrid w:val="0"/>
          <w:kern w:val="0"/>
          <w:sz w:val="24"/>
        </w:rPr>
        <w:t>承包人和发包人一致同意不适用合同通用条款第33条的约定，代之以：</w:t>
      </w:r>
    </w:p>
    <w:p w14:paraId="4DA912F4">
      <w:pPr>
        <w:adjustRightInd w:val="0"/>
        <w:snapToGrid w:val="0"/>
        <w:spacing w:line="440" w:lineRule="exact"/>
        <w:ind w:right="11" w:firstLine="482" w:firstLineChars="200"/>
        <w:outlineLvl w:val="2"/>
        <w:rPr>
          <w:rFonts w:hint="eastAsia" w:ascii="宋体" w:hAnsi="宋体" w:eastAsia="宋体" w:cs="宋体"/>
          <w:b/>
          <w:snapToGrid w:val="0"/>
          <w:kern w:val="0"/>
          <w:sz w:val="24"/>
        </w:rPr>
      </w:pPr>
      <w:bookmarkStart w:id="615" w:name="_Toc14921"/>
      <w:bookmarkStart w:id="616" w:name="_Toc4063"/>
      <w:bookmarkStart w:id="617" w:name="_Toc397364929"/>
      <w:bookmarkStart w:id="618" w:name="_Toc176192829"/>
      <w:r>
        <w:rPr>
          <w:rFonts w:hint="eastAsia" w:ascii="宋体" w:hAnsi="宋体" w:eastAsia="宋体" w:cs="宋体"/>
          <w:b/>
          <w:snapToGrid w:val="0"/>
          <w:kern w:val="0"/>
          <w:sz w:val="24"/>
        </w:rPr>
        <w:t>33、确定变更价款</w:t>
      </w:r>
      <w:bookmarkEnd w:id="615"/>
      <w:bookmarkEnd w:id="616"/>
      <w:bookmarkEnd w:id="617"/>
      <w:bookmarkEnd w:id="618"/>
    </w:p>
    <w:p w14:paraId="6A48FB60">
      <w:pPr>
        <w:adjustRightInd w:val="0"/>
        <w:snapToGrid w:val="0"/>
        <w:spacing w:line="440" w:lineRule="exact"/>
        <w:ind w:right="11" w:firstLine="458" w:firstLineChars="191"/>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33.1在发生合同专用条款第31条约定的工程设计变更后，承包人在收到发包人变更通知的7天内按合同约定的计价方式和内容编制出变更工程预算送交监理单位，监理单位在7天内审核并签署意见后报发包人，发包人按程序报审。</w:t>
      </w:r>
    </w:p>
    <w:p w14:paraId="0CE06F77">
      <w:pPr>
        <w:adjustRightInd w:val="0"/>
        <w:snapToGrid w:val="0"/>
        <w:spacing w:line="440" w:lineRule="exact"/>
        <w:ind w:right="11" w:firstLine="458" w:firstLineChars="191"/>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33.2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出现上述变化需计算工程价款时，承包人按如下方法提出变更价格，报监理单位和发包人批准：</w:t>
      </w:r>
    </w:p>
    <w:p w14:paraId="1920D6B0">
      <w:pPr>
        <w:spacing w:line="440" w:lineRule="exact"/>
        <w:ind w:firstLine="480" w:firstLineChars="200"/>
        <w:rPr>
          <w:rFonts w:hint="eastAsia" w:ascii="宋体" w:hAnsi="宋体" w:eastAsia="宋体" w:cs="宋体"/>
          <w:sz w:val="24"/>
        </w:rPr>
      </w:pPr>
      <w:r>
        <w:rPr>
          <w:rFonts w:hint="eastAsia" w:ascii="宋体" w:hAnsi="宋体" w:eastAsia="宋体" w:cs="宋体"/>
          <w:sz w:val="24"/>
        </w:rPr>
        <w:t>33.2.1在施工过程中由于签证项目、设计变更及非承包人原因引起的工程量增减而发生的工程价款调整的项目，必须得到发包人和现场监理工程师的书面确认和签证，有关的工程价款的调整办法为：</w:t>
      </w:r>
    </w:p>
    <w:p w14:paraId="1BD8E918">
      <w:pPr>
        <w:spacing w:line="440" w:lineRule="exact"/>
        <w:ind w:firstLine="480" w:firstLineChars="200"/>
        <w:rPr>
          <w:rFonts w:hint="eastAsia" w:ascii="宋体" w:hAnsi="宋体" w:eastAsia="宋体" w:cs="宋体"/>
          <w:sz w:val="24"/>
        </w:rPr>
      </w:pPr>
      <w:r>
        <w:rPr>
          <w:rFonts w:hint="eastAsia" w:ascii="宋体" w:hAnsi="宋体" w:eastAsia="宋体" w:cs="宋体"/>
          <w:sz w:val="24"/>
        </w:rPr>
        <w:t>（1）只是工程量清单项目的工程量改变时，按实计算工程量，并沿用相应项目的单价及计费原则和程式。</w:t>
      </w:r>
    </w:p>
    <w:p w14:paraId="6B72F84F">
      <w:pPr>
        <w:spacing w:line="440" w:lineRule="exact"/>
        <w:ind w:firstLine="480" w:firstLineChars="200"/>
        <w:rPr>
          <w:rFonts w:hint="eastAsia" w:ascii="宋体" w:hAnsi="宋体" w:eastAsia="宋体" w:cs="宋体"/>
          <w:sz w:val="24"/>
        </w:rPr>
      </w:pPr>
      <w:r>
        <w:rPr>
          <w:rFonts w:hint="eastAsia" w:ascii="宋体" w:hAnsi="宋体" w:eastAsia="宋体" w:cs="宋体"/>
          <w:sz w:val="24"/>
        </w:rPr>
        <w:t>（2）只是工程量清单项目的材料（包括规格）改变时，主材价格按《专用条款》第25.3.2条的约定执行，调整相应项目的主材费用。</w:t>
      </w:r>
    </w:p>
    <w:p w14:paraId="34ACF08D">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（3）当工程量清单项目的工程量及主要材料同时改变时，同时调整相应项目的工程量及主材费用，其计费原则不变。材料价格按《专用条款》第25.3.2条的约定执行。</w:t>
      </w:r>
    </w:p>
    <w:p w14:paraId="699522D1">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对工程量清单中未列入的新增综合单价，经发包人批准后，由承包人重新报价，按《建设工程工程量清单计价规范（GB50500-2013）》、《市政工程工程量计算规范》（GB50857-2013）、《通用安装工程工程量计算规范》（GB50856-2013）、《房屋建筑与装饰工程工程量计算规范》（GB50854-2013）、《园林绿化工程工程量计算规范》（GB50858-2013）、《广东省建设工程计价依据（2018）》并套用《广东省房屋建筑和市政修缮工程综合定额（2012）》、《广东省房屋建筑与装饰工程综合定额（2018）》、《广东省通用安装工程综合定额（2018）》、《广东省市政工程工程综合定额（2018）》、《广东省园林绿化工程综合定额（2018）》、</w:t>
      </w:r>
      <w:r>
        <w:rPr>
          <w:rFonts w:hint="eastAsia" w:ascii="宋体" w:hAnsi="宋体" w:eastAsia="宋体" w:cs="宋体"/>
          <w:sz w:val="24"/>
        </w:rPr>
        <w:t>《广东省住房和城乡建设厅关于营业税改增值税后调整建设工程计价依据的通知》（粤建市函[2016]1113号）、《广东省住房和城乡建设厅关于调整广州省建设工程计价依据增值税税率的通知》（粤建市函[2018]898号）及广州市建设工程造价管理站发布的广州地区建设工程常用材料税前综合价格（信息价基准期）计算综合单价；缺少信息价的主材，套用广州市工程造价行业协会发布的《广州地区建设工程材料（设备）厂商价格信息》综合价格（信息价基准期）下浮20%计算材料（设备）价</w:t>
      </w:r>
      <w:r>
        <w:rPr>
          <w:rFonts w:hint="eastAsia" w:ascii="宋体" w:hAnsi="宋体" w:eastAsia="宋体" w:cs="宋体"/>
          <w:bCs/>
          <w:snapToGrid w:val="0"/>
          <w:kern w:val="0"/>
          <w:sz w:val="24"/>
        </w:rPr>
        <w:t>；</w:t>
      </w:r>
      <w:r>
        <w:rPr>
          <w:rFonts w:hint="eastAsia" w:ascii="宋体" w:hAnsi="宋体" w:eastAsia="宋体" w:cs="宋体"/>
          <w:snapToGrid w:val="0"/>
          <w:kern w:val="0"/>
          <w:sz w:val="24"/>
        </w:rPr>
        <w:t>材料差价按《专用条款》第25.3.2条的约定执行。按上述方法计算出综合单价后进行下浮（下浮率=（1-中标价/最高投标限价+限价下浮率8%）*100%），其中中标价及最高投标限价需扣除专业分包工程暂估价、暂列金额)，发包人、承包人据此签订补充协议；最终按实际工程量结算，并相应调整合同价格。</w:t>
      </w:r>
    </w:p>
    <w:p w14:paraId="1965A4B6">
      <w:pPr>
        <w:spacing w:line="440" w:lineRule="exact"/>
        <w:ind w:firstLine="480" w:firstLineChars="200"/>
        <w:rPr>
          <w:rFonts w:hint="eastAsia" w:ascii="宋体" w:hAnsi="宋体" w:eastAsia="宋体" w:cs="宋体"/>
          <w:sz w:val="24"/>
        </w:rPr>
      </w:pPr>
      <w:r>
        <w:rPr>
          <w:rFonts w:hint="eastAsia" w:ascii="宋体" w:hAnsi="宋体" w:eastAsia="宋体" w:cs="宋体"/>
          <w:sz w:val="24"/>
        </w:rPr>
        <w:t>（5）如本工程中使用到新材料、新工艺、新技术，因此而发生的在工程量清单中未列入的新增项目，且广州地区建设工程材料指导价格及定额中无可供参考的，则该新增项目的主材通过发包人询价、竞价的方式确定价格，或由发包人另行招标确定价格；该新增项目的其它施工费用通过发包人与承包人协商、谈判确定，若协商、谈判不成时则由发包人另行选定分包人。</w:t>
      </w:r>
    </w:p>
    <w:p w14:paraId="6B6CAC76">
      <w:pPr>
        <w:spacing w:line="440" w:lineRule="exact"/>
        <w:ind w:firstLine="480" w:firstLineChars="200"/>
        <w:rPr>
          <w:rFonts w:hint="eastAsia" w:ascii="宋体" w:hAnsi="宋体" w:eastAsia="宋体" w:cs="宋体"/>
          <w:sz w:val="24"/>
        </w:rPr>
      </w:pPr>
      <w:r>
        <w:rPr>
          <w:rFonts w:hint="eastAsia" w:ascii="宋体" w:hAnsi="宋体" w:eastAsia="宋体" w:cs="宋体"/>
          <w:sz w:val="24"/>
        </w:rPr>
        <w:t>（6）本合同清单中标明的固定综合单价不因劳务或其他影响合同实施成本的事项发生价格变动而进行调整。</w:t>
      </w:r>
    </w:p>
    <w:p w14:paraId="43211C9C">
      <w:pPr>
        <w:spacing w:line="440" w:lineRule="exact"/>
        <w:ind w:firstLine="480" w:firstLineChars="200"/>
        <w:rPr>
          <w:rFonts w:hint="eastAsia" w:ascii="宋体" w:hAnsi="宋体" w:eastAsia="宋体" w:cs="宋体"/>
          <w:sz w:val="24"/>
        </w:rPr>
      </w:pPr>
      <w:r>
        <w:rPr>
          <w:rFonts w:hint="eastAsia" w:ascii="宋体" w:hAnsi="宋体" w:eastAsia="宋体" w:cs="宋体"/>
          <w:sz w:val="24"/>
        </w:rPr>
        <w:t>（7）当以上提及的变更计价方式均不适用时，由发包人与承包人双方另行协商调整办法。</w:t>
      </w:r>
    </w:p>
    <w:p w14:paraId="68535C52">
      <w:pPr>
        <w:adjustRightInd w:val="0"/>
        <w:snapToGrid w:val="0"/>
        <w:spacing w:line="440" w:lineRule="exact"/>
        <w:ind w:right="11" w:firstLine="460" w:firstLineChars="192"/>
        <w:outlineLvl w:val="4"/>
        <w:rPr>
          <w:rFonts w:hint="eastAsia" w:ascii="宋体" w:hAnsi="宋体" w:eastAsia="宋体" w:cs="宋体"/>
          <w:snapToGrid w:val="0"/>
          <w:kern w:val="0"/>
          <w:sz w:val="24"/>
        </w:rPr>
      </w:pPr>
      <w:r>
        <w:rPr>
          <w:rFonts w:hint="eastAsia" w:ascii="宋体" w:hAnsi="宋体" w:eastAsia="宋体" w:cs="宋体"/>
          <w:snapToGrid w:val="0"/>
          <w:sz w:val="24"/>
        </w:rPr>
        <w:t>33.2.2</w:t>
      </w:r>
      <w:r>
        <w:rPr>
          <w:rFonts w:hint="eastAsia" w:ascii="宋体" w:hAnsi="宋体" w:eastAsia="宋体" w:cs="宋体"/>
          <w:snapToGrid w:val="0"/>
          <w:kern w:val="0"/>
          <w:sz w:val="24"/>
        </w:rPr>
        <w:t>税金的调整和结算方式：按施工同期国家税务管理部门发布的相关规定执行，最终以结算终审意见为准。</w:t>
      </w:r>
    </w:p>
    <w:p w14:paraId="610992D9">
      <w:pPr>
        <w:pStyle w:val="37"/>
        <w:adjustRightInd w:val="0"/>
        <w:snapToGrid w:val="0"/>
        <w:spacing w:before="0" w:beforeAutospacing="0" w:after="0" w:afterAutospacing="0" w:line="440" w:lineRule="exact"/>
        <w:ind w:firstLine="480" w:firstLineChars="200"/>
        <w:outlineLvl w:val="3"/>
        <w:rPr>
          <w:rFonts w:hint="eastAsia" w:eastAsia="宋体" w:cs="宋体"/>
          <w:bCs/>
          <w:snapToGrid w:val="0"/>
        </w:rPr>
      </w:pPr>
      <w:r>
        <w:rPr>
          <w:rFonts w:hint="eastAsia" w:eastAsia="宋体" w:cs="宋体"/>
          <w:bCs/>
          <w:snapToGrid w:val="0"/>
        </w:rPr>
        <w:t>33.3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w:t>
      </w:r>
    </w:p>
    <w:p w14:paraId="47537F99">
      <w:pPr>
        <w:pStyle w:val="37"/>
        <w:adjustRightInd w:val="0"/>
        <w:snapToGrid w:val="0"/>
        <w:spacing w:before="0" w:beforeAutospacing="0" w:after="0" w:afterAutospacing="0" w:line="440" w:lineRule="exact"/>
        <w:ind w:firstLine="480" w:firstLineChars="200"/>
        <w:outlineLvl w:val="3"/>
        <w:rPr>
          <w:rFonts w:hint="eastAsia" w:eastAsia="宋体" w:cs="宋体"/>
          <w:bCs/>
          <w:snapToGrid w:val="0"/>
        </w:rPr>
      </w:pPr>
      <w:r>
        <w:rPr>
          <w:rFonts w:hint="eastAsia" w:eastAsia="宋体" w:cs="宋体"/>
          <w:bCs/>
          <w:snapToGrid w:val="0"/>
        </w:rPr>
        <w:t>33.4凡图纸会审记录涉及工程实体内容变化的，均须经发包人同意转变成设计变更后才能作为调整合同价款的依据。</w:t>
      </w:r>
    </w:p>
    <w:p w14:paraId="6952F895">
      <w:pPr>
        <w:pStyle w:val="37"/>
        <w:adjustRightInd w:val="0"/>
        <w:snapToGrid w:val="0"/>
        <w:spacing w:before="0" w:beforeAutospacing="0" w:after="0" w:afterAutospacing="0" w:line="440" w:lineRule="exact"/>
        <w:ind w:firstLine="480" w:firstLineChars="200"/>
        <w:outlineLvl w:val="3"/>
        <w:rPr>
          <w:rFonts w:hint="eastAsia" w:eastAsia="宋体" w:cs="宋体"/>
          <w:snapToGrid w:val="0"/>
        </w:rPr>
      </w:pPr>
      <w:r>
        <w:rPr>
          <w:rFonts w:hint="eastAsia" w:eastAsia="宋体" w:cs="宋体"/>
          <w:snapToGrid w:val="0"/>
        </w:rPr>
        <w:t>33.5在变更实施过程中，承包人应在发生变更的必要工序提请总监理工程师确认实际发生的情况，以此作为将来费用结算的依据，否则总监理工程师有权拒绝计量，发包人无须支付相关费用，费用由承包人自负。</w:t>
      </w:r>
    </w:p>
    <w:p w14:paraId="2F174A77">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619" w:name="_Toc397364930"/>
    </w:p>
    <w:p w14:paraId="2B908502">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620" w:name="_Toc4876"/>
      <w:bookmarkStart w:id="621" w:name="_Toc31246"/>
      <w:bookmarkStart w:id="622" w:name="_Toc176192830"/>
      <w:r>
        <w:rPr>
          <w:rFonts w:hint="eastAsia" w:ascii="宋体" w:hAnsi="宋体" w:eastAsia="宋体" w:cs="宋体"/>
          <w:b/>
          <w:bCs/>
          <w:snapToGrid w:val="0"/>
          <w:kern w:val="0"/>
          <w:sz w:val="28"/>
          <w:szCs w:val="28"/>
        </w:rPr>
        <w:t>九、竣工验收与结算</w:t>
      </w:r>
      <w:bookmarkEnd w:id="619"/>
      <w:bookmarkEnd w:id="620"/>
      <w:bookmarkEnd w:id="621"/>
      <w:bookmarkEnd w:id="622"/>
    </w:p>
    <w:p w14:paraId="624B6608">
      <w:pPr>
        <w:adjustRightInd w:val="0"/>
        <w:snapToGrid w:val="0"/>
        <w:spacing w:line="440" w:lineRule="exact"/>
        <w:ind w:firstLine="480"/>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承包人与发包人一致同意不适用合同通用条款第34条的约定，代之以：</w:t>
      </w:r>
    </w:p>
    <w:p w14:paraId="0196259D">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23" w:name="_Toc28337"/>
      <w:bookmarkStart w:id="624" w:name="_Toc397364931"/>
      <w:bookmarkStart w:id="625" w:name="_Toc176192831"/>
      <w:bookmarkStart w:id="626" w:name="_Toc6045"/>
      <w:r>
        <w:rPr>
          <w:rFonts w:hint="eastAsia" w:ascii="宋体" w:hAnsi="宋体" w:eastAsia="宋体" w:cs="宋体"/>
          <w:b/>
          <w:bCs/>
          <w:snapToGrid w:val="0"/>
          <w:kern w:val="0"/>
          <w:sz w:val="24"/>
        </w:rPr>
        <w:t>34、竣工验收</w:t>
      </w:r>
      <w:bookmarkEnd w:id="623"/>
      <w:bookmarkEnd w:id="624"/>
      <w:bookmarkEnd w:id="625"/>
      <w:bookmarkEnd w:id="626"/>
    </w:p>
    <w:p w14:paraId="782DB04E">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34.1工程具备竣工验收条件，承包人按国家工程竣工验收有关规定，向发包人提供完整竣工资料（包含竣工图）及竣工验收报告。</w:t>
      </w:r>
    </w:p>
    <w:p w14:paraId="0BD189FD">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00A77246">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34.3发包人应在验收后14天内给予认可或提出修改意见。承包人按要求修改，并承担由自身原因造成修改的费用。</w:t>
      </w:r>
    </w:p>
    <w:p w14:paraId="32D7A639">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34.4发包人收到承包人送交的竣工验收报告后28天内无故不组织验收，或验收后14天内不提出修改意见，视为竣工验收报告已被认可。</w:t>
      </w:r>
    </w:p>
    <w:p w14:paraId="1610946E">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34.5工程竣工验收通过，承包人送交竣工验收报告的日期为实际竣工日期。工程按发包人要求修改后通过竣工验收的，实际竣工日期为承包人修改后提请发包人验收的日期。</w:t>
      </w:r>
    </w:p>
    <w:p w14:paraId="151AF606">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34.6发包人收到承包人竣工验收报告后28天内无故不组织验收，从第29天起承担工程保管及一切意外责任。</w:t>
      </w:r>
    </w:p>
    <w:p w14:paraId="465D0CE6">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34.7中间交工工程的验收按合同专用条款第17条的约定办理。</w:t>
      </w:r>
    </w:p>
    <w:p w14:paraId="7AC4A509">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34.8因特殊原因，发包人要求部分单位工程或工程部位甩项竣工的，双方另行签订甩项竣工协议，明确双方责任和工程价款的支付方法。</w:t>
      </w:r>
    </w:p>
    <w:p w14:paraId="64FC4BB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3DF2B36E">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34.10工程未经竣工验收或竣工验收未通过的，发包人不得使用。发包人强行使用时，由此发生的质量问题及其他问题，由发包人承担责任。</w:t>
      </w:r>
    </w:p>
    <w:p w14:paraId="22DA6305">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34.11承包人应按如下程序进行竣工资料准备：</w:t>
      </w:r>
    </w:p>
    <w:p w14:paraId="2F158B69">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（1）承包人有责任根据竣工验收要求对分包单位所绘制的竣工图进行符合性审查。</w:t>
      </w:r>
    </w:p>
    <w:p w14:paraId="689217C1">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2）承包人有义务对专业承包、分包单位的工程资料按照国家《城市建设档案管理规定》（中华人民共和国建设部令第90号）、《广州市城乡建设档案管理办法》（穗府规〔2020〕8号）、《广州市建设工程档案归档范围（试行）》（广州市城市建设档案馆2015年12月发布）、《广州市建筑工程档案编制指南（试行）》（广州市城市建设档案馆2013年8月发布）和发包人的具体要求进行收集、整理、编制、汇总和管理。</w:t>
      </w:r>
    </w:p>
    <w:p w14:paraId="47A6346F">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34.12验收依据和标准：施工图纸，图纸说明，设计变更资料和图纸，技术交底及会议纪要，国家颁布的施工验收规范、规定，以及本工程专家委员会根据国家有关标准、规范制订的针对本工程特殊子项的施工规范及验收标准。</w:t>
      </w:r>
    </w:p>
    <w:p w14:paraId="4E3660B0">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34.13专业分包工程需单独验收的，经承包人预验合格后，属专业分包项目的再报监理单位进行监理预验；不属专业分包项目的由施工监理单位进行监理预验。合格后由该分包单位与专业工程验收管理部门、监理单位、发包人协商确定验收时间，并及时通知承包人参与验收。</w:t>
      </w:r>
    </w:p>
    <w:p w14:paraId="17281C07">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34.14专业分包工程不需要办理单独验收的，经承包人预验合格后，属专业分包项目的再报监理单位进行监理预验；不属专业分包项目的由施工监理单位进行监理预验。合格后由分包单位、承包人、施工监理单位、发包人协商验收。</w:t>
      </w:r>
    </w:p>
    <w:p w14:paraId="78C7F515">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34.15承包人必须全力配合发包人组织的专项验收工作。</w:t>
      </w:r>
    </w:p>
    <w:p w14:paraId="2A121DD7">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27" w:name="_Toc23080"/>
      <w:bookmarkStart w:id="628" w:name="_Toc176192832"/>
      <w:bookmarkStart w:id="629" w:name="_Toc397364932"/>
      <w:bookmarkStart w:id="630" w:name="_Toc1481"/>
      <w:r>
        <w:rPr>
          <w:rFonts w:hint="eastAsia" w:ascii="宋体" w:hAnsi="宋体" w:eastAsia="宋体" w:cs="宋体"/>
          <w:b/>
          <w:bCs/>
          <w:snapToGrid w:val="0"/>
          <w:kern w:val="0"/>
          <w:sz w:val="24"/>
        </w:rPr>
        <w:t>35、工程移交</w:t>
      </w:r>
      <w:bookmarkEnd w:id="627"/>
      <w:bookmarkEnd w:id="628"/>
      <w:bookmarkEnd w:id="629"/>
      <w:bookmarkEnd w:id="630"/>
    </w:p>
    <w:p w14:paraId="140F9AA6">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35.1承包人应在工程项目移交前将场地清理干净，将无关机械设备及材料撤离现场，保证移交的工程项目环境洁净、安全卫生。</w:t>
      </w:r>
    </w:p>
    <w:p w14:paraId="35AC881B">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35.2承包人应于工程竣工验收合格后15天内按要求提供相关资料，整理汇编成工程移交手册。移交手册包括但不限于以下内容：</w:t>
      </w:r>
    </w:p>
    <w:p w14:paraId="36EE3752">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（1）工程项目各部分、各系统的工程概况；</w:t>
      </w:r>
    </w:p>
    <w:p w14:paraId="6BCD1183">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（2）工程项目全部的图纸及清单；</w:t>
      </w:r>
    </w:p>
    <w:p w14:paraId="3525CECB">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（3）工程项目的承包人、主要材料设备供货商清单、联系人及电话；</w:t>
      </w:r>
    </w:p>
    <w:p w14:paraId="067B137F">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（4）各系统的设计功能、使用功能或使用说明；</w:t>
      </w:r>
    </w:p>
    <w:p w14:paraId="3AA7A922">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（5）主要材料设备的数量；</w:t>
      </w:r>
    </w:p>
    <w:p w14:paraId="4D104775">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（6）工程、材料、设备的保修书（包括保修内容、期限、联系人、电话等）。</w:t>
      </w:r>
    </w:p>
    <w:p w14:paraId="04921FA3">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35.3承包人应在进行本条第35.2款工作的同时编写工程项目移交计划，并于本条第35.2款工作完成后3天内组织发包人、承包人、项目产权管理单位按如下程序进行工程项目移交：</w:t>
      </w:r>
    </w:p>
    <w:p w14:paraId="74D4524E">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（1）按移交手册的资料清单移交图纸、资料；</w:t>
      </w:r>
    </w:p>
    <w:p w14:paraId="10666CFB">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（2）按移交手册的数量清单清点主要材料设备的数量；</w:t>
      </w:r>
    </w:p>
    <w:p w14:paraId="446F895D">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（3）按移交手册的设计、使用功能说明进行必要的功能性试验（或组织各方参加政府指定机构、第三方检测机构进行的功能性试验）；</w:t>
      </w:r>
    </w:p>
    <w:p w14:paraId="05F586C3">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（4）按移交手册的说明进行系统的试运行（或组织各方参加政府指定机构、第三方检测机构进行的功能性试验），测试主要设备的运行参数；</w:t>
      </w:r>
    </w:p>
    <w:p w14:paraId="373F8F60">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（5）组织发包人、承包人、项目产权管理单位各方对上述移交过程进行签认；</w:t>
      </w:r>
    </w:p>
    <w:p w14:paraId="1C6C39FB">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（6）对移交过程中发现的质量问题进行记录并及时组织责任方进行维修，验收合格后重新组织移交；</w:t>
      </w:r>
    </w:p>
    <w:p w14:paraId="7EF91F6E">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（7）对于某些在操作上有专门要求的机电系统编制培训计划，并按合同要求对项目产权管理单位人员进行培训。</w:t>
      </w:r>
    </w:p>
    <w:p w14:paraId="3637C994">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35.4承包人应按照国家《城市建设档案管理规定》（中华人民共和国建设部令第90号）、《广州市城乡建设档案管理办法》（穗府规〔2020〕8号）、《广州市建设工程档案归档范围（试行）》（广州市城市建设档案馆2015年12月发布）、《广州市建筑工程档案编制指南（试行）》（广州市城市建设档案馆2013年8月发布）和发包人有关整理工程档案的要求，在工程施工期间及时收集、汇总、整理、编制竣工档案，包括：</w:t>
      </w:r>
    </w:p>
    <w:p w14:paraId="153D0E1B">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（1）竣工文件资料、竣工图档案（原件）各一式四份；</w:t>
      </w:r>
    </w:p>
    <w:p w14:paraId="6252E564">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（2）与本款（1）项内容相同的电子版档案一式二份；</w:t>
      </w:r>
    </w:p>
    <w:p w14:paraId="21372763">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（3）声像档案一式二份，承包人向发包人移交竣工档案时除《移交目录》外，还须填写《建设项目竣工资料移交清单》（详见附件）；项目相册参照《项目相册（模板）》（详见附件）。</w:t>
      </w:r>
    </w:p>
    <w:p w14:paraId="5BEED6A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74AEC99E">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35.6电子版竣工图的编制，以发包人提供的施工图为基础。承包人在移交竣工档案时，应一并移交发包人提供的施工图。</w:t>
      </w:r>
    </w:p>
    <w:p w14:paraId="7079AEA0">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35.7电子版施工图和电子版竣工图的知识产权归属发包人所有，非经发包人许可，承包人不得以任何方式复制、备份、转让和利用，否则由此引起的任何纠纷和责任由承包人承担。</w:t>
      </w:r>
    </w:p>
    <w:p w14:paraId="072D36A0">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35.8承包人应督促其工程分包单位及时做好竣工资料整理工作，于分包工程竣工验收后25天内将全部档案资料移交给承包人，由承包人汇总、归档，并在承包人移交竣工档案时一并移交。</w:t>
      </w:r>
    </w:p>
    <w:p w14:paraId="6C954D66">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35.9因承包人的原因致使发包人未能按照国家规定向政府有关部门移交工程竣工档案而受到经济处罚的，由承包人承担全额赔偿责任。</w:t>
      </w:r>
    </w:p>
    <w:p w14:paraId="36C72184">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35.10由承包人先移交给发包人、然后再由发包人移交给项目产权管理单位的工程项目，承包人仍应按发包人的要求及上述约定予以协助。</w:t>
      </w:r>
    </w:p>
    <w:p w14:paraId="105D8851">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35.11工程项目移交给项目产权管理单位后，由项目产权管理单位替代发包人在本合同中的地位，承继发包人的权利和义务。</w:t>
      </w:r>
    </w:p>
    <w:p w14:paraId="6F434A37">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35.12承包人参与移交或协助移交的所有费用均已包含在合同价款之内。</w:t>
      </w:r>
    </w:p>
    <w:p w14:paraId="03830211">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35.13需提前使用的工程或部位，按建设单位发出的工程管理相关规定办理提前移交手续，承包人要全力配合，承包人因此增加的配合费用由承包人承担。</w:t>
      </w:r>
    </w:p>
    <w:p w14:paraId="53F2F0CF">
      <w:pPr>
        <w:adjustRightInd w:val="0"/>
        <w:snapToGrid w:val="0"/>
        <w:spacing w:line="440" w:lineRule="exact"/>
        <w:ind w:firstLine="480"/>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承包人与发包人一致同意不适用合同通用条款第36条的约定，代之以：</w:t>
      </w:r>
    </w:p>
    <w:p w14:paraId="2A0D1C9A">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31" w:name="_Toc397364933"/>
      <w:bookmarkStart w:id="632" w:name="_Toc5417"/>
      <w:bookmarkStart w:id="633" w:name="_Toc19460"/>
      <w:bookmarkStart w:id="634" w:name="_Toc176192833"/>
      <w:r>
        <w:rPr>
          <w:rFonts w:hint="eastAsia" w:ascii="宋体" w:hAnsi="宋体" w:eastAsia="宋体" w:cs="宋体"/>
          <w:b/>
          <w:bCs/>
          <w:snapToGrid w:val="0"/>
          <w:kern w:val="0"/>
          <w:sz w:val="24"/>
        </w:rPr>
        <w:t>36、竣工结算</w:t>
      </w:r>
      <w:bookmarkEnd w:id="631"/>
      <w:bookmarkEnd w:id="632"/>
      <w:bookmarkEnd w:id="633"/>
      <w:bookmarkEnd w:id="634"/>
    </w:p>
    <w:p w14:paraId="540F0CE5">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36.1结算方式：本合同按照广州市城市建设投资集团有限公司相关结算管理办法进行结算；按照招标文件及本合同有关规定办理，承包人按发包人提供的《竣工结算编制办法》的具体要求编制结算书，并提交分段结算及竣工结算资料。</w:t>
      </w:r>
    </w:p>
    <w:p w14:paraId="606E9BEF">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36.2承包人提交结算报告的时间</w:t>
      </w:r>
    </w:p>
    <w:p w14:paraId="0E610B80">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承包人提交竣工结算报告的时间：竣工验收合格后</w:t>
      </w:r>
      <w:r>
        <w:rPr>
          <w:rFonts w:hint="eastAsia" w:ascii="宋体" w:hAnsi="宋体" w:eastAsia="宋体" w:cs="宋体"/>
          <w:snapToGrid w:val="0"/>
          <w:kern w:val="0"/>
          <w:sz w:val="24"/>
          <w:u w:val="single"/>
        </w:rPr>
        <w:t>90</w:t>
      </w:r>
      <w:r>
        <w:rPr>
          <w:rFonts w:hint="eastAsia" w:ascii="宋体" w:hAnsi="宋体" w:eastAsia="宋体" w:cs="宋体"/>
          <w:snapToGrid w:val="0"/>
          <w:kern w:val="0"/>
          <w:sz w:val="24"/>
        </w:rPr>
        <w:t>日历天内。</w:t>
      </w:r>
    </w:p>
    <w:p w14:paraId="3C02E1A7">
      <w:pPr>
        <w:adjustRightInd w:val="0"/>
        <w:snapToGrid w:val="0"/>
        <w:spacing w:line="440" w:lineRule="exact"/>
        <w:ind w:right="11" w:firstLine="460" w:firstLineChars="192"/>
        <w:outlineLvl w:val="3"/>
        <w:rPr>
          <w:rFonts w:hint="eastAsia" w:ascii="宋体" w:hAnsi="宋体" w:eastAsia="宋体" w:cs="宋体"/>
          <w:b/>
          <w:snapToGrid w:val="0"/>
          <w:kern w:val="0"/>
          <w:sz w:val="24"/>
        </w:rPr>
      </w:pPr>
      <w:r>
        <w:rPr>
          <w:rFonts w:hint="eastAsia" w:ascii="宋体" w:hAnsi="宋体" w:eastAsia="宋体" w:cs="宋体"/>
          <w:snapToGrid w:val="0"/>
          <w:kern w:val="0"/>
          <w:sz w:val="24"/>
        </w:rPr>
        <w:t>36.3发包人审核结算报告的时间：发包人收到承包人提交的总结算报告后60天内（其中含监理单位审核时间30天）出具初审意见，并及时报有关部门对结算进行终审。</w:t>
      </w:r>
    </w:p>
    <w:p w14:paraId="55978754">
      <w:pPr>
        <w:suppressAutoHyphens/>
        <w:adjustRightInd w:val="0"/>
        <w:snapToGrid w:val="0"/>
        <w:spacing w:line="440" w:lineRule="exact"/>
        <w:ind w:firstLine="360" w:firstLineChars="150"/>
        <w:outlineLvl w:val="3"/>
        <w:rPr>
          <w:rFonts w:hint="eastAsia" w:ascii="宋体" w:hAnsi="宋体" w:eastAsia="宋体" w:cs="宋体"/>
          <w:bCs/>
          <w:snapToGrid w:val="0"/>
          <w:kern w:val="0"/>
          <w:sz w:val="24"/>
        </w:rPr>
      </w:pPr>
      <w:r>
        <w:rPr>
          <w:rFonts w:hint="eastAsia" w:ascii="宋体" w:hAnsi="宋体" w:eastAsia="宋体" w:cs="宋体"/>
          <w:iCs/>
          <w:snapToGrid w:val="0"/>
          <w:kern w:val="0"/>
          <w:sz w:val="24"/>
        </w:rPr>
        <w:t>36.4</w:t>
      </w:r>
      <w:r>
        <w:rPr>
          <w:rFonts w:hint="eastAsia" w:ascii="宋体" w:hAnsi="宋体" w:eastAsia="宋体" w:cs="宋体"/>
          <w:snapToGrid w:val="0"/>
          <w:kern w:val="0"/>
          <w:sz w:val="24"/>
        </w:rPr>
        <w:t>承包人应当在竣工验收合格后</w:t>
      </w:r>
      <w:r>
        <w:rPr>
          <w:rFonts w:hint="eastAsia" w:ascii="宋体" w:hAnsi="宋体" w:eastAsia="宋体" w:cs="宋体"/>
          <w:snapToGrid w:val="0"/>
          <w:kern w:val="0"/>
          <w:sz w:val="24"/>
          <w:u w:val="single"/>
        </w:rPr>
        <w:t>90</w:t>
      </w:r>
      <w:r>
        <w:rPr>
          <w:rFonts w:hint="eastAsia" w:ascii="宋体" w:hAnsi="宋体" w:eastAsia="宋体" w:cs="宋体"/>
          <w:snapToGrid w:val="0"/>
          <w:kern w:val="0"/>
          <w:sz w:val="24"/>
        </w:rPr>
        <w:t>日历天内向</w:t>
      </w:r>
      <w:r>
        <w:rPr>
          <w:rFonts w:hint="eastAsia" w:ascii="宋体" w:hAnsi="宋体" w:eastAsia="宋体" w:cs="宋体"/>
          <w:iCs/>
          <w:snapToGrid w:val="0"/>
          <w:kern w:val="0"/>
          <w:sz w:val="24"/>
        </w:rPr>
        <w:t>发包人</w:t>
      </w:r>
      <w:r>
        <w:rPr>
          <w:rFonts w:hint="eastAsia" w:ascii="宋体" w:hAnsi="宋体" w:eastAsia="宋体" w:cs="宋体"/>
          <w:bCs/>
          <w:snapToGrid w:val="0"/>
          <w:kern w:val="0"/>
          <w:sz w:val="24"/>
        </w:rPr>
        <w:t>提供如下竣工结算资料（包括但不限于以下）：</w:t>
      </w:r>
    </w:p>
    <w:p w14:paraId="312F7C2E">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（1）工程结算书；</w:t>
      </w:r>
    </w:p>
    <w:p w14:paraId="05BBC250">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（2）工程量计算书（即计算底稿）；</w:t>
      </w:r>
    </w:p>
    <w:p w14:paraId="0F1A2320">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（3）钢筋抽料表（建筑、市政、园林景观等工程适用）；</w:t>
      </w:r>
    </w:p>
    <w:p w14:paraId="78C22E9B">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（4）合同文件；</w:t>
      </w:r>
    </w:p>
    <w:p w14:paraId="4C82E20D">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（5）工程竣工图（必要时提供电子版）；</w:t>
      </w:r>
    </w:p>
    <w:p w14:paraId="5426DC5F">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（6）工程竣工资料（必要时提供电子版）；</w:t>
      </w:r>
    </w:p>
    <w:p w14:paraId="71E10592">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（7）图纸会审记录；</w:t>
      </w:r>
    </w:p>
    <w:p w14:paraId="609FA2CE">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（8）设计变更单；</w:t>
      </w:r>
    </w:p>
    <w:p w14:paraId="6735A0E9">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（9）工程洽商记录；</w:t>
      </w:r>
    </w:p>
    <w:p w14:paraId="0F6AEFF3">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（10）总监理工程师通知或发包人施工指令；</w:t>
      </w:r>
    </w:p>
    <w:p w14:paraId="148406EF">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（11）会议纪要；</w:t>
      </w:r>
    </w:p>
    <w:p w14:paraId="280AC782">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（12）工程签证；</w:t>
      </w:r>
    </w:p>
    <w:p w14:paraId="4094810C">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（13）材料设备单价呈批审核单；</w:t>
      </w:r>
    </w:p>
    <w:p w14:paraId="1C277364">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w:t>
      </w:r>
      <w:r>
        <w:rPr>
          <w:rFonts w:ascii="宋体" w:hAnsi="宋体" w:eastAsia="宋体" w:cs="宋体"/>
          <w:snapToGrid w:val="0"/>
          <w:kern w:val="0"/>
          <w:sz w:val="24"/>
        </w:rPr>
        <w:t>4</w:t>
      </w:r>
      <w:r>
        <w:rPr>
          <w:rFonts w:hint="eastAsia" w:ascii="宋体" w:hAnsi="宋体" w:eastAsia="宋体" w:cs="宋体"/>
          <w:snapToGrid w:val="0"/>
          <w:kern w:val="0"/>
          <w:sz w:val="24"/>
        </w:rPr>
        <w:t>）发包人供应材料收货验收签收单；</w:t>
      </w:r>
    </w:p>
    <w:p w14:paraId="3082887D">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w:t>
      </w:r>
      <w:r>
        <w:rPr>
          <w:rFonts w:ascii="宋体" w:hAnsi="宋体" w:eastAsia="宋体" w:cs="宋体"/>
          <w:snapToGrid w:val="0"/>
          <w:kern w:val="0"/>
          <w:sz w:val="24"/>
        </w:rPr>
        <w:t>5</w:t>
      </w:r>
      <w:r>
        <w:rPr>
          <w:rFonts w:hint="eastAsia" w:ascii="宋体" w:hAnsi="宋体" w:eastAsia="宋体" w:cs="宋体"/>
          <w:snapToGrid w:val="0"/>
          <w:kern w:val="0"/>
          <w:sz w:val="24"/>
        </w:rPr>
        <w:t>）其他结算资料；</w:t>
      </w:r>
    </w:p>
    <w:p w14:paraId="1ABAEFFD">
      <w:pPr>
        <w:suppressAutoHyphens/>
        <w:adjustRightInd w:val="0"/>
        <w:snapToGrid w:val="0"/>
        <w:spacing w:line="440" w:lineRule="exact"/>
        <w:ind w:firstLine="360" w:firstLineChars="150"/>
        <w:rPr>
          <w:rFonts w:hint="eastAsia" w:ascii="宋体" w:hAnsi="宋体" w:eastAsia="宋体" w:cs="宋体"/>
          <w:snapToGrid w:val="0"/>
          <w:kern w:val="0"/>
          <w:sz w:val="24"/>
        </w:rPr>
      </w:pPr>
      <w:r>
        <w:rPr>
          <w:rFonts w:hint="eastAsia" w:ascii="宋体" w:hAnsi="宋体" w:eastAsia="宋体" w:cs="宋体"/>
          <w:snapToGrid w:val="0"/>
          <w:kern w:val="0"/>
          <w:sz w:val="24"/>
        </w:rPr>
        <w:t>（1</w:t>
      </w:r>
      <w:r>
        <w:rPr>
          <w:rFonts w:ascii="宋体" w:hAnsi="宋体" w:eastAsia="宋体" w:cs="宋体"/>
          <w:snapToGrid w:val="0"/>
          <w:kern w:val="0"/>
          <w:sz w:val="24"/>
        </w:rPr>
        <w:t>6</w:t>
      </w:r>
      <w:r>
        <w:rPr>
          <w:rFonts w:hint="eastAsia" w:ascii="宋体" w:hAnsi="宋体" w:eastAsia="宋体" w:cs="宋体"/>
          <w:snapToGrid w:val="0"/>
          <w:kern w:val="0"/>
          <w:sz w:val="24"/>
        </w:rPr>
        <w:t>）移交资料签收表。</w:t>
      </w:r>
    </w:p>
    <w:p w14:paraId="109588D1">
      <w:pPr>
        <w:suppressAutoHyphens/>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iCs/>
          <w:snapToGrid w:val="0"/>
          <w:kern w:val="0"/>
          <w:sz w:val="24"/>
        </w:rPr>
        <w:t>36.5</w:t>
      </w:r>
      <w:r>
        <w:rPr>
          <w:rFonts w:hint="eastAsia" w:ascii="宋体" w:hAnsi="宋体" w:eastAsia="宋体" w:cs="宋体"/>
          <w:bCs/>
          <w:snapToGrid w:val="0"/>
          <w:kern w:val="0"/>
          <w:sz w:val="24"/>
        </w:rPr>
        <w:t>发包人对送审结算资料的具体要求：</w:t>
      </w:r>
    </w:p>
    <w:p w14:paraId="53AE6D7A">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65AAB9F5">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（2）工程量计算书（即计算底稿）：工程量计算书由工程量汇总表和详细的工程量计算表达式组成，结算书须提供相应的电子文件。</w:t>
      </w:r>
    </w:p>
    <w:p w14:paraId="61ACE7A2">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413F26D1">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（4）合同文件：包括发包人与承包人签订的合同文件、经发包人确认的承包人与第三方签订的分包合同、各类补充合同、合同附件等，要求将上述合同文件列出总目录按顺序整理装订成册。</w:t>
      </w:r>
    </w:p>
    <w:p w14:paraId="2EC0E828">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39972444">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76572775">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（7）图纸会审记录：要求按图纸会审的时间先后整理装订成册，图纸会审记录须有各单位参加会审人员签字及会审单位盖章确认。</w:t>
      </w:r>
    </w:p>
    <w:p w14:paraId="08919CC8">
      <w:pPr>
        <w:tabs>
          <w:tab w:val="left" w:pos="1875"/>
        </w:tabs>
        <w:suppressAutoHyphens/>
        <w:adjustRightInd w:val="0"/>
        <w:snapToGrid w:val="0"/>
        <w:spacing w:line="440" w:lineRule="exact"/>
        <w:ind w:firstLine="480" w:firstLineChars="200"/>
        <w:rPr>
          <w:rFonts w:hint="eastAsia" w:ascii="宋体" w:hAnsi="宋体" w:eastAsia="宋体" w:cs="宋体"/>
          <w:b/>
          <w:snapToGrid w:val="0"/>
          <w:kern w:val="0"/>
          <w:sz w:val="24"/>
        </w:rPr>
      </w:pPr>
      <w:r>
        <w:rPr>
          <w:rFonts w:hint="eastAsia" w:ascii="宋体" w:hAnsi="宋体" w:eastAsia="宋体" w:cs="宋体"/>
          <w:snapToGrid w:val="0"/>
          <w:kern w:val="0"/>
          <w:sz w:val="24"/>
        </w:rPr>
        <w:t>（8）设计变更单：要求按设计变更的时间先后整理（安装工程要分专业）装订成册。</w:t>
      </w:r>
    </w:p>
    <w:p w14:paraId="55386013">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（9）工程洽商记录：要求根据工程洽商记录的时间先后整理装订成册，然后在每一页的下方统一编号，以便于查找。工程洽商记录须符合发包人制定的有关规定。</w:t>
      </w:r>
    </w:p>
    <w:p w14:paraId="6ECA9450">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6CA8B1FA">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（11）会议纪要：指工程质量、安全、技术、经济等现场协调会会议纪要等。要求根据会议纪要的时间先后整理装订成册，然后在每一页的下方统一编号。会议纪要须符合发包人制定的有关规定。</w:t>
      </w:r>
    </w:p>
    <w:p w14:paraId="1EC0B9D6">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（12）工程签证：要求根据工程签证的时间先后整理装订成册，然后在每一页的下方统一编号，工程签证单上应有工程数量的计算过程和施工简图。</w:t>
      </w:r>
    </w:p>
    <w:p w14:paraId="62A5FD83">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14FB8254">
      <w:pPr>
        <w:tabs>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14</w:t>
      </w:r>
      <w:r>
        <w:rPr>
          <w:rFonts w:hint="eastAsia" w:ascii="宋体" w:hAnsi="宋体" w:eastAsia="宋体" w:cs="宋体"/>
          <w:snapToGrid w:val="0"/>
          <w:kern w:val="0"/>
          <w:sz w:val="24"/>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0FC38E09">
      <w:pPr>
        <w:tabs>
          <w:tab w:val="left" w:pos="1378"/>
          <w:tab w:val="left" w:pos="1875"/>
        </w:tabs>
        <w:suppressAutoHyphen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w:t>
      </w:r>
      <w:r>
        <w:rPr>
          <w:rFonts w:ascii="宋体" w:hAnsi="宋体" w:eastAsia="宋体" w:cs="宋体"/>
          <w:snapToGrid w:val="0"/>
          <w:kern w:val="0"/>
          <w:sz w:val="24"/>
        </w:rPr>
        <w:t>15</w:t>
      </w:r>
      <w:r>
        <w:rPr>
          <w:rFonts w:hint="eastAsia" w:ascii="宋体" w:hAnsi="宋体" w:eastAsia="宋体" w:cs="宋体"/>
          <w:snapToGrid w:val="0"/>
          <w:kern w:val="0"/>
          <w:sz w:val="24"/>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C2CA79D">
      <w:pPr>
        <w:adjustRightInd w:val="0"/>
        <w:snapToGrid w:val="0"/>
        <w:spacing w:line="440" w:lineRule="exact"/>
        <w:ind w:right="11" w:firstLine="480" w:firstLineChars="200"/>
        <w:outlineLvl w:val="3"/>
        <w:rPr>
          <w:rFonts w:hint="eastAsia" w:ascii="宋体" w:hAnsi="宋体" w:eastAsia="宋体" w:cs="宋体"/>
          <w:iCs/>
          <w:snapToGrid w:val="0"/>
          <w:kern w:val="0"/>
          <w:sz w:val="24"/>
        </w:rPr>
      </w:pPr>
      <w:r>
        <w:rPr>
          <w:rFonts w:hint="eastAsia" w:ascii="宋体" w:hAnsi="宋体" w:eastAsia="宋体" w:cs="宋体"/>
          <w:iCs/>
          <w:snapToGrid w:val="0"/>
          <w:kern w:val="0"/>
          <w:sz w:val="24"/>
        </w:rPr>
        <w:t>36.6承包人迟延提交竣工</w:t>
      </w:r>
      <w:r>
        <w:rPr>
          <w:rFonts w:hint="eastAsia" w:ascii="宋体" w:hAnsi="宋体" w:eastAsia="宋体" w:cs="宋体"/>
          <w:snapToGrid w:val="0"/>
          <w:kern w:val="0"/>
          <w:sz w:val="24"/>
        </w:rPr>
        <w:t>结算报告的，</w:t>
      </w:r>
      <w:r>
        <w:rPr>
          <w:rFonts w:hint="eastAsia" w:ascii="宋体" w:hAnsi="宋体" w:eastAsia="宋体" w:cs="宋体"/>
          <w:iCs/>
          <w:snapToGrid w:val="0"/>
          <w:kern w:val="0"/>
          <w:sz w:val="24"/>
        </w:rPr>
        <w:t>发包人完成审核相应结算报告的时间相应顺延。由于</w:t>
      </w:r>
      <w:r>
        <w:rPr>
          <w:rFonts w:hint="eastAsia" w:ascii="宋体" w:hAnsi="宋体" w:eastAsia="宋体" w:cs="宋体"/>
          <w:snapToGrid w:val="0"/>
          <w:kern w:val="0"/>
          <w:sz w:val="24"/>
        </w:rPr>
        <w:t>结算报告存在错误或不完整而退回承包人修改或补充的，</w:t>
      </w:r>
      <w:r>
        <w:rPr>
          <w:rFonts w:hint="eastAsia" w:ascii="宋体" w:hAnsi="宋体" w:eastAsia="宋体" w:cs="宋体"/>
          <w:iCs/>
          <w:snapToGrid w:val="0"/>
          <w:kern w:val="0"/>
          <w:sz w:val="24"/>
        </w:rPr>
        <w:t>发包人完成审核相应结算报告的时间从收到</w:t>
      </w:r>
      <w:r>
        <w:rPr>
          <w:rFonts w:hint="eastAsia" w:ascii="宋体" w:hAnsi="宋体" w:eastAsia="宋体" w:cs="宋体"/>
          <w:snapToGrid w:val="0"/>
          <w:kern w:val="0"/>
          <w:sz w:val="24"/>
        </w:rPr>
        <w:t>修改或补充的结算报告后重新计算。</w:t>
      </w:r>
    </w:p>
    <w:p w14:paraId="50693ABB">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iCs/>
          <w:snapToGrid w:val="0"/>
          <w:kern w:val="0"/>
          <w:sz w:val="24"/>
        </w:rPr>
        <w:t>36.7</w:t>
      </w:r>
      <w:r>
        <w:rPr>
          <w:rFonts w:hint="eastAsia" w:ascii="宋体" w:hAnsi="宋体" w:eastAsia="宋体" w:cs="宋体"/>
          <w:snapToGrid w:val="0"/>
          <w:kern w:val="0"/>
          <w:sz w:val="24"/>
        </w:rPr>
        <w:t>由于承包人未按发包人要求及时报送</w:t>
      </w:r>
      <w:r>
        <w:rPr>
          <w:rFonts w:hint="eastAsia" w:ascii="宋体" w:hAnsi="宋体" w:eastAsia="宋体" w:cs="宋体"/>
          <w:iCs/>
          <w:snapToGrid w:val="0"/>
          <w:kern w:val="0"/>
          <w:sz w:val="24"/>
        </w:rPr>
        <w:t>竣工</w:t>
      </w:r>
      <w:r>
        <w:rPr>
          <w:rFonts w:hint="eastAsia" w:ascii="宋体" w:hAnsi="宋体" w:eastAsia="宋体" w:cs="宋体"/>
          <w:snapToGrid w:val="0"/>
          <w:kern w:val="0"/>
          <w:sz w:val="24"/>
        </w:rPr>
        <w:t>结算资料或报送资料不齐全、不完整引起的相应结算滞后或影响支付，应由承包人负责，承包人所主张的材料款、人工工资等申请将不被接受，应由承包人承担责任。</w:t>
      </w:r>
    </w:p>
    <w:p w14:paraId="421801C8">
      <w:pPr>
        <w:adjustRightInd w:val="0"/>
        <w:snapToGrid w:val="0"/>
        <w:spacing w:line="440" w:lineRule="exact"/>
        <w:ind w:right="11" w:firstLine="480" w:firstLineChars="200"/>
        <w:outlineLvl w:val="3"/>
        <w:rPr>
          <w:rFonts w:hint="eastAsia" w:ascii="宋体" w:hAnsi="宋体" w:eastAsia="宋体" w:cs="宋体"/>
          <w:snapToGrid w:val="0"/>
          <w:kern w:val="0"/>
          <w:sz w:val="24"/>
        </w:rPr>
      </w:pPr>
      <w:bookmarkStart w:id="635" w:name="_Toc397364934"/>
      <w:r>
        <w:rPr>
          <w:rFonts w:hint="eastAsia" w:ascii="宋体" w:hAnsi="宋体" w:eastAsia="宋体" w:cs="宋体"/>
          <w:iCs/>
          <w:snapToGrid w:val="0"/>
          <w:kern w:val="0"/>
          <w:sz w:val="24"/>
        </w:rPr>
        <w:t>36.8</w:t>
      </w:r>
      <w:r>
        <w:rPr>
          <w:rFonts w:hint="eastAsia" w:ascii="宋体" w:hAnsi="宋体" w:eastAsia="宋体" w:cs="宋体"/>
          <w:snapToGrid w:val="0"/>
          <w:kern w:val="0"/>
          <w:sz w:val="24"/>
        </w:rPr>
        <w:t>若承包人不按本合同约定配合</w:t>
      </w:r>
      <w:r>
        <w:rPr>
          <w:rFonts w:hint="eastAsia" w:ascii="宋体" w:hAnsi="宋体" w:eastAsia="宋体" w:cs="宋体"/>
          <w:iCs/>
          <w:snapToGrid w:val="0"/>
          <w:kern w:val="0"/>
          <w:sz w:val="24"/>
        </w:rPr>
        <w:t>竣工</w:t>
      </w:r>
      <w:r>
        <w:rPr>
          <w:rFonts w:hint="eastAsia" w:ascii="宋体" w:hAnsi="宋体" w:eastAsia="宋体" w:cs="宋体"/>
          <w:snapToGrid w:val="0"/>
          <w:kern w:val="0"/>
          <w:sz w:val="24"/>
        </w:rPr>
        <w:t>结算审核工作以至工程结算迟迟不能定审或承包人对终审单位的审核结果拒不确认，在规定时间内又提不出正当理由的，则最终的审核结果由发包人与终审单位共同盖章确认。</w:t>
      </w:r>
    </w:p>
    <w:p w14:paraId="78FBE0BF">
      <w:pPr>
        <w:adjustRightInd w:val="0"/>
        <w:snapToGrid w:val="0"/>
        <w:spacing w:line="440" w:lineRule="exact"/>
        <w:ind w:right="11"/>
        <w:outlineLvl w:val="1"/>
        <w:rPr>
          <w:rFonts w:hint="eastAsia" w:ascii="宋体" w:hAnsi="宋体" w:eastAsia="宋体" w:cs="宋体"/>
          <w:b/>
          <w:bCs/>
          <w:snapToGrid w:val="0"/>
          <w:kern w:val="0"/>
          <w:sz w:val="28"/>
          <w:szCs w:val="28"/>
        </w:rPr>
      </w:pPr>
    </w:p>
    <w:p w14:paraId="71E9E6EF">
      <w:pPr>
        <w:adjustRightInd w:val="0"/>
        <w:snapToGrid w:val="0"/>
        <w:spacing w:line="440" w:lineRule="exact"/>
        <w:ind w:right="11"/>
        <w:outlineLvl w:val="1"/>
        <w:rPr>
          <w:rFonts w:hint="eastAsia" w:ascii="宋体" w:hAnsi="宋体" w:eastAsia="宋体" w:cs="宋体"/>
          <w:b/>
          <w:bCs/>
          <w:snapToGrid w:val="0"/>
          <w:kern w:val="0"/>
          <w:sz w:val="28"/>
          <w:szCs w:val="28"/>
        </w:rPr>
      </w:pPr>
      <w:bookmarkStart w:id="636" w:name="_Toc3593"/>
      <w:bookmarkStart w:id="637" w:name="_Toc2909"/>
      <w:bookmarkStart w:id="638" w:name="_Toc176192834"/>
      <w:r>
        <w:rPr>
          <w:rFonts w:hint="eastAsia" w:ascii="宋体" w:hAnsi="宋体" w:eastAsia="宋体" w:cs="宋体"/>
          <w:b/>
          <w:bCs/>
          <w:snapToGrid w:val="0"/>
          <w:kern w:val="0"/>
          <w:sz w:val="28"/>
          <w:szCs w:val="28"/>
        </w:rPr>
        <w:t>十、违约、索赔和争议</w:t>
      </w:r>
      <w:bookmarkEnd w:id="635"/>
      <w:bookmarkEnd w:id="636"/>
      <w:bookmarkEnd w:id="637"/>
      <w:bookmarkEnd w:id="638"/>
    </w:p>
    <w:p w14:paraId="354D603A">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39" w:name="_Toc397364935"/>
      <w:bookmarkStart w:id="640" w:name="_Toc176192835"/>
      <w:bookmarkStart w:id="641" w:name="_Toc20570"/>
      <w:bookmarkStart w:id="642" w:name="_Toc14710"/>
      <w:r>
        <w:rPr>
          <w:rFonts w:hint="eastAsia" w:ascii="宋体" w:hAnsi="宋体" w:eastAsia="宋体" w:cs="宋体"/>
          <w:b/>
          <w:bCs/>
          <w:snapToGrid w:val="0"/>
          <w:kern w:val="0"/>
          <w:sz w:val="24"/>
        </w:rPr>
        <w:t>38、违约</w:t>
      </w:r>
      <w:bookmarkEnd w:id="639"/>
      <w:bookmarkEnd w:id="640"/>
      <w:bookmarkEnd w:id="641"/>
      <w:bookmarkEnd w:id="642"/>
    </w:p>
    <w:p w14:paraId="74715F38">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承包人与发包人一致同意不适用合同通用条款第38.1款的约定，代之以：</w:t>
      </w:r>
    </w:p>
    <w:p w14:paraId="3C5ED27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38.1</w:t>
      </w:r>
      <w:r>
        <w:rPr>
          <w:rFonts w:hint="eastAsia" w:ascii="宋体" w:hAnsi="宋体" w:eastAsia="宋体" w:cs="宋体"/>
          <w:snapToGrid w:val="0"/>
          <w:kern w:val="0"/>
          <w:sz w:val="24"/>
        </w:rPr>
        <w:t>发包人的违约责任</w:t>
      </w:r>
    </w:p>
    <w:p w14:paraId="1CBDFC06">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发包人无正当理由不按合同约定申报支付工程预付款、进度款和竣工结算款的，</w:t>
      </w:r>
      <w:r>
        <w:rPr>
          <w:rFonts w:ascii="宋体" w:hAnsi="宋体" w:eastAsia="宋体" w:cs="宋体"/>
          <w:sz w:val="24"/>
        </w:rPr>
        <w:t>发包人应尽快</w:t>
      </w:r>
      <w:r>
        <w:rPr>
          <w:rFonts w:hint="eastAsia" w:ascii="宋体" w:hAnsi="宋体" w:eastAsia="宋体" w:cs="宋体"/>
          <w:snapToGrid w:val="0"/>
          <w:kern w:val="0"/>
          <w:sz w:val="24"/>
        </w:rPr>
        <w:t>申报</w:t>
      </w:r>
      <w:r>
        <w:rPr>
          <w:rFonts w:ascii="宋体" w:hAnsi="宋体" w:eastAsia="宋体" w:cs="宋体"/>
          <w:sz w:val="24"/>
        </w:rPr>
        <w:t>支付本合同约定的工程预付款、进度款和竣工结算款</w:t>
      </w:r>
      <w:r>
        <w:rPr>
          <w:rFonts w:hint="eastAsia" w:ascii="宋体" w:hAnsi="宋体" w:eastAsia="宋体" w:cs="宋体"/>
          <w:snapToGrid w:val="0"/>
          <w:kern w:val="0"/>
          <w:sz w:val="24"/>
        </w:rPr>
        <w:t>。</w:t>
      </w:r>
    </w:p>
    <w:p w14:paraId="3F7A3A43">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承包人与发包人一致同意增加38.4至38.16：</w:t>
      </w:r>
    </w:p>
    <w:p w14:paraId="4F19EC23">
      <w:pPr>
        <w:adjustRightInd w:val="0"/>
        <w:snapToGrid w:val="0"/>
        <w:spacing w:after="156" w:afterLines="50"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38.4承包人承担违约责任的方式包括但不限于：</w:t>
      </w:r>
    </w:p>
    <w:tbl>
      <w:tblPr>
        <w:tblStyle w:val="40"/>
        <w:tblW w:w="8400" w:type="dxa"/>
        <w:tblInd w:w="113" w:type="dxa"/>
        <w:tblLayout w:type="autofit"/>
        <w:tblCellMar>
          <w:top w:w="0" w:type="dxa"/>
          <w:left w:w="108" w:type="dxa"/>
          <w:bottom w:w="0" w:type="dxa"/>
          <w:right w:w="108" w:type="dxa"/>
        </w:tblCellMar>
      </w:tblPr>
      <w:tblGrid>
        <w:gridCol w:w="2775"/>
        <w:gridCol w:w="1875"/>
        <w:gridCol w:w="1875"/>
        <w:gridCol w:w="1875"/>
      </w:tblGrid>
      <w:tr w14:paraId="24CE55FE">
        <w:tblPrEx>
          <w:tblCellMar>
            <w:top w:w="0" w:type="dxa"/>
            <w:left w:w="108" w:type="dxa"/>
            <w:bottom w:w="0" w:type="dxa"/>
            <w:right w:w="108" w:type="dxa"/>
          </w:tblCellMar>
        </w:tblPrEx>
        <w:trPr>
          <w:trHeight w:val="600" w:hRule="atLeas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04D079">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合同总价（中标价）</w:t>
            </w:r>
          </w:p>
          <w:p w14:paraId="0BBFA6A7">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币种：人民币</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FCAE">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书面警告</w:t>
            </w:r>
          </w:p>
          <w:p w14:paraId="20B278E7">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（每次）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F9A6">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一般违约责任</w:t>
            </w:r>
          </w:p>
          <w:p w14:paraId="7A7A5D4C">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（每次）</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2086">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严重违约责任</w:t>
            </w:r>
          </w:p>
          <w:p w14:paraId="739E8E84">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（每次）</w:t>
            </w:r>
          </w:p>
        </w:tc>
      </w:tr>
      <w:tr w14:paraId="5E75B1F8">
        <w:tblPrEx>
          <w:tblCellMar>
            <w:top w:w="0" w:type="dxa"/>
            <w:left w:w="108" w:type="dxa"/>
            <w:bottom w:w="0" w:type="dxa"/>
            <w:right w:w="108" w:type="dxa"/>
          </w:tblCellMar>
        </w:tblPrEx>
        <w:trPr>
          <w:trHeight w:val="600" w:hRule="atLeast"/>
        </w:trPr>
        <w:tc>
          <w:tcPr>
            <w:tcW w:w="2775" w:type="dxa"/>
            <w:vMerge w:val="continue"/>
            <w:tcBorders>
              <w:top w:val="single" w:color="000000" w:sz="4" w:space="0"/>
              <w:left w:val="single" w:color="000000" w:sz="4" w:space="0"/>
              <w:bottom w:val="single" w:color="000000" w:sz="4" w:space="0"/>
              <w:right w:val="single" w:color="000000" w:sz="4" w:space="0"/>
            </w:tcBorders>
            <w:vAlign w:val="center"/>
          </w:tcPr>
          <w:p w14:paraId="1AC5A474">
            <w:pPr>
              <w:widowControl/>
              <w:jc w:val="left"/>
              <w:rPr>
                <w:rFonts w:hint="eastAsia" w:ascii="等线" w:hAnsi="等线" w:eastAsia="等线" w:cs="宋体"/>
                <w:kern w:val="0"/>
                <w:sz w:val="22"/>
                <w:szCs w:val="22"/>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2ABF1">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违约金</w:t>
            </w:r>
            <w:r>
              <w:rPr>
                <w:rFonts w:hint="eastAsia" w:ascii="等线" w:hAnsi="等线" w:eastAsia="等线" w:cs="宋体"/>
                <w:kern w:val="0"/>
                <w:sz w:val="22"/>
                <w:szCs w:val="22"/>
              </w:rPr>
              <w:br w:type="textWrapping"/>
            </w:r>
            <w:r>
              <w:rPr>
                <w:rFonts w:hint="eastAsia" w:ascii="等线" w:hAnsi="等线" w:eastAsia="等线" w:cs="宋体"/>
                <w:kern w:val="0"/>
                <w:sz w:val="22"/>
                <w:szCs w:val="22"/>
              </w:rPr>
              <w:t>（万元）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0010">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违约金</w:t>
            </w:r>
            <w:r>
              <w:rPr>
                <w:rFonts w:hint="eastAsia" w:ascii="等线" w:hAnsi="等线" w:eastAsia="等线" w:cs="宋体"/>
                <w:kern w:val="0"/>
                <w:sz w:val="22"/>
                <w:szCs w:val="22"/>
              </w:rPr>
              <w:br w:type="textWrapping"/>
            </w:r>
            <w:r>
              <w:rPr>
                <w:rFonts w:hint="eastAsia" w:ascii="等线" w:hAnsi="等线" w:eastAsia="等线" w:cs="宋体"/>
                <w:kern w:val="0"/>
                <w:sz w:val="22"/>
                <w:szCs w:val="22"/>
              </w:rPr>
              <w:t>（万元）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E328B">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违约金</w:t>
            </w:r>
            <w:r>
              <w:rPr>
                <w:rFonts w:hint="eastAsia" w:ascii="等线" w:hAnsi="等线" w:eastAsia="等线" w:cs="宋体"/>
                <w:kern w:val="0"/>
                <w:sz w:val="22"/>
                <w:szCs w:val="22"/>
              </w:rPr>
              <w:br w:type="textWrapping"/>
            </w:r>
            <w:r>
              <w:rPr>
                <w:rFonts w:hint="eastAsia" w:ascii="等线" w:hAnsi="等线" w:eastAsia="等线" w:cs="宋体"/>
                <w:kern w:val="0"/>
                <w:sz w:val="22"/>
                <w:szCs w:val="22"/>
              </w:rPr>
              <w:t>（万元）</w:t>
            </w:r>
          </w:p>
        </w:tc>
      </w:tr>
      <w:tr w14:paraId="63C6C2C6">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6F21">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&gt;=400万元，&lt;1亿元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356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1</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1B5C4">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C66A">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10</w:t>
            </w:r>
          </w:p>
        </w:tc>
      </w:tr>
      <w:tr w14:paraId="387A9F18">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0B75">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&gt;=1亿元，&lt;2亿元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6611">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567F">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0214">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15</w:t>
            </w:r>
          </w:p>
        </w:tc>
      </w:tr>
      <w:tr w14:paraId="4221CA08">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2FCA">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&gt;=2亿元，&lt;5亿元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42A94">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539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7</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CDFC8">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20</w:t>
            </w:r>
          </w:p>
        </w:tc>
      </w:tr>
      <w:tr w14:paraId="05ABE2E6">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6E99">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&gt;=5亿元，&lt;7亿元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FA75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3</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B010">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10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FCED">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30</w:t>
            </w:r>
          </w:p>
        </w:tc>
      </w:tr>
      <w:tr w14:paraId="2BC85D24">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C5105">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&gt;=7亿元，&lt;10亿元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00E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D6A9">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15</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F547">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40</w:t>
            </w:r>
          </w:p>
        </w:tc>
      </w:tr>
      <w:tr w14:paraId="6C8555CD">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F855">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&gt;=10亿元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8AEF1">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6</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C3A2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20</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D104">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50</w:t>
            </w:r>
          </w:p>
        </w:tc>
      </w:tr>
    </w:tbl>
    <w:p w14:paraId="715340F8">
      <w:pPr>
        <w:tabs>
          <w:tab w:val="left" w:pos="1125"/>
        </w:tabs>
        <w:adjustRightInd w:val="0"/>
        <w:snapToGrid w:val="0"/>
        <w:spacing w:before="156" w:beforeLines="50"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（1）书面警告。承包人不履行或不完全履行合同约定的义务及责任，或者不执行总监理工程师或发包人（含主管人员）的指令时，发包人有权向承包人发出书面警告，从承包人工程款或履约担保中扣减违约金</w:t>
      </w:r>
      <w:r>
        <w:rPr>
          <w:rFonts w:hint="eastAsia" w:ascii="宋体" w:hAnsi="宋体" w:eastAsia="宋体" w:cs="宋体"/>
          <w:snapToGrid w:val="0"/>
          <w:kern w:val="0"/>
          <w:sz w:val="24"/>
        </w:rPr>
        <w:t>金额如上表。</w:t>
      </w:r>
      <w:r>
        <w:rPr>
          <w:rFonts w:hint="eastAsia" w:ascii="宋体" w:hAnsi="宋体" w:eastAsia="宋体" w:cs="宋体"/>
          <w:bCs/>
          <w:snapToGrid w:val="0"/>
          <w:kern w:val="0"/>
          <w:sz w:val="24"/>
        </w:rPr>
        <w:t>承包人必须在书面警告限定的时间内改正，逾期未改正的，发包人有权要求其主管生产的副总经理以上级别的领导驻场办公，直至改正为止。</w:t>
      </w:r>
    </w:p>
    <w:p w14:paraId="21F04B81">
      <w:pPr>
        <w:tabs>
          <w:tab w:val="left" w:pos="1125"/>
        </w:tabs>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（2）一般违约责任。承包人违反本合同的约定须承担一般违约责任时，发包人从承包人工程款或履约担保中扣减违约金</w:t>
      </w:r>
      <w:r>
        <w:rPr>
          <w:rFonts w:hint="eastAsia" w:ascii="宋体" w:hAnsi="宋体" w:eastAsia="宋体" w:cs="宋体"/>
          <w:snapToGrid w:val="0"/>
          <w:kern w:val="0"/>
          <w:sz w:val="24"/>
        </w:rPr>
        <w:t>金额如上表。</w:t>
      </w:r>
    </w:p>
    <w:p w14:paraId="1A8D4C70">
      <w:pPr>
        <w:tabs>
          <w:tab w:val="left" w:pos="1125"/>
        </w:tabs>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（3）严重违约责任。承包人违反本合同的约定须承担严重违约责任时，发包人从承包人工程款或履约担保中扣减违约金</w:t>
      </w:r>
      <w:r>
        <w:rPr>
          <w:rFonts w:hint="eastAsia" w:ascii="宋体" w:hAnsi="宋体" w:eastAsia="宋体" w:cs="宋体"/>
          <w:snapToGrid w:val="0"/>
          <w:kern w:val="0"/>
          <w:sz w:val="24"/>
        </w:rPr>
        <w:t>金额如上表</w:t>
      </w:r>
      <w:r>
        <w:rPr>
          <w:rFonts w:hint="eastAsia" w:ascii="宋体" w:hAnsi="宋体" w:eastAsia="宋体" w:cs="宋体"/>
          <w:bCs/>
          <w:snapToGrid w:val="0"/>
          <w:kern w:val="0"/>
          <w:sz w:val="24"/>
        </w:rPr>
        <w:t>。</w:t>
      </w:r>
    </w:p>
    <w:p w14:paraId="39BA1D7C">
      <w:pPr>
        <w:tabs>
          <w:tab w:val="left" w:pos="1125"/>
        </w:tabs>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rFonts w:hint="eastAsia" w:ascii="宋体" w:hAnsi="宋体" w:eastAsia="宋体" w:cs="宋体"/>
          <w:snapToGrid w:val="0"/>
          <w:kern w:val="0"/>
          <w:sz w:val="24"/>
        </w:rPr>
        <w:t>承包人应在部分解除合同之日起七日内从承包人工程款或履约担保中扣减</w:t>
      </w:r>
      <w:r>
        <w:rPr>
          <w:rFonts w:hint="eastAsia" w:ascii="宋体" w:hAnsi="宋体" w:eastAsia="宋体" w:cs="宋体"/>
          <w:bCs/>
          <w:snapToGrid w:val="0"/>
          <w:kern w:val="0"/>
          <w:sz w:val="24"/>
        </w:rPr>
        <w:t>被解除部分工程</w:t>
      </w:r>
      <w:r>
        <w:rPr>
          <w:rFonts w:hint="eastAsia" w:ascii="宋体" w:hAnsi="宋体" w:eastAsia="宋体" w:cs="宋体"/>
          <w:snapToGrid w:val="0"/>
          <w:kern w:val="0"/>
          <w:sz w:val="24"/>
        </w:rPr>
        <w:t>合同价款20%的违约金并赔偿发包人的实际损失</w:t>
      </w:r>
      <w:r>
        <w:rPr>
          <w:rFonts w:hint="eastAsia" w:ascii="宋体" w:hAnsi="宋体" w:eastAsia="宋体" w:cs="宋体"/>
          <w:bCs/>
          <w:snapToGrid w:val="0"/>
          <w:kern w:val="0"/>
          <w:sz w:val="24"/>
        </w:rPr>
        <w:t>。</w:t>
      </w:r>
    </w:p>
    <w:p w14:paraId="3409EBC0">
      <w:pPr>
        <w:tabs>
          <w:tab w:val="left" w:pos="1125"/>
        </w:tabs>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（5）解除合同。当承包人违反本合同的约定符合解除合同的条件时，发包人有权向承包人发出书面解除合同的通知，该通知在送达承包人时即生效，</w:t>
      </w:r>
      <w:r>
        <w:rPr>
          <w:rFonts w:hint="eastAsia" w:ascii="宋体" w:hAnsi="宋体" w:eastAsia="宋体" w:cs="宋体"/>
          <w:snapToGrid w:val="0"/>
          <w:kern w:val="0"/>
          <w:sz w:val="24"/>
        </w:rPr>
        <w:t>承包人应在解除合同之日起七日内从承包人工程款或履约担保中扣减本合同价款20%的违约金并赔偿发包人的实际损失</w:t>
      </w:r>
      <w:r>
        <w:rPr>
          <w:rFonts w:hint="eastAsia" w:ascii="宋体" w:hAnsi="宋体" w:eastAsia="宋体" w:cs="宋体"/>
          <w:bCs/>
          <w:snapToGrid w:val="0"/>
          <w:kern w:val="0"/>
          <w:sz w:val="24"/>
        </w:rPr>
        <w:t>。</w:t>
      </w:r>
    </w:p>
    <w:p w14:paraId="7BA5E616">
      <w:pPr>
        <w:tabs>
          <w:tab w:val="left" w:pos="1125"/>
        </w:tabs>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（6）赔偿损失。因承包人原因造成发包人经济损失的，承包人应赔偿发包人的经济损失。</w:t>
      </w:r>
    </w:p>
    <w:p w14:paraId="2678C2D2">
      <w:pPr>
        <w:tabs>
          <w:tab w:val="left" w:pos="1125"/>
        </w:tabs>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38.5在本合同有效期内，承包人累计承担三次严重违约责任的，发包人有权单方面部分或全部解除合同。</w:t>
      </w:r>
    </w:p>
    <w:p w14:paraId="01D6AA44">
      <w:pPr>
        <w:tabs>
          <w:tab w:val="left" w:pos="1125"/>
        </w:tabs>
        <w:adjustRightInd w:val="0"/>
        <w:snapToGrid w:val="0"/>
        <w:spacing w:line="440" w:lineRule="exact"/>
        <w:ind w:firstLine="480" w:firstLineChars="200"/>
        <w:outlineLvl w:val="3"/>
        <w:rPr>
          <w:rFonts w:hint="eastAsia" w:ascii="宋体" w:hAnsi="宋体" w:eastAsia="宋体" w:cs="宋体"/>
          <w:bCs/>
          <w:snapToGrid w:val="0"/>
          <w:kern w:val="0"/>
          <w:sz w:val="24"/>
        </w:rPr>
      </w:pPr>
      <w:r>
        <w:rPr>
          <w:rFonts w:hint="eastAsia" w:ascii="宋体" w:hAnsi="宋体" w:eastAsia="宋体" w:cs="宋体"/>
          <w:snapToGrid w:val="0"/>
          <w:kern w:val="0"/>
          <w:sz w:val="24"/>
        </w:rPr>
        <w:t>38.6</w:t>
      </w:r>
      <w:r>
        <w:rPr>
          <w:rFonts w:hint="eastAsia" w:ascii="宋体" w:hAnsi="宋体" w:eastAsia="宋体" w:cs="宋体"/>
          <w:bCs/>
          <w:snapToGrid w:val="0"/>
          <w:kern w:val="0"/>
          <w:sz w:val="24"/>
        </w:rPr>
        <w:t>承包人按本合同约定应交纳的违约金和赔偿金，属于合同专用条款第38.10款“工程质量方面的违约责任”、第38.11款“安全生产方面的违约责任”的，发包人有权从应支付给承包人的工程款或履约担保中直接扣除。</w:t>
      </w:r>
    </w:p>
    <w:p w14:paraId="234E9A1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bCs/>
          <w:snapToGrid w:val="0"/>
          <w:kern w:val="0"/>
          <w:sz w:val="24"/>
        </w:rPr>
        <w:t>属于合同专用条款第38.10款、第38.11款约定以外的其他违约责任的，发包人将根据承包人履行合同的实际情况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rFonts w:hint="eastAsia" w:ascii="宋体" w:hAnsi="宋体" w:eastAsia="宋体" w:cs="宋体"/>
          <w:snapToGrid w:val="0"/>
          <w:kern w:val="0"/>
          <w:sz w:val="24"/>
        </w:rPr>
        <w:t>。</w:t>
      </w:r>
    </w:p>
    <w:p w14:paraId="197B3936">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38.7工程组织管理方面的违约责任</w:t>
      </w:r>
    </w:p>
    <w:p w14:paraId="274E7B99">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承包人违反合同专用条款总则第2条、第5条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Pr>
          <w:rFonts w:hint="eastAsia" w:ascii="宋体" w:hAnsi="宋体" w:eastAsia="宋体" w:cs="宋体"/>
          <w:snapToGrid w:val="0"/>
          <w:kern w:val="0"/>
          <w:sz w:val="24"/>
        </w:rPr>
        <w:t>。</w:t>
      </w:r>
    </w:p>
    <w:p w14:paraId="08E8722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（2）承包人不遵守发包人依据合同专用条款总则第6条约定所制定的各项制度、规定的，由承包人按所触犯制度、规定的有关规定承担违约责任。所触犯制度、规定没有明确规定的，由发包人参照</w:t>
      </w:r>
      <w:r>
        <w:rPr>
          <w:rFonts w:hint="eastAsia" w:ascii="宋体" w:hAnsi="宋体" w:eastAsia="宋体" w:cs="宋体"/>
          <w:snapToGrid w:val="0"/>
          <w:kern w:val="0"/>
          <w:sz w:val="24"/>
        </w:rPr>
        <w:t>合同专用条款第38.7（1）款</w:t>
      </w:r>
      <w:r>
        <w:rPr>
          <w:rFonts w:hint="eastAsia" w:ascii="宋体" w:hAnsi="宋体" w:eastAsia="宋体" w:cs="宋体"/>
          <w:bCs/>
          <w:snapToGrid w:val="0"/>
          <w:kern w:val="0"/>
          <w:sz w:val="24"/>
        </w:rPr>
        <w:t>的约定处理。</w:t>
      </w:r>
    </w:p>
    <w:p w14:paraId="5870064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bCs/>
          <w:snapToGrid w:val="0"/>
          <w:kern w:val="0"/>
          <w:sz w:val="24"/>
        </w:rPr>
        <w:t>（3）承包人不按</w:t>
      </w:r>
      <w:r>
        <w:rPr>
          <w:rFonts w:hint="eastAsia" w:ascii="宋体" w:hAnsi="宋体" w:eastAsia="宋体" w:cs="宋体"/>
          <w:snapToGrid w:val="0"/>
          <w:kern w:val="0"/>
          <w:sz w:val="24"/>
        </w:rPr>
        <w:t>合同专用条款第7</w:t>
      </w:r>
      <w:r>
        <w:rPr>
          <w:rFonts w:hint="eastAsia" w:ascii="宋体" w:hAnsi="宋体" w:eastAsia="宋体" w:cs="宋体"/>
          <w:bCs/>
          <w:snapToGrid w:val="0"/>
          <w:kern w:val="0"/>
          <w:sz w:val="24"/>
        </w:rPr>
        <w:t>条、第9条、第51.1条的有关约定投入</w:t>
      </w:r>
      <w:r>
        <w:rPr>
          <w:rFonts w:hint="eastAsia" w:ascii="宋体" w:hAnsi="宋体" w:eastAsia="宋体" w:cs="宋体"/>
          <w:snapToGrid w:val="0"/>
          <w:kern w:val="0"/>
          <w:sz w:val="24"/>
        </w:rPr>
        <w:t>现场组织管理人员、施工作业人员、施工机械设备，或者擅自变更资源投入计划或者擅自对已投入的资源进行调整的，</w:t>
      </w:r>
      <w:r>
        <w:rPr>
          <w:rFonts w:hint="eastAsia" w:ascii="宋体" w:hAnsi="宋体" w:eastAsia="宋体" w:cs="宋体"/>
          <w:bCs/>
          <w:snapToGrid w:val="0"/>
          <w:kern w:val="0"/>
          <w:sz w:val="24"/>
        </w:rPr>
        <w:t>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w:t>
      </w:r>
      <w:r>
        <w:rPr>
          <w:rFonts w:hint="eastAsia" w:ascii="宋体" w:hAnsi="宋体" w:eastAsia="宋体" w:cs="宋体"/>
          <w:snapToGrid w:val="0"/>
          <w:kern w:val="0"/>
          <w:sz w:val="24"/>
        </w:rPr>
        <w:t>。因缺勤而被扣除现场组织实施管理费的人员不再给予违约处罚。</w:t>
      </w:r>
    </w:p>
    <w:p w14:paraId="5CADAFE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经发包人或总监理工程师考核，承包人投入的</w:t>
      </w:r>
      <w:r>
        <w:rPr>
          <w:rFonts w:hint="eastAsia" w:ascii="宋体" w:hAnsi="宋体" w:eastAsia="宋体" w:cs="宋体"/>
          <w:snapToGrid w:val="0"/>
          <w:kern w:val="0"/>
          <w:sz w:val="24"/>
        </w:rPr>
        <w:t>现场组织</w:t>
      </w:r>
      <w:r>
        <w:rPr>
          <w:rFonts w:hint="eastAsia" w:ascii="宋体" w:hAnsi="宋体" w:eastAsia="宋体" w:cs="宋体"/>
          <w:bCs/>
          <w:snapToGrid w:val="0"/>
          <w:kern w:val="0"/>
          <w:sz w:val="24"/>
        </w:rPr>
        <w:t>管理人员不能满足本工程建设要求的，承包人必须无条件按发包人的要求更换，直至满足本工程建设要求为止。而且，不能满足本工程建设要求的</w:t>
      </w:r>
      <w:r>
        <w:rPr>
          <w:rFonts w:hint="eastAsia" w:ascii="宋体" w:hAnsi="宋体" w:eastAsia="宋体" w:cs="宋体"/>
          <w:snapToGrid w:val="0"/>
          <w:kern w:val="0"/>
          <w:sz w:val="24"/>
        </w:rPr>
        <w:t>现场组织</w:t>
      </w:r>
      <w:r>
        <w:rPr>
          <w:rFonts w:hint="eastAsia" w:ascii="宋体" w:hAnsi="宋体" w:eastAsia="宋体" w:cs="宋体"/>
          <w:bCs/>
          <w:snapToGrid w:val="0"/>
          <w:kern w:val="0"/>
          <w:sz w:val="24"/>
        </w:rPr>
        <w:t>管理人员按缺勤处理。</w:t>
      </w:r>
    </w:p>
    <w:p w14:paraId="0E421028">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因特殊情况需要，承包人确需更换项目经理、项目总工程师或现场管理机构主要部门负责人等项目主要人员的，承包人应至少提前7天以书面形式向监理单位提出意向（附前任和后任人员的详细履历资料）。</w:t>
      </w:r>
    </w:p>
    <w:p w14:paraId="17727CD7">
      <w:pPr>
        <w:adjustRightInd w:val="0"/>
        <w:snapToGrid w:val="0"/>
        <w:spacing w:after="156" w:afterLines="50"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rPr>
        <w:t>如承包人违背投标承诺，私自更改投标承诺，除按上述约定承担违约责任之外，还应同时</w:t>
      </w:r>
      <w:r>
        <w:rPr>
          <w:rFonts w:hint="eastAsia" w:ascii="宋体" w:hAnsi="宋体" w:eastAsia="宋体" w:cs="宋体"/>
          <w:bCs/>
          <w:snapToGrid w:val="0"/>
          <w:kern w:val="0"/>
          <w:sz w:val="24"/>
        </w:rPr>
        <w:t>无条件按下表约定的金额从承包人工程款或履约担保中扣减违约金：</w:t>
      </w:r>
    </w:p>
    <w:tbl>
      <w:tblPr>
        <w:tblStyle w:val="40"/>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559"/>
        <w:gridCol w:w="3402"/>
        <w:gridCol w:w="2268"/>
      </w:tblGrid>
      <w:tr w14:paraId="7615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135" w:type="dxa"/>
            <w:vAlign w:val="center"/>
          </w:tcPr>
          <w:p w14:paraId="1E2C0153">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序号</w:t>
            </w:r>
          </w:p>
        </w:tc>
        <w:tc>
          <w:tcPr>
            <w:tcW w:w="1559" w:type="dxa"/>
            <w:vAlign w:val="center"/>
          </w:tcPr>
          <w:p w14:paraId="193B8FFE">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承诺项目</w:t>
            </w:r>
          </w:p>
        </w:tc>
        <w:tc>
          <w:tcPr>
            <w:tcW w:w="3402" w:type="dxa"/>
            <w:vAlign w:val="center"/>
          </w:tcPr>
          <w:p w14:paraId="1D0FB7A7">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违约说明</w:t>
            </w:r>
          </w:p>
        </w:tc>
        <w:tc>
          <w:tcPr>
            <w:tcW w:w="2268" w:type="dxa"/>
            <w:vAlign w:val="center"/>
          </w:tcPr>
          <w:p w14:paraId="7F0533DE">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承包人违约金额</w:t>
            </w:r>
          </w:p>
          <w:p w14:paraId="05A3C051">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（万元）</w:t>
            </w:r>
          </w:p>
        </w:tc>
      </w:tr>
      <w:tr w14:paraId="2C9FB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Align w:val="center"/>
          </w:tcPr>
          <w:p w14:paraId="343CB9BF">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w:t>
            </w:r>
          </w:p>
        </w:tc>
        <w:tc>
          <w:tcPr>
            <w:tcW w:w="1559" w:type="dxa"/>
            <w:vAlign w:val="center"/>
          </w:tcPr>
          <w:p w14:paraId="18AEB186">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施工项目部</w:t>
            </w:r>
          </w:p>
        </w:tc>
        <w:tc>
          <w:tcPr>
            <w:tcW w:w="3402" w:type="dxa"/>
            <w:vAlign w:val="center"/>
          </w:tcPr>
          <w:p w14:paraId="00DD330E">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更换专职安全员、测量工程师、质检、造价管理或其他主要人员</w:t>
            </w:r>
          </w:p>
        </w:tc>
        <w:tc>
          <w:tcPr>
            <w:tcW w:w="2268" w:type="dxa"/>
            <w:vAlign w:val="center"/>
          </w:tcPr>
          <w:p w14:paraId="40FC5D9A">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5</w:t>
            </w:r>
          </w:p>
        </w:tc>
      </w:tr>
      <w:tr w14:paraId="1529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06EEF1C1">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2</w:t>
            </w:r>
          </w:p>
        </w:tc>
        <w:tc>
          <w:tcPr>
            <w:tcW w:w="1559" w:type="dxa"/>
            <w:vAlign w:val="center"/>
          </w:tcPr>
          <w:p w14:paraId="17BD24CD">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各阶段投入劳动力</w:t>
            </w:r>
          </w:p>
        </w:tc>
        <w:tc>
          <w:tcPr>
            <w:tcW w:w="3402" w:type="dxa"/>
            <w:vAlign w:val="center"/>
          </w:tcPr>
          <w:p w14:paraId="4E397BFA">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每少1人</w:t>
            </w:r>
          </w:p>
        </w:tc>
        <w:tc>
          <w:tcPr>
            <w:tcW w:w="2268" w:type="dxa"/>
            <w:vAlign w:val="center"/>
          </w:tcPr>
          <w:p w14:paraId="0E5605CF">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w:t>
            </w:r>
          </w:p>
        </w:tc>
      </w:tr>
      <w:tr w14:paraId="39F1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Align w:val="center"/>
          </w:tcPr>
          <w:p w14:paraId="73BEF899">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3</w:t>
            </w:r>
          </w:p>
        </w:tc>
        <w:tc>
          <w:tcPr>
            <w:tcW w:w="1559" w:type="dxa"/>
            <w:vAlign w:val="center"/>
          </w:tcPr>
          <w:p w14:paraId="0053F288">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各阶段投入主要材料</w:t>
            </w:r>
          </w:p>
        </w:tc>
        <w:tc>
          <w:tcPr>
            <w:tcW w:w="3402" w:type="dxa"/>
            <w:vAlign w:val="center"/>
          </w:tcPr>
          <w:p w14:paraId="2F8C0314">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没有按发包人审定的总控或阶段计划投入，每少10%</w:t>
            </w:r>
          </w:p>
        </w:tc>
        <w:tc>
          <w:tcPr>
            <w:tcW w:w="2268" w:type="dxa"/>
            <w:vAlign w:val="center"/>
          </w:tcPr>
          <w:p w14:paraId="295EEE89">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10</w:t>
            </w:r>
          </w:p>
        </w:tc>
      </w:tr>
      <w:tr w14:paraId="4F33D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restart"/>
            <w:vAlign w:val="center"/>
          </w:tcPr>
          <w:p w14:paraId="0A29388B">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4</w:t>
            </w:r>
          </w:p>
        </w:tc>
        <w:tc>
          <w:tcPr>
            <w:tcW w:w="1559" w:type="dxa"/>
            <w:vMerge w:val="restart"/>
            <w:vAlign w:val="center"/>
          </w:tcPr>
          <w:p w14:paraId="6A6ADAE0">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各阶段投入施工设备</w:t>
            </w:r>
          </w:p>
        </w:tc>
        <w:tc>
          <w:tcPr>
            <w:tcW w:w="3402" w:type="dxa"/>
            <w:vAlign w:val="center"/>
          </w:tcPr>
          <w:p w14:paraId="205BADED">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没有按发包人审定的总控或阶段计划投入，主要设备每少1台</w:t>
            </w:r>
          </w:p>
        </w:tc>
        <w:tc>
          <w:tcPr>
            <w:tcW w:w="2268" w:type="dxa"/>
            <w:vAlign w:val="center"/>
          </w:tcPr>
          <w:p w14:paraId="782C1BCF">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5</w:t>
            </w:r>
          </w:p>
        </w:tc>
      </w:tr>
      <w:tr w14:paraId="141FA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35" w:type="dxa"/>
            <w:vMerge w:val="continue"/>
            <w:vAlign w:val="center"/>
          </w:tcPr>
          <w:p w14:paraId="129922E5">
            <w:pPr>
              <w:adjustRightInd w:val="0"/>
              <w:snapToGrid w:val="0"/>
              <w:spacing w:line="440" w:lineRule="exact"/>
              <w:jc w:val="center"/>
              <w:rPr>
                <w:rFonts w:hint="eastAsia" w:ascii="宋体" w:hAnsi="宋体" w:eastAsia="宋体" w:cs="宋体"/>
                <w:snapToGrid w:val="0"/>
                <w:kern w:val="0"/>
                <w:szCs w:val="21"/>
              </w:rPr>
            </w:pPr>
          </w:p>
        </w:tc>
        <w:tc>
          <w:tcPr>
            <w:tcW w:w="1559" w:type="dxa"/>
            <w:vMerge w:val="continue"/>
            <w:vAlign w:val="center"/>
          </w:tcPr>
          <w:p w14:paraId="17DC64E4">
            <w:pPr>
              <w:adjustRightInd w:val="0"/>
              <w:snapToGrid w:val="0"/>
              <w:spacing w:line="440" w:lineRule="exact"/>
              <w:jc w:val="center"/>
              <w:rPr>
                <w:rFonts w:hint="eastAsia" w:ascii="宋体" w:hAnsi="宋体" w:eastAsia="宋体" w:cs="宋体"/>
                <w:snapToGrid w:val="0"/>
                <w:kern w:val="0"/>
                <w:szCs w:val="21"/>
              </w:rPr>
            </w:pPr>
          </w:p>
        </w:tc>
        <w:tc>
          <w:tcPr>
            <w:tcW w:w="3402" w:type="dxa"/>
            <w:vAlign w:val="center"/>
          </w:tcPr>
          <w:p w14:paraId="7D172D0E">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没有按发包人审定的总控或阶段计划投入，一般设备每少1台</w:t>
            </w:r>
          </w:p>
        </w:tc>
        <w:tc>
          <w:tcPr>
            <w:tcW w:w="2268" w:type="dxa"/>
            <w:vAlign w:val="center"/>
          </w:tcPr>
          <w:p w14:paraId="7D28750F">
            <w:pPr>
              <w:adjustRightInd w:val="0"/>
              <w:snapToGrid w:val="0"/>
              <w:spacing w:line="440" w:lineRule="exact"/>
              <w:jc w:val="center"/>
              <w:rPr>
                <w:rFonts w:hint="eastAsia" w:ascii="宋体" w:hAnsi="宋体" w:eastAsia="宋体" w:cs="宋体"/>
                <w:snapToGrid w:val="0"/>
                <w:kern w:val="0"/>
                <w:szCs w:val="21"/>
              </w:rPr>
            </w:pPr>
            <w:r>
              <w:rPr>
                <w:rFonts w:hint="eastAsia" w:ascii="宋体" w:hAnsi="宋体" w:eastAsia="宋体" w:cs="宋体"/>
                <w:snapToGrid w:val="0"/>
                <w:kern w:val="0"/>
                <w:szCs w:val="21"/>
              </w:rPr>
              <w:t>1</w:t>
            </w:r>
          </w:p>
        </w:tc>
      </w:tr>
    </w:tbl>
    <w:p w14:paraId="1E5A3902">
      <w:pPr>
        <w:adjustRightInd w:val="0"/>
        <w:snapToGrid w:val="0"/>
        <w:spacing w:line="440" w:lineRule="exact"/>
        <w:ind w:firstLine="480" w:firstLineChars="200"/>
        <w:rPr>
          <w:rFonts w:hint="eastAsia" w:ascii="宋体" w:hAnsi="宋体" w:eastAsia="宋体" w:cs="宋体"/>
          <w:snapToGrid w:val="0"/>
          <w:kern w:val="0"/>
          <w:sz w:val="24"/>
        </w:rPr>
      </w:pPr>
    </w:p>
    <w:tbl>
      <w:tblPr>
        <w:tblStyle w:val="40"/>
        <w:tblW w:w="8075" w:type="dxa"/>
        <w:tblInd w:w="113" w:type="dxa"/>
        <w:tblLayout w:type="autofit"/>
        <w:tblCellMar>
          <w:top w:w="0" w:type="dxa"/>
          <w:left w:w="108" w:type="dxa"/>
          <w:bottom w:w="0" w:type="dxa"/>
          <w:right w:w="108" w:type="dxa"/>
        </w:tblCellMar>
      </w:tblPr>
      <w:tblGrid>
        <w:gridCol w:w="2775"/>
        <w:gridCol w:w="2040"/>
        <w:gridCol w:w="3260"/>
      </w:tblGrid>
      <w:tr w14:paraId="4E326549">
        <w:tblPrEx>
          <w:tblCellMar>
            <w:top w:w="0" w:type="dxa"/>
            <w:left w:w="108" w:type="dxa"/>
            <w:bottom w:w="0" w:type="dxa"/>
            <w:right w:w="108" w:type="dxa"/>
          </w:tblCellMar>
        </w:tblPrEx>
        <w:trPr>
          <w:trHeight w:val="397" w:hRule="exact"/>
        </w:trPr>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7FCB08">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合同总价（中标价）</w:t>
            </w:r>
          </w:p>
          <w:p w14:paraId="7D2FAA93">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币种：人民币</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C7A9">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更换项目经理</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B546A">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更换项目副经理或技术负责人</w:t>
            </w:r>
          </w:p>
        </w:tc>
      </w:tr>
      <w:tr w14:paraId="02A32718">
        <w:tblPrEx>
          <w:tblCellMar>
            <w:top w:w="0" w:type="dxa"/>
            <w:left w:w="108" w:type="dxa"/>
            <w:bottom w:w="0" w:type="dxa"/>
            <w:right w:w="108" w:type="dxa"/>
          </w:tblCellMar>
        </w:tblPrEx>
        <w:trPr>
          <w:trHeight w:val="397" w:hRule="exact"/>
        </w:trPr>
        <w:tc>
          <w:tcPr>
            <w:tcW w:w="2775" w:type="dxa"/>
            <w:vMerge w:val="continue"/>
            <w:tcBorders>
              <w:top w:val="single" w:color="000000" w:sz="4" w:space="0"/>
              <w:left w:val="single" w:color="000000" w:sz="4" w:space="0"/>
              <w:bottom w:val="single" w:color="000000" w:sz="4" w:space="0"/>
              <w:right w:val="single" w:color="000000" w:sz="4" w:space="0"/>
            </w:tcBorders>
            <w:vAlign w:val="center"/>
          </w:tcPr>
          <w:p w14:paraId="7E64883E">
            <w:pPr>
              <w:widowControl/>
              <w:jc w:val="left"/>
              <w:rPr>
                <w:rFonts w:hint="eastAsia" w:ascii="等线" w:hAnsi="等线" w:eastAsia="等线" w:cs="宋体"/>
                <w:kern w:val="0"/>
                <w:sz w:val="22"/>
                <w:szCs w:val="22"/>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B3D9">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违约金（万元）</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F7974">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违约金（万元）</w:t>
            </w:r>
          </w:p>
        </w:tc>
      </w:tr>
      <w:tr w14:paraId="2DA7B448">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6FED">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&gt;=400万元，&lt;1亿元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B761">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904BD">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15</w:t>
            </w:r>
          </w:p>
        </w:tc>
      </w:tr>
      <w:tr w14:paraId="7D9FF09C">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FE08">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&gt;=1亿元，&lt;2亿元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448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40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13A1">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25</w:t>
            </w:r>
          </w:p>
        </w:tc>
      </w:tr>
      <w:tr w14:paraId="5CBF6334">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8ACD">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&gt;=2亿元，&lt;5亿元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DDAD">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50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EB6B">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30</w:t>
            </w:r>
          </w:p>
        </w:tc>
      </w:tr>
      <w:tr w14:paraId="0719DCB6">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9B2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&gt;=5亿元，&lt;7亿元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527A3">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75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9292">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45</w:t>
            </w:r>
          </w:p>
        </w:tc>
      </w:tr>
      <w:tr w14:paraId="2B0018BB">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D44A">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&gt;=7亿元，&lt;10亿元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0C7C4">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50</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7C7A">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30</w:t>
            </w:r>
          </w:p>
        </w:tc>
      </w:tr>
      <w:tr w14:paraId="17FBE1A4">
        <w:tblPrEx>
          <w:tblCellMar>
            <w:top w:w="0" w:type="dxa"/>
            <w:left w:w="108" w:type="dxa"/>
            <w:bottom w:w="0" w:type="dxa"/>
            <w:right w:w="108" w:type="dxa"/>
          </w:tblCellMar>
        </w:tblPrEx>
        <w:trPr>
          <w:trHeight w:val="397" w:hRule="exact"/>
        </w:trPr>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1918E">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&gt;=10亿元</w:t>
            </w:r>
          </w:p>
        </w:tc>
        <w:tc>
          <w:tcPr>
            <w:tcW w:w="20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9C356">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75</w:t>
            </w:r>
          </w:p>
        </w:tc>
        <w:tc>
          <w:tcPr>
            <w:tcW w:w="3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906A">
            <w:pPr>
              <w:widowControl/>
              <w:jc w:val="center"/>
              <w:rPr>
                <w:rFonts w:hint="eastAsia" w:ascii="等线" w:hAnsi="等线" w:eastAsia="等线" w:cs="宋体"/>
                <w:kern w:val="0"/>
                <w:sz w:val="22"/>
                <w:szCs w:val="22"/>
              </w:rPr>
            </w:pPr>
            <w:r>
              <w:rPr>
                <w:rFonts w:hint="eastAsia" w:ascii="等线" w:hAnsi="等线" w:eastAsia="等线" w:cs="宋体"/>
                <w:kern w:val="0"/>
                <w:sz w:val="22"/>
                <w:szCs w:val="22"/>
              </w:rPr>
              <w:t>45</w:t>
            </w:r>
          </w:p>
        </w:tc>
      </w:tr>
    </w:tbl>
    <w:p w14:paraId="0289ED8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（4）经发包人或监理单位抽查发现承包人违反合同专用条款第9.5（1）款的约定，由发包人按每人次500元的标准从承包人工程款中扣减违约金并要求立即改正。</w:t>
      </w:r>
    </w:p>
    <w:p w14:paraId="006ABCE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负责人、技术负责人等）未经监理人或发包人书面同意自行缺席的，每缺席一人次承包人承担1次一般违约责任。</w:t>
      </w:r>
    </w:p>
    <w:p w14:paraId="19DE71E5">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bCs/>
          <w:snapToGrid w:val="0"/>
          <w:kern w:val="0"/>
          <w:sz w:val="24"/>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14:paraId="05C42599">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（7）承包人不按合同约定或发包人要求提交竣工结算资料的，每发生1次，承担1次一般违约责任。</w:t>
      </w:r>
    </w:p>
    <w:p w14:paraId="50E302E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（8）承包人单方面擅自终止或解除本合同</w:t>
      </w:r>
      <w:r>
        <w:rPr>
          <w:rFonts w:hint="eastAsia" w:ascii="宋体" w:hAnsi="宋体" w:eastAsia="宋体" w:cs="宋体"/>
          <w:snapToGrid w:val="0"/>
          <w:kern w:val="0"/>
          <w:sz w:val="24"/>
        </w:rPr>
        <w:t>的，应按合同专用条款第38.4（5）款约定的标准从承包人工程款或履约担保中扣减违约金及赔偿损失</w:t>
      </w:r>
      <w:r>
        <w:rPr>
          <w:rFonts w:hint="eastAsia" w:ascii="宋体" w:hAnsi="宋体" w:eastAsia="宋体" w:cs="宋体"/>
          <w:bCs/>
          <w:snapToGrid w:val="0"/>
          <w:kern w:val="0"/>
          <w:sz w:val="24"/>
        </w:rPr>
        <w:t>。</w:t>
      </w:r>
    </w:p>
    <w:p w14:paraId="2FF33D4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（9）承包人单方面擅自部分终止或者部分解除本合同的，</w:t>
      </w:r>
      <w:r>
        <w:rPr>
          <w:rFonts w:hint="eastAsia" w:ascii="宋体" w:hAnsi="宋体" w:eastAsia="宋体" w:cs="宋体"/>
          <w:snapToGrid w:val="0"/>
          <w:kern w:val="0"/>
          <w:sz w:val="24"/>
        </w:rPr>
        <w:t>应按合同专用条款第38.4（4）款约定的标准从承包人工程款或履约担保中扣减违约金及赔偿损失</w:t>
      </w:r>
      <w:r>
        <w:rPr>
          <w:rFonts w:hint="eastAsia" w:ascii="宋体" w:hAnsi="宋体" w:eastAsia="宋体" w:cs="宋体"/>
          <w:bCs/>
          <w:snapToGrid w:val="0"/>
          <w:kern w:val="0"/>
          <w:sz w:val="24"/>
        </w:rPr>
        <w:t>。</w:t>
      </w:r>
    </w:p>
    <w:p w14:paraId="2182A549">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（10）如承包人违反合同协议书第9条、第10条的约定，未在相关信息发生变化时及时将变更情况书面通知发包人的，经发包人每确认1次，承包人承担1次一般违约责任。</w:t>
      </w:r>
    </w:p>
    <w:p w14:paraId="2C0BA8DA">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w:t>
      </w:r>
      <w:r>
        <w:rPr>
          <w:rFonts w:ascii="宋体" w:hAnsi="宋体" w:eastAsia="宋体" w:cs="宋体"/>
          <w:bCs/>
          <w:snapToGrid w:val="0"/>
          <w:kern w:val="0"/>
          <w:sz w:val="24"/>
        </w:rPr>
        <w:t>1</w:t>
      </w:r>
      <w:r>
        <w:rPr>
          <w:rFonts w:hint="eastAsia" w:ascii="宋体" w:hAnsi="宋体" w:eastAsia="宋体" w:cs="宋体"/>
          <w:bCs/>
          <w:snapToGrid w:val="0"/>
          <w:kern w:val="0"/>
          <w:sz w:val="24"/>
        </w:rPr>
        <w:t>）承包人应于每月25号前向发包人书面提交上月工程变更明细情况，充分披露变更增减情况。承包人未按前述约定及时披露的，应承担违约责任。单月遗漏2项变更以内（含本数），按一次书面警告责任处理；单月遗漏2项变更以上，按一次一般违约责任处理。</w:t>
      </w:r>
    </w:p>
    <w:p w14:paraId="56598A09">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38.8工期延误方面的违约责任</w:t>
      </w:r>
    </w:p>
    <w:p w14:paraId="4411691D">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（1）承包人违反合同协议书第3.1款约定延期开工的，每迟延开工1天，应从承包人工程款或履约担保中扣减本合同价款0.1‰的违约金；迟延开工超过10天的，发包人有权单方面解除合同</w:t>
      </w:r>
      <w:r>
        <w:rPr>
          <w:rFonts w:hint="eastAsia" w:ascii="宋体" w:hAnsi="宋体" w:eastAsia="宋体" w:cs="宋体"/>
          <w:bCs/>
          <w:snapToGrid w:val="0"/>
          <w:kern w:val="0"/>
          <w:sz w:val="24"/>
        </w:rPr>
        <w:t>。</w:t>
      </w:r>
    </w:p>
    <w:p w14:paraId="6AFA6250">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rPr>
        <w:t>（2）承包人违反合同专用条款第12.1款约定单方面停工的，每停工1天，应从承包人工程款或履约担保中扣减本合同价款0.1‰的违约金；连续停工超过5天或累计停工超过10天的，发包人有权单方面解除合同</w:t>
      </w:r>
      <w:r>
        <w:rPr>
          <w:rFonts w:hint="eastAsia" w:ascii="宋体" w:hAnsi="宋体" w:eastAsia="宋体" w:cs="宋体"/>
          <w:bCs/>
          <w:snapToGrid w:val="0"/>
          <w:kern w:val="0"/>
          <w:sz w:val="24"/>
        </w:rPr>
        <w:t>。</w:t>
      </w:r>
    </w:p>
    <w:p w14:paraId="229A7CA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承包人违反合同专用条款第10.1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Pr>
          <w:rFonts w:hint="eastAsia" w:ascii="宋体" w:hAnsi="宋体" w:eastAsia="宋体" w:cs="宋体"/>
          <w:bCs/>
          <w:snapToGrid w:val="0"/>
          <w:kern w:val="0"/>
          <w:sz w:val="24"/>
        </w:rPr>
        <w:t>。</w:t>
      </w:r>
    </w:p>
    <w:p w14:paraId="1BAD6B4A">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承包人违反合同约定造成本工程关键节点工期（不包括完工节点工期）延误的，延期3天以内的（含3天），发包人给予书面警告；延期4～7天的，承包人应承担1次一般违约责任；延期8～10天的，承包人应承担1次严重违约责任；延期11天以上的（含11天），发包人有权单方面解除合同。</w:t>
      </w:r>
    </w:p>
    <w:p w14:paraId="66F9AE14">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rPr>
        <w:t>（5）承包人违反合同造成本工程不能按照合同协议书约定的完工节点工期或经发包人审核同意延期的完工日期完工的，每逾期1天承包人承担1次一般违约责任，从承包人工程款或履约担保中扣减违约金；同时发包人有权将未完工程量从本合同中分割，交由第三方完成，由此发生的费用全部从本合同价款中支付，同时由承包人从工程款或履约担保中扣减未完工程量价款20%的违约金并赔偿发包人的实际损失。</w:t>
      </w:r>
    </w:p>
    <w:p w14:paraId="139817F3">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38.9材料设备管理方面的违约责任</w:t>
      </w:r>
    </w:p>
    <w:p w14:paraId="4CDB8138">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发包人（包括发包人委托的材料设备检验机构）或总监理工程师抽查承包人的工程材料设备（主要为乙供材料设备），发现所检查的材料与合同约定标准的任何一项不符合时，承包人除必须全部退货、返工，并赔偿发包人由此遭受的实际损失外，还应当根据该批次材料的价值，按照如下约定承担违约责任：</w:t>
      </w:r>
    </w:p>
    <w:p w14:paraId="1BF9272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A、单宗或批次价值不到5万元的材料设备抽检不合格的，每发生3例，由承包人承担1次一般违约责任。</w:t>
      </w:r>
    </w:p>
    <w:p w14:paraId="4060970E">
      <w:pPr>
        <w:tabs>
          <w:tab w:val="left" w:pos="1276"/>
        </w:tab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B、单宗或批次价值达到5万元不到10万元的材料设备抽检不合格的，每发生1例，由承包人承担1次一般违约责任。</w:t>
      </w:r>
    </w:p>
    <w:p w14:paraId="548FC648">
      <w:pPr>
        <w:tabs>
          <w:tab w:val="left" w:pos="1276"/>
        </w:tabs>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C、单宗或批次价值达到10万元不到50万元的材料设备抽检不合格的，每发生1例，由承包人承担1次严重违约责任。</w:t>
      </w:r>
    </w:p>
    <w:p w14:paraId="2AB69BF6">
      <w:pPr>
        <w:tabs>
          <w:tab w:val="left" w:pos="1276"/>
        </w:tabs>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rPr>
        <w:t>D、单宗或批次价值达到50万元以上的材料设备抽检不合格的，每发生1例，发包人有权单方面部分解除合同或解除合同。</w:t>
      </w:r>
    </w:p>
    <w:p w14:paraId="3A8A041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从承包人工程款或履约担保中扣减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从承包人工程款或履约担保中扣减违约金。</w:t>
      </w:r>
    </w:p>
    <w:p w14:paraId="5BCC748C">
      <w:pPr>
        <w:pStyle w:val="22"/>
        <w:adjustRightInd w:val="0"/>
        <w:snapToGrid w:val="0"/>
        <w:spacing w:line="440" w:lineRule="exact"/>
        <w:ind w:firstLine="480" w:firstLineChars="200"/>
        <w:rPr>
          <w:rFonts w:hint="eastAsia" w:hAnsi="宋体" w:eastAsia="宋体" w:cs="宋体"/>
          <w:snapToGrid w:val="0"/>
          <w:kern w:val="0"/>
          <w:sz w:val="24"/>
        </w:rPr>
      </w:pPr>
      <w:r>
        <w:rPr>
          <w:rFonts w:hint="eastAsia" w:hAnsi="宋体" w:eastAsia="宋体" w:cs="宋体"/>
          <w:snapToGrid w:val="0"/>
          <w:kern w:val="0"/>
          <w:sz w:val="24"/>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14:paraId="4D9FF88C">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38.10工程质量方面的违约责任</w:t>
      </w:r>
    </w:p>
    <w:p w14:paraId="0D0EFCF6">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rPr>
        <w:t>（1）承包人必须对各工序报验核查质量控制点。承包人申请报验后，经总监理工程师或发包人检查发现存在较大质量问题（存在质量问题的部分超过检查部分工程的10%）的，则该工序质量为不合格，承包人必须</w:t>
      </w:r>
      <w:r>
        <w:rPr>
          <w:rFonts w:hint="eastAsia" w:ascii="宋体" w:hAnsi="宋体" w:eastAsia="宋体" w:cs="宋体"/>
          <w:bCs/>
          <w:snapToGrid w:val="0"/>
          <w:kern w:val="0"/>
          <w:sz w:val="24"/>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130B24A3">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工程竣工验收不符合国家强制性标准及规范要求或者未能实现一次验收合格的，承包人除应从工程款或履约担保中扣减本工程合同价款的20%作为违约金并无偿采取补救措施及赔偿发包人的实际损失外，还应承担由此引起的一切责任。</w:t>
      </w:r>
    </w:p>
    <w:p w14:paraId="2D894EB1">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从承包人工程款或履约担保中扣减违约金。</w:t>
      </w:r>
    </w:p>
    <w:p w14:paraId="079CAF1A">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（4）由于承包人的原因发生工程质量事故的，承包人应全额赔偿发包人的损失并承担相关法律责任。</w:t>
      </w:r>
    </w:p>
    <w:p w14:paraId="20F620E9">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38.11安全生产方面的违约责任</w:t>
      </w:r>
    </w:p>
    <w:p w14:paraId="1D59416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r>
        <w:rPr>
          <w:rFonts w:hint="eastAsia" w:ascii="宋体" w:hAnsi="宋体" w:eastAsia="宋体" w:cs="宋体"/>
          <w:bCs/>
          <w:snapToGrid w:val="0"/>
          <w:kern w:val="0"/>
          <w:sz w:val="24"/>
        </w:rPr>
        <w:t>。</w:t>
      </w:r>
    </w:p>
    <w:p w14:paraId="042F773F">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snapToGrid w:val="0"/>
          <w:kern w:val="0"/>
          <w:sz w:val="24"/>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2BFE6968">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（3）承包人因自身原因造成安全事故的，除按国家规定由主管部门处罚外，承包人必须依照下列约定承担违约责任：</w:t>
      </w:r>
    </w:p>
    <w:p w14:paraId="5A1E7320">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1）发生特别重大事故，承包人按事故所造成损失金额的15%从工程款或履约担保中扣减违约金，同时违约金的数额不得低于50万元；</w:t>
      </w:r>
    </w:p>
    <w:p w14:paraId="5D33833E">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2）发生重大事故，承包人按事故所造成损失金额的12%从工程款或履约担保中扣减违约金，同时违约金的数额不得低于30万元；</w:t>
      </w:r>
    </w:p>
    <w:p w14:paraId="1C3EBB9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3）发生较大事故，承包人按事故所造成损失金额的10%从工程款或履约担保中扣减违约金，同时违约金数额不得低于20万元；</w:t>
      </w:r>
    </w:p>
    <w:p w14:paraId="2DAF5012">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4）发生一般事故，承包人按事故所造成损失金额的8%从工程款或履约担保中扣减违约金，同时违约金数额不得低于10万元。</w:t>
      </w:r>
    </w:p>
    <w:p w14:paraId="399F8F91">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发生上述安全事故，发包人给予承包人1次严重违约处罚，直至部分或全部解除合同。情节较轻的，给予1次一般违约处罚。</w:t>
      </w:r>
    </w:p>
    <w:p w14:paraId="39537D0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承包人依照上述约定从工程款或履约担保中扣减违约金后，所扣减的违约金不足以弥补由此给发包人造成的损失的，承包人还须补偿发包人的其他损失。</w:t>
      </w:r>
    </w:p>
    <w:p w14:paraId="52F036BB">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38.12文明施工、环境保护方面的违约责任</w:t>
      </w:r>
    </w:p>
    <w:p w14:paraId="64707ED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发包人、总监理工程师按照合同专用条款第24.1款的约定，对承包人文明施工措施进行对照检查。经检查发现承包人因自身原因未能落实的，承包人必须承担1次一般违约责任，并限期改正；如限期届满未改正的，承包人须承担1次严重违约责任。</w:t>
      </w:r>
    </w:p>
    <w:p w14:paraId="4ABE24CA">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7B9645C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4F00C34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38.13工程转包、分包方面的违约责任</w:t>
      </w:r>
    </w:p>
    <w:p w14:paraId="6B516EA9">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2E0F35BE">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38.14施工人员工资支付方面的违约责任</w:t>
      </w:r>
    </w:p>
    <w:p w14:paraId="188D86AE">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1）承包人违反合同专用条款第9.5（2）款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14:paraId="08746DB9">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由于承包人或其管理的分包单位（包括施工专业分包、供货分包及劳务分包单位等）拖欠施工人员工资致使发包人被投诉或起诉并被判令先行垫付施工人员工资的，承包人除承担1次严重违约责任外，还应从工程款或履约担保中扣减发包人先行垫付的施工人员工资金额的120%作为补偿。</w:t>
      </w:r>
    </w:p>
    <w:p w14:paraId="75A201A2">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（3）因承包人违约导致发包人暂停支付工程款时，承包人不得以此为理由拖欠施工人员工资，在发包人和承包人就暂停支付工程款问题解决之前，承包人有义务先行支付其所属工人工资。</w:t>
      </w:r>
    </w:p>
    <w:p w14:paraId="6325A33A">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35F3E02E">
      <w:pPr>
        <w:adjustRightInd w:val="0"/>
        <w:snapToGrid w:val="0"/>
        <w:spacing w:line="440" w:lineRule="exact"/>
        <w:ind w:right="11" w:firstLine="480" w:firstLineChars="200"/>
        <w:outlineLvl w:val="3"/>
        <w:rPr>
          <w:rFonts w:hint="eastAsia" w:ascii="宋体" w:hAnsi="宋体" w:eastAsia="宋体" w:cs="宋体"/>
          <w:bCs/>
          <w:snapToGrid w:val="0"/>
          <w:kern w:val="0"/>
          <w:sz w:val="24"/>
        </w:rPr>
      </w:pPr>
      <w:r>
        <w:rPr>
          <w:rFonts w:hint="eastAsia" w:ascii="宋体" w:hAnsi="宋体" w:eastAsia="宋体" w:cs="宋体"/>
          <w:bCs/>
          <w:snapToGrid w:val="0"/>
          <w:kern w:val="0"/>
          <w:sz w:val="24"/>
        </w:rPr>
        <w:t>38.15除上述约定之外，承包人不履行或不完全履行合同其他义务的，均构成违约，应当承担1次一般违约责任。情节较轻的，可给予书面警告；情节较重的，应当承担1次严重违约责任。</w:t>
      </w:r>
    </w:p>
    <w:p w14:paraId="67EC2511">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38.16承包人违约责任的认定方式、送达程序及违约金的处理</w:t>
      </w:r>
    </w:p>
    <w:p w14:paraId="6956EDA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（1）认定方式：以发包人发出的通知、通报、会议纪要等书面文件确定的内容为准。</w:t>
      </w:r>
    </w:p>
    <w:p w14:paraId="46E79F12">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（2）送达程序：发包人以下列方式之一将书面违约处理决定送达承包人：</w:t>
      </w:r>
    </w:p>
    <w:p w14:paraId="3ECE3DF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1）承包人现场管理机构工作人员签收。</w:t>
      </w:r>
    </w:p>
    <w:p w14:paraId="092D2BE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2）承包人其他工作人员签收。</w:t>
      </w:r>
    </w:p>
    <w:p w14:paraId="24FA8667">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3）发包人邮寄送达。</w:t>
      </w:r>
    </w:p>
    <w:p w14:paraId="3A02E17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发包人以书面形式作出的违约处理决定一经送达承包人立即生效。承包人如有足够证据证明不应由其承担违约责任的，属不需扣减违约金的，应在收到违约处理决定后3天内以书面形式向发包人提出异议并附上有关证据；属需要扣减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1B8FF649">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43" w:name="_Toc10730"/>
      <w:bookmarkStart w:id="644" w:name="_Toc176192836"/>
      <w:bookmarkStart w:id="645" w:name="_Toc397364936"/>
      <w:bookmarkStart w:id="646" w:name="_Toc23750"/>
      <w:r>
        <w:rPr>
          <w:rFonts w:hint="eastAsia" w:ascii="宋体" w:hAnsi="宋体" w:eastAsia="宋体" w:cs="宋体"/>
          <w:b/>
          <w:bCs/>
          <w:snapToGrid w:val="0"/>
          <w:kern w:val="0"/>
          <w:sz w:val="24"/>
        </w:rPr>
        <w:t>39、索赔</w:t>
      </w:r>
      <w:bookmarkEnd w:id="643"/>
      <w:bookmarkEnd w:id="644"/>
      <w:bookmarkEnd w:id="645"/>
      <w:bookmarkEnd w:id="646"/>
    </w:p>
    <w:p w14:paraId="7CE80B82">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承包人与发包人一致同意不适用合同通用条款第39.2、39.3款的约定，代之以：</w:t>
      </w:r>
    </w:p>
    <w:p w14:paraId="6D0E74E2">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39.2承包人向发包人索赔的程序</w:t>
      </w:r>
    </w:p>
    <w:p w14:paraId="5EA6E947">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44502747">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snapToGrid w:val="0"/>
          <w:kern w:val="0"/>
          <w:sz w:val="24"/>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51FFAA81">
      <w:pPr>
        <w:adjustRightInd w:val="0"/>
        <w:snapToGrid w:val="0"/>
        <w:spacing w:line="440" w:lineRule="exact"/>
        <w:ind w:right="11" w:firstLine="460" w:firstLineChars="192"/>
        <w:rPr>
          <w:rFonts w:hint="eastAsia" w:ascii="宋体" w:hAnsi="宋体" w:eastAsia="宋体" w:cs="宋体"/>
          <w:bCs/>
          <w:snapToGrid w:val="0"/>
          <w:kern w:val="0"/>
          <w:sz w:val="24"/>
        </w:rPr>
      </w:pPr>
      <w:r>
        <w:rPr>
          <w:rFonts w:hint="eastAsia" w:ascii="宋体" w:hAnsi="宋体" w:eastAsia="宋体" w:cs="宋体"/>
          <w:snapToGrid w:val="0"/>
          <w:kern w:val="0"/>
          <w:sz w:val="24"/>
        </w:rPr>
        <w:t>（3）承包人应在发出索赔意向通知后的14天内，向监理单位报送一份说明索赔所依据的理由和索赔款额的具体细节帐目的索赔报告。如果索赔事件尚未结束，承包人在索赔事件结束后的14天内，再报一份最终索赔报告给监理单位。</w:t>
      </w:r>
    </w:p>
    <w:p w14:paraId="583CFD4A">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36CDE556">
      <w:pPr>
        <w:adjustRightInd w:val="0"/>
        <w:snapToGrid w:val="0"/>
        <w:spacing w:line="440" w:lineRule="exact"/>
        <w:ind w:firstLine="470" w:firstLineChars="196"/>
        <w:outlineLvl w:val="3"/>
        <w:rPr>
          <w:rFonts w:hint="eastAsia" w:ascii="宋体" w:hAnsi="宋体" w:eastAsia="宋体" w:cs="宋体"/>
          <w:snapToGrid w:val="0"/>
          <w:kern w:val="0"/>
          <w:sz w:val="24"/>
        </w:rPr>
      </w:pPr>
      <w:r>
        <w:rPr>
          <w:rFonts w:hint="eastAsia" w:ascii="宋体" w:hAnsi="宋体" w:eastAsia="宋体" w:cs="宋体"/>
          <w:snapToGrid w:val="0"/>
          <w:kern w:val="0"/>
          <w:sz w:val="24"/>
          <w:lang w:val="zh-CN"/>
        </w:rPr>
        <w:t>39.3承包人未能按合同约定履行自己的各项义务或发生错误，发包人按</w:t>
      </w:r>
      <w:r>
        <w:rPr>
          <w:rFonts w:hint="eastAsia" w:ascii="宋体" w:hAnsi="宋体" w:eastAsia="宋体" w:cs="宋体"/>
          <w:snapToGrid w:val="0"/>
          <w:kern w:val="0"/>
          <w:sz w:val="24"/>
        </w:rPr>
        <w:t>如下约定向承包人索赔：</w:t>
      </w:r>
    </w:p>
    <w:p w14:paraId="13E3EBD6">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（1）发包人将自己的索赔意向书面通知承包人（同时抄送其担保银行），要求承包人在限期内纠正其违约行为，否则发包人将考虑按合同约定作出相关处理决定。</w:t>
      </w:r>
    </w:p>
    <w:p w14:paraId="29DB312F">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（2）限期届满，承包人没有用实际行动纠正自己的违约行为或者纠正行为不能使发包人满意或者纠正行为无法弥补发包人的损失的，则发包人直接按合同约定作出相关处理决定并向银行发出正式书面索赔通知。</w:t>
      </w:r>
    </w:p>
    <w:p w14:paraId="58FA93A4">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（3）如果通过向银行索赔的方式依然不能完全弥补发包人的损失，则发包人有权在应支付给承包人的工程款中直接扣取。同时发包人有权要求承包人在规定时间内按合同专用条款第44</w:t>
      </w:r>
      <w:r>
        <w:rPr>
          <w:rFonts w:hint="eastAsia" w:ascii="宋体" w:hAnsi="宋体" w:eastAsia="宋体" w:cs="宋体"/>
          <w:snapToGrid w:val="0"/>
          <w:kern w:val="0"/>
          <w:sz w:val="24"/>
          <w:lang w:val="zh-CN"/>
        </w:rPr>
        <w:t>.</w:t>
      </w:r>
      <w:r>
        <w:rPr>
          <w:rFonts w:hint="eastAsia" w:ascii="宋体" w:hAnsi="宋体" w:eastAsia="宋体" w:cs="宋体"/>
          <w:snapToGrid w:val="0"/>
          <w:kern w:val="0"/>
          <w:sz w:val="24"/>
        </w:rPr>
        <w:t>5款的约定向发包人补充提交履约担保。</w:t>
      </w:r>
    </w:p>
    <w:p w14:paraId="1FFEE3EE">
      <w:pPr>
        <w:adjustRightInd w:val="0"/>
        <w:snapToGrid w:val="0"/>
        <w:spacing w:line="440" w:lineRule="exact"/>
        <w:ind w:right="11" w:firstLine="460" w:firstLineChars="192"/>
        <w:rPr>
          <w:rFonts w:hint="eastAsia" w:ascii="宋体" w:hAnsi="宋体" w:eastAsia="宋体" w:cs="宋体"/>
          <w:snapToGrid w:val="0"/>
          <w:kern w:val="0"/>
          <w:sz w:val="24"/>
        </w:rPr>
      </w:pPr>
      <w:r>
        <w:rPr>
          <w:rFonts w:hint="eastAsia" w:ascii="宋体" w:hAnsi="宋体" w:eastAsia="宋体" w:cs="宋体"/>
          <w:snapToGrid w:val="0"/>
          <w:kern w:val="0"/>
          <w:sz w:val="24"/>
        </w:rPr>
        <w:t>（4）如果通过向银行索赔以及直接扣取工程款等方式依然不能完全弥补发包人损失的，承包人必须在发包人规定的时间内以现金形式支付剩余索赔额，否则发包人将按合同专用条款第40条的约定处理。</w:t>
      </w:r>
    </w:p>
    <w:p w14:paraId="107AE3C7">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承包人与发包人一致同意增加39.4：</w:t>
      </w:r>
    </w:p>
    <w:p w14:paraId="5580F340">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14:paraId="4F00D3A9">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47" w:name="_Toc27332"/>
      <w:bookmarkStart w:id="648" w:name="_Toc397364937"/>
      <w:bookmarkStart w:id="649" w:name="_Toc176192837"/>
      <w:bookmarkStart w:id="650" w:name="_Toc28378"/>
      <w:r>
        <w:rPr>
          <w:rFonts w:hint="eastAsia" w:ascii="宋体" w:hAnsi="宋体" w:eastAsia="宋体" w:cs="宋体"/>
          <w:b/>
          <w:bCs/>
          <w:snapToGrid w:val="0"/>
          <w:kern w:val="0"/>
          <w:sz w:val="24"/>
        </w:rPr>
        <w:t>40、争议</w:t>
      </w:r>
      <w:bookmarkEnd w:id="647"/>
      <w:bookmarkEnd w:id="648"/>
      <w:bookmarkEnd w:id="649"/>
      <w:bookmarkEnd w:id="650"/>
    </w:p>
    <w:p w14:paraId="6DC4EC6F">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40.1因本合同或者履行本合同所产生的争议，由发包人与承包人双方协商解决，经协商达成一致意见的，应签订书面协议；协商不成的，可向工程所在地有关主管部门申请调解；调解不成的，</w:t>
      </w:r>
      <w:r>
        <w:rPr>
          <w:rFonts w:hint="eastAsia" w:ascii="宋体" w:hAnsi="宋体" w:eastAsia="宋体" w:cs="宋体"/>
          <w:kern w:val="0"/>
          <w:sz w:val="24"/>
        </w:rPr>
        <w:t>向</w:t>
      </w:r>
      <w:r>
        <w:rPr>
          <w:rFonts w:hint="eastAsia" w:ascii="宋体" w:hAnsi="宋体" w:eastAsia="宋体" w:cs="宋体"/>
          <w:sz w:val="24"/>
        </w:rPr>
        <w:t>工程所在地人民法</w:t>
      </w:r>
      <w:r>
        <w:rPr>
          <w:rFonts w:hint="eastAsia" w:ascii="宋体" w:hAnsi="宋体" w:eastAsia="宋体" w:cs="宋体"/>
          <w:kern w:val="0"/>
          <w:sz w:val="24"/>
        </w:rPr>
        <w:t>院起诉。</w:t>
      </w:r>
    </w:p>
    <w:p w14:paraId="36AF49B3">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承包人与发包人一致同意增加40.3：</w:t>
      </w:r>
    </w:p>
    <w:p w14:paraId="7DAB16BD">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40.3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14:paraId="27945223">
      <w:pPr>
        <w:adjustRightInd w:val="0"/>
        <w:snapToGrid w:val="0"/>
        <w:spacing w:line="440" w:lineRule="exact"/>
        <w:ind w:right="11"/>
        <w:rPr>
          <w:rFonts w:hint="eastAsia" w:ascii="宋体" w:hAnsi="宋体" w:eastAsia="宋体" w:cs="宋体"/>
          <w:snapToGrid w:val="0"/>
          <w:kern w:val="0"/>
          <w:sz w:val="24"/>
        </w:rPr>
      </w:pPr>
    </w:p>
    <w:p w14:paraId="001FDDC3">
      <w:pPr>
        <w:adjustRightInd w:val="0"/>
        <w:snapToGrid w:val="0"/>
        <w:spacing w:line="440" w:lineRule="exact"/>
        <w:ind w:right="11"/>
        <w:outlineLvl w:val="1"/>
        <w:rPr>
          <w:rFonts w:hint="eastAsia" w:ascii="宋体" w:hAnsi="宋体" w:eastAsia="宋体" w:cs="宋体"/>
          <w:b/>
          <w:snapToGrid w:val="0"/>
          <w:kern w:val="0"/>
          <w:sz w:val="28"/>
          <w:szCs w:val="28"/>
        </w:rPr>
      </w:pPr>
      <w:bookmarkStart w:id="651" w:name="_Toc397364938"/>
      <w:bookmarkStart w:id="652" w:name="_Toc176192838"/>
      <w:bookmarkStart w:id="653" w:name="_Toc15944"/>
      <w:bookmarkStart w:id="654" w:name="_Toc10821"/>
      <w:r>
        <w:rPr>
          <w:rFonts w:hint="eastAsia" w:ascii="宋体" w:hAnsi="宋体" w:eastAsia="宋体" w:cs="宋体"/>
          <w:b/>
          <w:snapToGrid w:val="0"/>
          <w:kern w:val="0"/>
          <w:sz w:val="28"/>
          <w:szCs w:val="28"/>
        </w:rPr>
        <w:t>十一、其他</w:t>
      </w:r>
      <w:bookmarkEnd w:id="651"/>
      <w:bookmarkEnd w:id="652"/>
      <w:bookmarkEnd w:id="653"/>
      <w:bookmarkEnd w:id="654"/>
    </w:p>
    <w:p w14:paraId="618B3B88">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55" w:name="_Toc31628"/>
      <w:bookmarkStart w:id="656" w:name="_Toc397364939"/>
      <w:bookmarkStart w:id="657" w:name="_Toc31726"/>
      <w:bookmarkStart w:id="658" w:name="_Toc176192839"/>
      <w:r>
        <w:rPr>
          <w:rFonts w:hint="eastAsia" w:ascii="宋体" w:hAnsi="宋体" w:eastAsia="宋体" w:cs="宋体"/>
          <w:b/>
          <w:bCs/>
          <w:snapToGrid w:val="0"/>
          <w:kern w:val="0"/>
          <w:sz w:val="24"/>
        </w:rPr>
        <w:t>41、工程分包</w:t>
      </w:r>
      <w:bookmarkEnd w:id="655"/>
      <w:bookmarkEnd w:id="656"/>
      <w:bookmarkEnd w:id="657"/>
      <w:bookmarkEnd w:id="658"/>
    </w:p>
    <w:p w14:paraId="714BDCD4">
      <w:pPr>
        <w:adjustRightInd w:val="0"/>
        <w:snapToGrid w:val="0"/>
        <w:spacing w:line="440" w:lineRule="exact"/>
        <w:ind w:right="11" w:firstLine="480" w:firstLineChars="200"/>
        <w:rPr>
          <w:rFonts w:hint="eastAsia" w:ascii="宋体" w:hAnsi="宋体" w:eastAsia="宋体" w:cs="宋体"/>
          <w:b/>
          <w:bCs/>
          <w:snapToGrid w:val="0"/>
          <w:kern w:val="0"/>
          <w:sz w:val="24"/>
          <w:lang w:val="en-US" w:eastAsia="zh-CN"/>
        </w:rPr>
      </w:pPr>
      <w:r>
        <w:rPr>
          <w:rFonts w:hint="eastAsia" w:ascii="宋体" w:hAnsi="宋体" w:eastAsia="宋体" w:cs="宋体"/>
          <w:snapToGrid w:val="0"/>
          <w:kern w:val="0"/>
          <w:sz w:val="24"/>
        </w:rPr>
        <w:t>41.1</w:t>
      </w:r>
      <w:r>
        <w:rPr>
          <w:rFonts w:hint="eastAsia" w:ascii="宋体" w:hAnsi="宋体" w:eastAsia="宋体" w:cs="宋体"/>
          <w:b/>
          <w:bCs/>
          <w:snapToGrid w:val="0"/>
          <w:kern w:val="0"/>
          <w:sz w:val="24"/>
          <w:lang w:val="en-US" w:eastAsia="zh-CN"/>
        </w:rPr>
        <w:t>本工程不允许专业分包。</w:t>
      </w:r>
    </w:p>
    <w:p w14:paraId="21EEA094">
      <w:pPr>
        <w:adjustRightInd w:val="0"/>
        <w:snapToGrid w:val="0"/>
        <w:spacing w:line="440" w:lineRule="exact"/>
        <w:ind w:right="0" w:firstLine="480" w:firstLineChars="0"/>
        <w:outlineLvl w:val="3"/>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承包人与发包人一致同意增加41.5至41.12：</w:t>
      </w:r>
    </w:p>
    <w:p w14:paraId="0B03AB77">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41.5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14:paraId="26D5A529">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41.6下列行为，属于违法分包：</w:t>
      </w:r>
    </w:p>
    <w:p w14:paraId="6D2DE0D2">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（1）承包人将专业工程或者劳务作业分包给不具备相应资质条件的分包人的；</w:t>
      </w:r>
    </w:p>
    <w:p w14:paraId="1416CAB5">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（2）本合同中未有约定，又未经发包人认可，承包人将承包工程中的部分专业工程分包给他人的。</w:t>
      </w:r>
    </w:p>
    <w:p w14:paraId="496B4351">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41.7承包人虽然没有将其承包的工程进行分包，但在施工现场所设项目管理机构的项目经理、技术管理人员、核算管理人员、质量管理人员、安全管理人员不是承包人本单位人员的，视同允许他人以本企业名义承揽工程。</w:t>
      </w:r>
    </w:p>
    <w:p w14:paraId="330251CB">
      <w:pPr>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41.8承包人应参照合同专用条款第7条、第9条的有关约定，在发包人批准分包后5天内将分包单位工程现场组织管理人员名单及劳动力、施工机械设备投入计划报送发包人且负责落实到位，并接受总监理工程师和发包人代表的查验。</w:t>
      </w:r>
    </w:p>
    <w:p w14:paraId="7B08AAA4">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41.9分包工程价款由承包人与发包人结算。承包人应按本合同及分包合同的有关约定及时审核、申请支付各种工程、劳务及材料设备款项，并向发包人提交下列资料：</w:t>
      </w:r>
    </w:p>
    <w:p w14:paraId="168743E0">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（1）属专业工程分包的，应向发包人提交分包人提交给承包人的履约担保文件复印件（应同时携带原件供发包人复核），具体按招标文件或发包人要求执行。</w:t>
      </w:r>
    </w:p>
    <w:p w14:paraId="5E43AA3C">
      <w:pPr>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（2）属材料设备供货的，应向发包人提交供货商提交给承包人的履约担保文件复印件（应同时携带原件供发包人复核），具体按招标文件或发包人要求执行。</w:t>
      </w:r>
    </w:p>
    <w:p w14:paraId="64E6B309">
      <w:pPr>
        <w:adjustRightInd w:val="0"/>
        <w:snapToGrid w:val="0"/>
        <w:spacing w:line="440" w:lineRule="exact"/>
        <w:ind w:right="11" w:firstLine="480" w:firstLineChars="200"/>
        <w:outlineLvl w:val="3"/>
        <w:rPr>
          <w:rFonts w:hint="eastAsia" w:ascii="宋体" w:hAnsi="宋体" w:eastAsia="宋体" w:cs="宋体"/>
          <w:bCs/>
          <w:iCs/>
          <w:snapToGrid w:val="0"/>
          <w:kern w:val="0"/>
          <w:sz w:val="24"/>
        </w:rPr>
      </w:pPr>
      <w:r>
        <w:rPr>
          <w:rFonts w:hint="eastAsia" w:ascii="宋体" w:hAnsi="宋体" w:eastAsia="宋体" w:cs="宋体"/>
          <w:snapToGrid w:val="0"/>
          <w:kern w:val="0"/>
          <w:sz w:val="24"/>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016F480D">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41.11承包人擅自更换投标时填报或经发包人审核后认可的专业分包单位，承包人承担50万元/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14:paraId="038C3699">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41.12本合同订立时确定的分包工程：无。</w:t>
      </w:r>
    </w:p>
    <w:p w14:paraId="252BBDCB">
      <w:pPr>
        <w:adjustRightInd w:val="0"/>
        <w:snapToGrid w:val="0"/>
        <w:spacing w:line="440" w:lineRule="exact"/>
        <w:ind w:firstLine="480"/>
        <w:outlineLvl w:val="2"/>
        <w:rPr>
          <w:rFonts w:hint="eastAsia" w:ascii="宋体" w:hAnsi="宋体" w:eastAsia="宋体" w:cs="宋体"/>
          <w:b/>
          <w:bCs/>
          <w:snapToGrid w:val="0"/>
          <w:kern w:val="0"/>
          <w:sz w:val="24"/>
        </w:rPr>
      </w:pPr>
      <w:bookmarkStart w:id="659" w:name="_Toc176192840"/>
      <w:bookmarkStart w:id="660" w:name="_Toc397364940"/>
      <w:bookmarkStart w:id="661" w:name="_Toc18523"/>
      <w:bookmarkStart w:id="662" w:name="_Toc22153"/>
      <w:r>
        <w:rPr>
          <w:rFonts w:hint="eastAsia" w:ascii="宋体" w:hAnsi="宋体" w:eastAsia="宋体" w:cs="宋体"/>
          <w:b/>
          <w:bCs/>
          <w:snapToGrid w:val="0"/>
          <w:kern w:val="0"/>
          <w:sz w:val="24"/>
        </w:rPr>
        <w:t>42、不可抗力</w:t>
      </w:r>
      <w:bookmarkEnd w:id="659"/>
      <w:bookmarkEnd w:id="660"/>
      <w:bookmarkEnd w:id="661"/>
      <w:bookmarkEnd w:id="662"/>
    </w:p>
    <w:p w14:paraId="1A1CC886">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42.1不可抗力，是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14:paraId="5D458F5D">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自然灾害的范围及其认定方式，按如下约定执行：</w:t>
      </w:r>
    </w:p>
    <w:p w14:paraId="5099BA57">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hint="eastAsia" w:ascii="宋体" w:hAnsi="宋体" w:eastAsia="宋体" w:cs="宋体"/>
          <w:snapToGrid w:val="0"/>
          <w:kern w:val="0"/>
          <w:sz w:val="24"/>
        </w:rPr>
        <w:t>施工</w:t>
      </w:r>
      <w:r>
        <w:rPr>
          <w:rFonts w:hint="eastAsia" w:ascii="宋体" w:hAnsi="宋体" w:eastAsia="宋体" w:cs="宋体"/>
          <w:bCs/>
          <w:snapToGrid w:val="0"/>
          <w:kern w:val="0"/>
          <w:sz w:val="24"/>
        </w:rPr>
        <w:t>日志、现场照片办理证据保全公证，方可认定为是不可抗力。</w:t>
      </w:r>
    </w:p>
    <w:p w14:paraId="348E6BC8">
      <w:pPr>
        <w:adjustRightInd w:val="0"/>
        <w:snapToGrid w:val="0"/>
        <w:spacing w:line="440" w:lineRule="exact"/>
        <w:ind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（2）里氏5级（含5级）以上的地震。</w:t>
      </w:r>
    </w:p>
    <w:p w14:paraId="56C998C5">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42.3因不可抗力引起工程停工的，工期按合同专用条款第13条的有关约定执行，费用承担按如下约定执行：</w:t>
      </w:r>
    </w:p>
    <w:p w14:paraId="0EF6917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（1）工程本身的损害，由发包人承担。</w:t>
      </w:r>
    </w:p>
    <w:p w14:paraId="24382CA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（2）因工程损害导致第三方人员伤亡和财产损失，如在工程竣工验收合格移交给发包人使用前造成的，费用由承包人承担；如在工程竣工验收合格移交给发包人使用后发生的，费用由发包人承担。</w:t>
      </w:r>
    </w:p>
    <w:p w14:paraId="1A16882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（3）运至施工场地用于施工的材料和待安装的设备的损害，属发包人供应的由发包人承担；属承包人采购的由承包人承担。</w:t>
      </w:r>
    </w:p>
    <w:p w14:paraId="6D72B09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（4）发包人、承包人的人员伤亡由其所在单位负责，并承担相应费用。</w:t>
      </w:r>
    </w:p>
    <w:p w14:paraId="63EE4C7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（5）承包人机械设备损坏及停工损失，由承包人承担。</w:t>
      </w:r>
    </w:p>
    <w:p w14:paraId="47F7DAAD">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（6）停工期间，承包人应总监理工程师要求留在施工场地的必要的管理人员及保卫人员的费用由承包人承担。</w:t>
      </w:r>
    </w:p>
    <w:p w14:paraId="0A8D0534">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（7）工程所需清理、修复费用，由承包人承担。</w:t>
      </w:r>
    </w:p>
    <w:p w14:paraId="5F0D5403">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63" w:name="_Toc176192841"/>
      <w:bookmarkStart w:id="664" w:name="_Toc7816"/>
      <w:bookmarkStart w:id="665" w:name="_Toc397364941"/>
      <w:bookmarkStart w:id="666" w:name="_Toc30568"/>
      <w:r>
        <w:rPr>
          <w:rFonts w:hint="eastAsia" w:ascii="宋体" w:hAnsi="宋体" w:eastAsia="宋体" w:cs="宋体"/>
          <w:b/>
          <w:bCs/>
          <w:snapToGrid w:val="0"/>
          <w:kern w:val="0"/>
          <w:sz w:val="24"/>
        </w:rPr>
        <w:t>43、保险</w:t>
      </w:r>
      <w:bookmarkEnd w:id="663"/>
      <w:bookmarkEnd w:id="664"/>
      <w:bookmarkEnd w:id="665"/>
      <w:bookmarkEnd w:id="666"/>
    </w:p>
    <w:p w14:paraId="1D5CD2CE">
      <w:pPr>
        <w:adjustRightInd w:val="0"/>
        <w:snapToGrid w:val="0"/>
        <w:spacing w:line="440" w:lineRule="exact"/>
        <w:ind w:right="11" w:firstLine="460" w:firstLineChars="192"/>
        <w:outlineLvl w:val="3"/>
        <w:rPr>
          <w:rFonts w:hint="eastAsia" w:ascii="宋体" w:hAnsi="宋体" w:eastAsia="宋体" w:cs="宋体"/>
          <w:snapToGrid w:val="0"/>
          <w:kern w:val="0"/>
          <w:sz w:val="24"/>
        </w:rPr>
      </w:pPr>
      <w:bookmarkStart w:id="667" w:name="_Toc397364942"/>
      <w:bookmarkStart w:id="668" w:name="_Toc32755"/>
      <w:bookmarkStart w:id="669" w:name="_Toc18318"/>
      <w:r>
        <w:rPr>
          <w:rFonts w:hint="eastAsia" w:ascii="宋体" w:hAnsi="宋体" w:eastAsia="宋体" w:cs="宋体"/>
          <w:snapToGrid w:val="0"/>
          <w:kern w:val="0"/>
          <w:sz w:val="24"/>
        </w:rPr>
        <w:t>43.6双方同意按照以下约定购买工程保险，工程保险费已包含在合同价款中，发包人不再另行支付：</w:t>
      </w:r>
    </w:p>
    <w:p w14:paraId="0D0FE8E7">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承包人应当购买的保险包括但不限于：</w:t>
      </w:r>
    </w:p>
    <w:p w14:paraId="3666A502">
      <w:pPr>
        <w:numPr>
          <w:ilvl w:val="0"/>
          <w:numId w:val="5"/>
        </w:num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建筑职工意外伤害险（足额购买）；</w:t>
      </w:r>
    </w:p>
    <w:p w14:paraId="1AD51552">
      <w:pPr>
        <w:numPr>
          <w:ilvl w:val="0"/>
          <w:numId w:val="5"/>
        </w:num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工伤险；</w:t>
      </w:r>
    </w:p>
    <w:p w14:paraId="7B9FAB39">
      <w:pPr>
        <w:adjustRightInd w:val="0"/>
        <w:snapToGrid w:val="0"/>
        <w:spacing w:line="440" w:lineRule="exact"/>
        <w:ind w:right="11" w:firstLine="460" w:firstLineChars="192"/>
        <w:rPr>
          <w:rFonts w:hint="eastAsia" w:ascii="宋体" w:hAnsi="宋体" w:eastAsia="宋体" w:cs="宋体"/>
          <w:b/>
          <w:bCs/>
          <w:snapToGrid w:val="0"/>
          <w:kern w:val="0"/>
          <w:sz w:val="24"/>
        </w:rPr>
      </w:pPr>
      <w:r>
        <w:rPr>
          <w:rFonts w:hint="eastAsia" w:ascii="宋体" w:hAnsi="宋体" w:eastAsia="宋体" w:cs="宋体"/>
          <w:snapToGrid w:val="0"/>
          <w:kern w:val="0"/>
          <w:sz w:val="24"/>
        </w:rPr>
        <w:t>3）承包人雇主责任险；</w:t>
      </w:r>
    </w:p>
    <w:p w14:paraId="3778B201">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4）施工机械设备保险；</w:t>
      </w:r>
    </w:p>
    <w:p w14:paraId="2C51936D">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建筑工程一切险、安装工程一切险及第三者责任险（承包人以发包人名义购买并由承包人承担相应费用。如承包人在签订合同之日起30日内未按上述要求购买的，则发包人有权自行购买，相应费用从承包人最近一期工程进度款中扣除）；</w:t>
      </w:r>
    </w:p>
    <w:p w14:paraId="509185E0">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6）为本合同工作的员工（含临时工）人身意外保险；</w:t>
      </w:r>
    </w:p>
    <w:p w14:paraId="79C9D4F0">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7）为运至施工场地内用于永久工程的材料和待安装工程设备办理保险。</w:t>
      </w:r>
    </w:p>
    <w:p w14:paraId="4EFAF0F9">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由承包人负责办理的保险，如保险金不足以补偿损失的，应由承包人自行负责补偿。</w:t>
      </w:r>
    </w:p>
    <w:p w14:paraId="0BFB6EFB">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承包人不按上述约定购买保险所产生的后果，由承包人承担。</w:t>
      </w:r>
    </w:p>
    <w:p w14:paraId="47DD4396">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70" w:name="_Toc176192842"/>
      <w:r>
        <w:rPr>
          <w:rFonts w:hint="eastAsia" w:ascii="宋体" w:hAnsi="宋体" w:eastAsia="宋体" w:cs="宋体"/>
          <w:b/>
          <w:bCs/>
          <w:snapToGrid w:val="0"/>
          <w:kern w:val="0"/>
          <w:sz w:val="24"/>
        </w:rPr>
        <w:t>44、担保</w:t>
      </w:r>
      <w:bookmarkEnd w:id="667"/>
      <w:bookmarkEnd w:id="668"/>
      <w:bookmarkEnd w:id="669"/>
      <w:bookmarkEnd w:id="670"/>
    </w:p>
    <w:p w14:paraId="0E76B85F">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44.3双方同意，承包人按如下约定向发包人提供履约担保：</w:t>
      </w:r>
    </w:p>
    <w:p w14:paraId="7B8BD70B">
      <w:pPr>
        <w:adjustRightInd w:val="0"/>
        <w:snapToGrid w:val="0"/>
        <w:spacing w:line="440" w:lineRule="exact"/>
        <w:ind w:right="11" w:firstLine="480" w:firstLineChars="200"/>
        <w:rPr>
          <w:rFonts w:hint="eastAsia" w:ascii="宋体" w:hAnsi="宋体" w:eastAsia="宋体" w:cs="宋体"/>
          <w:sz w:val="24"/>
        </w:rPr>
      </w:pPr>
      <w:r>
        <w:rPr>
          <w:rFonts w:hint="eastAsia" w:ascii="宋体" w:hAnsi="宋体" w:eastAsia="宋体" w:cs="宋体"/>
          <w:sz w:val="24"/>
        </w:rPr>
        <w:t>在本合同签订后15天内，承包人向发包人提交由在中华人民共和国注册的银行开出的履约银行保函原件，或提交由在中华人民共和国注册的担保公司开出的履约担保原件，或提交由在中华人民共和国注册的保险公司开出的履约保证保险原件。招标文件有载明</w:t>
      </w:r>
      <w:r>
        <w:rPr>
          <w:rFonts w:hint="eastAsia" w:ascii="宋体" w:hAnsi="宋体" w:eastAsia="宋体" w:cs="宋体"/>
          <w:snapToGrid w:val="0"/>
          <w:kern w:val="0"/>
          <w:sz w:val="24"/>
        </w:rPr>
        <w:t>履约担保</w:t>
      </w:r>
      <w:r>
        <w:rPr>
          <w:rFonts w:hint="eastAsia" w:ascii="宋体" w:hAnsi="宋体" w:eastAsia="宋体" w:cs="宋体"/>
          <w:sz w:val="24"/>
        </w:rPr>
        <w:t>参考格式的，按招标文件要求办理。</w:t>
      </w:r>
    </w:p>
    <w:p w14:paraId="3EC5CC97">
      <w:pPr>
        <w:adjustRightInd w:val="0"/>
        <w:snapToGrid w:val="0"/>
        <w:spacing w:line="440" w:lineRule="exact"/>
        <w:ind w:right="11" w:firstLine="480" w:firstLineChars="200"/>
        <w:rPr>
          <w:rFonts w:hint="eastAsia" w:ascii="宋体" w:hAnsi="宋体" w:eastAsia="宋体" w:cs="宋体"/>
          <w:snapToGrid w:val="0"/>
          <w:kern w:val="0"/>
          <w:sz w:val="24"/>
          <w:u w:val="single"/>
        </w:rPr>
      </w:pPr>
      <w:r>
        <w:rPr>
          <w:rFonts w:hint="eastAsia" w:ascii="宋体" w:hAnsi="宋体" w:eastAsia="宋体" w:cs="宋体"/>
          <w:snapToGrid w:val="0"/>
          <w:kern w:val="0"/>
          <w:sz w:val="24"/>
        </w:rPr>
        <w:t>承包人如未能在上述约定的时间内提交履约担保的，视为自动放弃中标资格，其所提交的投标保证金不予退还。</w:t>
      </w:r>
    </w:p>
    <w:p w14:paraId="45467F9E">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承包人与发包人一致同意增加44.4至44.</w:t>
      </w:r>
      <w:r>
        <w:rPr>
          <w:rFonts w:ascii="宋体" w:hAnsi="宋体" w:eastAsia="宋体" w:cs="宋体"/>
          <w:b/>
          <w:snapToGrid w:val="0"/>
          <w:kern w:val="0"/>
          <w:sz w:val="24"/>
        </w:rPr>
        <w:t>7</w:t>
      </w:r>
      <w:r>
        <w:rPr>
          <w:rFonts w:hint="eastAsia" w:ascii="宋体" w:hAnsi="宋体" w:eastAsia="宋体" w:cs="宋体"/>
          <w:b/>
          <w:snapToGrid w:val="0"/>
          <w:kern w:val="0"/>
          <w:sz w:val="24"/>
        </w:rPr>
        <w:t>：</w:t>
      </w:r>
    </w:p>
    <w:p w14:paraId="3C9AA42B">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44.4承包人提交的履约</w:t>
      </w:r>
      <w:r>
        <w:rPr>
          <w:rFonts w:hint="eastAsia" w:ascii="宋体" w:hAnsi="宋体" w:eastAsia="宋体" w:cs="宋体"/>
          <w:sz w:val="24"/>
        </w:rPr>
        <w:t>担保</w:t>
      </w:r>
      <w:r>
        <w:rPr>
          <w:rFonts w:hint="eastAsia" w:ascii="宋体" w:hAnsi="宋体" w:eastAsia="宋体" w:cs="宋体"/>
          <w:snapToGrid w:val="0"/>
          <w:kern w:val="0"/>
          <w:sz w:val="24"/>
        </w:rPr>
        <w:t>是对本合同约定的承包人的全部义务（包括但不限于承包人违约后应支付的违约金和赔偿金）的担保，承包人的任何一次不履行或不完全履行合同义务的行为，发包人均有权向担保人提出索赔。</w:t>
      </w:r>
    </w:p>
    <w:p w14:paraId="1398E24F">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44.5承包人不履行或不完全履行合同义务的行为导致发包人依据履约担保向担保人索赔履约担保金额的一部分或者全部的，承包人必须在发包人规定的时间内补充提交履约担保，使得本合同履行期间有效的履约担保金额等于承包人第一次提交的履约担保金额。</w:t>
      </w:r>
    </w:p>
    <w:p w14:paraId="6B2EBE9F">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44.6如果承包人不按发包人的要求及时补充提交履约担保，则发包人有权单方面部分解除或解除本合同，并按合同专用条款第38.4（4）、（5）及47.9、47.10、47.11款的有关约定执行。</w:t>
      </w:r>
    </w:p>
    <w:p w14:paraId="7B53D65D">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44.7履约担保的有效期，是从提供履约担保之日起至合同工程竣工验收合格之日止；工程竣工验收备案完成后，承包人可以向发包人申请退还履约担保。</w:t>
      </w:r>
    </w:p>
    <w:p w14:paraId="5A53B0AF">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71" w:name="_Toc27951"/>
      <w:bookmarkStart w:id="672" w:name="_Toc6206"/>
      <w:bookmarkStart w:id="673" w:name="_Toc397364943"/>
      <w:bookmarkStart w:id="674" w:name="_Toc176192843"/>
      <w:r>
        <w:rPr>
          <w:rFonts w:hint="eastAsia" w:ascii="宋体" w:hAnsi="宋体" w:eastAsia="宋体" w:cs="宋体"/>
          <w:b/>
          <w:bCs/>
          <w:snapToGrid w:val="0"/>
          <w:kern w:val="0"/>
          <w:sz w:val="24"/>
        </w:rPr>
        <w:t>47、合同解除</w:t>
      </w:r>
      <w:bookmarkEnd w:id="671"/>
      <w:bookmarkEnd w:id="672"/>
      <w:bookmarkEnd w:id="673"/>
      <w:bookmarkEnd w:id="674"/>
    </w:p>
    <w:p w14:paraId="57AE1000">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47.7合同解除后，不影响双方在合同中约定的结算和清理条款的效力，亦不能免除承包人对已完工项目的保修责任。</w:t>
      </w:r>
    </w:p>
    <w:p w14:paraId="4BA8B574">
      <w:pPr>
        <w:adjustRightInd w:val="0"/>
        <w:snapToGrid w:val="0"/>
        <w:spacing w:line="440" w:lineRule="exact"/>
        <w:ind w:right="11" w:firstLine="463" w:firstLineChars="192"/>
        <w:rPr>
          <w:rFonts w:hint="eastAsia" w:ascii="宋体" w:hAnsi="宋体" w:eastAsia="宋体" w:cs="宋体"/>
          <w:b/>
          <w:snapToGrid w:val="0"/>
          <w:kern w:val="0"/>
          <w:sz w:val="24"/>
        </w:rPr>
      </w:pPr>
      <w:r>
        <w:rPr>
          <w:rFonts w:hint="eastAsia" w:ascii="宋体" w:hAnsi="宋体" w:eastAsia="宋体" w:cs="宋体"/>
          <w:b/>
          <w:snapToGrid w:val="0"/>
          <w:kern w:val="0"/>
          <w:sz w:val="24"/>
        </w:rPr>
        <w:t>承包人与发包人一致同意增加47.8至47.11：</w:t>
      </w:r>
    </w:p>
    <w:p w14:paraId="2245FABC">
      <w:pPr>
        <w:adjustRightInd w:val="0"/>
        <w:snapToGrid w:val="0"/>
        <w:spacing w:line="440" w:lineRule="exact"/>
        <w:ind w:right="11" w:firstLine="460" w:firstLineChars="192"/>
        <w:outlineLvl w:val="3"/>
        <w:rPr>
          <w:rFonts w:hint="eastAsia" w:ascii="宋体" w:hAnsi="宋体" w:eastAsia="宋体" w:cs="宋体"/>
          <w:b/>
          <w:bCs/>
          <w:snapToGrid w:val="0"/>
          <w:kern w:val="0"/>
          <w:sz w:val="24"/>
        </w:rPr>
      </w:pPr>
      <w:r>
        <w:rPr>
          <w:rFonts w:hint="eastAsia" w:ascii="宋体" w:hAnsi="宋体" w:eastAsia="宋体" w:cs="宋体"/>
          <w:snapToGrid w:val="0"/>
          <w:kern w:val="0"/>
          <w:sz w:val="24"/>
        </w:rPr>
        <w:t>47.8发包人有权依据本合同有关条款的约定部分解除合同或解除合同。</w:t>
      </w:r>
    </w:p>
    <w:p w14:paraId="71B0BEBC">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47.9部分解除合同</w:t>
      </w:r>
    </w:p>
    <w:p w14:paraId="2492143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承包人违约致部分解除合同的条件成就时，承包人在此承诺：</w:t>
      </w:r>
    </w:p>
    <w:p w14:paraId="131EDE7F">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（1）因承包人违约致部分解除合同的条件成就时，发包人有权向承包人发出部分解除合同的通知，该通知送达承包人时部分解除合同即生效，并立即按照合同专用条款第38.4（4）款的约定执行。</w:t>
      </w:r>
    </w:p>
    <w:p w14:paraId="224A776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（2）承包人在接到部分解除合同的通知后，在2天内停止该部分工程的施工，并将机械、材料、物件、人员从该部分工程的施工场地撤离。</w:t>
      </w:r>
    </w:p>
    <w:p w14:paraId="1DD4101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6B79785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（4）承包人在收到部分解除合同的通知后，若不按上述约定执行，发包人有权自行处理承包人滞留在施工现场的物品，处理费用及因此所造成的损失由承包人承担。</w:t>
      </w:r>
    </w:p>
    <w:p w14:paraId="2E09F6A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（5）部分解除合同的通知送达承包人后，发包人就该部分解除合同的工程即可另行与其他单位签订施工合同，承包人不得阻碍新的单位进场施工。</w:t>
      </w:r>
    </w:p>
    <w:p w14:paraId="4F48FB5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（6）当部分解除合同的工程额达到本合同价款的50%时，发包人有权解除合同。</w:t>
      </w:r>
    </w:p>
    <w:p w14:paraId="3DDE8CFF">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47.10解除合同</w:t>
      </w:r>
    </w:p>
    <w:p w14:paraId="1DD3F76B">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承包人违约致解除合同的条件成就时，承包人在此承诺：</w:t>
      </w:r>
    </w:p>
    <w:p w14:paraId="67C7831C">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（1）因承包人违约致解除合同的条件成就时，发包人有权向承包人发出解除合同的通知，该通知送达承包人时解除合同即生效，并立即按照合同专用条款第38.4（5）款的约定执行。</w:t>
      </w:r>
    </w:p>
    <w:p w14:paraId="6BFDAEB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7E23E795">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14:paraId="42784853">
      <w:pPr>
        <w:adjustRightInd w:val="0"/>
        <w:snapToGrid w:val="0"/>
        <w:spacing w:line="44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（4）解除合同的通知送达承包人后，发包人就该解除合同的工程即可另行与其他单位签订施工合同，承包人不得阻碍新的单位进场施工。</w:t>
      </w:r>
    </w:p>
    <w:p w14:paraId="1B7B621C">
      <w:pPr>
        <w:adjustRightInd w:val="0"/>
        <w:snapToGrid w:val="0"/>
        <w:spacing w:line="440" w:lineRule="exact"/>
        <w:ind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47.11承包人在部分解除合同或解除合同后，还必须在规定期限内作好已施工项目技术资料和实物的交底、移交工作。承包人因未履行上述义务而给发包人带来工期延误和其他损失的，应赔偿发包人的实际损失。</w:t>
      </w:r>
      <w:bookmarkStart w:id="675" w:name="_Toc122759216"/>
      <w:bookmarkStart w:id="676" w:name="_Toc115711031"/>
    </w:p>
    <w:p w14:paraId="676F8A5C">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77" w:name="_Toc397364944"/>
      <w:bookmarkStart w:id="678" w:name="_Toc11893"/>
      <w:bookmarkStart w:id="679" w:name="_Toc30997"/>
      <w:bookmarkStart w:id="680" w:name="_Toc176192844"/>
      <w:r>
        <w:rPr>
          <w:rFonts w:hint="eastAsia" w:ascii="宋体" w:hAnsi="宋体" w:eastAsia="宋体" w:cs="宋体"/>
          <w:b/>
          <w:bCs/>
          <w:snapToGrid w:val="0"/>
          <w:kern w:val="0"/>
          <w:sz w:val="24"/>
        </w:rPr>
        <w:t>50、</w:t>
      </w:r>
      <w:bookmarkEnd w:id="677"/>
      <w:bookmarkEnd w:id="678"/>
      <w:bookmarkEnd w:id="679"/>
      <w:r>
        <w:rPr>
          <w:rFonts w:hint="eastAsia" w:ascii="宋体" w:hAnsi="宋体" w:eastAsia="宋体" w:cs="宋体"/>
          <w:b/>
          <w:bCs/>
          <w:snapToGrid w:val="0"/>
          <w:kern w:val="0"/>
          <w:sz w:val="24"/>
        </w:rPr>
        <w:t>其他</w:t>
      </w:r>
      <w:bookmarkEnd w:id="680"/>
    </w:p>
    <w:p w14:paraId="3D1BE27C">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50.1施工水电费（包括承包人本身及其承包管理范围内的专业单位、分包单位的水电费）由承包人向有关部门缴纳，发包人协助办理相关手续。发包人不提供临水、临电及接驳口，由承包人自行解决，费用已包含在合同总价中，发包人与项目业主不再另行支付。</w:t>
      </w:r>
    </w:p>
    <w:p w14:paraId="71CC7A92">
      <w:pPr>
        <w:adjustRightInd w:val="0"/>
        <w:snapToGrid w:val="0"/>
        <w:spacing w:line="440" w:lineRule="exact"/>
        <w:ind w:right="11" w:firstLine="460" w:firstLineChars="192"/>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50.2承包人承诺：严格按照合同和招投标文件规定履行义务，并同意发包人将其执行国家强制性规范、标准和履行合同、招投标文件义务的情况（包括但不限于由发包人组织的考核、考评通报、违约处理决定等）在发包人网站和广州市建设项目业主网站及其他媒体上公开披露，并且不向发包人提出任何赔偿或补偿要求。</w:t>
      </w:r>
    </w:p>
    <w:p w14:paraId="4C8736D6">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50.3双方一致同意，在工程未竣工验收移交前所有工程资料均归发包人所有，并必须在现场存放保管，发包人委托监理单位负责看管，在未得到发包人同意前，上述资料不得移出工地现场。</w:t>
      </w:r>
    </w:p>
    <w:p w14:paraId="7A4F9D0F">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50.4承包人必须接受政府有关部门对本工程的监督，并无条件配合政府指定的审计机构的审计。</w:t>
      </w:r>
    </w:p>
    <w:p w14:paraId="5B49492D">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50.5综合考评</w:t>
      </w:r>
    </w:p>
    <w:p w14:paraId="25891F96">
      <w:pPr>
        <w:autoSpaceDE w:val="0"/>
        <w:autoSpaceDN w:val="0"/>
        <w:adjustRightInd w:val="0"/>
        <w:snapToGrid w:val="0"/>
        <w:spacing w:line="440" w:lineRule="exact"/>
        <w:ind w:firstLine="480"/>
        <w:rPr>
          <w:rFonts w:hint="eastAsia" w:ascii="宋体" w:hAnsi="宋体" w:eastAsia="宋体" w:cs="宋体"/>
          <w:snapToGrid w:val="0"/>
          <w:kern w:val="0"/>
          <w:sz w:val="24"/>
        </w:rPr>
      </w:pPr>
      <w:r>
        <w:rPr>
          <w:rFonts w:hint="eastAsia" w:ascii="宋体" w:hAnsi="宋体" w:eastAsia="宋体" w:cs="宋体"/>
          <w:snapToGrid w:val="0"/>
          <w:kern w:val="0"/>
          <w:sz w:val="24"/>
        </w:rPr>
        <w:t>鉴于本工程的重要性，为确保本合同工程质量，发包人将对参与本合同项目建设的设计、施工、监理等单位进行综合考评，并根据综合考评的结果按照相关规定执行。</w:t>
      </w:r>
    </w:p>
    <w:p w14:paraId="188D87F9">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50.6.补充条款</w:t>
      </w:r>
    </w:p>
    <w:p w14:paraId="08A62411">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50.6.1本着施工企业对所承包的工程质量负责到底的精神，承包人自工程完工并验收合格之日起（或工程未验收之前由发包人通知交付使用之日起）对工程质量实施保修。发包人扣留结算价的3%作为保修期的保证金，待保修期满后再支付给承包人（无息）。保修期内在正常使用的条件下，确因施工方面的原因而发生的工程质量问题，其返修工作及修复费均由承包人负责，为了保证设施的正常使用功能，避免发生事故，承包人在接到返修通知后一星期内必须进场返修，否则，发包人有权安排其它施工单位进场返修，所发生的费用由承包人负责支付。工程验收合格之前，工程的保管责任由承包人负责，工程质量按国务院279号《建筑工程质量管理条例执行》。</w:t>
      </w:r>
    </w:p>
    <w:p w14:paraId="68C25406">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50.6.2承包人的项目经理、副经理以及主要行政与技术领导等，必须常驻工地，不得兼职。合同对承包人的各种人员的到位情况和任职是作为一种条件来要求的（特别是项目经理部的主要管理人员、主要技术人员）。必须保证投标文件中拟定的项目经理及其主要管理人员和技术人员能及时地、始终地参与本工程的施工管理，未经业主同意，不得随意更换。合同签订后，项目经理、项目班子主要成员不到位，则工程师不签发开工令，工期不顺延；施工中班子主要成员离开工地应向业主请假，经批准后才能离开，擅自离开工地，工程师将发出停工令，待人员回到岗位后才批准复工，由此产生的工期及经济损失由承包人自负，造成发包人和建设管理方损失的，发包人和建设管理方保留索赔的权利。</w:t>
      </w:r>
    </w:p>
    <w:p w14:paraId="021E5EB3">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50.6.3已明确架空线、地下管线的，承包人有责任保护其安全，如因施工损坏，由承包人承担相关责任并负责经济赔偿。凡标明有地下管线的地方，应挖探坑查明管线的具体位置并作出保护措施后方可施工。为保护好地下管线，要求承包人在钻桩开钻及排水沟、基坑开挖前，先进行勘探性探测（钻孔桩施工时应挖相当桩截面不少于3.0米深的探坑），确认没有遇到地下任何管线后，才允许开钻及开挖，否则由此引起的一切损失由承包人负责。</w:t>
      </w:r>
    </w:p>
    <w:p w14:paraId="62239772">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50.6.4施工场地的管理和责任</w:t>
      </w:r>
    </w:p>
    <w:p w14:paraId="0A75E6E2">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（1）承包人只能在发包人提供的施工场地范围内进行布置、安排和组织施工。承包人如需占用发包人提供的施工场地范围以外的场地，须自行办理有关手续及支付相关费用。</w:t>
      </w:r>
    </w:p>
    <w:p w14:paraId="682716E2">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（2）鉴于工程建设项目的特点，发包人可能会分期提供场地，承包人应据此调整施工进度计划。只有承包人提供足够的资料证明发包人拖延其关键工序的开始，这种拖延才被视为补偿事件，并获得发包人批准。</w:t>
      </w:r>
    </w:p>
    <w:p w14:paraId="3EA5D171">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50.6.5为强化施工现场过程监督，提升工程质量安全和文明施工水平，按相关要求须对工程实行视频监控管理的，视频监控系统应满足高点全局监控，基本无盲点覆盖的要求，具体以建设主管部门及发包人的相关要求为准。</w:t>
      </w:r>
    </w:p>
    <w:p w14:paraId="7A60A0C2">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50.6.6根据《广州市城乡建设委员会关于加强在建重点工程建筑废弃物运输管理的通知》（穗建质[2013]1799号）的要求，承包人应加强对建筑废弃物的运输管理，落实具体管理措施，与具有《广州市建筑废弃物处置证》的运输单位直接签订建筑废弃物运输合同，并认真执行“一不准进、三不准出”的规定（“一不准进”是指无《广州市建筑废弃物运输车辆标识》的车辆不准进入工地现场运输建筑废弃物，“三不准出”是指超载、无遮盖、未冲洗干净车轮和车身的车辆，坚决不准驶出工地）。必须配备施工现场建筑废弃物排放管理人员（建筑废弃物监督员）并履责，监督管理建筑废弃物的装载、运输车辆出入工地等。如因措施不力导致受到个人或有关部门投诉或处罚，发包人经核实后每次处罚承包人违约金5000元并限期整改。</w:t>
      </w:r>
    </w:p>
    <w:p w14:paraId="680421F8">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50.6.7承包人应严格按照发包人制定的《工程变更管理办法》、《工程竣工验收管理办法》、《工程竣工档案整理验收管理办法》等有关规章制度执行。</w:t>
      </w:r>
    </w:p>
    <w:p w14:paraId="4C4C6B2D">
      <w:pPr>
        <w:adjustRightInd w:val="0"/>
        <w:snapToGrid w:val="0"/>
        <w:spacing w:line="440" w:lineRule="exact"/>
        <w:ind w:right="11" w:firstLine="463" w:firstLineChars="192"/>
        <w:outlineLvl w:val="2"/>
        <w:rPr>
          <w:rFonts w:hint="eastAsia" w:ascii="宋体" w:hAnsi="宋体" w:eastAsia="宋体" w:cs="宋体"/>
          <w:b/>
          <w:bCs/>
          <w:snapToGrid w:val="0"/>
          <w:kern w:val="0"/>
          <w:sz w:val="24"/>
        </w:rPr>
      </w:pPr>
      <w:bookmarkStart w:id="681" w:name="_Toc176192845"/>
      <w:r>
        <w:rPr>
          <w:rFonts w:hint="eastAsia" w:ascii="宋体" w:hAnsi="宋体" w:eastAsia="宋体" w:cs="宋体"/>
          <w:b/>
          <w:bCs/>
          <w:snapToGrid w:val="0"/>
          <w:kern w:val="0"/>
          <w:sz w:val="24"/>
        </w:rPr>
        <w:t>51、修正条款或补充条款</w:t>
      </w:r>
      <w:bookmarkEnd w:id="681"/>
    </w:p>
    <w:p w14:paraId="4B4FD392">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51.1工程实施过程中，承包人现场管理机构管理人员（其资质、经验、能力应满足本工程相应岗位需求）不少于</w:t>
      </w:r>
      <w:r>
        <w:rPr>
          <w:rFonts w:hint="eastAsia" w:ascii="宋体" w:hAnsi="宋体" w:eastAsia="宋体" w:cs="宋体"/>
          <w:b/>
          <w:bCs/>
          <w:snapToGrid w:val="0"/>
          <w:kern w:val="0"/>
          <w:sz w:val="24"/>
          <w:u w:val="single"/>
        </w:rPr>
        <w:t xml:space="preserve">   </w:t>
      </w:r>
      <w:r>
        <w:rPr>
          <w:rFonts w:hint="eastAsia" w:ascii="宋体" w:hAnsi="宋体" w:eastAsia="宋体" w:cs="宋体"/>
          <w:b/>
          <w:bCs/>
          <w:snapToGrid w:val="0"/>
          <w:kern w:val="0"/>
          <w:sz w:val="24"/>
        </w:rPr>
        <w:t>人（标段一：52人；标段二：17人；标段三：27人；标段四：16人；标段五：16人）必须在施工场地全职驻场，履行各自的职责；否则承包人应按合同专用条款第38.7款的约定向发包人承担违约责任。</w:t>
      </w:r>
    </w:p>
    <w:p w14:paraId="507465D9">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仅适用于标段一】51.2若本合同约定工程于2025年7月15日或在此日期之前完成本合同约定的天河体育中心周边建筑所有现场施工工作，且天河体育中心周边建筑具备亮灯条件，则按本合同结算金额（不考虑奖励部分）的1%（含税金额）作为工程进度控制奖励金奖励承包人，承包人需开具相应增值税专用发票。</w:t>
      </w:r>
    </w:p>
    <w:p w14:paraId="1C741F8F">
      <w:pPr>
        <w:adjustRightInd w:val="0"/>
        <w:snapToGrid w:val="0"/>
        <w:spacing w:line="440" w:lineRule="exact"/>
        <w:ind w:right="11" w:firstLine="482" w:firstLine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仅适用于标段四】51.2若本合同约定工程于2025年7月15日或在此日期之前对具备亮灯条件的天河体育中心周边建筑可实现纳控，则按本合同结算金额（不考虑奖励部分）的2%（含税金额）作为工程进度控制奖励金奖励承包人，承包人需开具相应增值税专用发票。</w:t>
      </w:r>
    </w:p>
    <w:p w14:paraId="01980BBA">
      <w:pPr>
        <w:autoSpaceDE w:val="0"/>
        <w:autoSpaceDN w:val="0"/>
        <w:adjustRightInd w:val="0"/>
        <w:snapToGrid w:val="0"/>
        <w:spacing w:line="440" w:lineRule="exact"/>
        <w:ind w:firstLine="480"/>
        <w:outlineLvl w:val="3"/>
        <w:rPr>
          <w:rFonts w:hint="eastAsia" w:ascii="宋体" w:hAnsi="宋体" w:eastAsia="宋体" w:cs="宋体"/>
          <w:snapToGrid w:val="0"/>
          <w:kern w:val="0"/>
          <w:sz w:val="24"/>
        </w:rPr>
      </w:pPr>
    </w:p>
    <w:bookmarkEnd w:id="675"/>
    <w:bookmarkEnd w:id="676"/>
    <w:p w14:paraId="41068FE0">
      <w:pPr>
        <w:adjustRightInd w:val="0"/>
        <w:snapToGrid w:val="0"/>
        <w:spacing w:line="440" w:lineRule="exact"/>
        <w:jc w:val="center"/>
        <w:outlineLvl w:val="0"/>
        <w:rPr>
          <w:rFonts w:hint="eastAsia" w:ascii="宋体" w:hAnsi="宋体" w:eastAsia="宋体" w:cs="宋体"/>
          <w:b/>
          <w:bCs/>
          <w:snapToGrid w:val="0"/>
          <w:kern w:val="0"/>
          <w:sz w:val="44"/>
          <w:szCs w:val="44"/>
        </w:rPr>
        <w:sectPr>
          <w:pgSz w:w="11907" w:h="16840"/>
          <w:pgMar w:top="1440" w:right="1797" w:bottom="1440" w:left="1797" w:header="851" w:footer="992" w:gutter="0"/>
          <w:cols w:space="720" w:num="1"/>
          <w:docGrid w:type="lines" w:linePitch="312" w:charSpace="0"/>
        </w:sectPr>
      </w:pPr>
      <w:bookmarkStart w:id="682" w:name="_Toc25091"/>
      <w:bookmarkStart w:id="683" w:name="_Toc10670"/>
      <w:bookmarkStart w:id="684" w:name="_Toc397364945"/>
    </w:p>
    <w:p w14:paraId="33CA4BC9">
      <w:pPr>
        <w:adjustRightInd w:val="0"/>
        <w:snapToGrid w:val="0"/>
        <w:spacing w:line="440" w:lineRule="exact"/>
        <w:jc w:val="center"/>
        <w:outlineLvl w:val="0"/>
        <w:rPr>
          <w:rFonts w:hint="eastAsia" w:ascii="宋体" w:hAnsi="宋体" w:eastAsia="宋体" w:cs="宋体"/>
          <w:b/>
          <w:bCs/>
          <w:snapToGrid w:val="0"/>
          <w:kern w:val="0"/>
          <w:sz w:val="44"/>
          <w:szCs w:val="44"/>
        </w:rPr>
      </w:pPr>
      <w:bookmarkStart w:id="685" w:name="_Toc176192846"/>
      <w:r>
        <w:rPr>
          <w:rFonts w:hint="eastAsia" w:ascii="宋体" w:hAnsi="宋体" w:eastAsia="宋体" w:cs="宋体"/>
          <w:b/>
          <w:bCs/>
          <w:snapToGrid w:val="0"/>
          <w:kern w:val="0"/>
          <w:sz w:val="44"/>
          <w:szCs w:val="44"/>
        </w:rPr>
        <w:t>第四部分  合同附件</w:t>
      </w:r>
      <w:bookmarkEnd w:id="682"/>
      <w:bookmarkEnd w:id="683"/>
      <w:bookmarkEnd w:id="684"/>
      <w:bookmarkEnd w:id="685"/>
    </w:p>
    <w:p w14:paraId="72CA20ED">
      <w:pPr>
        <w:pStyle w:val="9"/>
        <w:spacing w:line="440" w:lineRule="exact"/>
        <w:jc w:val="left"/>
        <w:rPr>
          <w:rFonts w:hint="eastAsia" w:ascii="宋体" w:hAnsi="宋体" w:eastAsia="宋体" w:cs="宋体"/>
          <w:b/>
          <w:bCs/>
          <w:sz w:val="32"/>
          <w:szCs w:val="32"/>
        </w:rPr>
      </w:pPr>
      <w:bookmarkStart w:id="686" w:name="_Toc3466"/>
      <w:bookmarkStart w:id="687" w:name="_Toc1894"/>
      <w:bookmarkStart w:id="688" w:name="_Toc397364946"/>
      <w:bookmarkStart w:id="689" w:name="_Toc132199654"/>
      <w:r>
        <w:rPr>
          <w:rFonts w:hint="eastAsia" w:ascii="宋体" w:hAnsi="宋体" w:eastAsia="宋体" w:cs="宋体"/>
          <w:b/>
          <w:bCs/>
          <w:sz w:val="32"/>
          <w:szCs w:val="32"/>
        </w:rPr>
        <w:t>附件</w:t>
      </w:r>
    </w:p>
    <w:p w14:paraId="4F5E2C2B">
      <w:pPr>
        <w:adjustRightInd w:val="0"/>
        <w:snapToGrid w:val="0"/>
        <w:spacing w:line="440" w:lineRule="exact"/>
        <w:jc w:val="center"/>
        <w:outlineLvl w:val="1"/>
        <w:rPr>
          <w:rFonts w:hint="eastAsia" w:ascii="宋体" w:hAnsi="宋体" w:eastAsia="宋体" w:cs="宋体"/>
          <w:b/>
          <w:bCs/>
          <w:snapToGrid w:val="0"/>
          <w:kern w:val="0"/>
          <w:sz w:val="32"/>
          <w:szCs w:val="32"/>
        </w:rPr>
      </w:pPr>
      <w:bookmarkStart w:id="690" w:name="_Toc176192847"/>
      <w:r>
        <w:rPr>
          <w:rFonts w:hint="eastAsia" w:ascii="宋体" w:hAnsi="宋体" w:eastAsia="宋体" w:cs="宋体"/>
          <w:b/>
          <w:bCs/>
          <w:snapToGrid w:val="0"/>
          <w:kern w:val="0"/>
          <w:sz w:val="32"/>
          <w:szCs w:val="32"/>
        </w:rPr>
        <w:t>1、中标通知书</w:t>
      </w:r>
      <w:bookmarkEnd w:id="686"/>
      <w:bookmarkEnd w:id="687"/>
      <w:bookmarkEnd w:id="688"/>
      <w:bookmarkEnd w:id="690"/>
    </w:p>
    <w:p w14:paraId="6AD14210">
      <w:pPr>
        <w:pStyle w:val="62"/>
      </w:pPr>
    </w:p>
    <w:p w14:paraId="78E054D9">
      <w:pPr>
        <w:pStyle w:val="62"/>
      </w:pPr>
    </w:p>
    <w:p w14:paraId="5123FE8B">
      <w:pPr>
        <w:pStyle w:val="62"/>
      </w:pPr>
    </w:p>
    <w:p w14:paraId="6CE9021F">
      <w:pPr>
        <w:pStyle w:val="62"/>
      </w:pPr>
    </w:p>
    <w:p w14:paraId="4203411E">
      <w:pPr>
        <w:pStyle w:val="62"/>
      </w:pPr>
    </w:p>
    <w:p w14:paraId="11E5FE6F">
      <w:pPr>
        <w:pStyle w:val="62"/>
      </w:pPr>
    </w:p>
    <w:p w14:paraId="3F5E9655">
      <w:pPr>
        <w:pStyle w:val="62"/>
      </w:pPr>
    </w:p>
    <w:p w14:paraId="2ABA0296">
      <w:pPr>
        <w:pStyle w:val="62"/>
      </w:pPr>
    </w:p>
    <w:p w14:paraId="3D0207D0">
      <w:pPr>
        <w:pStyle w:val="62"/>
      </w:pPr>
    </w:p>
    <w:p w14:paraId="11F28FCE">
      <w:pPr>
        <w:pStyle w:val="62"/>
      </w:pPr>
    </w:p>
    <w:p w14:paraId="21839220">
      <w:pPr>
        <w:pStyle w:val="62"/>
      </w:pPr>
    </w:p>
    <w:p w14:paraId="4F89A99E">
      <w:pPr>
        <w:pStyle w:val="62"/>
      </w:pPr>
    </w:p>
    <w:p w14:paraId="6F3D03FD">
      <w:pPr>
        <w:pStyle w:val="62"/>
      </w:pPr>
    </w:p>
    <w:p w14:paraId="12CEE8D7">
      <w:pPr>
        <w:pStyle w:val="62"/>
      </w:pPr>
    </w:p>
    <w:p w14:paraId="26C7312F">
      <w:pPr>
        <w:pStyle w:val="62"/>
      </w:pPr>
    </w:p>
    <w:p w14:paraId="42B6B0F0">
      <w:pPr>
        <w:pStyle w:val="62"/>
      </w:pPr>
    </w:p>
    <w:p w14:paraId="75AED15C">
      <w:pPr>
        <w:pStyle w:val="62"/>
      </w:pPr>
    </w:p>
    <w:p w14:paraId="4EA29F05">
      <w:pPr>
        <w:pStyle w:val="62"/>
      </w:pPr>
    </w:p>
    <w:p w14:paraId="4FBB7289">
      <w:pPr>
        <w:pStyle w:val="62"/>
      </w:pPr>
    </w:p>
    <w:p w14:paraId="6525C4F0">
      <w:pPr>
        <w:pStyle w:val="62"/>
      </w:pPr>
    </w:p>
    <w:p w14:paraId="75011CDA">
      <w:pPr>
        <w:pStyle w:val="62"/>
      </w:pPr>
    </w:p>
    <w:p w14:paraId="46BCC617">
      <w:pPr>
        <w:pStyle w:val="62"/>
      </w:pPr>
    </w:p>
    <w:p w14:paraId="5308339A">
      <w:pPr>
        <w:pStyle w:val="62"/>
      </w:pPr>
    </w:p>
    <w:p w14:paraId="7CB06D37">
      <w:pPr>
        <w:pStyle w:val="62"/>
      </w:pPr>
    </w:p>
    <w:p w14:paraId="175AC1C2">
      <w:pPr>
        <w:pStyle w:val="62"/>
      </w:pPr>
    </w:p>
    <w:p w14:paraId="0FC7DCD0">
      <w:pPr>
        <w:pStyle w:val="62"/>
      </w:pPr>
    </w:p>
    <w:p w14:paraId="016EC6EC">
      <w:pPr>
        <w:pStyle w:val="62"/>
      </w:pPr>
    </w:p>
    <w:p w14:paraId="11D1F76C">
      <w:pPr>
        <w:pStyle w:val="62"/>
      </w:pPr>
    </w:p>
    <w:p w14:paraId="3F0D99BE">
      <w:pPr>
        <w:pStyle w:val="62"/>
      </w:pPr>
    </w:p>
    <w:p w14:paraId="07CFD326">
      <w:pPr>
        <w:pStyle w:val="62"/>
      </w:pPr>
    </w:p>
    <w:p w14:paraId="4AE40EC1">
      <w:pPr>
        <w:pStyle w:val="62"/>
      </w:pPr>
    </w:p>
    <w:p w14:paraId="2A16D390">
      <w:pPr>
        <w:pStyle w:val="62"/>
      </w:pPr>
    </w:p>
    <w:p w14:paraId="48BEFFCC">
      <w:pPr>
        <w:pStyle w:val="62"/>
      </w:pPr>
    </w:p>
    <w:p w14:paraId="62680FB2">
      <w:pPr>
        <w:pStyle w:val="62"/>
      </w:pPr>
    </w:p>
    <w:p w14:paraId="4D2F10A8">
      <w:pPr>
        <w:pStyle w:val="62"/>
      </w:pPr>
    </w:p>
    <w:p w14:paraId="219ED393">
      <w:pPr>
        <w:pStyle w:val="9"/>
        <w:spacing w:line="440" w:lineRule="exact"/>
        <w:jc w:val="left"/>
        <w:rPr>
          <w:rFonts w:hint="eastAsia" w:ascii="宋体" w:hAnsi="宋体" w:eastAsia="宋体" w:cs="宋体"/>
          <w:b/>
          <w:bCs/>
          <w:sz w:val="32"/>
          <w:szCs w:val="32"/>
        </w:rPr>
      </w:pPr>
      <w:r>
        <w:rPr>
          <w:rFonts w:hint="eastAsia" w:ascii="宋体" w:hAnsi="宋体" w:eastAsia="宋体" w:cs="宋体"/>
          <w:b/>
          <w:sz w:val="32"/>
          <w:szCs w:val="32"/>
        </w:rPr>
        <w:br w:type="page"/>
      </w:r>
      <w:bookmarkEnd w:id="689"/>
      <w:bookmarkStart w:id="691" w:name="_Toc132199656"/>
      <w:bookmarkStart w:id="692" w:name="_Toc132199655"/>
      <w:r>
        <w:rPr>
          <w:rFonts w:hint="eastAsia" w:ascii="宋体" w:hAnsi="宋体" w:eastAsia="宋体" w:cs="宋体"/>
          <w:b/>
          <w:bCs/>
          <w:sz w:val="32"/>
          <w:szCs w:val="32"/>
        </w:rPr>
        <w:t>附件</w:t>
      </w:r>
    </w:p>
    <w:p w14:paraId="6527805F">
      <w:pPr>
        <w:adjustRightInd w:val="0"/>
        <w:snapToGrid w:val="0"/>
        <w:spacing w:line="440" w:lineRule="exact"/>
        <w:jc w:val="center"/>
        <w:outlineLvl w:val="1"/>
        <w:rPr>
          <w:rFonts w:hint="eastAsia" w:ascii="宋体" w:hAnsi="宋体" w:eastAsia="宋体" w:cs="宋体"/>
          <w:b/>
          <w:bCs/>
          <w:snapToGrid w:val="0"/>
          <w:kern w:val="0"/>
          <w:sz w:val="32"/>
          <w:szCs w:val="32"/>
        </w:rPr>
      </w:pPr>
      <w:bookmarkStart w:id="693" w:name="_Toc176192848"/>
      <w:bookmarkStart w:id="694" w:name="_Toc17193"/>
      <w:bookmarkStart w:id="695" w:name="_Toc8147"/>
      <w:r>
        <w:rPr>
          <w:rFonts w:hint="eastAsia" w:ascii="宋体" w:hAnsi="宋体" w:eastAsia="宋体" w:cs="宋体"/>
          <w:b/>
          <w:bCs/>
          <w:snapToGrid w:val="0"/>
          <w:kern w:val="0"/>
          <w:sz w:val="32"/>
          <w:szCs w:val="32"/>
        </w:rPr>
        <w:t>2</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施工组织架构图及投入主要人员汇总表</w:t>
      </w:r>
      <w:bookmarkEnd w:id="693"/>
      <w:bookmarkEnd w:id="694"/>
      <w:bookmarkEnd w:id="695"/>
    </w:p>
    <w:p w14:paraId="3774B1C6">
      <w:pPr>
        <w:pStyle w:val="62"/>
      </w:pPr>
    </w:p>
    <w:p w14:paraId="12D4DD09">
      <w:pPr>
        <w:pStyle w:val="62"/>
      </w:pPr>
    </w:p>
    <w:p w14:paraId="0B306F86">
      <w:pPr>
        <w:pStyle w:val="62"/>
      </w:pPr>
    </w:p>
    <w:p w14:paraId="5C332592">
      <w:pPr>
        <w:pStyle w:val="62"/>
      </w:pPr>
    </w:p>
    <w:p w14:paraId="31352D3A">
      <w:pPr>
        <w:pStyle w:val="62"/>
      </w:pPr>
    </w:p>
    <w:p w14:paraId="6014E615">
      <w:pPr>
        <w:pStyle w:val="62"/>
      </w:pPr>
    </w:p>
    <w:p w14:paraId="1CCB8F92">
      <w:pPr>
        <w:pStyle w:val="62"/>
      </w:pPr>
    </w:p>
    <w:p w14:paraId="484F82A5">
      <w:pPr>
        <w:pStyle w:val="62"/>
      </w:pPr>
    </w:p>
    <w:p w14:paraId="2D53CD08">
      <w:pPr>
        <w:pStyle w:val="62"/>
      </w:pPr>
    </w:p>
    <w:p w14:paraId="02ED84A0">
      <w:pPr>
        <w:pStyle w:val="62"/>
      </w:pPr>
    </w:p>
    <w:p w14:paraId="6D05A3FF">
      <w:pPr>
        <w:pStyle w:val="62"/>
      </w:pPr>
    </w:p>
    <w:p w14:paraId="0C715E7C">
      <w:pPr>
        <w:pStyle w:val="62"/>
      </w:pPr>
    </w:p>
    <w:p w14:paraId="7442745D">
      <w:pPr>
        <w:pStyle w:val="62"/>
      </w:pPr>
    </w:p>
    <w:p w14:paraId="34771244">
      <w:pPr>
        <w:pStyle w:val="62"/>
      </w:pPr>
    </w:p>
    <w:p w14:paraId="5704858E">
      <w:pPr>
        <w:pStyle w:val="62"/>
      </w:pPr>
    </w:p>
    <w:p w14:paraId="63848408">
      <w:pPr>
        <w:pStyle w:val="62"/>
      </w:pPr>
    </w:p>
    <w:p w14:paraId="6DCA12E0">
      <w:pPr>
        <w:pStyle w:val="62"/>
      </w:pPr>
    </w:p>
    <w:p w14:paraId="7C4311C2">
      <w:pPr>
        <w:pStyle w:val="62"/>
      </w:pPr>
    </w:p>
    <w:p w14:paraId="340D3F61">
      <w:pPr>
        <w:pStyle w:val="62"/>
      </w:pPr>
    </w:p>
    <w:p w14:paraId="7B454879">
      <w:pPr>
        <w:pStyle w:val="62"/>
      </w:pPr>
    </w:p>
    <w:p w14:paraId="2BFA3ACD">
      <w:pPr>
        <w:pStyle w:val="62"/>
      </w:pPr>
    </w:p>
    <w:p w14:paraId="39AE933B">
      <w:pPr>
        <w:pStyle w:val="62"/>
      </w:pPr>
    </w:p>
    <w:p w14:paraId="79530038">
      <w:pPr>
        <w:pStyle w:val="62"/>
      </w:pPr>
    </w:p>
    <w:p w14:paraId="003C509F">
      <w:pPr>
        <w:pStyle w:val="62"/>
      </w:pPr>
    </w:p>
    <w:p w14:paraId="24ED8302">
      <w:pPr>
        <w:pStyle w:val="62"/>
      </w:pPr>
    </w:p>
    <w:p w14:paraId="46C7B3C0">
      <w:pPr>
        <w:pStyle w:val="62"/>
      </w:pPr>
    </w:p>
    <w:p w14:paraId="7647B4AC">
      <w:pPr>
        <w:pStyle w:val="62"/>
      </w:pPr>
    </w:p>
    <w:p w14:paraId="37EB2837">
      <w:pPr>
        <w:pStyle w:val="62"/>
      </w:pPr>
    </w:p>
    <w:p w14:paraId="53729807">
      <w:pPr>
        <w:pStyle w:val="62"/>
      </w:pPr>
    </w:p>
    <w:p w14:paraId="6E3F1A69">
      <w:pPr>
        <w:pStyle w:val="62"/>
      </w:pPr>
    </w:p>
    <w:p w14:paraId="05E50E22">
      <w:pPr>
        <w:pStyle w:val="62"/>
      </w:pPr>
    </w:p>
    <w:p w14:paraId="3F5BD5B0">
      <w:pPr>
        <w:pStyle w:val="62"/>
      </w:pPr>
    </w:p>
    <w:p w14:paraId="4121A8A3">
      <w:pPr>
        <w:pStyle w:val="62"/>
      </w:pPr>
    </w:p>
    <w:p w14:paraId="434F5E0A">
      <w:pPr>
        <w:pStyle w:val="62"/>
      </w:pPr>
    </w:p>
    <w:p w14:paraId="56D783E4">
      <w:pPr>
        <w:pStyle w:val="62"/>
      </w:pPr>
    </w:p>
    <w:p w14:paraId="24EBAF00">
      <w:pPr>
        <w:pStyle w:val="62"/>
      </w:pPr>
    </w:p>
    <w:p w14:paraId="00A55F6E">
      <w:pPr>
        <w:pStyle w:val="62"/>
      </w:pPr>
    </w:p>
    <w:p w14:paraId="634ABCED">
      <w:pPr>
        <w:topLinePunct/>
        <w:adjustRightInd w:val="0"/>
        <w:snapToGrid w:val="0"/>
        <w:spacing w:line="440" w:lineRule="exact"/>
        <w:jc w:val="left"/>
        <w:rPr>
          <w:rFonts w:hint="eastAsia" w:ascii="宋体" w:hAnsi="宋体" w:eastAsia="宋体" w:cs="宋体"/>
          <w:b/>
          <w:bCs/>
          <w:snapToGrid w:val="0"/>
          <w:kern w:val="0"/>
          <w:sz w:val="32"/>
          <w:szCs w:val="32"/>
        </w:rPr>
      </w:pPr>
      <w:r>
        <w:rPr>
          <w:rFonts w:hint="eastAsia" w:ascii="宋体" w:hAnsi="宋体" w:eastAsia="宋体" w:cs="宋体"/>
          <w:snapToGrid w:val="0"/>
          <w:kern w:val="0"/>
          <w:sz w:val="24"/>
        </w:rPr>
        <w:br w:type="page"/>
      </w:r>
      <w:r>
        <w:rPr>
          <w:rFonts w:hint="eastAsia" w:ascii="宋体" w:hAnsi="宋体" w:eastAsia="宋体" w:cs="宋体"/>
          <w:b/>
          <w:bCs/>
          <w:snapToGrid w:val="0"/>
          <w:kern w:val="0"/>
          <w:sz w:val="32"/>
          <w:szCs w:val="32"/>
        </w:rPr>
        <w:t>附件</w:t>
      </w:r>
    </w:p>
    <w:p w14:paraId="453EB241">
      <w:pPr>
        <w:adjustRightInd w:val="0"/>
        <w:snapToGrid w:val="0"/>
        <w:spacing w:line="440" w:lineRule="exact"/>
        <w:jc w:val="center"/>
        <w:outlineLvl w:val="1"/>
        <w:rPr>
          <w:rFonts w:hint="eastAsia" w:ascii="宋体" w:hAnsi="宋体" w:eastAsia="宋体" w:cs="宋体"/>
          <w:b/>
          <w:bCs/>
          <w:snapToGrid w:val="0"/>
          <w:kern w:val="0"/>
          <w:sz w:val="32"/>
          <w:szCs w:val="32"/>
        </w:rPr>
      </w:pPr>
      <w:bookmarkStart w:id="696" w:name="_Toc176192849"/>
      <w:bookmarkStart w:id="697" w:name="_Toc30677"/>
      <w:bookmarkStart w:id="698" w:name="_Toc13065"/>
      <w:r>
        <w:rPr>
          <w:rFonts w:hint="eastAsia" w:ascii="宋体" w:hAnsi="宋体" w:eastAsia="宋体" w:cs="宋体"/>
          <w:b/>
          <w:bCs/>
          <w:snapToGrid w:val="0"/>
          <w:kern w:val="0"/>
          <w:sz w:val="32"/>
          <w:szCs w:val="32"/>
        </w:rPr>
        <w:t>3</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投入主要施工机械设备表</w:t>
      </w:r>
      <w:bookmarkEnd w:id="696"/>
      <w:bookmarkEnd w:id="697"/>
      <w:bookmarkEnd w:id="698"/>
    </w:p>
    <w:p w14:paraId="11494AF9">
      <w:pPr>
        <w:spacing w:line="440" w:lineRule="exact"/>
        <w:ind w:firstLine="480" w:firstLineChars="200"/>
        <w:rPr>
          <w:rFonts w:hint="eastAsia" w:ascii="宋体" w:hAnsi="宋体" w:cs="仿宋_GB2312"/>
          <w:snapToGrid w:val="0"/>
          <w:sz w:val="24"/>
          <w:szCs w:val="20"/>
        </w:rPr>
      </w:pPr>
    </w:p>
    <w:p w14:paraId="43CDE063">
      <w:pPr>
        <w:spacing w:line="440" w:lineRule="exact"/>
        <w:ind w:firstLine="480" w:firstLineChars="200"/>
        <w:rPr>
          <w:rFonts w:hint="eastAsia" w:ascii="宋体" w:hAnsi="宋体" w:cs="仿宋_GB2312"/>
          <w:snapToGrid w:val="0"/>
          <w:sz w:val="24"/>
          <w:szCs w:val="20"/>
        </w:rPr>
      </w:pPr>
    </w:p>
    <w:p w14:paraId="4C261D11">
      <w:pPr>
        <w:spacing w:line="440" w:lineRule="exact"/>
        <w:ind w:firstLine="480" w:firstLineChars="200"/>
        <w:rPr>
          <w:rFonts w:hint="eastAsia" w:ascii="宋体" w:hAnsi="宋体" w:cs="仿宋_GB2312"/>
          <w:snapToGrid w:val="0"/>
          <w:sz w:val="24"/>
          <w:szCs w:val="20"/>
        </w:rPr>
      </w:pPr>
    </w:p>
    <w:p w14:paraId="6D35EC9D">
      <w:pPr>
        <w:spacing w:line="440" w:lineRule="exact"/>
        <w:ind w:firstLine="480" w:firstLineChars="200"/>
        <w:rPr>
          <w:rFonts w:hint="eastAsia" w:ascii="宋体" w:hAnsi="宋体" w:cs="仿宋_GB2312"/>
          <w:snapToGrid w:val="0"/>
          <w:sz w:val="24"/>
          <w:szCs w:val="20"/>
        </w:rPr>
      </w:pPr>
    </w:p>
    <w:p w14:paraId="48C34243">
      <w:pPr>
        <w:spacing w:line="440" w:lineRule="exact"/>
        <w:ind w:firstLine="480" w:firstLineChars="200"/>
        <w:rPr>
          <w:rFonts w:hint="eastAsia" w:ascii="宋体" w:hAnsi="宋体" w:cs="仿宋_GB2312"/>
          <w:snapToGrid w:val="0"/>
          <w:sz w:val="24"/>
          <w:szCs w:val="20"/>
        </w:rPr>
      </w:pPr>
    </w:p>
    <w:p w14:paraId="05D1EEAB">
      <w:pPr>
        <w:spacing w:line="440" w:lineRule="exact"/>
        <w:ind w:firstLine="480" w:firstLineChars="200"/>
        <w:rPr>
          <w:rFonts w:hint="eastAsia" w:ascii="宋体" w:hAnsi="宋体" w:cs="仿宋_GB2312"/>
          <w:snapToGrid w:val="0"/>
          <w:sz w:val="24"/>
          <w:szCs w:val="20"/>
        </w:rPr>
      </w:pPr>
    </w:p>
    <w:p w14:paraId="61BDBFEE">
      <w:pPr>
        <w:spacing w:line="440" w:lineRule="exact"/>
        <w:ind w:firstLine="480" w:firstLineChars="200"/>
        <w:rPr>
          <w:rFonts w:hint="eastAsia" w:ascii="宋体" w:hAnsi="宋体" w:cs="仿宋_GB2312"/>
          <w:snapToGrid w:val="0"/>
          <w:sz w:val="24"/>
          <w:szCs w:val="20"/>
        </w:rPr>
      </w:pPr>
    </w:p>
    <w:p w14:paraId="4778F4F0">
      <w:pPr>
        <w:spacing w:line="440" w:lineRule="exact"/>
        <w:ind w:firstLine="480" w:firstLineChars="200"/>
        <w:rPr>
          <w:rFonts w:hint="eastAsia" w:ascii="宋体" w:hAnsi="宋体" w:cs="仿宋_GB2312"/>
          <w:snapToGrid w:val="0"/>
          <w:sz w:val="24"/>
          <w:szCs w:val="20"/>
        </w:rPr>
      </w:pPr>
    </w:p>
    <w:p w14:paraId="06596F1C">
      <w:pPr>
        <w:spacing w:line="440" w:lineRule="exact"/>
        <w:ind w:firstLine="480" w:firstLineChars="200"/>
        <w:rPr>
          <w:rFonts w:hint="eastAsia" w:ascii="宋体" w:hAnsi="宋体" w:cs="仿宋_GB2312"/>
          <w:snapToGrid w:val="0"/>
          <w:sz w:val="24"/>
          <w:szCs w:val="20"/>
        </w:rPr>
      </w:pPr>
    </w:p>
    <w:p w14:paraId="3008496F">
      <w:pPr>
        <w:spacing w:line="440" w:lineRule="exact"/>
        <w:ind w:firstLine="480" w:firstLineChars="200"/>
        <w:rPr>
          <w:rFonts w:hint="eastAsia" w:ascii="宋体" w:hAnsi="宋体" w:cs="仿宋_GB2312"/>
          <w:snapToGrid w:val="0"/>
          <w:sz w:val="24"/>
          <w:szCs w:val="20"/>
        </w:rPr>
      </w:pPr>
    </w:p>
    <w:p w14:paraId="48F5ED02">
      <w:pPr>
        <w:spacing w:line="440" w:lineRule="exact"/>
        <w:ind w:firstLine="480" w:firstLineChars="200"/>
        <w:rPr>
          <w:rFonts w:hint="eastAsia" w:ascii="宋体" w:hAnsi="宋体" w:cs="仿宋_GB2312"/>
          <w:snapToGrid w:val="0"/>
          <w:sz w:val="24"/>
          <w:szCs w:val="20"/>
        </w:rPr>
      </w:pPr>
    </w:p>
    <w:p w14:paraId="1D923CB9">
      <w:pPr>
        <w:spacing w:line="440" w:lineRule="exact"/>
        <w:ind w:firstLine="480" w:firstLineChars="200"/>
        <w:rPr>
          <w:rFonts w:hint="eastAsia" w:ascii="宋体" w:hAnsi="宋体" w:cs="仿宋_GB2312"/>
          <w:snapToGrid w:val="0"/>
          <w:sz w:val="24"/>
          <w:szCs w:val="20"/>
        </w:rPr>
      </w:pPr>
    </w:p>
    <w:p w14:paraId="0E303444">
      <w:pPr>
        <w:spacing w:line="440" w:lineRule="exact"/>
        <w:ind w:firstLine="480" w:firstLineChars="200"/>
        <w:rPr>
          <w:rFonts w:hint="eastAsia" w:ascii="宋体" w:hAnsi="宋体" w:cs="仿宋_GB2312"/>
          <w:snapToGrid w:val="0"/>
          <w:sz w:val="24"/>
          <w:szCs w:val="20"/>
        </w:rPr>
      </w:pPr>
    </w:p>
    <w:p w14:paraId="6A51CAE0">
      <w:pPr>
        <w:spacing w:line="440" w:lineRule="exact"/>
        <w:ind w:firstLine="480" w:firstLineChars="200"/>
        <w:rPr>
          <w:rFonts w:hint="eastAsia" w:ascii="宋体" w:hAnsi="宋体" w:cs="仿宋_GB2312"/>
          <w:snapToGrid w:val="0"/>
          <w:sz w:val="24"/>
          <w:szCs w:val="20"/>
        </w:rPr>
      </w:pPr>
    </w:p>
    <w:p w14:paraId="5EE0D9BA">
      <w:pPr>
        <w:spacing w:line="440" w:lineRule="exact"/>
        <w:ind w:firstLine="480" w:firstLineChars="200"/>
        <w:rPr>
          <w:rFonts w:hint="eastAsia" w:ascii="宋体" w:hAnsi="宋体" w:cs="仿宋_GB2312"/>
          <w:snapToGrid w:val="0"/>
          <w:sz w:val="24"/>
          <w:szCs w:val="20"/>
        </w:rPr>
      </w:pPr>
    </w:p>
    <w:p w14:paraId="730D930D">
      <w:pPr>
        <w:spacing w:line="440" w:lineRule="exact"/>
        <w:ind w:firstLine="480" w:firstLineChars="200"/>
        <w:rPr>
          <w:rFonts w:hint="eastAsia" w:ascii="宋体" w:hAnsi="宋体" w:cs="仿宋_GB2312"/>
          <w:snapToGrid w:val="0"/>
          <w:sz w:val="24"/>
          <w:szCs w:val="20"/>
        </w:rPr>
      </w:pPr>
    </w:p>
    <w:p w14:paraId="6ACF5BCC">
      <w:pPr>
        <w:spacing w:line="440" w:lineRule="exact"/>
        <w:ind w:firstLine="480" w:firstLineChars="200"/>
        <w:rPr>
          <w:rFonts w:hint="eastAsia" w:ascii="宋体" w:hAnsi="宋体" w:cs="仿宋_GB2312"/>
          <w:snapToGrid w:val="0"/>
          <w:sz w:val="24"/>
          <w:szCs w:val="20"/>
        </w:rPr>
      </w:pPr>
    </w:p>
    <w:p w14:paraId="3001878A">
      <w:pPr>
        <w:spacing w:line="440" w:lineRule="exact"/>
        <w:ind w:firstLine="480" w:firstLineChars="200"/>
        <w:rPr>
          <w:rFonts w:hint="eastAsia" w:ascii="宋体" w:hAnsi="宋体" w:cs="仿宋_GB2312"/>
          <w:snapToGrid w:val="0"/>
          <w:sz w:val="24"/>
          <w:szCs w:val="20"/>
        </w:rPr>
      </w:pPr>
    </w:p>
    <w:p w14:paraId="45B9784C">
      <w:pPr>
        <w:spacing w:line="440" w:lineRule="exact"/>
        <w:ind w:firstLine="480" w:firstLineChars="200"/>
        <w:rPr>
          <w:rFonts w:hint="eastAsia" w:ascii="宋体" w:hAnsi="宋体" w:cs="仿宋_GB2312"/>
          <w:snapToGrid w:val="0"/>
          <w:sz w:val="24"/>
          <w:szCs w:val="20"/>
        </w:rPr>
      </w:pPr>
    </w:p>
    <w:p w14:paraId="7748DA2A">
      <w:pPr>
        <w:spacing w:line="440" w:lineRule="exact"/>
        <w:ind w:firstLine="480" w:firstLineChars="200"/>
        <w:rPr>
          <w:rFonts w:hint="eastAsia" w:ascii="宋体" w:hAnsi="宋体" w:cs="仿宋_GB2312"/>
          <w:snapToGrid w:val="0"/>
          <w:sz w:val="24"/>
          <w:szCs w:val="20"/>
        </w:rPr>
      </w:pPr>
    </w:p>
    <w:p w14:paraId="40E6864D">
      <w:pPr>
        <w:spacing w:line="440" w:lineRule="exact"/>
        <w:ind w:firstLine="480" w:firstLineChars="200"/>
        <w:rPr>
          <w:rFonts w:hint="eastAsia" w:ascii="宋体" w:hAnsi="宋体" w:cs="仿宋_GB2312"/>
          <w:snapToGrid w:val="0"/>
          <w:sz w:val="24"/>
          <w:szCs w:val="20"/>
        </w:rPr>
      </w:pPr>
    </w:p>
    <w:p w14:paraId="66BB1A5A">
      <w:pPr>
        <w:spacing w:line="440" w:lineRule="exact"/>
        <w:ind w:firstLine="480" w:firstLineChars="200"/>
        <w:rPr>
          <w:rFonts w:hint="eastAsia" w:ascii="宋体" w:hAnsi="宋体" w:cs="仿宋_GB2312"/>
          <w:snapToGrid w:val="0"/>
          <w:sz w:val="24"/>
          <w:szCs w:val="20"/>
        </w:rPr>
      </w:pPr>
    </w:p>
    <w:p w14:paraId="32EEDB7E">
      <w:pPr>
        <w:spacing w:line="440" w:lineRule="exact"/>
        <w:ind w:firstLine="480" w:firstLineChars="200"/>
        <w:rPr>
          <w:rFonts w:hint="eastAsia" w:ascii="宋体" w:hAnsi="宋体" w:cs="仿宋_GB2312"/>
          <w:snapToGrid w:val="0"/>
          <w:sz w:val="24"/>
          <w:szCs w:val="20"/>
        </w:rPr>
      </w:pPr>
    </w:p>
    <w:p w14:paraId="106740BA">
      <w:pPr>
        <w:spacing w:line="440" w:lineRule="exact"/>
        <w:ind w:firstLine="480" w:firstLineChars="200"/>
        <w:rPr>
          <w:rFonts w:hint="eastAsia" w:ascii="宋体" w:hAnsi="宋体" w:cs="仿宋_GB2312"/>
          <w:snapToGrid w:val="0"/>
          <w:sz w:val="24"/>
          <w:szCs w:val="20"/>
        </w:rPr>
      </w:pPr>
    </w:p>
    <w:p w14:paraId="642ACBC7">
      <w:pPr>
        <w:spacing w:line="440" w:lineRule="exact"/>
        <w:ind w:firstLine="480" w:firstLineChars="200"/>
        <w:rPr>
          <w:rFonts w:hint="eastAsia" w:ascii="宋体" w:hAnsi="宋体" w:cs="仿宋_GB2312"/>
          <w:snapToGrid w:val="0"/>
          <w:sz w:val="24"/>
          <w:szCs w:val="20"/>
        </w:rPr>
      </w:pPr>
    </w:p>
    <w:p w14:paraId="58D87193">
      <w:pPr>
        <w:pStyle w:val="8"/>
        <w:spacing w:line="440" w:lineRule="exact"/>
        <w:ind w:firstLine="0"/>
        <w:rPr>
          <w:rFonts w:hint="eastAsia" w:ascii="宋体" w:hAnsi="宋体" w:eastAsia="宋体" w:cs="宋体"/>
          <w:bCs/>
          <w:snapToGrid w:val="0"/>
          <w:kern w:val="0"/>
          <w:sz w:val="32"/>
          <w:szCs w:val="32"/>
        </w:rPr>
      </w:pPr>
    </w:p>
    <w:p w14:paraId="0289FDE8">
      <w:pPr>
        <w:pStyle w:val="9"/>
        <w:spacing w:line="440" w:lineRule="exact"/>
        <w:rPr>
          <w:rFonts w:hint="eastAsia" w:ascii="宋体" w:hAnsi="宋体" w:eastAsia="宋体" w:cs="宋体"/>
          <w:b/>
          <w:bCs/>
          <w:sz w:val="32"/>
          <w:szCs w:val="32"/>
        </w:rPr>
      </w:pPr>
      <w:r>
        <w:rPr>
          <w:rFonts w:hint="eastAsia" w:ascii="宋体" w:hAnsi="宋体" w:eastAsia="宋体" w:cs="宋体"/>
          <w:bCs/>
          <w:sz w:val="32"/>
          <w:szCs w:val="32"/>
        </w:rPr>
        <w:br w:type="page"/>
      </w:r>
      <w:r>
        <w:rPr>
          <w:rFonts w:hint="eastAsia" w:ascii="宋体" w:hAnsi="宋体" w:eastAsia="宋体" w:cs="宋体"/>
          <w:b/>
          <w:bCs/>
          <w:sz w:val="32"/>
          <w:szCs w:val="32"/>
        </w:rPr>
        <w:t>附件</w:t>
      </w:r>
    </w:p>
    <w:p w14:paraId="02DE572C">
      <w:pPr>
        <w:adjustRightInd w:val="0"/>
        <w:snapToGrid w:val="0"/>
        <w:spacing w:line="440" w:lineRule="exact"/>
        <w:jc w:val="center"/>
        <w:outlineLvl w:val="1"/>
        <w:rPr>
          <w:rFonts w:hint="eastAsia" w:ascii="宋体" w:hAnsi="宋体" w:eastAsia="宋体" w:cs="宋体"/>
          <w:b/>
          <w:bCs/>
          <w:snapToGrid w:val="0"/>
          <w:kern w:val="0"/>
          <w:sz w:val="32"/>
          <w:szCs w:val="32"/>
        </w:rPr>
      </w:pPr>
      <w:bookmarkStart w:id="699" w:name="_Toc9817"/>
      <w:bookmarkStart w:id="700" w:name="_Toc176192850"/>
      <w:bookmarkStart w:id="701" w:name="_Toc397364948"/>
      <w:bookmarkStart w:id="702" w:name="_Toc27177"/>
      <w:bookmarkStart w:id="703" w:name="_Toc22609"/>
      <w:r>
        <w:rPr>
          <w:rFonts w:hint="eastAsia" w:ascii="宋体" w:hAnsi="宋体" w:eastAsia="宋体" w:cs="宋体"/>
          <w:b/>
          <w:bCs/>
          <w:snapToGrid w:val="0"/>
          <w:kern w:val="0"/>
          <w:sz w:val="32"/>
          <w:szCs w:val="32"/>
        </w:rPr>
        <w:t>4</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廉洁协议</w:t>
      </w:r>
      <w:bookmarkEnd w:id="699"/>
      <w:bookmarkEnd w:id="700"/>
      <w:bookmarkEnd w:id="701"/>
      <w:bookmarkEnd w:id="702"/>
      <w:bookmarkEnd w:id="703"/>
    </w:p>
    <w:p w14:paraId="26C2D4B5">
      <w:pPr>
        <w:adjustRightInd w:val="0"/>
        <w:snapToGrid w:val="0"/>
        <w:spacing w:line="440" w:lineRule="exact"/>
        <w:rPr>
          <w:rFonts w:hint="eastAsia" w:ascii="宋体" w:hAnsi="宋体" w:eastAsia="宋体" w:cs="宋体"/>
          <w:bCs/>
          <w:snapToGrid w:val="0"/>
          <w:kern w:val="0"/>
          <w:sz w:val="24"/>
        </w:rPr>
      </w:pPr>
    </w:p>
    <w:p w14:paraId="1B66E431">
      <w:pPr>
        <w:spacing w:line="440" w:lineRule="exact"/>
        <w:rPr>
          <w:rFonts w:hint="eastAsia" w:ascii="黑体" w:hAnsi="黑体"/>
          <w:sz w:val="24"/>
          <w:szCs w:val="28"/>
        </w:rPr>
      </w:pPr>
      <w:bookmarkStart w:id="704" w:name="_Hlk96615143"/>
      <w:r>
        <w:rPr>
          <w:rFonts w:hint="eastAsia" w:ascii="黑体" w:hAnsi="黑体"/>
          <w:sz w:val="24"/>
          <w:szCs w:val="28"/>
        </w:rPr>
        <w:t>甲方：广州新中轴建设有限公司</w:t>
      </w:r>
    </w:p>
    <w:p w14:paraId="554CDFBA">
      <w:pPr>
        <w:spacing w:line="440" w:lineRule="exact"/>
        <w:rPr>
          <w:rFonts w:hint="eastAsia" w:ascii="黑体" w:hAnsi="黑体"/>
          <w:sz w:val="24"/>
          <w:szCs w:val="28"/>
        </w:rPr>
      </w:pPr>
      <w:r>
        <w:rPr>
          <w:rFonts w:hint="eastAsia" w:ascii="黑体" w:hAnsi="黑体"/>
          <w:sz w:val="24"/>
          <w:szCs w:val="28"/>
        </w:rPr>
        <w:t>乙方：【承包人单位名称】</w:t>
      </w:r>
    </w:p>
    <w:p w14:paraId="012FB7B1">
      <w:pPr>
        <w:spacing w:line="440" w:lineRule="exact"/>
        <w:ind w:firstLine="424" w:firstLineChars="202"/>
      </w:pPr>
    </w:p>
    <w:p w14:paraId="4C9FE039">
      <w:pPr>
        <w:spacing w:line="500" w:lineRule="exact"/>
        <w:ind w:firstLine="424" w:firstLineChars="202"/>
      </w:pPr>
      <w:r>
        <w:rPr>
          <w:rFonts w:hint="eastAsia"/>
        </w:rPr>
        <w:t>根据国家、省、市有关规定，为做好</w:t>
      </w:r>
      <w:r>
        <w:rPr>
          <w:rFonts w:hint="eastAsia" w:ascii="黑体" w:hAnsi="黑体"/>
        </w:rPr>
        <w:t>广州珠江两岸、新中轴线等重要区域夜景灯光品质提升项目施工（标段名称）承包合同</w:t>
      </w:r>
      <w:r>
        <w:rPr>
          <w:rFonts w:hint="eastAsia"/>
        </w:rPr>
        <w:t>的廉洁建设，保证工程质量与安</w:t>
      </w:r>
      <w:r>
        <w:t>全，提高建设资金的有效使用和投资效益，双方当事人就加强合同工程的廉洁建设，订立本协议。</w:t>
      </w:r>
    </w:p>
    <w:p w14:paraId="2C69D269">
      <w:pPr>
        <w:spacing w:line="500" w:lineRule="exact"/>
        <w:ind w:firstLine="426" w:firstLineChars="202"/>
        <w:rPr>
          <w:b/>
          <w:bCs/>
        </w:rPr>
      </w:pPr>
      <w:r>
        <w:rPr>
          <w:b/>
          <w:bCs/>
        </w:rPr>
        <w:t>1</w:t>
      </w:r>
      <w:r>
        <w:rPr>
          <w:rFonts w:hint="eastAsia"/>
          <w:b/>
          <w:bCs/>
        </w:rPr>
        <w:t>.</w:t>
      </w:r>
      <w:r>
        <w:rPr>
          <w:b/>
          <w:bCs/>
        </w:rPr>
        <w:t>双方权利和义务</w:t>
      </w:r>
    </w:p>
    <w:p w14:paraId="72B9C89A">
      <w:pPr>
        <w:spacing w:line="500" w:lineRule="exact"/>
        <w:ind w:firstLine="424" w:firstLineChars="202"/>
      </w:pPr>
      <w:r>
        <w:t>1.1严格遵守</w:t>
      </w:r>
      <w:r>
        <w:rPr>
          <w:rFonts w:hint="eastAsia"/>
        </w:rPr>
        <w:t>国家、省、市</w:t>
      </w:r>
      <w:r>
        <w:t>有关法律法规的规定。</w:t>
      </w:r>
    </w:p>
    <w:p w14:paraId="5C51C091">
      <w:pPr>
        <w:spacing w:line="500" w:lineRule="exact"/>
        <w:ind w:firstLine="424" w:firstLineChars="202"/>
      </w:pPr>
      <w:r>
        <w:t>1.2严格执行合同工程一切合同文件，自觉按合同办事。</w:t>
      </w:r>
    </w:p>
    <w:p w14:paraId="475567FF">
      <w:pPr>
        <w:spacing w:line="500" w:lineRule="exact"/>
        <w:ind w:firstLine="424" w:firstLineChars="202"/>
      </w:pPr>
      <w:r>
        <w:t>1.3双方当事人的业务活动应坚持公平、公开、公正和诚信的原则（法律认定的商业秘密和合同文件另有规定除外），不得损害国家和集体利益，不得违反工程建设管理规章制度。</w:t>
      </w:r>
    </w:p>
    <w:p w14:paraId="32837C00">
      <w:pPr>
        <w:spacing w:line="500" w:lineRule="exact"/>
        <w:ind w:firstLine="424" w:firstLineChars="202"/>
      </w:pPr>
      <w:r>
        <w:t>1.4发现对方在业务活动中有违反廉洁</w:t>
      </w:r>
      <w:r>
        <w:rPr>
          <w:rFonts w:hint="eastAsia"/>
        </w:rPr>
        <w:t>从业</w:t>
      </w:r>
      <w:r>
        <w:t>规定的行为，应及时给予提醒和纠正。</w:t>
      </w:r>
    </w:p>
    <w:p w14:paraId="7938E815">
      <w:pPr>
        <w:spacing w:line="500" w:lineRule="exact"/>
        <w:ind w:firstLine="424" w:firstLineChars="202"/>
      </w:pPr>
      <w:r>
        <w:t>1.</w:t>
      </w:r>
      <w:r>
        <w:rPr>
          <w:rFonts w:hint="eastAsia"/>
        </w:rPr>
        <w:t>5</w:t>
      </w:r>
      <w:r>
        <w:t>发现对方严重违反合同的行为，有向其上级部门举报、建议给予处理并要求告知处理结果的权利。</w:t>
      </w:r>
    </w:p>
    <w:p w14:paraId="172C76E6">
      <w:pPr>
        <w:spacing w:line="500" w:lineRule="exact"/>
        <w:ind w:firstLine="426" w:firstLineChars="202"/>
        <w:rPr>
          <w:b/>
          <w:bCs/>
        </w:rPr>
      </w:pPr>
      <w:r>
        <w:rPr>
          <w:b/>
          <w:bCs/>
        </w:rPr>
        <w:t>2</w:t>
      </w:r>
      <w:r>
        <w:rPr>
          <w:rFonts w:hint="eastAsia"/>
          <w:b/>
          <w:bCs/>
        </w:rPr>
        <w:t>.</w:t>
      </w:r>
      <w:r>
        <w:rPr>
          <w:b/>
          <w:bCs/>
        </w:rPr>
        <w:t>甲方义务</w:t>
      </w:r>
    </w:p>
    <w:p w14:paraId="1FDA2668">
      <w:pPr>
        <w:spacing w:line="500" w:lineRule="exact"/>
        <w:ind w:firstLine="424" w:firstLineChars="202"/>
      </w:pPr>
      <w:r>
        <w:t>2.1甲方及其工作人员不得索要或接受乙方的</w:t>
      </w:r>
      <w:r>
        <w:rPr>
          <w:rFonts w:hint="eastAsia"/>
        </w:rPr>
        <w:t>礼品、礼金、消费卡（券）和有价证券、股权、其他金融产品等财物，</w:t>
      </w:r>
      <w:r>
        <w:t>不得在乙方报销应由甲方或工作人员个人支付的费用等。</w:t>
      </w:r>
    </w:p>
    <w:p w14:paraId="0F0016E3">
      <w:pPr>
        <w:spacing w:line="500" w:lineRule="exact"/>
        <w:ind w:firstLine="424" w:firstLineChars="202"/>
      </w:pPr>
      <w:r>
        <w:t>2.2甲方及其工作人员不得</w:t>
      </w:r>
      <w:r>
        <w:rPr>
          <w:rFonts w:hint="eastAsia"/>
        </w:rPr>
        <w:t>接受</w:t>
      </w:r>
      <w:r>
        <w:t>乙方的宴请（工作餐除外）</w:t>
      </w:r>
      <w:r>
        <w:rPr>
          <w:rFonts w:hint="eastAsia"/>
        </w:rPr>
        <w:t>或者</w:t>
      </w:r>
      <w:r>
        <w:t>旅游、健身、娱乐等活动安排</w:t>
      </w:r>
      <w:r>
        <w:rPr>
          <w:rFonts w:hint="eastAsia"/>
        </w:rPr>
        <w:t>。</w:t>
      </w:r>
    </w:p>
    <w:p w14:paraId="117AB14C">
      <w:pPr>
        <w:spacing w:line="500" w:lineRule="exact"/>
        <w:ind w:firstLine="424" w:firstLineChars="202"/>
      </w:pPr>
      <w:r>
        <w:rPr>
          <w:rFonts w:hint="eastAsia"/>
        </w:rPr>
        <w:t>2.3</w:t>
      </w:r>
      <w:r>
        <w:t>甲方及其工作人员不得接受乙方提供的</w:t>
      </w:r>
      <w:r>
        <w:rPr>
          <w:rFonts w:hint="eastAsia"/>
        </w:rPr>
        <w:t>钱款</w:t>
      </w:r>
      <w:r>
        <w:t>、住房、车辆等。</w:t>
      </w:r>
    </w:p>
    <w:p w14:paraId="2AF0783E">
      <w:pPr>
        <w:spacing w:line="500" w:lineRule="exact"/>
        <w:ind w:firstLine="424" w:firstLineChars="202"/>
      </w:pPr>
      <w:r>
        <w:t>2.</w:t>
      </w:r>
      <w:r>
        <w:rPr>
          <w:rFonts w:hint="eastAsia"/>
        </w:rPr>
        <w:t>4</w:t>
      </w:r>
      <w:r>
        <w:t>甲方及其工作人员不得以任何理由向乙方推荐分包人、推销材料和工程设备，不得要求乙方购买合同以外的材料和工程设备。</w:t>
      </w:r>
    </w:p>
    <w:p w14:paraId="6641AEE0">
      <w:pPr>
        <w:spacing w:line="500" w:lineRule="exact"/>
        <w:ind w:firstLine="424" w:firstLineChars="202"/>
      </w:pPr>
      <w:r>
        <w:t>2.</w:t>
      </w:r>
      <w:r>
        <w:rPr>
          <w:rFonts w:hint="eastAsia"/>
        </w:rPr>
        <w:t>5</w:t>
      </w:r>
      <w:r>
        <w:t>甲方及其工作人员要秉公办事，不准营私舞弊，不准利用职权私自为合同工程安排</w:t>
      </w:r>
      <w:r>
        <w:rPr>
          <w:rFonts w:hint="eastAsia"/>
        </w:rPr>
        <w:t>参建</w:t>
      </w:r>
      <w:r>
        <w:t>队伍，也不得从事与合同工程有关的各种有偿中介活动。</w:t>
      </w:r>
    </w:p>
    <w:p w14:paraId="00DEA4BD">
      <w:pPr>
        <w:spacing w:line="500" w:lineRule="exact"/>
        <w:ind w:firstLine="424" w:firstLineChars="202"/>
      </w:pPr>
      <w:r>
        <w:t>2.</w:t>
      </w:r>
      <w:r>
        <w:rPr>
          <w:rFonts w:hint="eastAsia"/>
        </w:rPr>
        <w:t>6</w:t>
      </w:r>
      <w:r>
        <w:t>甲方及其工作人员（</w:t>
      </w:r>
      <w:r>
        <w:rPr>
          <w:rFonts w:hint="eastAsia"/>
        </w:rPr>
        <w:t>包括</w:t>
      </w:r>
      <w:r>
        <w:t>配偶、子女及其配偶等）不得从事与合同工程有关的材料和工程设备供应、工程分包、劳务等经济活动。</w:t>
      </w:r>
    </w:p>
    <w:p w14:paraId="7862A692">
      <w:pPr>
        <w:spacing w:line="500" w:lineRule="exact"/>
        <w:ind w:firstLine="426" w:firstLineChars="202"/>
        <w:rPr>
          <w:b/>
          <w:bCs/>
        </w:rPr>
      </w:pPr>
      <w:r>
        <w:rPr>
          <w:b/>
          <w:bCs/>
        </w:rPr>
        <w:t>3</w:t>
      </w:r>
      <w:r>
        <w:rPr>
          <w:rFonts w:hint="eastAsia"/>
          <w:b/>
          <w:bCs/>
        </w:rPr>
        <w:t>.</w:t>
      </w:r>
      <w:r>
        <w:rPr>
          <w:b/>
          <w:bCs/>
        </w:rPr>
        <w:t>乙方义务</w:t>
      </w:r>
    </w:p>
    <w:p w14:paraId="7B9D2CEB">
      <w:pPr>
        <w:spacing w:line="500" w:lineRule="exact"/>
        <w:ind w:firstLine="424" w:firstLineChars="202"/>
      </w:pPr>
      <w:r>
        <w:t>3.1乙方不得以任何理由向甲方及其工作人员行贿或馈赠</w:t>
      </w:r>
      <w:r>
        <w:rPr>
          <w:rFonts w:hint="eastAsia"/>
        </w:rPr>
        <w:t>礼品、礼金、消费卡（券）和有价证券、股权、其他金融产品等财物。</w:t>
      </w:r>
    </w:p>
    <w:p w14:paraId="57D11EBE">
      <w:pPr>
        <w:spacing w:line="500" w:lineRule="exact"/>
        <w:ind w:firstLine="424" w:firstLineChars="202"/>
      </w:pPr>
      <w:r>
        <w:t>3.2乙方不得以任何名义为甲方及其工作人员报销应由甲方或其工作人员个人支付的费用。</w:t>
      </w:r>
    </w:p>
    <w:p w14:paraId="0C95441B">
      <w:pPr>
        <w:spacing w:line="500" w:lineRule="exact"/>
        <w:ind w:firstLine="424" w:firstLineChars="202"/>
      </w:pPr>
      <w:r>
        <w:t>3.3乙方不得以任何理由向甲方及其工作人员</w:t>
      </w:r>
      <w:r>
        <w:rPr>
          <w:rFonts w:hint="eastAsia"/>
        </w:rPr>
        <w:t>提供</w:t>
      </w:r>
      <w:r>
        <w:t>宴请（工作餐除外）</w:t>
      </w:r>
      <w:r>
        <w:rPr>
          <w:rFonts w:hint="eastAsia"/>
        </w:rPr>
        <w:t>或者旅游、健身、娱乐等活动安排</w:t>
      </w:r>
      <w:r>
        <w:t>。</w:t>
      </w:r>
    </w:p>
    <w:p w14:paraId="5562748F">
      <w:pPr>
        <w:spacing w:line="500" w:lineRule="exact"/>
        <w:ind w:firstLine="424" w:firstLineChars="202"/>
      </w:pPr>
      <w:r>
        <w:t>3.4乙方不得以任何理由为甲方及其工作人员</w:t>
      </w:r>
      <w:r>
        <w:rPr>
          <w:rFonts w:hint="eastAsia"/>
        </w:rPr>
        <w:t>借用钱款、住房、车辆等。</w:t>
      </w:r>
    </w:p>
    <w:p w14:paraId="3D1E66FE">
      <w:pPr>
        <w:spacing w:line="500" w:lineRule="exact"/>
        <w:ind w:firstLine="426" w:firstLineChars="202"/>
        <w:rPr>
          <w:b/>
          <w:bCs/>
        </w:rPr>
      </w:pPr>
      <w:r>
        <w:rPr>
          <w:b/>
          <w:bCs/>
        </w:rPr>
        <w:t>4</w:t>
      </w:r>
      <w:r>
        <w:rPr>
          <w:rFonts w:hint="eastAsia"/>
          <w:b/>
          <w:bCs/>
        </w:rPr>
        <w:t>.</w:t>
      </w:r>
      <w:r>
        <w:rPr>
          <w:b/>
          <w:bCs/>
        </w:rPr>
        <w:t>违约责任</w:t>
      </w:r>
    </w:p>
    <w:p w14:paraId="5261FE55">
      <w:pPr>
        <w:spacing w:line="500" w:lineRule="exact"/>
        <w:ind w:firstLine="424" w:firstLineChars="202"/>
      </w:pPr>
      <w:r>
        <w:t>4.1甲方及其工作人员违反本协议第1条和第2条规定，应依据有关规定给予处分；涉嫌违法犯罪的，</w:t>
      </w:r>
      <w:r>
        <w:rPr>
          <w:rFonts w:hint="eastAsia"/>
        </w:rPr>
        <w:t>移送有关国家机关依法处理</w:t>
      </w:r>
      <w:r>
        <w:t>；给乙方造成经济损失的，应予赔偿。</w:t>
      </w:r>
    </w:p>
    <w:p w14:paraId="1466D77A">
      <w:pPr>
        <w:spacing w:line="500" w:lineRule="exact"/>
        <w:ind w:firstLine="424" w:firstLineChars="202"/>
      </w:pPr>
      <w:r>
        <w:t>4.2乙方及其工作人员违反本协议第1条和第3条规定，应按照廉洁</w:t>
      </w:r>
      <w:r>
        <w:rPr>
          <w:rFonts w:hint="eastAsia"/>
        </w:rPr>
        <w:t>从业</w:t>
      </w:r>
      <w:r>
        <w:t>的有关规定给予处分；情节严重的，给予乙方1</w:t>
      </w:r>
      <w:r>
        <w:rPr>
          <w:rFonts w:hint="eastAsia"/>
        </w:rPr>
        <w:t>-</w:t>
      </w:r>
      <w:r>
        <w:t>3年内不得进入工程建设市场的处罚；涉嫌违法犯罪的，</w:t>
      </w:r>
      <w:r>
        <w:rPr>
          <w:rFonts w:hint="eastAsia"/>
        </w:rPr>
        <w:t>移送有关国家机关依法处理</w:t>
      </w:r>
      <w:r>
        <w:t>；给甲方造成损失的，应予赔偿。</w:t>
      </w:r>
    </w:p>
    <w:p w14:paraId="48651991">
      <w:pPr>
        <w:spacing w:line="500" w:lineRule="exact"/>
        <w:ind w:firstLine="426" w:firstLineChars="202"/>
        <w:rPr>
          <w:b/>
          <w:bCs/>
        </w:rPr>
      </w:pPr>
      <w:r>
        <w:rPr>
          <w:b/>
          <w:bCs/>
        </w:rPr>
        <w:t>5</w:t>
      </w:r>
      <w:r>
        <w:rPr>
          <w:rFonts w:hint="eastAsia"/>
          <w:b/>
          <w:bCs/>
        </w:rPr>
        <w:t>.其他</w:t>
      </w:r>
      <w:r>
        <w:rPr>
          <w:b/>
          <w:bCs/>
        </w:rPr>
        <w:t>约定</w:t>
      </w:r>
    </w:p>
    <w:p w14:paraId="6992BCFE">
      <w:pPr>
        <w:spacing w:line="500" w:lineRule="exact"/>
        <w:ind w:firstLine="424" w:firstLineChars="202"/>
      </w:pPr>
      <w:r>
        <w:rPr>
          <w:rFonts w:hint="eastAsia"/>
        </w:rPr>
        <w:t>本协议由双方当事人或其上级部门负责监督执行与检查</w:t>
      </w:r>
      <w:r>
        <w:t>。</w:t>
      </w:r>
    </w:p>
    <w:p w14:paraId="3D695D00">
      <w:pPr>
        <w:spacing w:line="500" w:lineRule="exact"/>
        <w:ind w:firstLine="420"/>
      </w:pPr>
      <w:r>
        <w:rPr>
          <w:rFonts w:hint="eastAsia"/>
        </w:rPr>
        <w:t>举报方式：</w:t>
      </w:r>
      <w:r>
        <w:fldChar w:fldCharType="begin"/>
      </w:r>
      <w:r>
        <w:instrText xml:space="preserve"> HYPERLINK "mailto:ctxzzjjs@163.com" </w:instrText>
      </w:r>
      <w:r>
        <w:fldChar w:fldCharType="separate"/>
      </w:r>
      <w:r>
        <w:t>ctxzzjjs@163.com</w:t>
      </w:r>
      <w:r>
        <w:fldChar w:fldCharType="end"/>
      </w:r>
      <w:r>
        <w:rPr>
          <w:rFonts w:hint="eastAsia"/>
        </w:rPr>
        <w:t>。</w:t>
      </w:r>
    </w:p>
    <w:p w14:paraId="4176B885">
      <w:pPr>
        <w:spacing w:line="440" w:lineRule="exact"/>
        <w:ind w:firstLine="424" w:firstLineChars="202"/>
      </w:pPr>
    </w:p>
    <w:p w14:paraId="02919FA3">
      <w:pPr>
        <w:spacing w:line="440" w:lineRule="exact"/>
        <w:ind w:firstLine="424" w:firstLineChars="202"/>
      </w:pPr>
    </w:p>
    <w:tbl>
      <w:tblPr>
        <w:tblStyle w:val="40"/>
        <w:tblW w:w="0" w:type="auto"/>
        <w:tblInd w:w="0" w:type="dxa"/>
        <w:tblLayout w:type="autofit"/>
        <w:tblCellMar>
          <w:top w:w="0" w:type="dxa"/>
          <w:left w:w="108" w:type="dxa"/>
          <w:bottom w:w="0" w:type="dxa"/>
          <w:right w:w="108" w:type="dxa"/>
        </w:tblCellMar>
      </w:tblPr>
      <w:tblGrid>
        <w:gridCol w:w="4077"/>
        <w:gridCol w:w="4219"/>
      </w:tblGrid>
      <w:tr w14:paraId="651CB1C2">
        <w:tblPrEx>
          <w:tblCellMar>
            <w:top w:w="0" w:type="dxa"/>
            <w:left w:w="108" w:type="dxa"/>
            <w:bottom w:w="0" w:type="dxa"/>
            <w:right w:w="108" w:type="dxa"/>
          </w:tblCellMar>
        </w:tblPrEx>
        <w:tc>
          <w:tcPr>
            <w:tcW w:w="4077" w:type="dxa"/>
          </w:tcPr>
          <w:p w14:paraId="27A5D11C">
            <w:pPr>
              <w:rPr>
                <w:rFonts w:hint="eastAsia" w:ascii="黑体" w:hAnsi="黑体"/>
                <w:sz w:val="24"/>
                <w:szCs w:val="28"/>
              </w:rPr>
            </w:pPr>
            <w:r>
              <w:rPr>
                <w:rFonts w:hint="eastAsia" w:ascii="黑体" w:hAnsi="黑体"/>
                <w:sz w:val="24"/>
                <w:szCs w:val="28"/>
              </w:rPr>
              <w:t>甲方</w:t>
            </w:r>
            <w:r>
              <w:rPr>
                <w:rFonts w:ascii="黑体" w:hAnsi="黑体"/>
                <w:sz w:val="24"/>
                <w:szCs w:val="28"/>
              </w:rPr>
              <w:t>：</w:t>
            </w:r>
            <w:r>
              <w:rPr>
                <w:rFonts w:hint="eastAsia" w:ascii="黑体" w:hAnsi="黑体"/>
                <w:sz w:val="24"/>
                <w:szCs w:val="28"/>
              </w:rPr>
              <w:t>广州新中轴建设有限公司</w:t>
            </w:r>
          </w:p>
          <w:p w14:paraId="1F53EF0D">
            <w:pPr>
              <w:rPr>
                <w:rFonts w:hint="eastAsia" w:ascii="黑体" w:hAnsi="黑体"/>
                <w:sz w:val="24"/>
                <w:szCs w:val="28"/>
              </w:rPr>
            </w:pPr>
            <w:r>
              <w:rPr>
                <w:rFonts w:ascii="黑体" w:hAnsi="黑体"/>
                <w:sz w:val="24"/>
                <w:szCs w:val="28"/>
              </w:rPr>
              <w:t>（盖章）</w:t>
            </w:r>
          </w:p>
          <w:p w14:paraId="720681F6">
            <w:pPr>
              <w:rPr>
                <w:rFonts w:hint="eastAsia" w:ascii="黑体" w:hAnsi="黑体"/>
                <w:sz w:val="24"/>
                <w:szCs w:val="28"/>
              </w:rPr>
            </w:pPr>
          </w:p>
          <w:p w14:paraId="7EB4BC11">
            <w:pPr>
              <w:rPr>
                <w:rFonts w:hint="eastAsia" w:ascii="黑体" w:hAnsi="黑体"/>
                <w:sz w:val="24"/>
                <w:szCs w:val="28"/>
              </w:rPr>
            </w:pPr>
          </w:p>
        </w:tc>
        <w:tc>
          <w:tcPr>
            <w:tcW w:w="4219" w:type="dxa"/>
          </w:tcPr>
          <w:p w14:paraId="769FC232">
            <w:pPr>
              <w:rPr>
                <w:rFonts w:hint="eastAsia" w:ascii="黑体" w:hAnsi="黑体"/>
                <w:sz w:val="24"/>
                <w:szCs w:val="28"/>
              </w:rPr>
            </w:pPr>
            <w:r>
              <w:rPr>
                <w:rFonts w:ascii="黑体" w:hAnsi="黑体"/>
                <w:sz w:val="24"/>
                <w:szCs w:val="28"/>
              </w:rPr>
              <w:t>乙方：</w:t>
            </w:r>
            <w:r>
              <w:rPr>
                <w:rFonts w:hint="eastAsia" w:ascii="黑体" w:hAnsi="黑体"/>
                <w:sz w:val="24"/>
                <w:szCs w:val="28"/>
              </w:rPr>
              <w:t>【承包人单位名称】</w:t>
            </w:r>
          </w:p>
          <w:p w14:paraId="69E9F943">
            <w:pPr>
              <w:rPr>
                <w:rFonts w:hint="eastAsia" w:ascii="黑体" w:hAnsi="黑体"/>
                <w:sz w:val="24"/>
                <w:szCs w:val="28"/>
              </w:rPr>
            </w:pPr>
            <w:r>
              <w:rPr>
                <w:rFonts w:ascii="黑体" w:hAnsi="黑体"/>
                <w:sz w:val="24"/>
                <w:szCs w:val="28"/>
              </w:rPr>
              <w:t>（盖章）</w:t>
            </w:r>
          </w:p>
          <w:p w14:paraId="500C7E58">
            <w:pPr>
              <w:rPr>
                <w:rFonts w:hint="eastAsia" w:ascii="黑体" w:hAnsi="黑体"/>
                <w:sz w:val="24"/>
                <w:szCs w:val="28"/>
              </w:rPr>
            </w:pPr>
          </w:p>
          <w:p w14:paraId="0A57CB3E">
            <w:pPr>
              <w:rPr>
                <w:rFonts w:hint="eastAsia" w:ascii="黑体" w:hAnsi="黑体"/>
                <w:sz w:val="24"/>
                <w:szCs w:val="28"/>
              </w:rPr>
            </w:pPr>
          </w:p>
        </w:tc>
      </w:tr>
      <w:tr w14:paraId="799A8E1A">
        <w:tblPrEx>
          <w:tblCellMar>
            <w:top w:w="0" w:type="dxa"/>
            <w:left w:w="108" w:type="dxa"/>
            <w:bottom w:w="0" w:type="dxa"/>
            <w:right w:w="108" w:type="dxa"/>
          </w:tblCellMar>
        </w:tblPrEx>
        <w:tc>
          <w:tcPr>
            <w:tcW w:w="4077" w:type="dxa"/>
          </w:tcPr>
          <w:p w14:paraId="18DC4E13">
            <w:pPr>
              <w:rPr>
                <w:rFonts w:hint="eastAsia" w:ascii="黑体" w:hAnsi="黑体"/>
                <w:sz w:val="24"/>
                <w:szCs w:val="28"/>
              </w:rPr>
            </w:pPr>
            <w:r>
              <w:rPr>
                <w:rFonts w:hint="eastAsia" w:ascii="黑体" w:hAnsi="黑体"/>
                <w:sz w:val="24"/>
                <w:szCs w:val="28"/>
              </w:rPr>
              <w:t>负责人：</w:t>
            </w:r>
          </w:p>
          <w:p w14:paraId="56ABE646">
            <w:pPr>
              <w:rPr>
                <w:rFonts w:hint="eastAsia" w:ascii="黑体" w:hAnsi="黑体"/>
                <w:sz w:val="24"/>
                <w:szCs w:val="28"/>
              </w:rPr>
            </w:pPr>
            <w:r>
              <w:rPr>
                <w:rFonts w:hint="eastAsia" w:ascii="黑体" w:hAnsi="黑体"/>
                <w:sz w:val="24"/>
                <w:szCs w:val="28"/>
              </w:rPr>
              <w:t>（签字）</w:t>
            </w:r>
          </w:p>
          <w:p w14:paraId="1BADEE30">
            <w:pPr>
              <w:rPr>
                <w:rFonts w:hint="eastAsia" w:ascii="黑体" w:hAnsi="黑体"/>
                <w:sz w:val="24"/>
                <w:szCs w:val="28"/>
              </w:rPr>
            </w:pPr>
          </w:p>
          <w:p w14:paraId="7A976A58">
            <w:pPr>
              <w:rPr>
                <w:rFonts w:hint="eastAsia" w:ascii="黑体" w:hAnsi="黑体"/>
                <w:sz w:val="24"/>
                <w:szCs w:val="28"/>
              </w:rPr>
            </w:pPr>
          </w:p>
        </w:tc>
        <w:tc>
          <w:tcPr>
            <w:tcW w:w="4219" w:type="dxa"/>
          </w:tcPr>
          <w:p w14:paraId="1DD7BA0A">
            <w:pPr>
              <w:rPr>
                <w:rFonts w:hint="eastAsia" w:ascii="黑体" w:hAnsi="黑体"/>
                <w:sz w:val="24"/>
                <w:szCs w:val="28"/>
              </w:rPr>
            </w:pPr>
            <w:r>
              <w:rPr>
                <w:rFonts w:hint="eastAsia" w:ascii="黑体" w:hAnsi="黑体"/>
                <w:sz w:val="24"/>
                <w:szCs w:val="28"/>
              </w:rPr>
              <w:t>负责人：</w:t>
            </w:r>
          </w:p>
          <w:p w14:paraId="7808E613">
            <w:pPr>
              <w:rPr>
                <w:rFonts w:hint="eastAsia" w:ascii="黑体" w:hAnsi="黑体"/>
                <w:sz w:val="24"/>
                <w:szCs w:val="28"/>
              </w:rPr>
            </w:pPr>
            <w:r>
              <w:rPr>
                <w:rFonts w:hint="eastAsia" w:ascii="黑体" w:hAnsi="黑体"/>
                <w:sz w:val="24"/>
                <w:szCs w:val="28"/>
              </w:rPr>
              <w:t>（签字）</w:t>
            </w:r>
          </w:p>
          <w:p w14:paraId="086F5BF2">
            <w:pPr>
              <w:rPr>
                <w:rFonts w:hint="eastAsia" w:ascii="黑体" w:hAnsi="黑体"/>
                <w:sz w:val="24"/>
                <w:szCs w:val="28"/>
              </w:rPr>
            </w:pPr>
          </w:p>
          <w:p w14:paraId="3326FBE7">
            <w:pPr>
              <w:rPr>
                <w:rFonts w:hint="eastAsia" w:ascii="黑体" w:hAnsi="黑体"/>
                <w:sz w:val="24"/>
                <w:szCs w:val="28"/>
              </w:rPr>
            </w:pPr>
          </w:p>
        </w:tc>
      </w:tr>
      <w:bookmarkEnd w:id="704"/>
    </w:tbl>
    <w:p w14:paraId="394A7CB3">
      <w:r>
        <w:rPr>
          <w:rFonts w:hint="eastAsia"/>
        </w:rPr>
        <w:t>签署日期：</w:t>
      </w:r>
      <w:r>
        <w:rPr>
          <w:rFonts w:hint="eastAsia" w:ascii="黑体" w:hAnsi="黑体"/>
          <w:sz w:val="24"/>
        </w:rPr>
        <w:t>2025年   月   日</w:t>
      </w:r>
    </w:p>
    <w:p w14:paraId="799E9F3D">
      <w:pPr>
        <w:pStyle w:val="8"/>
        <w:spacing w:line="440" w:lineRule="exact"/>
        <w:ind w:firstLine="0"/>
        <w:rPr>
          <w:rFonts w:hint="eastAsia" w:ascii="宋体" w:hAnsi="宋体" w:eastAsia="宋体" w:cs="宋体"/>
          <w:bCs/>
          <w:snapToGrid w:val="0"/>
          <w:kern w:val="0"/>
          <w:sz w:val="32"/>
          <w:szCs w:val="32"/>
        </w:rPr>
      </w:pPr>
    </w:p>
    <w:p w14:paraId="554FDA8C">
      <w:pPr>
        <w:pStyle w:val="9"/>
        <w:spacing w:line="440" w:lineRule="exact"/>
        <w:rPr>
          <w:rFonts w:hint="eastAsia" w:ascii="宋体" w:hAnsi="宋体" w:eastAsia="宋体" w:cs="宋体"/>
          <w:b/>
          <w:bCs/>
          <w:sz w:val="32"/>
          <w:szCs w:val="32"/>
        </w:rPr>
      </w:pPr>
      <w:r>
        <w:rPr>
          <w:rFonts w:hint="eastAsia" w:ascii="宋体" w:hAnsi="宋体" w:eastAsia="宋体" w:cs="宋体"/>
          <w:bCs/>
          <w:sz w:val="32"/>
          <w:szCs w:val="32"/>
        </w:rPr>
        <w:br w:type="page"/>
      </w:r>
      <w:r>
        <w:rPr>
          <w:rFonts w:hint="eastAsia" w:ascii="宋体" w:hAnsi="宋体" w:eastAsia="宋体" w:cs="宋体"/>
          <w:b/>
          <w:bCs/>
          <w:sz w:val="32"/>
          <w:szCs w:val="32"/>
        </w:rPr>
        <w:t>附件</w:t>
      </w:r>
    </w:p>
    <w:p w14:paraId="73802292">
      <w:pPr>
        <w:adjustRightInd w:val="0"/>
        <w:snapToGrid w:val="0"/>
        <w:spacing w:line="440" w:lineRule="exact"/>
        <w:jc w:val="center"/>
        <w:outlineLvl w:val="1"/>
        <w:rPr>
          <w:rFonts w:hint="eastAsia" w:ascii="宋体" w:hAnsi="宋体" w:eastAsia="宋体" w:cs="宋体"/>
          <w:b/>
          <w:bCs/>
          <w:snapToGrid w:val="0"/>
          <w:kern w:val="0"/>
          <w:sz w:val="32"/>
          <w:szCs w:val="32"/>
        </w:rPr>
      </w:pPr>
      <w:bookmarkStart w:id="705" w:name="_Toc176192851"/>
      <w:r>
        <w:rPr>
          <w:rFonts w:hint="eastAsia" w:ascii="宋体" w:hAnsi="宋体" w:eastAsia="宋体" w:cs="宋体"/>
          <w:b/>
          <w:bCs/>
          <w:snapToGrid w:val="0"/>
          <w:kern w:val="0"/>
          <w:sz w:val="32"/>
          <w:szCs w:val="32"/>
        </w:rPr>
        <w:t>5</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保密协议</w:t>
      </w:r>
      <w:bookmarkEnd w:id="705"/>
    </w:p>
    <w:p w14:paraId="15BB2298">
      <w:pPr>
        <w:spacing w:line="440" w:lineRule="exact"/>
        <w:rPr>
          <w:rFonts w:hint="eastAsia" w:ascii="黑体" w:hAnsi="黑体"/>
          <w:sz w:val="24"/>
          <w:szCs w:val="28"/>
        </w:rPr>
      </w:pPr>
      <w:r>
        <w:rPr>
          <w:rFonts w:hint="eastAsia" w:ascii="黑体" w:hAnsi="黑体"/>
          <w:sz w:val="24"/>
          <w:szCs w:val="28"/>
        </w:rPr>
        <w:t>甲方：广州新中轴建设有限公司</w:t>
      </w:r>
    </w:p>
    <w:p w14:paraId="472AD5E5">
      <w:pPr>
        <w:spacing w:line="440" w:lineRule="exact"/>
        <w:rPr>
          <w:rFonts w:hint="eastAsia" w:ascii="黑体" w:hAnsi="黑体"/>
          <w:sz w:val="24"/>
          <w:szCs w:val="28"/>
        </w:rPr>
      </w:pPr>
      <w:r>
        <w:rPr>
          <w:rFonts w:hint="eastAsia" w:ascii="黑体" w:hAnsi="黑体"/>
          <w:sz w:val="24"/>
          <w:szCs w:val="28"/>
        </w:rPr>
        <w:t>乙方：【承包人单位名称】</w:t>
      </w:r>
    </w:p>
    <w:p w14:paraId="515C8044">
      <w:pPr>
        <w:spacing w:line="400" w:lineRule="exact"/>
        <w:ind w:firstLine="424" w:firstLineChars="202"/>
      </w:pPr>
      <w:r>
        <w:rPr>
          <w:rFonts w:hint="eastAsia"/>
        </w:rPr>
        <w:t>为做好</w:t>
      </w:r>
      <w:bookmarkStart w:id="706" w:name="_Hlk176161607"/>
      <w:r>
        <w:rPr>
          <w:rFonts w:hint="eastAsia" w:ascii="黑体" w:hAnsi="黑体"/>
        </w:rPr>
        <w:t>广州珠江两岸、新中轴线等重要区域夜景灯光品质提升项目</w:t>
      </w:r>
      <w:bookmarkEnd w:id="706"/>
      <w:r>
        <w:rPr>
          <w:rFonts w:hint="eastAsia" w:ascii="黑体" w:hAnsi="黑体"/>
        </w:rPr>
        <w:t>施工（标段名称）承包合同</w:t>
      </w:r>
      <w:r>
        <w:rPr>
          <w:rFonts w:hint="eastAsia"/>
        </w:rPr>
        <w:t>的</w:t>
      </w:r>
      <w:r>
        <w:t>保密</w:t>
      </w:r>
      <w:r>
        <w:rPr>
          <w:rFonts w:hint="eastAsia"/>
        </w:rPr>
        <w:t>工作</w:t>
      </w:r>
      <w:r>
        <w:t>，乙方同意遵守下列保密条款：</w:t>
      </w:r>
    </w:p>
    <w:p w14:paraId="64B194E1">
      <w:pPr>
        <w:spacing w:line="400" w:lineRule="exact"/>
        <w:ind w:firstLine="424" w:firstLineChars="202"/>
      </w:pPr>
      <w:r>
        <w:rPr>
          <w:rFonts w:hint="eastAsia"/>
        </w:rPr>
        <w:t>一、保密信息的范围</w:t>
      </w:r>
    </w:p>
    <w:p w14:paraId="0BA97653">
      <w:pPr>
        <w:spacing w:line="400" w:lineRule="exact"/>
        <w:ind w:firstLine="424" w:firstLineChars="202"/>
      </w:pPr>
      <w:r>
        <w:rPr>
          <w:rFonts w:hint="eastAsia"/>
        </w:rPr>
        <w:t>“保密信息”在本保密协议中是指乙方在为甲方提供服务工作的过程中所获取的重要工作信息。该保密信息包括但不限于投资计划、项目规模、项目计划、项目相关数据和图纸、招标文件资料及信息、合同、价格、成本、研究报告、会议资料和文件。</w:t>
      </w:r>
    </w:p>
    <w:p w14:paraId="7F2D07EB">
      <w:pPr>
        <w:spacing w:line="400" w:lineRule="exact"/>
        <w:ind w:firstLine="424" w:firstLineChars="202"/>
      </w:pPr>
      <w:r>
        <w:rPr>
          <w:rFonts w:hint="eastAsia"/>
        </w:rPr>
        <w:t>不论以何种形式或载于何种载体，无论在披露时是否以口头、图像或以书面方式表明其具有保密性，都视为甲方的保密信息。</w:t>
      </w:r>
    </w:p>
    <w:p w14:paraId="7D95C44B">
      <w:pPr>
        <w:spacing w:line="400" w:lineRule="exact"/>
        <w:ind w:firstLine="424" w:firstLineChars="202"/>
      </w:pPr>
      <w:r>
        <w:rPr>
          <w:rFonts w:hint="eastAsia"/>
        </w:rPr>
        <w:t>二、乙方的保密义务</w:t>
      </w:r>
    </w:p>
    <w:p w14:paraId="7598703F">
      <w:pPr>
        <w:spacing w:line="400" w:lineRule="exact"/>
        <w:ind w:firstLine="424" w:firstLineChars="202"/>
      </w:pPr>
      <w:r>
        <w:rPr>
          <w:rFonts w:hint="eastAsia"/>
        </w:rPr>
        <w:t>乙方对已知悉的甲方保密信息，在此同意：</w:t>
      </w:r>
    </w:p>
    <w:p w14:paraId="74171C97">
      <w:pPr>
        <w:spacing w:line="400" w:lineRule="exact"/>
        <w:ind w:firstLine="424" w:firstLineChars="202"/>
      </w:pPr>
      <w:r>
        <w:rPr>
          <w:rFonts w:hint="eastAsia"/>
        </w:rPr>
        <w:t>（一）未经甲方事前书面批准，不论服务期间或以后，乙方及其工作人员不得以任何方式向任何第三方泄漏甲方的保密信息。</w:t>
      </w:r>
    </w:p>
    <w:p w14:paraId="35B0C8DD">
      <w:pPr>
        <w:spacing w:line="400" w:lineRule="exact"/>
        <w:ind w:firstLine="424" w:firstLineChars="202"/>
      </w:pPr>
      <w:r>
        <w:rPr>
          <w:rFonts w:hint="eastAsia"/>
        </w:rPr>
        <w:t>（二）一旦服务工作终止，乙方及其工作人员将退还保存的属于甲方的所有机密资料，如方案、制度、报告、合同等。</w:t>
      </w:r>
    </w:p>
    <w:p w14:paraId="5A169170">
      <w:pPr>
        <w:spacing w:line="400" w:lineRule="exact"/>
        <w:ind w:firstLine="424" w:firstLineChars="202"/>
      </w:pPr>
      <w:r>
        <w:rPr>
          <w:rFonts w:hint="eastAsia"/>
        </w:rPr>
        <w:t>（三）严守机密，并采取所有保密措施保护保密信息。</w:t>
      </w:r>
    </w:p>
    <w:p w14:paraId="2ED656A5">
      <w:pPr>
        <w:spacing w:line="400" w:lineRule="exact"/>
        <w:ind w:firstLine="424" w:firstLineChars="202"/>
      </w:pPr>
      <w:r>
        <w:rPr>
          <w:rFonts w:hint="eastAsia"/>
        </w:rPr>
        <w:t>三、保密期限</w:t>
      </w:r>
    </w:p>
    <w:p w14:paraId="6FC6D36D">
      <w:pPr>
        <w:spacing w:line="400" w:lineRule="exact"/>
        <w:ind w:firstLine="424" w:firstLineChars="202"/>
      </w:pPr>
      <w:r>
        <w:rPr>
          <w:rFonts w:hint="eastAsia"/>
        </w:rPr>
        <w:t>保密期限包括但不限于：从获知甲方保密信息时起，至保密信息已由甲方通过合法途径让普通公众知悉时止。</w:t>
      </w:r>
    </w:p>
    <w:p w14:paraId="39A9F47C">
      <w:pPr>
        <w:spacing w:line="400" w:lineRule="exact"/>
        <w:ind w:firstLine="424" w:firstLineChars="202"/>
      </w:pPr>
      <w:r>
        <w:rPr>
          <w:rFonts w:hint="eastAsia"/>
        </w:rPr>
        <w:t>四、违约责任</w:t>
      </w:r>
    </w:p>
    <w:p w14:paraId="48150480">
      <w:pPr>
        <w:spacing w:line="400" w:lineRule="exact"/>
        <w:ind w:firstLine="424" w:firstLineChars="202"/>
      </w:pPr>
      <w:r>
        <w:rPr>
          <w:rFonts w:hint="eastAsia"/>
        </w:rPr>
        <w:t>乙方违反本保密协议约定，要承担违约责任，甲方有权通过任何合理方式追究乙方的责任并终止服务合同。造成损失的，甲方有权要求乙方进行赔偿或追究乙方的法律责任。</w:t>
      </w:r>
    </w:p>
    <w:p w14:paraId="695A78F7">
      <w:pPr>
        <w:ind w:firstLine="424" w:firstLineChars="202"/>
      </w:pPr>
    </w:p>
    <w:p w14:paraId="4EDF8D19">
      <w:pPr>
        <w:ind w:firstLine="424" w:firstLineChars="202"/>
      </w:pPr>
    </w:p>
    <w:tbl>
      <w:tblPr>
        <w:tblStyle w:val="40"/>
        <w:tblW w:w="0" w:type="auto"/>
        <w:tblInd w:w="0" w:type="dxa"/>
        <w:tblLayout w:type="autofit"/>
        <w:tblCellMar>
          <w:top w:w="0" w:type="dxa"/>
          <w:left w:w="108" w:type="dxa"/>
          <w:bottom w:w="0" w:type="dxa"/>
          <w:right w:w="108" w:type="dxa"/>
        </w:tblCellMar>
      </w:tblPr>
      <w:tblGrid>
        <w:gridCol w:w="3936"/>
        <w:gridCol w:w="4360"/>
      </w:tblGrid>
      <w:tr w14:paraId="127CFA67">
        <w:tblPrEx>
          <w:tblCellMar>
            <w:top w:w="0" w:type="dxa"/>
            <w:left w:w="108" w:type="dxa"/>
            <w:bottom w:w="0" w:type="dxa"/>
            <w:right w:w="108" w:type="dxa"/>
          </w:tblCellMar>
        </w:tblPrEx>
        <w:tc>
          <w:tcPr>
            <w:tcW w:w="3936" w:type="dxa"/>
          </w:tcPr>
          <w:p w14:paraId="7134CB1A">
            <w:pPr>
              <w:rPr>
                <w:rFonts w:hint="eastAsia" w:ascii="黑体" w:hAnsi="黑体"/>
                <w:sz w:val="24"/>
                <w:szCs w:val="28"/>
              </w:rPr>
            </w:pPr>
            <w:r>
              <w:rPr>
                <w:rFonts w:hint="eastAsia" w:ascii="黑体" w:hAnsi="黑体"/>
                <w:sz w:val="24"/>
                <w:szCs w:val="28"/>
              </w:rPr>
              <w:t>甲方</w:t>
            </w:r>
            <w:r>
              <w:rPr>
                <w:rFonts w:ascii="黑体" w:hAnsi="黑体"/>
                <w:sz w:val="24"/>
                <w:szCs w:val="28"/>
              </w:rPr>
              <w:t>：</w:t>
            </w:r>
            <w:r>
              <w:rPr>
                <w:rFonts w:hint="eastAsia" w:ascii="黑体" w:hAnsi="黑体"/>
                <w:sz w:val="24"/>
                <w:szCs w:val="28"/>
              </w:rPr>
              <w:t>广州新中轴建设有限公司</w:t>
            </w:r>
          </w:p>
          <w:p w14:paraId="1160882E">
            <w:pPr>
              <w:rPr>
                <w:rFonts w:hint="eastAsia" w:ascii="黑体" w:hAnsi="黑体"/>
                <w:sz w:val="24"/>
                <w:szCs w:val="28"/>
              </w:rPr>
            </w:pPr>
            <w:r>
              <w:rPr>
                <w:rFonts w:ascii="黑体" w:hAnsi="黑体"/>
                <w:sz w:val="24"/>
                <w:szCs w:val="28"/>
              </w:rPr>
              <w:t>（盖章）</w:t>
            </w:r>
          </w:p>
          <w:p w14:paraId="3F54F732">
            <w:pPr>
              <w:rPr>
                <w:rFonts w:hint="eastAsia" w:ascii="黑体" w:hAnsi="黑体"/>
                <w:sz w:val="24"/>
                <w:szCs w:val="28"/>
              </w:rPr>
            </w:pPr>
          </w:p>
          <w:p w14:paraId="399C12A1">
            <w:pPr>
              <w:rPr>
                <w:rFonts w:hint="eastAsia" w:ascii="黑体" w:hAnsi="黑体"/>
                <w:sz w:val="24"/>
                <w:szCs w:val="28"/>
              </w:rPr>
            </w:pPr>
          </w:p>
        </w:tc>
        <w:tc>
          <w:tcPr>
            <w:tcW w:w="4360" w:type="dxa"/>
          </w:tcPr>
          <w:p w14:paraId="33837FAF">
            <w:pPr>
              <w:rPr>
                <w:rFonts w:hint="eastAsia" w:ascii="黑体" w:hAnsi="黑体"/>
                <w:sz w:val="24"/>
                <w:szCs w:val="28"/>
              </w:rPr>
            </w:pPr>
            <w:r>
              <w:rPr>
                <w:rFonts w:ascii="黑体" w:hAnsi="黑体"/>
                <w:sz w:val="24"/>
                <w:szCs w:val="28"/>
              </w:rPr>
              <w:t>乙方：</w:t>
            </w:r>
            <w:r>
              <w:rPr>
                <w:rFonts w:hint="eastAsia" w:ascii="黑体" w:hAnsi="黑体"/>
                <w:sz w:val="24"/>
                <w:szCs w:val="28"/>
              </w:rPr>
              <w:t>【承包人单位名称】</w:t>
            </w:r>
          </w:p>
          <w:p w14:paraId="56C62434">
            <w:pPr>
              <w:rPr>
                <w:rFonts w:hint="eastAsia" w:ascii="黑体" w:hAnsi="黑体"/>
                <w:sz w:val="24"/>
                <w:szCs w:val="28"/>
              </w:rPr>
            </w:pPr>
            <w:r>
              <w:rPr>
                <w:rFonts w:ascii="黑体" w:hAnsi="黑体"/>
                <w:sz w:val="24"/>
                <w:szCs w:val="28"/>
              </w:rPr>
              <w:t>（盖章）</w:t>
            </w:r>
          </w:p>
          <w:p w14:paraId="0A67D19C">
            <w:pPr>
              <w:rPr>
                <w:rFonts w:hint="eastAsia" w:ascii="黑体" w:hAnsi="黑体"/>
                <w:sz w:val="24"/>
                <w:szCs w:val="28"/>
              </w:rPr>
            </w:pPr>
          </w:p>
          <w:p w14:paraId="4BE104AB">
            <w:pPr>
              <w:rPr>
                <w:rFonts w:hint="eastAsia" w:ascii="黑体" w:hAnsi="黑体"/>
                <w:sz w:val="24"/>
                <w:szCs w:val="28"/>
              </w:rPr>
            </w:pPr>
          </w:p>
        </w:tc>
      </w:tr>
      <w:tr w14:paraId="7F615E39">
        <w:tblPrEx>
          <w:tblCellMar>
            <w:top w:w="0" w:type="dxa"/>
            <w:left w:w="108" w:type="dxa"/>
            <w:bottom w:w="0" w:type="dxa"/>
            <w:right w:w="108" w:type="dxa"/>
          </w:tblCellMar>
        </w:tblPrEx>
        <w:tc>
          <w:tcPr>
            <w:tcW w:w="3936" w:type="dxa"/>
          </w:tcPr>
          <w:p w14:paraId="5F9EF292">
            <w:pPr>
              <w:rPr>
                <w:rFonts w:hint="eastAsia" w:ascii="黑体" w:hAnsi="黑体"/>
                <w:sz w:val="24"/>
                <w:szCs w:val="28"/>
              </w:rPr>
            </w:pPr>
            <w:r>
              <w:rPr>
                <w:rFonts w:hint="eastAsia" w:ascii="黑体" w:hAnsi="黑体"/>
                <w:sz w:val="24"/>
                <w:szCs w:val="28"/>
              </w:rPr>
              <w:t>负责人：</w:t>
            </w:r>
          </w:p>
          <w:p w14:paraId="6FCCAADF">
            <w:pPr>
              <w:rPr>
                <w:rFonts w:hint="eastAsia" w:ascii="黑体" w:hAnsi="黑体"/>
                <w:sz w:val="24"/>
                <w:szCs w:val="28"/>
              </w:rPr>
            </w:pPr>
            <w:r>
              <w:rPr>
                <w:rFonts w:hint="eastAsia" w:ascii="黑体" w:hAnsi="黑体"/>
                <w:sz w:val="24"/>
                <w:szCs w:val="28"/>
              </w:rPr>
              <w:t>（签字）</w:t>
            </w:r>
          </w:p>
          <w:p w14:paraId="3DBEF171">
            <w:pPr>
              <w:rPr>
                <w:rFonts w:hint="eastAsia" w:ascii="黑体" w:hAnsi="黑体"/>
                <w:sz w:val="24"/>
                <w:szCs w:val="28"/>
              </w:rPr>
            </w:pPr>
          </w:p>
          <w:p w14:paraId="19C41311">
            <w:pPr>
              <w:rPr>
                <w:rFonts w:hint="eastAsia" w:ascii="黑体" w:hAnsi="黑体"/>
                <w:sz w:val="24"/>
                <w:szCs w:val="28"/>
              </w:rPr>
            </w:pPr>
            <w:r>
              <w:rPr>
                <w:rFonts w:hint="eastAsia"/>
              </w:rPr>
              <w:t>签署日期：</w:t>
            </w:r>
            <w:r>
              <w:rPr>
                <w:rFonts w:hint="eastAsia" w:ascii="黑体" w:hAnsi="黑体"/>
                <w:sz w:val="24"/>
              </w:rPr>
              <w:t>2025年   月   日</w:t>
            </w:r>
          </w:p>
        </w:tc>
        <w:tc>
          <w:tcPr>
            <w:tcW w:w="4360" w:type="dxa"/>
          </w:tcPr>
          <w:p w14:paraId="121C35F1">
            <w:pPr>
              <w:rPr>
                <w:rFonts w:hint="eastAsia" w:ascii="黑体" w:hAnsi="黑体"/>
                <w:sz w:val="24"/>
                <w:szCs w:val="28"/>
              </w:rPr>
            </w:pPr>
            <w:r>
              <w:rPr>
                <w:rFonts w:hint="eastAsia" w:ascii="黑体" w:hAnsi="黑体"/>
                <w:sz w:val="24"/>
                <w:szCs w:val="28"/>
              </w:rPr>
              <w:t>负责人：</w:t>
            </w:r>
          </w:p>
          <w:p w14:paraId="5F4E0BF5">
            <w:pPr>
              <w:rPr>
                <w:rFonts w:hint="eastAsia" w:ascii="黑体" w:hAnsi="黑体"/>
                <w:sz w:val="24"/>
                <w:szCs w:val="28"/>
              </w:rPr>
            </w:pPr>
            <w:r>
              <w:rPr>
                <w:rFonts w:hint="eastAsia" w:ascii="黑体" w:hAnsi="黑体"/>
                <w:sz w:val="24"/>
                <w:szCs w:val="28"/>
              </w:rPr>
              <w:t>（签字）</w:t>
            </w:r>
          </w:p>
          <w:p w14:paraId="502D92B1">
            <w:pPr>
              <w:rPr>
                <w:rFonts w:hint="eastAsia" w:ascii="黑体" w:hAnsi="黑体"/>
                <w:sz w:val="24"/>
                <w:szCs w:val="28"/>
              </w:rPr>
            </w:pPr>
          </w:p>
        </w:tc>
      </w:tr>
    </w:tbl>
    <w:p w14:paraId="5568AD50">
      <w:pPr>
        <w:adjustRightInd w:val="0"/>
        <w:snapToGrid w:val="0"/>
        <w:spacing w:line="440" w:lineRule="exact"/>
        <w:ind w:right="11" w:firstLine="2317" w:firstLineChars="641"/>
        <w:rPr>
          <w:rFonts w:hint="eastAsia" w:ascii="宋体" w:hAnsi="宋体" w:eastAsia="宋体" w:cs="宋体"/>
          <w:b/>
          <w:bCs/>
          <w:snapToGrid w:val="0"/>
          <w:kern w:val="0"/>
          <w:sz w:val="36"/>
          <w:szCs w:val="36"/>
        </w:rPr>
      </w:pPr>
    </w:p>
    <w:bookmarkEnd w:id="691"/>
    <w:p w14:paraId="2BCDB29A">
      <w:pPr>
        <w:pStyle w:val="9"/>
        <w:spacing w:line="440" w:lineRule="exact"/>
        <w:rPr>
          <w:rFonts w:hint="eastAsia" w:ascii="宋体" w:hAnsi="宋体" w:eastAsia="宋体" w:cs="宋体"/>
        </w:rPr>
        <w:sectPr>
          <w:pgSz w:w="11907" w:h="16840"/>
          <w:pgMar w:top="1440" w:right="1797" w:bottom="1440" w:left="1797" w:header="851" w:footer="992" w:gutter="0"/>
          <w:cols w:space="720" w:num="1"/>
          <w:docGrid w:type="lines" w:linePitch="312" w:charSpace="0"/>
        </w:sectPr>
      </w:pPr>
    </w:p>
    <w:p w14:paraId="0D497DF0">
      <w:pPr>
        <w:pStyle w:val="9"/>
        <w:spacing w:line="440" w:lineRule="exact"/>
        <w:rPr>
          <w:rFonts w:hint="eastAsia" w:ascii="宋体" w:hAnsi="宋体" w:eastAsia="宋体" w:cs="宋体"/>
          <w:b/>
          <w:bCs/>
          <w:sz w:val="32"/>
          <w:szCs w:val="32"/>
        </w:rPr>
      </w:pPr>
      <w:r>
        <w:rPr>
          <w:rFonts w:hint="eastAsia" w:ascii="宋体" w:hAnsi="宋体" w:eastAsia="宋体" w:cs="宋体"/>
          <w:b/>
          <w:bCs/>
          <w:sz w:val="32"/>
          <w:szCs w:val="32"/>
        </w:rPr>
        <w:t>附件</w:t>
      </w:r>
      <w:bookmarkEnd w:id="692"/>
    </w:p>
    <w:p w14:paraId="5771184F">
      <w:pPr>
        <w:adjustRightInd w:val="0"/>
        <w:snapToGrid w:val="0"/>
        <w:spacing w:line="440" w:lineRule="exact"/>
        <w:jc w:val="center"/>
        <w:outlineLvl w:val="1"/>
        <w:rPr>
          <w:rFonts w:hint="eastAsia" w:ascii="宋体" w:hAnsi="宋体" w:eastAsia="宋体" w:cs="宋体"/>
          <w:b/>
          <w:bCs/>
          <w:snapToGrid w:val="0"/>
          <w:kern w:val="0"/>
          <w:sz w:val="32"/>
          <w:szCs w:val="32"/>
        </w:rPr>
      </w:pPr>
      <w:bookmarkStart w:id="707" w:name="_Toc176192852"/>
      <w:r>
        <w:rPr>
          <w:rFonts w:hint="eastAsia" w:ascii="宋体" w:hAnsi="宋体" w:eastAsia="宋体" w:cs="宋体"/>
          <w:b/>
          <w:bCs/>
          <w:snapToGrid w:val="0"/>
          <w:kern w:val="0"/>
          <w:sz w:val="32"/>
          <w:szCs w:val="32"/>
        </w:rPr>
        <w:t>6</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安全生产协议书</w:t>
      </w:r>
      <w:bookmarkEnd w:id="707"/>
    </w:p>
    <w:p w14:paraId="28BE6A6A">
      <w:pPr>
        <w:autoSpaceDE w:val="0"/>
        <w:autoSpaceDN w:val="0"/>
        <w:adjustRightInd w:val="0"/>
        <w:snapToGrid w:val="0"/>
        <w:spacing w:line="440" w:lineRule="exact"/>
        <w:ind w:right="11"/>
        <w:rPr>
          <w:rFonts w:hint="eastAsia" w:ascii="黑体" w:hAnsi="黑体" w:cs="宋体"/>
          <w:snapToGrid w:val="0"/>
          <w:kern w:val="0"/>
          <w:sz w:val="24"/>
          <w:lang w:val="zh-CN"/>
        </w:rPr>
      </w:pPr>
    </w:p>
    <w:p w14:paraId="2C052493">
      <w:pPr>
        <w:spacing w:line="440" w:lineRule="exact"/>
        <w:rPr>
          <w:rFonts w:hint="eastAsia" w:ascii="黑体" w:hAnsi="黑体"/>
          <w:sz w:val="24"/>
          <w:szCs w:val="28"/>
        </w:rPr>
      </w:pPr>
      <w:r>
        <w:rPr>
          <w:rFonts w:hint="eastAsia" w:ascii="黑体" w:hAnsi="黑体"/>
          <w:sz w:val="24"/>
          <w:szCs w:val="28"/>
        </w:rPr>
        <w:t>甲方：广州新中轴建设有限公司</w:t>
      </w:r>
    </w:p>
    <w:p w14:paraId="5C58DA7E">
      <w:pPr>
        <w:spacing w:line="440" w:lineRule="exact"/>
        <w:rPr>
          <w:rFonts w:hint="eastAsia" w:ascii="黑体" w:hAnsi="黑体"/>
          <w:sz w:val="24"/>
          <w:szCs w:val="28"/>
        </w:rPr>
      </w:pPr>
      <w:r>
        <w:rPr>
          <w:rFonts w:hint="eastAsia" w:ascii="黑体" w:hAnsi="黑体"/>
          <w:sz w:val="24"/>
          <w:szCs w:val="28"/>
        </w:rPr>
        <w:t>乙方：【承包人单位名称】</w:t>
      </w:r>
    </w:p>
    <w:p w14:paraId="57C2EB5D">
      <w:pPr>
        <w:pStyle w:val="62"/>
        <w:rPr>
          <w:lang w:val="zh-CN"/>
        </w:rPr>
      </w:pPr>
    </w:p>
    <w:p w14:paraId="6BCC3596">
      <w:pPr>
        <w:autoSpaceDE w:val="0"/>
        <w:autoSpaceDN w:val="0"/>
        <w:adjustRightInd w:val="0"/>
        <w:snapToGrid w:val="0"/>
        <w:spacing w:line="400" w:lineRule="exact"/>
        <w:ind w:right="11" w:firstLine="480" w:firstLineChars="200"/>
        <w:rPr>
          <w:rFonts w:hint="eastAsia" w:ascii="宋体" w:hAnsi="宋体" w:eastAsia="宋体" w:cs="宋体"/>
          <w:bCs/>
          <w:snapToGrid w:val="0"/>
          <w:kern w:val="0"/>
          <w:sz w:val="24"/>
          <w:lang w:val="zh-CN"/>
        </w:rPr>
      </w:pPr>
      <w:r>
        <w:rPr>
          <w:rFonts w:hint="eastAsia" w:ascii="宋体" w:hAnsi="宋体" w:eastAsia="宋体" w:cs="宋体"/>
          <w:bCs/>
          <w:snapToGrid w:val="0"/>
          <w:kern w:val="0"/>
          <w:sz w:val="24"/>
          <w:lang w:val="zh-CN"/>
        </w:rPr>
        <w:t>为确保</w:t>
      </w:r>
      <w:r>
        <w:rPr>
          <w:rFonts w:hint="eastAsia" w:ascii="宋体" w:hAnsi="宋体" w:cs="宋体"/>
          <w:bCs/>
          <w:sz w:val="24"/>
        </w:rPr>
        <w:t>广州珠江两岸、新中轴线等重要区域夜景灯光品质提升项目施工（标段名称）承包合同</w:t>
      </w:r>
      <w:r>
        <w:rPr>
          <w:rFonts w:hint="eastAsia" w:ascii="宋体" w:hAnsi="宋体" w:eastAsia="宋体" w:cs="宋体"/>
          <w:bCs/>
          <w:snapToGrid w:val="0"/>
          <w:kern w:val="0"/>
          <w:sz w:val="24"/>
          <w:lang w:val="zh-CN"/>
        </w:rPr>
        <w:t>实施过程中的安全，甲、乙双方特签订本安全生产协议书，明确双方职责。</w:t>
      </w:r>
    </w:p>
    <w:p w14:paraId="14309D6D">
      <w:pPr>
        <w:tabs>
          <w:tab w:val="left" w:pos="480"/>
        </w:tabs>
        <w:autoSpaceDE w:val="0"/>
        <w:autoSpaceDN w:val="0"/>
        <w:adjustRightInd w:val="0"/>
        <w:snapToGrid w:val="0"/>
        <w:spacing w:line="400" w:lineRule="exact"/>
        <w:ind w:left="461"/>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一、甲方职责</w:t>
      </w:r>
    </w:p>
    <w:p w14:paraId="281421A9">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（一）认真履行《建设工程安全生产管理条例》规定的安全责任及执行工程承包合同中的有关安全条款。</w:t>
      </w:r>
    </w:p>
    <w:p w14:paraId="275C19AD">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（二）重要的安全设施必须坚持与主体工程“三同时”的原则，即：同时设计、审批；同时施工；同时验收，投入使用。</w:t>
      </w:r>
    </w:p>
    <w:p w14:paraId="1351CE0E">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（三）定期召开安全生产会议，指出施工现场存在的安全隐患，及时传达上级关于安全文明施工的要求。</w:t>
      </w:r>
    </w:p>
    <w:p w14:paraId="445A9826">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（四）组织对乙方施工现场安全生产检查，监督乙方及时排除各种安全隐患。</w:t>
      </w:r>
    </w:p>
    <w:p w14:paraId="628BB1F5">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（五）依据甲方制定的</w:t>
      </w:r>
      <w:r>
        <w:rPr>
          <w:rFonts w:hint="eastAsia" w:ascii="宋体" w:hAnsi="宋体" w:eastAsia="宋体" w:cs="宋体"/>
          <w:snapToGrid w:val="0"/>
          <w:kern w:val="0"/>
          <w:sz w:val="24"/>
        </w:rPr>
        <w:t>工程管理办法及政府、主管部门相关规定要求</w:t>
      </w:r>
      <w:r>
        <w:rPr>
          <w:rFonts w:hint="eastAsia" w:ascii="宋体" w:hAnsi="宋体" w:eastAsia="宋体" w:cs="宋体"/>
          <w:snapToGrid w:val="0"/>
          <w:kern w:val="0"/>
          <w:sz w:val="24"/>
          <w:lang w:val="zh-CN"/>
        </w:rPr>
        <w:t>进行工程项目管理。</w:t>
      </w:r>
    </w:p>
    <w:p w14:paraId="24370123">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（六）协助与促进乙方创建“广州市安全文明施工样板工地”。</w:t>
      </w:r>
    </w:p>
    <w:p w14:paraId="6D335C3A">
      <w:pPr>
        <w:autoSpaceDE w:val="0"/>
        <w:autoSpaceDN w:val="0"/>
        <w:adjustRightInd w:val="0"/>
        <w:snapToGrid w:val="0"/>
        <w:spacing w:line="400" w:lineRule="exact"/>
        <w:ind w:firstLine="482" w:firstLineChars="200"/>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二、乙方职责</w:t>
      </w:r>
    </w:p>
    <w:p w14:paraId="666605F8">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（一）认真履行《建设工程安全生产管理条例》规定的安全责任及执行工程承包合同中的有关安全条款。</w:t>
      </w:r>
    </w:p>
    <w:p w14:paraId="72FFE052">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（二）坚持</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安全</w:t>
      </w:r>
      <w:r>
        <w:rPr>
          <w:rFonts w:hint="eastAsia" w:ascii="宋体" w:hAnsi="宋体" w:eastAsia="宋体" w:cs="宋体"/>
          <w:snapToGrid w:val="0"/>
          <w:kern w:val="0"/>
          <w:sz w:val="24"/>
        </w:rPr>
        <w:t>第一</w:t>
      </w:r>
      <w:r>
        <w:rPr>
          <w:rFonts w:hint="eastAsia" w:ascii="宋体" w:hAnsi="宋体" w:eastAsia="宋体" w:cs="宋体"/>
          <w:snapToGrid w:val="0"/>
          <w:kern w:val="0"/>
          <w:sz w:val="24"/>
          <w:lang w:val="zh-CN"/>
        </w:rPr>
        <w:t>、预防为主</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和</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管生产必须管安全</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5D4D92D6">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（三）建立</w:t>
      </w:r>
      <w:r>
        <w:rPr>
          <w:rFonts w:hint="eastAsia" w:ascii="宋体" w:hAnsi="宋体" w:eastAsia="宋体" w:cs="宋体"/>
          <w:snapToGrid w:val="0"/>
          <w:kern w:val="0"/>
          <w:sz w:val="24"/>
        </w:rPr>
        <w:t>安全生产</w:t>
      </w:r>
      <w:r>
        <w:rPr>
          <w:rFonts w:hint="eastAsia" w:ascii="宋体" w:hAnsi="宋体" w:eastAsia="宋体" w:cs="宋体"/>
          <w:snapToGrid w:val="0"/>
          <w:kern w:val="0"/>
          <w:sz w:val="24"/>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04070F10">
      <w:pPr>
        <w:autoSpaceDE w:val="0"/>
        <w:autoSpaceDN w:val="0"/>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lang w:val="zh-CN"/>
        </w:rPr>
        <w:t>（四）</w:t>
      </w:r>
      <w:r>
        <w:rPr>
          <w:rFonts w:hint="eastAsia" w:ascii="宋体" w:hAnsi="宋体" w:eastAsia="宋体" w:cs="宋体"/>
          <w:snapToGrid w:val="0"/>
          <w:kern w:val="0"/>
          <w:sz w:val="24"/>
        </w:rPr>
        <w:t>有责任采取各种合理的预防措施，防止其员工发生各种违法、违禁、暴力或妨碍治安的行为。</w:t>
      </w:r>
    </w:p>
    <w:p w14:paraId="1DD97AD5">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五）参加施工的人员，必须接受安全技术教育，熟知和遵守所在岗位（工种）的各项安全技术操作规程，定期进行安全技术考核。对于从事电气、起重、登高作业、焊接等特种作业的人员，须经过专业培训，获得相关《特种作业人员操作证》。施工现场如出现特种作业人员无证上岗时，项目经理必须承担安全管理责任。</w:t>
      </w:r>
    </w:p>
    <w:p w14:paraId="3B4A02B0">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六）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2155F474">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（七）操作人员上岗，必须按规定佩带穿戴安全帽等防护用品。项目经理和专职安全员应随时检查劳动防护用品的穿戴情况，不按规定穿戴防护用品的人员不得上岗。</w:t>
      </w:r>
    </w:p>
    <w:p w14:paraId="798FC9CC">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（八）所有施工机具设备和高处作业的设备均应定期检查，并有安全员的签名记录，保证其经常处于完好状态，不合格的机具、设备和劳动保护用品严禁使用。</w:t>
      </w:r>
    </w:p>
    <w:p w14:paraId="1C3D9823">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（九）施工中采用新技术、新工艺、新设备、新材料，必须制定相应的安全技术措施。施工现场必须按规定有针对性地悬挂安全标志牌。</w:t>
      </w:r>
    </w:p>
    <w:p w14:paraId="02024877">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（十）乙方</w:t>
      </w:r>
      <w:r>
        <w:rPr>
          <w:rFonts w:hint="eastAsia" w:ascii="宋体" w:hAnsi="宋体" w:eastAsia="宋体" w:cs="宋体"/>
          <w:snapToGrid w:val="0"/>
          <w:kern w:val="0"/>
          <w:sz w:val="24"/>
        </w:rPr>
        <w:t>必须</w:t>
      </w:r>
      <w:r>
        <w:rPr>
          <w:rFonts w:hint="eastAsia" w:ascii="宋体" w:hAnsi="宋体" w:eastAsia="宋体" w:cs="宋体"/>
          <w:snapToGrid w:val="0"/>
          <w:kern w:val="0"/>
          <w:sz w:val="24"/>
          <w:lang w:val="zh-CN"/>
        </w:rPr>
        <w:t>按照本工程项目特点，制定安全事故应急救援预案；如果发生安全事故，应按照《建设工程安全管理条例》的有关规定上报有关部门，并按照</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四不放过</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的原则调查处理。</w:t>
      </w:r>
    </w:p>
    <w:p w14:paraId="2CA2B73A">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（十一）遵守甲方</w:t>
      </w:r>
      <w:r>
        <w:rPr>
          <w:rFonts w:hint="eastAsia" w:ascii="宋体" w:hAnsi="宋体" w:eastAsia="宋体" w:cs="宋体"/>
          <w:snapToGrid w:val="0"/>
          <w:kern w:val="0"/>
          <w:sz w:val="24"/>
        </w:rPr>
        <w:t>工程管理办法及政府、主管部门</w:t>
      </w:r>
      <w:r>
        <w:rPr>
          <w:rFonts w:hint="eastAsia" w:ascii="宋体" w:hAnsi="宋体" w:eastAsia="宋体" w:cs="宋体"/>
          <w:snapToGrid w:val="0"/>
          <w:kern w:val="0"/>
          <w:sz w:val="24"/>
          <w:lang w:val="zh-CN"/>
        </w:rPr>
        <w:t>等相关安全生产管理制度。</w:t>
      </w:r>
    </w:p>
    <w:p w14:paraId="795BF62C">
      <w:pPr>
        <w:autoSpaceDE w:val="0"/>
        <w:autoSpaceDN w:val="0"/>
        <w:adjustRightInd w:val="0"/>
        <w:snapToGrid w:val="0"/>
        <w:spacing w:line="400" w:lineRule="exact"/>
        <w:ind w:firstLine="482" w:firstLineChars="200"/>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三、违约责任</w:t>
      </w:r>
    </w:p>
    <w:p w14:paraId="57FFFF7A">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如因甲方或乙方失职违约，将依据《建设工程安全管理条例》、协议书及有关规定追究责任。</w:t>
      </w:r>
    </w:p>
    <w:p w14:paraId="12F8D127">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lang w:val="zh-CN"/>
        </w:rPr>
        <w:t>本安全生产协议书由双方</w:t>
      </w:r>
      <w:r>
        <w:rPr>
          <w:rFonts w:hint="eastAsia" w:ascii="宋体" w:hAnsi="宋体" w:eastAsia="宋体" w:cs="宋体"/>
          <w:snapToGrid w:val="0"/>
          <w:kern w:val="0"/>
          <w:sz w:val="24"/>
        </w:rPr>
        <w:t>法定代表人（或委托代理人）签字及加盖单位章</w:t>
      </w:r>
      <w:r>
        <w:rPr>
          <w:rFonts w:hint="eastAsia" w:ascii="宋体" w:hAnsi="宋体" w:eastAsia="宋体" w:cs="宋体"/>
          <w:snapToGrid w:val="0"/>
          <w:kern w:val="0"/>
          <w:sz w:val="24"/>
          <w:lang w:val="zh-CN"/>
        </w:rPr>
        <w:t>后生效。工程竣工验收后失效。</w:t>
      </w:r>
    </w:p>
    <w:p w14:paraId="6E7C72DF">
      <w:pPr>
        <w:adjustRightInd w:val="0"/>
        <w:snapToGrid w:val="0"/>
        <w:spacing w:line="400" w:lineRule="exact"/>
        <w:rPr>
          <w:rFonts w:hint="eastAsia" w:ascii="宋体" w:hAnsi="宋体" w:eastAsia="宋体" w:cs="宋体"/>
          <w:snapToGrid w:val="0"/>
          <w:kern w:val="0"/>
          <w:sz w:val="24"/>
          <w:lang w:val="zh-CN"/>
        </w:rPr>
      </w:pPr>
    </w:p>
    <w:p w14:paraId="374FCD92">
      <w:pPr>
        <w:pStyle w:val="62"/>
        <w:rPr>
          <w:lang w:val="zh-CN"/>
        </w:rPr>
      </w:pPr>
    </w:p>
    <w:tbl>
      <w:tblPr>
        <w:tblStyle w:val="40"/>
        <w:tblW w:w="0" w:type="auto"/>
        <w:tblInd w:w="0" w:type="dxa"/>
        <w:tblLayout w:type="autofit"/>
        <w:tblCellMar>
          <w:top w:w="0" w:type="dxa"/>
          <w:left w:w="108" w:type="dxa"/>
          <w:bottom w:w="0" w:type="dxa"/>
          <w:right w:w="108" w:type="dxa"/>
        </w:tblCellMar>
      </w:tblPr>
      <w:tblGrid>
        <w:gridCol w:w="3936"/>
        <w:gridCol w:w="4360"/>
      </w:tblGrid>
      <w:tr w14:paraId="7F7EC8BD">
        <w:tblPrEx>
          <w:tblCellMar>
            <w:top w:w="0" w:type="dxa"/>
            <w:left w:w="108" w:type="dxa"/>
            <w:bottom w:w="0" w:type="dxa"/>
            <w:right w:w="108" w:type="dxa"/>
          </w:tblCellMar>
        </w:tblPrEx>
        <w:tc>
          <w:tcPr>
            <w:tcW w:w="3936" w:type="dxa"/>
          </w:tcPr>
          <w:p w14:paraId="0B8E3DEC">
            <w:pPr>
              <w:rPr>
                <w:rFonts w:hint="eastAsia" w:ascii="黑体" w:hAnsi="黑体"/>
                <w:sz w:val="24"/>
                <w:szCs w:val="28"/>
              </w:rPr>
            </w:pPr>
            <w:bookmarkStart w:id="708" w:name="_Hlk106789136"/>
            <w:r>
              <w:rPr>
                <w:rFonts w:hint="eastAsia" w:ascii="黑体" w:hAnsi="黑体"/>
                <w:sz w:val="24"/>
                <w:szCs w:val="28"/>
              </w:rPr>
              <w:t>甲方</w:t>
            </w:r>
            <w:r>
              <w:rPr>
                <w:rFonts w:ascii="黑体" w:hAnsi="黑体"/>
                <w:sz w:val="24"/>
                <w:szCs w:val="28"/>
              </w:rPr>
              <w:t>：</w:t>
            </w:r>
            <w:r>
              <w:rPr>
                <w:rFonts w:hint="eastAsia" w:ascii="黑体" w:hAnsi="黑体"/>
                <w:sz w:val="24"/>
                <w:szCs w:val="28"/>
              </w:rPr>
              <w:t>广州新中轴建设有限公司</w:t>
            </w:r>
          </w:p>
          <w:p w14:paraId="6AEA3F14">
            <w:pPr>
              <w:rPr>
                <w:rFonts w:hint="eastAsia" w:ascii="黑体" w:hAnsi="黑体"/>
                <w:sz w:val="24"/>
                <w:szCs w:val="28"/>
              </w:rPr>
            </w:pPr>
            <w:r>
              <w:rPr>
                <w:rFonts w:ascii="黑体" w:hAnsi="黑体"/>
                <w:sz w:val="24"/>
                <w:szCs w:val="28"/>
              </w:rPr>
              <w:t>（盖章）</w:t>
            </w:r>
          </w:p>
          <w:p w14:paraId="3782D2E2">
            <w:pPr>
              <w:rPr>
                <w:rFonts w:hint="eastAsia" w:ascii="黑体" w:hAnsi="黑体"/>
                <w:sz w:val="24"/>
                <w:szCs w:val="28"/>
              </w:rPr>
            </w:pPr>
          </w:p>
          <w:p w14:paraId="30E1023E">
            <w:pPr>
              <w:rPr>
                <w:rFonts w:hint="eastAsia" w:ascii="黑体" w:hAnsi="黑体"/>
                <w:sz w:val="24"/>
                <w:szCs w:val="28"/>
              </w:rPr>
            </w:pPr>
          </w:p>
        </w:tc>
        <w:tc>
          <w:tcPr>
            <w:tcW w:w="4360" w:type="dxa"/>
          </w:tcPr>
          <w:p w14:paraId="431FCBB5">
            <w:pPr>
              <w:rPr>
                <w:rFonts w:hint="eastAsia" w:ascii="黑体" w:hAnsi="黑体"/>
                <w:sz w:val="24"/>
                <w:szCs w:val="28"/>
              </w:rPr>
            </w:pPr>
            <w:r>
              <w:rPr>
                <w:rFonts w:ascii="黑体" w:hAnsi="黑体"/>
                <w:sz w:val="24"/>
                <w:szCs w:val="28"/>
              </w:rPr>
              <w:t>乙方：</w:t>
            </w:r>
            <w:r>
              <w:rPr>
                <w:rFonts w:hint="eastAsia" w:ascii="黑体" w:hAnsi="黑体"/>
                <w:sz w:val="24"/>
                <w:szCs w:val="28"/>
              </w:rPr>
              <w:t>【承包人单位名称】</w:t>
            </w:r>
          </w:p>
          <w:p w14:paraId="35D6A7A9">
            <w:pPr>
              <w:rPr>
                <w:rFonts w:hint="eastAsia" w:ascii="黑体" w:hAnsi="黑体"/>
                <w:sz w:val="24"/>
                <w:szCs w:val="28"/>
              </w:rPr>
            </w:pPr>
            <w:r>
              <w:rPr>
                <w:rFonts w:ascii="黑体" w:hAnsi="黑体"/>
                <w:sz w:val="24"/>
                <w:szCs w:val="28"/>
              </w:rPr>
              <w:t>（盖章）</w:t>
            </w:r>
          </w:p>
          <w:p w14:paraId="06EACE1F">
            <w:pPr>
              <w:rPr>
                <w:rFonts w:hint="eastAsia" w:ascii="黑体" w:hAnsi="黑体"/>
                <w:sz w:val="24"/>
                <w:szCs w:val="28"/>
              </w:rPr>
            </w:pPr>
          </w:p>
          <w:p w14:paraId="78F238ED">
            <w:pPr>
              <w:rPr>
                <w:rFonts w:hint="eastAsia" w:ascii="黑体" w:hAnsi="黑体"/>
                <w:sz w:val="24"/>
                <w:szCs w:val="28"/>
              </w:rPr>
            </w:pPr>
          </w:p>
        </w:tc>
      </w:tr>
      <w:tr w14:paraId="049E9EB7">
        <w:tblPrEx>
          <w:tblCellMar>
            <w:top w:w="0" w:type="dxa"/>
            <w:left w:w="108" w:type="dxa"/>
            <w:bottom w:w="0" w:type="dxa"/>
            <w:right w:w="108" w:type="dxa"/>
          </w:tblCellMar>
        </w:tblPrEx>
        <w:tc>
          <w:tcPr>
            <w:tcW w:w="3936" w:type="dxa"/>
          </w:tcPr>
          <w:p w14:paraId="3DE8098D">
            <w:pPr>
              <w:rPr>
                <w:rFonts w:hint="eastAsia" w:ascii="黑体" w:hAnsi="黑体"/>
                <w:sz w:val="24"/>
                <w:szCs w:val="28"/>
              </w:rPr>
            </w:pPr>
            <w:r>
              <w:rPr>
                <w:rFonts w:hint="eastAsia" w:ascii="黑体" w:hAnsi="黑体"/>
                <w:sz w:val="24"/>
                <w:szCs w:val="28"/>
              </w:rPr>
              <w:t>负责人：</w:t>
            </w:r>
          </w:p>
          <w:p w14:paraId="09C328B0">
            <w:pPr>
              <w:rPr>
                <w:rFonts w:hint="eastAsia" w:ascii="黑体" w:hAnsi="黑体"/>
                <w:sz w:val="24"/>
                <w:szCs w:val="28"/>
              </w:rPr>
            </w:pPr>
            <w:r>
              <w:rPr>
                <w:rFonts w:hint="eastAsia" w:ascii="黑体" w:hAnsi="黑体"/>
                <w:sz w:val="24"/>
                <w:szCs w:val="28"/>
              </w:rPr>
              <w:t>（签字）</w:t>
            </w:r>
          </w:p>
          <w:p w14:paraId="1EFC9FD6">
            <w:pPr>
              <w:rPr>
                <w:rFonts w:hint="eastAsia" w:ascii="黑体" w:hAnsi="黑体"/>
                <w:sz w:val="24"/>
                <w:szCs w:val="28"/>
              </w:rPr>
            </w:pPr>
          </w:p>
          <w:p w14:paraId="5C8C9B8C">
            <w:pPr>
              <w:rPr>
                <w:rFonts w:hint="eastAsia" w:ascii="黑体" w:hAnsi="黑体"/>
                <w:sz w:val="24"/>
                <w:szCs w:val="28"/>
              </w:rPr>
            </w:pPr>
            <w:r>
              <w:rPr>
                <w:rFonts w:hint="eastAsia"/>
              </w:rPr>
              <w:t>签署日期：</w:t>
            </w:r>
            <w:r>
              <w:rPr>
                <w:rFonts w:hint="eastAsia" w:ascii="黑体" w:hAnsi="黑体"/>
                <w:sz w:val="24"/>
              </w:rPr>
              <w:t>2025年   月   日</w:t>
            </w:r>
          </w:p>
        </w:tc>
        <w:tc>
          <w:tcPr>
            <w:tcW w:w="4360" w:type="dxa"/>
          </w:tcPr>
          <w:p w14:paraId="19383CA7">
            <w:pPr>
              <w:rPr>
                <w:rFonts w:hint="eastAsia" w:ascii="黑体" w:hAnsi="黑体"/>
                <w:sz w:val="24"/>
                <w:szCs w:val="28"/>
              </w:rPr>
            </w:pPr>
            <w:r>
              <w:rPr>
                <w:rFonts w:hint="eastAsia" w:ascii="黑体" w:hAnsi="黑体"/>
                <w:sz w:val="24"/>
                <w:szCs w:val="28"/>
              </w:rPr>
              <w:t>负责人：</w:t>
            </w:r>
          </w:p>
          <w:p w14:paraId="1D7B90A3">
            <w:pPr>
              <w:rPr>
                <w:rFonts w:hint="eastAsia" w:ascii="黑体" w:hAnsi="黑体"/>
                <w:sz w:val="24"/>
                <w:szCs w:val="28"/>
              </w:rPr>
            </w:pPr>
            <w:r>
              <w:rPr>
                <w:rFonts w:hint="eastAsia" w:ascii="黑体" w:hAnsi="黑体"/>
                <w:sz w:val="24"/>
                <w:szCs w:val="28"/>
              </w:rPr>
              <w:t>（签字）</w:t>
            </w:r>
          </w:p>
          <w:p w14:paraId="28687902">
            <w:pPr>
              <w:rPr>
                <w:rFonts w:hint="eastAsia" w:ascii="黑体" w:hAnsi="黑体"/>
                <w:sz w:val="24"/>
                <w:szCs w:val="28"/>
              </w:rPr>
            </w:pPr>
          </w:p>
          <w:p w14:paraId="4AF7199E">
            <w:pPr>
              <w:rPr>
                <w:rFonts w:hint="eastAsia" w:ascii="黑体" w:hAnsi="黑体"/>
                <w:sz w:val="24"/>
                <w:szCs w:val="28"/>
              </w:rPr>
            </w:pPr>
          </w:p>
        </w:tc>
      </w:tr>
      <w:bookmarkEnd w:id="708"/>
    </w:tbl>
    <w:p w14:paraId="543B7D90">
      <w:pPr>
        <w:pStyle w:val="62"/>
        <w:rPr>
          <w:rFonts w:hint="eastAsia" w:ascii="黑体" w:hAnsi="黑体"/>
          <w:b w:val="0"/>
        </w:rPr>
      </w:pPr>
    </w:p>
    <w:p w14:paraId="094CE82A">
      <w:pPr>
        <w:adjustRightInd w:val="0"/>
        <w:snapToGrid w:val="0"/>
        <w:spacing w:line="440" w:lineRule="exact"/>
        <w:ind w:right="11"/>
        <w:rPr>
          <w:rFonts w:hint="eastAsia" w:ascii="宋体" w:hAnsi="宋体" w:eastAsia="宋体" w:cs="宋体"/>
          <w:b/>
          <w:bCs/>
          <w:sz w:val="32"/>
          <w:szCs w:val="32"/>
        </w:rPr>
      </w:pPr>
      <w:r>
        <w:rPr>
          <w:rFonts w:hint="eastAsia" w:ascii="宋体" w:hAnsi="宋体" w:eastAsia="宋体" w:cs="宋体"/>
        </w:rPr>
        <w:br w:type="page"/>
      </w:r>
      <w:r>
        <w:rPr>
          <w:rFonts w:hint="eastAsia" w:ascii="宋体" w:hAnsi="宋体" w:eastAsia="宋体" w:cs="宋体"/>
          <w:b/>
          <w:bCs/>
          <w:sz w:val="32"/>
          <w:szCs w:val="32"/>
        </w:rPr>
        <w:t>附件</w:t>
      </w:r>
    </w:p>
    <w:p w14:paraId="6673477B">
      <w:pPr>
        <w:adjustRightInd w:val="0"/>
        <w:snapToGrid w:val="0"/>
        <w:spacing w:line="440" w:lineRule="exact"/>
        <w:jc w:val="center"/>
        <w:outlineLvl w:val="1"/>
        <w:rPr>
          <w:rFonts w:hint="eastAsia" w:ascii="宋体" w:hAnsi="宋体" w:eastAsia="宋体" w:cs="宋体"/>
          <w:b/>
          <w:bCs/>
          <w:snapToGrid w:val="0"/>
          <w:kern w:val="0"/>
          <w:sz w:val="32"/>
          <w:szCs w:val="32"/>
        </w:rPr>
      </w:pPr>
      <w:bookmarkStart w:id="709" w:name="_Toc1748"/>
      <w:bookmarkStart w:id="710" w:name="_Toc397364949"/>
      <w:bookmarkStart w:id="711" w:name="_Toc176192853"/>
      <w:bookmarkStart w:id="712" w:name="_Toc14985"/>
      <w:bookmarkStart w:id="713" w:name="_Toc1910"/>
      <w:r>
        <w:rPr>
          <w:rFonts w:hint="eastAsia" w:ascii="宋体" w:hAnsi="宋体" w:eastAsia="宋体" w:cs="宋体"/>
          <w:b/>
          <w:bCs/>
          <w:snapToGrid w:val="0"/>
          <w:kern w:val="0"/>
          <w:sz w:val="32"/>
          <w:szCs w:val="32"/>
        </w:rPr>
        <w:t>7</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工程质量保修书</w:t>
      </w:r>
      <w:bookmarkEnd w:id="709"/>
      <w:bookmarkEnd w:id="710"/>
      <w:bookmarkEnd w:id="711"/>
      <w:bookmarkEnd w:id="712"/>
      <w:bookmarkEnd w:id="713"/>
    </w:p>
    <w:p w14:paraId="6F8A2AAC">
      <w:pPr>
        <w:autoSpaceDE w:val="0"/>
        <w:autoSpaceDN w:val="0"/>
        <w:adjustRightInd w:val="0"/>
        <w:snapToGrid w:val="0"/>
        <w:spacing w:line="440" w:lineRule="exact"/>
        <w:ind w:right="11"/>
        <w:rPr>
          <w:rFonts w:hint="eastAsia" w:ascii="黑体" w:hAnsi="黑体" w:cs="宋体"/>
          <w:snapToGrid w:val="0"/>
          <w:kern w:val="0"/>
          <w:sz w:val="24"/>
          <w:lang w:val="zh-CN"/>
        </w:rPr>
      </w:pPr>
    </w:p>
    <w:p w14:paraId="22940564">
      <w:pPr>
        <w:adjustRightInd w:val="0"/>
        <w:spacing w:line="440" w:lineRule="exact"/>
        <w:rPr>
          <w:rFonts w:hint="eastAsia" w:ascii="黑体" w:hAnsi="黑体" w:cs="宋体"/>
          <w:bCs/>
          <w:snapToGrid w:val="0"/>
          <w:kern w:val="0"/>
          <w:sz w:val="24"/>
        </w:rPr>
      </w:pPr>
      <w:r>
        <w:rPr>
          <w:rFonts w:hint="eastAsia" w:ascii="黑体" w:hAnsi="黑体" w:cs="宋体"/>
          <w:bCs/>
          <w:snapToGrid w:val="0"/>
          <w:kern w:val="0"/>
          <w:sz w:val="24"/>
        </w:rPr>
        <w:t>发包人（甲方）：广州新中轴建设有限公司</w:t>
      </w:r>
    </w:p>
    <w:p w14:paraId="239F9F60">
      <w:pPr>
        <w:adjustRightInd w:val="0"/>
        <w:spacing w:line="440" w:lineRule="exact"/>
        <w:rPr>
          <w:rFonts w:hint="eastAsia" w:ascii="黑体" w:hAnsi="黑体" w:cs="宋体"/>
          <w:bCs/>
          <w:snapToGrid w:val="0"/>
          <w:kern w:val="0"/>
          <w:sz w:val="24"/>
        </w:rPr>
      </w:pPr>
      <w:r>
        <w:rPr>
          <w:rFonts w:hint="eastAsia" w:ascii="黑体" w:hAnsi="黑体" w:cs="宋体"/>
          <w:bCs/>
          <w:snapToGrid w:val="0"/>
          <w:kern w:val="0"/>
          <w:sz w:val="24"/>
        </w:rPr>
        <w:t>承包人（乙方）：【承包人单位名称】</w:t>
      </w:r>
    </w:p>
    <w:p w14:paraId="3DB1FBBE">
      <w:pPr>
        <w:pStyle w:val="62"/>
        <w:rPr>
          <w:lang w:val="zh-CN"/>
        </w:rPr>
      </w:pPr>
    </w:p>
    <w:p w14:paraId="70138801">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发包人、承包人根据《中华人民共和国建筑法》、《建设工程质量管理条例》和《房屋建筑工程质量保修办法》，经协商一致，就</w:t>
      </w:r>
      <w:r>
        <w:rPr>
          <w:rFonts w:hint="eastAsia" w:ascii="宋体" w:hAnsi="宋体" w:cs="宋体"/>
          <w:bCs/>
          <w:sz w:val="24"/>
        </w:rPr>
        <w:t>广州珠江两岸、新中轴线等重要区域夜景灯光品质提升项目施工（标段名称）承包合同</w:t>
      </w:r>
      <w:r>
        <w:rPr>
          <w:rFonts w:hint="eastAsia" w:ascii="宋体" w:hAnsi="宋体" w:eastAsia="宋体" w:cs="宋体"/>
          <w:snapToGrid w:val="0"/>
          <w:kern w:val="0"/>
          <w:sz w:val="24"/>
        </w:rPr>
        <w:t>签订工程质量保修书。</w:t>
      </w:r>
    </w:p>
    <w:p w14:paraId="3855825A">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一、工程质量保修范围和内容</w:t>
      </w:r>
    </w:p>
    <w:p w14:paraId="4376976E">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承包人在质量保修期内，按照有关法律、法规、规章的管理规定和双方约定，承担本工程质量保修责任。</w:t>
      </w:r>
    </w:p>
    <w:p w14:paraId="379C1D8B">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质量保修范围和内容包括</w:t>
      </w:r>
      <w:r>
        <w:rPr>
          <w:rFonts w:hint="eastAsia" w:ascii="宋体" w:hAnsi="宋体" w:cs="宋体"/>
          <w:bCs/>
          <w:sz w:val="24"/>
        </w:rPr>
        <w:t>广州珠江两岸、新中轴线等重要区域夜景灯光品质提升项目施工（标段名称）承包合同</w:t>
      </w:r>
      <w:r>
        <w:rPr>
          <w:rFonts w:hint="eastAsia" w:ascii="宋体" w:hAnsi="宋体" w:eastAsia="宋体" w:cs="宋体"/>
          <w:snapToGrid w:val="0"/>
          <w:kern w:val="0"/>
          <w:sz w:val="24"/>
        </w:rPr>
        <w:t>中约定由乙方承包的范围和内容。</w:t>
      </w:r>
    </w:p>
    <w:p w14:paraId="7B263B61">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二、质量保修期</w:t>
      </w:r>
    </w:p>
    <w:p w14:paraId="7A53C59A">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本工程（包括但不限于工程的所有材料、设备及其施工安装）质量保修期为五年（国家相关规定超过五年的，按国家相关规定年限）。</w:t>
      </w:r>
    </w:p>
    <w:p w14:paraId="7AD09988">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质量保修期自工程竣工验收合格之日起计算。</w:t>
      </w:r>
    </w:p>
    <w:p w14:paraId="2F9EE886">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三、质量保修责任</w:t>
      </w:r>
    </w:p>
    <w:p w14:paraId="7E4B28BA">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1．属于保修范围、内容的项目，承包人应当在接到保修通知之日起7天内派人保修。承包人不在约定期限内派人保修的，发包人可以委托他人修理。</w:t>
      </w:r>
    </w:p>
    <w:p w14:paraId="246675C9">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2．发生紧急抢修事故的，承包人在接到事故通知后，应当立即到达事故现场抢修。</w:t>
      </w:r>
    </w:p>
    <w:p w14:paraId="09C17092">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5D084EA1">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4．质量保修完成后，由发包人组织验收。</w:t>
      </w:r>
    </w:p>
    <w:p w14:paraId="22BD5C2B">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四、保修费用</w:t>
      </w:r>
    </w:p>
    <w:p w14:paraId="5585A3C1">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保修费用由造成质量问题的责任方承担。</w:t>
      </w:r>
    </w:p>
    <w:p w14:paraId="02E7FD8E">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五、其他</w:t>
      </w:r>
    </w:p>
    <w:p w14:paraId="29D264FE">
      <w:pPr>
        <w:adjustRightInd w:val="0"/>
        <w:snapToGrid w:val="0"/>
        <w:spacing w:line="52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本工程质量保修书，由施工合同发包人、承包人双方在竣工验收前共同签署，作为施工合同附件其有效期限至保修期满。</w:t>
      </w:r>
    </w:p>
    <w:p w14:paraId="07793127">
      <w:pPr>
        <w:pStyle w:val="18"/>
        <w:adjustRightInd w:val="0"/>
        <w:snapToGrid w:val="0"/>
        <w:spacing w:line="440" w:lineRule="exact"/>
        <w:ind w:right="11" w:firstLine="0"/>
        <w:rPr>
          <w:rFonts w:hint="eastAsia" w:ascii="宋体" w:hAnsi="宋体" w:eastAsia="宋体" w:cs="宋体"/>
          <w:snapToGrid w:val="0"/>
          <w:kern w:val="0"/>
          <w:sz w:val="24"/>
          <w:szCs w:val="24"/>
        </w:rPr>
      </w:pPr>
    </w:p>
    <w:p w14:paraId="4F5F6694">
      <w:pPr>
        <w:pStyle w:val="18"/>
        <w:adjustRightInd w:val="0"/>
        <w:snapToGrid w:val="0"/>
        <w:spacing w:line="440" w:lineRule="exact"/>
        <w:ind w:right="11" w:firstLine="0"/>
        <w:rPr>
          <w:rFonts w:hint="eastAsia" w:ascii="宋体" w:hAnsi="宋体" w:eastAsia="宋体" w:cs="宋体"/>
          <w:snapToGrid w:val="0"/>
          <w:kern w:val="0"/>
          <w:sz w:val="24"/>
          <w:szCs w:val="24"/>
        </w:rPr>
      </w:pPr>
    </w:p>
    <w:p w14:paraId="19EF2B90">
      <w:pPr>
        <w:pStyle w:val="18"/>
        <w:adjustRightInd w:val="0"/>
        <w:snapToGrid w:val="0"/>
        <w:spacing w:line="440" w:lineRule="exact"/>
        <w:ind w:right="11" w:firstLine="0"/>
        <w:rPr>
          <w:rFonts w:hint="eastAsia" w:ascii="宋体" w:hAnsi="宋体" w:eastAsia="宋体" w:cs="宋体"/>
          <w:snapToGrid w:val="0"/>
          <w:kern w:val="0"/>
          <w:sz w:val="24"/>
          <w:szCs w:val="24"/>
        </w:rPr>
      </w:pPr>
    </w:p>
    <w:tbl>
      <w:tblPr>
        <w:tblStyle w:val="40"/>
        <w:tblW w:w="0" w:type="auto"/>
        <w:tblInd w:w="0" w:type="dxa"/>
        <w:tblLayout w:type="autofit"/>
        <w:tblCellMar>
          <w:top w:w="0" w:type="dxa"/>
          <w:left w:w="108" w:type="dxa"/>
          <w:bottom w:w="0" w:type="dxa"/>
          <w:right w:w="108" w:type="dxa"/>
        </w:tblCellMar>
      </w:tblPr>
      <w:tblGrid>
        <w:gridCol w:w="4077"/>
        <w:gridCol w:w="4219"/>
      </w:tblGrid>
      <w:tr w14:paraId="7C29F0A7">
        <w:tblPrEx>
          <w:tblCellMar>
            <w:top w:w="0" w:type="dxa"/>
            <w:left w:w="108" w:type="dxa"/>
            <w:bottom w:w="0" w:type="dxa"/>
            <w:right w:w="108" w:type="dxa"/>
          </w:tblCellMar>
        </w:tblPrEx>
        <w:tc>
          <w:tcPr>
            <w:tcW w:w="4077" w:type="dxa"/>
          </w:tcPr>
          <w:p w14:paraId="0766E717">
            <w:pPr>
              <w:rPr>
                <w:rFonts w:hint="eastAsia" w:ascii="黑体" w:hAnsi="黑体"/>
                <w:sz w:val="24"/>
                <w:szCs w:val="28"/>
              </w:rPr>
            </w:pPr>
            <w:r>
              <w:rPr>
                <w:rFonts w:hint="eastAsia" w:ascii="黑体" w:hAnsi="黑体"/>
                <w:sz w:val="24"/>
                <w:szCs w:val="28"/>
              </w:rPr>
              <w:t>甲方</w:t>
            </w:r>
            <w:r>
              <w:rPr>
                <w:rFonts w:ascii="黑体" w:hAnsi="黑体"/>
                <w:sz w:val="24"/>
                <w:szCs w:val="28"/>
              </w:rPr>
              <w:t>：</w:t>
            </w:r>
            <w:r>
              <w:rPr>
                <w:rFonts w:hint="eastAsia" w:ascii="黑体" w:hAnsi="黑体"/>
                <w:sz w:val="24"/>
                <w:szCs w:val="28"/>
              </w:rPr>
              <w:t>广州新中轴建设有限公司</w:t>
            </w:r>
          </w:p>
          <w:p w14:paraId="11BC248A">
            <w:pPr>
              <w:rPr>
                <w:rFonts w:hint="eastAsia" w:ascii="黑体" w:hAnsi="黑体"/>
                <w:sz w:val="24"/>
                <w:szCs w:val="28"/>
              </w:rPr>
            </w:pPr>
            <w:r>
              <w:rPr>
                <w:rFonts w:ascii="黑体" w:hAnsi="黑体"/>
                <w:sz w:val="24"/>
                <w:szCs w:val="28"/>
              </w:rPr>
              <w:t>（盖章）</w:t>
            </w:r>
          </w:p>
          <w:p w14:paraId="79D28B09">
            <w:pPr>
              <w:rPr>
                <w:rFonts w:hint="eastAsia" w:ascii="黑体" w:hAnsi="黑体"/>
                <w:sz w:val="24"/>
                <w:szCs w:val="28"/>
              </w:rPr>
            </w:pPr>
          </w:p>
          <w:p w14:paraId="1D2CCE5C">
            <w:pPr>
              <w:rPr>
                <w:rFonts w:hint="eastAsia" w:ascii="黑体" w:hAnsi="黑体"/>
                <w:sz w:val="24"/>
                <w:szCs w:val="28"/>
              </w:rPr>
            </w:pPr>
          </w:p>
        </w:tc>
        <w:tc>
          <w:tcPr>
            <w:tcW w:w="4219" w:type="dxa"/>
          </w:tcPr>
          <w:p w14:paraId="5AF55D16">
            <w:pPr>
              <w:rPr>
                <w:rFonts w:hint="eastAsia" w:ascii="黑体" w:hAnsi="黑体"/>
                <w:sz w:val="24"/>
                <w:szCs w:val="28"/>
              </w:rPr>
            </w:pPr>
            <w:r>
              <w:rPr>
                <w:rFonts w:ascii="黑体" w:hAnsi="黑体"/>
                <w:sz w:val="24"/>
                <w:szCs w:val="28"/>
              </w:rPr>
              <w:t>乙方：</w:t>
            </w:r>
            <w:r>
              <w:rPr>
                <w:rFonts w:hint="eastAsia" w:ascii="黑体" w:hAnsi="黑体"/>
                <w:sz w:val="24"/>
                <w:szCs w:val="28"/>
              </w:rPr>
              <w:t>【承包人单位名称】</w:t>
            </w:r>
          </w:p>
          <w:p w14:paraId="120101A4">
            <w:pPr>
              <w:rPr>
                <w:rFonts w:hint="eastAsia" w:ascii="黑体" w:hAnsi="黑体"/>
                <w:sz w:val="24"/>
                <w:szCs w:val="28"/>
              </w:rPr>
            </w:pPr>
            <w:r>
              <w:rPr>
                <w:rFonts w:ascii="黑体" w:hAnsi="黑体"/>
                <w:sz w:val="24"/>
                <w:szCs w:val="28"/>
              </w:rPr>
              <w:t>（盖章）</w:t>
            </w:r>
          </w:p>
          <w:p w14:paraId="4BA8B297">
            <w:pPr>
              <w:rPr>
                <w:rFonts w:hint="eastAsia" w:ascii="黑体" w:hAnsi="黑体"/>
                <w:sz w:val="24"/>
                <w:szCs w:val="28"/>
              </w:rPr>
            </w:pPr>
          </w:p>
          <w:p w14:paraId="21D825AC">
            <w:pPr>
              <w:rPr>
                <w:rFonts w:hint="eastAsia" w:ascii="黑体" w:hAnsi="黑体"/>
                <w:sz w:val="24"/>
                <w:szCs w:val="28"/>
              </w:rPr>
            </w:pPr>
          </w:p>
        </w:tc>
      </w:tr>
      <w:tr w14:paraId="7F9EECEC">
        <w:tblPrEx>
          <w:tblCellMar>
            <w:top w:w="0" w:type="dxa"/>
            <w:left w:w="108" w:type="dxa"/>
            <w:bottom w:w="0" w:type="dxa"/>
            <w:right w:w="108" w:type="dxa"/>
          </w:tblCellMar>
        </w:tblPrEx>
        <w:tc>
          <w:tcPr>
            <w:tcW w:w="4077" w:type="dxa"/>
          </w:tcPr>
          <w:p w14:paraId="70022735">
            <w:pPr>
              <w:rPr>
                <w:rFonts w:hint="eastAsia" w:ascii="黑体" w:hAnsi="黑体"/>
                <w:sz w:val="24"/>
                <w:szCs w:val="28"/>
              </w:rPr>
            </w:pPr>
            <w:r>
              <w:rPr>
                <w:rFonts w:hint="eastAsia" w:ascii="黑体" w:hAnsi="黑体"/>
                <w:sz w:val="24"/>
                <w:szCs w:val="28"/>
              </w:rPr>
              <w:t>负责人：</w:t>
            </w:r>
          </w:p>
          <w:p w14:paraId="1DA715DD">
            <w:pPr>
              <w:rPr>
                <w:rFonts w:hint="eastAsia" w:ascii="黑体" w:hAnsi="黑体"/>
                <w:sz w:val="24"/>
                <w:szCs w:val="28"/>
              </w:rPr>
            </w:pPr>
            <w:r>
              <w:rPr>
                <w:rFonts w:hint="eastAsia" w:ascii="黑体" w:hAnsi="黑体"/>
                <w:sz w:val="24"/>
                <w:szCs w:val="28"/>
              </w:rPr>
              <w:t>（签字）</w:t>
            </w:r>
          </w:p>
          <w:p w14:paraId="2DFE91A2">
            <w:pPr>
              <w:rPr>
                <w:rFonts w:hint="eastAsia" w:ascii="黑体" w:hAnsi="黑体"/>
                <w:sz w:val="24"/>
                <w:szCs w:val="28"/>
              </w:rPr>
            </w:pPr>
          </w:p>
          <w:p w14:paraId="1A25BF3B">
            <w:pPr>
              <w:rPr>
                <w:rFonts w:hint="eastAsia" w:ascii="黑体" w:hAnsi="黑体"/>
                <w:sz w:val="24"/>
                <w:szCs w:val="28"/>
              </w:rPr>
            </w:pPr>
          </w:p>
        </w:tc>
        <w:tc>
          <w:tcPr>
            <w:tcW w:w="4219" w:type="dxa"/>
          </w:tcPr>
          <w:p w14:paraId="352609EF">
            <w:pPr>
              <w:rPr>
                <w:rFonts w:hint="eastAsia" w:ascii="黑体" w:hAnsi="黑体"/>
                <w:sz w:val="24"/>
                <w:szCs w:val="28"/>
              </w:rPr>
            </w:pPr>
            <w:r>
              <w:rPr>
                <w:rFonts w:hint="eastAsia" w:ascii="黑体" w:hAnsi="黑体"/>
                <w:sz w:val="24"/>
                <w:szCs w:val="28"/>
              </w:rPr>
              <w:t>负责人：</w:t>
            </w:r>
          </w:p>
          <w:p w14:paraId="0F57E4F4">
            <w:pPr>
              <w:rPr>
                <w:rFonts w:hint="eastAsia" w:ascii="黑体" w:hAnsi="黑体"/>
                <w:sz w:val="24"/>
                <w:szCs w:val="28"/>
              </w:rPr>
            </w:pPr>
            <w:r>
              <w:rPr>
                <w:rFonts w:hint="eastAsia" w:ascii="黑体" w:hAnsi="黑体"/>
                <w:sz w:val="24"/>
                <w:szCs w:val="28"/>
              </w:rPr>
              <w:t>（签字）</w:t>
            </w:r>
          </w:p>
          <w:p w14:paraId="39F710ED">
            <w:pPr>
              <w:rPr>
                <w:rFonts w:hint="eastAsia" w:ascii="黑体" w:hAnsi="黑体"/>
                <w:sz w:val="24"/>
                <w:szCs w:val="28"/>
              </w:rPr>
            </w:pPr>
          </w:p>
          <w:p w14:paraId="565114FC">
            <w:pPr>
              <w:rPr>
                <w:rFonts w:hint="eastAsia" w:ascii="黑体" w:hAnsi="黑体"/>
                <w:sz w:val="24"/>
                <w:szCs w:val="28"/>
              </w:rPr>
            </w:pPr>
          </w:p>
        </w:tc>
      </w:tr>
    </w:tbl>
    <w:p w14:paraId="63339883">
      <w:r>
        <w:rPr>
          <w:rFonts w:hint="eastAsia"/>
        </w:rPr>
        <w:t>签署日期：</w:t>
      </w:r>
      <w:r>
        <w:rPr>
          <w:rFonts w:hint="eastAsia" w:ascii="黑体" w:hAnsi="黑体"/>
          <w:sz w:val="24"/>
        </w:rPr>
        <w:t>2025年   月   日</w:t>
      </w:r>
    </w:p>
    <w:p w14:paraId="0EF410B9">
      <w:pPr>
        <w:pStyle w:val="18"/>
        <w:adjustRightInd w:val="0"/>
        <w:snapToGrid w:val="0"/>
        <w:spacing w:line="440" w:lineRule="exact"/>
        <w:ind w:right="11" w:firstLine="0"/>
        <w:rPr>
          <w:rFonts w:hint="eastAsia" w:ascii="宋体" w:hAnsi="宋体" w:eastAsia="宋体" w:cs="宋体"/>
          <w:snapToGrid w:val="0"/>
          <w:kern w:val="0"/>
        </w:rPr>
      </w:pPr>
    </w:p>
    <w:p w14:paraId="44324DC4">
      <w:pPr>
        <w:adjustRightInd w:val="0"/>
        <w:snapToGrid w:val="0"/>
        <w:spacing w:line="440" w:lineRule="exact"/>
        <w:ind w:right="11"/>
        <w:rPr>
          <w:rFonts w:hint="eastAsia" w:ascii="宋体" w:hAnsi="宋体" w:eastAsia="宋体" w:cs="宋体"/>
          <w:snapToGrid w:val="0"/>
          <w:spacing w:val="-20"/>
          <w:kern w:val="0"/>
          <w:sz w:val="24"/>
        </w:rPr>
      </w:pPr>
    </w:p>
    <w:p w14:paraId="58DE39C2">
      <w:pPr>
        <w:pStyle w:val="9"/>
        <w:spacing w:line="440" w:lineRule="exact"/>
        <w:rPr>
          <w:rFonts w:hint="eastAsia" w:ascii="宋体" w:hAnsi="宋体" w:eastAsia="宋体" w:cs="宋体"/>
        </w:rPr>
        <w:sectPr>
          <w:pgSz w:w="11907" w:h="16840"/>
          <w:pgMar w:top="1440" w:right="1797" w:bottom="1440" w:left="1797" w:header="851" w:footer="992" w:gutter="0"/>
          <w:cols w:space="720" w:num="1"/>
          <w:docGrid w:type="lines" w:linePitch="312" w:charSpace="0"/>
        </w:sectPr>
      </w:pPr>
    </w:p>
    <w:p w14:paraId="605AB459">
      <w:pPr>
        <w:pStyle w:val="9"/>
        <w:spacing w:line="440" w:lineRule="exact"/>
        <w:rPr>
          <w:rFonts w:hint="eastAsia" w:ascii="宋体" w:hAnsi="宋体" w:eastAsia="宋体" w:cs="宋体"/>
          <w:b/>
          <w:bCs/>
          <w:sz w:val="32"/>
          <w:szCs w:val="32"/>
        </w:rPr>
      </w:pPr>
      <w:r>
        <w:rPr>
          <w:rFonts w:hint="eastAsia" w:ascii="宋体" w:hAnsi="宋体" w:eastAsia="宋体" w:cs="宋体"/>
          <w:b/>
          <w:bCs/>
          <w:sz w:val="32"/>
          <w:szCs w:val="32"/>
        </w:rPr>
        <w:t>附件</w:t>
      </w:r>
    </w:p>
    <w:p w14:paraId="12C59140">
      <w:pPr>
        <w:adjustRightInd w:val="0"/>
        <w:snapToGrid w:val="0"/>
        <w:spacing w:line="440" w:lineRule="exact"/>
        <w:ind w:left="-603" w:leftChars="-287" w:firstLine="183" w:firstLineChars="57"/>
        <w:jc w:val="center"/>
        <w:outlineLvl w:val="1"/>
        <w:rPr>
          <w:rFonts w:hint="eastAsia" w:ascii="宋体" w:hAnsi="宋体" w:eastAsia="宋体" w:cs="宋体"/>
          <w:b/>
          <w:bCs/>
          <w:snapToGrid w:val="0"/>
          <w:kern w:val="0"/>
          <w:sz w:val="32"/>
          <w:szCs w:val="32"/>
        </w:rPr>
      </w:pPr>
      <w:bookmarkStart w:id="714" w:name="_Toc397364951"/>
      <w:bookmarkStart w:id="715" w:name="_Toc16627"/>
      <w:bookmarkStart w:id="716" w:name="_Toc176192854"/>
      <w:bookmarkStart w:id="717" w:name="_Toc27982"/>
      <w:bookmarkStart w:id="718" w:name="_Toc31568"/>
      <w:r>
        <w:rPr>
          <w:rFonts w:hint="eastAsia" w:ascii="宋体" w:hAnsi="宋体" w:eastAsia="宋体" w:cs="宋体"/>
          <w:b/>
          <w:bCs/>
          <w:snapToGrid w:val="0"/>
          <w:kern w:val="0"/>
          <w:sz w:val="32"/>
          <w:szCs w:val="32"/>
        </w:rPr>
        <w:t>8</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招标文件的修改、答疑或澄清（如有）</w:t>
      </w:r>
      <w:bookmarkEnd w:id="714"/>
      <w:bookmarkEnd w:id="715"/>
      <w:bookmarkEnd w:id="716"/>
      <w:bookmarkEnd w:id="717"/>
      <w:bookmarkEnd w:id="718"/>
    </w:p>
    <w:p w14:paraId="406212B3">
      <w:pPr>
        <w:pStyle w:val="62"/>
      </w:pPr>
    </w:p>
    <w:p w14:paraId="0D743DB0">
      <w:pPr>
        <w:pStyle w:val="62"/>
        <w:rPr>
          <w:b w:val="0"/>
        </w:rPr>
      </w:pPr>
    </w:p>
    <w:p w14:paraId="3F6F488D">
      <w:pPr>
        <w:pStyle w:val="62"/>
      </w:pPr>
    </w:p>
    <w:p w14:paraId="2B3F2B3B">
      <w:pPr>
        <w:pStyle w:val="62"/>
      </w:pPr>
    </w:p>
    <w:p w14:paraId="316A4064">
      <w:pPr>
        <w:pStyle w:val="62"/>
      </w:pPr>
    </w:p>
    <w:p w14:paraId="5434FA85">
      <w:pPr>
        <w:pStyle w:val="62"/>
      </w:pPr>
    </w:p>
    <w:p w14:paraId="0F7B9104">
      <w:pPr>
        <w:pStyle w:val="62"/>
      </w:pPr>
    </w:p>
    <w:p w14:paraId="127711FC">
      <w:pPr>
        <w:pStyle w:val="62"/>
      </w:pPr>
    </w:p>
    <w:p w14:paraId="7CF9A79E">
      <w:pPr>
        <w:pStyle w:val="62"/>
      </w:pPr>
    </w:p>
    <w:p w14:paraId="10A045A6">
      <w:pPr>
        <w:pStyle w:val="62"/>
      </w:pPr>
    </w:p>
    <w:p w14:paraId="6F9C9E7C">
      <w:pPr>
        <w:pStyle w:val="62"/>
      </w:pPr>
    </w:p>
    <w:p w14:paraId="6678E931">
      <w:pPr>
        <w:pStyle w:val="62"/>
      </w:pPr>
    </w:p>
    <w:p w14:paraId="4796D73D">
      <w:pPr>
        <w:pStyle w:val="62"/>
      </w:pPr>
    </w:p>
    <w:p w14:paraId="00CC2238">
      <w:pPr>
        <w:pStyle w:val="62"/>
      </w:pPr>
    </w:p>
    <w:p w14:paraId="324976C4">
      <w:pPr>
        <w:pStyle w:val="62"/>
      </w:pPr>
    </w:p>
    <w:p w14:paraId="475E0E6D">
      <w:pPr>
        <w:pStyle w:val="62"/>
      </w:pPr>
    </w:p>
    <w:p w14:paraId="7E5C4D0A">
      <w:pPr>
        <w:pStyle w:val="62"/>
      </w:pPr>
    </w:p>
    <w:p w14:paraId="36046E45">
      <w:pPr>
        <w:pStyle w:val="62"/>
      </w:pPr>
    </w:p>
    <w:p w14:paraId="63072DCC">
      <w:pPr>
        <w:pStyle w:val="62"/>
      </w:pPr>
    </w:p>
    <w:p w14:paraId="2574D80F">
      <w:pPr>
        <w:pStyle w:val="62"/>
      </w:pPr>
    </w:p>
    <w:p w14:paraId="0E916EF9">
      <w:pPr>
        <w:pStyle w:val="62"/>
      </w:pPr>
    </w:p>
    <w:p w14:paraId="7C5B10C8">
      <w:pPr>
        <w:pStyle w:val="62"/>
      </w:pPr>
    </w:p>
    <w:p w14:paraId="4C9FD00D">
      <w:pPr>
        <w:pStyle w:val="62"/>
      </w:pPr>
    </w:p>
    <w:p w14:paraId="29FD6541">
      <w:pPr>
        <w:pStyle w:val="62"/>
      </w:pPr>
    </w:p>
    <w:p w14:paraId="792242FB">
      <w:pPr>
        <w:pStyle w:val="62"/>
      </w:pPr>
    </w:p>
    <w:p w14:paraId="32708541">
      <w:pPr>
        <w:pStyle w:val="62"/>
      </w:pPr>
    </w:p>
    <w:p w14:paraId="21B4E203">
      <w:pPr>
        <w:pStyle w:val="62"/>
      </w:pPr>
    </w:p>
    <w:p w14:paraId="334F46F0">
      <w:pPr>
        <w:pStyle w:val="62"/>
      </w:pPr>
    </w:p>
    <w:p w14:paraId="0361215C">
      <w:pPr>
        <w:pStyle w:val="62"/>
      </w:pPr>
    </w:p>
    <w:p w14:paraId="4049746E">
      <w:pPr>
        <w:pStyle w:val="62"/>
      </w:pPr>
    </w:p>
    <w:p w14:paraId="5D0467AA">
      <w:pPr>
        <w:pStyle w:val="62"/>
      </w:pPr>
    </w:p>
    <w:p w14:paraId="0D09DE72">
      <w:pPr>
        <w:pStyle w:val="62"/>
      </w:pPr>
    </w:p>
    <w:p w14:paraId="4EA76E4A">
      <w:pPr>
        <w:pStyle w:val="62"/>
      </w:pPr>
    </w:p>
    <w:p w14:paraId="083EF38A">
      <w:pPr>
        <w:pStyle w:val="62"/>
      </w:pPr>
    </w:p>
    <w:p w14:paraId="7211A2C3">
      <w:pPr>
        <w:pStyle w:val="62"/>
      </w:pPr>
    </w:p>
    <w:p w14:paraId="299E046F">
      <w:pPr>
        <w:pStyle w:val="62"/>
      </w:pPr>
    </w:p>
    <w:p w14:paraId="2E1CD7E3">
      <w:pPr>
        <w:pStyle w:val="62"/>
      </w:pPr>
    </w:p>
    <w:p w14:paraId="2392F6D5">
      <w:pPr>
        <w:pStyle w:val="62"/>
      </w:pPr>
    </w:p>
    <w:p w14:paraId="58141B46">
      <w:pPr>
        <w:pStyle w:val="62"/>
      </w:pPr>
    </w:p>
    <w:p w14:paraId="16673ABA">
      <w:pPr>
        <w:pStyle w:val="9"/>
        <w:spacing w:line="440" w:lineRule="exact"/>
        <w:rPr>
          <w:rFonts w:hint="eastAsia" w:ascii="宋体" w:hAnsi="宋体" w:eastAsia="宋体" w:cs="宋体"/>
          <w:b/>
          <w:bCs/>
          <w:sz w:val="32"/>
          <w:szCs w:val="32"/>
        </w:rPr>
      </w:pPr>
      <w:r>
        <w:rPr>
          <w:rFonts w:hint="eastAsia" w:eastAsia="宋体" w:cs="宋体"/>
          <w:b/>
          <w:spacing w:val="4"/>
          <w:sz w:val="36"/>
          <w:szCs w:val="36"/>
        </w:rPr>
        <w:br w:type="page"/>
      </w:r>
      <w:r>
        <w:rPr>
          <w:rFonts w:hint="eastAsia" w:ascii="宋体" w:hAnsi="宋体" w:eastAsia="宋体" w:cs="宋体"/>
          <w:b/>
          <w:bCs/>
          <w:sz w:val="32"/>
          <w:szCs w:val="32"/>
        </w:rPr>
        <w:t>附件</w:t>
      </w:r>
    </w:p>
    <w:p w14:paraId="1144B36F">
      <w:pPr>
        <w:adjustRightInd w:val="0"/>
        <w:snapToGrid w:val="0"/>
        <w:spacing w:line="440" w:lineRule="exact"/>
        <w:ind w:left="-603" w:leftChars="-287" w:firstLine="183" w:firstLineChars="57"/>
        <w:jc w:val="center"/>
        <w:outlineLvl w:val="1"/>
        <w:rPr>
          <w:rFonts w:hint="eastAsia" w:ascii="宋体" w:hAnsi="宋体" w:eastAsia="宋体" w:cs="宋体"/>
          <w:b/>
          <w:bCs/>
          <w:snapToGrid w:val="0"/>
          <w:kern w:val="0"/>
          <w:sz w:val="32"/>
          <w:szCs w:val="32"/>
        </w:rPr>
      </w:pPr>
      <w:bookmarkStart w:id="719" w:name="_Toc20902"/>
      <w:bookmarkStart w:id="720" w:name="_Toc176192855"/>
      <w:bookmarkStart w:id="721" w:name="_Toc23059"/>
      <w:r>
        <w:rPr>
          <w:rFonts w:hint="eastAsia" w:ascii="宋体" w:hAnsi="宋体" w:eastAsia="宋体" w:cs="宋体"/>
          <w:b/>
          <w:bCs/>
          <w:snapToGrid w:val="0"/>
          <w:kern w:val="0"/>
          <w:sz w:val="32"/>
          <w:szCs w:val="32"/>
        </w:rPr>
        <w:t>9</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营业执照及资质证书</w:t>
      </w:r>
      <w:bookmarkEnd w:id="719"/>
      <w:bookmarkEnd w:id="720"/>
      <w:bookmarkEnd w:id="721"/>
    </w:p>
    <w:p w14:paraId="13A47634">
      <w:pPr>
        <w:pStyle w:val="62"/>
      </w:pPr>
    </w:p>
    <w:p w14:paraId="27576A4E">
      <w:pPr>
        <w:pStyle w:val="62"/>
      </w:pPr>
    </w:p>
    <w:p w14:paraId="5F95FBC4">
      <w:pPr>
        <w:pStyle w:val="62"/>
      </w:pPr>
    </w:p>
    <w:p w14:paraId="17E86858">
      <w:pPr>
        <w:pStyle w:val="62"/>
      </w:pPr>
    </w:p>
    <w:p w14:paraId="49F7BF26">
      <w:pPr>
        <w:pStyle w:val="62"/>
      </w:pPr>
    </w:p>
    <w:p w14:paraId="406D0413">
      <w:pPr>
        <w:pStyle w:val="62"/>
      </w:pPr>
    </w:p>
    <w:p w14:paraId="31421CA1">
      <w:pPr>
        <w:pStyle w:val="62"/>
      </w:pPr>
    </w:p>
    <w:p w14:paraId="50510A27">
      <w:pPr>
        <w:pStyle w:val="62"/>
      </w:pPr>
    </w:p>
    <w:p w14:paraId="4FFF66D0">
      <w:pPr>
        <w:pStyle w:val="62"/>
      </w:pPr>
    </w:p>
    <w:p w14:paraId="141821F1">
      <w:pPr>
        <w:pStyle w:val="62"/>
      </w:pPr>
    </w:p>
    <w:p w14:paraId="7CDACEFF">
      <w:pPr>
        <w:pStyle w:val="62"/>
      </w:pPr>
    </w:p>
    <w:p w14:paraId="71441288">
      <w:pPr>
        <w:pStyle w:val="62"/>
      </w:pPr>
    </w:p>
    <w:p w14:paraId="5B87DC06">
      <w:pPr>
        <w:pStyle w:val="62"/>
      </w:pPr>
    </w:p>
    <w:p w14:paraId="0610AC53">
      <w:pPr>
        <w:pStyle w:val="62"/>
      </w:pPr>
    </w:p>
    <w:p w14:paraId="48AF8CF9">
      <w:pPr>
        <w:pStyle w:val="62"/>
      </w:pPr>
    </w:p>
    <w:p w14:paraId="11BFF55E">
      <w:pPr>
        <w:pStyle w:val="62"/>
      </w:pPr>
    </w:p>
    <w:p w14:paraId="0C34C083">
      <w:pPr>
        <w:pStyle w:val="62"/>
      </w:pPr>
    </w:p>
    <w:p w14:paraId="5ECA1F41">
      <w:pPr>
        <w:pStyle w:val="62"/>
      </w:pPr>
    </w:p>
    <w:p w14:paraId="0B1DED43">
      <w:pPr>
        <w:pStyle w:val="62"/>
      </w:pPr>
    </w:p>
    <w:p w14:paraId="1623E55B">
      <w:pPr>
        <w:pStyle w:val="62"/>
      </w:pPr>
    </w:p>
    <w:p w14:paraId="7A228881">
      <w:pPr>
        <w:pStyle w:val="62"/>
      </w:pPr>
    </w:p>
    <w:p w14:paraId="19DBC2C3">
      <w:pPr>
        <w:pStyle w:val="62"/>
      </w:pPr>
    </w:p>
    <w:p w14:paraId="1ECB7D19">
      <w:pPr>
        <w:pStyle w:val="62"/>
      </w:pPr>
    </w:p>
    <w:p w14:paraId="7F8ADBC7">
      <w:pPr>
        <w:pStyle w:val="62"/>
      </w:pPr>
    </w:p>
    <w:p w14:paraId="0D1E6E3D">
      <w:pPr>
        <w:pStyle w:val="62"/>
      </w:pPr>
    </w:p>
    <w:p w14:paraId="6377C0E5">
      <w:pPr>
        <w:pStyle w:val="62"/>
      </w:pPr>
    </w:p>
    <w:p w14:paraId="04300DE0">
      <w:pPr>
        <w:pStyle w:val="62"/>
      </w:pPr>
    </w:p>
    <w:p w14:paraId="42910771">
      <w:pPr>
        <w:pStyle w:val="62"/>
      </w:pPr>
    </w:p>
    <w:p w14:paraId="50D75550">
      <w:pPr>
        <w:pStyle w:val="62"/>
      </w:pPr>
    </w:p>
    <w:p w14:paraId="08FA759A">
      <w:pPr>
        <w:pStyle w:val="62"/>
      </w:pPr>
    </w:p>
    <w:p w14:paraId="096A895B">
      <w:pPr>
        <w:pStyle w:val="62"/>
      </w:pPr>
    </w:p>
    <w:p w14:paraId="1DF97730">
      <w:pPr>
        <w:pStyle w:val="62"/>
      </w:pPr>
    </w:p>
    <w:p w14:paraId="65541629">
      <w:pPr>
        <w:pStyle w:val="62"/>
      </w:pPr>
    </w:p>
    <w:p w14:paraId="6FF0C10A">
      <w:pPr>
        <w:pStyle w:val="62"/>
      </w:pPr>
    </w:p>
    <w:p w14:paraId="022A9AD1">
      <w:pPr>
        <w:pStyle w:val="62"/>
      </w:pPr>
    </w:p>
    <w:p w14:paraId="3781F2E8">
      <w:pPr>
        <w:pStyle w:val="62"/>
      </w:pPr>
    </w:p>
    <w:p w14:paraId="0F5083DB">
      <w:pPr>
        <w:pStyle w:val="62"/>
      </w:pPr>
    </w:p>
    <w:p w14:paraId="1EDF1D4F">
      <w:pPr>
        <w:pStyle w:val="62"/>
      </w:pPr>
    </w:p>
    <w:p w14:paraId="707434BD">
      <w:pPr>
        <w:pStyle w:val="62"/>
      </w:pPr>
    </w:p>
    <w:p w14:paraId="1E1A9F46">
      <w:pPr>
        <w:pStyle w:val="9"/>
        <w:spacing w:line="440" w:lineRule="exact"/>
        <w:rPr>
          <w:rFonts w:hint="eastAsia" w:ascii="宋体" w:hAnsi="宋体" w:eastAsia="宋体" w:cs="宋体"/>
          <w:b/>
          <w:bCs/>
          <w:sz w:val="32"/>
          <w:szCs w:val="32"/>
        </w:rPr>
      </w:pPr>
      <w:r>
        <w:rPr>
          <w:rFonts w:hint="eastAsia" w:ascii="宋体" w:hAnsi="宋体" w:eastAsia="宋体" w:cs="宋体"/>
          <w:b/>
          <w:bCs/>
        </w:rPr>
        <w:br w:type="page"/>
      </w:r>
      <w:r>
        <w:rPr>
          <w:rFonts w:hint="eastAsia" w:ascii="宋体" w:hAnsi="宋体" w:eastAsia="宋体" w:cs="宋体"/>
          <w:b/>
          <w:bCs/>
          <w:sz w:val="32"/>
          <w:szCs w:val="32"/>
        </w:rPr>
        <w:t>附件</w:t>
      </w:r>
    </w:p>
    <w:p w14:paraId="7E5D0031">
      <w:pPr>
        <w:adjustRightInd w:val="0"/>
        <w:snapToGrid w:val="0"/>
        <w:spacing w:line="440" w:lineRule="exact"/>
        <w:ind w:firstLine="480"/>
        <w:jc w:val="center"/>
        <w:outlineLvl w:val="1"/>
        <w:rPr>
          <w:rFonts w:hint="eastAsia" w:ascii="宋体" w:hAnsi="宋体" w:eastAsia="宋体" w:cs="宋体"/>
          <w:b/>
          <w:bCs/>
          <w:snapToGrid w:val="0"/>
          <w:kern w:val="0"/>
          <w:sz w:val="24"/>
        </w:rPr>
      </w:pPr>
      <w:bookmarkStart w:id="722" w:name="_Toc176192856"/>
      <w:r>
        <w:rPr>
          <w:rFonts w:hint="eastAsia" w:ascii="宋体" w:hAnsi="宋体" w:eastAsia="宋体" w:cs="宋体"/>
          <w:b/>
          <w:bCs/>
          <w:snapToGrid w:val="0"/>
          <w:kern w:val="0"/>
          <w:sz w:val="32"/>
          <w:szCs w:val="32"/>
        </w:rPr>
        <w:t>10</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投标报价清单</w:t>
      </w:r>
      <w:bookmarkEnd w:id="722"/>
    </w:p>
    <w:p w14:paraId="50DD47BE">
      <w:pPr>
        <w:adjustRightInd w:val="0"/>
        <w:snapToGrid w:val="0"/>
        <w:spacing w:line="360" w:lineRule="auto"/>
        <w:ind w:firstLine="480"/>
        <w:jc w:val="center"/>
        <w:outlineLvl w:val="1"/>
        <w:rPr>
          <w:rFonts w:hint="eastAsia" w:ascii="宋体" w:hAnsi="宋体" w:eastAsia="宋体" w:cs="宋体"/>
          <w:snapToGrid w:val="0"/>
          <w:kern w:val="0"/>
          <w:sz w:val="24"/>
        </w:rPr>
      </w:pPr>
    </w:p>
    <w:p w14:paraId="54162C3F">
      <w:pPr>
        <w:pStyle w:val="62"/>
      </w:pPr>
    </w:p>
    <w:p w14:paraId="71AC6020">
      <w:pPr>
        <w:pStyle w:val="62"/>
      </w:pPr>
    </w:p>
    <w:p w14:paraId="7CF09366">
      <w:pPr>
        <w:pStyle w:val="62"/>
      </w:pPr>
    </w:p>
    <w:p w14:paraId="34539FEC">
      <w:pPr>
        <w:pStyle w:val="62"/>
      </w:pPr>
    </w:p>
    <w:p w14:paraId="072B01EC">
      <w:pPr>
        <w:pStyle w:val="62"/>
      </w:pPr>
    </w:p>
    <w:p w14:paraId="17F55E67">
      <w:pPr>
        <w:pStyle w:val="62"/>
      </w:pPr>
    </w:p>
    <w:p w14:paraId="3B335A94">
      <w:pPr>
        <w:pStyle w:val="62"/>
      </w:pPr>
    </w:p>
    <w:p w14:paraId="3C26AC58">
      <w:pPr>
        <w:pStyle w:val="62"/>
      </w:pPr>
    </w:p>
    <w:p w14:paraId="32AE77DF">
      <w:pPr>
        <w:pStyle w:val="62"/>
      </w:pPr>
    </w:p>
    <w:p w14:paraId="6A397FEC">
      <w:pPr>
        <w:pStyle w:val="62"/>
      </w:pPr>
    </w:p>
    <w:p w14:paraId="3AED7FBD">
      <w:pPr>
        <w:pStyle w:val="62"/>
      </w:pPr>
    </w:p>
    <w:p w14:paraId="444A4AEE">
      <w:pPr>
        <w:pStyle w:val="62"/>
      </w:pPr>
    </w:p>
    <w:p w14:paraId="71295B0F">
      <w:pPr>
        <w:pStyle w:val="62"/>
      </w:pPr>
    </w:p>
    <w:p w14:paraId="5A973D0B">
      <w:pPr>
        <w:pStyle w:val="62"/>
      </w:pPr>
    </w:p>
    <w:p w14:paraId="770DACBA">
      <w:pPr>
        <w:pStyle w:val="62"/>
      </w:pPr>
    </w:p>
    <w:p w14:paraId="62A864B0">
      <w:pPr>
        <w:pStyle w:val="62"/>
      </w:pPr>
    </w:p>
    <w:p w14:paraId="712B9D5C">
      <w:pPr>
        <w:pStyle w:val="62"/>
      </w:pPr>
    </w:p>
    <w:p w14:paraId="3140C211">
      <w:pPr>
        <w:pStyle w:val="62"/>
      </w:pPr>
    </w:p>
    <w:p w14:paraId="1C61D288">
      <w:pPr>
        <w:pStyle w:val="62"/>
      </w:pPr>
    </w:p>
    <w:p w14:paraId="6FD66267">
      <w:pPr>
        <w:pStyle w:val="62"/>
      </w:pPr>
    </w:p>
    <w:p w14:paraId="0E89EFB3">
      <w:pPr>
        <w:pStyle w:val="62"/>
      </w:pPr>
    </w:p>
    <w:p w14:paraId="5CBD5741">
      <w:pPr>
        <w:pStyle w:val="62"/>
      </w:pPr>
    </w:p>
    <w:p w14:paraId="66C93F6A">
      <w:pPr>
        <w:pStyle w:val="62"/>
      </w:pPr>
    </w:p>
    <w:p w14:paraId="5192A770">
      <w:pPr>
        <w:pStyle w:val="62"/>
      </w:pPr>
    </w:p>
    <w:p w14:paraId="022E5D0A">
      <w:pPr>
        <w:pStyle w:val="62"/>
      </w:pPr>
    </w:p>
    <w:p w14:paraId="47B40AF2">
      <w:pPr>
        <w:pStyle w:val="62"/>
      </w:pPr>
    </w:p>
    <w:p w14:paraId="6114B63D">
      <w:pPr>
        <w:pStyle w:val="62"/>
      </w:pPr>
    </w:p>
    <w:p w14:paraId="72A02836">
      <w:pPr>
        <w:pStyle w:val="62"/>
      </w:pPr>
    </w:p>
    <w:p w14:paraId="05338898">
      <w:pPr>
        <w:pStyle w:val="62"/>
      </w:pPr>
    </w:p>
    <w:p w14:paraId="250BF521">
      <w:pPr>
        <w:pStyle w:val="62"/>
      </w:pPr>
    </w:p>
    <w:p w14:paraId="56C7B885">
      <w:pPr>
        <w:pStyle w:val="62"/>
      </w:pPr>
    </w:p>
    <w:p w14:paraId="46FEB5BC">
      <w:pPr>
        <w:pStyle w:val="62"/>
      </w:pPr>
    </w:p>
    <w:p w14:paraId="348ECAF5">
      <w:pPr>
        <w:pStyle w:val="62"/>
      </w:pPr>
    </w:p>
    <w:p w14:paraId="650CF4CA">
      <w:pPr>
        <w:pStyle w:val="62"/>
      </w:pPr>
    </w:p>
    <w:p w14:paraId="3D17D6C7">
      <w:pPr>
        <w:pStyle w:val="62"/>
      </w:pPr>
    </w:p>
    <w:p w14:paraId="569771A0">
      <w:pPr>
        <w:pStyle w:val="62"/>
      </w:pPr>
    </w:p>
    <w:p w14:paraId="0AEEDF18">
      <w:pPr>
        <w:pStyle w:val="62"/>
      </w:pPr>
    </w:p>
    <w:p w14:paraId="08F158A4">
      <w:pPr>
        <w:autoSpaceDE w:val="0"/>
        <w:autoSpaceDN w:val="0"/>
        <w:adjustRightInd w:val="0"/>
        <w:snapToGrid w:val="0"/>
        <w:spacing w:line="440" w:lineRule="exact"/>
        <w:ind w:firstLine="480"/>
        <w:jc w:val="left"/>
        <w:rPr>
          <w:rFonts w:hint="eastAsia" w:ascii="宋体" w:hAnsi="宋体" w:eastAsia="宋体" w:cs="宋体"/>
          <w:snapToGrid w:val="0"/>
          <w:kern w:val="0"/>
          <w:sz w:val="24"/>
          <w:szCs w:val="21"/>
        </w:rPr>
      </w:pPr>
    </w:p>
    <w:p w14:paraId="2DE2328B">
      <w:pPr>
        <w:pStyle w:val="9"/>
        <w:spacing w:line="440" w:lineRule="exact"/>
        <w:rPr>
          <w:rFonts w:hint="eastAsia" w:ascii="宋体" w:hAnsi="宋体" w:eastAsia="宋体" w:cs="宋体"/>
          <w:b/>
          <w:bCs/>
          <w:sz w:val="32"/>
          <w:szCs w:val="32"/>
        </w:rPr>
      </w:pPr>
      <w:r>
        <w:rPr>
          <w:rFonts w:hint="eastAsia" w:ascii="宋体" w:hAnsi="宋体" w:eastAsia="宋体" w:cs="宋体"/>
          <w:b/>
          <w:bCs/>
        </w:rPr>
        <w:br w:type="page"/>
      </w:r>
      <w:r>
        <w:rPr>
          <w:rFonts w:hint="eastAsia" w:ascii="宋体" w:hAnsi="宋体" w:eastAsia="宋体" w:cs="宋体"/>
          <w:b/>
          <w:bCs/>
          <w:sz w:val="32"/>
          <w:szCs w:val="32"/>
        </w:rPr>
        <w:t>附件</w:t>
      </w:r>
    </w:p>
    <w:p w14:paraId="59B9C35B">
      <w:pPr>
        <w:adjustRightInd w:val="0"/>
        <w:snapToGrid w:val="0"/>
        <w:spacing w:line="440" w:lineRule="exact"/>
        <w:ind w:firstLine="480"/>
        <w:jc w:val="center"/>
        <w:outlineLvl w:val="1"/>
        <w:rPr>
          <w:rFonts w:hint="eastAsia" w:ascii="宋体" w:hAnsi="宋体" w:eastAsia="宋体" w:cs="宋体"/>
          <w:b/>
          <w:bCs/>
          <w:snapToGrid w:val="0"/>
          <w:kern w:val="0"/>
          <w:sz w:val="24"/>
        </w:rPr>
      </w:pPr>
      <w:bookmarkStart w:id="723" w:name="_Toc176192857"/>
      <w:r>
        <w:rPr>
          <w:rFonts w:hint="eastAsia" w:ascii="宋体" w:hAnsi="宋体" w:eastAsia="宋体" w:cs="宋体"/>
          <w:b/>
          <w:bCs/>
          <w:snapToGrid w:val="0"/>
          <w:kern w:val="0"/>
          <w:sz w:val="32"/>
          <w:szCs w:val="32"/>
        </w:rPr>
        <w:t>11</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危险性较大的分部分项工程清单及超过一定规模的危险性较大的分部分项工程清单</w:t>
      </w:r>
      <w:bookmarkEnd w:id="723"/>
    </w:p>
    <w:p w14:paraId="46885120">
      <w:pPr>
        <w:adjustRightInd w:val="0"/>
        <w:snapToGrid w:val="0"/>
        <w:spacing w:line="360" w:lineRule="auto"/>
        <w:ind w:firstLine="480"/>
        <w:jc w:val="center"/>
        <w:outlineLvl w:val="1"/>
        <w:rPr>
          <w:rFonts w:hint="eastAsia" w:ascii="宋体" w:hAnsi="宋体" w:eastAsia="宋体" w:cs="宋体"/>
          <w:snapToGrid w:val="0"/>
          <w:kern w:val="0"/>
          <w:sz w:val="24"/>
        </w:rPr>
      </w:pPr>
    </w:p>
    <w:p w14:paraId="769D1502">
      <w:pPr>
        <w:pStyle w:val="62"/>
      </w:pPr>
    </w:p>
    <w:p w14:paraId="033BEC82">
      <w:pPr>
        <w:pStyle w:val="62"/>
      </w:pPr>
    </w:p>
    <w:p w14:paraId="2CECF797">
      <w:pPr>
        <w:pStyle w:val="62"/>
      </w:pPr>
    </w:p>
    <w:p w14:paraId="19E336D3">
      <w:pPr>
        <w:pStyle w:val="62"/>
      </w:pPr>
    </w:p>
    <w:p w14:paraId="3CBAF466">
      <w:pPr>
        <w:pStyle w:val="62"/>
      </w:pPr>
    </w:p>
    <w:p w14:paraId="6B3ECC49">
      <w:pPr>
        <w:pStyle w:val="62"/>
      </w:pPr>
    </w:p>
    <w:p w14:paraId="6330078D">
      <w:pPr>
        <w:pStyle w:val="62"/>
      </w:pPr>
    </w:p>
    <w:p w14:paraId="449E8FF4">
      <w:pPr>
        <w:pStyle w:val="62"/>
      </w:pPr>
    </w:p>
    <w:p w14:paraId="1205546B">
      <w:pPr>
        <w:pStyle w:val="62"/>
      </w:pPr>
    </w:p>
    <w:p w14:paraId="71843900">
      <w:pPr>
        <w:pStyle w:val="62"/>
      </w:pPr>
    </w:p>
    <w:p w14:paraId="788BB4AD">
      <w:pPr>
        <w:pStyle w:val="62"/>
      </w:pPr>
    </w:p>
    <w:p w14:paraId="229F3E78">
      <w:pPr>
        <w:pStyle w:val="62"/>
      </w:pPr>
    </w:p>
    <w:p w14:paraId="522C518B">
      <w:pPr>
        <w:pStyle w:val="62"/>
      </w:pPr>
    </w:p>
    <w:p w14:paraId="09411412">
      <w:pPr>
        <w:pStyle w:val="62"/>
      </w:pPr>
    </w:p>
    <w:p w14:paraId="20ABB076">
      <w:pPr>
        <w:pStyle w:val="62"/>
      </w:pPr>
    </w:p>
    <w:p w14:paraId="759D6200">
      <w:pPr>
        <w:pStyle w:val="62"/>
      </w:pPr>
    </w:p>
    <w:p w14:paraId="31C5909D">
      <w:pPr>
        <w:pStyle w:val="62"/>
      </w:pPr>
    </w:p>
    <w:p w14:paraId="03499F32">
      <w:pPr>
        <w:pStyle w:val="62"/>
      </w:pPr>
    </w:p>
    <w:p w14:paraId="3A6CF192">
      <w:pPr>
        <w:pStyle w:val="62"/>
      </w:pPr>
    </w:p>
    <w:p w14:paraId="007C2E8F">
      <w:pPr>
        <w:pStyle w:val="62"/>
      </w:pPr>
    </w:p>
    <w:p w14:paraId="3712D720">
      <w:pPr>
        <w:pStyle w:val="62"/>
      </w:pPr>
    </w:p>
    <w:p w14:paraId="68D3C2C9">
      <w:pPr>
        <w:pStyle w:val="62"/>
      </w:pPr>
    </w:p>
    <w:p w14:paraId="1EE48E5C">
      <w:pPr>
        <w:pStyle w:val="62"/>
      </w:pPr>
    </w:p>
    <w:p w14:paraId="41362422">
      <w:pPr>
        <w:pStyle w:val="62"/>
      </w:pPr>
    </w:p>
    <w:p w14:paraId="5514F57B">
      <w:pPr>
        <w:pStyle w:val="62"/>
      </w:pPr>
    </w:p>
    <w:p w14:paraId="201A5451">
      <w:pPr>
        <w:pStyle w:val="62"/>
      </w:pPr>
    </w:p>
    <w:p w14:paraId="2D2158BB">
      <w:pPr>
        <w:pStyle w:val="62"/>
      </w:pPr>
    </w:p>
    <w:p w14:paraId="7355C556">
      <w:pPr>
        <w:pStyle w:val="62"/>
      </w:pPr>
    </w:p>
    <w:p w14:paraId="3C80786B">
      <w:pPr>
        <w:pStyle w:val="62"/>
      </w:pPr>
    </w:p>
    <w:p w14:paraId="2798643C">
      <w:pPr>
        <w:pStyle w:val="62"/>
      </w:pPr>
    </w:p>
    <w:p w14:paraId="1C4A1097">
      <w:pPr>
        <w:pStyle w:val="62"/>
      </w:pPr>
    </w:p>
    <w:p w14:paraId="606B2C92">
      <w:pPr>
        <w:pStyle w:val="62"/>
      </w:pPr>
    </w:p>
    <w:p w14:paraId="0A99D454">
      <w:pPr>
        <w:pStyle w:val="62"/>
      </w:pPr>
    </w:p>
    <w:p w14:paraId="4A735496">
      <w:pPr>
        <w:pStyle w:val="62"/>
      </w:pPr>
    </w:p>
    <w:p w14:paraId="4580CF91">
      <w:pPr>
        <w:pStyle w:val="62"/>
      </w:pPr>
    </w:p>
    <w:p w14:paraId="79A7B5AE">
      <w:pPr>
        <w:autoSpaceDE w:val="0"/>
        <w:autoSpaceDN w:val="0"/>
        <w:adjustRightInd w:val="0"/>
        <w:snapToGrid w:val="0"/>
        <w:spacing w:line="440" w:lineRule="exact"/>
        <w:ind w:firstLine="480"/>
        <w:jc w:val="left"/>
        <w:rPr>
          <w:rFonts w:hint="eastAsia" w:ascii="宋体" w:hAnsi="宋体" w:eastAsia="宋体" w:cs="宋体"/>
          <w:snapToGrid w:val="0"/>
          <w:kern w:val="0"/>
          <w:sz w:val="24"/>
          <w:szCs w:val="21"/>
        </w:rPr>
      </w:pPr>
    </w:p>
    <w:p w14:paraId="31F1C368">
      <w:pPr>
        <w:pStyle w:val="9"/>
        <w:spacing w:line="440" w:lineRule="exact"/>
        <w:rPr>
          <w:rFonts w:hint="eastAsia" w:ascii="宋体" w:hAnsi="宋体" w:eastAsia="宋体" w:cs="宋体"/>
          <w:b/>
          <w:bCs/>
          <w:sz w:val="32"/>
          <w:szCs w:val="32"/>
        </w:rPr>
      </w:pPr>
      <w:r>
        <w:rPr>
          <w:rFonts w:hint="eastAsia" w:ascii="宋体" w:hAnsi="宋体" w:eastAsia="宋体" w:cs="宋体"/>
          <w:b/>
          <w:bCs/>
        </w:rPr>
        <w:br w:type="page"/>
      </w:r>
      <w:r>
        <w:rPr>
          <w:rFonts w:hint="eastAsia" w:ascii="宋体" w:hAnsi="宋体" w:eastAsia="宋体" w:cs="宋体"/>
          <w:b/>
          <w:bCs/>
          <w:sz w:val="32"/>
          <w:szCs w:val="32"/>
        </w:rPr>
        <w:t>附件</w:t>
      </w:r>
    </w:p>
    <w:p w14:paraId="22E2358A">
      <w:pPr>
        <w:adjustRightInd w:val="0"/>
        <w:snapToGrid w:val="0"/>
        <w:spacing w:line="440" w:lineRule="exact"/>
        <w:ind w:firstLine="480"/>
        <w:jc w:val="center"/>
        <w:outlineLvl w:val="1"/>
        <w:rPr>
          <w:rFonts w:hint="eastAsia" w:ascii="宋体" w:hAnsi="宋体" w:eastAsia="宋体" w:cs="宋体"/>
          <w:b/>
          <w:bCs/>
          <w:snapToGrid w:val="0"/>
          <w:kern w:val="0"/>
          <w:sz w:val="24"/>
        </w:rPr>
      </w:pPr>
      <w:bookmarkStart w:id="724" w:name="_Toc176192858"/>
      <w:r>
        <w:rPr>
          <w:rFonts w:hint="eastAsia" w:ascii="宋体" w:hAnsi="宋体" w:eastAsia="宋体" w:cs="宋体"/>
          <w:b/>
          <w:bCs/>
          <w:snapToGrid w:val="0"/>
          <w:kern w:val="0"/>
          <w:sz w:val="32"/>
          <w:szCs w:val="32"/>
        </w:rPr>
        <w:t>12</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技术条件（工程建设标准）</w:t>
      </w:r>
      <w:bookmarkEnd w:id="724"/>
    </w:p>
    <w:p w14:paraId="5B2CB0EB">
      <w:pPr>
        <w:adjustRightInd w:val="0"/>
        <w:snapToGrid w:val="0"/>
        <w:spacing w:line="360" w:lineRule="auto"/>
        <w:ind w:firstLine="480"/>
        <w:jc w:val="center"/>
        <w:outlineLvl w:val="1"/>
        <w:rPr>
          <w:rFonts w:hint="eastAsia" w:ascii="宋体" w:hAnsi="宋体" w:eastAsia="宋体" w:cs="宋体"/>
          <w:snapToGrid w:val="0"/>
          <w:kern w:val="0"/>
          <w:sz w:val="24"/>
        </w:rPr>
      </w:pPr>
    </w:p>
    <w:p w14:paraId="5C8C13A4">
      <w:pPr>
        <w:pStyle w:val="62"/>
      </w:pPr>
    </w:p>
    <w:p w14:paraId="04DA667B">
      <w:pPr>
        <w:pStyle w:val="62"/>
      </w:pPr>
    </w:p>
    <w:p w14:paraId="499A1F60">
      <w:pPr>
        <w:pStyle w:val="62"/>
      </w:pPr>
    </w:p>
    <w:p w14:paraId="38B28389">
      <w:pPr>
        <w:pStyle w:val="62"/>
      </w:pPr>
    </w:p>
    <w:p w14:paraId="336CFA8F">
      <w:pPr>
        <w:pStyle w:val="62"/>
      </w:pPr>
    </w:p>
    <w:p w14:paraId="76D506FA">
      <w:pPr>
        <w:pStyle w:val="62"/>
      </w:pPr>
    </w:p>
    <w:p w14:paraId="6579AC83">
      <w:pPr>
        <w:pStyle w:val="62"/>
      </w:pPr>
    </w:p>
    <w:p w14:paraId="07DC1BFF">
      <w:pPr>
        <w:pStyle w:val="62"/>
      </w:pPr>
    </w:p>
    <w:p w14:paraId="222AC986">
      <w:pPr>
        <w:pStyle w:val="62"/>
      </w:pPr>
    </w:p>
    <w:p w14:paraId="5E81E2E2">
      <w:pPr>
        <w:pStyle w:val="62"/>
      </w:pPr>
    </w:p>
    <w:p w14:paraId="37E9E3B3">
      <w:pPr>
        <w:pStyle w:val="62"/>
      </w:pPr>
    </w:p>
    <w:p w14:paraId="22D11D93">
      <w:pPr>
        <w:pStyle w:val="62"/>
      </w:pPr>
    </w:p>
    <w:p w14:paraId="4B68582F">
      <w:pPr>
        <w:pStyle w:val="62"/>
      </w:pPr>
    </w:p>
    <w:p w14:paraId="7D0BDD5C">
      <w:pPr>
        <w:pStyle w:val="62"/>
      </w:pPr>
    </w:p>
    <w:p w14:paraId="4B380DE7">
      <w:pPr>
        <w:pStyle w:val="62"/>
      </w:pPr>
    </w:p>
    <w:p w14:paraId="407A3DF2">
      <w:pPr>
        <w:pStyle w:val="62"/>
      </w:pPr>
    </w:p>
    <w:p w14:paraId="2CA73D63">
      <w:pPr>
        <w:pStyle w:val="62"/>
      </w:pPr>
    </w:p>
    <w:p w14:paraId="26EADBF4">
      <w:pPr>
        <w:pStyle w:val="62"/>
      </w:pPr>
    </w:p>
    <w:p w14:paraId="1B04E314">
      <w:pPr>
        <w:pStyle w:val="62"/>
      </w:pPr>
    </w:p>
    <w:p w14:paraId="25883C07">
      <w:pPr>
        <w:pStyle w:val="62"/>
      </w:pPr>
    </w:p>
    <w:p w14:paraId="76739023">
      <w:pPr>
        <w:pStyle w:val="62"/>
      </w:pPr>
    </w:p>
    <w:p w14:paraId="4A6D8660">
      <w:pPr>
        <w:pStyle w:val="62"/>
      </w:pPr>
    </w:p>
    <w:p w14:paraId="66C8EDDC">
      <w:pPr>
        <w:pStyle w:val="62"/>
      </w:pPr>
    </w:p>
    <w:p w14:paraId="4559FAB8">
      <w:pPr>
        <w:pStyle w:val="62"/>
      </w:pPr>
    </w:p>
    <w:p w14:paraId="27F450F8">
      <w:pPr>
        <w:pStyle w:val="62"/>
      </w:pPr>
    </w:p>
    <w:p w14:paraId="62D2F1B0">
      <w:pPr>
        <w:pStyle w:val="62"/>
      </w:pPr>
    </w:p>
    <w:p w14:paraId="518EE499">
      <w:pPr>
        <w:pStyle w:val="62"/>
      </w:pPr>
    </w:p>
    <w:p w14:paraId="71E49E7E">
      <w:pPr>
        <w:pStyle w:val="62"/>
      </w:pPr>
    </w:p>
    <w:p w14:paraId="6AA12A9A">
      <w:pPr>
        <w:pStyle w:val="62"/>
      </w:pPr>
    </w:p>
    <w:p w14:paraId="43EC4643">
      <w:pPr>
        <w:pStyle w:val="62"/>
      </w:pPr>
    </w:p>
    <w:p w14:paraId="5A505CE4">
      <w:pPr>
        <w:pStyle w:val="62"/>
      </w:pPr>
    </w:p>
    <w:p w14:paraId="58088DE3">
      <w:pPr>
        <w:pStyle w:val="62"/>
      </w:pPr>
    </w:p>
    <w:p w14:paraId="5B382F5B">
      <w:pPr>
        <w:pStyle w:val="62"/>
      </w:pPr>
    </w:p>
    <w:p w14:paraId="157D937F">
      <w:pPr>
        <w:pStyle w:val="62"/>
      </w:pPr>
    </w:p>
    <w:p w14:paraId="0D903606">
      <w:pPr>
        <w:pStyle w:val="62"/>
      </w:pPr>
    </w:p>
    <w:p w14:paraId="70753135">
      <w:pPr>
        <w:autoSpaceDE w:val="0"/>
        <w:autoSpaceDN w:val="0"/>
        <w:adjustRightInd w:val="0"/>
        <w:snapToGrid w:val="0"/>
        <w:spacing w:line="440" w:lineRule="exact"/>
        <w:ind w:firstLine="480"/>
        <w:jc w:val="left"/>
        <w:rPr>
          <w:rFonts w:hint="eastAsia" w:ascii="宋体" w:hAnsi="宋体" w:eastAsia="宋体" w:cs="宋体"/>
          <w:snapToGrid w:val="0"/>
          <w:kern w:val="0"/>
          <w:sz w:val="24"/>
          <w:szCs w:val="21"/>
        </w:rPr>
      </w:pPr>
    </w:p>
    <w:p w14:paraId="5AEDC4D3">
      <w:pPr>
        <w:pStyle w:val="9"/>
        <w:spacing w:line="440" w:lineRule="exact"/>
        <w:rPr>
          <w:rFonts w:hint="eastAsia" w:ascii="宋体" w:hAnsi="宋体" w:eastAsia="宋体" w:cs="宋体"/>
          <w:b/>
          <w:bCs/>
          <w:sz w:val="32"/>
          <w:szCs w:val="32"/>
        </w:rPr>
      </w:pPr>
      <w:r>
        <w:rPr>
          <w:rFonts w:hint="eastAsia" w:ascii="宋体" w:hAnsi="宋体" w:eastAsia="宋体" w:cs="宋体"/>
          <w:b/>
          <w:bCs/>
        </w:rPr>
        <w:br w:type="page"/>
      </w:r>
      <w:r>
        <w:rPr>
          <w:rFonts w:hint="eastAsia" w:ascii="宋体" w:hAnsi="宋体" w:eastAsia="宋体" w:cs="宋体"/>
          <w:b/>
          <w:bCs/>
          <w:sz w:val="32"/>
          <w:szCs w:val="32"/>
        </w:rPr>
        <w:t>附件</w:t>
      </w:r>
    </w:p>
    <w:p w14:paraId="6EA4B52E">
      <w:pPr>
        <w:adjustRightInd w:val="0"/>
        <w:snapToGrid w:val="0"/>
        <w:spacing w:line="440" w:lineRule="exact"/>
        <w:ind w:firstLine="480"/>
        <w:jc w:val="center"/>
        <w:outlineLvl w:val="1"/>
        <w:rPr>
          <w:rFonts w:hint="eastAsia" w:ascii="宋体" w:hAnsi="宋体" w:eastAsia="宋体" w:cs="宋体"/>
          <w:b/>
          <w:bCs/>
          <w:snapToGrid w:val="0"/>
          <w:kern w:val="0"/>
          <w:sz w:val="24"/>
        </w:rPr>
      </w:pPr>
      <w:bookmarkStart w:id="725" w:name="_Toc176192859"/>
      <w:r>
        <w:rPr>
          <w:rFonts w:hint="eastAsia" w:ascii="宋体" w:hAnsi="宋体" w:eastAsia="宋体" w:cs="宋体"/>
          <w:b/>
          <w:bCs/>
          <w:snapToGrid w:val="0"/>
          <w:kern w:val="0"/>
          <w:sz w:val="32"/>
          <w:szCs w:val="32"/>
        </w:rPr>
        <w:t>13</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品牌清单</w:t>
      </w:r>
      <w:bookmarkEnd w:id="725"/>
    </w:p>
    <w:p w14:paraId="3FC7A072">
      <w:pPr>
        <w:adjustRightInd w:val="0"/>
        <w:snapToGrid w:val="0"/>
        <w:spacing w:line="360" w:lineRule="auto"/>
        <w:ind w:firstLine="480"/>
        <w:jc w:val="center"/>
        <w:outlineLvl w:val="1"/>
        <w:rPr>
          <w:rFonts w:hint="eastAsia" w:ascii="宋体" w:hAnsi="宋体" w:eastAsia="宋体" w:cs="宋体"/>
          <w:snapToGrid w:val="0"/>
          <w:kern w:val="0"/>
          <w:sz w:val="24"/>
        </w:rPr>
      </w:pPr>
    </w:p>
    <w:p w14:paraId="6862FD45">
      <w:pPr>
        <w:pStyle w:val="62"/>
      </w:pPr>
    </w:p>
    <w:p w14:paraId="389B2153">
      <w:pPr>
        <w:pStyle w:val="62"/>
      </w:pPr>
    </w:p>
    <w:p w14:paraId="325A3E27">
      <w:pPr>
        <w:pStyle w:val="62"/>
        <w:jc w:val="left"/>
      </w:pPr>
      <w:r>
        <w:rPr>
          <w:rFonts w:hint="eastAsia" w:hAnsi="宋体" w:eastAsia="宋体" w:cs="宋体"/>
          <w:b/>
          <w:bCs/>
          <w:snapToGrid w:val="0"/>
          <w:kern w:val="0"/>
          <w:sz w:val="24"/>
          <w:lang w:val="en-US" w:eastAsia="zh-CN"/>
        </w:rPr>
        <w:t>备注：同一区域的建筑群，尽量使用同一品牌。</w:t>
      </w:r>
    </w:p>
    <w:p w14:paraId="4B0F1F35">
      <w:pPr>
        <w:pStyle w:val="62"/>
      </w:pPr>
    </w:p>
    <w:p w14:paraId="1E2D0135">
      <w:pPr>
        <w:pStyle w:val="62"/>
      </w:pPr>
    </w:p>
    <w:p w14:paraId="3F9416A3">
      <w:pPr>
        <w:pStyle w:val="62"/>
      </w:pPr>
    </w:p>
    <w:p w14:paraId="2F353086">
      <w:pPr>
        <w:pStyle w:val="62"/>
      </w:pPr>
    </w:p>
    <w:p w14:paraId="26935F32">
      <w:pPr>
        <w:pStyle w:val="62"/>
      </w:pPr>
    </w:p>
    <w:p w14:paraId="7EB7C4D2">
      <w:pPr>
        <w:pStyle w:val="62"/>
      </w:pPr>
    </w:p>
    <w:p w14:paraId="6B06AD50">
      <w:pPr>
        <w:pStyle w:val="62"/>
      </w:pPr>
    </w:p>
    <w:p w14:paraId="7A33CE2B">
      <w:pPr>
        <w:pStyle w:val="62"/>
      </w:pPr>
    </w:p>
    <w:p w14:paraId="30794E6B">
      <w:pPr>
        <w:pStyle w:val="62"/>
      </w:pPr>
    </w:p>
    <w:p w14:paraId="38C23005">
      <w:pPr>
        <w:pStyle w:val="62"/>
      </w:pPr>
    </w:p>
    <w:p w14:paraId="0CB8FECB">
      <w:pPr>
        <w:pStyle w:val="62"/>
      </w:pPr>
    </w:p>
    <w:p w14:paraId="30137675">
      <w:pPr>
        <w:pStyle w:val="62"/>
      </w:pPr>
    </w:p>
    <w:p w14:paraId="75B42FA2">
      <w:pPr>
        <w:pStyle w:val="62"/>
      </w:pPr>
    </w:p>
    <w:p w14:paraId="1C943E7C">
      <w:pPr>
        <w:pStyle w:val="62"/>
      </w:pPr>
    </w:p>
    <w:p w14:paraId="7E2DCC6C">
      <w:pPr>
        <w:pStyle w:val="62"/>
      </w:pPr>
    </w:p>
    <w:p w14:paraId="3E083FF9">
      <w:pPr>
        <w:pStyle w:val="62"/>
      </w:pPr>
    </w:p>
    <w:p w14:paraId="5D8B0D4B">
      <w:pPr>
        <w:pStyle w:val="62"/>
      </w:pPr>
    </w:p>
    <w:p w14:paraId="3A89EE48">
      <w:pPr>
        <w:pStyle w:val="62"/>
      </w:pPr>
    </w:p>
    <w:p w14:paraId="5887198B">
      <w:pPr>
        <w:pStyle w:val="62"/>
      </w:pPr>
    </w:p>
    <w:p w14:paraId="51EBDE15">
      <w:pPr>
        <w:pStyle w:val="62"/>
      </w:pPr>
    </w:p>
    <w:p w14:paraId="60B3BDBE">
      <w:pPr>
        <w:pStyle w:val="62"/>
      </w:pPr>
    </w:p>
    <w:p w14:paraId="6A83145D">
      <w:pPr>
        <w:pStyle w:val="62"/>
      </w:pPr>
    </w:p>
    <w:p w14:paraId="41B114AB">
      <w:pPr>
        <w:pStyle w:val="62"/>
      </w:pPr>
    </w:p>
    <w:p w14:paraId="4172B8A4">
      <w:pPr>
        <w:pStyle w:val="62"/>
      </w:pPr>
    </w:p>
    <w:p w14:paraId="69224138">
      <w:pPr>
        <w:pStyle w:val="62"/>
      </w:pPr>
    </w:p>
    <w:p w14:paraId="622CF2C9">
      <w:pPr>
        <w:pStyle w:val="62"/>
      </w:pPr>
    </w:p>
    <w:p w14:paraId="716AE301">
      <w:pPr>
        <w:pStyle w:val="62"/>
      </w:pPr>
    </w:p>
    <w:p w14:paraId="2C93A356">
      <w:pPr>
        <w:pStyle w:val="62"/>
      </w:pPr>
    </w:p>
    <w:p w14:paraId="36EDEB64">
      <w:pPr>
        <w:pStyle w:val="62"/>
      </w:pPr>
    </w:p>
    <w:p w14:paraId="606C2A4D">
      <w:pPr>
        <w:pStyle w:val="62"/>
      </w:pPr>
    </w:p>
    <w:p w14:paraId="309FB70C">
      <w:pPr>
        <w:pStyle w:val="62"/>
      </w:pPr>
    </w:p>
    <w:p w14:paraId="7A3E107C">
      <w:pPr>
        <w:pStyle w:val="62"/>
      </w:pPr>
    </w:p>
    <w:p w14:paraId="3A0B700A">
      <w:pPr>
        <w:autoSpaceDE w:val="0"/>
        <w:autoSpaceDN w:val="0"/>
        <w:adjustRightInd w:val="0"/>
        <w:snapToGrid w:val="0"/>
        <w:spacing w:line="440" w:lineRule="exact"/>
        <w:ind w:firstLine="480"/>
        <w:jc w:val="left"/>
        <w:rPr>
          <w:rFonts w:hint="eastAsia" w:ascii="宋体" w:hAnsi="宋体" w:eastAsia="宋体" w:cs="宋体"/>
          <w:snapToGrid w:val="0"/>
          <w:kern w:val="0"/>
          <w:sz w:val="24"/>
          <w:szCs w:val="21"/>
        </w:rPr>
      </w:pPr>
    </w:p>
    <w:p w14:paraId="63D6075F">
      <w:pPr>
        <w:pStyle w:val="9"/>
        <w:spacing w:line="440" w:lineRule="exact"/>
        <w:rPr>
          <w:rFonts w:hint="eastAsia" w:ascii="宋体" w:hAnsi="宋体" w:eastAsia="宋体" w:cs="宋体"/>
          <w:b/>
          <w:bCs/>
          <w:sz w:val="32"/>
          <w:szCs w:val="32"/>
        </w:rPr>
      </w:pPr>
      <w:r>
        <w:rPr>
          <w:rFonts w:hint="eastAsia" w:ascii="宋体" w:hAnsi="宋体" w:eastAsia="宋体" w:cs="宋体"/>
          <w:b/>
          <w:bCs/>
        </w:rPr>
        <w:br w:type="page"/>
      </w:r>
      <w:r>
        <w:rPr>
          <w:rFonts w:hint="eastAsia" w:ascii="宋体" w:hAnsi="宋体" w:eastAsia="宋体" w:cs="宋体"/>
          <w:b/>
          <w:bCs/>
          <w:sz w:val="32"/>
          <w:szCs w:val="32"/>
        </w:rPr>
        <w:t>附件</w:t>
      </w:r>
    </w:p>
    <w:p w14:paraId="24E5BC41">
      <w:pPr>
        <w:adjustRightInd w:val="0"/>
        <w:snapToGrid w:val="0"/>
        <w:spacing w:line="440" w:lineRule="exact"/>
        <w:ind w:firstLine="480"/>
        <w:jc w:val="center"/>
        <w:outlineLvl w:val="1"/>
        <w:rPr>
          <w:rFonts w:hint="eastAsia" w:ascii="宋体" w:hAnsi="宋体" w:eastAsia="宋体" w:cs="宋体"/>
          <w:b/>
          <w:bCs/>
          <w:snapToGrid w:val="0"/>
          <w:kern w:val="0"/>
          <w:sz w:val="24"/>
        </w:rPr>
      </w:pPr>
      <w:bookmarkStart w:id="726" w:name="_Toc176192860"/>
      <w:r>
        <w:rPr>
          <w:rFonts w:hint="eastAsia" w:ascii="宋体" w:hAnsi="宋体" w:eastAsia="宋体" w:cs="宋体"/>
          <w:b/>
          <w:bCs/>
          <w:snapToGrid w:val="0"/>
          <w:kern w:val="0"/>
          <w:sz w:val="32"/>
          <w:szCs w:val="32"/>
        </w:rPr>
        <w:t>14</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建设项目竣工资料移交清单</w:t>
      </w:r>
      <w:bookmarkEnd w:id="726"/>
    </w:p>
    <w:p w14:paraId="1C73BCF1">
      <w:pPr>
        <w:adjustRightInd w:val="0"/>
        <w:snapToGrid w:val="0"/>
        <w:spacing w:line="360" w:lineRule="auto"/>
        <w:ind w:firstLine="480"/>
        <w:jc w:val="center"/>
        <w:outlineLvl w:val="1"/>
        <w:rPr>
          <w:rFonts w:hint="eastAsia" w:ascii="宋体" w:hAnsi="宋体" w:eastAsia="宋体" w:cs="宋体"/>
          <w:snapToGrid w:val="0"/>
          <w:kern w:val="0"/>
          <w:sz w:val="24"/>
        </w:rPr>
      </w:pPr>
    </w:p>
    <w:p w14:paraId="1F242D4A">
      <w:pPr>
        <w:pStyle w:val="62"/>
      </w:pPr>
    </w:p>
    <w:p w14:paraId="49EA2B27">
      <w:pPr>
        <w:pStyle w:val="62"/>
      </w:pPr>
      <w:r>
        <w:drawing>
          <wp:anchor distT="0" distB="0" distL="114300" distR="114300" simplePos="0" relativeHeight="251659264" behindDoc="1" locked="0" layoutInCell="1" allowOverlap="1">
            <wp:simplePos x="0" y="0"/>
            <wp:positionH relativeFrom="column">
              <wp:posOffset>0</wp:posOffset>
            </wp:positionH>
            <wp:positionV relativeFrom="paragraph">
              <wp:posOffset>198120</wp:posOffset>
            </wp:positionV>
            <wp:extent cx="5387340" cy="538734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387340" cy="5387340"/>
                    </a:xfrm>
                    <a:prstGeom prst="rect">
                      <a:avLst/>
                    </a:prstGeom>
                    <a:noFill/>
                    <a:ln>
                      <a:noFill/>
                    </a:ln>
                  </pic:spPr>
                </pic:pic>
              </a:graphicData>
            </a:graphic>
          </wp:anchor>
        </w:drawing>
      </w:r>
    </w:p>
    <w:p w14:paraId="378644A5">
      <w:pPr>
        <w:pStyle w:val="62"/>
      </w:pPr>
    </w:p>
    <w:p w14:paraId="350440BD">
      <w:pPr>
        <w:pStyle w:val="62"/>
      </w:pPr>
    </w:p>
    <w:p w14:paraId="7F34617B">
      <w:pPr>
        <w:pStyle w:val="62"/>
      </w:pPr>
    </w:p>
    <w:p w14:paraId="178CAF2F">
      <w:pPr>
        <w:pStyle w:val="62"/>
      </w:pPr>
    </w:p>
    <w:p w14:paraId="0B296F86">
      <w:pPr>
        <w:pStyle w:val="62"/>
      </w:pPr>
    </w:p>
    <w:p w14:paraId="4FA82C2A">
      <w:pPr>
        <w:pStyle w:val="62"/>
      </w:pPr>
    </w:p>
    <w:p w14:paraId="01B321DA">
      <w:pPr>
        <w:pStyle w:val="62"/>
      </w:pPr>
    </w:p>
    <w:p w14:paraId="50264C76">
      <w:pPr>
        <w:pStyle w:val="62"/>
      </w:pPr>
    </w:p>
    <w:p w14:paraId="68502169">
      <w:pPr>
        <w:pStyle w:val="62"/>
      </w:pPr>
    </w:p>
    <w:p w14:paraId="651EA21E">
      <w:pPr>
        <w:pStyle w:val="62"/>
      </w:pPr>
    </w:p>
    <w:p w14:paraId="633E4518">
      <w:pPr>
        <w:pStyle w:val="62"/>
      </w:pPr>
    </w:p>
    <w:p w14:paraId="66ED8EA5">
      <w:pPr>
        <w:pStyle w:val="62"/>
      </w:pPr>
    </w:p>
    <w:p w14:paraId="4286437B">
      <w:pPr>
        <w:pStyle w:val="62"/>
      </w:pPr>
    </w:p>
    <w:p w14:paraId="33D7A2F8">
      <w:pPr>
        <w:pStyle w:val="62"/>
      </w:pPr>
    </w:p>
    <w:p w14:paraId="7293E366">
      <w:pPr>
        <w:pStyle w:val="62"/>
      </w:pPr>
    </w:p>
    <w:p w14:paraId="2E87C20F">
      <w:pPr>
        <w:pStyle w:val="62"/>
      </w:pPr>
    </w:p>
    <w:p w14:paraId="292C729F">
      <w:pPr>
        <w:pStyle w:val="62"/>
      </w:pPr>
    </w:p>
    <w:p w14:paraId="293607F1">
      <w:pPr>
        <w:pStyle w:val="62"/>
      </w:pPr>
    </w:p>
    <w:p w14:paraId="18DB7BA6">
      <w:pPr>
        <w:pStyle w:val="62"/>
      </w:pPr>
    </w:p>
    <w:p w14:paraId="372353A4">
      <w:pPr>
        <w:pStyle w:val="62"/>
      </w:pPr>
    </w:p>
    <w:p w14:paraId="614C873A">
      <w:pPr>
        <w:pStyle w:val="62"/>
      </w:pPr>
    </w:p>
    <w:p w14:paraId="4FECB54E">
      <w:pPr>
        <w:pStyle w:val="62"/>
      </w:pPr>
    </w:p>
    <w:p w14:paraId="46F44721">
      <w:pPr>
        <w:pStyle w:val="62"/>
      </w:pPr>
    </w:p>
    <w:p w14:paraId="24599601">
      <w:pPr>
        <w:pStyle w:val="62"/>
      </w:pPr>
    </w:p>
    <w:p w14:paraId="1BDC761D">
      <w:pPr>
        <w:pStyle w:val="62"/>
      </w:pPr>
    </w:p>
    <w:p w14:paraId="73ABF087">
      <w:pPr>
        <w:pStyle w:val="62"/>
      </w:pPr>
    </w:p>
    <w:p w14:paraId="26375B83">
      <w:pPr>
        <w:pStyle w:val="62"/>
      </w:pPr>
    </w:p>
    <w:p w14:paraId="34BE7CCB">
      <w:pPr>
        <w:pStyle w:val="62"/>
      </w:pPr>
    </w:p>
    <w:p w14:paraId="0AC6472C">
      <w:pPr>
        <w:pStyle w:val="62"/>
      </w:pPr>
    </w:p>
    <w:p w14:paraId="73A52B23">
      <w:pPr>
        <w:pStyle w:val="62"/>
      </w:pPr>
    </w:p>
    <w:p w14:paraId="2274DAD9">
      <w:pPr>
        <w:pStyle w:val="62"/>
      </w:pPr>
    </w:p>
    <w:p w14:paraId="77FC777E">
      <w:pPr>
        <w:pStyle w:val="62"/>
      </w:pPr>
    </w:p>
    <w:p w14:paraId="2B81139C">
      <w:pPr>
        <w:pStyle w:val="62"/>
      </w:pPr>
    </w:p>
    <w:p w14:paraId="11DA24D0">
      <w:pPr>
        <w:autoSpaceDE w:val="0"/>
        <w:autoSpaceDN w:val="0"/>
        <w:adjustRightInd w:val="0"/>
        <w:snapToGrid w:val="0"/>
        <w:spacing w:line="440" w:lineRule="exact"/>
        <w:ind w:firstLine="480"/>
        <w:jc w:val="left"/>
        <w:rPr>
          <w:rFonts w:hint="eastAsia" w:ascii="宋体" w:hAnsi="宋体" w:eastAsia="宋体" w:cs="宋体"/>
          <w:snapToGrid w:val="0"/>
          <w:kern w:val="0"/>
          <w:sz w:val="24"/>
          <w:szCs w:val="21"/>
        </w:rPr>
      </w:pPr>
    </w:p>
    <w:p w14:paraId="78C2EA91">
      <w:pPr>
        <w:pStyle w:val="9"/>
        <w:spacing w:line="440" w:lineRule="exact"/>
        <w:rPr>
          <w:rFonts w:hint="eastAsia" w:ascii="宋体" w:hAnsi="宋体" w:eastAsia="宋体" w:cs="宋体"/>
          <w:b/>
          <w:bCs/>
          <w:sz w:val="32"/>
          <w:szCs w:val="32"/>
        </w:rPr>
      </w:pPr>
      <w:r>
        <w:rPr>
          <w:rFonts w:hint="eastAsia" w:ascii="宋体" w:hAnsi="宋体" w:eastAsia="宋体" w:cs="宋体"/>
          <w:b/>
          <w:bCs/>
        </w:rPr>
        <w:br w:type="page"/>
      </w:r>
      <w:r>
        <w:rPr>
          <w:rFonts w:hint="eastAsia" w:ascii="宋体" w:hAnsi="宋体" w:eastAsia="宋体" w:cs="宋体"/>
          <w:b/>
          <w:bCs/>
          <w:sz w:val="32"/>
          <w:szCs w:val="32"/>
        </w:rPr>
        <w:t>附件</w:t>
      </w:r>
    </w:p>
    <w:p w14:paraId="68ADC6EB">
      <w:pPr>
        <w:adjustRightInd w:val="0"/>
        <w:snapToGrid w:val="0"/>
        <w:spacing w:line="440" w:lineRule="exact"/>
        <w:ind w:firstLine="480"/>
        <w:jc w:val="center"/>
        <w:outlineLvl w:val="1"/>
        <w:rPr>
          <w:rFonts w:hint="eastAsia" w:ascii="宋体" w:hAnsi="宋体" w:eastAsia="宋体" w:cs="宋体"/>
          <w:b/>
          <w:bCs/>
          <w:snapToGrid w:val="0"/>
          <w:kern w:val="0"/>
          <w:sz w:val="24"/>
        </w:rPr>
      </w:pPr>
      <w:bookmarkStart w:id="727" w:name="_Toc176192861"/>
      <w:r>
        <w:rPr>
          <w:rFonts w:hint="eastAsia" w:ascii="宋体" w:hAnsi="宋体" w:eastAsia="宋体" w:cs="宋体"/>
          <w:b/>
          <w:bCs/>
          <w:snapToGrid w:val="0"/>
          <w:kern w:val="0"/>
          <w:sz w:val="32"/>
          <w:szCs w:val="32"/>
        </w:rPr>
        <w:t>15</w:t>
      </w:r>
      <w:r>
        <w:rPr>
          <w:rFonts w:ascii="宋体" w:hAnsi="宋体" w:eastAsia="宋体" w:cs="宋体"/>
          <w:b/>
          <w:bCs/>
          <w:snapToGrid w:val="0"/>
          <w:kern w:val="0"/>
          <w:sz w:val="32"/>
          <w:szCs w:val="32"/>
        </w:rPr>
        <w:t>、</w:t>
      </w:r>
      <w:r>
        <w:rPr>
          <w:rFonts w:hint="eastAsia" w:ascii="宋体" w:hAnsi="宋体" w:eastAsia="宋体" w:cs="宋体"/>
          <w:b/>
          <w:bCs/>
          <w:snapToGrid w:val="0"/>
          <w:kern w:val="0"/>
          <w:sz w:val="32"/>
          <w:szCs w:val="32"/>
        </w:rPr>
        <w:t>项目相册（模板）</w:t>
      </w:r>
      <w:bookmarkEnd w:id="727"/>
    </w:p>
    <w:p w14:paraId="6DB50427">
      <w:pPr>
        <w:adjustRightInd w:val="0"/>
        <w:snapToGrid w:val="0"/>
        <w:spacing w:line="360" w:lineRule="auto"/>
        <w:ind w:firstLine="480"/>
        <w:jc w:val="center"/>
        <w:outlineLvl w:val="1"/>
        <w:rPr>
          <w:rFonts w:hint="eastAsia" w:ascii="宋体" w:hAnsi="宋体" w:eastAsia="宋体" w:cs="宋体"/>
          <w:snapToGrid w:val="0"/>
          <w:kern w:val="0"/>
          <w:sz w:val="24"/>
        </w:rPr>
      </w:pPr>
    </w:p>
    <w:p w14:paraId="546D43C1">
      <w:pPr>
        <w:pStyle w:val="62"/>
      </w:pPr>
      <w:r>
        <w:drawing>
          <wp:anchor distT="0" distB="0" distL="114300" distR="114300" simplePos="0" relativeHeight="251660288" behindDoc="1" locked="0" layoutInCell="1" allowOverlap="1">
            <wp:simplePos x="0" y="0"/>
            <wp:positionH relativeFrom="column">
              <wp:posOffset>0</wp:posOffset>
            </wp:positionH>
            <wp:positionV relativeFrom="paragraph">
              <wp:posOffset>198120</wp:posOffset>
            </wp:positionV>
            <wp:extent cx="5278755" cy="679704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78755" cy="6797040"/>
                    </a:xfrm>
                    <a:prstGeom prst="rect">
                      <a:avLst/>
                    </a:prstGeom>
                    <a:noFill/>
                    <a:ln>
                      <a:noFill/>
                    </a:ln>
                  </pic:spPr>
                </pic:pic>
              </a:graphicData>
            </a:graphic>
          </wp:anchor>
        </w:drawing>
      </w:r>
    </w:p>
    <w:p w14:paraId="7ECD190D">
      <w:pPr>
        <w:pStyle w:val="62"/>
      </w:pPr>
    </w:p>
    <w:p w14:paraId="1D47150A">
      <w:pPr>
        <w:pStyle w:val="62"/>
      </w:pPr>
    </w:p>
    <w:p w14:paraId="4AFEEA49">
      <w:pPr>
        <w:pStyle w:val="62"/>
      </w:pPr>
    </w:p>
    <w:p w14:paraId="306EE191">
      <w:pPr>
        <w:pStyle w:val="62"/>
      </w:pPr>
    </w:p>
    <w:p w14:paraId="28D0327F">
      <w:pPr>
        <w:pStyle w:val="62"/>
      </w:pPr>
    </w:p>
    <w:p w14:paraId="562DFC2A">
      <w:pPr>
        <w:pStyle w:val="62"/>
      </w:pPr>
    </w:p>
    <w:p w14:paraId="3D2FC2C8">
      <w:pPr>
        <w:pStyle w:val="62"/>
      </w:pPr>
    </w:p>
    <w:p w14:paraId="6C503F3B">
      <w:pPr>
        <w:pStyle w:val="62"/>
      </w:pPr>
    </w:p>
    <w:p w14:paraId="5D96ACB3">
      <w:pPr>
        <w:pStyle w:val="62"/>
      </w:pPr>
    </w:p>
    <w:p w14:paraId="786C2903">
      <w:pPr>
        <w:pStyle w:val="62"/>
      </w:pPr>
    </w:p>
    <w:p w14:paraId="686E5E0F">
      <w:pPr>
        <w:pStyle w:val="62"/>
      </w:pPr>
    </w:p>
    <w:p w14:paraId="6D1B5CF5">
      <w:pPr>
        <w:pStyle w:val="62"/>
      </w:pPr>
    </w:p>
    <w:p w14:paraId="4DCA1857">
      <w:pPr>
        <w:pStyle w:val="62"/>
      </w:pPr>
    </w:p>
    <w:p w14:paraId="5D14ACD4">
      <w:pPr>
        <w:pStyle w:val="62"/>
      </w:pPr>
    </w:p>
    <w:p w14:paraId="7D371814">
      <w:pPr>
        <w:pStyle w:val="62"/>
      </w:pPr>
    </w:p>
    <w:p w14:paraId="45A3BA04">
      <w:pPr>
        <w:pStyle w:val="62"/>
      </w:pPr>
    </w:p>
    <w:p w14:paraId="352403F2">
      <w:pPr>
        <w:pStyle w:val="62"/>
      </w:pPr>
    </w:p>
    <w:p w14:paraId="41B8223F">
      <w:pPr>
        <w:pStyle w:val="62"/>
      </w:pPr>
    </w:p>
    <w:p w14:paraId="5006A1BA">
      <w:pPr>
        <w:pStyle w:val="62"/>
      </w:pPr>
    </w:p>
    <w:p w14:paraId="29774A6B">
      <w:pPr>
        <w:pStyle w:val="62"/>
      </w:pPr>
    </w:p>
    <w:p w14:paraId="606EA949">
      <w:pPr>
        <w:pStyle w:val="62"/>
      </w:pPr>
    </w:p>
    <w:p w14:paraId="10613B20">
      <w:pPr>
        <w:pStyle w:val="62"/>
      </w:pPr>
    </w:p>
    <w:p w14:paraId="7D25F9C9">
      <w:pPr>
        <w:pStyle w:val="62"/>
      </w:pPr>
    </w:p>
    <w:p w14:paraId="34EC98F1">
      <w:pPr>
        <w:pStyle w:val="62"/>
      </w:pPr>
    </w:p>
    <w:p w14:paraId="73B43861">
      <w:pPr>
        <w:pStyle w:val="62"/>
      </w:pPr>
    </w:p>
    <w:p w14:paraId="63E3D17B">
      <w:pPr>
        <w:pStyle w:val="62"/>
      </w:pPr>
    </w:p>
    <w:p w14:paraId="35E8396B">
      <w:pPr>
        <w:pStyle w:val="62"/>
      </w:pPr>
    </w:p>
    <w:p w14:paraId="28EFA0A1">
      <w:pPr>
        <w:pStyle w:val="62"/>
      </w:pPr>
    </w:p>
    <w:p w14:paraId="0BF20367">
      <w:pPr>
        <w:pStyle w:val="62"/>
      </w:pPr>
    </w:p>
    <w:p w14:paraId="5E7941C2">
      <w:pPr>
        <w:pStyle w:val="62"/>
      </w:pPr>
    </w:p>
    <w:p w14:paraId="6CDCAA48">
      <w:pPr>
        <w:pStyle w:val="62"/>
      </w:pPr>
    </w:p>
    <w:p w14:paraId="687D8131">
      <w:pPr>
        <w:pStyle w:val="62"/>
      </w:pPr>
    </w:p>
    <w:p w14:paraId="31D22A84">
      <w:pPr>
        <w:pStyle w:val="62"/>
      </w:pPr>
    </w:p>
    <w:p w14:paraId="66B5CB24">
      <w:pPr>
        <w:pStyle w:val="62"/>
      </w:pPr>
    </w:p>
    <w:p w14:paraId="673EFEF7">
      <w:pPr>
        <w:pStyle w:val="62"/>
      </w:pPr>
    </w:p>
    <w:p w14:paraId="76C8303B">
      <w:pPr>
        <w:pStyle w:val="62"/>
      </w:pPr>
    </w:p>
    <w:p w14:paraId="78EF33DA">
      <w:pPr>
        <w:pStyle w:val="62"/>
      </w:pPr>
    </w:p>
    <w:p w14:paraId="0BA52C1B">
      <w:pPr>
        <w:pStyle w:val="62"/>
      </w:pPr>
    </w:p>
    <w:p w14:paraId="5A99CFAA">
      <w:pPr>
        <w:pStyle w:val="62"/>
      </w:pPr>
    </w:p>
    <w:p w14:paraId="59C08E03">
      <w:pPr>
        <w:pStyle w:val="62"/>
      </w:pPr>
    </w:p>
    <w:p w14:paraId="4B150073">
      <w:pPr>
        <w:pStyle w:val="62"/>
      </w:pPr>
    </w:p>
    <w:p w14:paraId="7FBF232D">
      <w:pPr>
        <w:pStyle w:val="62"/>
      </w:pPr>
    </w:p>
    <w:p w14:paraId="62B568A9">
      <w:pPr>
        <w:pStyle w:val="62"/>
      </w:pPr>
    </w:p>
    <w:p w14:paraId="647D0A36">
      <w:pPr>
        <w:pStyle w:val="62"/>
      </w:pPr>
    </w:p>
    <w:p w14:paraId="2BFDAC42">
      <w:pPr>
        <w:pStyle w:val="62"/>
      </w:pPr>
    </w:p>
    <w:p w14:paraId="3DC6365F">
      <w:pPr>
        <w:pStyle w:val="62"/>
      </w:pPr>
    </w:p>
    <w:p w14:paraId="78209E8B">
      <w:pPr>
        <w:pStyle w:val="62"/>
      </w:pPr>
      <w:r>
        <w:drawing>
          <wp:anchor distT="0" distB="0" distL="114300" distR="114300" simplePos="0" relativeHeight="251661312" behindDoc="1" locked="0" layoutInCell="1" allowOverlap="1">
            <wp:simplePos x="0" y="0"/>
            <wp:positionH relativeFrom="column">
              <wp:posOffset>0</wp:posOffset>
            </wp:positionH>
            <wp:positionV relativeFrom="paragraph">
              <wp:posOffset>198120</wp:posOffset>
            </wp:positionV>
            <wp:extent cx="5320030" cy="2196465"/>
            <wp:effectExtent l="0" t="0" r="0" b="0"/>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320030" cy="2196465"/>
                    </a:xfrm>
                    <a:prstGeom prst="rect">
                      <a:avLst/>
                    </a:prstGeom>
                    <a:noFill/>
                    <a:ln>
                      <a:noFill/>
                    </a:ln>
                  </pic:spPr>
                </pic:pic>
              </a:graphicData>
            </a:graphic>
          </wp:anchor>
        </w:drawing>
      </w:r>
    </w:p>
    <w:p w14:paraId="166F3801">
      <w:pPr>
        <w:pStyle w:val="62"/>
      </w:pPr>
    </w:p>
    <w:p w14:paraId="43C43B6E">
      <w:pPr>
        <w:pStyle w:val="62"/>
      </w:pPr>
    </w:p>
    <w:p w14:paraId="5A28C639">
      <w:pPr>
        <w:pStyle w:val="62"/>
      </w:pPr>
    </w:p>
    <w:p w14:paraId="69495BAF">
      <w:pPr>
        <w:pStyle w:val="62"/>
      </w:pPr>
    </w:p>
    <w:p w14:paraId="3E4F46C1">
      <w:pPr>
        <w:pStyle w:val="62"/>
      </w:pPr>
    </w:p>
    <w:p w14:paraId="025A2F76">
      <w:pPr>
        <w:pStyle w:val="62"/>
      </w:pPr>
    </w:p>
    <w:p w14:paraId="58DB7112">
      <w:pPr>
        <w:pStyle w:val="62"/>
      </w:pPr>
    </w:p>
    <w:p w14:paraId="758DAA03">
      <w:pPr>
        <w:pStyle w:val="62"/>
      </w:pPr>
    </w:p>
    <w:p w14:paraId="56C02A34">
      <w:pPr>
        <w:pStyle w:val="62"/>
      </w:pPr>
    </w:p>
    <w:p w14:paraId="251FE323">
      <w:pPr>
        <w:pStyle w:val="62"/>
      </w:pPr>
    </w:p>
    <w:p w14:paraId="53596BD0">
      <w:pPr>
        <w:pStyle w:val="62"/>
      </w:pPr>
    </w:p>
    <w:p w14:paraId="2889E9F3">
      <w:pPr>
        <w:pStyle w:val="62"/>
      </w:pPr>
    </w:p>
    <w:p w14:paraId="4DE0CB85">
      <w:pPr>
        <w:pStyle w:val="62"/>
      </w:pPr>
    </w:p>
    <w:p w14:paraId="43EC88A7">
      <w:pPr>
        <w:pStyle w:val="62"/>
      </w:pPr>
    </w:p>
    <w:p w14:paraId="6443589D">
      <w:pPr>
        <w:pStyle w:val="62"/>
      </w:pPr>
    </w:p>
    <w:p w14:paraId="06AB7919">
      <w:pPr>
        <w:pStyle w:val="62"/>
      </w:pPr>
    </w:p>
    <w:p w14:paraId="7B51636F">
      <w:pPr>
        <w:pStyle w:val="62"/>
      </w:pPr>
    </w:p>
    <w:p w14:paraId="7C6091BB">
      <w:pPr>
        <w:pStyle w:val="62"/>
      </w:pPr>
    </w:p>
    <w:p w14:paraId="1FC3AF3E">
      <w:pPr>
        <w:pStyle w:val="62"/>
      </w:pPr>
    </w:p>
    <w:p w14:paraId="31269E30">
      <w:pPr>
        <w:pStyle w:val="62"/>
      </w:pPr>
    </w:p>
    <w:p w14:paraId="318F67E9">
      <w:pPr>
        <w:pStyle w:val="62"/>
      </w:pPr>
    </w:p>
    <w:p w14:paraId="659232A1">
      <w:pPr>
        <w:pStyle w:val="62"/>
      </w:pPr>
    </w:p>
    <w:p w14:paraId="34AD344A">
      <w:pPr>
        <w:pStyle w:val="62"/>
      </w:pPr>
    </w:p>
    <w:p w14:paraId="73BBC0A3">
      <w:pPr>
        <w:pStyle w:val="62"/>
      </w:pPr>
    </w:p>
    <w:p w14:paraId="04DA318B">
      <w:pPr>
        <w:pStyle w:val="62"/>
      </w:pPr>
    </w:p>
    <w:p w14:paraId="41AB4C95">
      <w:pPr>
        <w:pStyle w:val="62"/>
      </w:pPr>
    </w:p>
    <w:p w14:paraId="63A5B49D">
      <w:pPr>
        <w:pStyle w:val="62"/>
      </w:pPr>
    </w:p>
    <w:p w14:paraId="670EC59F">
      <w:pPr>
        <w:pStyle w:val="62"/>
      </w:pPr>
    </w:p>
    <w:p w14:paraId="3CC055C1">
      <w:pPr>
        <w:pStyle w:val="62"/>
      </w:pPr>
    </w:p>
    <w:p w14:paraId="39A6A3A8">
      <w:pPr>
        <w:pStyle w:val="62"/>
      </w:pPr>
    </w:p>
    <w:p w14:paraId="48E13601">
      <w:pPr>
        <w:pStyle w:val="62"/>
      </w:pPr>
    </w:p>
    <w:p w14:paraId="02E19344">
      <w:pPr>
        <w:pStyle w:val="62"/>
      </w:pPr>
    </w:p>
    <w:p w14:paraId="22DB5572">
      <w:pPr>
        <w:pStyle w:val="62"/>
      </w:pPr>
    </w:p>
    <w:p w14:paraId="5369C3AB">
      <w:pPr>
        <w:pStyle w:val="62"/>
      </w:pPr>
    </w:p>
    <w:p w14:paraId="1B844C04">
      <w:pPr>
        <w:pStyle w:val="62"/>
      </w:pPr>
    </w:p>
    <w:p w14:paraId="3D650793">
      <w:pPr>
        <w:pStyle w:val="62"/>
      </w:pPr>
    </w:p>
    <w:p w14:paraId="67E06F3D">
      <w:pPr>
        <w:pStyle w:val="62"/>
      </w:pPr>
    </w:p>
    <w:p w14:paraId="28185306">
      <w:pPr>
        <w:pStyle w:val="62"/>
      </w:pPr>
    </w:p>
    <w:p w14:paraId="4835DB2E">
      <w:pPr>
        <w:pStyle w:val="62"/>
      </w:pPr>
      <w:r>
        <w:drawing>
          <wp:anchor distT="0" distB="0" distL="114300" distR="114300" simplePos="0" relativeHeight="251662336" behindDoc="1" locked="0" layoutInCell="1" allowOverlap="1">
            <wp:simplePos x="0" y="0"/>
            <wp:positionH relativeFrom="margin">
              <wp:posOffset>118110</wp:posOffset>
            </wp:positionH>
            <wp:positionV relativeFrom="paragraph">
              <wp:posOffset>4445</wp:posOffset>
            </wp:positionV>
            <wp:extent cx="5215890" cy="7259320"/>
            <wp:effectExtent l="0" t="0" r="381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15890" cy="7259320"/>
                    </a:xfrm>
                    <a:prstGeom prst="rect">
                      <a:avLst/>
                    </a:prstGeom>
                    <a:noFill/>
                    <a:ln>
                      <a:noFill/>
                    </a:ln>
                  </pic:spPr>
                </pic:pic>
              </a:graphicData>
            </a:graphic>
          </wp:anchor>
        </w:drawing>
      </w:r>
    </w:p>
    <w:p w14:paraId="552650EC">
      <w:pPr>
        <w:pStyle w:val="62"/>
      </w:pPr>
    </w:p>
    <w:p w14:paraId="39FB4613">
      <w:pPr>
        <w:pStyle w:val="62"/>
      </w:pPr>
    </w:p>
    <w:p w14:paraId="77BC26A8">
      <w:pPr>
        <w:pStyle w:val="62"/>
      </w:pPr>
    </w:p>
    <w:p w14:paraId="0824007B">
      <w:pPr>
        <w:pStyle w:val="62"/>
      </w:pPr>
    </w:p>
    <w:p w14:paraId="6833357D">
      <w:pPr>
        <w:pStyle w:val="62"/>
      </w:pPr>
    </w:p>
    <w:p w14:paraId="0F97EF34">
      <w:pPr>
        <w:pStyle w:val="62"/>
      </w:pPr>
    </w:p>
    <w:p w14:paraId="52C05BDB">
      <w:pPr>
        <w:pStyle w:val="62"/>
      </w:pPr>
    </w:p>
    <w:p w14:paraId="3890C2B7">
      <w:pPr>
        <w:pStyle w:val="62"/>
      </w:pPr>
    </w:p>
    <w:p w14:paraId="248ABE60">
      <w:pPr>
        <w:pStyle w:val="62"/>
      </w:pPr>
    </w:p>
    <w:p w14:paraId="79B61ED2">
      <w:pPr>
        <w:pStyle w:val="62"/>
      </w:pPr>
    </w:p>
    <w:p w14:paraId="5AC95619">
      <w:pPr>
        <w:pStyle w:val="62"/>
      </w:pPr>
    </w:p>
    <w:p w14:paraId="78F8E800">
      <w:pPr>
        <w:pStyle w:val="62"/>
      </w:pPr>
    </w:p>
    <w:p w14:paraId="7FE94FEB">
      <w:pPr>
        <w:pStyle w:val="62"/>
      </w:pPr>
    </w:p>
    <w:p w14:paraId="34ABD765">
      <w:pPr>
        <w:pStyle w:val="62"/>
      </w:pPr>
    </w:p>
    <w:p w14:paraId="3F72FC42">
      <w:pPr>
        <w:pStyle w:val="62"/>
      </w:pPr>
    </w:p>
    <w:p w14:paraId="39443D27">
      <w:pPr>
        <w:pStyle w:val="62"/>
      </w:pPr>
    </w:p>
    <w:p w14:paraId="09EADE75">
      <w:pPr>
        <w:pStyle w:val="62"/>
      </w:pPr>
    </w:p>
    <w:p w14:paraId="1264E774">
      <w:pPr>
        <w:pStyle w:val="62"/>
      </w:pPr>
    </w:p>
    <w:p w14:paraId="4410026A">
      <w:pPr>
        <w:pStyle w:val="62"/>
      </w:pPr>
    </w:p>
    <w:p w14:paraId="35397BF8">
      <w:pPr>
        <w:pStyle w:val="62"/>
      </w:pPr>
    </w:p>
    <w:p w14:paraId="79559C4D">
      <w:pPr>
        <w:pStyle w:val="62"/>
      </w:pPr>
    </w:p>
    <w:p w14:paraId="645A338D">
      <w:pPr>
        <w:pStyle w:val="62"/>
      </w:pPr>
    </w:p>
    <w:p w14:paraId="7378928B">
      <w:pPr>
        <w:pStyle w:val="62"/>
      </w:pPr>
    </w:p>
    <w:p w14:paraId="739AD508">
      <w:pPr>
        <w:pStyle w:val="62"/>
      </w:pPr>
    </w:p>
    <w:p w14:paraId="15EB7B89">
      <w:pPr>
        <w:pStyle w:val="62"/>
      </w:pPr>
    </w:p>
    <w:p w14:paraId="05EEF257">
      <w:pPr>
        <w:pStyle w:val="62"/>
      </w:pPr>
    </w:p>
    <w:p w14:paraId="3AD3B698">
      <w:pPr>
        <w:pStyle w:val="62"/>
      </w:pPr>
    </w:p>
    <w:p w14:paraId="6710A787">
      <w:pPr>
        <w:pStyle w:val="62"/>
      </w:pPr>
    </w:p>
    <w:p w14:paraId="04F7DCBC">
      <w:pPr>
        <w:pStyle w:val="62"/>
      </w:pPr>
    </w:p>
    <w:p w14:paraId="33DBC0FC">
      <w:pPr>
        <w:pStyle w:val="62"/>
      </w:pPr>
    </w:p>
    <w:p w14:paraId="10874F3A">
      <w:pPr>
        <w:pStyle w:val="62"/>
      </w:pPr>
    </w:p>
    <w:p w14:paraId="31F72915">
      <w:pPr>
        <w:pStyle w:val="62"/>
      </w:pPr>
    </w:p>
    <w:p w14:paraId="71EFC944">
      <w:pPr>
        <w:pStyle w:val="62"/>
      </w:pPr>
    </w:p>
    <w:p w14:paraId="17093037">
      <w:pPr>
        <w:pStyle w:val="62"/>
      </w:pPr>
    </w:p>
    <w:p w14:paraId="568B60DB">
      <w:pPr>
        <w:autoSpaceDE w:val="0"/>
        <w:autoSpaceDN w:val="0"/>
        <w:adjustRightInd w:val="0"/>
        <w:snapToGrid w:val="0"/>
        <w:spacing w:line="440" w:lineRule="exact"/>
        <w:ind w:firstLine="480"/>
        <w:jc w:val="left"/>
        <w:rPr>
          <w:rFonts w:hint="eastAsia" w:ascii="宋体" w:hAnsi="宋体" w:eastAsia="宋体" w:cs="宋体"/>
          <w:snapToGrid w:val="0"/>
          <w:kern w:val="0"/>
          <w:sz w:val="24"/>
          <w:szCs w:val="21"/>
        </w:rPr>
      </w:pPr>
    </w:p>
    <w:p w14:paraId="3C0F9836">
      <w:pPr>
        <w:pStyle w:val="62"/>
        <w:spacing w:line="480" w:lineRule="exact"/>
        <w:ind w:firstLine="480" w:firstLineChars="200"/>
        <w:jc w:val="both"/>
        <w:rPr>
          <w:rFonts w:hint="eastAsia" w:ascii="宋体" w:hAnsi="宋体" w:eastAsia="宋体" w:cs="宋体"/>
          <w:b w:val="0"/>
          <w:snapToGrid w:val="0"/>
          <w:kern w:val="0"/>
          <w:sz w:val="24"/>
        </w:rPr>
      </w:pPr>
    </w:p>
    <w:p w14:paraId="3D4F239D">
      <w:pPr>
        <w:pStyle w:val="62"/>
        <w:jc w:val="both"/>
      </w:pPr>
    </w:p>
    <w:sectPr>
      <w:pgSz w:w="11907" w:h="16840"/>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48909">
    <w:pPr>
      <w:pStyle w:val="27"/>
      <w:framePr w:wrap="around" w:vAnchor="text" w:hAnchor="margin" w:xAlign="center" w:y="1"/>
      <w:rPr>
        <w:rStyle w:val="44"/>
      </w:rPr>
    </w:pPr>
    <w:r>
      <w:fldChar w:fldCharType="begin"/>
    </w:r>
    <w:r>
      <w:rPr>
        <w:rStyle w:val="44"/>
      </w:rPr>
      <w:instrText xml:space="preserve">PAGE  </w:instrText>
    </w:r>
    <w:r>
      <w:fldChar w:fldCharType="separate"/>
    </w:r>
    <w:r>
      <w:rPr>
        <w:rStyle w:val="44"/>
      </w:rPr>
      <w:t>9</w:t>
    </w:r>
    <w:r>
      <w:fldChar w:fldCharType="end"/>
    </w:r>
  </w:p>
  <w:p w14:paraId="133A1D47">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91080">
    <w:pPr>
      <w:pStyle w:val="27"/>
      <w:jc w:val="center"/>
    </w:pPr>
    <w:r>
      <w:fldChar w:fldCharType="begin"/>
    </w:r>
    <w:r>
      <w:rPr>
        <w:rStyle w:val="44"/>
      </w:rPr>
      <w:instrText xml:space="preserve">PAGE  </w:instrText>
    </w:r>
    <w:r>
      <w:fldChar w:fldCharType="separate"/>
    </w:r>
    <w:r>
      <w:rPr>
        <w:rStyle w:val="44"/>
      </w:rPr>
      <w:t>62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8B8C8">
    <w:pPr>
      <w:pStyle w:val="27"/>
      <w:jc w:val="cente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B7623"/>
    <w:multiLevelType w:val="multilevel"/>
    <w:tmpl w:val="120B7623"/>
    <w:lvl w:ilvl="0" w:tentative="0">
      <w:start w:val="1"/>
      <w:numFmt w:val="chineseCountingThousand"/>
      <w:lvlText w:val="(%1)"/>
      <w:lvlJc w:val="lef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chineseCountingThousand"/>
      <w:pStyle w:val="10"/>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9905B5"/>
    <w:multiLevelType w:val="multilevel"/>
    <w:tmpl w:val="259905B5"/>
    <w:lvl w:ilvl="0" w:tentative="0">
      <w:start w:val="1"/>
      <w:numFmt w:val="chineseCountingThousand"/>
      <w:suff w:val="space"/>
      <w:lvlText w:val="第%1章"/>
      <w:lvlJc w:val="left"/>
      <w:pPr>
        <w:ind w:left="567" w:hanging="279"/>
      </w:pPr>
      <w:rPr>
        <w:rFonts w:hint="eastAsia" w:ascii="宋体" w:eastAsia="宋体"/>
        <w:b/>
        <w:i w:val="0"/>
        <w:spacing w:val="0"/>
        <w:position w:val="0"/>
        <w:sz w:val="44"/>
      </w:rPr>
    </w:lvl>
    <w:lvl w:ilvl="1" w:tentative="0">
      <w:start w:val="1"/>
      <w:numFmt w:val="decimal"/>
      <w:suff w:val="space"/>
      <w:lvlText w:val="%2."/>
      <w:lvlJc w:val="left"/>
      <w:pPr>
        <w:ind w:left="454" w:hanging="454"/>
      </w:pPr>
      <w:rPr>
        <w:rFonts w:hint="eastAsia" w:ascii="宋体" w:eastAsia="宋体"/>
        <w:b/>
        <w:i w:val="0"/>
        <w:sz w:val="32"/>
      </w:rPr>
    </w:lvl>
    <w:lvl w:ilvl="2" w:tentative="0">
      <w:start w:val="1"/>
      <w:numFmt w:val="decimal"/>
      <w:suff w:val="space"/>
      <w:lvlText w:val="%2.%3"/>
      <w:lvlJc w:val="left"/>
      <w:pPr>
        <w:ind w:left="454" w:hanging="454"/>
      </w:pPr>
      <w:rPr>
        <w:rFonts w:hint="eastAsia" w:ascii="宋体" w:eastAsia="宋体"/>
        <w:b/>
        <w:i w:val="0"/>
        <w:sz w:val="28"/>
      </w:rPr>
    </w:lvl>
    <w:lvl w:ilvl="3" w:tentative="0">
      <w:start w:val="1"/>
      <w:numFmt w:val="decimal"/>
      <w:suff w:val="space"/>
      <w:lvlText w:val="%2.%3.%4"/>
      <w:lvlJc w:val="left"/>
      <w:pPr>
        <w:ind w:left="284" w:hanging="284"/>
      </w:pPr>
      <w:rPr>
        <w:rFonts w:hint="eastAsia" w:ascii="宋体" w:eastAsia="宋体"/>
        <w:b/>
        <w:i w:val="0"/>
        <w:sz w:val="28"/>
      </w:rPr>
    </w:lvl>
    <w:lvl w:ilvl="4" w:tentative="0">
      <w:start w:val="1"/>
      <w:numFmt w:val="decimal"/>
      <w:isLgl/>
      <w:suff w:val="space"/>
      <w:lvlText w:val="%2.%3.%4.%5"/>
      <w:lvlJc w:val="left"/>
      <w:pPr>
        <w:ind w:left="284" w:hanging="284"/>
      </w:pPr>
      <w:rPr>
        <w:rFonts w:hint="eastAsia" w:ascii="宋体" w:eastAsia="宋体"/>
        <w:b/>
        <w:i w:val="0"/>
        <w:strike w:val="0"/>
        <w:dstrike w:val="0"/>
        <w:sz w:val="28"/>
      </w:rPr>
    </w:lvl>
    <w:lvl w:ilvl="5" w:tentative="0">
      <w:start w:val="1"/>
      <w:numFmt w:val="decimal"/>
      <w:lvlRestart w:val="0"/>
      <w:suff w:val="space"/>
      <w:lvlText w:val="1.1.1.1.1.%6%5"/>
      <w:lvlJc w:val="left"/>
      <w:pPr>
        <w:ind w:left="0" w:firstLine="0"/>
      </w:pPr>
      <w:rPr>
        <w:rFonts w:hint="eastAsia" w:ascii="宋体" w:eastAsia="宋体"/>
        <w:b/>
        <w:i w:val="0"/>
        <w:sz w:val="28"/>
      </w:rPr>
    </w:lvl>
    <w:lvl w:ilvl="6" w:tentative="0">
      <w:start w:val="1"/>
      <w:numFmt w:val="none"/>
      <w:pStyle w:val="12"/>
      <w:suff w:val="nothing"/>
      <w:lvlText w:val=""/>
      <w:lvlJc w:val="left"/>
      <w:pPr>
        <w:ind w:left="0" w:firstLine="0"/>
      </w:pPr>
      <w:rPr>
        <w:rFonts w:hint="eastAsia"/>
      </w:rPr>
    </w:lvl>
    <w:lvl w:ilvl="7" w:tentative="0">
      <w:start w:val="1"/>
      <w:numFmt w:val="none"/>
      <w:pStyle w:val="13"/>
      <w:suff w:val="nothing"/>
      <w:lvlText w:val=""/>
      <w:lvlJc w:val="left"/>
      <w:pPr>
        <w:ind w:left="0" w:firstLine="0"/>
      </w:pPr>
      <w:rPr>
        <w:rFonts w:hint="eastAsia"/>
      </w:rPr>
    </w:lvl>
    <w:lvl w:ilvl="8" w:tentative="0">
      <w:start w:val="1"/>
      <w:numFmt w:val="none"/>
      <w:pStyle w:val="14"/>
      <w:suff w:val="nothing"/>
      <w:lvlText w:val=""/>
      <w:lvlJc w:val="left"/>
      <w:pPr>
        <w:ind w:left="0" w:firstLine="0"/>
      </w:pPr>
      <w:rPr>
        <w:rFonts w:hint="eastAsia"/>
      </w:rPr>
    </w:lvl>
  </w:abstractNum>
  <w:abstractNum w:abstractNumId="2">
    <w:nsid w:val="547FD2E1"/>
    <w:multiLevelType w:val="singleLevel"/>
    <w:tmpl w:val="547FD2E1"/>
    <w:lvl w:ilvl="0" w:tentative="0">
      <w:start w:val="2"/>
      <w:numFmt w:val="decimal"/>
      <w:suff w:val="nothing"/>
      <w:lvlText w:val="（%1）"/>
      <w:lvlJc w:val="left"/>
    </w:lvl>
  </w:abstractNum>
  <w:abstractNum w:abstractNumId="3">
    <w:nsid w:val="5804883B"/>
    <w:multiLevelType w:val="singleLevel"/>
    <w:tmpl w:val="5804883B"/>
    <w:lvl w:ilvl="0" w:tentative="0">
      <w:start w:val="1"/>
      <w:numFmt w:val="decimal"/>
      <w:suff w:val="nothing"/>
      <w:lvlText w:val="%1）"/>
      <w:lvlJc w:val="left"/>
    </w:lvl>
  </w:abstractNum>
  <w:abstractNum w:abstractNumId="4">
    <w:nsid w:val="74FB0463"/>
    <w:multiLevelType w:val="multilevel"/>
    <w:tmpl w:val="74FB0463"/>
    <w:lvl w:ilvl="0" w:tentative="0">
      <w:start w:val="1"/>
      <w:numFmt w:val="decimal"/>
      <w:suff w:val="nothing"/>
      <w:lvlText w:val="第%1篇"/>
      <w:lvlJc w:val="left"/>
      <w:pPr>
        <w:ind w:left="0" w:firstLine="0"/>
      </w:pPr>
      <w:rPr>
        <w:rFonts w:hint="eastAsia"/>
        <w:spacing w:val="60"/>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center"/>
      <w:pPr>
        <w:ind w:left="0" w:firstLine="288"/>
      </w:pPr>
      <w:rPr>
        <w:rFonts w:hint="eastAsia"/>
      </w:rPr>
    </w:lvl>
    <w:lvl w:ilvl="5" w:tentative="0">
      <w:start w:val="1"/>
      <w:numFmt w:val="none"/>
      <w:pStyle w:val="11"/>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yZWUzZGExNWVkNTA5YWY1ODhhMjQwMWE2ZGRiN2EifQ=="/>
  </w:docVars>
  <w:rsids>
    <w:rsidRoot w:val="00172A27"/>
    <w:rsid w:val="00001668"/>
    <w:rsid w:val="00007605"/>
    <w:rsid w:val="0001021A"/>
    <w:rsid w:val="00010B32"/>
    <w:rsid w:val="00010C92"/>
    <w:rsid w:val="00015318"/>
    <w:rsid w:val="00016209"/>
    <w:rsid w:val="00021B7D"/>
    <w:rsid w:val="00024DCA"/>
    <w:rsid w:val="00026D37"/>
    <w:rsid w:val="00030F95"/>
    <w:rsid w:val="00032B1C"/>
    <w:rsid w:val="00034062"/>
    <w:rsid w:val="00036115"/>
    <w:rsid w:val="00036CFD"/>
    <w:rsid w:val="00037E63"/>
    <w:rsid w:val="00043463"/>
    <w:rsid w:val="000434B0"/>
    <w:rsid w:val="00043A10"/>
    <w:rsid w:val="0004416C"/>
    <w:rsid w:val="00056D5C"/>
    <w:rsid w:val="00057EEB"/>
    <w:rsid w:val="00057F9E"/>
    <w:rsid w:val="00062ADE"/>
    <w:rsid w:val="00062B14"/>
    <w:rsid w:val="00062E88"/>
    <w:rsid w:val="00063AB2"/>
    <w:rsid w:val="00064600"/>
    <w:rsid w:val="00066BA6"/>
    <w:rsid w:val="00067216"/>
    <w:rsid w:val="00067DE8"/>
    <w:rsid w:val="00070E8C"/>
    <w:rsid w:val="00071D64"/>
    <w:rsid w:val="00073E05"/>
    <w:rsid w:val="00083602"/>
    <w:rsid w:val="00087252"/>
    <w:rsid w:val="00093865"/>
    <w:rsid w:val="00093EF4"/>
    <w:rsid w:val="00097DB2"/>
    <w:rsid w:val="000A03A8"/>
    <w:rsid w:val="000A0452"/>
    <w:rsid w:val="000A154D"/>
    <w:rsid w:val="000A1804"/>
    <w:rsid w:val="000A20C2"/>
    <w:rsid w:val="000A2A9C"/>
    <w:rsid w:val="000A2E28"/>
    <w:rsid w:val="000A5203"/>
    <w:rsid w:val="000A73F0"/>
    <w:rsid w:val="000A7A59"/>
    <w:rsid w:val="000B1FF4"/>
    <w:rsid w:val="000B3A86"/>
    <w:rsid w:val="000B4155"/>
    <w:rsid w:val="000B5A01"/>
    <w:rsid w:val="000B5AA7"/>
    <w:rsid w:val="000B6D08"/>
    <w:rsid w:val="000B7016"/>
    <w:rsid w:val="000B76D4"/>
    <w:rsid w:val="000C1F43"/>
    <w:rsid w:val="000C34C3"/>
    <w:rsid w:val="000C4D13"/>
    <w:rsid w:val="000C5AEF"/>
    <w:rsid w:val="000D1AD3"/>
    <w:rsid w:val="000D2295"/>
    <w:rsid w:val="000D7509"/>
    <w:rsid w:val="000E27DE"/>
    <w:rsid w:val="000E43EA"/>
    <w:rsid w:val="000E5E39"/>
    <w:rsid w:val="000E65E6"/>
    <w:rsid w:val="000E771D"/>
    <w:rsid w:val="000E7A13"/>
    <w:rsid w:val="000F574F"/>
    <w:rsid w:val="000F6261"/>
    <w:rsid w:val="000F6D4F"/>
    <w:rsid w:val="001003E3"/>
    <w:rsid w:val="001008A8"/>
    <w:rsid w:val="00100AF5"/>
    <w:rsid w:val="00101B22"/>
    <w:rsid w:val="00102050"/>
    <w:rsid w:val="00102491"/>
    <w:rsid w:val="00102A39"/>
    <w:rsid w:val="00104AEB"/>
    <w:rsid w:val="00105915"/>
    <w:rsid w:val="0010779C"/>
    <w:rsid w:val="00110154"/>
    <w:rsid w:val="00110980"/>
    <w:rsid w:val="00111D41"/>
    <w:rsid w:val="001120AB"/>
    <w:rsid w:val="001124B8"/>
    <w:rsid w:val="00113D0F"/>
    <w:rsid w:val="001143D0"/>
    <w:rsid w:val="0011451A"/>
    <w:rsid w:val="0011461B"/>
    <w:rsid w:val="00125496"/>
    <w:rsid w:val="0012584F"/>
    <w:rsid w:val="00125A67"/>
    <w:rsid w:val="00137268"/>
    <w:rsid w:val="0014284E"/>
    <w:rsid w:val="00142A28"/>
    <w:rsid w:val="00142B77"/>
    <w:rsid w:val="00144409"/>
    <w:rsid w:val="0014644E"/>
    <w:rsid w:val="00147179"/>
    <w:rsid w:val="00151F43"/>
    <w:rsid w:val="001547AB"/>
    <w:rsid w:val="001552EC"/>
    <w:rsid w:val="00155FA2"/>
    <w:rsid w:val="001569FF"/>
    <w:rsid w:val="00157962"/>
    <w:rsid w:val="00162A21"/>
    <w:rsid w:val="001656F7"/>
    <w:rsid w:val="0016638B"/>
    <w:rsid w:val="001663AA"/>
    <w:rsid w:val="00166554"/>
    <w:rsid w:val="00167724"/>
    <w:rsid w:val="00170710"/>
    <w:rsid w:val="0017100B"/>
    <w:rsid w:val="001721A2"/>
    <w:rsid w:val="0017264B"/>
    <w:rsid w:val="00172A27"/>
    <w:rsid w:val="00172BA9"/>
    <w:rsid w:val="00173D55"/>
    <w:rsid w:val="00175BC9"/>
    <w:rsid w:val="00175C1C"/>
    <w:rsid w:val="00182B83"/>
    <w:rsid w:val="00185C90"/>
    <w:rsid w:val="001865FE"/>
    <w:rsid w:val="00190033"/>
    <w:rsid w:val="0019417D"/>
    <w:rsid w:val="00196820"/>
    <w:rsid w:val="00196C35"/>
    <w:rsid w:val="001B0052"/>
    <w:rsid w:val="001B1BA7"/>
    <w:rsid w:val="001B3DDD"/>
    <w:rsid w:val="001B6F89"/>
    <w:rsid w:val="001C34C4"/>
    <w:rsid w:val="001C4A32"/>
    <w:rsid w:val="001C66C6"/>
    <w:rsid w:val="001D112C"/>
    <w:rsid w:val="001D23FC"/>
    <w:rsid w:val="001D336E"/>
    <w:rsid w:val="001D35CE"/>
    <w:rsid w:val="001D65A9"/>
    <w:rsid w:val="001E0E9E"/>
    <w:rsid w:val="001E4C7E"/>
    <w:rsid w:val="001E7571"/>
    <w:rsid w:val="001E7845"/>
    <w:rsid w:val="001F03B2"/>
    <w:rsid w:val="001F4732"/>
    <w:rsid w:val="001F503E"/>
    <w:rsid w:val="001F7372"/>
    <w:rsid w:val="0020340A"/>
    <w:rsid w:val="00203FD2"/>
    <w:rsid w:val="002105F5"/>
    <w:rsid w:val="002110E7"/>
    <w:rsid w:val="0021364A"/>
    <w:rsid w:val="002162F2"/>
    <w:rsid w:val="002170FE"/>
    <w:rsid w:val="002175A2"/>
    <w:rsid w:val="002213A8"/>
    <w:rsid w:val="00221682"/>
    <w:rsid w:val="00226475"/>
    <w:rsid w:val="0022695C"/>
    <w:rsid w:val="00233388"/>
    <w:rsid w:val="00235FCF"/>
    <w:rsid w:val="0024131F"/>
    <w:rsid w:val="0024181B"/>
    <w:rsid w:val="00241E27"/>
    <w:rsid w:val="00242051"/>
    <w:rsid w:val="00242EC5"/>
    <w:rsid w:val="00243E27"/>
    <w:rsid w:val="002453FF"/>
    <w:rsid w:val="0024787C"/>
    <w:rsid w:val="00247DD2"/>
    <w:rsid w:val="00255623"/>
    <w:rsid w:val="00257D52"/>
    <w:rsid w:val="00263CFA"/>
    <w:rsid w:val="0026457D"/>
    <w:rsid w:val="00271149"/>
    <w:rsid w:val="00280087"/>
    <w:rsid w:val="002811EF"/>
    <w:rsid w:val="0028369D"/>
    <w:rsid w:val="00287B51"/>
    <w:rsid w:val="00287FA8"/>
    <w:rsid w:val="002942E2"/>
    <w:rsid w:val="002948F1"/>
    <w:rsid w:val="0029675B"/>
    <w:rsid w:val="002A0294"/>
    <w:rsid w:val="002A3B03"/>
    <w:rsid w:val="002B1D8E"/>
    <w:rsid w:val="002B48C9"/>
    <w:rsid w:val="002B659B"/>
    <w:rsid w:val="002C11D1"/>
    <w:rsid w:val="002C22B4"/>
    <w:rsid w:val="002D1696"/>
    <w:rsid w:val="002D2DD7"/>
    <w:rsid w:val="002D6ECA"/>
    <w:rsid w:val="002D7C60"/>
    <w:rsid w:val="002E0101"/>
    <w:rsid w:val="002E0436"/>
    <w:rsid w:val="002E547C"/>
    <w:rsid w:val="002E5D90"/>
    <w:rsid w:val="002F0AD4"/>
    <w:rsid w:val="002F11FD"/>
    <w:rsid w:val="002F1E5A"/>
    <w:rsid w:val="002F6EB1"/>
    <w:rsid w:val="002F7116"/>
    <w:rsid w:val="002F7692"/>
    <w:rsid w:val="00305061"/>
    <w:rsid w:val="00305423"/>
    <w:rsid w:val="00305574"/>
    <w:rsid w:val="00307AAC"/>
    <w:rsid w:val="003130D4"/>
    <w:rsid w:val="003138A4"/>
    <w:rsid w:val="0031390C"/>
    <w:rsid w:val="00315437"/>
    <w:rsid w:val="00316C20"/>
    <w:rsid w:val="00320DF7"/>
    <w:rsid w:val="0032103B"/>
    <w:rsid w:val="00321274"/>
    <w:rsid w:val="00322C62"/>
    <w:rsid w:val="0032638F"/>
    <w:rsid w:val="00332BA7"/>
    <w:rsid w:val="00333C12"/>
    <w:rsid w:val="00340943"/>
    <w:rsid w:val="00340FA2"/>
    <w:rsid w:val="003420CA"/>
    <w:rsid w:val="00343E89"/>
    <w:rsid w:val="00344599"/>
    <w:rsid w:val="0035050E"/>
    <w:rsid w:val="00354577"/>
    <w:rsid w:val="00354659"/>
    <w:rsid w:val="0035544D"/>
    <w:rsid w:val="00355872"/>
    <w:rsid w:val="00360C1B"/>
    <w:rsid w:val="003618AA"/>
    <w:rsid w:val="00362F1C"/>
    <w:rsid w:val="0036624E"/>
    <w:rsid w:val="00370E79"/>
    <w:rsid w:val="00370EAD"/>
    <w:rsid w:val="0037293B"/>
    <w:rsid w:val="0037404A"/>
    <w:rsid w:val="003743AD"/>
    <w:rsid w:val="00374F15"/>
    <w:rsid w:val="00376B99"/>
    <w:rsid w:val="0038010D"/>
    <w:rsid w:val="0038235A"/>
    <w:rsid w:val="003854CC"/>
    <w:rsid w:val="003861DB"/>
    <w:rsid w:val="00387A01"/>
    <w:rsid w:val="0039195C"/>
    <w:rsid w:val="003926E1"/>
    <w:rsid w:val="00393F07"/>
    <w:rsid w:val="00396D1B"/>
    <w:rsid w:val="003A2252"/>
    <w:rsid w:val="003A2C56"/>
    <w:rsid w:val="003A56C9"/>
    <w:rsid w:val="003A71F3"/>
    <w:rsid w:val="003B3778"/>
    <w:rsid w:val="003B39FB"/>
    <w:rsid w:val="003B52F6"/>
    <w:rsid w:val="003B6F3A"/>
    <w:rsid w:val="003B7894"/>
    <w:rsid w:val="003C14F3"/>
    <w:rsid w:val="003C3D74"/>
    <w:rsid w:val="003D0537"/>
    <w:rsid w:val="003D095B"/>
    <w:rsid w:val="003D1059"/>
    <w:rsid w:val="003D34A2"/>
    <w:rsid w:val="003E12E6"/>
    <w:rsid w:val="003E17E9"/>
    <w:rsid w:val="003E3ABC"/>
    <w:rsid w:val="003E4544"/>
    <w:rsid w:val="003E4DD8"/>
    <w:rsid w:val="003E7B1D"/>
    <w:rsid w:val="003E7EF7"/>
    <w:rsid w:val="003F0C38"/>
    <w:rsid w:val="003F1A9B"/>
    <w:rsid w:val="003F310F"/>
    <w:rsid w:val="003F7F4B"/>
    <w:rsid w:val="0040164F"/>
    <w:rsid w:val="00401C65"/>
    <w:rsid w:val="00402EB0"/>
    <w:rsid w:val="00406CBA"/>
    <w:rsid w:val="0040724E"/>
    <w:rsid w:val="0041079D"/>
    <w:rsid w:val="004128B2"/>
    <w:rsid w:val="00412BAE"/>
    <w:rsid w:val="0041418C"/>
    <w:rsid w:val="0042026B"/>
    <w:rsid w:val="00422CC1"/>
    <w:rsid w:val="00423D47"/>
    <w:rsid w:val="0043063E"/>
    <w:rsid w:val="00430F2F"/>
    <w:rsid w:val="00434A3C"/>
    <w:rsid w:val="00435959"/>
    <w:rsid w:val="00435F21"/>
    <w:rsid w:val="0043608D"/>
    <w:rsid w:val="004415D7"/>
    <w:rsid w:val="0044188B"/>
    <w:rsid w:val="00441BF3"/>
    <w:rsid w:val="0044325D"/>
    <w:rsid w:val="00444F8C"/>
    <w:rsid w:val="004545C6"/>
    <w:rsid w:val="0045692E"/>
    <w:rsid w:val="00457415"/>
    <w:rsid w:val="00457C07"/>
    <w:rsid w:val="00463535"/>
    <w:rsid w:val="0046751A"/>
    <w:rsid w:val="00471915"/>
    <w:rsid w:val="00476FAD"/>
    <w:rsid w:val="004778C0"/>
    <w:rsid w:val="004824DB"/>
    <w:rsid w:val="00483272"/>
    <w:rsid w:val="00483409"/>
    <w:rsid w:val="00486766"/>
    <w:rsid w:val="00487302"/>
    <w:rsid w:val="00490B9A"/>
    <w:rsid w:val="0049219B"/>
    <w:rsid w:val="004928C1"/>
    <w:rsid w:val="0049443C"/>
    <w:rsid w:val="00495797"/>
    <w:rsid w:val="004A2201"/>
    <w:rsid w:val="004A4C65"/>
    <w:rsid w:val="004A66AE"/>
    <w:rsid w:val="004A7353"/>
    <w:rsid w:val="004B04E1"/>
    <w:rsid w:val="004B0D02"/>
    <w:rsid w:val="004B1AE9"/>
    <w:rsid w:val="004B28A8"/>
    <w:rsid w:val="004B6071"/>
    <w:rsid w:val="004C08D4"/>
    <w:rsid w:val="004C4088"/>
    <w:rsid w:val="004C56A5"/>
    <w:rsid w:val="004C653C"/>
    <w:rsid w:val="004C6878"/>
    <w:rsid w:val="004C755A"/>
    <w:rsid w:val="004D1964"/>
    <w:rsid w:val="004D1ADD"/>
    <w:rsid w:val="004D1CE8"/>
    <w:rsid w:val="004D4374"/>
    <w:rsid w:val="004D5435"/>
    <w:rsid w:val="004E290D"/>
    <w:rsid w:val="004E3C4D"/>
    <w:rsid w:val="004F2B46"/>
    <w:rsid w:val="004F32F5"/>
    <w:rsid w:val="004F3A03"/>
    <w:rsid w:val="004F630D"/>
    <w:rsid w:val="004F7513"/>
    <w:rsid w:val="004F7652"/>
    <w:rsid w:val="004F76B3"/>
    <w:rsid w:val="00506B4E"/>
    <w:rsid w:val="00511B3F"/>
    <w:rsid w:val="0051326A"/>
    <w:rsid w:val="005147CB"/>
    <w:rsid w:val="0051658F"/>
    <w:rsid w:val="00520BD5"/>
    <w:rsid w:val="0052132B"/>
    <w:rsid w:val="0052187C"/>
    <w:rsid w:val="00521A94"/>
    <w:rsid w:val="00530E7D"/>
    <w:rsid w:val="005317CF"/>
    <w:rsid w:val="00531CE5"/>
    <w:rsid w:val="00531D86"/>
    <w:rsid w:val="00532F0A"/>
    <w:rsid w:val="00533F0F"/>
    <w:rsid w:val="0054224C"/>
    <w:rsid w:val="00542824"/>
    <w:rsid w:val="00546232"/>
    <w:rsid w:val="00551799"/>
    <w:rsid w:val="00553B44"/>
    <w:rsid w:val="0055407D"/>
    <w:rsid w:val="0055534A"/>
    <w:rsid w:val="0055782C"/>
    <w:rsid w:val="00557C9D"/>
    <w:rsid w:val="005610ED"/>
    <w:rsid w:val="005618AE"/>
    <w:rsid w:val="00561DD0"/>
    <w:rsid w:val="00562C52"/>
    <w:rsid w:val="00564C62"/>
    <w:rsid w:val="00565EA8"/>
    <w:rsid w:val="00570F27"/>
    <w:rsid w:val="00571319"/>
    <w:rsid w:val="005722B1"/>
    <w:rsid w:val="005723F7"/>
    <w:rsid w:val="00572D68"/>
    <w:rsid w:val="005803A9"/>
    <w:rsid w:val="0058076F"/>
    <w:rsid w:val="00582996"/>
    <w:rsid w:val="005830BF"/>
    <w:rsid w:val="00583807"/>
    <w:rsid w:val="00583DC5"/>
    <w:rsid w:val="00585A89"/>
    <w:rsid w:val="0058705B"/>
    <w:rsid w:val="0058788D"/>
    <w:rsid w:val="00590B04"/>
    <w:rsid w:val="00591ECA"/>
    <w:rsid w:val="0059506F"/>
    <w:rsid w:val="0059683B"/>
    <w:rsid w:val="005969F0"/>
    <w:rsid w:val="00597C65"/>
    <w:rsid w:val="00597FC1"/>
    <w:rsid w:val="005A1CDF"/>
    <w:rsid w:val="005A312F"/>
    <w:rsid w:val="005A4A15"/>
    <w:rsid w:val="005A620B"/>
    <w:rsid w:val="005A6D07"/>
    <w:rsid w:val="005A6E42"/>
    <w:rsid w:val="005B0936"/>
    <w:rsid w:val="005B0985"/>
    <w:rsid w:val="005B17A7"/>
    <w:rsid w:val="005B1827"/>
    <w:rsid w:val="005B18FB"/>
    <w:rsid w:val="005B4B2C"/>
    <w:rsid w:val="005B50AB"/>
    <w:rsid w:val="005B53A7"/>
    <w:rsid w:val="005B6D6F"/>
    <w:rsid w:val="005C0E78"/>
    <w:rsid w:val="005C1BFA"/>
    <w:rsid w:val="005C445C"/>
    <w:rsid w:val="005D0F18"/>
    <w:rsid w:val="005D19F0"/>
    <w:rsid w:val="005D2CFD"/>
    <w:rsid w:val="005D337E"/>
    <w:rsid w:val="005D3961"/>
    <w:rsid w:val="005D4AA4"/>
    <w:rsid w:val="005E16A8"/>
    <w:rsid w:val="005E21FF"/>
    <w:rsid w:val="005E30D1"/>
    <w:rsid w:val="005E45DA"/>
    <w:rsid w:val="005F05DC"/>
    <w:rsid w:val="005F2401"/>
    <w:rsid w:val="005F372F"/>
    <w:rsid w:val="005F3DE9"/>
    <w:rsid w:val="005F4D56"/>
    <w:rsid w:val="005F4FBE"/>
    <w:rsid w:val="005F562D"/>
    <w:rsid w:val="005F5BA9"/>
    <w:rsid w:val="005F726B"/>
    <w:rsid w:val="0060046B"/>
    <w:rsid w:val="0060074A"/>
    <w:rsid w:val="00601FFA"/>
    <w:rsid w:val="00602047"/>
    <w:rsid w:val="00602E57"/>
    <w:rsid w:val="00604125"/>
    <w:rsid w:val="00604A43"/>
    <w:rsid w:val="00604CE7"/>
    <w:rsid w:val="00605729"/>
    <w:rsid w:val="00612E29"/>
    <w:rsid w:val="0061417B"/>
    <w:rsid w:val="006150E5"/>
    <w:rsid w:val="00616D3D"/>
    <w:rsid w:val="00617EF2"/>
    <w:rsid w:val="00620A31"/>
    <w:rsid w:val="00625487"/>
    <w:rsid w:val="00625DF0"/>
    <w:rsid w:val="006274D6"/>
    <w:rsid w:val="00631596"/>
    <w:rsid w:val="006323A0"/>
    <w:rsid w:val="006358D9"/>
    <w:rsid w:val="006359AB"/>
    <w:rsid w:val="0064037C"/>
    <w:rsid w:val="00641F13"/>
    <w:rsid w:val="00643DEA"/>
    <w:rsid w:val="00645A75"/>
    <w:rsid w:val="006474B8"/>
    <w:rsid w:val="00647A25"/>
    <w:rsid w:val="0065337B"/>
    <w:rsid w:val="00653451"/>
    <w:rsid w:val="00662DFE"/>
    <w:rsid w:val="00663FFF"/>
    <w:rsid w:val="00664BDF"/>
    <w:rsid w:val="0066528D"/>
    <w:rsid w:val="00665D77"/>
    <w:rsid w:val="006672AF"/>
    <w:rsid w:val="00667699"/>
    <w:rsid w:val="00670C30"/>
    <w:rsid w:val="00670D34"/>
    <w:rsid w:val="00673370"/>
    <w:rsid w:val="006752C8"/>
    <w:rsid w:val="00677DFD"/>
    <w:rsid w:val="00680604"/>
    <w:rsid w:val="006827C5"/>
    <w:rsid w:val="00684972"/>
    <w:rsid w:val="00687723"/>
    <w:rsid w:val="00690D30"/>
    <w:rsid w:val="00690D66"/>
    <w:rsid w:val="006914C8"/>
    <w:rsid w:val="00694028"/>
    <w:rsid w:val="006A0E1A"/>
    <w:rsid w:val="006A48EB"/>
    <w:rsid w:val="006A6AF0"/>
    <w:rsid w:val="006A7B1A"/>
    <w:rsid w:val="006A7FD5"/>
    <w:rsid w:val="006C0EE7"/>
    <w:rsid w:val="006C409B"/>
    <w:rsid w:val="006D0D8A"/>
    <w:rsid w:val="006D10EE"/>
    <w:rsid w:val="006D166C"/>
    <w:rsid w:val="006D2748"/>
    <w:rsid w:val="006D3599"/>
    <w:rsid w:val="006D3F68"/>
    <w:rsid w:val="006E0EB5"/>
    <w:rsid w:val="006E10A9"/>
    <w:rsid w:val="006E4189"/>
    <w:rsid w:val="006E4CF2"/>
    <w:rsid w:val="006E5044"/>
    <w:rsid w:val="006E6683"/>
    <w:rsid w:val="006E7109"/>
    <w:rsid w:val="006E7218"/>
    <w:rsid w:val="006F0CF7"/>
    <w:rsid w:val="006F384F"/>
    <w:rsid w:val="006F446B"/>
    <w:rsid w:val="00701CF1"/>
    <w:rsid w:val="00702E09"/>
    <w:rsid w:val="00706EA0"/>
    <w:rsid w:val="00707ABF"/>
    <w:rsid w:val="007102EA"/>
    <w:rsid w:val="00710617"/>
    <w:rsid w:val="007111A2"/>
    <w:rsid w:val="0071317A"/>
    <w:rsid w:val="00714ABB"/>
    <w:rsid w:val="00715694"/>
    <w:rsid w:val="00716625"/>
    <w:rsid w:val="00717213"/>
    <w:rsid w:val="007233F5"/>
    <w:rsid w:val="00724B42"/>
    <w:rsid w:val="00726898"/>
    <w:rsid w:val="007272B8"/>
    <w:rsid w:val="007301F2"/>
    <w:rsid w:val="00731A5D"/>
    <w:rsid w:val="007322F0"/>
    <w:rsid w:val="00733CEC"/>
    <w:rsid w:val="00734D3F"/>
    <w:rsid w:val="0073779C"/>
    <w:rsid w:val="00740EAD"/>
    <w:rsid w:val="00741455"/>
    <w:rsid w:val="00741776"/>
    <w:rsid w:val="007420BA"/>
    <w:rsid w:val="007421A4"/>
    <w:rsid w:val="00743492"/>
    <w:rsid w:val="00746A16"/>
    <w:rsid w:val="0075018D"/>
    <w:rsid w:val="00750892"/>
    <w:rsid w:val="00750F46"/>
    <w:rsid w:val="00753296"/>
    <w:rsid w:val="00755614"/>
    <w:rsid w:val="00762476"/>
    <w:rsid w:val="0076641F"/>
    <w:rsid w:val="007672FB"/>
    <w:rsid w:val="00767608"/>
    <w:rsid w:val="00780FAA"/>
    <w:rsid w:val="00781460"/>
    <w:rsid w:val="00783033"/>
    <w:rsid w:val="007853D0"/>
    <w:rsid w:val="007856FB"/>
    <w:rsid w:val="00785721"/>
    <w:rsid w:val="00787A27"/>
    <w:rsid w:val="00787ABF"/>
    <w:rsid w:val="00790299"/>
    <w:rsid w:val="0079167D"/>
    <w:rsid w:val="00793D88"/>
    <w:rsid w:val="00796785"/>
    <w:rsid w:val="007A3805"/>
    <w:rsid w:val="007A3876"/>
    <w:rsid w:val="007A447D"/>
    <w:rsid w:val="007A758A"/>
    <w:rsid w:val="007B1EEF"/>
    <w:rsid w:val="007B3110"/>
    <w:rsid w:val="007C073F"/>
    <w:rsid w:val="007C1630"/>
    <w:rsid w:val="007C4ACA"/>
    <w:rsid w:val="007D69AC"/>
    <w:rsid w:val="007E2D5F"/>
    <w:rsid w:val="007E39EF"/>
    <w:rsid w:val="007E4F42"/>
    <w:rsid w:val="007E5692"/>
    <w:rsid w:val="007E5C29"/>
    <w:rsid w:val="007F0C99"/>
    <w:rsid w:val="007F10D5"/>
    <w:rsid w:val="007F1919"/>
    <w:rsid w:val="007F2335"/>
    <w:rsid w:val="007F2501"/>
    <w:rsid w:val="007F48D9"/>
    <w:rsid w:val="007F5F8F"/>
    <w:rsid w:val="007F6949"/>
    <w:rsid w:val="00800169"/>
    <w:rsid w:val="00800D08"/>
    <w:rsid w:val="00800F37"/>
    <w:rsid w:val="00801676"/>
    <w:rsid w:val="00804106"/>
    <w:rsid w:val="008053C0"/>
    <w:rsid w:val="008113D8"/>
    <w:rsid w:val="00812129"/>
    <w:rsid w:val="008140D4"/>
    <w:rsid w:val="00814331"/>
    <w:rsid w:val="00815F0B"/>
    <w:rsid w:val="008164A9"/>
    <w:rsid w:val="00816F67"/>
    <w:rsid w:val="0082238E"/>
    <w:rsid w:val="00823C8D"/>
    <w:rsid w:val="00824939"/>
    <w:rsid w:val="008254F2"/>
    <w:rsid w:val="00827613"/>
    <w:rsid w:val="00830878"/>
    <w:rsid w:val="008315BA"/>
    <w:rsid w:val="008352C4"/>
    <w:rsid w:val="00835BB9"/>
    <w:rsid w:val="00835E66"/>
    <w:rsid w:val="00836094"/>
    <w:rsid w:val="00840241"/>
    <w:rsid w:val="008408E3"/>
    <w:rsid w:val="008459F4"/>
    <w:rsid w:val="00845B40"/>
    <w:rsid w:val="008466A1"/>
    <w:rsid w:val="00850951"/>
    <w:rsid w:val="008571A0"/>
    <w:rsid w:val="00860550"/>
    <w:rsid w:val="00860766"/>
    <w:rsid w:val="008611A7"/>
    <w:rsid w:val="008623F5"/>
    <w:rsid w:val="008654BC"/>
    <w:rsid w:val="00872F92"/>
    <w:rsid w:val="0087587E"/>
    <w:rsid w:val="0087611D"/>
    <w:rsid w:val="00881372"/>
    <w:rsid w:val="00883FE7"/>
    <w:rsid w:val="0088537A"/>
    <w:rsid w:val="00891051"/>
    <w:rsid w:val="00891E6E"/>
    <w:rsid w:val="008949F5"/>
    <w:rsid w:val="008958A5"/>
    <w:rsid w:val="008978C8"/>
    <w:rsid w:val="00897996"/>
    <w:rsid w:val="008A0505"/>
    <w:rsid w:val="008A1501"/>
    <w:rsid w:val="008A4386"/>
    <w:rsid w:val="008A6612"/>
    <w:rsid w:val="008A7993"/>
    <w:rsid w:val="008B04BC"/>
    <w:rsid w:val="008B0697"/>
    <w:rsid w:val="008B6C03"/>
    <w:rsid w:val="008C182C"/>
    <w:rsid w:val="008C206E"/>
    <w:rsid w:val="008C3711"/>
    <w:rsid w:val="008C3804"/>
    <w:rsid w:val="008C3830"/>
    <w:rsid w:val="008C7050"/>
    <w:rsid w:val="008D04FA"/>
    <w:rsid w:val="008D08AE"/>
    <w:rsid w:val="008D3BC4"/>
    <w:rsid w:val="008D52BB"/>
    <w:rsid w:val="008D62CE"/>
    <w:rsid w:val="008D6580"/>
    <w:rsid w:val="008E2AE8"/>
    <w:rsid w:val="008E377D"/>
    <w:rsid w:val="008E3A71"/>
    <w:rsid w:val="008E7F38"/>
    <w:rsid w:val="008F0671"/>
    <w:rsid w:val="008F0A89"/>
    <w:rsid w:val="008F1224"/>
    <w:rsid w:val="008F24D3"/>
    <w:rsid w:val="008F7174"/>
    <w:rsid w:val="00900268"/>
    <w:rsid w:val="0090465A"/>
    <w:rsid w:val="00904A0D"/>
    <w:rsid w:val="009057F7"/>
    <w:rsid w:val="00907C7B"/>
    <w:rsid w:val="00910066"/>
    <w:rsid w:val="00911DB9"/>
    <w:rsid w:val="00913230"/>
    <w:rsid w:val="00913DB4"/>
    <w:rsid w:val="00914D7A"/>
    <w:rsid w:val="00915E01"/>
    <w:rsid w:val="0091688B"/>
    <w:rsid w:val="009168C5"/>
    <w:rsid w:val="009205C6"/>
    <w:rsid w:val="00920ED1"/>
    <w:rsid w:val="009221EF"/>
    <w:rsid w:val="00922CD8"/>
    <w:rsid w:val="00923056"/>
    <w:rsid w:val="009235D2"/>
    <w:rsid w:val="00926301"/>
    <w:rsid w:val="00926761"/>
    <w:rsid w:val="00926D69"/>
    <w:rsid w:val="0093199E"/>
    <w:rsid w:val="0093289E"/>
    <w:rsid w:val="00932DB0"/>
    <w:rsid w:val="00934737"/>
    <w:rsid w:val="00934A1A"/>
    <w:rsid w:val="0093597A"/>
    <w:rsid w:val="00941A11"/>
    <w:rsid w:val="00942C83"/>
    <w:rsid w:val="009431E8"/>
    <w:rsid w:val="00946855"/>
    <w:rsid w:val="00946D6D"/>
    <w:rsid w:val="00950546"/>
    <w:rsid w:val="00954333"/>
    <w:rsid w:val="009545AC"/>
    <w:rsid w:val="00954C08"/>
    <w:rsid w:val="00957FD1"/>
    <w:rsid w:val="00960727"/>
    <w:rsid w:val="009609CE"/>
    <w:rsid w:val="00961323"/>
    <w:rsid w:val="009627AE"/>
    <w:rsid w:val="009629AF"/>
    <w:rsid w:val="00962CD2"/>
    <w:rsid w:val="00964680"/>
    <w:rsid w:val="00965E46"/>
    <w:rsid w:val="00966B62"/>
    <w:rsid w:val="00966CF0"/>
    <w:rsid w:val="009709C7"/>
    <w:rsid w:val="00970B30"/>
    <w:rsid w:val="009742E4"/>
    <w:rsid w:val="00974FE8"/>
    <w:rsid w:val="009754DB"/>
    <w:rsid w:val="009764AC"/>
    <w:rsid w:val="00980C53"/>
    <w:rsid w:val="009841C6"/>
    <w:rsid w:val="00984699"/>
    <w:rsid w:val="00984F19"/>
    <w:rsid w:val="009856CF"/>
    <w:rsid w:val="00986957"/>
    <w:rsid w:val="009904FF"/>
    <w:rsid w:val="009920CE"/>
    <w:rsid w:val="00992BC4"/>
    <w:rsid w:val="009930BE"/>
    <w:rsid w:val="00995099"/>
    <w:rsid w:val="00995292"/>
    <w:rsid w:val="00996396"/>
    <w:rsid w:val="009A22AC"/>
    <w:rsid w:val="009A4953"/>
    <w:rsid w:val="009A49B4"/>
    <w:rsid w:val="009B1FD2"/>
    <w:rsid w:val="009B4AF9"/>
    <w:rsid w:val="009B61C9"/>
    <w:rsid w:val="009B6B75"/>
    <w:rsid w:val="009C2E4C"/>
    <w:rsid w:val="009C5A0D"/>
    <w:rsid w:val="009C5FAE"/>
    <w:rsid w:val="009C6AD9"/>
    <w:rsid w:val="009C6FD9"/>
    <w:rsid w:val="009D0A1A"/>
    <w:rsid w:val="009D125B"/>
    <w:rsid w:val="009E4118"/>
    <w:rsid w:val="009E7975"/>
    <w:rsid w:val="009E7DF9"/>
    <w:rsid w:val="009F09E0"/>
    <w:rsid w:val="009F2971"/>
    <w:rsid w:val="009F29EC"/>
    <w:rsid w:val="00A003AD"/>
    <w:rsid w:val="00A02827"/>
    <w:rsid w:val="00A03FBA"/>
    <w:rsid w:val="00A05278"/>
    <w:rsid w:val="00A055FE"/>
    <w:rsid w:val="00A06C4D"/>
    <w:rsid w:val="00A07E11"/>
    <w:rsid w:val="00A1029B"/>
    <w:rsid w:val="00A10A1D"/>
    <w:rsid w:val="00A113FD"/>
    <w:rsid w:val="00A1410C"/>
    <w:rsid w:val="00A15370"/>
    <w:rsid w:val="00A15E27"/>
    <w:rsid w:val="00A250F8"/>
    <w:rsid w:val="00A25298"/>
    <w:rsid w:val="00A25482"/>
    <w:rsid w:val="00A254D7"/>
    <w:rsid w:val="00A2675C"/>
    <w:rsid w:val="00A32C55"/>
    <w:rsid w:val="00A40762"/>
    <w:rsid w:val="00A422CF"/>
    <w:rsid w:val="00A46FA8"/>
    <w:rsid w:val="00A47053"/>
    <w:rsid w:val="00A47146"/>
    <w:rsid w:val="00A479C4"/>
    <w:rsid w:val="00A522CE"/>
    <w:rsid w:val="00A555EE"/>
    <w:rsid w:val="00A56859"/>
    <w:rsid w:val="00A56C62"/>
    <w:rsid w:val="00A577DE"/>
    <w:rsid w:val="00A60DF8"/>
    <w:rsid w:val="00A620AB"/>
    <w:rsid w:val="00A640FD"/>
    <w:rsid w:val="00A64335"/>
    <w:rsid w:val="00A65854"/>
    <w:rsid w:val="00A6685F"/>
    <w:rsid w:val="00A72115"/>
    <w:rsid w:val="00A72D09"/>
    <w:rsid w:val="00A74E68"/>
    <w:rsid w:val="00A801BA"/>
    <w:rsid w:val="00A81160"/>
    <w:rsid w:val="00A839C6"/>
    <w:rsid w:val="00A848FB"/>
    <w:rsid w:val="00A853DE"/>
    <w:rsid w:val="00A855CB"/>
    <w:rsid w:val="00A85CAA"/>
    <w:rsid w:val="00A86B30"/>
    <w:rsid w:val="00A900E0"/>
    <w:rsid w:val="00A92838"/>
    <w:rsid w:val="00A93A14"/>
    <w:rsid w:val="00A9585F"/>
    <w:rsid w:val="00A96C9E"/>
    <w:rsid w:val="00AA04D0"/>
    <w:rsid w:val="00AA0C2A"/>
    <w:rsid w:val="00AA1324"/>
    <w:rsid w:val="00AA2321"/>
    <w:rsid w:val="00AA2441"/>
    <w:rsid w:val="00AB02DA"/>
    <w:rsid w:val="00AB32B1"/>
    <w:rsid w:val="00AB49D1"/>
    <w:rsid w:val="00AB4BF5"/>
    <w:rsid w:val="00AB7C26"/>
    <w:rsid w:val="00AC101F"/>
    <w:rsid w:val="00AC2C4F"/>
    <w:rsid w:val="00AC3B64"/>
    <w:rsid w:val="00AC3EDE"/>
    <w:rsid w:val="00AC3FE6"/>
    <w:rsid w:val="00AC625A"/>
    <w:rsid w:val="00AC6FF0"/>
    <w:rsid w:val="00AC768A"/>
    <w:rsid w:val="00AD0ECB"/>
    <w:rsid w:val="00AD3B41"/>
    <w:rsid w:val="00AD49E5"/>
    <w:rsid w:val="00AD4D0E"/>
    <w:rsid w:val="00AD6EF7"/>
    <w:rsid w:val="00AD7E6B"/>
    <w:rsid w:val="00AE08FD"/>
    <w:rsid w:val="00AE3BC3"/>
    <w:rsid w:val="00AE712E"/>
    <w:rsid w:val="00AE745C"/>
    <w:rsid w:val="00AF11A6"/>
    <w:rsid w:val="00AF13A3"/>
    <w:rsid w:val="00B002CE"/>
    <w:rsid w:val="00B067E4"/>
    <w:rsid w:val="00B06F9E"/>
    <w:rsid w:val="00B07982"/>
    <w:rsid w:val="00B07CA9"/>
    <w:rsid w:val="00B1707A"/>
    <w:rsid w:val="00B17301"/>
    <w:rsid w:val="00B209F5"/>
    <w:rsid w:val="00B2153A"/>
    <w:rsid w:val="00B2459A"/>
    <w:rsid w:val="00B247EB"/>
    <w:rsid w:val="00B25454"/>
    <w:rsid w:val="00B25842"/>
    <w:rsid w:val="00B33F90"/>
    <w:rsid w:val="00B34CB6"/>
    <w:rsid w:val="00B35994"/>
    <w:rsid w:val="00B375CA"/>
    <w:rsid w:val="00B42507"/>
    <w:rsid w:val="00B42516"/>
    <w:rsid w:val="00B44257"/>
    <w:rsid w:val="00B47438"/>
    <w:rsid w:val="00B518CA"/>
    <w:rsid w:val="00B51C9B"/>
    <w:rsid w:val="00B54B21"/>
    <w:rsid w:val="00B56721"/>
    <w:rsid w:val="00B632B5"/>
    <w:rsid w:val="00B63E95"/>
    <w:rsid w:val="00B71E1C"/>
    <w:rsid w:val="00B72616"/>
    <w:rsid w:val="00B75166"/>
    <w:rsid w:val="00B7705F"/>
    <w:rsid w:val="00B84F60"/>
    <w:rsid w:val="00B85F01"/>
    <w:rsid w:val="00B9004E"/>
    <w:rsid w:val="00B90CFA"/>
    <w:rsid w:val="00B91053"/>
    <w:rsid w:val="00B91C7B"/>
    <w:rsid w:val="00B91FFF"/>
    <w:rsid w:val="00B93C5E"/>
    <w:rsid w:val="00B94EBE"/>
    <w:rsid w:val="00B9534F"/>
    <w:rsid w:val="00B95CB7"/>
    <w:rsid w:val="00B962F1"/>
    <w:rsid w:val="00B965C9"/>
    <w:rsid w:val="00B970F5"/>
    <w:rsid w:val="00BA2C09"/>
    <w:rsid w:val="00BA3591"/>
    <w:rsid w:val="00BA36C4"/>
    <w:rsid w:val="00BA7D5F"/>
    <w:rsid w:val="00BB3261"/>
    <w:rsid w:val="00BB3922"/>
    <w:rsid w:val="00BB678B"/>
    <w:rsid w:val="00BB6C0C"/>
    <w:rsid w:val="00BC16DE"/>
    <w:rsid w:val="00BC1CC1"/>
    <w:rsid w:val="00BC5C79"/>
    <w:rsid w:val="00BC797C"/>
    <w:rsid w:val="00BD234D"/>
    <w:rsid w:val="00BD6071"/>
    <w:rsid w:val="00BD6ADA"/>
    <w:rsid w:val="00BD73FC"/>
    <w:rsid w:val="00BE26E3"/>
    <w:rsid w:val="00BE39CC"/>
    <w:rsid w:val="00BE3BB9"/>
    <w:rsid w:val="00BE3F43"/>
    <w:rsid w:val="00BE4E6A"/>
    <w:rsid w:val="00BE5036"/>
    <w:rsid w:val="00BE53FC"/>
    <w:rsid w:val="00BE69CD"/>
    <w:rsid w:val="00BF2DF0"/>
    <w:rsid w:val="00BF4FA0"/>
    <w:rsid w:val="00C0208F"/>
    <w:rsid w:val="00C04E8B"/>
    <w:rsid w:val="00C05D76"/>
    <w:rsid w:val="00C071BD"/>
    <w:rsid w:val="00C10ABE"/>
    <w:rsid w:val="00C12A32"/>
    <w:rsid w:val="00C15B3A"/>
    <w:rsid w:val="00C15B55"/>
    <w:rsid w:val="00C17AD8"/>
    <w:rsid w:val="00C17F35"/>
    <w:rsid w:val="00C221B9"/>
    <w:rsid w:val="00C23A45"/>
    <w:rsid w:val="00C24938"/>
    <w:rsid w:val="00C259FE"/>
    <w:rsid w:val="00C2632A"/>
    <w:rsid w:val="00C265BA"/>
    <w:rsid w:val="00C2676F"/>
    <w:rsid w:val="00C27FD9"/>
    <w:rsid w:val="00C31EC4"/>
    <w:rsid w:val="00C32F95"/>
    <w:rsid w:val="00C33C76"/>
    <w:rsid w:val="00C35C88"/>
    <w:rsid w:val="00C41348"/>
    <w:rsid w:val="00C429A5"/>
    <w:rsid w:val="00C4415C"/>
    <w:rsid w:val="00C459AD"/>
    <w:rsid w:val="00C47773"/>
    <w:rsid w:val="00C47926"/>
    <w:rsid w:val="00C47A41"/>
    <w:rsid w:val="00C53022"/>
    <w:rsid w:val="00C530AA"/>
    <w:rsid w:val="00C5339E"/>
    <w:rsid w:val="00C53C14"/>
    <w:rsid w:val="00C53C64"/>
    <w:rsid w:val="00C555BB"/>
    <w:rsid w:val="00C60DA2"/>
    <w:rsid w:val="00C618E4"/>
    <w:rsid w:val="00C634C4"/>
    <w:rsid w:val="00C635BD"/>
    <w:rsid w:val="00C63969"/>
    <w:rsid w:val="00C6528F"/>
    <w:rsid w:val="00C67361"/>
    <w:rsid w:val="00C72A8A"/>
    <w:rsid w:val="00C80363"/>
    <w:rsid w:val="00C80B87"/>
    <w:rsid w:val="00C847A4"/>
    <w:rsid w:val="00C86D6E"/>
    <w:rsid w:val="00C90209"/>
    <w:rsid w:val="00C908B2"/>
    <w:rsid w:val="00C95123"/>
    <w:rsid w:val="00C963A1"/>
    <w:rsid w:val="00CA0913"/>
    <w:rsid w:val="00CA13CB"/>
    <w:rsid w:val="00CA1ABB"/>
    <w:rsid w:val="00CA7678"/>
    <w:rsid w:val="00CA7CD6"/>
    <w:rsid w:val="00CB2256"/>
    <w:rsid w:val="00CB33D2"/>
    <w:rsid w:val="00CB680D"/>
    <w:rsid w:val="00CB77BE"/>
    <w:rsid w:val="00CB7D76"/>
    <w:rsid w:val="00CC21CD"/>
    <w:rsid w:val="00CC2389"/>
    <w:rsid w:val="00CC2B9B"/>
    <w:rsid w:val="00CC2D11"/>
    <w:rsid w:val="00CC3D6F"/>
    <w:rsid w:val="00CC57D2"/>
    <w:rsid w:val="00CC6324"/>
    <w:rsid w:val="00CC6670"/>
    <w:rsid w:val="00CC6683"/>
    <w:rsid w:val="00CD34CF"/>
    <w:rsid w:val="00CD40DD"/>
    <w:rsid w:val="00CD4D9E"/>
    <w:rsid w:val="00CD5501"/>
    <w:rsid w:val="00CD6BEA"/>
    <w:rsid w:val="00CE0482"/>
    <w:rsid w:val="00CE21A7"/>
    <w:rsid w:val="00CE34FF"/>
    <w:rsid w:val="00CE76C7"/>
    <w:rsid w:val="00CE7B32"/>
    <w:rsid w:val="00CF0B7E"/>
    <w:rsid w:val="00CF30D5"/>
    <w:rsid w:val="00CF6B75"/>
    <w:rsid w:val="00D01C98"/>
    <w:rsid w:val="00D04CB2"/>
    <w:rsid w:val="00D0516F"/>
    <w:rsid w:val="00D05A43"/>
    <w:rsid w:val="00D078F7"/>
    <w:rsid w:val="00D07CA9"/>
    <w:rsid w:val="00D10112"/>
    <w:rsid w:val="00D10280"/>
    <w:rsid w:val="00D16CCF"/>
    <w:rsid w:val="00D22693"/>
    <w:rsid w:val="00D233AE"/>
    <w:rsid w:val="00D24393"/>
    <w:rsid w:val="00D24FA3"/>
    <w:rsid w:val="00D26227"/>
    <w:rsid w:val="00D2730B"/>
    <w:rsid w:val="00D3127C"/>
    <w:rsid w:val="00D32586"/>
    <w:rsid w:val="00D349F1"/>
    <w:rsid w:val="00D3551E"/>
    <w:rsid w:val="00D37DAA"/>
    <w:rsid w:val="00D404DD"/>
    <w:rsid w:val="00D42488"/>
    <w:rsid w:val="00D50F0A"/>
    <w:rsid w:val="00D51315"/>
    <w:rsid w:val="00D51455"/>
    <w:rsid w:val="00D520D7"/>
    <w:rsid w:val="00D54A88"/>
    <w:rsid w:val="00D56F72"/>
    <w:rsid w:val="00D618F4"/>
    <w:rsid w:val="00D64266"/>
    <w:rsid w:val="00D66F64"/>
    <w:rsid w:val="00D671C5"/>
    <w:rsid w:val="00D70C60"/>
    <w:rsid w:val="00D71061"/>
    <w:rsid w:val="00D71D1E"/>
    <w:rsid w:val="00D72BA0"/>
    <w:rsid w:val="00D76F4D"/>
    <w:rsid w:val="00D80167"/>
    <w:rsid w:val="00D80A46"/>
    <w:rsid w:val="00D8277E"/>
    <w:rsid w:val="00D869F1"/>
    <w:rsid w:val="00D87B0D"/>
    <w:rsid w:val="00D9095B"/>
    <w:rsid w:val="00D91644"/>
    <w:rsid w:val="00D9379D"/>
    <w:rsid w:val="00D956C9"/>
    <w:rsid w:val="00D95D01"/>
    <w:rsid w:val="00D96916"/>
    <w:rsid w:val="00DA0D03"/>
    <w:rsid w:val="00DA0EB7"/>
    <w:rsid w:val="00DA4425"/>
    <w:rsid w:val="00DB04F6"/>
    <w:rsid w:val="00DB0816"/>
    <w:rsid w:val="00DB5CD2"/>
    <w:rsid w:val="00DB744D"/>
    <w:rsid w:val="00DC03BB"/>
    <w:rsid w:val="00DC1784"/>
    <w:rsid w:val="00DC41A7"/>
    <w:rsid w:val="00DC4DA0"/>
    <w:rsid w:val="00DC53CC"/>
    <w:rsid w:val="00DC7AB6"/>
    <w:rsid w:val="00DD04DC"/>
    <w:rsid w:val="00DD1362"/>
    <w:rsid w:val="00DD2025"/>
    <w:rsid w:val="00DD48AE"/>
    <w:rsid w:val="00DD4C56"/>
    <w:rsid w:val="00DD50AE"/>
    <w:rsid w:val="00DD60EE"/>
    <w:rsid w:val="00DD704E"/>
    <w:rsid w:val="00DE05CB"/>
    <w:rsid w:val="00DE4F1F"/>
    <w:rsid w:val="00DE55E2"/>
    <w:rsid w:val="00DE6522"/>
    <w:rsid w:val="00DE7798"/>
    <w:rsid w:val="00DE793E"/>
    <w:rsid w:val="00DF169C"/>
    <w:rsid w:val="00DF3B2A"/>
    <w:rsid w:val="00E00E21"/>
    <w:rsid w:val="00E051D1"/>
    <w:rsid w:val="00E07139"/>
    <w:rsid w:val="00E1093F"/>
    <w:rsid w:val="00E16135"/>
    <w:rsid w:val="00E16312"/>
    <w:rsid w:val="00E250D2"/>
    <w:rsid w:val="00E25E68"/>
    <w:rsid w:val="00E2704E"/>
    <w:rsid w:val="00E27FF5"/>
    <w:rsid w:val="00E31B4F"/>
    <w:rsid w:val="00E326EA"/>
    <w:rsid w:val="00E332F1"/>
    <w:rsid w:val="00E359DB"/>
    <w:rsid w:val="00E37C7C"/>
    <w:rsid w:val="00E404D9"/>
    <w:rsid w:val="00E41B21"/>
    <w:rsid w:val="00E43A5B"/>
    <w:rsid w:val="00E4473A"/>
    <w:rsid w:val="00E45487"/>
    <w:rsid w:val="00E47A02"/>
    <w:rsid w:val="00E501C4"/>
    <w:rsid w:val="00E61D32"/>
    <w:rsid w:val="00E62524"/>
    <w:rsid w:val="00E63254"/>
    <w:rsid w:val="00E72EA1"/>
    <w:rsid w:val="00E733EA"/>
    <w:rsid w:val="00E74314"/>
    <w:rsid w:val="00E75414"/>
    <w:rsid w:val="00E75FAE"/>
    <w:rsid w:val="00E807BF"/>
    <w:rsid w:val="00E82012"/>
    <w:rsid w:val="00E8404D"/>
    <w:rsid w:val="00E84420"/>
    <w:rsid w:val="00E86473"/>
    <w:rsid w:val="00E916BE"/>
    <w:rsid w:val="00E92A13"/>
    <w:rsid w:val="00E92D62"/>
    <w:rsid w:val="00E93200"/>
    <w:rsid w:val="00E94225"/>
    <w:rsid w:val="00E9574B"/>
    <w:rsid w:val="00E9584B"/>
    <w:rsid w:val="00E96F78"/>
    <w:rsid w:val="00EA1B19"/>
    <w:rsid w:val="00EA2251"/>
    <w:rsid w:val="00EA4558"/>
    <w:rsid w:val="00EA66B7"/>
    <w:rsid w:val="00EB1904"/>
    <w:rsid w:val="00EB1D97"/>
    <w:rsid w:val="00EB2B05"/>
    <w:rsid w:val="00EB5639"/>
    <w:rsid w:val="00EB56F8"/>
    <w:rsid w:val="00EB5964"/>
    <w:rsid w:val="00EB5AE8"/>
    <w:rsid w:val="00EB6E6C"/>
    <w:rsid w:val="00EC585D"/>
    <w:rsid w:val="00EC6D42"/>
    <w:rsid w:val="00ED0544"/>
    <w:rsid w:val="00ED2A8F"/>
    <w:rsid w:val="00ED37D6"/>
    <w:rsid w:val="00ED4CB1"/>
    <w:rsid w:val="00ED4EDC"/>
    <w:rsid w:val="00ED4F81"/>
    <w:rsid w:val="00ED685B"/>
    <w:rsid w:val="00ED7A10"/>
    <w:rsid w:val="00EE2480"/>
    <w:rsid w:val="00EE6F62"/>
    <w:rsid w:val="00EE72A6"/>
    <w:rsid w:val="00EF0711"/>
    <w:rsid w:val="00EF1796"/>
    <w:rsid w:val="00EF1BFE"/>
    <w:rsid w:val="00EF3699"/>
    <w:rsid w:val="00EF4565"/>
    <w:rsid w:val="00F022FA"/>
    <w:rsid w:val="00F02DF0"/>
    <w:rsid w:val="00F0426B"/>
    <w:rsid w:val="00F07D20"/>
    <w:rsid w:val="00F102D0"/>
    <w:rsid w:val="00F12585"/>
    <w:rsid w:val="00F1339D"/>
    <w:rsid w:val="00F13DC7"/>
    <w:rsid w:val="00F1756E"/>
    <w:rsid w:val="00F2075E"/>
    <w:rsid w:val="00F222F2"/>
    <w:rsid w:val="00F224B6"/>
    <w:rsid w:val="00F22DE2"/>
    <w:rsid w:val="00F24CBE"/>
    <w:rsid w:val="00F34219"/>
    <w:rsid w:val="00F34C70"/>
    <w:rsid w:val="00F36560"/>
    <w:rsid w:val="00F37201"/>
    <w:rsid w:val="00F373C8"/>
    <w:rsid w:val="00F41F69"/>
    <w:rsid w:val="00F43EEC"/>
    <w:rsid w:val="00F44318"/>
    <w:rsid w:val="00F44B83"/>
    <w:rsid w:val="00F44D9E"/>
    <w:rsid w:val="00F45632"/>
    <w:rsid w:val="00F46CBF"/>
    <w:rsid w:val="00F4701B"/>
    <w:rsid w:val="00F50FA3"/>
    <w:rsid w:val="00F53A97"/>
    <w:rsid w:val="00F53DFE"/>
    <w:rsid w:val="00F53FF8"/>
    <w:rsid w:val="00F636AF"/>
    <w:rsid w:val="00F63E94"/>
    <w:rsid w:val="00F64294"/>
    <w:rsid w:val="00F65147"/>
    <w:rsid w:val="00F67F9F"/>
    <w:rsid w:val="00F72500"/>
    <w:rsid w:val="00F73E7E"/>
    <w:rsid w:val="00F74C0D"/>
    <w:rsid w:val="00F75DE1"/>
    <w:rsid w:val="00F84629"/>
    <w:rsid w:val="00F85434"/>
    <w:rsid w:val="00F86430"/>
    <w:rsid w:val="00F87747"/>
    <w:rsid w:val="00F9216D"/>
    <w:rsid w:val="00F92BEA"/>
    <w:rsid w:val="00F93FDE"/>
    <w:rsid w:val="00F95D5B"/>
    <w:rsid w:val="00F96731"/>
    <w:rsid w:val="00FA426B"/>
    <w:rsid w:val="00FA4680"/>
    <w:rsid w:val="00FA6064"/>
    <w:rsid w:val="00FA6BE0"/>
    <w:rsid w:val="00FA719F"/>
    <w:rsid w:val="00FB2327"/>
    <w:rsid w:val="00FB300B"/>
    <w:rsid w:val="00FB3395"/>
    <w:rsid w:val="00FB389D"/>
    <w:rsid w:val="00FB456E"/>
    <w:rsid w:val="00FB4956"/>
    <w:rsid w:val="00FB6662"/>
    <w:rsid w:val="00FB72AB"/>
    <w:rsid w:val="00FC0801"/>
    <w:rsid w:val="00FC138A"/>
    <w:rsid w:val="00FD1E3B"/>
    <w:rsid w:val="00FD667C"/>
    <w:rsid w:val="00FD67BB"/>
    <w:rsid w:val="00FD742A"/>
    <w:rsid w:val="00FE1A48"/>
    <w:rsid w:val="00FF01AD"/>
    <w:rsid w:val="00FF2773"/>
    <w:rsid w:val="00FF61BB"/>
    <w:rsid w:val="00FF6EC0"/>
    <w:rsid w:val="018C511F"/>
    <w:rsid w:val="01CB787F"/>
    <w:rsid w:val="02807478"/>
    <w:rsid w:val="03341022"/>
    <w:rsid w:val="040947ED"/>
    <w:rsid w:val="04617761"/>
    <w:rsid w:val="04761111"/>
    <w:rsid w:val="04947F5A"/>
    <w:rsid w:val="052744F8"/>
    <w:rsid w:val="05BA4EF9"/>
    <w:rsid w:val="06AC0165"/>
    <w:rsid w:val="07096FE2"/>
    <w:rsid w:val="073358E7"/>
    <w:rsid w:val="07510134"/>
    <w:rsid w:val="077371B3"/>
    <w:rsid w:val="07884928"/>
    <w:rsid w:val="07BD72DD"/>
    <w:rsid w:val="07DE1068"/>
    <w:rsid w:val="086264D6"/>
    <w:rsid w:val="09243D8D"/>
    <w:rsid w:val="093D3BAF"/>
    <w:rsid w:val="095D52C3"/>
    <w:rsid w:val="0A2E677B"/>
    <w:rsid w:val="0ADB1A92"/>
    <w:rsid w:val="0AFB23F4"/>
    <w:rsid w:val="0B1442E6"/>
    <w:rsid w:val="0D0B32E5"/>
    <w:rsid w:val="0D1B1D8F"/>
    <w:rsid w:val="0D4A7916"/>
    <w:rsid w:val="0D97750F"/>
    <w:rsid w:val="0DB7340A"/>
    <w:rsid w:val="0E4A3DE9"/>
    <w:rsid w:val="10EF334A"/>
    <w:rsid w:val="11AA3FA2"/>
    <w:rsid w:val="11E0199E"/>
    <w:rsid w:val="12796067"/>
    <w:rsid w:val="12DF5A26"/>
    <w:rsid w:val="137E3F3D"/>
    <w:rsid w:val="156318BC"/>
    <w:rsid w:val="158E3906"/>
    <w:rsid w:val="15DB62C5"/>
    <w:rsid w:val="166B062B"/>
    <w:rsid w:val="16712507"/>
    <w:rsid w:val="17493D47"/>
    <w:rsid w:val="18BB730A"/>
    <w:rsid w:val="193F1346"/>
    <w:rsid w:val="19426C25"/>
    <w:rsid w:val="195C12FB"/>
    <w:rsid w:val="195F73F8"/>
    <w:rsid w:val="19C02812"/>
    <w:rsid w:val="1A7D2AEE"/>
    <w:rsid w:val="1B994256"/>
    <w:rsid w:val="1BD70BDA"/>
    <w:rsid w:val="1C970315"/>
    <w:rsid w:val="1CC6732C"/>
    <w:rsid w:val="1D3539EA"/>
    <w:rsid w:val="1D354A6D"/>
    <w:rsid w:val="1D6E491E"/>
    <w:rsid w:val="1E7E1133"/>
    <w:rsid w:val="1EDF1002"/>
    <w:rsid w:val="1F9F477A"/>
    <w:rsid w:val="1FB81D1F"/>
    <w:rsid w:val="20443322"/>
    <w:rsid w:val="220973E8"/>
    <w:rsid w:val="22494D05"/>
    <w:rsid w:val="22821F92"/>
    <w:rsid w:val="230B504D"/>
    <w:rsid w:val="247A01AA"/>
    <w:rsid w:val="27707E71"/>
    <w:rsid w:val="27F7686C"/>
    <w:rsid w:val="285F150C"/>
    <w:rsid w:val="286B05A2"/>
    <w:rsid w:val="286B6104"/>
    <w:rsid w:val="28E013B1"/>
    <w:rsid w:val="297702D9"/>
    <w:rsid w:val="29A50137"/>
    <w:rsid w:val="2A452A5E"/>
    <w:rsid w:val="2A53162F"/>
    <w:rsid w:val="2AC46077"/>
    <w:rsid w:val="2B897E55"/>
    <w:rsid w:val="2BB6275B"/>
    <w:rsid w:val="2BCF59AE"/>
    <w:rsid w:val="2C1B03B9"/>
    <w:rsid w:val="2C8D67BE"/>
    <w:rsid w:val="2CEB4A6F"/>
    <w:rsid w:val="2D4964B6"/>
    <w:rsid w:val="2D52365A"/>
    <w:rsid w:val="2DD74621"/>
    <w:rsid w:val="307C04C7"/>
    <w:rsid w:val="30993DD7"/>
    <w:rsid w:val="30BA277D"/>
    <w:rsid w:val="31933D9E"/>
    <w:rsid w:val="322177F4"/>
    <w:rsid w:val="33932C2D"/>
    <w:rsid w:val="33B40DF4"/>
    <w:rsid w:val="349D73F0"/>
    <w:rsid w:val="34A268D7"/>
    <w:rsid w:val="35406D03"/>
    <w:rsid w:val="374E3EC0"/>
    <w:rsid w:val="376B33AD"/>
    <w:rsid w:val="37C806A3"/>
    <w:rsid w:val="37EC0A5A"/>
    <w:rsid w:val="38544D00"/>
    <w:rsid w:val="3A6802A5"/>
    <w:rsid w:val="3AD3265F"/>
    <w:rsid w:val="3BEC00B3"/>
    <w:rsid w:val="3C82326A"/>
    <w:rsid w:val="3D68607E"/>
    <w:rsid w:val="3DEC0084"/>
    <w:rsid w:val="3DEF2E19"/>
    <w:rsid w:val="3EB00063"/>
    <w:rsid w:val="3EEB0364"/>
    <w:rsid w:val="3F66735B"/>
    <w:rsid w:val="3F6A5BDB"/>
    <w:rsid w:val="3F725AD2"/>
    <w:rsid w:val="40D0140C"/>
    <w:rsid w:val="41282D9D"/>
    <w:rsid w:val="42DA3ABA"/>
    <w:rsid w:val="4302739C"/>
    <w:rsid w:val="445E5C0F"/>
    <w:rsid w:val="44827575"/>
    <w:rsid w:val="456F53F4"/>
    <w:rsid w:val="459C0517"/>
    <w:rsid w:val="45F57F34"/>
    <w:rsid w:val="46CC56B6"/>
    <w:rsid w:val="46E76858"/>
    <w:rsid w:val="47B2418A"/>
    <w:rsid w:val="481B363D"/>
    <w:rsid w:val="4A5C0EE8"/>
    <w:rsid w:val="4A8621AC"/>
    <w:rsid w:val="4AB5240B"/>
    <w:rsid w:val="4AF40882"/>
    <w:rsid w:val="4B276488"/>
    <w:rsid w:val="4B381718"/>
    <w:rsid w:val="4BBC2ACE"/>
    <w:rsid w:val="4C0201CC"/>
    <w:rsid w:val="4C203160"/>
    <w:rsid w:val="4C3A1985"/>
    <w:rsid w:val="4C5E44D6"/>
    <w:rsid w:val="4CAD105A"/>
    <w:rsid w:val="4D253C65"/>
    <w:rsid w:val="4DFF09DF"/>
    <w:rsid w:val="4E77004F"/>
    <w:rsid w:val="4E7D5CA0"/>
    <w:rsid w:val="4EE27A42"/>
    <w:rsid w:val="4FB470CF"/>
    <w:rsid w:val="5064163B"/>
    <w:rsid w:val="50836132"/>
    <w:rsid w:val="50D907D3"/>
    <w:rsid w:val="518B37BC"/>
    <w:rsid w:val="51D26919"/>
    <w:rsid w:val="52244978"/>
    <w:rsid w:val="525D2BCE"/>
    <w:rsid w:val="52772F83"/>
    <w:rsid w:val="52937D42"/>
    <w:rsid w:val="53CD7439"/>
    <w:rsid w:val="53E47214"/>
    <w:rsid w:val="53F35BEC"/>
    <w:rsid w:val="54413E06"/>
    <w:rsid w:val="544D6AAE"/>
    <w:rsid w:val="550B1F0F"/>
    <w:rsid w:val="5520775A"/>
    <w:rsid w:val="55507637"/>
    <w:rsid w:val="55BF4E09"/>
    <w:rsid w:val="55DD24D2"/>
    <w:rsid w:val="55E015A0"/>
    <w:rsid w:val="56007C47"/>
    <w:rsid w:val="56667238"/>
    <w:rsid w:val="57ED08B0"/>
    <w:rsid w:val="584E4E4F"/>
    <w:rsid w:val="59BC4386"/>
    <w:rsid w:val="59BD5BB0"/>
    <w:rsid w:val="59CD7404"/>
    <w:rsid w:val="59E91F98"/>
    <w:rsid w:val="5A0D3C95"/>
    <w:rsid w:val="5A2A10F4"/>
    <w:rsid w:val="5B066163"/>
    <w:rsid w:val="5B8B773B"/>
    <w:rsid w:val="5C580DE8"/>
    <w:rsid w:val="5DBA3746"/>
    <w:rsid w:val="5DDA5C32"/>
    <w:rsid w:val="5E894245"/>
    <w:rsid w:val="5ECA770A"/>
    <w:rsid w:val="62D37335"/>
    <w:rsid w:val="62E05E12"/>
    <w:rsid w:val="63DF57FF"/>
    <w:rsid w:val="63EF6D19"/>
    <w:rsid w:val="63F97F51"/>
    <w:rsid w:val="642B0D2B"/>
    <w:rsid w:val="646621BB"/>
    <w:rsid w:val="66A322DC"/>
    <w:rsid w:val="66CC0C32"/>
    <w:rsid w:val="67D83CC4"/>
    <w:rsid w:val="69924ADE"/>
    <w:rsid w:val="6A2D2580"/>
    <w:rsid w:val="6A5B213F"/>
    <w:rsid w:val="6A927983"/>
    <w:rsid w:val="6B77721F"/>
    <w:rsid w:val="6BAF2605"/>
    <w:rsid w:val="6D2F50C9"/>
    <w:rsid w:val="6D4A6859"/>
    <w:rsid w:val="6D55141E"/>
    <w:rsid w:val="6D720372"/>
    <w:rsid w:val="6D8978CE"/>
    <w:rsid w:val="6DDF2F56"/>
    <w:rsid w:val="6DEF4D00"/>
    <w:rsid w:val="6E095010"/>
    <w:rsid w:val="6E687C66"/>
    <w:rsid w:val="6F0F2542"/>
    <w:rsid w:val="6F683060"/>
    <w:rsid w:val="6FF173EA"/>
    <w:rsid w:val="708C3BDF"/>
    <w:rsid w:val="71B06EBE"/>
    <w:rsid w:val="725555F3"/>
    <w:rsid w:val="725B1A07"/>
    <w:rsid w:val="72743464"/>
    <w:rsid w:val="74343309"/>
    <w:rsid w:val="74C15BA8"/>
    <w:rsid w:val="74E32913"/>
    <w:rsid w:val="75B95C3D"/>
    <w:rsid w:val="760D6606"/>
    <w:rsid w:val="763D2128"/>
    <w:rsid w:val="76F23BA1"/>
    <w:rsid w:val="77E5626D"/>
    <w:rsid w:val="787F0FAF"/>
    <w:rsid w:val="78A85D2B"/>
    <w:rsid w:val="78EB47F9"/>
    <w:rsid w:val="79103B88"/>
    <w:rsid w:val="798D1CA9"/>
    <w:rsid w:val="79DC3E57"/>
    <w:rsid w:val="7A0569D4"/>
    <w:rsid w:val="7A94234C"/>
    <w:rsid w:val="7AE157C2"/>
    <w:rsid w:val="7B15663C"/>
    <w:rsid w:val="7C113BAA"/>
    <w:rsid w:val="7CF46979"/>
    <w:rsid w:val="7D062812"/>
    <w:rsid w:val="7D3965CC"/>
    <w:rsid w:val="7E843968"/>
    <w:rsid w:val="7EA07457"/>
    <w:rsid w:val="7EF109BD"/>
    <w:rsid w:val="7F3C785B"/>
    <w:rsid w:val="7F9F53C2"/>
    <w:rsid w:val="7FBA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2">
    <w:name w:val="heading 1"/>
    <w:basedOn w:val="3"/>
    <w:next w:val="4"/>
    <w:link w:val="49"/>
    <w:qFormat/>
    <w:uiPriority w:val="0"/>
    <w:pPr>
      <w:keepNext/>
      <w:keepLines/>
      <w:spacing w:after="120" w:line="360" w:lineRule="auto"/>
      <w:outlineLvl w:val="0"/>
    </w:pPr>
    <w:rPr>
      <w:bCs/>
      <w:kern w:val="44"/>
      <w:sz w:val="36"/>
      <w:szCs w:val="36"/>
    </w:rPr>
  </w:style>
  <w:style w:type="paragraph" w:styleId="6">
    <w:name w:val="heading 2"/>
    <w:basedOn w:val="1"/>
    <w:next w:val="1"/>
    <w:qFormat/>
    <w:uiPriority w:val="0"/>
    <w:pPr>
      <w:keepNext/>
      <w:keepLines/>
      <w:spacing w:before="260" w:after="260" w:line="416" w:lineRule="auto"/>
      <w:outlineLvl w:val="1"/>
    </w:pPr>
    <w:rPr>
      <w:rFonts w:ascii="Arial" w:hAnsi="Arial"/>
      <w:b/>
      <w:bCs/>
      <w:sz w:val="32"/>
      <w:szCs w:val="32"/>
    </w:rPr>
  </w:style>
  <w:style w:type="paragraph" w:styleId="7">
    <w:name w:val="heading 3"/>
    <w:basedOn w:val="1"/>
    <w:next w:val="8"/>
    <w:qFormat/>
    <w:uiPriority w:val="0"/>
    <w:pPr>
      <w:keepNext/>
      <w:keepLines/>
      <w:spacing w:before="156" w:beforeLines="50" w:after="156" w:afterLines="50" w:line="360" w:lineRule="auto"/>
      <w:jc w:val="center"/>
      <w:outlineLvl w:val="2"/>
    </w:pPr>
    <w:rPr>
      <w:b/>
      <w:sz w:val="24"/>
    </w:rPr>
  </w:style>
  <w:style w:type="paragraph" w:styleId="9">
    <w:name w:val="heading 4"/>
    <w:basedOn w:val="7"/>
    <w:next w:val="8"/>
    <w:qFormat/>
    <w:uiPriority w:val="0"/>
    <w:pPr>
      <w:jc w:val="both"/>
      <w:outlineLvl w:val="3"/>
    </w:pPr>
    <w:rPr>
      <w:rFonts w:ascii="Arial" w:hAnsi="Arial"/>
      <w:b w:val="0"/>
      <w:snapToGrid w:val="0"/>
      <w:kern w:val="0"/>
    </w:rPr>
  </w:style>
  <w:style w:type="paragraph" w:styleId="10">
    <w:name w:val="heading 5"/>
    <w:basedOn w:val="9"/>
    <w:next w:val="8"/>
    <w:qFormat/>
    <w:uiPriority w:val="0"/>
    <w:pPr>
      <w:numPr>
        <w:ilvl w:val="2"/>
        <w:numId w:val="1"/>
      </w:numPr>
      <w:tabs>
        <w:tab w:val="left" w:pos="4200"/>
        <w:tab w:val="clear" w:pos="1260"/>
      </w:tabs>
      <w:spacing w:before="0" w:beforeLines="0" w:after="0" w:afterLines="0" w:line="377" w:lineRule="auto"/>
      <w:ind w:left="900" w:hanging="900"/>
      <w:outlineLvl w:val="4"/>
    </w:pPr>
  </w:style>
  <w:style w:type="paragraph" w:styleId="11">
    <w:name w:val="heading 6"/>
    <w:basedOn w:val="1"/>
    <w:next w:val="1"/>
    <w:qFormat/>
    <w:uiPriority w:val="0"/>
    <w:pPr>
      <w:keepNext/>
      <w:keepLines/>
      <w:numPr>
        <w:ilvl w:val="5"/>
        <w:numId w:val="2"/>
      </w:numPr>
      <w:spacing w:before="240" w:after="64" w:line="320" w:lineRule="auto"/>
      <w:outlineLvl w:val="5"/>
    </w:pPr>
    <w:rPr>
      <w:rFonts w:ascii="Arial" w:hAnsi="Arial"/>
      <w:b/>
      <w:bCs/>
      <w:sz w:val="24"/>
    </w:rPr>
  </w:style>
  <w:style w:type="paragraph" w:styleId="12">
    <w:name w:val="heading 7"/>
    <w:basedOn w:val="1"/>
    <w:next w:val="8"/>
    <w:qFormat/>
    <w:uiPriority w:val="0"/>
    <w:pPr>
      <w:keepNext/>
      <w:keepLines/>
      <w:numPr>
        <w:ilvl w:val="6"/>
        <w:numId w:val="3"/>
      </w:numPr>
      <w:spacing w:before="240" w:after="64" w:line="320" w:lineRule="auto"/>
      <w:outlineLvl w:val="6"/>
    </w:pPr>
    <w:rPr>
      <w:b/>
      <w:sz w:val="24"/>
      <w:szCs w:val="20"/>
    </w:rPr>
  </w:style>
  <w:style w:type="paragraph" w:styleId="13">
    <w:name w:val="heading 8"/>
    <w:basedOn w:val="1"/>
    <w:next w:val="8"/>
    <w:qFormat/>
    <w:uiPriority w:val="0"/>
    <w:pPr>
      <w:keepNext/>
      <w:keepLines/>
      <w:numPr>
        <w:ilvl w:val="7"/>
        <w:numId w:val="3"/>
      </w:numPr>
      <w:spacing w:before="240" w:after="64" w:line="320" w:lineRule="auto"/>
      <w:outlineLvl w:val="7"/>
    </w:pPr>
    <w:rPr>
      <w:rFonts w:ascii="Arial" w:hAnsi="Arial"/>
      <w:sz w:val="24"/>
      <w:szCs w:val="20"/>
    </w:rPr>
  </w:style>
  <w:style w:type="paragraph" w:styleId="14">
    <w:name w:val="heading 9"/>
    <w:basedOn w:val="1"/>
    <w:next w:val="8"/>
    <w:qFormat/>
    <w:uiPriority w:val="0"/>
    <w:pPr>
      <w:keepNext/>
      <w:keepLines/>
      <w:numPr>
        <w:ilvl w:val="8"/>
        <w:numId w:val="3"/>
      </w:numPr>
      <w:spacing w:before="240" w:after="64" w:line="320" w:lineRule="auto"/>
      <w:outlineLvl w:val="8"/>
    </w:pPr>
    <w:rPr>
      <w:rFonts w:ascii="Arial" w:hAnsi="Arial"/>
      <w:szCs w:val="20"/>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3">
    <w:name w:val="Title"/>
    <w:basedOn w:val="1"/>
    <w:link w:val="48"/>
    <w:qFormat/>
    <w:uiPriority w:val="0"/>
    <w:pPr>
      <w:spacing w:before="120" w:after="60"/>
      <w:jc w:val="center"/>
    </w:pPr>
    <w:rPr>
      <w:rFonts w:ascii="Arial" w:hAnsi="Arial"/>
      <w:b/>
      <w:sz w:val="44"/>
      <w:szCs w:val="20"/>
    </w:rPr>
  </w:style>
  <w:style w:type="paragraph" w:styleId="4">
    <w:name w:val="Body Text First Indent"/>
    <w:basedOn w:val="5"/>
    <w:link w:val="50"/>
    <w:qFormat/>
    <w:uiPriority w:val="0"/>
    <w:pPr>
      <w:ind w:firstLine="420"/>
    </w:pPr>
    <w:rPr>
      <w:szCs w:val="20"/>
    </w:rPr>
  </w:style>
  <w:style w:type="paragraph" w:styleId="5">
    <w:name w:val="Body Text"/>
    <w:basedOn w:val="1"/>
    <w:qFormat/>
    <w:uiPriority w:val="0"/>
    <w:pPr>
      <w:spacing w:after="120"/>
    </w:pPr>
  </w:style>
  <w:style w:type="paragraph" w:styleId="8">
    <w:name w:val="Normal Indent"/>
    <w:basedOn w:val="1"/>
    <w:qFormat/>
    <w:uiPriority w:val="0"/>
    <w:pPr>
      <w:ind w:firstLine="420"/>
    </w:pPr>
    <w:rPr>
      <w:szCs w:val="20"/>
    </w:rPr>
  </w:style>
  <w:style w:type="paragraph" w:styleId="15">
    <w:name w:val="toc 7"/>
    <w:basedOn w:val="1"/>
    <w:next w:val="1"/>
    <w:qFormat/>
    <w:uiPriority w:val="39"/>
    <w:pPr>
      <w:ind w:left="2520" w:leftChars="1200"/>
    </w:pPr>
  </w:style>
  <w:style w:type="paragraph" w:styleId="16">
    <w:name w:val="Document Map"/>
    <w:basedOn w:val="1"/>
    <w:qFormat/>
    <w:uiPriority w:val="0"/>
    <w:pPr>
      <w:shd w:val="clear" w:color="auto" w:fill="000080"/>
    </w:pPr>
    <w:rPr>
      <w:szCs w:val="20"/>
    </w:rPr>
  </w:style>
  <w:style w:type="paragraph" w:styleId="17">
    <w:name w:val="annotation text"/>
    <w:basedOn w:val="1"/>
    <w:link w:val="51"/>
    <w:qFormat/>
    <w:uiPriority w:val="0"/>
    <w:pPr>
      <w:jc w:val="left"/>
    </w:pPr>
  </w:style>
  <w:style w:type="paragraph" w:styleId="18">
    <w:name w:val="Body Text Indent"/>
    <w:basedOn w:val="1"/>
    <w:qFormat/>
    <w:uiPriority w:val="0"/>
    <w:pPr>
      <w:ind w:firstLine="570"/>
    </w:pPr>
    <w:rPr>
      <w:sz w:val="28"/>
      <w:szCs w:val="20"/>
    </w:rPr>
  </w:style>
  <w:style w:type="paragraph" w:styleId="19">
    <w:name w:val="Block Text"/>
    <w:basedOn w:val="1"/>
    <w:qFormat/>
    <w:uiPriority w:val="0"/>
    <w:pPr>
      <w:autoSpaceDE w:val="0"/>
      <w:autoSpaceDN w:val="0"/>
      <w:adjustRightInd w:val="0"/>
      <w:spacing w:line="360" w:lineRule="auto"/>
      <w:ind w:left="420" w:leftChars="200" w:right="11" w:firstLine="479" w:firstLineChars="228"/>
    </w:pPr>
    <w:rPr>
      <w:rFonts w:ascii="宋体" w:hAnsi="Arial"/>
      <w:szCs w:val="21"/>
      <w:lang w:val="zh-CN"/>
    </w:rPr>
  </w:style>
  <w:style w:type="paragraph" w:styleId="20">
    <w:name w:val="toc 5"/>
    <w:basedOn w:val="1"/>
    <w:next w:val="1"/>
    <w:qFormat/>
    <w:uiPriority w:val="39"/>
    <w:pPr>
      <w:ind w:left="1680" w:leftChars="800"/>
    </w:pPr>
  </w:style>
  <w:style w:type="paragraph" w:styleId="21">
    <w:name w:val="toc 3"/>
    <w:basedOn w:val="1"/>
    <w:next w:val="1"/>
    <w:qFormat/>
    <w:uiPriority w:val="39"/>
    <w:pPr>
      <w:ind w:left="840" w:leftChars="400"/>
    </w:pPr>
  </w:style>
  <w:style w:type="paragraph" w:styleId="22">
    <w:name w:val="Plain Text"/>
    <w:basedOn w:val="1"/>
    <w:link w:val="52"/>
    <w:qFormat/>
    <w:uiPriority w:val="0"/>
    <w:rPr>
      <w:rFonts w:ascii="宋体" w:hAnsi="Courier New"/>
      <w:szCs w:val="20"/>
    </w:rPr>
  </w:style>
  <w:style w:type="paragraph" w:styleId="23">
    <w:name w:val="toc 8"/>
    <w:basedOn w:val="1"/>
    <w:next w:val="1"/>
    <w:qFormat/>
    <w:uiPriority w:val="39"/>
    <w:pPr>
      <w:ind w:left="2940" w:leftChars="1400"/>
    </w:pPr>
  </w:style>
  <w:style w:type="paragraph" w:styleId="24">
    <w:name w:val="Date"/>
    <w:basedOn w:val="1"/>
    <w:next w:val="1"/>
    <w:qFormat/>
    <w:uiPriority w:val="0"/>
    <w:rPr>
      <w:szCs w:val="20"/>
    </w:rPr>
  </w:style>
  <w:style w:type="paragraph" w:styleId="25">
    <w:name w:val="endnote text"/>
    <w:basedOn w:val="1"/>
    <w:link w:val="53"/>
    <w:qFormat/>
    <w:uiPriority w:val="0"/>
    <w:pPr>
      <w:snapToGrid w:val="0"/>
      <w:jc w:val="left"/>
    </w:pPr>
    <w:rPr>
      <w:szCs w:val="20"/>
    </w:r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envelope return"/>
    <w:basedOn w:val="1"/>
    <w:qFormat/>
    <w:uiPriority w:val="0"/>
    <w:pPr>
      <w:snapToGrid w:val="0"/>
    </w:pPr>
    <w:rPr>
      <w:rFonts w:ascii="Arial" w:hAnsi="Arial" w:eastAsia="宋体"/>
    </w:rPr>
  </w:style>
  <w:style w:type="paragraph" w:styleId="2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style>
  <w:style w:type="paragraph" w:styleId="31">
    <w:name w:val="toc 4"/>
    <w:basedOn w:val="1"/>
    <w:next w:val="1"/>
    <w:qFormat/>
    <w:uiPriority w:val="39"/>
    <w:pPr>
      <w:ind w:left="1260" w:leftChars="600"/>
    </w:pPr>
  </w:style>
  <w:style w:type="paragraph" w:styleId="32">
    <w:name w:val="toc 6"/>
    <w:basedOn w:val="1"/>
    <w:next w:val="1"/>
    <w:qFormat/>
    <w:uiPriority w:val="39"/>
    <w:pPr>
      <w:ind w:left="2100" w:leftChars="1000"/>
    </w:pPr>
  </w:style>
  <w:style w:type="paragraph" w:styleId="33">
    <w:name w:val="toc 2"/>
    <w:basedOn w:val="1"/>
    <w:next w:val="1"/>
    <w:qFormat/>
    <w:uiPriority w:val="39"/>
    <w:pPr>
      <w:ind w:left="420" w:leftChars="200"/>
    </w:pPr>
  </w:style>
  <w:style w:type="paragraph" w:styleId="34">
    <w:name w:val="toc 9"/>
    <w:basedOn w:val="1"/>
    <w:next w:val="1"/>
    <w:qFormat/>
    <w:uiPriority w:val="39"/>
    <w:pPr>
      <w:ind w:left="3360" w:leftChars="1600"/>
    </w:pPr>
  </w:style>
  <w:style w:type="paragraph" w:styleId="35">
    <w:name w:val="Body Text 2"/>
    <w:basedOn w:val="1"/>
    <w:qFormat/>
    <w:uiPriority w:val="0"/>
    <w:rPr>
      <w:rFonts w:ascii="宋体" w:hAnsi="宋体"/>
      <w:u w:val="single"/>
    </w:rPr>
  </w:style>
  <w:style w:type="paragraph" w:styleId="3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kern w:val="0"/>
      <w:sz w:val="24"/>
    </w:rPr>
  </w:style>
  <w:style w:type="paragraph" w:styleId="38">
    <w:name w:val="annotation subject"/>
    <w:basedOn w:val="17"/>
    <w:next w:val="17"/>
    <w:link w:val="54"/>
    <w:qFormat/>
    <w:uiPriority w:val="0"/>
    <w:rPr>
      <w:b/>
      <w:bCs/>
    </w:rPr>
  </w:style>
  <w:style w:type="paragraph" w:styleId="39">
    <w:name w:val="Body Text First Indent 2"/>
    <w:basedOn w:val="18"/>
    <w:qFormat/>
    <w:uiPriority w:val="0"/>
    <w:pPr>
      <w:spacing w:after="120"/>
      <w:ind w:left="420" w:leftChars="200" w:firstLine="420" w:firstLineChars="200"/>
    </w:pPr>
    <w:rPr>
      <w:sz w:val="21"/>
      <w:szCs w:val="24"/>
    </w:rPr>
  </w:style>
  <w:style w:type="table" w:styleId="41">
    <w:name w:val="Table Grid"/>
    <w:basedOn w:val="4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000000"/>
      <w:u w:val="none"/>
    </w:rPr>
  </w:style>
  <w:style w:type="character" w:styleId="46">
    <w:name w:val="Hyperlink"/>
    <w:qFormat/>
    <w:uiPriority w:val="99"/>
    <w:rPr>
      <w:color w:val="000000"/>
      <w:u w:val="none"/>
    </w:rPr>
  </w:style>
  <w:style w:type="character" w:styleId="47">
    <w:name w:val="annotation reference"/>
    <w:qFormat/>
    <w:uiPriority w:val="0"/>
    <w:rPr>
      <w:sz w:val="21"/>
      <w:szCs w:val="21"/>
    </w:rPr>
  </w:style>
  <w:style w:type="character" w:customStyle="1" w:styleId="48">
    <w:name w:val="标题 字符"/>
    <w:link w:val="3"/>
    <w:qFormat/>
    <w:uiPriority w:val="0"/>
    <w:rPr>
      <w:rFonts w:ascii="Arial" w:hAnsi="Arial" w:eastAsia="宋体"/>
      <w:b/>
      <w:kern w:val="2"/>
      <w:sz w:val="44"/>
      <w:lang w:val="en-US" w:eastAsia="zh-CN" w:bidi="ar-SA"/>
    </w:rPr>
  </w:style>
  <w:style w:type="character" w:customStyle="1" w:styleId="49">
    <w:name w:val="标题 1 字符"/>
    <w:link w:val="2"/>
    <w:qFormat/>
    <w:uiPriority w:val="0"/>
    <w:rPr>
      <w:rFonts w:ascii="Arial" w:hAnsi="Arial" w:eastAsia="宋体"/>
      <w:b/>
      <w:bCs/>
      <w:kern w:val="44"/>
      <w:sz w:val="36"/>
      <w:szCs w:val="36"/>
      <w:lang w:val="en-US" w:eastAsia="zh-CN" w:bidi="ar-SA"/>
    </w:rPr>
  </w:style>
  <w:style w:type="character" w:customStyle="1" w:styleId="50">
    <w:name w:val="正文文本首行缩进 字符"/>
    <w:link w:val="4"/>
    <w:qFormat/>
    <w:uiPriority w:val="0"/>
    <w:rPr>
      <w:rFonts w:eastAsia="宋体"/>
      <w:kern w:val="2"/>
      <w:sz w:val="21"/>
      <w:lang w:val="en-US" w:eastAsia="zh-CN" w:bidi="ar-SA"/>
    </w:rPr>
  </w:style>
  <w:style w:type="character" w:customStyle="1" w:styleId="51">
    <w:name w:val="批注文字 字符"/>
    <w:link w:val="17"/>
    <w:qFormat/>
    <w:uiPriority w:val="0"/>
    <w:rPr>
      <w:kern w:val="2"/>
      <w:sz w:val="21"/>
      <w:szCs w:val="24"/>
    </w:rPr>
  </w:style>
  <w:style w:type="character" w:customStyle="1" w:styleId="52">
    <w:name w:val="纯文本 字符"/>
    <w:link w:val="22"/>
    <w:qFormat/>
    <w:uiPriority w:val="0"/>
    <w:rPr>
      <w:rFonts w:ascii="宋体" w:hAnsi="Courier New" w:eastAsia="宋体"/>
      <w:kern w:val="2"/>
      <w:sz w:val="21"/>
      <w:lang w:val="en-US" w:eastAsia="zh-CN" w:bidi="ar-SA"/>
    </w:rPr>
  </w:style>
  <w:style w:type="character" w:customStyle="1" w:styleId="53">
    <w:name w:val="尾注文本 字符"/>
    <w:link w:val="25"/>
    <w:qFormat/>
    <w:uiPriority w:val="0"/>
    <w:rPr>
      <w:rFonts w:eastAsia="宋体"/>
      <w:kern w:val="2"/>
      <w:sz w:val="21"/>
      <w:lang w:val="en-US" w:eastAsia="zh-CN" w:bidi="ar-SA"/>
    </w:rPr>
  </w:style>
  <w:style w:type="character" w:customStyle="1" w:styleId="54">
    <w:name w:val="批注主题 字符"/>
    <w:link w:val="38"/>
    <w:qFormat/>
    <w:uiPriority w:val="0"/>
  </w:style>
  <w:style w:type="character" w:customStyle="1" w:styleId="55">
    <w:name w:val="Unresolved Mention"/>
    <w:unhideWhenUsed/>
    <w:qFormat/>
    <w:uiPriority w:val="99"/>
    <w:rPr>
      <w:color w:val="605E5C"/>
      <w:shd w:val="clear" w:color="auto" w:fill="E1DFDD"/>
    </w:rPr>
  </w:style>
  <w:style w:type="character" w:customStyle="1" w:styleId="56">
    <w:name w:val="文一 Char Char"/>
    <w:link w:val="57"/>
    <w:qFormat/>
    <w:uiPriority w:val="0"/>
    <w:rPr>
      <w:rFonts w:eastAsia="宋体"/>
      <w:snapToGrid w:val="0"/>
      <w:spacing w:val="4"/>
      <w:sz w:val="24"/>
      <w:szCs w:val="24"/>
      <w:lang w:val="en-US" w:eastAsia="zh-CN" w:bidi="ar-SA"/>
    </w:rPr>
  </w:style>
  <w:style w:type="paragraph" w:customStyle="1" w:styleId="57">
    <w:name w:val="文一"/>
    <w:basedOn w:val="1"/>
    <w:link w:val="56"/>
    <w:qFormat/>
    <w:uiPriority w:val="0"/>
    <w:pPr>
      <w:topLinePunct/>
      <w:adjustRightInd w:val="0"/>
      <w:snapToGrid w:val="0"/>
      <w:spacing w:line="360" w:lineRule="auto"/>
      <w:ind w:firstLine="200" w:firstLineChars="200"/>
    </w:pPr>
    <w:rPr>
      <w:snapToGrid w:val="0"/>
      <w:spacing w:val="4"/>
      <w:kern w:val="0"/>
      <w:sz w:val="24"/>
    </w:rPr>
  </w:style>
  <w:style w:type="character" w:customStyle="1" w:styleId="58">
    <w:name w:val="hover37"/>
    <w:qFormat/>
    <w:uiPriority w:val="0"/>
  </w:style>
  <w:style w:type="character" w:customStyle="1" w:styleId="59">
    <w:name w:val="hover36"/>
    <w:qFormat/>
    <w:uiPriority w:val="0"/>
  </w:style>
  <w:style w:type="paragraph" w:customStyle="1" w:styleId="60">
    <w:name w:val="_Style 14"/>
    <w:basedOn w:val="16"/>
    <w:qFormat/>
    <w:uiPriority w:val="0"/>
  </w:style>
  <w:style w:type="paragraph" w:customStyle="1" w:styleId="61">
    <w:name w:val="文二"/>
    <w:basedOn w:val="1"/>
    <w:qFormat/>
    <w:uiPriority w:val="0"/>
    <w:pPr>
      <w:jc w:val="left"/>
    </w:pPr>
    <w:rPr>
      <w:rFonts w:ascii="宋体" w:hAnsi="宋体"/>
      <w:szCs w:val="21"/>
    </w:rPr>
  </w:style>
  <w:style w:type="paragraph" w:customStyle="1" w:styleId="62">
    <w:name w:val="样式 宋体 行距: 1.5 倍行距"/>
    <w:basedOn w:val="1"/>
    <w:qFormat/>
    <w:uiPriority w:val="0"/>
    <w:pPr>
      <w:jc w:val="center"/>
    </w:pPr>
    <w:rPr>
      <w:b/>
    </w:rPr>
  </w:style>
  <w:style w:type="paragraph" w:customStyle="1" w:styleId="63">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64">
    <w:name w:val="Revision"/>
    <w:unhideWhenUsed/>
    <w:qFormat/>
    <w:uiPriority w:val="99"/>
    <w:rPr>
      <w:rFonts w:ascii="Times New Roman" w:hAnsi="Times New Roman" w:eastAsia="黑体" w:cs="Times New Roman"/>
      <w:kern w:val="2"/>
      <w:sz w:val="21"/>
      <w:szCs w:val="24"/>
      <w:lang w:val="en-US" w:eastAsia="zh-CN" w:bidi="ar-SA"/>
    </w:rPr>
  </w:style>
  <w:style w:type="character" w:customStyle="1" w:styleId="65">
    <w:name w:val="font21"/>
    <w:qFormat/>
    <w:uiPriority w:val="0"/>
    <w:rPr>
      <w:rFonts w:ascii="宋体" w:hAnsi="宋体" w:eastAsia="宋体" w:cs="宋体"/>
      <w:b/>
      <w:bCs/>
      <w:color w:val="000000"/>
      <w:sz w:val="12"/>
      <w:szCs w:val="12"/>
      <w:u w:val="none"/>
    </w:rPr>
  </w:style>
  <w:style w:type="character" w:customStyle="1" w:styleId="66">
    <w:name w:val="font31"/>
    <w:qFormat/>
    <w:uiPriority w:val="0"/>
    <w:rPr>
      <w:rFonts w:ascii="宋体" w:hAnsi="宋体" w:eastAsia="宋体" w:cs="宋体"/>
      <w:color w:val="000000"/>
      <w:sz w:val="12"/>
      <w:szCs w:val="12"/>
      <w:u w:val="none"/>
    </w:rPr>
  </w:style>
  <w:style w:type="character" w:customStyle="1" w:styleId="67">
    <w:name w:val="font11"/>
    <w:qFormat/>
    <w:uiPriority w:val="0"/>
    <w:rPr>
      <w:rFonts w:ascii="宋体" w:hAnsi="宋体" w:eastAsia="宋体" w:cs="宋体"/>
      <w:b/>
      <w:bCs/>
      <w:color w:val="000000"/>
      <w:sz w:val="12"/>
      <w:szCs w:val="12"/>
      <w:u w:val="none"/>
    </w:rPr>
  </w:style>
  <w:style w:type="character" w:customStyle="1" w:styleId="68">
    <w:name w:val="font01"/>
    <w:qFormat/>
    <w:uiPriority w:val="0"/>
    <w:rPr>
      <w:rFonts w:ascii="宋体" w:hAnsi="宋体" w:eastAsia="宋体" w:cs="宋体"/>
      <w:color w:val="000000"/>
      <w:sz w:val="12"/>
      <w:szCs w:val="12"/>
      <w:u w:val="none"/>
    </w:rPr>
  </w:style>
  <w:style w:type="paragraph" w:customStyle="1" w:styleId="69">
    <w:name w:val="正题"/>
    <w:basedOn w:val="57"/>
    <w:next w:val="57"/>
    <w:qFormat/>
    <w:uiPriority w:val="0"/>
    <w:pPr>
      <w:widowControl/>
      <w:spacing w:after="200"/>
      <w:ind w:firstLine="0" w:firstLineChars="0"/>
      <w:jc w:val="center"/>
    </w:pPr>
    <w:rPr>
      <w:rFonts w:ascii="Calibri" w:hAnsi="Calibri"/>
      <w:b/>
      <w:snapToGrid/>
      <w:sz w:val="36"/>
      <w:szCs w:val="36"/>
    </w:rPr>
  </w:style>
  <w:style w:type="paragraph" w:customStyle="1" w:styleId="70">
    <w:name w:val="Char Char Char Char"/>
    <w:basedOn w:val="1"/>
    <w:qFormat/>
    <w:uiPriority w:val="0"/>
    <w:rPr>
      <w:rFonts w:eastAsia="宋体"/>
      <w:sz w:val="30"/>
    </w:rPr>
  </w:style>
  <w:style w:type="paragraph" w:styleId="71">
    <w:name w:val="List Paragraph"/>
    <w:basedOn w:val="1"/>
    <w:qFormat/>
    <w:uiPriority w:val="34"/>
    <w:pPr>
      <w:ind w:firstLine="420" w:firstLineChars="200"/>
    </w:pPr>
    <w:rPr>
      <w:rFonts w:eastAsia="宋体"/>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FA21B-C2F8-4241-81D9-D95CA94BA84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115</Pages>
  <Words>34781</Words>
  <Characters>36269</Characters>
  <Lines>644</Lines>
  <Paragraphs>181</Paragraphs>
  <TotalTime>7</TotalTime>
  <ScaleCrop>false</ScaleCrop>
  <LinksUpToDate>false</LinksUpToDate>
  <CharactersWithSpaces>36487</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2018-09-06T01:44:00Z</dcterms:created>
  <dc:creator>何海琼</dc:creator>
  <cp:lastModifiedBy>黄美仪</cp:lastModifiedBy>
  <cp:lastPrinted>2023-01-28T03:52:00Z</cp:lastPrinted>
  <dcterms:modified xsi:type="dcterms:W3CDTF">2025-03-25T15:20:56Z</dcterms:modified>
  <dc:title>暨南大学新校区一期工程首批建设项目</dc:title>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3968B8A645B842A9979BA84177FDE765_12</vt:lpwstr>
  </property>
  <property fmtid="{D5CDD505-2E9C-101B-9397-08002B2CF9AE}" pid="4" name="KSOTemplateDocerSaveRecord">
    <vt:lpwstr>eyJoZGlkIjoiOGIyZWUzZGExNWVkNTA5YWY1ODhhMjQwMWE2ZGRiN2EiLCJ1c2VySWQiOiI1MDI5NzcwMTIifQ==</vt:lpwstr>
  </property>
</Properties>
</file>