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897743">
      <w:pPr>
        <w:spacing w:line="480" w:lineRule="auto"/>
        <w:jc w:val="center"/>
        <w:rPr>
          <w:rFonts w:ascii="宋体" w:hAnsi="宋体" w:cs="宋体"/>
          <w:b/>
          <w:kern w:val="0"/>
          <w:sz w:val="44"/>
          <w:szCs w:val="44"/>
        </w:rPr>
      </w:pPr>
    </w:p>
    <w:p w14:paraId="24B110A5">
      <w:pPr>
        <w:spacing w:line="480" w:lineRule="auto"/>
        <w:jc w:val="center"/>
        <w:rPr>
          <w:rFonts w:hint="eastAsia" w:ascii="宋体" w:hAnsi="宋体" w:eastAsia="宋体" w:cs="宋体"/>
          <w:b/>
          <w:kern w:val="0"/>
          <w:sz w:val="44"/>
          <w:szCs w:val="44"/>
          <w:lang w:eastAsia="zh-CN"/>
        </w:rPr>
      </w:pPr>
      <w:r>
        <w:rPr>
          <w:rFonts w:hint="eastAsia" w:ascii="宋体" w:hAnsi="宋体" w:cs="宋体"/>
          <w:b/>
          <w:kern w:val="0"/>
          <w:sz w:val="44"/>
          <w:szCs w:val="44"/>
          <w:lang w:eastAsia="zh-CN"/>
        </w:rPr>
        <w:t>化龙镇防洪排涝设施改造工程施工图审查</w:t>
      </w:r>
    </w:p>
    <w:p w14:paraId="37D85279">
      <w:pPr>
        <w:spacing w:line="480" w:lineRule="auto"/>
        <w:jc w:val="center"/>
        <w:rPr>
          <w:rFonts w:ascii="宋体" w:hAnsi="宋体" w:cs="宋体"/>
          <w:b/>
          <w:kern w:val="0"/>
          <w:sz w:val="44"/>
          <w:szCs w:val="44"/>
        </w:rPr>
      </w:pPr>
    </w:p>
    <w:p w14:paraId="00E0BF35">
      <w:pPr>
        <w:rPr>
          <w:rFonts w:ascii="宋体" w:hAnsi="宋体" w:cs="宋体"/>
          <w:sz w:val="28"/>
          <w:szCs w:val="28"/>
        </w:rPr>
      </w:pPr>
    </w:p>
    <w:p w14:paraId="49140029">
      <w:pPr>
        <w:rPr>
          <w:rFonts w:ascii="宋体" w:hAnsi="宋体" w:cs="宋体"/>
          <w:sz w:val="28"/>
          <w:szCs w:val="28"/>
        </w:rPr>
      </w:pPr>
    </w:p>
    <w:p w14:paraId="1F570FAC">
      <w:pPr>
        <w:pStyle w:val="8"/>
        <w:ind w:firstLine="422"/>
        <w:rPr>
          <w:color w:val="auto"/>
        </w:rPr>
      </w:pPr>
    </w:p>
    <w:p w14:paraId="6A00F234">
      <w:pPr>
        <w:pStyle w:val="8"/>
        <w:ind w:firstLine="422"/>
        <w:rPr>
          <w:color w:val="auto"/>
        </w:rPr>
      </w:pPr>
    </w:p>
    <w:p w14:paraId="4158A1FD">
      <w:pPr>
        <w:jc w:val="center"/>
        <w:rPr>
          <w:rFonts w:ascii="宋体" w:hAnsi="宋体" w:cs="宋体"/>
          <w:b/>
          <w:sz w:val="84"/>
          <w:szCs w:val="84"/>
        </w:rPr>
      </w:pPr>
      <w:r>
        <w:rPr>
          <w:rFonts w:hint="eastAsia" w:ascii="宋体" w:hAnsi="宋体" w:cs="宋体"/>
          <w:b/>
          <w:sz w:val="84"/>
          <w:szCs w:val="84"/>
        </w:rPr>
        <w:t>招标文件</w:t>
      </w:r>
    </w:p>
    <w:p w14:paraId="004B2C5F">
      <w:pPr>
        <w:rPr>
          <w:rFonts w:ascii="宋体" w:hAnsi="宋体" w:cs="宋体"/>
          <w:sz w:val="28"/>
          <w:szCs w:val="28"/>
        </w:rPr>
      </w:pPr>
    </w:p>
    <w:p w14:paraId="5EF1FA99">
      <w:pPr>
        <w:pStyle w:val="8"/>
        <w:ind w:firstLine="422"/>
        <w:rPr>
          <w:color w:val="auto"/>
        </w:rPr>
      </w:pPr>
    </w:p>
    <w:p w14:paraId="0427A15E"/>
    <w:p w14:paraId="7F665695">
      <w:pPr>
        <w:pStyle w:val="8"/>
        <w:ind w:firstLine="422"/>
        <w:rPr>
          <w:color w:val="auto"/>
        </w:rPr>
      </w:pPr>
    </w:p>
    <w:p w14:paraId="14147E41"/>
    <w:p w14:paraId="713C3B48">
      <w:pPr>
        <w:rPr>
          <w:rFonts w:ascii="宋体" w:hAnsi="宋体" w:cs="宋体"/>
          <w:sz w:val="28"/>
          <w:szCs w:val="28"/>
        </w:rPr>
      </w:pPr>
    </w:p>
    <w:p w14:paraId="2EBB37C9">
      <w:pPr>
        <w:rPr>
          <w:rFonts w:ascii="宋体" w:hAnsi="宋体" w:cs="宋体"/>
          <w:b/>
          <w:sz w:val="30"/>
          <w:szCs w:val="30"/>
        </w:rPr>
      </w:pPr>
    </w:p>
    <w:p w14:paraId="3D5DAFB8">
      <w:pPr>
        <w:pStyle w:val="22"/>
        <w:rPr>
          <w:rFonts w:ascii="宋体" w:hAnsi="宋体" w:cs="宋体"/>
          <w:b/>
          <w:sz w:val="30"/>
          <w:szCs w:val="30"/>
        </w:rPr>
      </w:pPr>
    </w:p>
    <w:p w14:paraId="01CB449E">
      <w:pPr>
        <w:pStyle w:val="22"/>
        <w:rPr>
          <w:rFonts w:ascii="宋体" w:hAnsi="宋体" w:cs="宋体"/>
          <w:b/>
          <w:sz w:val="30"/>
          <w:szCs w:val="30"/>
        </w:rPr>
      </w:pPr>
    </w:p>
    <w:p w14:paraId="7D66DCC9">
      <w:pPr>
        <w:pStyle w:val="22"/>
        <w:rPr>
          <w:rFonts w:ascii="宋体" w:hAnsi="宋体" w:cs="宋体"/>
          <w:b/>
          <w:sz w:val="30"/>
          <w:szCs w:val="30"/>
        </w:rPr>
      </w:pPr>
    </w:p>
    <w:p w14:paraId="224EBB23">
      <w:pPr>
        <w:pStyle w:val="22"/>
        <w:rPr>
          <w:rFonts w:ascii="宋体" w:hAnsi="宋体" w:cs="宋体"/>
          <w:b/>
          <w:sz w:val="30"/>
          <w:szCs w:val="30"/>
        </w:rPr>
      </w:pPr>
    </w:p>
    <w:p w14:paraId="118988F9">
      <w:pPr>
        <w:pStyle w:val="22"/>
        <w:rPr>
          <w:rFonts w:ascii="宋体" w:hAnsi="宋体" w:cs="宋体"/>
          <w:b/>
          <w:sz w:val="30"/>
          <w:szCs w:val="30"/>
        </w:rPr>
      </w:pPr>
    </w:p>
    <w:p w14:paraId="25419620">
      <w:pPr>
        <w:pStyle w:val="22"/>
        <w:rPr>
          <w:rFonts w:ascii="宋体" w:hAnsi="宋体" w:cs="宋体"/>
          <w:b/>
          <w:sz w:val="30"/>
          <w:szCs w:val="30"/>
        </w:rPr>
      </w:pPr>
    </w:p>
    <w:p w14:paraId="5BCF13FC">
      <w:pPr>
        <w:pStyle w:val="22"/>
        <w:rPr>
          <w:rFonts w:ascii="宋体" w:hAnsi="宋体" w:cs="宋体"/>
          <w:b/>
          <w:sz w:val="30"/>
          <w:szCs w:val="30"/>
        </w:rPr>
      </w:pPr>
    </w:p>
    <w:p w14:paraId="5F57F2F5">
      <w:pPr>
        <w:ind w:left="0" w:leftChars="0" w:firstLine="909" w:firstLineChars="300"/>
        <w:rPr>
          <w:rFonts w:hint="eastAsia" w:ascii="宋体" w:hAnsi="宋体" w:cs="宋体"/>
          <w:b/>
          <w:sz w:val="30"/>
          <w:szCs w:val="30"/>
        </w:rPr>
      </w:pPr>
      <w:r>
        <w:rPr>
          <w:rFonts w:hint="eastAsia" w:ascii="宋体" w:hAnsi="宋体" w:cs="宋体"/>
          <w:b/>
          <w:sz w:val="30"/>
          <w:szCs w:val="30"/>
        </w:rPr>
        <w:t>招 标 人：广州市番禺区化龙镇人民政府</w:t>
      </w:r>
    </w:p>
    <w:p w14:paraId="3EDA1CEC">
      <w:pPr>
        <w:ind w:firstLine="845" w:firstLineChars="279"/>
        <w:rPr>
          <w:rFonts w:hint="eastAsia" w:ascii="宋体" w:hAnsi="宋体" w:cs="宋体"/>
          <w:b/>
          <w:sz w:val="30"/>
          <w:szCs w:val="30"/>
          <w:lang w:eastAsia="zh-CN"/>
        </w:rPr>
      </w:pPr>
      <w:r>
        <w:rPr>
          <w:rFonts w:hint="eastAsia" w:ascii="宋体" w:hAnsi="宋体" w:cs="宋体"/>
          <w:b/>
          <w:sz w:val="30"/>
          <w:szCs w:val="30"/>
        </w:rPr>
        <w:t>招标代理机构：</w:t>
      </w:r>
      <w:r>
        <w:rPr>
          <w:rFonts w:hint="eastAsia" w:ascii="宋体" w:hAnsi="宋体" w:cs="宋体"/>
          <w:b/>
          <w:sz w:val="30"/>
          <w:szCs w:val="30"/>
          <w:lang w:eastAsia="zh-CN"/>
        </w:rPr>
        <w:t xml:space="preserve">广州建达建设管理有限公司 </w:t>
      </w:r>
    </w:p>
    <w:p w14:paraId="10291C78">
      <w:pPr>
        <w:ind w:firstLine="845" w:firstLineChars="279"/>
        <w:rPr>
          <w:rFonts w:ascii="宋体" w:hAnsi="宋体" w:cs="宋体"/>
          <w:b/>
          <w:sz w:val="28"/>
          <w:szCs w:val="28"/>
        </w:rPr>
      </w:pPr>
      <w:r>
        <w:rPr>
          <w:rFonts w:hint="eastAsia" w:ascii="宋体" w:hAnsi="宋体" w:cs="宋体"/>
          <w:b/>
          <w:sz w:val="30"/>
          <w:szCs w:val="30"/>
        </w:rPr>
        <w:t>日        期：</w:t>
      </w:r>
      <w:r>
        <w:rPr>
          <w:rFonts w:hint="eastAsia" w:ascii="宋体" w:hAnsi="宋体" w:cs="宋体"/>
          <w:b/>
          <w:sz w:val="30"/>
          <w:szCs w:val="30"/>
          <w:lang w:eastAsia="zh-CN"/>
        </w:rPr>
        <w:t>202</w:t>
      </w:r>
      <w:r>
        <w:rPr>
          <w:rFonts w:hint="eastAsia" w:ascii="宋体" w:hAnsi="宋体" w:cs="宋体"/>
          <w:b/>
          <w:sz w:val="30"/>
          <w:szCs w:val="30"/>
          <w:lang w:val="en-US" w:eastAsia="zh-CN"/>
        </w:rPr>
        <w:t>5</w:t>
      </w:r>
      <w:r>
        <w:rPr>
          <w:rFonts w:hint="eastAsia" w:ascii="宋体" w:hAnsi="宋体" w:cs="宋体"/>
          <w:b/>
          <w:sz w:val="30"/>
          <w:szCs w:val="30"/>
        </w:rPr>
        <w:t>年</w:t>
      </w:r>
      <w:r>
        <w:rPr>
          <w:rFonts w:hint="eastAsia" w:ascii="宋体" w:hAnsi="宋体" w:cs="宋体"/>
          <w:b/>
          <w:sz w:val="30"/>
          <w:szCs w:val="30"/>
          <w:lang w:val="en-US" w:eastAsia="zh-CN"/>
        </w:rPr>
        <w:t>3</w:t>
      </w:r>
      <w:r>
        <w:rPr>
          <w:rFonts w:hint="eastAsia" w:ascii="宋体" w:hAnsi="宋体" w:cs="宋体"/>
          <w:b/>
          <w:sz w:val="30"/>
          <w:szCs w:val="30"/>
        </w:rPr>
        <w:t>月</w:t>
      </w:r>
    </w:p>
    <w:p w14:paraId="1435D0E2">
      <w:pPr>
        <w:jc w:val="center"/>
        <w:rPr>
          <w:rFonts w:ascii="宋体" w:hAnsi="宋体" w:cs="宋体"/>
          <w:b/>
          <w:sz w:val="44"/>
          <w:szCs w:val="44"/>
        </w:rPr>
      </w:pPr>
      <w:r>
        <w:rPr>
          <w:rFonts w:hint="eastAsia" w:ascii="宋体" w:hAnsi="宋体" w:cs="宋体"/>
        </w:rPr>
        <w:br w:type="page"/>
      </w:r>
      <w:r>
        <w:rPr>
          <w:rFonts w:hint="eastAsia" w:ascii="宋体" w:hAnsi="宋体" w:cs="宋体"/>
          <w:b/>
          <w:sz w:val="44"/>
          <w:szCs w:val="44"/>
        </w:rPr>
        <w:t>目  录</w:t>
      </w:r>
    </w:p>
    <w:p w14:paraId="6F9B24CC">
      <w:pPr>
        <w:pStyle w:val="2"/>
        <w:tabs>
          <w:tab w:val="right" w:leader="dot" w:pos="8306"/>
        </w:tabs>
        <w:spacing w:line="720" w:lineRule="auto"/>
        <w:rPr>
          <w:rFonts w:ascii="宋体" w:hAnsi="宋体" w:cs="宋体"/>
          <w:sz w:val="24"/>
        </w:rPr>
      </w:pPr>
      <w:r>
        <w:rPr>
          <w:rFonts w:hint="eastAsia" w:ascii="宋体" w:hAnsi="宋体" w:cs="宋体"/>
        </w:rPr>
        <w:fldChar w:fldCharType="begin"/>
      </w:r>
      <w:r>
        <w:rPr>
          <w:rFonts w:hint="eastAsia" w:ascii="宋体" w:hAnsi="宋体" w:cs="宋体"/>
        </w:rPr>
        <w:instrText xml:space="preserve"> TOC \o "1-4" \h \z \u </w:instrText>
      </w:r>
      <w:r>
        <w:rPr>
          <w:rFonts w:hint="eastAsia" w:ascii="宋体" w:hAnsi="宋体" w:cs="宋体"/>
        </w:rPr>
        <w:fldChar w:fldCharType="separate"/>
      </w:r>
      <w:r>
        <w:fldChar w:fldCharType="begin"/>
      </w:r>
      <w:r>
        <w:instrText xml:space="preserve"> HYPERLINK \l "_Toc11440" </w:instrText>
      </w:r>
      <w:r>
        <w:fldChar w:fldCharType="separate"/>
      </w:r>
      <w:r>
        <w:rPr>
          <w:rFonts w:hint="eastAsia" w:ascii="宋体" w:hAnsi="宋体" w:cs="宋体"/>
          <w:sz w:val="24"/>
        </w:rPr>
        <w:t>第一卷</w:t>
      </w:r>
      <w:r>
        <w:rPr>
          <w:rFonts w:hint="eastAsia" w:ascii="宋体" w:hAnsi="宋体" w:cs="宋体"/>
          <w:sz w:val="24"/>
        </w:rPr>
        <w:tab/>
      </w:r>
      <w:r>
        <w:rPr>
          <w:rFonts w:hint="eastAsia" w:ascii="宋体" w:hAnsi="宋体" w:cs="宋体"/>
          <w:sz w:val="24"/>
        </w:rPr>
        <w:t>3</w:t>
      </w:r>
      <w:r>
        <w:rPr>
          <w:rFonts w:hint="eastAsia" w:ascii="宋体" w:hAnsi="宋体" w:cs="宋体"/>
          <w:sz w:val="24"/>
        </w:rPr>
        <w:fldChar w:fldCharType="end"/>
      </w:r>
    </w:p>
    <w:p w14:paraId="2DDF96E1">
      <w:pPr>
        <w:pStyle w:val="2"/>
        <w:tabs>
          <w:tab w:val="right" w:leader="dot" w:pos="8306"/>
        </w:tabs>
        <w:spacing w:line="720" w:lineRule="auto"/>
        <w:rPr>
          <w:rFonts w:ascii="宋体" w:hAnsi="宋体" w:cs="宋体"/>
          <w:sz w:val="24"/>
        </w:rPr>
      </w:pPr>
      <w:r>
        <w:fldChar w:fldCharType="begin"/>
      </w:r>
      <w:r>
        <w:instrText xml:space="preserve"> HYPERLINK \l "_Toc22999" </w:instrText>
      </w:r>
      <w:r>
        <w:fldChar w:fldCharType="separate"/>
      </w:r>
      <w:r>
        <w:rPr>
          <w:rFonts w:hint="eastAsia" w:ascii="宋体" w:hAnsi="宋体" w:cs="宋体"/>
          <w:sz w:val="24"/>
        </w:rPr>
        <w:t>第一章 招标公告（适用于公开招标）</w:t>
      </w:r>
      <w:r>
        <w:rPr>
          <w:rFonts w:hint="eastAsia" w:ascii="宋体" w:hAnsi="宋体" w:cs="宋体"/>
          <w:sz w:val="24"/>
        </w:rPr>
        <w:tab/>
      </w:r>
      <w:r>
        <w:rPr>
          <w:rFonts w:hint="eastAsia" w:ascii="宋体" w:hAnsi="宋体" w:cs="宋体"/>
          <w:sz w:val="24"/>
        </w:rPr>
        <w:t>4</w:t>
      </w:r>
      <w:r>
        <w:rPr>
          <w:rFonts w:hint="eastAsia" w:ascii="宋体" w:hAnsi="宋体" w:cs="宋体"/>
          <w:sz w:val="24"/>
        </w:rPr>
        <w:fldChar w:fldCharType="end"/>
      </w:r>
    </w:p>
    <w:p w14:paraId="75ABF773">
      <w:pPr>
        <w:pStyle w:val="2"/>
        <w:tabs>
          <w:tab w:val="right" w:leader="dot" w:pos="8306"/>
        </w:tabs>
        <w:spacing w:line="720" w:lineRule="auto"/>
        <w:rPr>
          <w:rFonts w:ascii="宋体" w:hAnsi="宋体" w:cs="宋体"/>
          <w:sz w:val="24"/>
        </w:rPr>
      </w:pPr>
      <w:r>
        <w:fldChar w:fldCharType="begin"/>
      </w:r>
      <w:r>
        <w:instrText xml:space="preserve"> HYPERLINK \l "_Toc32540" </w:instrText>
      </w:r>
      <w:r>
        <w:fldChar w:fldCharType="separate"/>
      </w:r>
      <w:r>
        <w:rPr>
          <w:rFonts w:hint="eastAsia" w:ascii="宋体" w:hAnsi="宋体" w:cs="宋体"/>
          <w:sz w:val="24"/>
        </w:rPr>
        <w:t>第二章 投标人须知</w:t>
      </w:r>
      <w:r>
        <w:rPr>
          <w:rFonts w:hint="eastAsia" w:ascii="宋体" w:hAnsi="宋体" w:cs="宋体"/>
          <w:sz w:val="24"/>
        </w:rPr>
        <w:tab/>
      </w:r>
      <w:r>
        <w:rPr>
          <w:rFonts w:hint="eastAsia" w:ascii="宋体" w:hAnsi="宋体" w:cs="宋体"/>
          <w:sz w:val="24"/>
        </w:rPr>
        <w:t>5</w:t>
      </w:r>
      <w:r>
        <w:rPr>
          <w:rFonts w:hint="eastAsia" w:ascii="宋体" w:hAnsi="宋体" w:cs="宋体"/>
          <w:sz w:val="24"/>
        </w:rPr>
        <w:fldChar w:fldCharType="end"/>
      </w:r>
    </w:p>
    <w:p w14:paraId="6140DC14">
      <w:pPr>
        <w:pStyle w:val="2"/>
        <w:tabs>
          <w:tab w:val="right" w:leader="dot" w:pos="8306"/>
        </w:tabs>
        <w:spacing w:line="720" w:lineRule="auto"/>
        <w:rPr>
          <w:rFonts w:hint="eastAsia" w:ascii="宋体" w:hAnsi="宋体" w:eastAsia="宋体" w:cs="宋体"/>
          <w:sz w:val="24"/>
          <w:lang w:eastAsia="zh-CN"/>
        </w:rPr>
      </w:pPr>
      <w:r>
        <w:fldChar w:fldCharType="begin"/>
      </w:r>
      <w:r>
        <w:instrText xml:space="preserve"> HYPERLINK \l "_Toc2652" </w:instrText>
      </w:r>
      <w:r>
        <w:fldChar w:fldCharType="separate"/>
      </w:r>
      <w:r>
        <w:rPr>
          <w:rFonts w:hint="eastAsia" w:ascii="宋体" w:hAnsi="宋体" w:cs="宋体"/>
          <w:sz w:val="24"/>
        </w:rPr>
        <w:t>第三章 评标办法（综合评估法）</w:t>
      </w:r>
      <w:r>
        <w:rPr>
          <w:rFonts w:hint="eastAsia" w:ascii="宋体" w:hAnsi="宋体" w:cs="宋体"/>
          <w:sz w:val="24"/>
        </w:rPr>
        <w:tab/>
      </w:r>
      <w:r>
        <w:rPr>
          <w:rFonts w:hint="eastAsia" w:ascii="宋体" w:hAnsi="宋体" w:cs="宋体"/>
          <w:sz w:val="24"/>
        </w:rPr>
        <w:t>3</w:t>
      </w:r>
      <w:r>
        <w:rPr>
          <w:rFonts w:hint="eastAsia" w:ascii="宋体" w:hAnsi="宋体" w:cs="宋体"/>
          <w:sz w:val="24"/>
        </w:rPr>
        <w:fldChar w:fldCharType="end"/>
      </w:r>
      <w:r>
        <w:rPr>
          <w:rFonts w:hint="eastAsia" w:ascii="宋体" w:hAnsi="宋体" w:cs="宋体"/>
          <w:sz w:val="24"/>
          <w:lang w:val="en-US" w:eastAsia="zh-CN"/>
        </w:rPr>
        <w:t>6</w:t>
      </w:r>
    </w:p>
    <w:p w14:paraId="1047DB49">
      <w:pPr>
        <w:pStyle w:val="2"/>
        <w:tabs>
          <w:tab w:val="right" w:leader="dot" w:pos="8306"/>
        </w:tabs>
        <w:spacing w:line="720" w:lineRule="auto"/>
        <w:rPr>
          <w:rFonts w:hint="eastAsia" w:ascii="宋体" w:hAnsi="宋体" w:eastAsia="宋体" w:cs="宋体"/>
          <w:sz w:val="24"/>
          <w:lang w:eastAsia="zh-CN"/>
        </w:rPr>
      </w:pPr>
      <w:r>
        <w:fldChar w:fldCharType="begin"/>
      </w:r>
      <w:r>
        <w:instrText xml:space="preserve"> HYPERLINK \l "_Toc13217" </w:instrText>
      </w:r>
      <w:r>
        <w:fldChar w:fldCharType="separate"/>
      </w:r>
      <w:r>
        <w:rPr>
          <w:rFonts w:hint="eastAsia" w:ascii="宋体" w:hAnsi="宋体" w:cs="宋体"/>
          <w:sz w:val="24"/>
        </w:rPr>
        <w:t>第四章 合同条款及格式</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_Toc13217 \h </w:instrText>
      </w:r>
      <w:r>
        <w:rPr>
          <w:rFonts w:hint="eastAsia" w:ascii="宋体" w:hAnsi="宋体" w:cs="宋体"/>
          <w:sz w:val="24"/>
        </w:rPr>
        <w:fldChar w:fldCharType="separate"/>
      </w:r>
      <w:r>
        <w:rPr>
          <w:rFonts w:hint="eastAsia" w:ascii="宋体" w:hAnsi="宋体" w:cs="宋体"/>
          <w:sz w:val="24"/>
        </w:rPr>
        <w:t>46</w:t>
      </w:r>
      <w:r>
        <w:rPr>
          <w:rFonts w:hint="eastAsia" w:ascii="宋体" w:hAnsi="宋体" w:cs="宋体"/>
          <w:sz w:val="24"/>
        </w:rPr>
        <w:fldChar w:fldCharType="end"/>
      </w:r>
      <w:r>
        <w:rPr>
          <w:rFonts w:hint="eastAsia" w:ascii="宋体" w:hAnsi="宋体" w:cs="宋体"/>
          <w:sz w:val="24"/>
        </w:rPr>
        <w:fldChar w:fldCharType="end"/>
      </w:r>
    </w:p>
    <w:p w14:paraId="4A31CAD8">
      <w:pPr>
        <w:pStyle w:val="2"/>
        <w:tabs>
          <w:tab w:val="right" w:leader="dot" w:pos="8306"/>
        </w:tabs>
        <w:spacing w:line="720" w:lineRule="auto"/>
      </w:pPr>
      <w:r>
        <w:fldChar w:fldCharType="begin"/>
      </w:r>
      <w:r>
        <w:instrText xml:space="preserve"> HYPERLINK \l "_Toc6074" </w:instrText>
      </w:r>
      <w:r>
        <w:fldChar w:fldCharType="separate"/>
      </w:r>
      <w:r>
        <w:rPr>
          <w:rFonts w:hint="eastAsia" w:ascii="宋体" w:hAnsi="宋体" w:cs="宋体"/>
          <w:sz w:val="24"/>
        </w:rPr>
        <w:t>第五章 施工图审查服务技术要求</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_Toc6074 \h </w:instrText>
      </w:r>
      <w:r>
        <w:rPr>
          <w:rFonts w:hint="eastAsia" w:ascii="宋体" w:hAnsi="宋体" w:cs="宋体"/>
          <w:sz w:val="24"/>
        </w:rPr>
        <w:fldChar w:fldCharType="separate"/>
      </w:r>
      <w:r>
        <w:rPr>
          <w:rFonts w:hint="eastAsia" w:ascii="宋体" w:hAnsi="宋体" w:cs="宋体"/>
          <w:sz w:val="24"/>
        </w:rPr>
        <w:t>47</w:t>
      </w:r>
      <w:r>
        <w:rPr>
          <w:rFonts w:hint="eastAsia" w:ascii="宋体" w:hAnsi="宋体" w:cs="宋体"/>
          <w:sz w:val="24"/>
        </w:rPr>
        <w:fldChar w:fldCharType="end"/>
      </w:r>
      <w:r>
        <w:rPr>
          <w:rFonts w:hint="eastAsia" w:ascii="宋体" w:hAnsi="宋体" w:cs="宋体"/>
          <w:sz w:val="24"/>
        </w:rPr>
        <w:fldChar w:fldCharType="end"/>
      </w:r>
    </w:p>
    <w:p w14:paraId="2FB44834">
      <w:pPr>
        <w:pStyle w:val="2"/>
        <w:tabs>
          <w:tab w:val="right" w:leader="dot" w:pos="8306"/>
        </w:tabs>
        <w:spacing w:line="720" w:lineRule="auto"/>
        <w:rPr>
          <w:rFonts w:hint="eastAsia" w:ascii="宋体" w:hAnsi="宋体" w:eastAsia="宋体" w:cs="宋体"/>
          <w:lang w:eastAsia="zh-CN"/>
        </w:rPr>
      </w:pPr>
      <w:r>
        <w:fldChar w:fldCharType="begin"/>
      </w:r>
      <w:r>
        <w:instrText xml:space="preserve"> HYPERLINK \l "_Toc6074" </w:instrText>
      </w:r>
      <w:r>
        <w:fldChar w:fldCharType="separate"/>
      </w:r>
      <w:r>
        <w:rPr>
          <w:rFonts w:hint="eastAsia" w:ascii="宋体" w:hAnsi="宋体" w:cs="宋体"/>
          <w:sz w:val="24"/>
        </w:rPr>
        <w:t>第</w:t>
      </w:r>
      <w:r>
        <w:rPr>
          <w:rFonts w:hint="eastAsia" w:ascii="宋体" w:hAnsi="宋体" w:cs="宋体"/>
          <w:sz w:val="24"/>
          <w:lang w:val="en-US" w:eastAsia="zh-CN"/>
        </w:rPr>
        <w:t>六</w:t>
      </w:r>
      <w:r>
        <w:rPr>
          <w:rFonts w:hint="eastAsia" w:ascii="宋体" w:hAnsi="宋体" w:cs="宋体"/>
          <w:sz w:val="24"/>
        </w:rPr>
        <w:t>章 投标文件格式</w:t>
      </w:r>
      <w:r>
        <w:rPr>
          <w:rFonts w:hint="eastAsia" w:ascii="宋体" w:hAnsi="宋体" w:cs="宋体"/>
          <w:sz w:val="24"/>
        </w:rPr>
        <w:tab/>
      </w:r>
      <w:r>
        <w:rPr>
          <w:rFonts w:hint="eastAsia" w:ascii="宋体" w:hAnsi="宋体" w:cs="宋体"/>
          <w:sz w:val="24"/>
        </w:rPr>
        <w:fldChar w:fldCharType="end"/>
      </w:r>
      <w:r>
        <w:rPr>
          <w:rFonts w:hint="eastAsia" w:ascii="宋体" w:hAnsi="宋体" w:cs="宋体"/>
          <w:sz w:val="24"/>
          <w:lang w:val="en-US" w:eastAsia="zh-CN"/>
        </w:rPr>
        <w:t>49</w:t>
      </w:r>
    </w:p>
    <w:p w14:paraId="3242ADB6">
      <w:pPr>
        <w:rPr>
          <w:rFonts w:ascii="宋体" w:hAnsi="宋体" w:cs="宋体"/>
        </w:rPr>
      </w:pPr>
      <w:r>
        <w:rPr>
          <w:rFonts w:hint="eastAsia" w:ascii="宋体" w:hAnsi="宋体" w:cs="宋体"/>
        </w:rPr>
        <w:br w:type="page"/>
      </w:r>
      <w:bookmarkStart w:id="347" w:name="_GoBack"/>
      <w:bookmarkEnd w:id="347"/>
    </w:p>
    <w:p w14:paraId="430EE925">
      <w:pPr>
        <w:rPr>
          <w:sz w:val="28"/>
          <w:szCs w:val="36"/>
        </w:rPr>
      </w:pPr>
    </w:p>
    <w:p w14:paraId="2E131BF7">
      <w:pPr>
        <w:rPr>
          <w:rFonts w:ascii="宋体" w:hAnsi="宋体" w:cs="宋体"/>
        </w:rPr>
      </w:pPr>
      <w:r>
        <w:rPr>
          <w:rFonts w:hint="eastAsia" w:ascii="宋体" w:hAnsi="宋体" w:cs="宋体"/>
        </w:rPr>
        <w:fldChar w:fldCharType="end"/>
      </w:r>
    </w:p>
    <w:p w14:paraId="2E249F4F">
      <w:pPr>
        <w:pStyle w:val="3"/>
        <w:spacing w:before="62" w:beforeLines="20" w:after="62" w:afterLines="20" w:line="360" w:lineRule="auto"/>
        <w:jc w:val="center"/>
        <w:rPr>
          <w:rFonts w:ascii="宋体" w:hAnsi="宋体" w:cs="宋体"/>
        </w:rPr>
      </w:pPr>
      <w:bookmarkStart w:id="0" w:name="_Toc6664"/>
      <w:bookmarkStart w:id="1" w:name="_Toc24104524"/>
      <w:bookmarkStart w:id="2" w:name="_Toc11440"/>
      <w:bookmarkStart w:id="3" w:name="_Toc20642"/>
      <w:r>
        <w:rPr>
          <w:rFonts w:hint="eastAsia" w:ascii="宋体" w:hAnsi="宋体" w:cs="宋体"/>
        </w:rPr>
        <w:t>第一卷</w:t>
      </w:r>
      <w:bookmarkEnd w:id="0"/>
      <w:bookmarkEnd w:id="1"/>
      <w:bookmarkEnd w:id="2"/>
      <w:bookmarkEnd w:id="3"/>
    </w:p>
    <w:p w14:paraId="4E00659A">
      <w:pPr>
        <w:pStyle w:val="3"/>
        <w:spacing w:before="62" w:beforeLines="20" w:after="62" w:afterLines="20" w:line="360" w:lineRule="auto"/>
        <w:jc w:val="center"/>
        <w:rPr>
          <w:rFonts w:ascii="宋体" w:hAnsi="宋体" w:cs="宋体"/>
        </w:rPr>
      </w:pPr>
      <w:r>
        <w:rPr>
          <w:rFonts w:hint="eastAsia" w:ascii="宋体" w:hAnsi="宋体" w:cs="宋体"/>
        </w:rPr>
        <w:br w:type="page"/>
      </w:r>
      <w:bookmarkStart w:id="4" w:name="_Toc24104525"/>
      <w:bookmarkStart w:id="5" w:name="_Toc22999"/>
      <w:bookmarkStart w:id="6" w:name="_Toc25513"/>
      <w:bookmarkStart w:id="7" w:name="_Toc3402"/>
      <w:r>
        <w:rPr>
          <w:rFonts w:hint="eastAsia" w:ascii="宋体" w:hAnsi="宋体" w:cs="宋体"/>
        </w:rPr>
        <w:t>第一章 招标公告（适用于公开招标）</w:t>
      </w:r>
      <w:bookmarkEnd w:id="4"/>
      <w:bookmarkEnd w:id="5"/>
      <w:bookmarkEnd w:id="6"/>
      <w:bookmarkEnd w:id="7"/>
    </w:p>
    <w:p w14:paraId="00469EDD">
      <w:pPr>
        <w:jc w:val="center"/>
        <w:rPr>
          <w:rFonts w:ascii="宋体" w:hAnsi="宋体" w:cs="宋体"/>
          <w:b/>
          <w:sz w:val="32"/>
          <w:szCs w:val="32"/>
        </w:rPr>
      </w:pPr>
      <w:r>
        <w:rPr>
          <w:rFonts w:hint="eastAsia" w:ascii="宋体" w:hAnsi="宋体" w:cs="宋体"/>
          <w:b/>
          <w:sz w:val="32"/>
          <w:szCs w:val="32"/>
        </w:rPr>
        <w:t>（另册）</w:t>
      </w:r>
    </w:p>
    <w:p w14:paraId="30493690">
      <w:pPr>
        <w:pStyle w:val="3"/>
        <w:spacing w:before="62" w:beforeLines="20" w:after="62" w:afterLines="20" w:line="360" w:lineRule="auto"/>
        <w:jc w:val="center"/>
        <w:rPr>
          <w:rFonts w:ascii="宋体" w:hAnsi="宋体" w:cs="宋体"/>
        </w:rPr>
      </w:pPr>
      <w:r>
        <w:rPr>
          <w:rFonts w:hint="eastAsia" w:ascii="宋体" w:hAnsi="宋体" w:cs="宋体"/>
        </w:rPr>
        <w:br w:type="page"/>
      </w:r>
      <w:bookmarkStart w:id="8" w:name="_Toc32540"/>
      <w:bookmarkStart w:id="9" w:name="_Toc24104526"/>
      <w:bookmarkStart w:id="10" w:name="_Toc5732"/>
      <w:bookmarkStart w:id="11" w:name="_Toc28403"/>
      <w:r>
        <w:rPr>
          <w:rFonts w:hint="eastAsia" w:ascii="宋体" w:hAnsi="宋体" w:cs="宋体"/>
        </w:rPr>
        <w:t>第二章 投标人须知</w:t>
      </w:r>
      <w:bookmarkEnd w:id="8"/>
      <w:bookmarkEnd w:id="9"/>
      <w:bookmarkEnd w:id="10"/>
      <w:bookmarkEnd w:id="11"/>
    </w:p>
    <w:p w14:paraId="03BF0796">
      <w:pPr>
        <w:pStyle w:val="4"/>
        <w:jc w:val="center"/>
        <w:rPr>
          <w:rFonts w:ascii="宋体" w:hAnsi="宋体" w:eastAsia="宋体" w:cs="宋体"/>
        </w:rPr>
      </w:pPr>
      <w:bookmarkStart w:id="12" w:name="_Toc32275"/>
      <w:bookmarkStart w:id="13" w:name="_Toc24104527"/>
      <w:bookmarkStart w:id="14" w:name="_Toc15337"/>
      <w:bookmarkStart w:id="15" w:name="_Toc30499"/>
      <w:r>
        <w:rPr>
          <w:rFonts w:hint="eastAsia" w:ascii="宋体" w:hAnsi="宋体" w:eastAsia="宋体" w:cs="宋体"/>
        </w:rPr>
        <w:t>投标人须知前附表</w:t>
      </w:r>
      <w:bookmarkEnd w:id="12"/>
      <w:bookmarkEnd w:id="13"/>
      <w:bookmarkEnd w:id="14"/>
      <w:bookmarkEnd w:id="15"/>
    </w:p>
    <w:tbl>
      <w:tblPr>
        <w:tblStyle w:val="33"/>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455"/>
        <w:gridCol w:w="5963"/>
      </w:tblGrid>
      <w:tr w14:paraId="3279C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blHeader/>
          <w:jc w:val="center"/>
        </w:trPr>
        <w:tc>
          <w:tcPr>
            <w:tcW w:w="1188" w:type="dxa"/>
          </w:tcPr>
          <w:p w14:paraId="5292BC1D">
            <w:pPr>
              <w:spacing w:line="360" w:lineRule="auto"/>
              <w:jc w:val="center"/>
              <w:rPr>
                <w:rFonts w:ascii="宋体" w:hAnsi="宋体" w:cs="宋体"/>
                <w:b/>
                <w:szCs w:val="21"/>
              </w:rPr>
            </w:pPr>
            <w:r>
              <w:rPr>
                <w:rFonts w:hint="eastAsia" w:ascii="宋体" w:hAnsi="宋体" w:cs="宋体"/>
                <w:b/>
                <w:szCs w:val="21"/>
              </w:rPr>
              <w:t>条款号</w:t>
            </w:r>
          </w:p>
        </w:tc>
        <w:tc>
          <w:tcPr>
            <w:tcW w:w="2455" w:type="dxa"/>
          </w:tcPr>
          <w:p w14:paraId="62478E55">
            <w:pPr>
              <w:spacing w:line="360" w:lineRule="auto"/>
              <w:jc w:val="center"/>
              <w:rPr>
                <w:rFonts w:ascii="宋体" w:hAnsi="宋体" w:cs="宋体"/>
                <w:b/>
                <w:szCs w:val="21"/>
              </w:rPr>
            </w:pPr>
            <w:r>
              <w:rPr>
                <w:rFonts w:hint="eastAsia" w:ascii="宋体" w:hAnsi="宋体" w:cs="宋体"/>
                <w:b/>
                <w:szCs w:val="21"/>
              </w:rPr>
              <w:t>条款名称</w:t>
            </w:r>
          </w:p>
        </w:tc>
        <w:tc>
          <w:tcPr>
            <w:tcW w:w="5963" w:type="dxa"/>
          </w:tcPr>
          <w:p w14:paraId="6E2C3EFF">
            <w:pPr>
              <w:spacing w:line="360" w:lineRule="auto"/>
              <w:jc w:val="center"/>
              <w:rPr>
                <w:rFonts w:ascii="宋体" w:hAnsi="宋体" w:cs="宋体"/>
                <w:b/>
                <w:szCs w:val="21"/>
              </w:rPr>
            </w:pPr>
            <w:r>
              <w:rPr>
                <w:rFonts w:hint="eastAsia" w:ascii="宋体" w:hAnsi="宋体" w:cs="宋体"/>
                <w:b/>
                <w:szCs w:val="21"/>
              </w:rPr>
              <w:t>编列内容</w:t>
            </w:r>
          </w:p>
        </w:tc>
      </w:tr>
      <w:tr w14:paraId="003D8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4" w:hRule="atLeast"/>
          <w:jc w:val="center"/>
        </w:trPr>
        <w:tc>
          <w:tcPr>
            <w:tcW w:w="1188" w:type="dxa"/>
            <w:vAlign w:val="center"/>
          </w:tcPr>
          <w:p w14:paraId="03EC6ED1">
            <w:pPr>
              <w:spacing w:line="360" w:lineRule="auto"/>
              <w:jc w:val="center"/>
              <w:rPr>
                <w:rFonts w:ascii="宋体" w:hAnsi="宋体" w:cs="宋体"/>
                <w:szCs w:val="21"/>
              </w:rPr>
            </w:pPr>
            <w:r>
              <w:rPr>
                <w:rFonts w:hint="eastAsia" w:ascii="宋体" w:hAnsi="宋体" w:cs="宋体"/>
                <w:szCs w:val="21"/>
              </w:rPr>
              <w:t>1.1.2</w:t>
            </w:r>
          </w:p>
        </w:tc>
        <w:tc>
          <w:tcPr>
            <w:tcW w:w="2455" w:type="dxa"/>
            <w:vAlign w:val="center"/>
          </w:tcPr>
          <w:p w14:paraId="20640C6A">
            <w:pPr>
              <w:spacing w:line="360" w:lineRule="auto"/>
              <w:jc w:val="center"/>
              <w:rPr>
                <w:rFonts w:ascii="宋体" w:hAnsi="宋体" w:cs="宋体"/>
                <w:szCs w:val="21"/>
              </w:rPr>
            </w:pPr>
            <w:r>
              <w:rPr>
                <w:rFonts w:hint="eastAsia" w:ascii="宋体" w:hAnsi="宋体" w:cs="宋体"/>
                <w:szCs w:val="21"/>
              </w:rPr>
              <w:t>招标人</w:t>
            </w:r>
          </w:p>
        </w:tc>
        <w:tc>
          <w:tcPr>
            <w:tcW w:w="5963" w:type="dxa"/>
            <w:vAlign w:val="center"/>
          </w:tcPr>
          <w:p w14:paraId="70EDC5B4">
            <w:pPr>
              <w:adjustRightInd w:val="0"/>
              <w:snapToGrid w:val="0"/>
              <w:spacing w:line="360" w:lineRule="auto"/>
              <w:rPr>
                <w:rFonts w:hint="eastAsia" w:ascii="宋体" w:hAnsi="宋体" w:cs="宋体"/>
                <w:szCs w:val="21"/>
                <w:u w:val="single"/>
                <w:lang w:val="zh-CN"/>
              </w:rPr>
            </w:pPr>
            <w:r>
              <w:rPr>
                <w:rFonts w:hint="eastAsia" w:ascii="宋体" w:hAnsi="宋体" w:cs="宋体"/>
                <w:szCs w:val="21"/>
              </w:rPr>
              <w:t>名称：</w:t>
            </w:r>
            <w:r>
              <w:rPr>
                <w:rFonts w:hint="eastAsia" w:ascii="宋体" w:hAnsi="宋体" w:cs="宋体"/>
                <w:szCs w:val="21"/>
                <w:u w:val="single"/>
                <w:lang w:val="zh-CN"/>
              </w:rPr>
              <w:t>广州市番禺区化龙镇人民政府</w:t>
            </w:r>
          </w:p>
          <w:p w14:paraId="587AFD42">
            <w:pPr>
              <w:adjustRightInd w:val="0"/>
              <w:snapToGrid w:val="0"/>
              <w:spacing w:line="360" w:lineRule="auto"/>
              <w:rPr>
                <w:rFonts w:hint="eastAsia" w:ascii="宋体" w:hAnsi="宋体" w:cs="宋体"/>
                <w:szCs w:val="21"/>
                <w:u w:val="single"/>
                <w:lang w:eastAsia="zh-CN"/>
              </w:rPr>
            </w:pPr>
            <w:r>
              <w:rPr>
                <w:rFonts w:hint="eastAsia" w:ascii="宋体" w:hAnsi="宋体" w:cs="宋体"/>
                <w:szCs w:val="21"/>
              </w:rPr>
              <w:t>地址：</w:t>
            </w:r>
            <w:r>
              <w:rPr>
                <w:rFonts w:hint="eastAsia" w:ascii="宋体" w:hAnsi="宋体" w:cs="宋体"/>
                <w:szCs w:val="21"/>
                <w:u w:val="single"/>
                <w:lang w:eastAsia="zh-CN"/>
              </w:rPr>
              <w:t>广东省广州市番禺区化龙镇龙源路88号</w:t>
            </w:r>
          </w:p>
          <w:p w14:paraId="0B19BAA5">
            <w:pPr>
              <w:adjustRightInd w:val="0"/>
              <w:snapToGrid w:val="0"/>
              <w:spacing w:line="360" w:lineRule="auto"/>
              <w:rPr>
                <w:rFonts w:ascii="宋体" w:hAnsi="宋体" w:cs="宋体"/>
                <w:szCs w:val="21"/>
                <w:u w:val="single"/>
                <w:lang w:val="zh-CN"/>
              </w:rPr>
            </w:pPr>
            <w:r>
              <w:rPr>
                <w:rFonts w:hint="eastAsia" w:ascii="宋体" w:hAnsi="宋体" w:cs="宋体"/>
                <w:szCs w:val="21"/>
                <w:lang w:val="zh-CN"/>
              </w:rPr>
              <w:t>联系人：</w:t>
            </w:r>
            <w:r>
              <w:rPr>
                <w:rFonts w:hint="eastAsia" w:ascii="宋体" w:hAnsi="宋体" w:cs="宋体"/>
                <w:szCs w:val="21"/>
                <w:u w:val="single"/>
                <w:lang w:val="en-US" w:eastAsia="zh-CN"/>
              </w:rPr>
              <w:t>黄</w:t>
            </w:r>
            <w:r>
              <w:rPr>
                <w:rFonts w:hint="eastAsia" w:ascii="宋体" w:hAnsi="宋体" w:cs="宋体"/>
                <w:szCs w:val="21"/>
                <w:u w:val="single"/>
                <w:lang w:val="zh-CN"/>
              </w:rPr>
              <w:t>工</w:t>
            </w:r>
          </w:p>
          <w:p w14:paraId="7519F79F">
            <w:pPr>
              <w:adjustRightInd w:val="0"/>
              <w:snapToGrid w:val="0"/>
              <w:spacing w:line="360" w:lineRule="auto"/>
              <w:rPr>
                <w:rFonts w:ascii="宋体" w:hAnsi="宋体" w:cs="宋体"/>
                <w:szCs w:val="21"/>
              </w:rPr>
            </w:pPr>
            <w:r>
              <w:rPr>
                <w:rFonts w:hint="eastAsia" w:ascii="宋体" w:hAnsi="宋体" w:cs="宋体"/>
                <w:szCs w:val="21"/>
                <w:lang w:val="zh-CN"/>
              </w:rPr>
              <w:t>电话：</w:t>
            </w:r>
            <w:r>
              <w:rPr>
                <w:rFonts w:hint="eastAsia" w:ascii="宋体" w:hAnsi="宋体" w:cs="宋体"/>
                <w:szCs w:val="21"/>
                <w:u w:val="single"/>
              </w:rPr>
              <w:t>020-84755513</w:t>
            </w:r>
          </w:p>
        </w:tc>
      </w:tr>
      <w:tr w14:paraId="4D275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14:paraId="540A1268">
            <w:pPr>
              <w:spacing w:line="360" w:lineRule="auto"/>
              <w:jc w:val="center"/>
              <w:rPr>
                <w:rFonts w:ascii="宋体" w:hAnsi="宋体" w:cs="宋体"/>
                <w:szCs w:val="21"/>
              </w:rPr>
            </w:pPr>
            <w:r>
              <w:rPr>
                <w:rFonts w:hint="eastAsia" w:ascii="宋体" w:hAnsi="宋体" w:cs="宋体"/>
                <w:szCs w:val="21"/>
              </w:rPr>
              <w:t>1.1.3</w:t>
            </w:r>
          </w:p>
        </w:tc>
        <w:tc>
          <w:tcPr>
            <w:tcW w:w="2455" w:type="dxa"/>
            <w:vAlign w:val="center"/>
          </w:tcPr>
          <w:p w14:paraId="2170FB59">
            <w:pPr>
              <w:spacing w:line="360" w:lineRule="auto"/>
              <w:jc w:val="center"/>
              <w:rPr>
                <w:rFonts w:ascii="宋体" w:hAnsi="宋体" w:cs="宋体"/>
                <w:szCs w:val="21"/>
              </w:rPr>
            </w:pPr>
            <w:r>
              <w:rPr>
                <w:rFonts w:hint="eastAsia" w:ascii="宋体" w:hAnsi="宋体" w:cs="宋体"/>
                <w:szCs w:val="21"/>
              </w:rPr>
              <w:t>招标代理机构</w:t>
            </w:r>
          </w:p>
        </w:tc>
        <w:tc>
          <w:tcPr>
            <w:tcW w:w="5963" w:type="dxa"/>
            <w:vAlign w:val="center"/>
          </w:tcPr>
          <w:p w14:paraId="39000182">
            <w:pPr>
              <w:spacing w:line="360" w:lineRule="auto"/>
              <w:rPr>
                <w:rFonts w:hint="eastAsia" w:ascii="宋体" w:hAnsi="宋体" w:cs="宋体"/>
                <w:szCs w:val="21"/>
                <w:u w:val="single"/>
                <w:lang w:eastAsia="zh-CN"/>
              </w:rPr>
            </w:pPr>
            <w:r>
              <w:rPr>
                <w:rFonts w:hint="eastAsia" w:ascii="宋体" w:hAnsi="宋体" w:cs="宋体"/>
                <w:szCs w:val="21"/>
              </w:rPr>
              <w:t>名称：</w:t>
            </w:r>
            <w:r>
              <w:rPr>
                <w:rFonts w:hint="eastAsia" w:ascii="宋体" w:hAnsi="宋体" w:cs="宋体"/>
                <w:szCs w:val="21"/>
                <w:u w:val="single"/>
                <w:lang w:eastAsia="zh-CN"/>
              </w:rPr>
              <w:t xml:space="preserve">广州建达建设管理有限公司 </w:t>
            </w:r>
          </w:p>
          <w:p w14:paraId="387C23D3">
            <w:pPr>
              <w:spacing w:line="360" w:lineRule="auto"/>
              <w:rPr>
                <w:rFonts w:hint="eastAsia" w:ascii="宋体" w:hAnsi="宋体" w:cs="宋体"/>
                <w:szCs w:val="21"/>
                <w:u w:val="single"/>
                <w:lang w:val="en-US" w:eastAsia="zh-CN"/>
              </w:rPr>
            </w:pPr>
            <w:r>
              <w:rPr>
                <w:rFonts w:hint="eastAsia" w:ascii="宋体" w:hAnsi="宋体" w:cs="宋体"/>
                <w:szCs w:val="21"/>
              </w:rPr>
              <w:t>地址：</w:t>
            </w:r>
            <w:r>
              <w:rPr>
                <w:rFonts w:hint="eastAsia" w:ascii="宋体" w:hAnsi="宋体" w:cs="宋体"/>
                <w:szCs w:val="21"/>
                <w:u w:val="single"/>
                <w:lang w:eastAsia="zh-CN"/>
              </w:rPr>
              <w:t>广州市番禺区</w:t>
            </w:r>
            <w:r>
              <w:rPr>
                <w:rFonts w:hint="eastAsia" w:ascii="宋体" w:hAnsi="宋体" w:cs="宋体"/>
                <w:szCs w:val="21"/>
                <w:u w:val="single"/>
                <w:lang w:val="en-US" w:eastAsia="zh-CN"/>
              </w:rPr>
              <w:t>大龙街道广华北路13号</w:t>
            </w:r>
          </w:p>
          <w:p w14:paraId="731DF360">
            <w:pPr>
              <w:spacing w:line="360" w:lineRule="auto"/>
              <w:rPr>
                <w:rFonts w:ascii="宋体" w:hAnsi="宋体" w:cs="宋体"/>
                <w:sz w:val="24"/>
                <w:u w:val="single"/>
              </w:rPr>
            </w:pPr>
            <w:r>
              <w:rPr>
                <w:rFonts w:hint="eastAsia" w:ascii="宋体" w:hAnsi="宋体" w:cs="宋体"/>
                <w:szCs w:val="21"/>
              </w:rPr>
              <w:t>联系人：</w:t>
            </w:r>
            <w:r>
              <w:rPr>
                <w:rFonts w:hint="eastAsia" w:ascii="宋体" w:hAnsi="宋体" w:cs="宋体"/>
                <w:szCs w:val="21"/>
                <w:u w:val="single"/>
                <w:lang w:val="en-US" w:eastAsia="zh-CN"/>
              </w:rPr>
              <w:t>张</w:t>
            </w:r>
            <w:r>
              <w:rPr>
                <w:rFonts w:hint="eastAsia" w:ascii="宋体" w:hAnsi="宋体" w:cs="宋体"/>
                <w:szCs w:val="21"/>
                <w:u w:val="single"/>
              </w:rPr>
              <w:t>工</w:t>
            </w:r>
          </w:p>
          <w:p w14:paraId="5F0E92EC">
            <w:pPr>
              <w:topLinePunct/>
              <w:spacing w:line="360" w:lineRule="auto"/>
              <w:jc w:val="left"/>
              <w:rPr>
                <w:rFonts w:hint="default" w:ascii="宋体" w:hAnsi="宋体" w:eastAsia="宋体" w:cs="宋体"/>
                <w:szCs w:val="21"/>
                <w:lang w:val="en-US" w:eastAsia="zh-CN"/>
              </w:rPr>
            </w:pPr>
            <w:r>
              <w:rPr>
                <w:rFonts w:hint="eastAsia" w:ascii="宋体" w:hAnsi="宋体" w:cs="宋体"/>
                <w:szCs w:val="21"/>
                <w:u w:val="single"/>
              </w:rPr>
              <w:t>电话：020-</w:t>
            </w:r>
            <w:r>
              <w:rPr>
                <w:rFonts w:hint="eastAsia" w:ascii="宋体" w:hAnsi="宋体" w:cs="宋体"/>
                <w:szCs w:val="21"/>
                <w:u w:val="single"/>
                <w:lang w:val="en-US" w:eastAsia="zh-CN"/>
              </w:rPr>
              <w:t>84620110</w:t>
            </w:r>
          </w:p>
        </w:tc>
      </w:tr>
      <w:tr w14:paraId="7A43E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188" w:type="dxa"/>
            <w:vAlign w:val="center"/>
          </w:tcPr>
          <w:p w14:paraId="79DCCA1A">
            <w:pPr>
              <w:jc w:val="center"/>
              <w:rPr>
                <w:rFonts w:ascii="宋体" w:hAnsi="宋体" w:cs="宋体"/>
                <w:szCs w:val="21"/>
              </w:rPr>
            </w:pPr>
            <w:r>
              <w:rPr>
                <w:rFonts w:hint="eastAsia" w:ascii="宋体" w:hAnsi="宋体" w:cs="宋体"/>
                <w:szCs w:val="21"/>
              </w:rPr>
              <w:t>1.1.4</w:t>
            </w:r>
          </w:p>
        </w:tc>
        <w:tc>
          <w:tcPr>
            <w:tcW w:w="2455" w:type="dxa"/>
            <w:vAlign w:val="center"/>
          </w:tcPr>
          <w:p w14:paraId="2642331F">
            <w:pPr>
              <w:jc w:val="center"/>
              <w:rPr>
                <w:rFonts w:ascii="宋体" w:hAnsi="宋体" w:cs="宋体"/>
                <w:szCs w:val="21"/>
              </w:rPr>
            </w:pPr>
            <w:r>
              <w:rPr>
                <w:rFonts w:hint="eastAsia" w:ascii="宋体" w:hAnsi="宋体" w:cs="宋体"/>
                <w:szCs w:val="21"/>
              </w:rPr>
              <w:t>招标项目名称</w:t>
            </w:r>
          </w:p>
        </w:tc>
        <w:tc>
          <w:tcPr>
            <w:tcW w:w="5963" w:type="dxa"/>
            <w:vAlign w:val="center"/>
          </w:tcPr>
          <w:p w14:paraId="54AFE07C">
            <w:pPr>
              <w:spacing w:line="360" w:lineRule="auto"/>
              <w:rPr>
                <w:rFonts w:hint="eastAsia" w:ascii="宋体" w:hAnsi="宋体" w:eastAsia="宋体" w:cs="宋体"/>
                <w:szCs w:val="21"/>
                <w:u w:val="single"/>
                <w:lang w:eastAsia="zh-CN"/>
              </w:rPr>
            </w:pPr>
            <w:r>
              <w:rPr>
                <w:rFonts w:hint="eastAsia" w:ascii="宋体" w:hAnsi="宋体" w:cs="宋体"/>
                <w:szCs w:val="21"/>
                <w:u w:val="single"/>
                <w:lang w:eastAsia="zh-CN"/>
              </w:rPr>
              <w:t>化龙镇防洪排涝设施改造工程施工图审查</w:t>
            </w:r>
          </w:p>
        </w:tc>
      </w:tr>
      <w:tr w14:paraId="3E37E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188" w:type="dxa"/>
            <w:vAlign w:val="center"/>
          </w:tcPr>
          <w:p w14:paraId="19DCE42D">
            <w:pPr>
              <w:jc w:val="center"/>
              <w:rPr>
                <w:rFonts w:ascii="宋体" w:hAnsi="宋体" w:cs="宋体"/>
                <w:szCs w:val="21"/>
              </w:rPr>
            </w:pPr>
            <w:r>
              <w:rPr>
                <w:rFonts w:hint="eastAsia" w:ascii="宋体" w:hAnsi="宋体" w:cs="宋体"/>
                <w:szCs w:val="21"/>
              </w:rPr>
              <w:t>1.1.5</w:t>
            </w:r>
          </w:p>
        </w:tc>
        <w:tc>
          <w:tcPr>
            <w:tcW w:w="2455" w:type="dxa"/>
            <w:vAlign w:val="center"/>
          </w:tcPr>
          <w:p w14:paraId="4A2A6465">
            <w:pPr>
              <w:jc w:val="center"/>
              <w:rPr>
                <w:rFonts w:ascii="宋体" w:hAnsi="宋体" w:cs="宋体"/>
                <w:szCs w:val="21"/>
              </w:rPr>
            </w:pPr>
            <w:r>
              <w:rPr>
                <w:rFonts w:hint="eastAsia" w:ascii="宋体" w:hAnsi="宋体" w:cs="宋体"/>
                <w:szCs w:val="21"/>
              </w:rPr>
              <w:t>项目建设地点</w:t>
            </w:r>
          </w:p>
        </w:tc>
        <w:tc>
          <w:tcPr>
            <w:tcW w:w="5963" w:type="dxa"/>
            <w:vAlign w:val="center"/>
          </w:tcPr>
          <w:p w14:paraId="575A4C8F">
            <w:pPr>
              <w:spacing w:line="360" w:lineRule="auto"/>
              <w:rPr>
                <w:rFonts w:ascii="宋体" w:hAnsi="宋体" w:cs="宋体"/>
                <w:szCs w:val="21"/>
                <w:u w:val="single"/>
              </w:rPr>
            </w:pPr>
            <w:r>
              <w:rPr>
                <w:rFonts w:hint="eastAsia" w:ascii="宋体" w:hAnsi="宋体" w:cs="宋体"/>
                <w:szCs w:val="21"/>
                <w:u w:val="single"/>
              </w:rPr>
              <w:t>详见招标公告。</w:t>
            </w:r>
          </w:p>
        </w:tc>
      </w:tr>
      <w:tr w14:paraId="56609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188" w:type="dxa"/>
            <w:vAlign w:val="center"/>
          </w:tcPr>
          <w:p w14:paraId="02164374">
            <w:pPr>
              <w:jc w:val="center"/>
              <w:rPr>
                <w:rFonts w:ascii="宋体" w:hAnsi="宋体" w:cs="宋体"/>
                <w:szCs w:val="21"/>
              </w:rPr>
            </w:pPr>
            <w:r>
              <w:rPr>
                <w:rFonts w:hint="eastAsia" w:ascii="宋体" w:hAnsi="宋体" w:cs="宋体"/>
                <w:szCs w:val="21"/>
              </w:rPr>
              <w:t>1.1.6</w:t>
            </w:r>
          </w:p>
        </w:tc>
        <w:tc>
          <w:tcPr>
            <w:tcW w:w="2455" w:type="dxa"/>
            <w:vAlign w:val="center"/>
          </w:tcPr>
          <w:p w14:paraId="2B267383">
            <w:pPr>
              <w:jc w:val="center"/>
              <w:rPr>
                <w:rFonts w:ascii="宋体" w:hAnsi="宋体" w:cs="宋体"/>
                <w:szCs w:val="21"/>
              </w:rPr>
            </w:pPr>
            <w:r>
              <w:rPr>
                <w:rFonts w:hint="eastAsia" w:ascii="宋体" w:hAnsi="宋体" w:cs="宋体"/>
                <w:szCs w:val="21"/>
              </w:rPr>
              <w:t>项目建设规模</w:t>
            </w:r>
          </w:p>
        </w:tc>
        <w:tc>
          <w:tcPr>
            <w:tcW w:w="5963" w:type="dxa"/>
            <w:vAlign w:val="center"/>
          </w:tcPr>
          <w:p w14:paraId="7D2A2F2C">
            <w:pPr>
              <w:spacing w:line="360" w:lineRule="auto"/>
              <w:rPr>
                <w:rFonts w:ascii="宋体" w:hAnsi="宋体" w:cs="宋体"/>
                <w:szCs w:val="21"/>
              </w:rPr>
            </w:pPr>
            <w:r>
              <w:rPr>
                <w:rFonts w:hint="eastAsia" w:ascii="宋体" w:hAnsi="宋体" w:cs="宋体"/>
                <w:szCs w:val="21"/>
                <w:u w:val="single"/>
              </w:rPr>
              <w:t>详见招标公告。</w:t>
            </w:r>
          </w:p>
        </w:tc>
      </w:tr>
      <w:tr w14:paraId="1F415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188" w:type="dxa"/>
            <w:vAlign w:val="center"/>
          </w:tcPr>
          <w:p w14:paraId="53E215A3">
            <w:pPr>
              <w:jc w:val="center"/>
              <w:rPr>
                <w:rFonts w:ascii="宋体" w:hAnsi="宋体" w:cs="宋体"/>
                <w:szCs w:val="21"/>
              </w:rPr>
            </w:pPr>
            <w:r>
              <w:rPr>
                <w:rFonts w:hint="eastAsia" w:ascii="宋体" w:hAnsi="宋体" w:cs="宋体"/>
                <w:szCs w:val="21"/>
              </w:rPr>
              <w:t>1.1.7</w:t>
            </w:r>
          </w:p>
        </w:tc>
        <w:tc>
          <w:tcPr>
            <w:tcW w:w="2455" w:type="dxa"/>
            <w:vAlign w:val="center"/>
          </w:tcPr>
          <w:p w14:paraId="2364F013">
            <w:pPr>
              <w:jc w:val="center"/>
              <w:rPr>
                <w:rFonts w:ascii="宋体" w:hAnsi="宋体" w:cs="宋体"/>
                <w:szCs w:val="21"/>
              </w:rPr>
            </w:pPr>
            <w:r>
              <w:rPr>
                <w:rFonts w:hint="eastAsia" w:ascii="宋体" w:hAnsi="宋体" w:cs="宋体"/>
                <w:szCs w:val="21"/>
              </w:rPr>
              <w:t>工程项目预计开工日期和建设周期</w:t>
            </w:r>
          </w:p>
        </w:tc>
        <w:tc>
          <w:tcPr>
            <w:tcW w:w="5963" w:type="dxa"/>
            <w:vAlign w:val="center"/>
          </w:tcPr>
          <w:p w14:paraId="725AC4EB">
            <w:pPr>
              <w:spacing w:line="360" w:lineRule="auto"/>
              <w:rPr>
                <w:rFonts w:ascii="宋体" w:hAnsi="宋体" w:cs="宋体"/>
                <w:szCs w:val="21"/>
              </w:rPr>
            </w:pPr>
            <w:r>
              <w:rPr>
                <w:rFonts w:hint="eastAsia" w:ascii="宋体" w:hAnsi="宋体" w:cs="宋体"/>
                <w:szCs w:val="21"/>
                <w:u w:val="single"/>
              </w:rPr>
              <w:t>详见招标公告。</w:t>
            </w:r>
          </w:p>
        </w:tc>
      </w:tr>
      <w:tr w14:paraId="462B6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188" w:type="dxa"/>
            <w:vAlign w:val="center"/>
          </w:tcPr>
          <w:p w14:paraId="28E03992">
            <w:pPr>
              <w:jc w:val="center"/>
              <w:rPr>
                <w:rFonts w:ascii="宋体" w:hAnsi="宋体" w:cs="宋体"/>
                <w:szCs w:val="21"/>
              </w:rPr>
            </w:pPr>
            <w:r>
              <w:rPr>
                <w:rFonts w:hint="eastAsia" w:ascii="宋体" w:hAnsi="宋体" w:cs="宋体"/>
                <w:szCs w:val="21"/>
              </w:rPr>
              <w:t>1.2.1</w:t>
            </w:r>
          </w:p>
        </w:tc>
        <w:tc>
          <w:tcPr>
            <w:tcW w:w="2455" w:type="dxa"/>
            <w:vAlign w:val="center"/>
          </w:tcPr>
          <w:p w14:paraId="3D0D689C">
            <w:pPr>
              <w:jc w:val="center"/>
              <w:rPr>
                <w:rFonts w:ascii="宋体" w:hAnsi="宋体" w:cs="宋体"/>
                <w:szCs w:val="21"/>
              </w:rPr>
            </w:pPr>
            <w:r>
              <w:rPr>
                <w:rFonts w:hint="eastAsia" w:ascii="宋体" w:hAnsi="宋体" w:cs="宋体"/>
                <w:szCs w:val="21"/>
              </w:rPr>
              <w:t>资金来源及比例</w:t>
            </w:r>
          </w:p>
        </w:tc>
        <w:tc>
          <w:tcPr>
            <w:tcW w:w="5963" w:type="dxa"/>
            <w:vAlign w:val="center"/>
          </w:tcPr>
          <w:p w14:paraId="467308F4">
            <w:pPr>
              <w:spacing w:line="360" w:lineRule="auto"/>
              <w:rPr>
                <w:rFonts w:ascii="宋体" w:hAnsi="宋体" w:cs="宋体"/>
                <w:szCs w:val="21"/>
                <w:u w:val="single"/>
              </w:rPr>
            </w:pPr>
            <w:r>
              <w:rPr>
                <w:rFonts w:hint="eastAsia" w:ascii="宋体" w:hAnsi="宋体" w:cs="宋体"/>
                <w:szCs w:val="21"/>
                <w:u w:val="single"/>
              </w:rPr>
              <w:t>详见招标公告。</w:t>
            </w:r>
          </w:p>
        </w:tc>
      </w:tr>
      <w:tr w14:paraId="5611F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188" w:type="dxa"/>
            <w:vAlign w:val="center"/>
          </w:tcPr>
          <w:p w14:paraId="0960CF54">
            <w:pPr>
              <w:jc w:val="center"/>
              <w:rPr>
                <w:rFonts w:ascii="宋体" w:hAnsi="宋体" w:cs="宋体"/>
                <w:szCs w:val="21"/>
              </w:rPr>
            </w:pPr>
            <w:r>
              <w:rPr>
                <w:rFonts w:hint="eastAsia" w:ascii="宋体" w:hAnsi="宋体" w:cs="宋体"/>
                <w:szCs w:val="21"/>
              </w:rPr>
              <w:t>1.2.2</w:t>
            </w:r>
          </w:p>
        </w:tc>
        <w:tc>
          <w:tcPr>
            <w:tcW w:w="2455" w:type="dxa"/>
            <w:vAlign w:val="center"/>
          </w:tcPr>
          <w:p w14:paraId="61FE9198">
            <w:pPr>
              <w:jc w:val="center"/>
              <w:rPr>
                <w:rFonts w:ascii="宋体" w:hAnsi="宋体" w:cs="宋体"/>
                <w:szCs w:val="21"/>
              </w:rPr>
            </w:pPr>
            <w:r>
              <w:rPr>
                <w:rFonts w:hint="eastAsia" w:ascii="宋体" w:hAnsi="宋体" w:cs="宋体"/>
                <w:szCs w:val="21"/>
              </w:rPr>
              <w:t>资金落实情况</w:t>
            </w:r>
          </w:p>
        </w:tc>
        <w:tc>
          <w:tcPr>
            <w:tcW w:w="5963" w:type="dxa"/>
            <w:vAlign w:val="center"/>
          </w:tcPr>
          <w:p w14:paraId="7E246A61">
            <w:pPr>
              <w:spacing w:line="360" w:lineRule="auto"/>
              <w:rPr>
                <w:rFonts w:ascii="宋体" w:hAnsi="宋体" w:cs="宋体"/>
                <w:szCs w:val="21"/>
                <w:u w:val="single"/>
              </w:rPr>
            </w:pPr>
            <w:r>
              <w:rPr>
                <w:rFonts w:hint="eastAsia" w:ascii="宋体" w:hAnsi="宋体" w:cs="宋体"/>
                <w:szCs w:val="21"/>
                <w:u w:val="single"/>
              </w:rPr>
              <w:t>已落实。</w:t>
            </w:r>
          </w:p>
        </w:tc>
      </w:tr>
      <w:tr w14:paraId="127C0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188" w:type="dxa"/>
            <w:vAlign w:val="center"/>
          </w:tcPr>
          <w:p w14:paraId="0A204453">
            <w:pPr>
              <w:jc w:val="center"/>
              <w:rPr>
                <w:rFonts w:ascii="宋体" w:hAnsi="宋体" w:cs="宋体"/>
                <w:szCs w:val="21"/>
              </w:rPr>
            </w:pPr>
            <w:r>
              <w:rPr>
                <w:rFonts w:hint="eastAsia" w:ascii="宋体" w:hAnsi="宋体" w:cs="宋体"/>
                <w:szCs w:val="21"/>
              </w:rPr>
              <w:t>1.3.1</w:t>
            </w:r>
          </w:p>
        </w:tc>
        <w:tc>
          <w:tcPr>
            <w:tcW w:w="2455" w:type="dxa"/>
            <w:vAlign w:val="center"/>
          </w:tcPr>
          <w:p w14:paraId="12E9E68B">
            <w:pPr>
              <w:jc w:val="center"/>
              <w:rPr>
                <w:rFonts w:ascii="宋体" w:hAnsi="宋体" w:cs="宋体"/>
                <w:szCs w:val="21"/>
              </w:rPr>
            </w:pPr>
            <w:r>
              <w:rPr>
                <w:rFonts w:hint="eastAsia" w:ascii="宋体" w:hAnsi="宋体" w:cs="宋体"/>
                <w:szCs w:val="21"/>
              </w:rPr>
              <w:t>招标范围</w:t>
            </w:r>
          </w:p>
        </w:tc>
        <w:tc>
          <w:tcPr>
            <w:tcW w:w="5963" w:type="dxa"/>
            <w:vAlign w:val="center"/>
          </w:tcPr>
          <w:p w14:paraId="323E136D">
            <w:pPr>
              <w:spacing w:line="360" w:lineRule="auto"/>
              <w:rPr>
                <w:rFonts w:ascii="宋体" w:hAnsi="宋体" w:cs="宋体"/>
                <w:szCs w:val="21"/>
              </w:rPr>
            </w:pPr>
            <w:r>
              <w:rPr>
                <w:rFonts w:hint="eastAsia" w:ascii="宋体" w:hAnsi="宋体" w:cs="宋体"/>
                <w:szCs w:val="21"/>
                <w:u w:val="single"/>
              </w:rPr>
              <w:t>详见招标公告。</w:t>
            </w:r>
          </w:p>
        </w:tc>
      </w:tr>
      <w:tr w14:paraId="03A24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188" w:type="dxa"/>
            <w:vAlign w:val="center"/>
          </w:tcPr>
          <w:p w14:paraId="3B399219">
            <w:pPr>
              <w:jc w:val="center"/>
              <w:rPr>
                <w:rFonts w:ascii="宋体" w:hAnsi="宋体" w:cs="宋体"/>
                <w:szCs w:val="21"/>
              </w:rPr>
            </w:pPr>
            <w:r>
              <w:rPr>
                <w:rFonts w:hint="eastAsia" w:ascii="宋体" w:hAnsi="宋体" w:cs="宋体"/>
                <w:szCs w:val="21"/>
              </w:rPr>
              <w:t>1.3.2</w:t>
            </w:r>
          </w:p>
        </w:tc>
        <w:tc>
          <w:tcPr>
            <w:tcW w:w="2455" w:type="dxa"/>
            <w:vAlign w:val="center"/>
          </w:tcPr>
          <w:p w14:paraId="2AA68A92">
            <w:pPr>
              <w:jc w:val="center"/>
              <w:rPr>
                <w:rFonts w:ascii="宋体" w:hAnsi="宋体" w:cs="宋体"/>
                <w:szCs w:val="21"/>
              </w:rPr>
            </w:pPr>
            <w:r>
              <w:rPr>
                <w:rFonts w:hint="eastAsia" w:ascii="宋体" w:hAnsi="宋体" w:cs="宋体"/>
                <w:szCs w:val="21"/>
              </w:rPr>
              <w:t>服务期限</w:t>
            </w:r>
          </w:p>
        </w:tc>
        <w:tc>
          <w:tcPr>
            <w:tcW w:w="5963" w:type="dxa"/>
            <w:vAlign w:val="center"/>
          </w:tcPr>
          <w:p w14:paraId="521ED370">
            <w:pPr>
              <w:spacing w:line="360" w:lineRule="auto"/>
              <w:rPr>
                <w:szCs w:val="21"/>
              </w:rPr>
            </w:pPr>
            <w:r>
              <w:rPr>
                <w:rFonts w:hint="eastAsia" w:ascii="宋体" w:hAnsi="宋体" w:cs="宋体"/>
                <w:szCs w:val="21"/>
                <w:u w:val="single"/>
              </w:rPr>
              <w:t>详见招标公告。</w:t>
            </w:r>
          </w:p>
        </w:tc>
      </w:tr>
      <w:tr w14:paraId="2DBCB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188" w:type="dxa"/>
            <w:vAlign w:val="center"/>
          </w:tcPr>
          <w:p w14:paraId="0358F851">
            <w:pPr>
              <w:jc w:val="center"/>
              <w:rPr>
                <w:rFonts w:ascii="宋体" w:hAnsi="宋体" w:cs="宋体"/>
                <w:szCs w:val="21"/>
              </w:rPr>
            </w:pPr>
            <w:r>
              <w:rPr>
                <w:rFonts w:hint="eastAsia" w:ascii="宋体" w:hAnsi="宋体" w:cs="宋体"/>
                <w:szCs w:val="21"/>
              </w:rPr>
              <w:t>1.3.3</w:t>
            </w:r>
          </w:p>
        </w:tc>
        <w:tc>
          <w:tcPr>
            <w:tcW w:w="2455" w:type="dxa"/>
            <w:vAlign w:val="center"/>
          </w:tcPr>
          <w:p w14:paraId="073ADA73">
            <w:pPr>
              <w:jc w:val="center"/>
              <w:rPr>
                <w:rFonts w:ascii="宋体" w:hAnsi="宋体" w:cs="宋体"/>
                <w:szCs w:val="21"/>
              </w:rPr>
            </w:pPr>
            <w:r>
              <w:rPr>
                <w:rFonts w:hint="eastAsia" w:ascii="宋体" w:hAnsi="宋体" w:cs="宋体"/>
                <w:szCs w:val="21"/>
              </w:rPr>
              <w:t>质量标准</w:t>
            </w:r>
          </w:p>
        </w:tc>
        <w:tc>
          <w:tcPr>
            <w:tcW w:w="5963" w:type="dxa"/>
            <w:vAlign w:val="center"/>
          </w:tcPr>
          <w:p w14:paraId="77DB28E5">
            <w:pPr>
              <w:spacing w:line="360" w:lineRule="auto"/>
              <w:rPr>
                <w:rFonts w:ascii="宋体" w:hAnsi="宋体" w:cs="宋体"/>
                <w:szCs w:val="21"/>
                <w:u w:val="single"/>
              </w:rPr>
            </w:pPr>
            <w:r>
              <w:rPr>
                <w:rFonts w:hint="eastAsia" w:ascii="宋体" w:hAnsi="宋体" w:cs="宋体"/>
                <w:color w:val="auto"/>
                <w:szCs w:val="21"/>
                <w:highlight w:val="none"/>
                <w:u w:val="single"/>
                <w:lang w:val="en-US" w:eastAsia="zh-CN"/>
              </w:rPr>
              <w:t>合格。</w:t>
            </w:r>
          </w:p>
        </w:tc>
      </w:tr>
      <w:tr w14:paraId="64C50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2" w:hRule="atLeast"/>
          <w:jc w:val="center"/>
        </w:trPr>
        <w:tc>
          <w:tcPr>
            <w:tcW w:w="1188" w:type="dxa"/>
            <w:vAlign w:val="center"/>
          </w:tcPr>
          <w:p w14:paraId="3CFBD6C2">
            <w:pPr>
              <w:spacing w:line="360" w:lineRule="auto"/>
              <w:jc w:val="center"/>
              <w:rPr>
                <w:rFonts w:ascii="宋体" w:hAnsi="宋体" w:cs="宋体"/>
                <w:szCs w:val="21"/>
              </w:rPr>
            </w:pPr>
            <w:r>
              <w:rPr>
                <w:rFonts w:hint="eastAsia" w:ascii="宋体" w:hAnsi="宋体" w:cs="宋体"/>
                <w:szCs w:val="21"/>
              </w:rPr>
              <w:t>1.4.1</w:t>
            </w:r>
          </w:p>
        </w:tc>
        <w:tc>
          <w:tcPr>
            <w:tcW w:w="2455" w:type="dxa"/>
            <w:vAlign w:val="center"/>
          </w:tcPr>
          <w:p w14:paraId="246A9E8E">
            <w:pPr>
              <w:spacing w:line="360" w:lineRule="auto"/>
              <w:jc w:val="center"/>
              <w:rPr>
                <w:rFonts w:ascii="宋体" w:hAnsi="宋体" w:cs="宋体"/>
                <w:szCs w:val="21"/>
              </w:rPr>
            </w:pPr>
            <w:r>
              <w:rPr>
                <w:rFonts w:hint="eastAsia" w:ascii="宋体" w:hAnsi="宋体" w:cs="宋体"/>
                <w:szCs w:val="21"/>
              </w:rPr>
              <w:t>投标人资质条件、能力、信誉</w:t>
            </w:r>
          </w:p>
        </w:tc>
        <w:tc>
          <w:tcPr>
            <w:tcW w:w="5963" w:type="dxa"/>
            <w:vAlign w:val="center"/>
          </w:tcPr>
          <w:p w14:paraId="29516B67">
            <w:pPr>
              <w:spacing w:line="264" w:lineRule="auto"/>
              <w:rPr>
                <w:rFonts w:ascii="宋体" w:hAnsi="宋体" w:cs="宋体"/>
                <w:szCs w:val="21"/>
                <w:u w:val="single"/>
              </w:rPr>
            </w:pPr>
            <w:r>
              <w:rPr>
                <w:rFonts w:hint="eastAsia" w:ascii="宋体" w:hAnsi="宋体" w:cs="宋体"/>
                <w:szCs w:val="21"/>
              </w:rPr>
              <w:t>（1）资质要求：</w:t>
            </w:r>
            <w:r>
              <w:rPr>
                <w:rFonts w:hint="eastAsia" w:ascii="宋体" w:hAnsi="宋体" w:cs="宋体"/>
                <w:szCs w:val="21"/>
                <w:u w:val="single"/>
              </w:rPr>
              <w:t>见招标公告投标人资格要求。</w:t>
            </w:r>
          </w:p>
          <w:p w14:paraId="339222A3">
            <w:pPr>
              <w:spacing w:line="264" w:lineRule="auto"/>
              <w:rPr>
                <w:rFonts w:ascii="宋体" w:hAnsi="宋体" w:cs="宋体"/>
                <w:szCs w:val="21"/>
                <w:u w:val="single"/>
              </w:rPr>
            </w:pPr>
            <w:r>
              <w:rPr>
                <w:rFonts w:hint="eastAsia" w:ascii="宋体" w:hAnsi="宋体" w:cs="宋体"/>
                <w:szCs w:val="21"/>
              </w:rPr>
              <w:t>（2）财务要求：</w:t>
            </w:r>
            <w:r>
              <w:rPr>
                <w:rFonts w:hint="eastAsia" w:ascii="宋体" w:hAnsi="宋体" w:cs="宋体"/>
                <w:szCs w:val="21"/>
                <w:u w:val="single"/>
              </w:rPr>
              <w:t xml:space="preserve">           /            。</w:t>
            </w:r>
          </w:p>
          <w:p w14:paraId="0847A75A">
            <w:pPr>
              <w:spacing w:line="264" w:lineRule="auto"/>
              <w:rPr>
                <w:rFonts w:ascii="宋体" w:hAnsi="宋体" w:cs="宋体"/>
                <w:szCs w:val="21"/>
              </w:rPr>
            </w:pPr>
            <w:r>
              <w:rPr>
                <w:rFonts w:hint="eastAsia" w:ascii="宋体" w:hAnsi="宋体" w:cs="宋体"/>
                <w:szCs w:val="21"/>
              </w:rPr>
              <w:t>（3）业绩要求：</w:t>
            </w:r>
            <w:r>
              <w:rPr>
                <w:rFonts w:hint="eastAsia" w:ascii="宋体" w:hAnsi="宋体" w:cs="宋体"/>
                <w:szCs w:val="21"/>
                <w:u w:val="single"/>
              </w:rPr>
              <w:t xml:space="preserve">           /            。</w:t>
            </w:r>
          </w:p>
          <w:p w14:paraId="3FEBDCE5">
            <w:pPr>
              <w:spacing w:line="264" w:lineRule="auto"/>
              <w:rPr>
                <w:rFonts w:ascii="宋体" w:hAnsi="宋体" w:cs="宋体"/>
                <w:szCs w:val="21"/>
              </w:rPr>
            </w:pPr>
            <w:r>
              <w:rPr>
                <w:rFonts w:hint="eastAsia" w:ascii="宋体" w:hAnsi="宋体" w:cs="宋体"/>
                <w:szCs w:val="21"/>
              </w:rPr>
              <w:t>（4）信誉要求：</w:t>
            </w:r>
            <w:r>
              <w:rPr>
                <w:rFonts w:hint="eastAsia" w:ascii="宋体" w:hAnsi="宋体" w:cs="宋体"/>
                <w:szCs w:val="21"/>
                <w:u w:val="single"/>
              </w:rPr>
              <w:t xml:space="preserve">           /            。</w:t>
            </w:r>
          </w:p>
          <w:p w14:paraId="568615AE">
            <w:pPr>
              <w:spacing w:line="264" w:lineRule="auto"/>
              <w:rPr>
                <w:rFonts w:ascii="宋体" w:hAnsi="宋体" w:cs="宋体"/>
                <w:szCs w:val="21"/>
              </w:rPr>
            </w:pPr>
            <w:r>
              <w:rPr>
                <w:rFonts w:hint="eastAsia" w:ascii="宋体" w:hAnsi="宋体" w:cs="宋体"/>
                <w:szCs w:val="21"/>
              </w:rPr>
              <w:t>（5）项目负责人的资格要求：</w:t>
            </w:r>
            <w:r>
              <w:rPr>
                <w:rFonts w:hint="eastAsia" w:ascii="宋体" w:hAnsi="宋体" w:cs="宋体"/>
                <w:szCs w:val="21"/>
                <w:u w:val="single"/>
              </w:rPr>
              <w:t>见招标公告投标人资格要求。</w:t>
            </w:r>
          </w:p>
          <w:p w14:paraId="70FAA1E7">
            <w:pPr>
              <w:spacing w:line="264" w:lineRule="auto"/>
              <w:rPr>
                <w:rFonts w:ascii="宋体" w:hAnsi="宋体" w:cs="宋体"/>
                <w:szCs w:val="21"/>
              </w:rPr>
            </w:pPr>
            <w:r>
              <w:rPr>
                <w:rFonts w:hint="eastAsia" w:ascii="宋体" w:hAnsi="宋体" w:cs="宋体"/>
                <w:szCs w:val="21"/>
              </w:rPr>
              <w:t>（6）其他主要人员要求：</w:t>
            </w:r>
            <w:r>
              <w:rPr>
                <w:rFonts w:hint="eastAsia" w:ascii="宋体" w:hAnsi="宋体" w:cs="宋体"/>
                <w:szCs w:val="21"/>
                <w:u w:val="single"/>
              </w:rPr>
              <w:t xml:space="preserve">        /       。</w:t>
            </w:r>
          </w:p>
          <w:p w14:paraId="5A22181F">
            <w:pPr>
              <w:spacing w:line="264" w:lineRule="auto"/>
              <w:rPr>
                <w:rFonts w:ascii="宋体" w:hAnsi="宋体" w:cs="宋体"/>
                <w:szCs w:val="21"/>
              </w:rPr>
            </w:pPr>
            <w:r>
              <w:rPr>
                <w:rFonts w:hint="eastAsia" w:ascii="宋体" w:hAnsi="宋体" w:cs="宋体"/>
                <w:szCs w:val="21"/>
              </w:rPr>
              <w:t>（7）试验检测监测仪器设备要求：</w:t>
            </w:r>
            <w:r>
              <w:rPr>
                <w:rFonts w:hint="eastAsia" w:ascii="宋体" w:hAnsi="宋体" w:cs="宋体"/>
                <w:szCs w:val="21"/>
                <w:u w:val="single"/>
              </w:rPr>
              <w:t xml:space="preserve">      /     。</w:t>
            </w:r>
          </w:p>
          <w:p w14:paraId="69044B2E">
            <w:pPr>
              <w:spacing w:line="264" w:lineRule="auto"/>
              <w:rPr>
                <w:rFonts w:ascii="宋体" w:hAnsi="宋体" w:cs="宋体"/>
                <w:szCs w:val="21"/>
              </w:rPr>
            </w:pPr>
            <w:r>
              <w:rPr>
                <w:rFonts w:hint="eastAsia" w:ascii="宋体" w:hAnsi="宋体" w:cs="宋体"/>
                <w:szCs w:val="21"/>
              </w:rPr>
              <w:t>（8）其他要求：</w:t>
            </w:r>
            <w:r>
              <w:rPr>
                <w:rFonts w:hint="eastAsia" w:ascii="宋体" w:hAnsi="宋体" w:cs="宋体"/>
                <w:szCs w:val="21"/>
                <w:u w:val="single"/>
              </w:rPr>
              <w:t>见招标公告投标人资格要求。</w:t>
            </w:r>
          </w:p>
        </w:tc>
      </w:tr>
      <w:tr w14:paraId="0C3CB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14:paraId="76EEDCFC">
            <w:pPr>
              <w:spacing w:line="360" w:lineRule="auto"/>
              <w:jc w:val="center"/>
              <w:rPr>
                <w:rFonts w:ascii="宋体" w:hAnsi="宋体" w:cs="宋体"/>
                <w:szCs w:val="21"/>
              </w:rPr>
            </w:pPr>
            <w:r>
              <w:rPr>
                <w:rFonts w:hint="eastAsia" w:ascii="宋体" w:hAnsi="宋体" w:cs="宋体"/>
                <w:szCs w:val="21"/>
              </w:rPr>
              <w:t>1.4.2</w:t>
            </w:r>
          </w:p>
        </w:tc>
        <w:tc>
          <w:tcPr>
            <w:tcW w:w="2455" w:type="dxa"/>
            <w:vAlign w:val="center"/>
          </w:tcPr>
          <w:p w14:paraId="44A09573">
            <w:pPr>
              <w:spacing w:line="360" w:lineRule="auto"/>
              <w:jc w:val="center"/>
              <w:rPr>
                <w:rFonts w:ascii="宋体" w:hAnsi="宋体" w:cs="宋体"/>
                <w:szCs w:val="21"/>
              </w:rPr>
            </w:pPr>
            <w:r>
              <w:rPr>
                <w:rFonts w:hint="eastAsia" w:ascii="宋体" w:hAnsi="宋体" w:cs="宋体"/>
                <w:szCs w:val="21"/>
              </w:rPr>
              <w:t>是否接受联合体投标</w:t>
            </w:r>
          </w:p>
        </w:tc>
        <w:tc>
          <w:tcPr>
            <w:tcW w:w="5963" w:type="dxa"/>
            <w:vAlign w:val="center"/>
          </w:tcPr>
          <w:p w14:paraId="5F9237D0">
            <w:pPr>
              <w:spacing w:line="360" w:lineRule="auto"/>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eq \o\ac(□</w:instrText>
            </w:r>
            <w:r>
              <w:rPr>
                <w:rFonts w:hint="eastAsia" w:ascii="宋体" w:hAnsi="宋体" w:cs="宋体"/>
                <w:szCs w:val="21"/>
                <w:lang w:eastAsia="zh-CN"/>
              </w:rPr>
              <w:instrText xml:space="preserve">,</w:instrText>
            </w:r>
            <w:r>
              <w:rPr>
                <w:rFonts w:hint="eastAsia" w:ascii="宋体" w:hAnsi="宋体" w:cs="宋体"/>
                <w:position w:val="2"/>
                <w:sz w:val="13"/>
                <w:szCs w:val="21"/>
                <w:lang w:eastAsia="zh-CN"/>
              </w:rPr>
              <w:instrText xml:space="preserve">√</w:instrText>
            </w:r>
            <w:r>
              <w:rPr>
                <w:rFonts w:hint="eastAsia" w:ascii="宋体" w:hAnsi="宋体" w:cs="宋体"/>
                <w:szCs w:val="21"/>
              </w:rPr>
              <w:instrText xml:space="preserve">)</w:instrText>
            </w:r>
            <w:r>
              <w:rPr>
                <w:rFonts w:hint="eastAsia" w:ascii="宋体" w:hAnsi="宋体" w:cs="宋体"/>
                <w:szCs w:val="21"/>
              </w:rPr>
              <w:fldChar w:fldCharType="end"/>
            </w:r>
            <w:r>
              <w:rPr>
                <w:rFonts w:hint="eastAsia" w:ascii="宋体" w:hAnsi="宋体" w:cs="宋体"/>
                <w:szCs w:val="21"/>
              </w:rPr>
              <w:t>不接受</w:t>
            </w:r>
          </w:p>
          <w:p w14:paraId="07741B01">
            <w:pPr>
              <w:spacing w:line="360" w:lineRule="auto"/>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eq \o\ac(□)</w:instrText>
            </w:r>
            <w:r>
              <w:rPr>
                <w:rFonts w:hint="eastAsia" w:ascii="宋体" w:hAnsi="宋体" w:cs="宋体"/>
                <w:szCs w:val="21"/>
              </w:rPr>
              <w:fldChar w:fldCharType="end"/>
            </w:r>
            <w:r>
              <w:rPr>
                <w:rFonts w:hint="eastAsia" w:ascii="宋体" w:hAnsi="宋体" w:cs="宋体"/>
                <w:szCs w:val="21"/>
              </w:rPr>
              <w:t>接受</w:t>
            </w:r>
          </w:p>
        </w:tc>
      </w:tr>
      <w:tr w14:paraId="0A403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1188" w:type="dxa"/>
            <w:vAlign w:val="center"/>
          </w:tcPr>
          <w:p w14:paraId="0FB2BFEF">
            <w:pPr>
              <w:spacing w:line="360" w:lineRule="auto"/>
              <w:jc w:val="center"/>
              <w:rPr>
                <w:rFonts w:ascii="宋体" w:hAnsi="宋体" w:cs="宋体"/>
                <w:szCs w:val="21"/>
              </w:rPr>
            </w:pPr>
            <w:r>
              <w:rPr>
                <w:rFonts w:hint="eastAsia" w:ascii="宋体" w:hAnsi="宋体" w:cs="宋体"/>
                <w:szCs w:val="21"/>
              </w:rPr>
              <w:t>1.4.3</w:t>
            </w:r>
          </w:p>
        </w:tc>
        <w:tc>
          <w:tcPr>
            <w:tcW w:w="2455" w:type="dxa"/>
            <w:vAlign w:val="center"/>
          </w:tcPr>
          <w:p w14:paraId="5779ED98">
            <w:pPr>
              <w:spacing w:line="360" w:lineRule="auto"/>
              <w:jc w:val="center"/>
              <w:rPr>
                <w:rFonts w:ascii="宋体" w:hAnsi="宋体" w:cs="宋体"/>
                <w:szCs w:val="21"/>
              </w:rPr>
            </w:pPr>
            <w:r>
              <w:rPr>
                <w:rFonts w:hint="eastAsia" w:ascii="宋体" w:hAnsi="宋体" w:cs="宋体"/>
                <w:szCs w:val="21"/>
              </w:rPr>
              <w:t>投标人不得存在的其他情形</w:t>
            </w:r>
          </w:p>
        </w:tc>
        <w:tc>
          <w:tcPr>
            <w:tcW w:w="5963" w:type="dxa"/>
            <w:vAlign w:val="center"/>
          </w:tcPr>
          <w:p w14:paraId="488AA747">
            <w:pPr>
              <w:spacing w:line="360" w:lineRule="auto"/>
              <w:rPr>
                <w:rFonts w:ascii="宋体" w:hAnsi="宋体" w:cs="宋体"/>
                <w:szCs w:val="21"/>
              </w:rPr>
            </w:pPr>
            <w:r>
              <w:rPr>
                <w:rFonts w:hint="eastAsia" w:ascii="宋体" w:hAnsi="宋体" w:cs="宋体"/>
                <w:color w:val="auto"/>
                <w:szCs w:val="21"/>
                <w:highlight w:val="none"/>
                <w:u w:val="single"/>
              </w:rPr>
              <w:t>详见招标文件1</w:t>
            </w:r>
            <w:r>
              <w:rPr>
                <w:rFonts w:ascii="宋体" w:hAnsi="宋体" w:cs="宋体"/>
                <w:color w:val="auto"/>
                <w:szCs w:val="21"/>
                <w:highlight w:val="none"/>
                <w:u w:val="single"/>
              </w:rPr>
              <w:t>.4.3</w:t>
            </w:r>
            <w:r>
              <w:rPr>
                <w:rFonts w:hint="eastAsia" w:ascii="宋体" w:hAnsi="宋体" w:cs="宋体"/>
                <w:color w:val="auto"/>
                <w:szCs w:val="21"/>
                <w:highlight w:val="none"/>
                <w:u w:val="single"/>
              </w:rPr>
              <w:t>。</w:t>
            </w:r>
          </w:p>
        </w:tc>
      </w:tr>
      <w:tr w14:paraId="46FE3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14:paraId="5C91476F">
            <w:pPr>
              <w:spacing w:line="360" w:lineRule="auto"/>
              <w:jc w:val="center"/>
              <w:rPr>
                <w:rFonts w:ascii="宋体" w:hAnsi="宋体" w:cs="宋体"/>
                <w:szCs w:val="21"/>
              </w:rPr>
            </w:pPr>
            <w:r>
              <w:rPr>
                <w:rFonts w:hint="eastAsia" w:ascii="宋体" w:hAnsi="宋体" w:cs="宋体"/>
                <w:szCs w:val="21"/>
              </w:rPr>
              <w:t>1.9.1</w:t>
            </w:r>
          </w:p>
        </w:tc>
        <w:tc>
          <w:tcPr>
            <w:tcW w:w="2455" w:type="dxa"/>
            <w:vAlign w:val="center"/>
          </w:tcPr>
          <w:p w14:paraId="4C6E4CDB">
            <w:pPr>
              <w:spacing w:line="360" w:lineRule="auto"/>
              <w:jc w:val="center"/>
              <w:rPr>
                <w:rFonts w:ascii="宋体" w:hAnsi="宋体" w:cs="宋体"/>
                <w:szCs w:val="21"/>
              </w:rPr>
            </w:pPr>
            <w:r>
              <w:rPr>
                <w:rFonts w:hint="eastAsia" w:ascii="宋体" w:hAnsi="宋体" w:cs="宋体"/>
                <w:szCs w:val="21"/>
              </w:rPr>
              <w:t>踏勘现场</w:t>
            </w:r>
          </w:p>
        </w:tc>
        <w:tc>
          <w:tcPr>
            <w:tcW w:w="5963" w:type="dxa"/>
            <w:vAlign w:val="center"/>
          </w:tcPr>
          <w:p w14:paraId="3E875E1A">
            <w:pPr>
              <w:spacing w:line="360" w:lineRule="auto"/>
              <w:rPr>
                <w:rFonts w:ascii="宋体" w:hAnsi="宋体" w:cs="宋体"/>
                <w:szCs w:val="21"/>
                <w:u w:val="single"/>
              </w:rPr>
            </w:pPr>
            <w:r>
              <w:rPr>
                <w:rFonts w:hint="eastAsia" w:ascii="宋体" w:hAnsi="宋体" w:cs="宋体"/>
                <w:szCs w:val="21"/>
              </w:rPr>
              <w:fldChar w:fldCharType="begin"/>
            </w:r>
            <w:r>
              <w:rPr>
                <w:rFonts w:hint="eastAsia" w:ascii="宋体" w:hAnsi="宋体" w:cs="宋体"/>
                <w:szCs w:val="21"/>
              </w:rPr>
              <w:instrText xml:space="preserve"> eq \o\ac(□</w:instrText>
            </w:r>
            <w:r>
              <w:rPr>
                <w:rFonts w:hint="eastAsia" w:ascii="宋体" w:hAnsi="宋体" w:cs="宋体"/>
                <w:position w:val="2"/>
                <w:sz w:val="14"/>
                <w:szCs w:val="21"/>
              </w:rPr>
              <w:instrText xml:space="preserve">,</w:instrText>
            </w:r>
            <w:r>
              <w:rPr>
                <w:rFonts w:hint="eastAsia" w:ascii="宋体" w:hAnsi="宋体" w:cs="宋体"/>
                <w:szCs w:val="21"/>
              </w:rPr>
              <w:instrText xml:space="preserve">√)</w:instrText>
            </w:r>
            <w:r>
              <w:rPr>
                <w:rFonts w:hint="eastAsia" w:ascii="宋体" w:hAnsi="宋体" w:cs="宋体"/>
                <w:szCs w:val="21"/>
              </w:rPr>
              <w:fldChar w:fldCharType="end"/>
            </w:r>
            <w:r>
              <w:rPr>
                <w:rFonts w:hint="eastAsia" w:ascii="宋体" w:hAnsi="宋体" w:cs="宋体"/>
                <w:szCs w:val="21"/>
              </w:rPr>
              <w:t>不组织</w:t>
            </w:r>
            <w:r>
              <w:rPr>
                <w:rFonts w:hint="eastAsia" w:ascii="宋体" w:hAnsi="宋体" w:cs="宋体"/>
                <w:szCs w:val="21"/>
                <w:u w:val="single"/>
              </w:rPr>
              <w:t>，由投标人自行现场勘察。</w:t>
            </w:r>
          </w:p>
          <w:p w14:paraId="6A31DE8A">
            <w:pPr>
              <w:spacing w:line="360" w:lineRule="auto"/>
              <w:rPr>
                <w:rFonts w:ascii="宋体" w:hAnsi="宋体" w:cs="宋体"/>
                <w:szCs w:val="21"/>
              </w:rPr>
            </w:pPr>
            <w:r>
              <w:rPr>
                <w:rFonts w:hint="eastAsia" w:ascii="宋体" w:hAnsi="宋体" w:cs="宋体"/>
                <w:szCs w:val="21"/>
              </w:rPr>
              <w:t>□组织，踏勘时间：</w:t>
            </w:r>
          </w:p>
          <w:p w14:paraId="16333ED5">
            <w:pPr>
              <w:spacing w:line="360" w:lineRule="auto"/>
              <w:ind w:firstLine="852" w:firstLineChars="400"/>
              <w:rPr>
                <w:rFonts w:ascii="宋体" w:hAnsi="宋体" w:cs="宋体"/>
                <w:szCs w:val="21"/>
              </w:rPr>
            </w:pPr>
            <w:r>
              <w:rPr>
                <w:rFonts w:hint="eastAsia" w:ascii="宋体" w:hAnsi="宋体" w:cs="宋体"/>
                <w:szCs w:val="21"/>
              </w:rPr>
              <w:t>踏勘集中地点：</w:t>
            </w:r>
          </w:p>
        </w:tc>
      </w:tr>
      <w:tr w14:paraId="4D99C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14:paraId="229E8BC7">
            <w:pPr>
              <w:spacing w:line="360" w:lineRule="auto"/>
              <w:jc w:val="center"/>
              <w:rPr>
                <w:rFonts w:ascii="宋体" w:hAnsi="宋体" w:cs="宋体"/>
                <w:szCs w:val="21"/>
              </w:rPr>
            </w:pPr>
            <w:r>
              <w:rPr>
                <w:rFonts w:hint="eastAsia" w:ascii="宋体" w:hAnsi="宋体" w:cs="宋体"/>
                <w:szCs w:val="21"/>
              </w:rPr>
              <w:t>1.10.1</w:t>
            </w:r>
          </w:p>
        </w:tc>
        <w:tc>
          <w:tcPr>
            <w:tcW w:w="2455" w:type="dxa"/>
            <w:vAlign w:val="center"/>
          </w:tcPr>
          <w:p w14:paraId="37652716">
            <w:pPr>
              <w:spacing w:line="360" w:lineRule="auto"/>
              <w:jc w:val="center"/>
              <w:rPr>
                <w:rFonts w:ascii="宋体" w:hAnsi="宋体" w:cs="宋体"/>
                <w:szCs w:val="21"/>
              </w:rPr>
            </w:pPr>
            <w:r>
              <w:rPr>
                <w:rFonts w:hint="eastAsia" w:ascii="宋体" w:hAnsi="宋体" w:cs="宋体"/>
                <w:szCs w:val="21"/>
              </w:rPr>
              <w:t>投标预备会</w:t>
            </w:r>
          </w:p>
        </w:tc>
        <w:tc>
          <w:tcPr>
            <w:tcW w:w="5963" w:type="dxa"/>
            <w:vAlign w:val="center"/>
          </w:tcPr>
          <w:p w14:paraId="3E995002">
            <w:pPr>
              <w:spacing w:line="360" w:lineRule="auto"/>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eq \o\ac(□</w:instrText>
            </w:r>
            <w:r>
              <w:rPr>
                <w:rFonts w:hint="eastAsia" w:ascii="宋体" w:hAnsi="宋体" w:cs="宋体"/>
                <w:position w:val="2"/>
                <w:sz w:val="14"/>
                <w:szCs w:val="21"/>
              </w:rPr>
              <w:instrText xml:space="preserve">,</w:instrText>
            </w:r>
            <w:r>
              <w:rPr>
                <w:rFonts w:hint="eastAsia" w:ascii="宋体" w:hAnsi="宋体" w:cs="宋体"/>
                <w:szCs w:val="21"/>
              </w:rPr>
              <w:instrText xml:space="preserve">√)</w:instrText>
            </w:r>
            <w:r>
              <w:rPr>
                <w:rFonts w:hint="eastAsia" w:ascii="宋体" w:hAnsi="宋体" w:cs="宋体"/>
                <w:szCs w:val="21"/>
              </w:rPr>
              <w:fldChar w:fldCharType="end"/>
            </w:r>
            <w:r>
              <w:rPr>
                <w:rFonts w:hint="eastAsia" w:ascii="宋体" w:hAnsi="宋体" w:cs="宋体"/>
                <w:szCs w:val="21"/>
              </w:rPr>
              <w:t>不召开</w:t>
            </w:r>
          </w:p>
          <w:p w14:paraId="1A9F2E7A">
            <w:pPr>
              <w:spacing w:line="360" w:lineRule="auto"/>
              <w:rPr>
                <w:rFonts w:ascii="宋体" w:hAnsi="宋体" w:cs="宋体"/>
                <w:szCs w:val="21"/>
              </w:rPr>
            </w:pPr>
            <w:r>
              <w:rPr>
                <w:rFonts w:hint="eastAsia" w:ascii="宋体" w:hAnsi="宋体" w:cs="宋体"/>
                <w:szCs w:val="21"/>
              </w:rPr>
              <w:t>□召开，召开时间：</w:t>
            </w:r>
          </w:p>
          <w:p w14:paraId="67C6B850">
            <w:pPr>
              <w:spacing w:line="360" w:lineRule="auto"/>
              <w:ind w:firstLine="852" w:firstLineChars="400"/>
              <w:rPr>
                <w:rFonts w:ascii="宋体" w:hAnsi="宋体" w:cs="宋体"/>
                <w:szCs w:val="21"/>
              </w:rPr>
            </w:pPr>
            <w:r>
              <w:rPr>
                <w:rFonts w:hint="eastAsia" w:ascii="宋体" w:hAnsi="宋体" w:cs="宋体"/>
                <w:szCs w:val="21"/>
              </w:rPr>
              <w:t>召开地点：</w:t>
            </w:r>
          </w:p>
        </w:tc>
      </w:tr>
      <w:tr w14:paraId="1A491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Merge w:val="restart"/>
            <w:vAlign w:val="center"/>
          </w:tcPr>
          <w:p w14:paraId="1F3BBE89">
            <w:pPr>
              <w:spacing w:line="360" w:lineRule="auto"/>
              <w:jc w:val="center"/>
              <w:rPr>
                <w:rFonts w:ascii="宋体" w:hAnsi="宋体" w:cs="宋体"/>
                <w:szCs w:val="21"/>
              </w:rPr>
            </w:pPr>
            <w:r>
              <w:rPr>
                <w:rFonts w:hint="eastAsia" w:ascii="宋体" w:hAnsi="宋体" w:cs="宋体"/>
                <w:szCs w:val="21"/>
              </w:rPr>
              <w:t>1.10.2</w:t>
            </w:r>
          </w:p>
        </w:tc>
        <w:tc>
          <w:tcPr>
            <w:tcW w:w="2455" w:type="dxa"/>
            <w:vMerge w:val="restart"/>
            <w:vAlign w:val="center"/>
          </w:tcPr>
          <w:p w14:paraId="52095639">
            <w:pPr>
              <w:spacing w:line="360" w:lineRule="auto"/>
              <w:jc w:val="center"/>
              <w:rPr>
                <w:rFonts w:ascii="宋体" w:hAnsi="宋体" w:cs="宋体"/>
                <w:szCs w:val="21"/>
              </w:rPr>
            </w:pPr>
            <w:r>
              <w:rPr>
                <w:rFonts w:hint="eastAsia" w:ascii="宋体" w:hAnsi="宋体" w:cs="宋体"/>
                <w:szCs w:val="21"/>
              </w:rPr>
              <w:t>投标人在投标预备会前提出问题</w:t>
            </w:r>
          </w:p>
        </w:tc>
        <w:tc>
          <w:tcPr>
            <w:tcW w:w="5963" w:type="dxa"/>
            <w:vAlign w:val="center"/>
          </w:tcPr>
          <w:p w14:paraId="4B3DBB59">
            <w:pPr>
              <w:spacing w:line="360" w:lineRule="auto"/>
              <w:rPr>
                <w:rFonts w:ascii="宋体" w:hAnsi="宋体" w:cs="宋体"/>
                <w:szCs w:val="21"/>
              </w:rPr>
            </w:pPr>
            <w:r>
              <w:rPr>
                <w:rFonts w:hint="eastAsia" w:ascii="宋体" w:hAnsi="宋体" w:cs="宋体"/>
                <w:szCs w:val="21"/>
              </w:rPr>
              <w:t>时间：</w:t>
            </w:r>
            <w:r>
              <w:rPr>
                <w:rFonts w:hint="eastAsia" w:ascii="宋体" w:hAnsi="宋体" w:cs="宋体"/>
                <w:szCs w:val="21"/>
                <w:u w:val="single"/>
              </w:rPr>
              <w:t xml:space="preserve">  /  </w:t>
            </w:r>
          </w:p>
        </w:tc>
      </w:tr>
      <w:tr w14:paraId="6C2AD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Merge w:val="continue"/>
            <w:vAlign w:val="center"/>
          </w:tcPr>
          <w:p w14:paraId="01B9729C">
            <w:pPr>
              <w:spacing w:line="360" w:lineRule="auto"/>
              <w:jc w:val="center"/>
              <w:rPr>
                <w:rFonts w:ascii="宋体" w:hAnsi="宋体" w:cs="宋体"/>
                <w:szCs w:val="21"/>
              </w:rPr>
            </w:pPr>
          </w:p>
        </w:tc>
        <w:tc>
          <w:tcPr>
            <w:tcW w:w="2455" w:type="dxa"/>
            <w:vMerge w:val="continue"/>
            <w:vAlign w:val="center"/>
          </w:tcPr>
          <w:p w14:paraId="426E7B73">
            <w:pPr>
              <w:spacing w:line="360" w:lineRule="auto"/>
              <w:jc w:val="center"/>
              <w:rPr>
                <w:rFonts w:ascii="宋体" w:hAnsi="宋体" w:cs="宋体"/>
                <w:szCs w:val="21"/>
              </w:rPr>
            </w:pPr>
          </w:p>
        </w:tc>
        <w:tc>
          <w:tcPr>
            <w:tcW w:w="5963" w:type="dxa"/>
            <w:vAlign w:val="center"/>
          </w:tcPr>
          <w:p w14:paraId="2382CE23">
            <w:pPr>
              <w:spacing w:line="360" w:lineRule="auto"/>
              <w:rPr>
                <w:rFonts w:ascii="宋体" w:hAnsi="宋体" w:cs="宋体"/>
                <w:szCs w:val="21"/>
              </w:rPr>
            </w:pPr>
            <w:r>
              <w:rPr>
                <w:rFonts w:hint="eastAsia" w:ascii="宋体" w:hAnsi="宋体" w:cs="宋体"/>
                <w:szCs w:val="21"/>
              </w:rPr>
              <w:t>形式：</w:t>
            </w:r>
            <w:r>
              <w:rPr>
                <w:rFonts w:hint="eastAsia" w:ascii="宋体" w:hAnsi="宋体" w:cs="宋体"/>
                <w:szCs w:val="21"/>
                <w:u w:val="single"/>
              </w:rPr>
              <w:t xml:space="preserve">  /  </w:t>
            </w:r>
          </w:p>
        </w:tc>
      </w:tr>
      <w:tr w14:paraId="5317E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14:paraId="42EC9357">
            <w:pPr>
              <w:jc w:val="center"/>
              <w:rPr>
                <w:rFonts w:ascii="宋体" w:hAnsi="宋体" w:cs="宋体"/>
                <w:szCs w:val="21"/>
              </w:rPr>
            </w:pPr>
            <w:r>
              <w:rPr>
                <w:rFonts w:hint="eastAsia" w:ascii="宋体" w:hAnsi="宋体" w:cs="宋体"/>
                <w:szCs w:val="21"/>
              </w:rPr>
              <w:t>1.10.3</w:t>
            </w:r>
          </w:p>
        </w:tc>
        <w:tc>
          <w:tcPr>
            <w:tcW w:w="2455" w:type="dxa"/>
            <w:vAlign w:val="center"/>
          </w:tcPr>
          <w:p w14:paraId="08DD48F3">
            <w:pPr>
              <w:jc w:val="center"/>
              <w:rPr>
                <w:rFonts w:ascii="宋体" w:hAnsi="宋体" w:cs="宋体"/>
                <w:szCs w:val="21"/>
              </w:rPr>
            </w:pPr>
            <w:r>
              <w:rPr>
                <w:rFonts w:hint="eastAsia" w:ascii="宋体" w:hAnsi="宋体" w:cs="宋体"/>
                <w:szCs w:val="21"/>
              </w:rPr>
              <w:t>招标文件澄清发出的形式</w:t>
            </w:r>
          </w:p>
        </w:tc>
        <w:tc>
          <w:tcPr>
            <w:tcW w:w="5963" w:type="dxa"/>
            <w:vAlign w:val="center"/>
          </w:tcPr>
          <w:p w14:paraId="2C444BAD">
            <w:pPr>
              <w:spacing w:line="360" w:lineRule="auto"/>
              <w:rPr>
                <w:rFonts w:ascii="宋体" w:hAnsi="宋体" w:cs="宋体"/>
                <w:szCs w:val="21"/>
                <w:u w:val="single"/>
              </w:rPr>
            </w:pPr>
            <w:r>
              <w:rPr>
                <w:rFonts w:hint="eastAsia" w:ascii="宋体" w:hAnsi="宋体" w:cs="宋体"/>
                <w:szCs w:val="21"/>
                <w:u w:val="single"/>
              </w:rPr>
              <w:t xml:space="preserve">  /  </w:t>
            </w:r>
            <w:r>
              <w:rPr>
                <w:rFonts w:hint="eastAsia" w:ascii="宋体" w:hAnsi="宋体" w:cs="宋体"/>
                <w:color w:val="auto"/>
                <w:szCs w:val="21"/>
                <w:highlight w:val="none"/>
              </w:rPr>
              <w:t>（此为投标预备会的答疑澄清）</w:t>
            </w:r>
          </w:p>
        </w:tc>
      </w:tr>
      <w:tr w14:paraId="3D86E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14:paraId="56A87BC5">
            <w:pPr>
              <w:jc w:val="center"/>
              <w:rPr>
                <w:rFonts w:ascii="宋体" w:hAnsi="宋体" w:cs="宋体"/>
                <w:szCs w:val="21"/>
              </w:rPr>
            </w:pPr>
            <w:r>
              <w:rPr>
                <w:rFonts w:hint="eastAsia" w:ascii="宋体" w:hAnsi="宋体" w:cs="宋体"/>
                <w:szCs w:val="21"/>
              </w:rPr>
              <w:t>1.12.1</w:t>
            </w:r>
          </w:p>
        </w:tc>
        <w:tc>
          <w:tcPr>
            <w:tcW w:w="2455" w:type="dxa"/>
            <w:vAlign w:val="center"/>
          </w:tcPr>
          <w:p w14:paraId="18A12064">
            <w:pPr>
              <w:jc w:val="center"/>
              <w:rPr>
                <w:rFonts w:ascii="宋体" w:hAnsi="宋体" w:cs="宋体"/>
                <w:szCs w:val="21"/>
              </w:rPr>
            </w:pPr>
            <w:r>
              <w:rPr>
                <w:rFonts w:hint="eastAsia" w:ascii="宋体" w:hAnsi="宋体" w:cs="宋体"/>
                <w:szCs w:val="21"/>
              </w:rPr>
              <w:t>实质性要求和条件</w:t>
            </w:r>
          </w:p>
        </w:tc>
        <w:tc>
          <w:tcPr>
            <w:tcW w:w="5963" w:type="dxa"/>
            <w:vAlign w:val="center"/>
          </w:tcPr>
          <w:p w14:paraId="78645E69">
            <w:pPr>
              <w:spacing w:line="360" w:lineRule="auto"/>
              <w:rPr>
                <w:rFonts w:ascii="宋体" w:hAnsi="宋体" w:cs="宋体"/>
                <w:szCs w:val="21"/>
              </w:rPr>
            </w:pPr>
            <w:r>
              <w:rPr>
                <w:rFonts w:hint="eastAsia" w:ascii="宋体" w:hAnsi="宋体" w:cs="宋体"/>
                <w:szCs w:val="21"/>
                <w:u w:val="single"/>
              </w:rPr>
              <w:t xml:space="preserve">  /  </w:t>
            </w:r>
          </w:p>
        </w:tc>
      </w:tr>
      <w:tr w14:paraId="0B4A2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14:paraId="7BD6F45E">
            <w:pPr>
              <w:spacing w:line="360" w:lineRule="auto"/>
              <w:jc w:val="center"/>
              <w:rPr>
                <w:rFonts w:ascii="宋体" w:hAnsi="宋体" w:cs="宋体"/>
                <w:szCs w:val="21"/>
              </w:rPr>
            </w:pPr>
            <w:r>
              <w:rPr>
                <w:rFonts w:hint="eastAsia" w:ascii="宋体" w:hAnsi="宋体" w:cs="宋体"/>
                <w:szCs w:val="21"/>
              </w:rPr>
              <w:t>1.12.3</w:t>
            </w:r>
          </w:p>
        </w:tc>
        <w:tc>
          <w:tcPr>
            <w:tcW w:w="2455" w:type="dxa"/>
            <w:vAlign w:val="center"/>
          </w:tcPr>
          <w:p w14:paraId="0069B20A">
            <w:pPr>
              <w:spacing w:line="360" w:lineRule="auto"/>
              <w:jc w:val="center"/>
              <w:rPr>
                <w:rFonts w:ascii="宋体" w:hAnsi="宋体" w:cs="宋体"/>
                <w:szCs w:val="21"/>
              </w:rPr>
            </w:pPr>
            <w:r>
              <w:rPr>
                <w:rFonts w:hint="eastAsia" w:ascii="宋体" w:hAnsi="宋体" w:cs="宋体"/>
                <w:szCs w:val="21"/>
              </w:rPr>
              <w:t>偏差</w:t>
            </w:r>
          </w:p>
        </w:tc>
        <w:tc>
          <w:tcPr>
            <w:tcW w:w="5963" w:type="dxa"/>
            <w:vAlign w:val="center"/>
          </w:tcPr>
          <w:p w14:paraId="71DFCEB8">
            <w:pPr>
              <w:spacing w:line="360" w:lineRule="auto"/>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eq \o\ac(□</w:instrText>
            </w:r>
            <w:r>
              <w:rPr>
                <w:rFonts w:hint="eastAsia" w:ascii="宋体" w:hAnsi="宋体" w:cs="宋体"/>
                <w:position w:val="2"/>
                <w:sz w:val="14"/>
                <w:szCs w:val="21"/>
              </w:rPr>
              <w:instrText xml:space="preserve">,</w:instrText>
            </w:r>
            <w:r>
              <w:rPr>
                <w:rFonts w:hint="eastAsia" w:ascii="宋体" w:hAnsi="宋体" w:cs="宋体"/>
                <w:szCs w:val="21"/>
              </w:rPr>
              <w:instrText xml:space="preserve">√)</w:instrText>
            </w:r>
            <w:r>
              <w:rPr>
                <w:rFonts w:hint="eastAsia" w:ascii="宋体" w:hAnsi="宋体" w:cs="宋体"/>
                <w:szCs w:val="21"/>
              </w:rPr>
              <w:fldChar w:fldCharType="end"/>
            </w:r>
            <w:r>
              <w:rPr>
                <w:rFonts w:hint="eastAsia" w:ascii="宋体" w:hAnsi="宋体" w:cs="宋体"/>
                <w:szCs w:val="21"/>
              </w:rPr>
              <w:t>不允许</w:t>
            </w:r>
          </w:p>
          <w:p w14:paraId="320A65AD">
            <w:pPr>
              <w:spacing w:line="360" w:lineRule="auto"/>
              <w:rPr>
                <w:rFonts w:ascii="宋体" w:hAnsi="宋体" w:cs="宋体"/>
                <w:szCs w:val="21"/>
              </w:rPr>
            </w:pPr>
            <w:r>
              <w:rPr>
                <w:rFonts w:hint="eastAsia" w:ascii="宋体" w:hAnsi="宋体" w:cs="宋体"/>
                <w:szCs w:val="21"/>
              </w:rPr>
              <w:t>□允许，偏差范围：</w:t>
            </w:r>
          </w:p>
          <w:p w14:paraId="53EB773C">
            <w:pPr>
              <w:spacing w:line="360" w:lineRule="auto"/>
              <w:ind w:firstLine="852" w:firstLineChars="400"/>
              <w:rPr>
                <w:rFonts w:ascii="宋体" w:hAnsi="宋体" w:cs="宋体"/>
                <w:szCs w:val="21"/>
              </w:rPr>
            </w:pPr>
            <w:r>
              <w:rPr>
                <w:rFonts w:hint="eastAsia" w:ascii="宋体" w:hAnsi="宋体" w:cs="宋体"/>
                <w:szCs w:val="21"/>
              </w:rPr>
              <w:t>偏差幅度：</w:t>
            </w:r>
          </w:p>
        </w:tc>
      </w:tr>
      <w:tr w14:paraId="51797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14:paraId="37BBFAB8">
            <w:pPr>
              <w:spacing w:line="360" w:lineRule="auto"/>
              <w:jc w:val="center"/>
              <w:rPr>
                <w:rFonts w:ascii="宋体" w:hAnsi="宋体" w:cs="宋体"/>
                <w:szCs w:val="21"/>
              </w:rPr>
            </w:pPr>
            <w:r>
              <w:rPr>
                <w:rFonts w:hint="eastAsia" w:ascii="宋体" w:hAnsi="宋体" w:cs="宋体"/>
                <w:szCs w:val="21"/>
              </w:rPr>
              <w:t>2.1</w:t>
            </w:r>
          </w:p>
        </w:tc>
        <w:tc>
          <w:tcPr>
            <w:tcW w:w="2455" w:type="dxa"/>
            <w:vAlign w:val="center"/>
          </w:tcPr>
          <w:p w14:paraId="418E30D2">
            <w:pPr>
              <w:spacing w:line="360" w:lineRule="auto"/>
              <w:jc w:val="center"/>
              <w:rPr>
                <w:rFonts w:ascii="宋体" w:hAnsi="宋体" w:cs="宋体"/>
                <w:szCs w:val="21"/>
              </w:rPr>
            </w:pPr>
            <w:r>
              <w:rPr>
                <w:rFonts w:hint="eastAsia" w:ascii="宋体" w:hAnsi="宋体" w:cs="宋体"/>
                <w:szCs w:val="21"/>
              </w:rPr>
              <w:t>构成招标文件的其他资料</w:t>
            </w:r>
          </w:p>
        </w:tc>
        <w:tc>
          <w:tcPr>
            <w:tcW w:w="5963" w:type="dxa"/>
            <w:vAlign w:val="center"/>
          </w:tcPr>
          <w:p w14:paraId="06F3C92D">
            <w:pPr>
              <w:spacing w:line="360" w:lineRule="auto"/>
              <w:rPr>
                <w:rFonts w:ascii="宋体" w:hAnsi="宋体" w:cs="宋体"/>
                <w:szCs w:val="21"/>
              </w:rPr>
            </w:pPr>
            <w:r>
              <w:rPr>
                <w:rFonts w:hint="eastAsia" w:ascii="宋体" w:hAnsi="宋体" w:cs="宋体"/>
                <w:szCs w:val="21"/>
              </w:rPr>
              <w:t>见本招标文件相关内容。</w:t>
            </w:r>
          </w:p>
        </w:tc>
      </w:tr>
      <w:tr w14:paraId="1649A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1188" w:type="dxa"/>
            <w:vAlign w:val="center"/>
          </w:tcPr>
          <w:p w14:paraId="3B043782">
            <w:pPr>
              <w:spacing w:line="360" w:lineRule="auto"/>
              <w:jc w:val="center"/>
              <w:rPr>
                <w:rFonts w:ascii="宋体" w:hAnsi="宋体" w:cs="宋体"/>
                <w:szCs w:val="21"/>
              </w:rPr>
            </w:pPr>
            <w:r>
              <w:rPr>
                <w:rFonts w:hint="eastAsia" w:ascii="宋体" w:hAnsi="宋体" w:cs="宋体"/>
                <w:szCs w:val="21"/>
              </w:rPr>
              <w:t>2.2.1</w:t>
            </w:r>
          </w:p>
        </w:tc>
        <w:tc>
          <w:tcPr>
            <w:tcW w:w="2455" w:type="dxa"/>
            <w:vAlign w:val="center"/>
          </w:tcPr>
          <w:p w14:paraId="2BD2414E">
            <w:pPr>
              <w:spacing w:line="360" w:lineRule="auto"/>
              <w:jc w:val="center"/>
              <w:rPr>
                <w:rFonts w:ascii="宋体" w:hAnsi="宋体" w:cs="宋体"/>
                <w:szCs w:val="21"/>
              </w:rPr>
            </w:pPr>
            <w:r>
              <w:rPr>
                <w:rFonts w:hint="eastAsia" w:ascii="宋体" w:hAnsi="宋体" w:cs="宋体"/>
                <w:szCs w:val="21"/>
              </w:rPr>
              <w:t>投标人要求澄清招标文件</w:t>
            </w:r>
          </w:p>
        </w:tc>
        <w:tc>
          <w:tcPr>
            <w:tcW w:w="5963" w:type="dxa"/>
            <w:vAlign w:val="center"/>
          </w:tcPr>
          <w:p w14:paraId="3C202753">
            <w:pPr>
              <w:adjustRightInd w:val="0"/>
              <w:snapToGrid w:val="0"/>
              <w:spacing w:line="360" w:lineRule="auto"/>
              <w:rPr>
                <w:rFonts w:ascii="宋体" w:hAnsi="宋体"/>
                <w:szCs w:val="21"/>
              </w:rPr>
            </w:pPr>
            <w:r>
              <w:rPr>
                <w:rFonts w:hint="eastAsia" w:ascii="宋体" w:hAnsi="宋体"/>
                <w:szCs w:val="21"/>
              </w:rPr>
              <w:t>时间：投标人在递交投标文件截止时间</w:t>
            </w:r>
            <w:r>
              <w:rPr>
                <w:rFonts w:ascii="宋体" w:hAnsi="宋体"/>
                <w:szCs w:val="21"/>
              </w:rPr>
              <w:t>1</w:t>
            </w:r>
            <w:r>
              <w:rPr>
                <w:rFonts w:hint="eastAsia" w:ascii="宋体" w:hAnsi="宋体"/>
                <w:szCs w:val="21"/>
              </w:rPr>
              <w:t>8天前提出；</w:t>
            </w:r>
          </w:p>
          <w:p w14:paraId="38917AC3">
            <w:pPr>
              <w:spacing w:line="360" w:lineRule="auto"/>
              <w:jc w:val="left"/>
              <w:rPr>
                <w:rFonts w:ascii="宋体" w:hAnsi="宋体"/>
                <w:szCs w:val="21"/>
              </w:rPr>
            </w:pPr>
            <w:r>
              <w:rPr>
                <w:rFonts w:hint="eastAsia" w:ascii="宋体" w:hAnsi="宋体"/>
                <w:szCs w:val="21"/>
              </w:rPr>
              <w:t>形式：</w:t>
            </w:r>
          </w:p>
          <w:p w14:paraId="401F5BFD">
            <w:pPr>
              <w:spacing w:line="360" w:lineRule="auto"/>
              <w:jc w:val="left"/>
              <w:rPr>
                <w:rFonts w:ascii="宋体" w:hAnsi="宋体"/>
                <w:szCs w:val="21"/>
                <w:u w:val="single"/>
              </w:rPr>
            </w:pPr>
            <w:r>
              <w:rPr>
                <w:rFonts w:hint="eastAsia" w:ascii="宋体" w:hAnsi="宋体"/>
                <w:szCs w:val="21"/>
                <w:u w:val="single"/>
              </w:rPr>
              <w:t>1、招标答疑采用网上答疑方式进行。投标人若对招标文件[包括招标图纸</w:t>
            </w:r>
            <w:r>
              <w:rPr>
                <w:rFonts w:hint="eastAsia" w:ascii="宋体" w:hAnsi="宋体"/>
                <w:color w:val="auto"/>
                <w:szCs w:val="21"/>
                <w:highlight w:val="none"/>
                <w:u w:val="single"/>
              </w:rPr>
              <w:t>（如有）</w:t>
            </w:r>
            <w:r>
              <w:rPr>
                <w:rFonts w:hint="eastAsia" w:ascii="宋体" w:hAnsi="宋体"/>
                <w:szCs w:val="21"/>
                <w:u w:val="single"/>
              </w:rPr>
              <w:t>、清单</w:t>
            </w:r>
            <w:r>
              <w:rPr>
                <w:rFonts w:hint="eastAsia" w:ascii="宋体" w:hAnsi="宋体"/>
                <w:color w:val="auto"/>
                <w:szCs w:val="21"/>
                <w:highlight w:val="none"/>
                <w:u w:val="single"/>
              </w:rPr>
              <w:t>（如有）</w:t>
            </w:r>
            <w:r>
              <w:rPr>
                <w:rFonts w:hint="eastAsia" w:ascii="宋体" w:hAnsi="宋体"/>
                <w:szCs w:val="21"/>
                <w:u w:val="single"/>
              </w:rPr>
              <w:t>、招标控制价（即最高投标限价）]有疑问的，可在规定的时间内通过</w:t>
            </w:r>
            <w:r>
              <w:rPr>
                <w:rFonts w:hint="eastAsia" w:ascii="宋体" w:hAnsi="宋体"/>
                <w:szCs w:val="21"/>
                <w:u w:val="single"/>
                <w:lang w:eastAsia="zh-CN"/>
              </w:rPr>
              <w:t>广州交易集团有限公司(广州公共资源交易中心)</w:t>
            </w:r>
            <w:r>
              <w:rPr>
                <w:rFonts w:hint="eastAsia" w:ascii="宋体" w:hAnsi="宋体"/>
                <w:szCs w:val="21"/>
                <w:u w:val="single"/>
              </w:rPr>
              <w:t>网站进入提问区域将问题提交给招标人或招标代理人，提交问题时一律不得署名。</w:t>
            </w:r>
          </w:p>
          <w:p w14:paraId="0E18C7E3">
            <w:pPr>
              <w:spacing w:line="360" w:lineRule="auto"/>
              <w:jc w:val="left"/>
              <w:rPr>
                <w:rFonts w:ascii="宋体" w:hAnsi="宋体"/>
                <w:szCs w:val="21"/>
                <w:u w:val="single"/>
              </w:rPr>
            </w:pPr>
            <w:r>
              <w:rPr>
                <w:rFonts w:hint="eastAsia" w:ascii="宋体" w:hAnsi="宋体"/>
                <w:szCs w:val="21"/>
                <w:u w:val="single"/>
              </w:rPr>
              <w:t>网上答疑的操作指南为：</w:t>
            </w:r>
            <w:r>
              <w:rPr>
                <w:rFonts w:hint="eastAsia" w:ascii="宋体" w:hAnsi="宋体"/>
                <w:color w:val="auto"/>
                <w:szCs w:val="21"/>
                <w:highlight w:val="none"/>
                <w:u w:val="single"/>
              </w:rPr>
              <w:t>登陆广州交易集团有限公司(</w:t>
            </w:r>
            <w:r>
              <w:rPr>
                <w:rFonts w:hint="eastAsia" w:ascii="宋体" w:hAnsi="宋体"/>
                <w:color w:val="auto"/>
                <w:szCs w:val="21"/>
                <w:highlight w:val="none"/>
                <w:u w:val="single"/>
                <w:lang w:eastAsia="zh-CN"/>
              </w:rPr>
              <w:t>广州交易集团有限公司(广州公共资源交易中心)</w:t>
            </w:r>
            <w:r>
              <w:rPr>
                <w:rFonts w:hint="eastAsia" w:ascii="宋体" w:hAnsi="宋体"/>
                <w:color w:val="auto"/>
                <w:szCs w:val="21"/>
                <w:highlight w:val="none"/>
                <w:u w:val="single"/>
              </w:rPr>
              <w:t>)新建设工程交易平台中“我是投标人”→“我的投标”→“招标答疑提问”通过项目编号或名称找到所需的项目→在上述的答疑时间内点击“答疑提问”→无记名或匿名提出问题以及查看所有的问题（提交问题时需插入投标人CA证书）。</w:t>
            </w:r>
          </w:p>
          <w:p w14:paraId="67B9142C">
            <w:pPr>
              <w:spacing w:line="360" w:lineRule="auto"/>
              <w:jc w:val="left"/>
              <w:rPr>
                <w:rFonts w:ascii="宋体" w:hAnsi="宋体"/>
                <w:szCs w:val="21"/>
                <w:u w:val="single"/>
              </w:rPr>
            </w:pPr>
            <w:r>
              <w:rPr>
                <w:rFonts w:hint="eastAsia" w:ascii="宋体" w:hAnsi="宋体"/>
                <w:szCs w:val="21"/>
                <w:u w:val="single"/>
              </w:rPr>
              <w:t>2、投标人应在投标截止时间18日前停止质疑。招标人应在投标截止时间15日前解答投标人对招标文件提出的疑问，形成答疑纪要，方可在</w:t>
            </w:r>
            <w:r>
              <w:rPr>
                <w:rFonts w:hint="eastAsia" w:ascii="宋体" w:hAnsi="宋体"/>
                <w:szCs w:val="21"/>
                <w:u w:val="single"/>
                <w:lang w:eastAsia="zh-CN"/>
              </w:rPr>
              <w:t>广州交易集团有限公司(广州公共资源交易中心)</w:t>
            </w:r>
            <w:r>
              <w:rPr>
                <w:rFonts w:hint="eastAsia" w:ascii="宋体" w:hAnsi="宋体"/>
                <w:szCs w:val="21"/>
                <w:u w:val="single"/>
              </w:rPr>
              <w:t>网站“项目查询(日程安排、答疑纪要)”专区发布。</w:t>
            </w:r>
          </w:p>
          <w:p w14:paraId="4247CB7A">
            <w:pPr>
              <w:spacing w:line="360" w:lineRule="auto"/>
              <w:rPr>
                <w:rFonts w:ascii="宋体" w:hAnsi="宋体"/>
                <w:szCs w:val="21"/>
                <w:u w:val="single"/>
              </w:rPr>
            </w:pPr>
            <w:r>
              <w:rPr>
                <w:rFonts w:hint="eastAsia" w:ascii="宋体" w:hAnsi="宋体"/>
                <w:szCs w:val="21"/>
                <w:u w:val="single"/>
              </w:rPr>
              <w:t>3、招标答疑纪要一经在</w:t>
            </w:r>
            <w:r>
              <w:rPr>
                <w:rFonts w:hint="eastAsia" w:ascii="宋体" w:hAnsi="宋体"/>
                <w:szCs w:val="21"/>
                <w:u w:val="single"/>
                <w:lang w:eastAsia="zh-CN"/>
              </w:rPr>
              <w:t>广州交易集团有限公司(广州公共资源交易中心)</w:t>
            </w:r>
            <w:r>
              <w:rPr>
                <w:rFonts w:hint="eastAsia" w:ascii="宋体" w:hAnsi="宋体"/>
                <w:szCs w:val="21"/>
                <w:u w:val="single"/>
              </w:rPr>
              <w:t>网站发布，视作已发放给所有投标人。</w:t>
            </w:r>
          </w:p>
          <w:p w14:paraId="5755EBF3">
            <w:pPr>
              <w:spacing w:line="360" w:lineRule="auto"/>
              <w:rPr>
                <w:rFonts w:ascii="宋体" w:hAnsi="宋体" w:cs="宋体"/>
                <w:szCs w:val="21"/>
              </w:rPr>
            </w:pPr>
            <w:r>
              <w:rPr>
                <w:rFonts w:hint="eastAsia" w:ascii="宋体" w:hAnsi="宋体"/>
                <w:szCs w:val="21"/>
                <w:u w:val="single"/>
              </w:rPr>
              <w:t>4、招标答疑纪要为招标文件的一部分。投标人可在</w:t>
            </w:r>
            <w:r>
              <w:rPr>
                <w:rFonts w:hint="eastAsia" w:ascii="宋体" w:hAnsi="宋体"/>
                <w:szCs w:val="21"/>
                <w:u w:val="single"/>
                <w:lang w:eastAsia="zh-CN"/>
              </w:rPr>
              <w:t>广州交易集团有限公司(广州公共资源交易中心)</w:t>
            </w:r>
            <w:r>
              <w:rPr>
                <w:rFonts w:hint="eastAsia" w:ascii="宋体" w:hAnsi="宋体"/>
                <w:szCs w:val="21"/>
                <w:u w:val="single"/>
              </w:rPr>
              <w:t>网站浏览、下载招标答疑纪要。</w:t>
            </w:r>
          </w:p>
        </w:tc>
      </w:tr>
      <w:tr w14:paraId="759B2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14:paraId="21B02B53">
            <w:pPr>
              <w:spacing w:line="360" w:lineRule="auto"/>
              <w:jc w:val="center"/>
              <w:rPr>
                <w:rFonts w:ascii="宋体" w:hAnsi="宋体" w:cs="宋体"/>
                <w:szCs w:val="21"/>
              </w:rPr>
            </w:pPr>
            <w:r>
              <w:rPr>
                <w:rFonts w:hint="eastAsia" w:ascii="宋体" w:hAnsi="宋体" w:cs="宋体"/>
                <w:szCs w:val="21"/>
              </w:rPr>
              <w:t>2.2.2</w:t>
            </w:r>
          </w:p>
        </w:tc>
        <w:tc>
          <w:tcPr>
            <w:tcW w:w="2455" w:type="dxa"/>
            <w:vAlign w:val="center"/>
          </w:tcPr>
          <w:p w14:paraId="7E7AC699">
            <w:pPr>
              <w:spacing w:line="360" w:lineRule="auto"/>
              <w:jc w:val="center"/>
              <w:rPr>
                <w:rFonts w:ascii="宋体" w:hAnsi="宋体" w:cs="宋体"/>
                <w:szCs w:val="21"/>
              </w:rPr>
            </w:pPr>
            <w:r>
              <w:rPr>
                <w:rFonts w:hint="eastAsia" w:ascii="宋体" w:hAnsi="宋体" w:cs="宋体"/>
                <w:szCs w:val="21"/>
              </w:rPr>
              <w:t>招标文件澄清发出的形式</w:t>
            </w:r>
          </w:p>
        </w:tc>
        <w:tc>
          <w:tcPr>
            <w:tcW w:w="5963" w:type="dxa"/>
            <w:vAlign w:val="center"/>
          </w:tcPr>
          <w:p w14:paraId="4721C54E">
            <w:pPr>
              <w:spacing w:line="360" w:lineRule="auto"/>
              <w:rPr>
                <w:rFonts w:ascii="宋体" w:hAnsi="宋体" w:cs="宋体"/>
                <w:szCs w:val="21"/>
                <w:u w:val="single"/>
              </w:rPr>
            </w:pPr>
            <w:r>
              <w:rPr>
                <w:rFonts w:hint="eastAsia" w:ascii="宋体" w:hAnsi="宋体"/>
                <w:szCs w:val="21"/>
              </w:rPr>
              <w:t>在递交投标文件截止时间15天前；在</w:t>
            </w:r>
            <w:r>
              <w:rPr>
                <w:rFonts w:hint="eastAsia" w:ascii="宋体" w:hAnsi="宋体"/>
                <w:szCs w:val="21"/>
                <w:lang w:eastAsia="zh-CN"/>
              </w:rPr>
              <w:t>广州交易集团有限公司(广州公共资源交易中心)</w:t>
            </w:r>
            <w:r>
              <w:rPr>
                <w:rFonts w:hint="eastAsia" w:ascii="宋体" w:hAnsi="宋体"/>
                <w:szCs w:val="21"/>
              </w:rPr>
              <w:t>网站“项目查询(日程安排、答疑纪要)”专区公开发布。</w:t>
            </w:r>
          </w:p>
        </w:tc>
      </w:tr>
      <w:tr w14:paraId="0C114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Merge w:val="restart"/>
            <w:vAlign w:val="center"/>
          </w:tcPr>
          <w:p w14:paraId="5C234B5C">
            <w:pPr>
              <w:spacing w:line="360" w:lineRule="auto"/>
              <w:jc w:val="center"/>
              <w:rPr>
                <w:rFonts w:ascii="宋体" w:hAnsi="宋体" w:cs="宋体"/>
                <w:szCs w:val="21"/>
              </w:rPr>
            </w:pPr>
            <w:r>
              <w:rPr>
                <w:rFonts w:hint="eastAsia" w:ascii="宋体" w:hAnsi="宋体" w:cs="宋体"/>
                <w:szCs w:val="21"/>
              </w:rPr>
              <w:t>2.2.3</w:t>
            </w:r>
          </w:p>
        </w:tc>
        <w:tc>
          <w:tcPr>
            <w:tcW w:w="2455" w:type="dxa"/>
            <w:vMerge w:val="restart"/>
            <w:vAlign w:val="center"/>
          </w:tcPr>
          <w:p w14:paraId="510EFBBC">
            <w:pPr>
              <w:spacing w:line="360" w:lineRule="auto"/>
              <w:jc w:val="center"/>
              <w:rPr>
                <w:rFonts w:ascii="宋体" w:hAnsi="宋体" w:cs="宋体"/>
                <w:szCs w:val="21"/>
              </w:rPr>
            </w:pPr>
            <w:r>
              <w:rPr>
                <w:rFonts w:hint="eastAsia" w:ascii="宋体" w:hAnsi="宋体" w:cs="宋体"/>
                <w:szCs w:val="21"/>
              </w:rPr>
              <w:t>投标人确认收到招标文件澄清</w:t>
            </w:r>
          </w:p>
        </w:tc>
        <w:tc>
          <w:tcPr>
            <w:tcW w:w="5963" w:type="dxa"/>
            <w:vAlign w:val="center"/>
          </w:tcPr>
          <w:p w14:paraId="46DC4A0A">
            <w:pPr>
              <w:spacing w:line="360" w:lineRule="auto"/>
              <w:rPr>
                <w:rFonts w:ascii="宋体" w:hAnsi="宋体" w:cs="宋体"/>
                <w:szCs w:val="21"/>
              </w:rPr>
            </w:pPr>
            <w:r>
              <w:rPr>
                <w:rFonts w:hint="eastAsia" w:ascii="宋体" w:hAnsi="宋体" w:cs="宋体"/>
                <w:szCs w:val="21"/>
              </w:rPr>
              <w:t>时间：</w:t>
            </w:r>
            <w:r>
              <w:rPr>
                <w:rFonts w:hint="eastAsia" w:ascii="宋体" w:hAnsi="宋体" w:cs="宋体"/>
                <w:szCs w:val="21"/>
                <w:u w:val="single"/>
              </w:rPr>
              <w:t>发出即视作收到。</w:t>
            </w:r>
          </w:p>
        </w:tc>
      </w:tr>
      <w:tr w14:paraId="167BC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Merge w:val="continue"/>
            <w:vAlign w:val="center"/>
          </w:tcPr>
          <w:p w14:paraId="0ECF83DA">
            <w:pPr>
              <w:spacing w:line="360" w:lineRule="auto"/>
              <w:jc w:val="center"/>
              <w:rPr>
                <w:rFonts w:ascii="宋体" w:hAnsi="宋体" w:cs="宋体"/>
                <w:szCs w:val="21"/>
              </w:rPr>
            </w:pPr>
          </w:p>
        </w:tc>
        <w:tc>
          <w:tcPr>
            <w:tcW w:w="2455" w:type="dxa"/>
            <w:vMerge w:val="continue"/>
            <w:vAlign w:val="center"/>
          </w:tcPr>
          <w:p w14:paraId="4A0205DB">
            <w:pPr>
              <w:spacing w:line="360" w:lineRule="auto"/>
              <w:jc w:val="center"/>
              <w:rPr>
                <w:rFonts w:ascii="宋体" w:hAnsi="宋体" w:cs="宋体"/>
                <w:szCs w:val="21"/>
              </w:rPr>
            </w:pPr>
          </w:p>
        </w:tc>
        <w:tc>
          <w:tcPr>
            <w:tcW w:w="5963" w:type="dxa"/>
            <w:vAlign w:val="center"/>
          </w:tcPr>
          <w:p w14:paraId="4AA77D39">
            <w:pPr>
              <w:spacing w:line="360" w:lineRule="auto"/>
              <w:rPr>
                <w:rFonts w:ascii="宋体" w:hAnsi="宋体" w:cs="宋体"/>
                <w:szCs w:val="21"/>
              </w:rPr>
            </w:pPr>
            <w:r>
              <w:rPr>
                <w:rFonts w:hint="eastAsia" w:ascii="宋体" w:hAnsi="宋体"/>
                <w:szCs w:val="21"/>
              </w:rPr>
              <w:t>形式：招标文件澄清（招标答疑纪要）一经在</w:t>
            </w:r>
            <w:r>
              <w:rPr>
                <w:rFonts w:hint="eastAsia" w:ascii="宋体" w:hAnsi="宋体"/>
                <w:szCs w:val="21"/>
                <w:lang w:eastAsia="zh-CN"/>
              </w:rPr>
              <w:t>广州交易集团有限公司(广州公共资源交易中心)</w:t>
            </w:r>
            <w:r>
              <w:rPr>
                <w:rFonts w:hint="eastAsia" w:ascii="宋体" w:hAnsi="宋体"/>
                <w:szCs w:val="21"/>
              </w:rPr>
              <w:t>网站发布，视作已发放给所有投标人。</w:t>
            </w:r>
          </w:p>
        </w:tc>
      </w:tr>
      <w:tr w14:paraId="097DE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14:paraId="254D13C2">
            <w:pPr>
              <w:spacing w:line="360" w:lineRule="auto"/>
              <w:jc w:val="center"/>
              <w:rPr>
                <w:rFonts w:ascii="宋体" w:hAnsi="宋体" w:cs="宋体"/>
                <w:szCs w:val="21"/>
              </w:rPr>
            </w:pPr>
            <w:r>
              <w:rPr>
                <w:rFonts w:hint="eastAsia" w:ascii="宋体" w:hAnsi="宋体" w:cs="宋体"/>
                <w:szCs w:val="21"/>
              </w:rPr>
              <w:t>2.3.1</w:t>
            </w:r>
          </w:p>
        </w:tc>
        <w:tc>
          <w:tcPr>
            <w:tcW w:w="2455" w:type="dxa"/>
            <w:vAlign w:val="center"/>
          </w:tcPr>
          <w:p w14:paraId="18FBCBD3">
            <w:pPr>
              <w:spacing w:line="360" w:lineRule="auto"/>
              <w:jc w:val="center"/>
              <w:rPr>
                <w:rFonts w:ascii="宋体" w:hAnsi="宋体" w:cs="宋体"/>
                <w:szCs w:val="21"/>
              </w:rPr>
            </w:pPr>
            <w:r>
              <w:rPr>
                <w:rFonts w:hint="eastAsia" w:ascii="宋体" w:hAnsi="宋体" w:cs="宋体"/>
                <w:szCs w:val="21"/>
              </w:rPr>
              <w:t>招标文件修改发出的形式</w:t>
            </w:r>
          </w:p>
        </w:tc>
        <w:tc>
          <w:tcPr>
            <w:tcW w:w="5963" w:type="dxa"/>
            <w:vAlign w:val="center"/>
          </w:tcPr>
          <w:p w14:paraId="0EC72909">
            <w:pPr>
              <w:spacing w:line="360" w:lineRule="auto"/>
              <w:rPr>
                <w:rFonts w:ascii="宋体" w:hAnsi="宋体" w:cs="宋体"/>
                <w:szCs w:val="21"/>
                <w:u w:val="single"/>
              </w:rPr>
            </w:pPr>
            <w:r>
              <w:rPr>
                <w:rFonts w:hint="eastAsia" w:ascii="宋体" w:hAnsi="宋体"/>
                <w:szCs w:val="21"/>
              </w:rPr>
              <w:t>以补充公告或项目答疑澄清的方式在</w:t>
            </w:r>
            <w:r>
              <w:rPr>
                <w:rFonts w:hint="eastAsia" w:ascii="宋体" w:hAnsi="宋体"/>
                <w:szCs w:val="21"/>
                <w:lang w:eastAsia="zh-CN"/>
              </w:rPr>
              <w:t>广州交易集团有限公司(广州公共资源交易中心)</w:t>
            </w:r>
            <w:r>
              <w:rPr>
                <w:rFonts w:hint="eastAsia" w:ascii="宋体" w:hAnsi="宋体"/>
                <w:szCs w:val="21"/>
              </w:rPr>
              <w:t>网站发布</w:t>
            </w:r>
          </w:p>
        </w:tc>
      </w:tr>
      <w:tr w14:paraId="79166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Merge w:val="restart"/>
            <w:vAlign w:val="center"/>
          </w:tcPr>
          <w:p w14:paraId="3E234FE8">
            <w:pPr>
              <w:spacing w:line="360" w:lineRule="auto"/>
              <w:jc w:val="center"/>
              <w:rPr>
                <w:rFonts w:ascii="宋体" w:hAnsi="宋体" w:cs="宋体"/>
                <w:szCs w:val="21"/>
              </w:rPr>
            </w:pPr>
            <w:r>
              <w:rPr>
                <w:rFonts w:hint="eastAsia" w:ascii="宋体" w:hAnsi="宋体" w:cs="宋体"/>
                <w:szCs w:val="21"/>
              </w:rPr>
              <w:t>2.3.2</w:t>
            </w:r>
          </w:p>
        </w:tc>
        <w:tc>
          <w:tcPr>
            <w:tcW w:w="2455" w:type="dxa"/>
            <w:vMerge w:val="restart"/>
            <w:vAlign w:val="center"/>
          </w:tcPr>
          <w:p w14:paraId="6BBD49ED">
            <w:pPr>
              <w:spacing w:line="360" w:lineRule="auto"/>
              <w:jc w:val="center"/>
              <w:rPr>
                <w:rFonts w:ascii="宋体" w:hAnsi="宋体" w:cs="宋体"/>
                <w:szCs w:val="21"/>
              </w:rPr>
            </w:pPr>
            <w:r>
              <w:rPr>
                <w:rFonts w:hint="eastAsia" w:ascii="宋体" w:hAnsi="宋体" w:cs="宋体"/>
                <w:szCs w:val="21"/>
              </w:rPr>
              <w:t>投标人确认收到招标文件修改</w:t>
            </w:r>
          </w:p>
        </w:tc>
        <w:tc>
          <w:tcPr>
            <w:tcW w:w="5963" w:type="dxa"/>
            <w:vAlign w:val="center"/>
          </w:tcPr>
          <w:p w14:paraId="57C9F059">
            <w:pPr>
              <w:spacing w:line="360" w:lineRule="auto"/>
              <w:rPr>
                <w:rFonts w:ascii="宋体" w:hAnsi="宋体" w:cs="宋体"/>
                <w:szCs w:val="21"/>
              </w:rPr>
            </w:pPr>
            <w:r>
              <w:rPr>
                <w:rFonts w:hint="eastAsia" w:ascii="宋体" w:hAnsi="宋体" w:cs="宋体"/>
                <w:szCs w:val="21"/>
              </w:rPr>
              <w:t>时间：</w:t>
            </w:r>
            <w:r>
              <w:rPr>
                <w:rFonts w:hint="eastAsia" w:ascii="宋体" w:hAnsi="宋体" w:cs="宋体"/>
                <w:szCs w:val="21"/>
                <w:u w:val="single"/>
              </w:rPr>
              <w:t>发出即视作收到。</w:t>
            </w:r>
          </w:p>
        </w:tc>
      </w:tr>
      <w:tr w14:paraId="1E5D7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Merge w:val="continue"/>
            <w:vAlign w:val="center"/>
          </w:tcPr>
          <w:p w14:paraId="6C34B57B">
            <w:pPr>
              <w:spacing w:line="360" w:lineRule="auto"/>
              <w:jc w:val="center"/>
              <w:rPr>
                <w:rFonts w:ascii="宋体" w:hAnsi="宋体" w:cs="宋体"/>
                <w:szCs w:val="21"/>
              </w:rPr>
            </w:pPr>
          </w:p>
        </w:tc>
        <w:tc>
          <w:tcPr>
            <w:tcW w:w="2455" w:type="dxa"/>
            <w:vMerge w:val="continue"/>
            <w:vAlign w:val="center"/>
          </w:tcPr>
          <w:p w14:paraId="3D231284">
            <w:pPr>
              <w:spacing w:line="360" w:lineRule="auto"/>
              <w:jc w:val="center"/>
              <w:rPr>
                <w:rFonts w:ascii="宋体" w:hAnsi="宋体" w:cs="宋体"/>
                <w:szCs w:val="21"/>
              </w:rPr>
            </w:pPr>
          </w:p>
        </w:tc>
        <w:tc>
          <w:tcPr>
            <w:tcW w:w="5963" w:type="dxa"/>
            <w:vAlign w:val="center"/>
          </w:tcPr>
          <w:p w14:paraId="058A1BE9">
            <w:pPr>
              <w:spacing w:line="360" w:lineRule="auto"/>
              <w:rPr>
                <w:rFonts w:ascii="宋体" w:hAnsi="宋体" w:cs="宋体"/>
                <w:szCs w:val="21"/>
              </w:rPr>
            </w:pPr>
            <w:r>
              <w:rPr>
                <w:rFonts w:hint="eastAsia" w:ascii="宋体" w:hAnsi="宋体"/>
                <w:szCs w:val="21"/>
              </w:rPr>
              <w:t>形式：招标文件修改一经在</w:t>
            </w:r>
            <w:r>
              <w:rPr>
                <w:rFonts w:hint="eastAsia" w:ascii="宋体" w:hAnsi="宋体"/>
                <w:szCs w:val="21"/>
                <w:lang w:eastAsia="zh-CN"/>
              </w:rPr>
              <w:t>广州交易集团有限公司(广州公共资源交易中心)</w:t>
            </w:r>
            <w:r>
              <w:rPr>
                <w:rFonts w:hint="eastAsia" w:ascii="宋体" w:hAnsi="宋体"/>
                <w:szCs w:val="21"/>
              </w:rPr>
              <w:t>网站发布，视作已发放给所有投标人，无需确认。潜在投标人应自行关注招标公告公布的网站公告，招标人不再一一通知。投标人因自身贻误行为导致投标失败的，责任自负。</w:t>
            </w:r>
          </w:p>
        </w:tc>
      </w:tr>
      <w:tr w14:paraId="50BA4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14:paraId="02CB1D72">
            <w:pPr>
              <w:jc w:val="center"/>
              <w:rPr>
                <w:rFonts w:ascii="宋体" w:hAnsi="宋体" w:cs="宋体"/>
                <w:szCs w:val="21"/>
              </w:rPr>
            </w:pPr>
            <w:r>
              <w:rPr>
                <w:rFonts w:hint="eastAsia" w:ascii="宋体" w:hAnsi="宋体" w:cs="宋体"/>
                <w:szCs w:val="21"/>
              </w:rPr>
              <w:t>3.1.1</w:t>
            </w:r>
          </w:p>
        </w:tc>
        <w:tc>
          <w:tcPr>
            <w:tcW w:w="2455" w:type="dxa"/>
            <w:vAlign w:val="center"/>
          </w:tcPr>
          <w:p w14:paraId="45354394">
            <w:pPr>
              <w:jc w:val="center"/>
              <w:rPr>
                <w:rFonts w:ascii="宋体" w:hAnsi="宋体" w:cs="宋体"/>
                <w:szCs w:val="21"/>
              </w:rPr>
            </w:pPr>
            <w:r>
              <w:rPr>
                <w:rFonts w:hint="eastAsia" w:ascii="宋体" w:hAnsi="宋体" w:cs="宋体"/>
                <w:szCs w:val="21"/>
              </w:rPr>
              <w:t>构成投标文件的其他资料</w:t>
            </w:r>
          </w:p>
        </w:tc>
        <w:tc>
          <w:tcPr>
            <w:tcW w:w="5963" w:type="dxa"/>
            <w:vAlign w:val="center"/>
          </w:tcPr>
          <w:p w14:paraId="276E6235">
            <w:pPr>
              <w:spacing w:line="360" w:lineRule="auto"/>
              <w:rPr>
                <w:rFonts w:ascii="宋体" w:hAnsi="宋体" w:cs="宋体"/>
                <w:szCs w:val="21"/>
                <w:u w:val="single"/>
              </w:rPr>
            </w:pPr>
            <w:r>
              <w:rPr>
                <w:rFonts w:hint="eastAsia" w:ascii="宋体" w:hAnsi="宋体" w:cs="宋体"/>
                <w:szCs w:val="21"/>
                <w:u w:val="single"/>
              </w:rPr>
              <w:t>满足本项目评审要求的其他资料。</w:t>
            </w:r>
          </w:p>
        </w:tc>
      </w:tr>
      <w:tr w14:paraId="1A6C3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14:paraId="14A096A0">
            <w:pPr>
              <w:jc w:val="center"/>
              <w:rPr>
                <w:rFonts w:ascii="宋体" w:hAnsi="宋体" w:cs="宋体"/>
                <w:szCs w:val="21"/>
              </w:rPr>
            </w:pPr>
            <w:r>
              <w:rPr>
                <w:rFonts w:hint="eastAsia" w:ascii="宋体" w:hAnsi="宋体" w:cs="宋体"/>
                <w:szCs w:val="21"/>
              </w:rPr>
              <w:t>3.2.1</w:t>
            </w:r>
          </w:p>
        </w:tc>
        <w:tc>
          <w:tcPr>
            <w:tcW w:w="2455" w:type="dxa"/>
            <w:vAlign w:val="center"/>
          </w:tcPr>
          <w:p w14:paraId="6FBF32CB">
            <w:pPr>
              <w:jc w:val="center"/>
              <w:rPr>
                <w:rFonts w:ascii="宋体" w:hAnsi="宋体" w:cs="宋体"/>
                <w:szCs w:val="21"/>
              </w:rPr>
            </w:pPr>
            <w:r>
              <w:rPr>
                <w:rFonts w:hint="eastAsia" w:ascii="宋体" w:hAnsi="宋体" w:cs="宋体"/>
                <w:szCs w:val="21"/>
              </w:rPr>
              <w:t>增值税税金的计算方法</w:t>
            </w:r>
          </w:p>
        </w:tc>
        <w:tc>
          <w:tcPr>
            <w:tcW w:w="5963" w:type="dxa"/>
            <w:vAlign w:val="center"/>
          </w:tcPr>
          <w:p w14:paraId="150C7834">
            <w:pPr>
              <w:spacing w:line="360" w:lineRule="auto"/>
              <w:rPr>
                <w:rFonts w:ascii="宋体" w:hAnsi="宋体" w:cs="宋体"/>
                <w:szCs w:val="21"/>
                <w:u w:val="single"/>
              </w:rPr>
            </w:pPr>
            <w:r>
              <w:rPr>
                <w:rFonts w:hint="eastAsia" w:ascii="宋体" w:hAnsi="宋体" w:cs="宋体"/>
                <w:szCs w:val="21"/>
                <w:u w:val="single"/>
              </w:rPr>
              <w:t>一般计税方法。</w:t>
            </w:r>
          </w:p>
        </w:tc>
      </w:tr>
      <w:tr w14:paraId="7CF72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14:paraId="438B38D1">
            <w:pPr>
              <w:jc w:val="center"/>
              <w:rPr>
                <w:rFonts w:ascii="宋体" w:hAnsi="宋体" w:cs="宋体"/>
                <w:szCs w:val="21"/>
              </w:rPr>
            </w:pPr>
            <w:r>
              <w:rPr>
                <w:rFonts w:hint="eastAsia" w:ascii="宋体" w:hAnsi="宋体" w:cs="宋体"/>
                <w:szCs w:val="21"/>
              </w:rPr>
              <w:t>3.2.3</w:t>
            </w:r>
          </w:p>
        </w:tc>
        <w:tc>
          <w:tcPr>
            <w:tcW w:w="2455" w:type="dxa"/>
            <w:vAlign w:val="center"/>
          </w:tcPr>
          <w:p w14:paraId="4F0F74A1">
            <w:pPr>
              <w:jc w:val="center"/>
              <w:rPr>
                <w:rFonts w:ascii="宋体" w:hAnsi="宋体" w:cs="宋体"/>
                <w:szCs w:val="21"/>
              </w:rPr>
            </w:pPr>
            <w:r>
              <w:rPr>
                <w:rFonts w:hint="eastAsia" w:ascii="宋体" w:hAnsi="宋体" w:cs="宋体"/>
                <w:szCs w:val="21"/>
              </w:rPr>
              <w:t>报价方式</w:t>
            </w:r>
          </w:p>
        </w:tc>
        <w:tc>
          <w:tcPr>
            <w:tcW w:w="5963" w:type="dxa"/>
            <w:vAlign w:val="center"/>
          </w:tcPr>
          <w:p w14:paraId="1EFA2200">
            <w:pPr>
              <w:spacing w:line="360" w:lineRule="auto"/>
              <w:rPr>
                <w:rFonts w:ascii="宋体" w:hAnsi="宋体" w:cs="宋体"/>
                <w:szCs w:val="21"/>
                <w:u w:val="single"/>
              </w:rPr>
            </w:pPr>
            <w:r>
              <w:rPr>
                <w:rFonts w:hint="eastAsia" w:ascii="宋体" w:hAnsi="宋体" w:cs="宋体"/>
                <w:szCs w:val="21"/>
                <w:u w:val="single"/>
              </w:rPr>
              <w:t>自行报价（以元为单位，精确到小数位后2位）。投标报价不得高于投标最高限价的。由投标人根据招标文件要求以及企业自身情况填写报价。结算方式：按合同约定执行。</w:t>
            </w:r>
          </w:p>
        </w:tc>
      </w:tr>
      <w:tr w14:paraId="6418A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88" w:type="dxa"/>
            <w:vAlign w:val="center"/>
          </w:tcPr>
          <w:p w14:paraId="30C0A579">
            <w:pPr>
              <w:jc w:val="center"/>
              <w:rPr>
                <w:rFonts w:ascii="宋体" w:hAnsi="宋体" w:cs="宋体"/>
                <w:szCs w:val="21"/>
              </w:rPr>
            </w:pPr>
            <w:r>
              <w:rPr>
                <w:rFonts w:hint="eastAsia" w:ascii="宋体" w:hAnsi="宋体" w:cs="宋体"/>
                <w:szCs w:val="21"/>
              </w:rPr>
              <w:t>3.2.4</w:t>
            </w:r>
          </w:p>
        </w:tc>
        <w:tc>
          <w:tcPr>
            <w:tcW w:w="2455" w:type="dxa"/>
            <w:vAlign w:val="center"/>
          </w:tcPr>
          <w:p w14:paraId="6998CD53">
            <w:pPr>
              <w:jc w:val="center"/>
              <w:rPr>
                <w:rFonts w:ascii="宋体" w:hAnsi="宋体" w:cs="宋体"/>
                <w:szCs w:val="21"/>
              </w:rPr>
            </w:pPr>
            <w:r>
              <w:rPr>
                <w:rFonts w:hint="eastAsia" w:ascii="宋体" w:hAnsi="宋体" w:cs="宋体"/>
                <w:szCs w:val="21"/>
              </w:rPr>
              <w:t>最高投标限价</w:t>
            </w:r>
          </w:p>
        </w:tc>
        <w:tc>
          <w:tcPr>
            <w:tcW w:w="5963" w:type="dxa"/>
            <w:vAlign w:val="center"/>
          </w:tcPr>
          <w:p w14:paraId="1D125E45">
            <w:pPr>
              <w:ind w:firstLineChars="83"/>
              <w:jc w:val="left"/>
              <w:rPr>
                <w:rFonts w:ascii="宋体" w:hAnsi="宋体" w:cs="宋体"/>
                <w:sz w:val="21"/>
                <w:szCs w:val="21"/>
              </w:rPr>
            </w:pPr>
            <w:r>
              <w:rPr>
                <w:rFonts w:hint="eastAsia" w:ascii="宋体" w:hAnsi="宋体" w:cs="宋体"/>
                <w:sz w:val="21"/>
                <w:szCs w:val="21"/>
              </w:rPr>
              <w:t>□无</w:t>
            </w:r>
          </w:p>
          <w:p w14:paraId="594802A9">
            <w:pPr>
              <w:ind w:firstLineChars="0"/>
              <w:jc w:val="left"/>
              <w:rPr>
                <w:rFonts w:hint="eastAsia" w:ascii="宋体" w:hAnsi="宋体" w:eastAsia="宋体" w:cs="宋体"/>
                <w:sz w:val="21"/>
                <w:szCs w:val="21"/>
                <w:lang w:eastAsia="zh-CN"/>
              </w:rPr>
            </w:pPr>
            <w:r>
              <w:rPr>
                <w:rFonts w:hint="eastAsia" w:ascii="宋体" w:hAnsi="宋体" w:cs="宋体"/>
                <w:szCs w:val="21"/>
              </w:rPr>
              <w:fldChar w:fldCharType="begin"/>
            </w:r>
            <w:r>
              <w:rPr>
                <w:rFonts w:hint="eastAsia" w:ascii="宋体" w:hAnsi="宋体" w:cs="宋体"/>
                <w:szCs w:val="21"/>
              </w:rPr>
              <w:instrText xml:space="preserve"> eq \o\ac(□,√)</w:instrText>
            </w:r>
            <w:r>
              <w:rPr>
                <w:rFonts w:hint="eastAsia" w:ascii="宋体" w:hAnsi="宋体" w:cs="宋体"/>
                <w:szCs w:val="21"/>
              </w:rPr>
              <w:fldChar w:fldCharType="end"/>
            </w:r>
            <w:r>
              <w:rPr>
                <w:rFonts w:hint="eastAsia" w:ascii="宋体" w:hAnsi="宋体" w:cs="宋体"/>
                <w:szCs w:val="21"/>
              </w:rPr>
              <w:t>有，</w:t>
            </w:r>
            <w:r>
              <w:rPr>
                <w:rFonts w:hint="eastAsia" w:ascii="宋体" w:hAnsi="宋体" w:cs="宋体"/>
                <w:szCs w:val="21"/>
                <w:u w:val="single"/>
              </w:rPr>
              <w:t>最高投标限价为：人民币</w:t>
            </w:r>
            <w:r>
              <w:rPr>
                <w:rFonts w:hint="eastAsia" w:ascii="宋体" w:hAnsi="宋体" w:cs="宋体"/>
                <w:szCs w:val="21"/>
                <w:highlight w:val="none"/>
                <w:u w:val="single"/>
                <w:lang w:val="en-US" w:eastAsia="zh-CN"/>
              </w:rPr>
              <w:t>1318900.00</w:t>
            </w:r>
            <w:r>
              <w:rPr>
                <w:rFonts w:ascii="宋体" w:hAnsi="宋体" w:cs="宋体"/>
                <w:szCs w:val="21"/>
                <w:u w:val="single"/>
              </w:rPr>
              <w:t>元</w:t>
            </w:r>
          </w:p>
        </w:tc>
      </w:tr>
      <w:tr w14:paraId="72040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14:paraId="20D6DA70">
            <w:pPr>
              <w:jc w:val="center"/>
              <w:rPr>
                <w:rFonts w:ascii="宋体" w:hAnsi="宋体" w:cs="宋体"/>
                <w:szCs w:val="21"/>
              </w:rPr>
            </w:pPr>
            <w:r>
              <w:rPr>
                <w:rFonts w:hint="eastAsia" w:ascii="宋体" w:hAnsi="宋体" w:cs="宋体"/>
                <w:szCs w:val="21"/>
              </w:rPr>
              <w:t>3.3.1</w:t>
            </w:r>
          </w:p>
        </w:tc>
        <w:tc>
          <w:tcPr>
            <w:tcW w:w="2455" w:type="dxa"/>
            <w:vAlign w:val="center"/>
          </w:tcPr>
          <w:p w14:paraId="6D86CDA1">
            <w:pPr>
              <w:jc w:val="center"/>
              <w:rPr>
                <w:rFonts w:ascii="宋体" w:hAnsi="宋体" w:cs="宋体"/>
                <w:szCs w:val="21"/>
              </w:rPr>
            </w:pPr>
            <w:r>
              <w:rPr>
                <w:rFonts w:hint="eastAsia" w:ascii="宋体" w:hAnsi="宋体" w:cs="宋体"/>
                <w:szCs w:val="21"/>
              </w:rPr>
              <w:t>投标有效期</w:t>
            </w:r>
          </w:p>
        </w:tc>
        <w:tc>
          <w:tcPr>
            <w:tcW w:w="5963" w:type="dxa"/>
            <w:vAlign w:val="center"/>
          </w:tcPr>
          <w:p w14:paraId="678B9C9C">
            <w:pPr>
              <w:spacing w:line="360" w:lineRule="auto"/>
              <w:rPr>
                <w:rFonts w:ascii="宋体" w:hAnsi="宋体" w:cs="宋体"/>
                <w:szCs w:val="21"/>
                <w:u w:val="single"/>
              </w:rPr>
            </w:pPr>
            <w:r>
              <w:rPr>
                <w:rFonts w:hint="eastAsia" w:ascii="宋体" w:hAnsi="宋体" w:cs="宋体"/>
                <w:szCs w:val="21"/>
                <w:u w:val="single"/>
              </w:rPr>
              <w:t>90日历天（从提交投标截止之日起计算）。</w:t>
            </w:r>
          </w:p>
        </w:tc>
      </w:tr>
      <w:tr w14:paraId="111FA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14:paraId="1FB6C753">
            <w:pPr>
              <w:jc w:val="center"/>
              <w:rPr>
                <w:rFonts w:ascii="宋体" w:hAnsi="宋体" w:cs="宋体"/>
                <w:szCs w:val="21"/>
              </w:rPr>
            </w:pPr>
            <w:r>
              <w:rPr>
                <w:rFonts w:hint="eastAsia" w:ascii="宋体" w:hAnsi="宋体" w:cs="宋体"/>
                <w:szCs w:val="21"/>
              </w:rPr>
              <w:t>3.4.1</w:t>
            </w:r>
          </w:p>
        </w:tc>
        <w:tc>
          <w:tcPr>
            <w:tcW w:w="2455" w:type="dxa"/>
            <w:vAlign w:val="center"/>
          </w:tcPr>
          <w:p w14:paraId="42098FE5">
            <w:pPr>
              <w:jc w:val="center"/>
              <w:rPr>
                <w:rFonts w:ascii="宋体" w:hAnsi="宋体" w:cs="宋体"/>
                <w:szCs w:val="21"/>
              </w:rPr>
            </w:pPr>
            <w:r>
              <w:rPr>
                <w:rFonts w:hint="eastAsia" w:ascii="宋体" w:hAnsi="宋体" w:cs="宋体"/>
                <w:szCs w:val="21"/>
              </w:rPr>
              <w:t>投标保证金</w:t>
            </w:r>
          </w:p>
        </w:tc>
        <w:tc>
          <w:tcPr>
            <w:tcW w:w="5963" w:type="dxa"/>
            <w:vAlign w:val="center"/>
          </w:tcPr>
          <w:p w14:paraId="03E22EBE">
            <w:pPr>
              <w:spacing w:line="320" w:lineRule="atLeast"/>
              <w:rPr>
                <w:rFonts w:ascii="宋体" w:hAnsi="宋体" w:cs="宋体"/>
                <w:szCs w:val="21"/>
              </w:rPr>
            </w:pPr>
            <w:r>
              <w:rPr>
                <w:rFonts w:hint="eastAsia" w:ascii="宋体" w:hAnsi="宋体" w:cs="宋体"/>
                <w:szCs w:val="21"/>
              </w:rPr>
              <w:t>是否要求投标人递交投标保证金：</w:t>
            </w:r>
          </w:p>
          <w:p w14:paraId="1727EDBE">
            <w:pPr>
              <w:spacing w:line="320" w:lineRule="atLeast"/>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eq \o\ac(□)</w:instrText>
            </w:r>
            <w:r>
              <w:rPr>
                <w:rFonts w:hint="eastAsia" w:ascii="宋体" w:hAnsi="宋体" w:cs="宋体"/>
                <w:szCs w:val="21"/>
              </w:rPr>
              <w:fldChar w:fldCharType="end"/>
            </w:r>
            <w:r>
              <w:rPr>
                <w:rFonts w:hint="eastAsia" w:ascii="宋体" w:hAnsi="宋体" w:cs="宋体"/>
                <w:szCs w:val="21"/>
              </w:rPr>
              <w:t>要求，投标保证金的形式：</w:t>
            </w:r>
            <w:r>
              <w:rPr>
                <w:rFonts w:hint="eastAsia" w:ascii="宋体" w:hAnsi="宋体" w:cs="宋体"/>
                <w:szCs w:val="21"/>
                <w:u w:val="single"/>
              </w:rPr>
              <w:t xml:space="preserve">    /   </w:t>
            </w:r>
            <w:r>
              <w:rPr>
                <w:rFonts w:hint="eastAsia" w:ascii="宋体" w:hAnsi="宋体" w:cs="宋体"/>
                <w:szCs w:val="21"/>
              </w:rPr>
              <w:t xml:space="preserve"> </w:t>
            </w:r>
          </w:p>
          <w:p w14:paraId="71D846C5">
            <w:pPr>
              <w:spacing w:line="320" w:lineRule="atLeast"/>
              <w:rPr>
                <w:strike/>
              </w:rPr>
            </w:pPr>
            <w:r>
              <w:rPr>
                <w:rFonts w:hint="eastAsia" w:ascii="宋体" w:hAnsi="宋体" w:cs="宋体"/>
                <w:szCs w:val="21"/>
              </w:rPr>
              <w:t>投标保证金的金额：</w:t>
            </w:r>
            <w:r>
              <w:rPr>
                <w:rFonts w:hint="eastAsia" w:ascii="宋体" w:hAnsi="宋体" w:cs="宋体"/>
                <w:szCs w:val="21"/>
                <w:u w:val="single"/>
              </w:rPr>
              <w:t xml:space="preserve">   /  </w:t>
            </w:r>
          </w:p>
          <w:p w14:paraId="111FEEFA">
            <w:pPr>
              <w:spacing w:line="320" w:lineRule="atLeast"/>
              <w:rPr>
                <w:rFonts w:hint="eastAsia" w:hAnsi="宋体" w:eastAsia="宋体" w:cs="宋体"/>
                <w:szCs w:val="21"/>
                <w:lang w:eastAsia="zh-CN"/>
              </w:rPr>
            </w:pPr>
            <w:r>
              <w:rPr>
                <w:rFonts w:hint="eastAsia" w:hAnsi="宋体" w:cs="宋体"/>
                <w:szCs w:val="21"/>
              </w:rPr>
              <w:sym w:font="Wingdings 2" w:char="0052"/>
            </w:r>
            <w:r>
              <w:rPr>
                <w:rFonts w:hint="eastAsia" w:hAnsi="宋体" w:cs="宋体"/>
                <w:szCs w:val="21"/>
              </w:rPr>
              <w:t>不要求</w:t>
            </w:r>
            <w:r>
              <w:rPr>
                <w:rFonts w:hint="eastAsia" w:hAnsi="宋体" w:cs="宋体"/>
                <w:szCs w:val="21"/>
                <w:lang w:eastAsia="zh-CN"/>
              </w:rPr>
              <w:t>：</w:t>
            </w:r>
            <w:r>
              <w:rPr>
                <w:rFonts w:hint="eastAsia" w:ascii="宋体" w:hAnsi="宋体" w:eastAsia="宋体" w:cs="宋体"/>
                <w:color w:val="auto"/>
                <w:sz w:val="21"/>
                <w:szCs w:val="21"/>
                <w:highlight w:val="none"/>
              </w:rPr>
              <w:t>具体规定如下：</w:t>
            </w:r>
          </w:p>
          <w:p w14:paraId="011F722C">
            <w:pPr>
              <w:spacing w:line="320" w:lineRule="atLeast"/>
              <w:rPr>
                <w:rFonts w:hint="eastAsia" w:ascii="宋体" w:hAnsi="宋体" w:cs="宋体"/>
                <w:szCs w:val="21"/>
              </w:rPr>
            </w:pPr>
            <w:r>
              <w:rPr>
                <w:rFonts w:hint="eastAsia" w:ascii="宋体" w:hAnsi="宋体" w:cs="宋体"/>
                <w:szCs w:val="21"/>
              </w:rPr>
              <w:t>1、提供《关于投标保证金的承诺》（详见第六章投标文件格式）。</w:t>
            </w:r>
          </w:p>
          <w:p w14:paraId="62DBE6A9">
            <w:pPr>
              <w:spacing w:line="320" w:lineRule="atLeast"/>
            </w:pPr>
            <w:r>
              <w:rPr>
                <w:rFonts w:hint="eastAsia" w:ascii="宋体" w:hAnsi="宋体" w:cs="宋体"/>
                <w:szCs w:val="21"/>
              </w:rPr>
              <w:t>2、对于投标人已提供《关于投标保证金的承诺》，若投标人存在3.4.3条款所列情形，投标人应按照招标人的要求在发现存在 3.4.3条款所列情形之日起5个工作日内补交人民币</w:t>
            </w:r>
            <w:r>
              <w:rPr>
                <w:rFonts w:hint="eastAsia" w:ascii="宋体" w:hAnsi="宋体" w:cs="宋体"/>
                <w:szCs w:val="21"/>
                <w:highlight w:val="none"/>
                <w:u w:val="single"/>
                <w:lang w:val="en-US" w:eastAsia="zh-CN"/>
              </w:rPr>
              <w:t>2</w:t>
            </w:r>
            <w:r>
              <w:rPr>
                <w:rFonts w:hint="eastAsia" w:ascii="宋体" w:hAnsi="宋体" w:cs="宋体"/>
                <w:szCs w:val="21"/>
              </w:rPr>
              <w:t>万元投标保证金；若未按要求补交投标保证金的，将暂停其参与招标人后续工程投标，直至完成补交手续为止。</w:t>
            </w:r>
          </w:p>
        </w:tc>
      </w:tr>
      <w:tr w14:paraId="50EB6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14:paraId="0646CA6C">
            <w:pPr>
              <w:jc w:val="center"/>
              <w:rPr>
                <w:rFonts w:ascii="宋体" w:hAnsi="宋体" w:cs="宋体"/>
                <w:szCs w:val="21"/>
              </w:rPr>
            </w:pPr>
            <w:r>
              <w:rPr>
                <w:rFonts w:hint="eastAsia" w:ascii="宋体" w:hAnsi="宋体" w:cs="宋体"/>
                <w:szCs w:val="21"/>
              </w:rPr>
              <w:t>3.4.4</w:t>
            </w:r>
          </w:p>
        </w:tc>
        <w:tc>
          <w:tcPr>
            <w:tcW w:w="2455" w:type="dxa"/>
            <w:vAlign w:val="center"/>
          </w:tcPr>
          <w:p w14:paraId="64D0435C">
            <w:pPr>
              <w:jc w:val="center"/>
              <w:rPr>
                <w:rFonts w:ascii="宋体" w:hAnsi="宋体" w:cs="宋体"/>
                <w:szCs w:val="21"/>
              </w:rPr>
            </w:pPr>
            <w:r>
              <w:rPr>
                <w:rFonts w:hint="eastAsia" w:ascii="宋体" w:hAnsi="宋体" w:cs="宋体"/>
                <w:szCs w:val="21"/>
              </w:rPr>
              <w:t>其他可以不予退还投标保证金的情形</w:t>
            </w:r>
          </w:p>
        </w:tc>
        <w:tc>
          <w:tcPr>
            <w:tcW w:w="5963" w:type="dxa"/>
            <w:vAlign w:val="center"/>
          </w:tcPr>
          <w:p w14:paraId="24B50E1E">
            <w:pPr>
              <w:spacing w:line="360" w:lineRule="auto"/>
              <w:rPr>
                <w:rFonts w:ascii="宋体" w:hAnsi="宋体" w:cs="宋体"/>
                <w:szCs w:val="21"/>
              </w:rPr>
            </w:pPr>
            <w:r>
              <w:rPr>
                <w:rFonts w:hint="eastAsia" w:ascii="宋体" w:hAnsi="宋体" w:cs="宋体"/>
                <w:szCs w:val="21"/>
                <w:u w:val="single"/>
              </w:rPr>
              <w:t>/</w:t>
            </w:r>
          </w:p>
        </w:tc>
      </w:tr>
      <w:tr w14:paraId="0C663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14:paraId="72911F81">
            <w:pPr>
              <w:jc w:val="center"/>
              <w:rPr>
                <w:rFonts w:ascii="宋体" w:hAnsi="宋体" w:cs="宋体"/>
                <w:szCs w:val="21"/>
              </w:rPr>
            </w:pPr>
            <w:r>
              <w:rPr>
                <w:rFonts w:hint="eastAsia" w:ascii="宋体" w:hAnsi="宋体" w:cs="宋体"/>
                <w:szCs w:val="21"/>
              </w:rPr>
              <w:t>3.5</w:t>
            </w:r>
          </w:p>
        </w:tc>
        <w:tc>
          <w:tcPr>
            <w:tcW w:w="2455" w:type="dxa"/>
            <w:vAlign w:val="center"/>
          </w:tcPr>
          <w:p w14:paraId="44727CA4">
            <w:pPr>
              <w:jc w:val="center"/>
              <w:rPr>
                <w:rFonts w:ascii="宋体" w:hAnsi="宋体" w:cs="宋体"/>
                <w:szCs w:val="21"/>
              </w:rPr>
            </w:pPr>
            <w:r>
              <w:rPr>
                <w:rFonts w:hint="eastAsia" w:ascii="宋体" w:hAnsi="宋体" w:cs="宋体"/>
                <w:szCs w:val="21"/>
              </w:rPr>
              <w:t>资格审查资料的特殊要求</w:t>
            </w:r>
          </w:p>
        </w:tc>
        <w:tc>
          <w:tcPr>
            <w:tcW w:w="5963" w:type="dxa"/>
            <w:vAlign w:val="center"/>
          </w:tcPr>
          <w:p w14:paraId="77248541">
            <w:pPr>
              <w:spacing w:line="360" w:lineRule="auto"/>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eq \o\ac(□</w:instrText>
            </w:r>
            <w:r>
              <w:rPr>
                <w:rFonts w:hint="eastAsia" w:ascii="宋体" w:hAnsi="宋体" w:cs="宋体"/>
                <w:position w:val="2"/>
                <w:sz w:val="14"/>
                <w:szCs w:val="21"/>
              </w:rPr>
              <w:instrText xml:space="preserve">,</w:instrText>
            </w:r>
            <w:r>
              <w:rPr>
                <w:rFonts w:hint="eastAsia" w:ascii="宋体" w:hAnsi="宋体" w:cs="宋体"/>
                <w:szCs w:val="21"/>
              </w:rPr>
              <w:instrText xml:space="preserve">√)</w:instrText>
            </w:r>
            <w:r>
              <w:rPr>
                <w:rFonts w:hint="eastAsia" w:ascii="宋体" w:hAnsi="宋体" w:cs="宋体"/>
                <w:szCs w:val="21"/>
              </w:rPr>
              <w:fldChar w:fldCharType="end"/>
            </w:r>
            <w:r>
              <w:rPr>
                <w:rFonts w:hint="eastAsia" w:ascii="宋体" w:hAnsi="宋体" w:cs="宋体"/>
                <w:szCs w:val="21"/>
              </w:rPr>
              <w:t>无</w:t>
            </w:r>
          </w:p>
          <w:p w14:paraId="4F18FB1C">
            <w:pPr>
              <w:spacing w:line="360" w:lineRule="auto"/>
              <w:rPr>
                <w:rFonts w:ascii="宋体" w:hAnsi="宋体" w:cs="宋体"/>
                <w:szCs w:val="21"/>
                <w:u w:val="single"/>
              </w:rPr>
            </w:pPr>
            <w:r>
              <w:rPr>
                <w:rFonts w:hint="eastAsia" w:ascii="宋体" w:hAnsi="宋体" w:cs="宋体"/>
                <w:szCs w:val="21"/>
              </w:rPr>
              <w:t>□有，具体要求：</w:t>
            </w:r>
          </w:p>
        </w:tc>
      </w:tr>
      <w:tr w14:paraId="0D92E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14:paraId="4909B2BA">
            <w:pPr>
              <w:spacing w:line="360" w:lineRule="auto"/>
              <w:jc w:val="center"/>
              <w:rPr>
                <w:rFonts w:ascii="宋体" w:hAnsi="宋体" w:cs="宋体"/>
                <w:szCs w:val="21"/>
              </w:rPr>
            </w:pPr>
            <w:r>
              <w:rPr>
                <w:rFonts w:hint="eastAsia" w:ascii="宋体" w:hAnsi="宋体" w:cs="宋体"/>
                <w:szCs w:val="21"/>
              </w:rPr>
              <w:t>3.6.1</w:t>
            </w:r>
          </w:p>
        </w:tc>
        <w:tc>
          <w:tcPr>
            <w:tcW w:w="2455" w:type="dxa"/>
            <w:vAlign w:val="center"/>
          </w:tcPr>
          <w:p w14:paraId="141A685C">
            <w:pPr>
              <w:spacing w:line="360" w:lineRule="auto"/>
              <w:jc w:val="center"/>
              <w:rPr>
                <w:rFonts w:ascii="宋体" w:hAnsi="宋体" w:cs="宋体"/>
                <w:szCs w:val="21"/>
              </w:rPr>
            </w:pPr>
            <w:r>
              <w:rPr>
                <w:rFonts w:hint="eastAsia" w:ascii="宋体" w:hAnsi="宋体" w:cs="宋体"/>
                <w:szCs w:val="21"/>
              </w:rPr>
              <w:t>是否允许递交备选投标方案</w:t>
            </w:r>
          </w:p>
        </w:tc>
        <w:tc>
          <w:tcPr>
            <w:tcW w:w="5963" w:type="dxa"/>
            <w:vAlign w:val="center"/>
          </w:tcPr>
          <w:p w14:paraId="54223C48">
            <w:pPr>
              <w:spacing w:line="360" w:lineRule="auto"/>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eq \o\ac(□</w:instrText>
            </w:r>
            <w:r>
              <w:rPr>
                <w:rFonts w:hint="eastAsia" w:ascii="宋体" w:hAnsi="宋体" w:cs="宋体"/>
                <w:position w:val="2"/>
                <w:sz w:val="14"/>
                <w:szCs w:val="21"/>
              </w:rPr>
              <w:instrText xml:space="preserve">,</w:instrText>
            </w:r>
            <w:r>
              <w:rPr>
                <w:rFonts w:hint="eastAsia" w:ascii="宋体" w:hAnsi="宋体" w:cs="宋体"/>
                <w:szCs w:val="21"/>
              </w:rPr>
              <w:instrText xml:space="preserve">√)</w:instrText>
            </w:r>
            <w:r>
              <w:rPr>
                <w:rFonts w:hint="eastAsia" w:ascii="宋体" w:hAnsi="宋体" w:cs="宋体"/>
                <w:szCs w:val="21"/>
              </w:rPr>
              <w:fldChar w:fldCharType="end"/>
            </w:r>
            <w:r>
              <w:rPr>
                <w:rFonts w:hint="eastAsia" w:ascii="宋体" w:hAnsi="宋体" w:cs="宋体"/>
                <w:szCs w:val="21"/>
              </w:rPr>
              <w:t>不允许</w:t>
            </w:r>
          </w:p>
          <w:p w14:paraId="406F6C19">
            <w:pPr>
              <w:spacing w:line="360" w:lineRule="auto"/>
              <w:rPr>
                <w:rFonts w:ascii="宋体" w:hAnsi="宋体" w:cs="宋体"/>
                <w:szCs w:val="21"/>
              </w:rPr>
            </w:pPr>
            <w:r>
              <w:rPr>
                <w:rFonts w:hint="eastAsia" w:ascii="宋体" w:hAnsi="宋体" w:cs="宋体"/>
                <w:szCs w:val="21"/>
              </w:rPr>
              <w:t>□允许</w:t>
            </w:r>
          </w:p>
        </w:tc>
      </w:tr>
      <w:tr w14:paraId="04525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14:paraId="56F63CC6">
            <w:pPr>
              <w:spacing w:line="360" w:lineRule="auto"/>
              <w:jc w:val="center"/>
              <w:rPr>
                <w:rFonts w:ascii="宋体" w:hAnsi="宋体" w:cs="宋体"/>
                <w:szCs w:val="21"/>
              </w:rPr>
            </w:pPr>
            <w:r>
              <w:rPr>
                <w:rFonts w:hint="eastAsia" w:ascii="宋体" w:hAnsi="宋体" w:cs="宋体"/>
                <w:szCs w:val="21"/>
              </w:rPr>
              <w:t>3.7.3A（2）</w:t>
            </w:r>
          </w:p>
        </w:tc>
        <w:tc>
          <w:tcPr>
            <w:tcW w:w="2455" w:type="dxa"/>
            <w:vAlign w:val="center"/>
          </w:tcPr>
          <w:p w14:paraId="3F865909">
            <w:pPr>
              <w:spacing w:line="360" w:lineRule="auto"/>
              <w:jc w:val="center"/>
              <w:rPr>
                <w:rFonts w:ascii="宋体" w:hAnsi="宋体" w:cs="宋体"/>
                <w:szCs w:val="21"/>
              </w:rPr>
            </w:pPr>
            <w:r>
              <w:rPr>
                <w:rFonts w:hint="eastAsia" w:ascii="宋体" w:hAnsi="宋体" w:cs="宋体"/>
                <w:szCs w:val="21"/>
              </w:rPr>
              <w:t>投标文件副本份数及其他要求</w:t>
            </w:r>
          </w:p>
        </w:tc>
        <w:tc>
          <w:tcPr>
            <w:tcW w:w="5963" w:type="dxa"/>
            <w:vAlign w:val="center"/>
          </w:tcPr>
          <w:p w14:paraId="201297B2">
            <w:pPr>
              <w:spacing w:line="360" w:lineRule="auto"/>
              <w:rPr>
                <w:rFonts w:ascii="宋体" w:hAnsi="宋体" w:cs="宋体"/>
                <w:szCs w:val="21"/>
              </w:rPr>
            </w:pPr>
            <w:r>
              <w:rPr>
                <w:rFonts w:hint="eastAsia" w:ascii="宋体" w:hAnsi="宋体" w:cs="宋体"/>
                <w:szCs w:val="21"/>
                <w:u w:val="single"/>
              </w:rPr>
              <w:t>本项目不适用。</w:t>
            </w:r>
          </w:p>
        </w:tc>
      </w:tr>
      <w:tr w14:paraId="1C96E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14:paraId="64F8201D">
            <w:pPr>
              <w:spacing w:line="360" w:lineRule="auto"/>
              <w:jc w:val="center"/>
              <w:rPr>
                <w:rFonts w:ascii="宋体" w:hAnsi="宋体" w:cs="宋体"/>
                <w:szCs w:val="21"/>
              </w:rPr>
            </w:pPr>
            <w:r>
              <w:rPr>
                <w:rFonts w:hint="eastAsia" w:ascii="宋体" w:hAnsi="宋体" w:cs="宋体"/>
                <w:szCs w:val="21"/>
              </w:rPr>
              <w:t>3.7.3A（3）</w:t>
            </w:r>
          </w:p>
        </w:tc>
        <w:tc>
          <w:tcPr>
            <w:tcW w:w="2455" w:type="dxa"/>
            <w:vAlign w:val="center"/>
          </w:tcPr>
          <w:p w14:paraId="1DF4EE53">
            <w:pPr>
              <w:spacing w:line="360" w:lineRule="auto"/>
              <w:jc w:val="center"/>
              <w:rPr>
                <w:rFonts w:ascii="宋体" w:hAnsi="宋体" w:cs="宋体"/>
                <w:szCs w:val="21"/>
              </w:rPr>
            </w:pPr>
            <w:r>
              <w:rPr>
                <w:rFonts w:hint="eastAsia" w:ascii="宋体" w:hAnsi="宋体" w:cs="宋体"/>
                <w:szCs w:val="21"/>
              </w:rPr>
              <w:t>投标文件是否需分册装订</w:t>
            </w:r>
          </w:p>
        </w:tc>
        <w:tc>
          <w:tcPr>
            <w:tcW w:w="5963" w:type="dxa"/>
            <w:vAlign w:val="center"/>
          </w:tcPr>
          <w:p w14:paraId="5867AE4F">
            <w:pPr>
              <w:spacing w:line="360" w:lineRule="auto"/>
              <w:rPr>
                <w:rFonts w:ascii="宋体" w:hAnsi="宋体" w:cs="宋体"/>
                <w:szCs w:val="21"/>
              </w:rPr>
            </w:pPr>
            <w:r>
              <w:rPr>
                <w:rFonts w:hint="eastAsia" w:ascii="宋体" w:hAnsi="宋体" w:cs="宋体"/>
                <w:szCs w:val="21"/>
                <w:u w:val="single"/>
              </w:rPr>
              <w:t>本项目不适用。</w:t>
            </w:r>
          </w:p>
        </w:tc>
      </w:tr>
      <w:tr w14:paraId="24C58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14:paraId="63A1331B">
            <w:pPr>
              <w:spacing w:line="360" w:lineRule="auto"/>
              <w:jc w:val="center"/>
              <w:rPr>
                <w:rFonts w:ascii="宋体" w:hAnsi="宋体" w:cs="宋体"/>
                <w:szCs w:val="21"/>
              </w:rPr>
            </w:pPr>
            <w:r>
              <w:rPr>
                <w:rFonts w:hint="eastAsia" w:ascii="宋体" w:hAnsi="宋体" w:cs="宋体"/>
                <w:szCs w:val="21"/>
              </w:rPr>
              <w:t>3.7.3（B）</w:t>
            </w:r>
          </w:p>
        </w:tc>
        <w:tc>
          <w:tcPr>
            <w:tcW w:w="2455" w:type="dxa"/>
            <w:vAlign w:val="center"/>
          </w:tcPr>
          <w:p w14:paraId="3A327BB5">
            <w:pPr>
              <w:spacing w:line="360" w:lineRule="auto"/>
              <w:jc w:val="center"/>
              <w:rPr>
                <w:rFonts w:ascii="宋体" w:hAnsi="宋体" w:cs="宋体"/>
                <w:szCs w:val="21"/>
              </w:rPr>
            </w:pPr>
            <w:r>
              <w:rPr>
                <w:rFonts w:hint="eastAsia" w:ascii="宋体" w:hAnsi="宋体" w:cs="宋体"/>
                <w:szCs w:val="21"/>
              </w:rPr>
              <w:t>投标文件所附证书证件要求</w:t>
            </w:r>
          </w:p>
        </w:tc>
        <w:tc>
          <w:tcPr>
            <w:tcW w:w="5963" w:type="dxa"/>
            <w:vAlign w:val="center"/>
          </w:tcPr>
          <w:p w14:paraId="3DC0B3FC">
            <w:pPr>
              <w:spacing w:line="360" w:lineRule="auto"/>
              <w:rPr>
                <w:rFonts w:ascii="宋体" w:hAnsi="宋体" w:cs="宋体"/>
                <w:szCs w:val="21"/>
              </w:rPr>
            </w:pPr>
            <w:r>
              <w:rPr>
                <w:rFonts w:hint="eastAsia"/>
                <w:szCs w:val="21"/>
                <w:u w:val="single"/>
              </w:rPr>
              <w:t>证书证件需为原件清晰扫描件，并采用单位数字证书，按照招标文件要求在相应位置加盖电子印章。暂不实施关于采用个人数字证书和加盖个人电子印章的要求。</w:t>
            </w:r>
          </w:p>
        </w:tc>
      </w:tr>
      <w:tr w14:paraId="07E91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14:paraId="49C80399">
            <w:pPr>
              <w:spacing w:line="360" w:lineRule="auto"/>
              <w:jc w:val="center"/>
              <w:rPr>
                <w:rFonts w:ascii="宋体" w:hAnsi="宋体" w:cs="宋体"/>
                <w:szCs w:val="21"/>
              </w:rPr>
            </w:pPr>
            <w:r>
              <w:rPr>
                <w:rFonts w:hint="eastAsia" w:ascii="宋体" w:hAnsi="宋体" w:cs="宋体"/>
                <w:szCs w:val="21"/>
              </w:rPr>
              <w:t>3.7.3（B）</w:t>
            </w:r>
          </w:p>
        </w:tc>
        <w:tc>
          <w:tcPr>
            <w:tcW w:w="2455" w:type="dxa"/>
            <w:vAlign w:val="center"/>
          </w:tcPr>
          <w:p w14:paraId="193EE564">
            <w:pPr>
              <w:spacing w:line="360" w:lineRule="auto"/>
              <w:jc w:val="center"/>
              <w:rPr>
                <w:rFonts w:ascii="宋体" w:hAnsi="宋体" w:cs="宋体"/>
                <w:szCs w:val="21"/>
              </w:rPr>
            </w:pPr>
            <w:r>
              <w:rPr>
                <w:rFonts w:hint="eastAsia" w:ascii="宋体" w:hAnsi="宋体" w:cs="宋体"/>
                <w:szCs w:val="21"/>
              </w:rPr>
              <w:t>投标文件签字或盖章要求</w:t>
            </w:r>
          </w:p>
        </w:tc>
        <w:tc>
          <w:tcPr>
            <w:tcW w:w="5963" w:type="dxa"/>
            <w:vAlign w:val="center"/>
          </w:tcPr>
          <w:p w14:paraId="067CD505">
            <w:pPr>
              <w:spacing w:line="360" w:lineRule="auto"/>
              <w:rPr>
                <w:rFonts w:hint="eastAsia"/>
              </w:rPr>
            </w:pPr>
            <w:r>
              <w:rPr>
                <w:rFonts w:hint="eastAsia"/>
              </w:rPr>
              <w:t>投标文件全部采用电子文档，投标文件所附证书证件均为原件清晰扫描件，并采用单位数字证书，按招标文件要求在相应位置加盖电子印章。投标文件中需个人签字或盖章的，应在线下完成后扫描上传。</w:t>
            </w:r>
          </w:p>
          <w:p w14:paraId="308F6381">
            <w:pPr>
              <w:spacing w:line="360" w:lineRule="auto"/>
            </w:pPr>
            <w:r>
              <w:rPr>
                <w:rFonts w:hint="eastAsia"/>
              </w:rPr>
              <w:t>具体操作详见</w:t>
            </w:r>
            <w:r>
              <w:rPr>
                <w:rFonts w:hint="eastAsia"/>
                <w:lang w:eastAsia="zh-CN"/>
              </w:rPr>
              <w:t>广州交易集团有限公司(广州公共资源交易中心)</w:t>
            </w:r>
            <w:r>
              <w:rPr>
                <w:rFonts w:hint="eastAsia"/>
                <w:lang w:val="en-US" w:eastAsia="zh-CN"/>
              </w:rPr>
              <w:t>最新指引</w:t>
            </w:r>
          </w:p>
        </w:tc>
      </w:tr>
      <w:tr w14:paraId="196D9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14:paraId="14139630">
            <w:pPr>
              <w:spacing w:line="360" w:lineRule="auto"/>
              <w:jc w:val="center"/>
              <w:rPr>
                <w:rFonts w:ascii="宋体" w:hAnsi="宋体" w:cs="宋体"/>
                <w:szCs w:val="21"/>
              </w:rPr>
            </w:pPr>
            <w:r>
              <w:rPr>
                <w:rFonts w:hint="eastAsia" w:ascii="宋体" w:hAnsi="宋体" w:cs="宋体"/>
                <w:szCs w:val="21"/>
              </w:rPr>
              <w:t>4.1.1（B）</w:t>
            </w:r>
          </w:p>
        </w:tc>
        <w:tc>
          <w:tcPr>
            <w:tcW w:w="2455" w:type="dxa"/>
            <w:vAlign w:val="center"/>
          </w:tcPr>
          <w:p w14:paraId="4E757D4A">
            <w:pPr>
              <w:spacing w:line="360" w:lineRule="auto"/>
              <w:jc w:val="center"/>
              <w:rPr>
                <w:rFonts w:ascii="宋体" w:hAnsi="宋体" w:cs="宋体"/>
                <w:szCs w:val="21"/>
              </w:rPr>
            </w:pPr>
            <w:r>
              <w:rPr>
                <w:rFonts w:hint="eastAsia" w:ascii="宋体" w:hAnsi="宋体" w:cs="宋体"/>
                <w:szCs w:val="21"/>
              </w:rPr>
              <w:t>投标文件加密要求</w:t>
            </w:r>
          </w:p>
        </w:tc>
        <w:tc>
          <w:tcPr>
            <w:tcW w:w="5963" w:type="dxa"/>
            <w:vAlign w:val="center"/>
          </w:tcPr>
          <w:p w14:paraId="0C544F29">
            <w:pPr>
              <w:spacing w:line="360" w:lineRule="auto"/>
              <w:rPr>
                <w:rFonts w:ascii="宋体" w:hAnsi="宋体" w:cs="宋体"/>
                <w:szCs w:val="21"/>
                <w:u w:val="single"/>
              </w:rPr>
            </w:pPr>
            <w:r>
              <w:rPr>
                <w:rFonts w:hint="eastAsia" w:hAnsi="宋体" w:cs="宋体"/>
                <w:color w:val="auto"/>
                <w:sz w:val="21"/>
                <w:szCs w:val="21"/>
                <w:highlight w:val="none"/>
              </w:rPr>
              <w:t>网上递交的电子投标文件须进行加密。</w:t>
            </w:r>
            <w:r>
              <w:rPr>
                <w:rFonts w:hint="eastAsia" w:hAnsi="宋体" w:cs="宋体"/>
                <w:color w:val="auto"/>
                <w:sz w:val="21"/>
                <w:szCs w:val="21"/>
                <w:highlight w:val="none"/>
                <w:u w:val="single"/>
              </w:rPr>
              <w:t>具体操作详见：具体按照交易平台关于全流程电子化项目的相关指南进行操作。</w:t>
            </w:r>
          </w:p>
        </w:tc>
      </w:tr>
      <w:tr w14:paraId="5CE52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188" w:type="dxa"/>
            <w:vAlign w:val="center"/>
          </w:tcPr>
          <w:p w14:paraId="1B8B418C">
            <w:pPr>
              <w:spacing w:line="360" w:lineRule="auto"/>
              <w:jc w:val="center"/>
              <w:rPr>
                <w:rFonts w:ascii="宋体" w:hAnsi="宋体" w:cs="宋体"/>
                <w:szCs w:val="21"/>
              </w:rPr>
            </w:pPr>
            <w:r>
              <w:rPr>
                <w:rFonts w:hint="eastAsia" w:ascii="宋体" w:hAnsi="宋体" w:cs="宋体"/>
                <w:szCs w:val="21"/>
              </w:rPr>
              <w:t>4.1.2</w:t>
            </w:r>
          </w:p>
        </w:tc>
        <w:tc>
          <w:tcPr>
            <w:tcW w:w="2455" w:type="dxa"/>
            <w:vAlign w:val="center"/>
          </w:tcPr>
          <w:p w14:paraId="485E57A0">
            <w:pPr>
              <w:spacing w:line="360" w:lineRule="auto"/>
              <w:jc w:val="center"/>
              <w:rPr>
                <w:rFonts w:ascii="宋体" w:hAnsi="宋体" w:cs="宋体"/>
                <w:szCs w:val="21"/>
              </w:rPr>
            </w:pPr>
            <w:r>
              <w:rPr>
                <w:rFonts w:hint="eastAsia" w:ascii="宋体" w:hAnsi="宋体" w:cs="宋体"/>
                <w:szCs w:val="21"/>
              </w:rPr>
              <w:t>封套上应载明的信息</w:t>
            </w:r>
          </w:p>
        </w:tc>
        <w:tc>
          <w:tcPr>
            <w:tcW w:w="5963" w:type="dxa"/>
            <w:vAlign w:val="center"/>
          </w:tcPr>
          <w:p w14:paraId="66545EB4">
            <w:pPr>
              <w:spacing w:line="360" w:lineRule="auto"/>
              <w:rPr>
                <w:rFonts w:ascii="宋体" w:hAnsi="宋体" w:cs="宋体"/>
                <w:b/>
                <w:szCs w:val="21"/>
                <w:u w:val="single"/>
              </w:rPr>
            </w:pPr>
            <w:r>
              <w:rPr>
                <w:rFonts w:hint="eastAsia" w:ascii="宋体" w:hAnsi="宋体" w:cs="宋体"/>
                <w:b/>
                <w:szCs w:val="21"/>
                <w:u w:val="single"/>
              </w:rPr>
              <w:t>如有提交投标文件光盘备用，封套上应注明如下信息：</w:t>
            </w:r>
          </w:p>
          <w:p w14:paraId="4DC20777">
            <w:pPr>
              <w:spacing w:line="360" w:lineRule="auto"/>
              <w:rPr>
                <w:rFonts w:ascii="宋体" w:hAnsi="宋体" w:cs="宋体"/>
                <w:szCs w:val="21"/>
                <w:u w:val="single"/>
              </w:rPr>
            </w:pPr>
            <w:r>
              <w:rPr>
                <w:rFonts w:hint="eastAsia" w:ascii="宋体" w:hAnsi="宋体" w:cs="宋体"/>
                <w:szCs w:val="21"/>
              </w:rPr>
              <w:t>招标人名称：</w:t>
            </w:r>
          </w:p>
          <w:p w14:paraId="27A54589">
            <w:pPr>
              <w:spacing w:line="360" w:lineRule="auto"/>
              <w:rPr>
                <w:rFonts w:ascii="宋体" w:hAnsi="宋体" w:cs="宋体"/>
                <w:szCs w:val="21"/>
              </w:rPr>
            </w:pPr>
            <w:r>
              <w:rPr>
                <w:rFonts w:hint="eastAsia" w:ascii="宋体" w:hAnsi="宋体" w:cs="宋体"/>
                <w:szCs w:val="21"/>
              </w:rPr>
              <w:t>招标人地址：</w:t>
            </w:r>
          </w:p>
          <w:p w14:paraId="0A69626D">
            <w:pPr>
              <w:spacing w:line="360" w:lineRule="auto"/>
              <w:rPr>
                <w:rFonts w:ascii="宋体" w:hAnsi="宋体" w:cs="宋体"/>
                <w:szCs w:val="21"/>
              </w:rPr>
            </w:pPr>
            <w:r>
              <w:rPr>
                <w:rFonts w:hint="eastAsia" w:ascii="宋体" w:hAnsi="宋体" w:cs="宋体"/>
                <w:szCs w:val="21"/>
                <w:u w:val="single"/>
              </w:rPr>
              <w:t xml:space="preserve">    （项目名称）     </w:t>
            </w:r>
            <w:r>
              <w:rPr>
                <w:rFonts w:hint="eastAsia" w:ascii="宋体" w:hAnsi="宋体" w:cs="宋体"/>
                <w:szCs w:val="21"/>
              </w:rPr>
              <w:t>招标项目投标文件备用光盘</w:t>
            </w:r>
          </w:p>
          <w:p w14:paraId="07F1B848">
            <w:pPr>
              <w:spacing w:line="360" w:lineRule="auto"/>
              <w:rPr>
                <w:rFonts w:ascii="宋体" w:hAnsi="宋体" w:cs="宋体"/>
                <w:szCs w:val="21"/>
                <w:u w:val="single"/>
              </w:rPr>
            </w:pPr>
            <w:r>
              <w:rPr>
                <w:rFonts w:hint="eastAsia" w:ascii="宋体" w:hAnsi="宋体" w:cs="宋体"/>
                <w:szCs w:val="21"/>
              </w:rPr>
              <w:t>招标项目编号：</w:t>
            </w:r>
          </w:p>
          <w:p w14:paraId="5F375CF9">
            <w:pPr>
              <w:spacing w:line="360" w:lineRule="auto"/>
              <w:rPr>
                <w:rFonts w:ascii="宋体" w:hAnsi="宋体" w:cs="宋体"/>
                <w:szCs w:val="21"/>
              </w:rPr>
            </w:pPr>
            <w:r>
              <w:rPr>
                <w:rFonts w:hint="eastAsia" w:ascii="宋体" w:hAnsi="宋体" w:cs="宋体"/>
                <w:szCs w:val="21"/>
              </w:rPr>
              <w:t>投标人名称：</w:t>
            </w:r>
          </w:p>
          <w:p w14:paraId="69F6ACD9">
            <w:pPr>
              <w:spacing w:line="360" w:lineRule="auto"/>
              <w:rPr>
                <w:rFonts w:ascii="宋体" w:hAnsi="宋体" w:cs="宋体"/>
                <w:szCs w:val="21"/>
              </w:rPr>
            </w:pPr>
            <w:r>
              <w:rPr>
                <w:rFonts w:hint="eastAsia" w:ascii="宋体" w:hAnsi="宋体" w:cs="宋体"/>
                <w:szCs w:val="21"/>
              </w:rPr>
              <w:t>投标人地址：</w:t>
            </w:r>
          </w:p>
          <w:p w14:paraId="3751EC5B">
            <w:pPr>
              <w:spacing w:line="360" w:lineRule="auto"/>
              <w:rPr>
                <w:rFonts w:ascii="宋体" w:hAnsi="宋体" w:cs="宋体"/>
                <w:szCs w:val="21"/>
                <w:u w:val="single"/>
              </w:rPr>
            </w:pPr>
            <w:r>
              <w:rPr>
                <w:rFonts w:hint="eastAsia" w:ascii="宋体" w:hAnsi="宋体" w:cs="宋体"/>
                <w:szCs w:val="21"/>
              </w:rPr>
              <w:t>在年月日时前不得开启</w:t>
            </w:r>
          </w:p>
        </w:tc>
      </w:tr>
      <w:tr w14:paraId="36FA4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188" w:type="dxa"/>
            <w:vAlign w:val="center"/>
          </w:tcPr>
          <w:p w14:paraId="5EC7D81E">
            <w:pPr>
              <w:spacing w:line="360" w:lineRule="auto"/>
              <w:jc w:val="center"/>
              <w:rPr>
                <w:rFonts w:ascii="宋体" w:hAnsi="宋体" w:cs="宋体"/>
                <w:szCs w:val="21"/>
              </w:rPr>
            </w:pPr>
            <w:r>
              <w:rPr>
                <w:rFonts w:hint="eastAsia" w:ascii="宋体" w:hAnsi="宋体" w:cs="宋体"/>
                <w:szCs w:val="21"/>
              </w:rPr>
              <w:t>4.2.1</w:t>
            </w:r>
          </w:p>
        </w:tc>
        <w:tc>
          <w:tcPr>
            <w:tcW w:w="2455" w:type="dxa"/>
            <w:vAlign w:val="center"/>
          </w:tcPr>
          <w:p w14:paraId="33BAD0D0">
            <w:pPr>
              <w:spacing w:line="360" w:lineRule="auto"/>
              <w:jc w:val="center"/>
              <w:rPr>
                <w:rFonts w:ascii="宋体" w:hAnsi="宋体" w:cs="宋体"/>
                <w:szCs w:val="21"/>
              </w:rPr>
            </w:pPr>
            <w:r>
              <w:rPr>
                <w:rFonts w:hint="eastAsia" w:ascii="宋体" w:hAnsi="宋体" w:cs="宋体"/>
                <w:szCs w:val="21"/>
              </w:rPr>
              <w:t>投标截止时间</w:t>
            </w:r>
          </w:p>
        </w:tc>
        <w:tc>
          <w:tcPr>
            <w:tcW w:w="5963" w:type="dxa"/>
            <w:vAlign w:val="center"/>
          </w:tcPr>
          <w:p w14:paraId="20E99434">
            <w:pPr>
              <w:spacing w:line="360" w:lineRule="auto"/>
              <w:rPr>
                <w:rFonts w:ascii="宋体" w:hAnsi="宋体" w:cs="宋体"/>
                <w:szCs w:val="21"/>
              </w:rPr>
            </w:pPr>
            <w:r>
              <w:rPr>
                <w:rFonts w:hint="eastAsia" w:ascii="宋体" w:hAnsi="宋体" w:cs="宋体"/>
                <w:szCs w:val="21"/>
              </w:rPr>
              <w:t>投标截止时间：</w:t>
            </w:r>
            <w:r>
              <w:rPr>
                <w:rFonts w:hint="eastAsia" w:ascii="宋体" w:hAnsi="宋体" w:cs="宋体"/>
                <w:szCs w:val="21"/>
                <w:lang w:eastAsia="zh-CN"/>
              </w:rPr>
              <w:t>202</w:t>
            </w:r>
            <w:r>
              <w:rPr>
                <w:rFonts w:hint="eastAsia" w:ascii="宋体" w:hAnsi="宋体" w:cs="宋体"/>
                <w:szCs w:val="21"/>
                <w:lang w:val="en-US" w:eastAsia="zh-CN"/>
              </w:rPr>
              <w:t>5</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r>
              <w:rPr>
                <w:rFonts w:hint="eastAsia" w:ascii="宋体" w:hAnsi="宋体" w:cs="宋体"/>
                <w:szCs w:val="21"/>
                <w:u w:val="single"/>
              </w:rPr>
              <w:t xml:space="preserve"> 10 </w:t>
            </w:r>
            <w:r>
              <w:rPr>
                <w:rFonts w:hint="eastAsia" w:ascii="宋体" w:hAnsi="宋体" w:cs="宋体"/>
                <w:szCs w:val="21"/>
              </w:rPr>
              <w:t>时</w:t>
            </w:r>
            <w:r>
              <w:rPr>
                <w:rFonts w:hint="eastAsia" w:ascii="宋体" w:hAnsi="宋体" w:cs="宋体"/>
                <w:szCs w:val="21"/>
                <w:u w:val="single"/>
              </w:rPr>
              <w:t xml:space="preserve"> </w:t>
            </w:r>
            <w:r>
              <w:rPr>
                <w:rFonts w:hint="eastAsia" w:ascii="宋体" w:hAnsi="宋体" w:cs="宋体"/>
                <w:szCs w:val="21"/>
                <w:u w:val="single"/>
                <w:lang w:val="en-US" w:eastAsia="zh-CN"/>
              </w:rPr>
              <w:t>0</w:t>
            </w:r>
            <w:r>
              <w:rPr>
                <w:rFonts w:hint="eastAsia" w:ascii="宋体" w:hAnsi="宋体" w:cs="宋体"/>
                <w:szCs w:val="21"/>
                <w:u w:val="single"/>
              </w:rPr>
              <w:t xml:space="preserve">0 </w:t>
            </w:r>
            <w:r>
              <w:rPr>
                <w:rFonts w:hint="eastAsia" w:ascii="宋体" w:hAnsi="宋体" w:cs="宋体"/>
                <w:szCs w:val="21"/>
              </w:rPr>
              <w:t>分（北京时间）</w:t>
            </w:r>
          </w:p>
          <w:p w14:paraId="3BE76429">
            <w:pPr>
              <w:pStyle w:val="47"/>
              <w:ind w:firstLine="201" w:firstLineChars="95"/>
              <w:rPr>
                <w:rFonts w:ascii="宋体" w:hAnsi="宋体" w:cs="宋体"/>
                <w:sz w:val="21"/>
                <w:szCs w:val="21"/>
              </w:rPr>
            </w:pPr>
            <w:r>
              <w:rPr>
                <w:rFonts w:hint="eastAsia" w:ascii="宋体" w:hAnsi="宋体" w:cs="宋体"/>
                <w:sz w:val="21"/>
                <w:szCs w:val="21"/>
              </w:rPr>
              <w:t>（详见</w:t>
            </w:r>
            <w:r>
              <w:rPr>
                <w:rFonts w:hint="eastAsia" w:ascii="宋体" w:hAnsi="宋体" w:cs="宋体"/>
                <w:sz w:val="21"/>
                <w:szCs w:val="21"/>
                <w:lang w:eastAsia="zh-CN"/>
              </w:rPr>
              <w:t>广州交易集团有限公司(广州公共资源交易中心)</w:t>
            </w:r>
            <w:r>
              <w:rPr>
                <w:rFonts w:hint="eastAsia" w:ascii="宋体" w:hAnsi="宋体" w:cs="宋体"/>
                <w:sz w:val="21"/>
                <w:szCs w:val="21"/>
              </w:rPr>
              <w:t>网站信息）</w:t>
            </w:r>
          </w:p>
        </w:tc>
      </w:tr>
      <w:tr w14:paraId="2D3D4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188" w:type="dxa"/>
            <w:vAlign w:val="center"/>
          </w:tcPr>
          <w:p w14:paraId="3A959B5E">
            <w:pPr>
              <w:spacing w:line="360" w:lineRule="auto"/>
              <w:jc w:val="center"/>
              <w:rPr>
                <w:rFonts w:ascii="宋体" w:hAnsi="宋体" w:cs="宋体"/>
                <w:szCs w:val="21"/>
              </w:rPr>
            </w:pPr>
            <w:r>
              <w:rPr>
                <w:rFonts w:hint="eastAsia" w:ascii="宋体" w:hAnsi="宋体" w:cs="宋体"/>
                <w:szCs w:val="21"/>
              </w:rPr>
              <w:t>4.2.2（A）</w:t>
            </w:r>
          </w:p>
        </w:tc>
        <w:tc>
          <w:tcPr>
            <w:tcW w:w="2455" w:type="dxa"/>
            <w:vAlign w:val="center"/>
          </w:tcPr>
          <w:p w14:paraId="187642E3">
            <w:pPr>
              <w:spacing w:line="360" w:lineRule="auto"/>
              <w:jc w:val="center"/>
              <w:rPr>
                <w:rFonts w:ascii="宋体" w:hAnsi="宋体" w:cs="宋体"/>
                <w:szCs w:val="21"/>
              </w:rPr>
            </w:pPr>
            <w:r>
              <w:rPr>
                <w:rFonts w:hint="eastAsia" w:ascii="宋体" w:hAnsi="宋体" w:cs="宋体"/>
                <w:szCs w:val="21"/>
              </w:rPr>
              <w:t>递交投标文件地点</w:t>
            </w:r>
          </w:p>
        </w:tc>
        <w:tc>
          <w:tcPr>
            <w:tcW w:w="5963" w:type="dxa"/>
            <w:vAlign w:val="center"/>
          </w:tcPr>
          <w:p w14:paraId="0BF0BADC">
            <w:pPr>
              <w:spacing w:line="360" w:lineRule="auto"/>
              <w:rPr>
                <w:rFonts w:ascii="宋体" w:hAnsi="宋体" w:cs="宋体"/>
                <w:szCs w:val="21"/>
              </w:rPr>
            </w:pPr>
            <w:r>
              <w:rPr>
                <w:rFonts w:hint="eastAsia" w:ascii="宋体" w:hAnsi="宋体" w:cs="宋体"/>
                <w:szCs w:val="21"/>
                <w:u w:val="single"/>
              </w:rPr>
              <w:t>本项目不适用。</w:t>
            </w:r>
          </w:p>
        </w:tc>
      </w:tr>
      <w:tr w14:paraId="5A935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188" w:type="dxa"/>
            <w:vAlign w:val="center"/>
          </w:tcPr>
          <w:p w14:paraId="23B96916">
            <w:pPr>
              <w:spacing w:line="360" w:lineRule="auto"/>
              <w:jc w:val="center"/>
              <w:rPr>
                <w:rFonts w:ascii="宋体" w:hAnsi="宋体" w:cs="宋体"/>
                <w:szCs w:val="21"/>
              </w:rPr>
            </w:pPr>
            <w:r>
              <w:rPr>
                <w:rFonts w:hint="eastAsia" w:ascii="宋体" w:hAnsi="宋体" w:cs="宋体"/>
                <w:u w:val="single"/>
              </w:rPr>
              <w:t>4.2.2 （B）</w:t>
            </w:r>
          </w:p>
        </w:tc>
        <w:tc>
          <w:tcPr>
            <w:tcW w:w="2455" w:type="dxa"/>
            <w:vAlign w:val="center"/>
          </w:tcPr>
          <w:p w14:paraId="1B014570">
            <w:pPr>
              <w:spacing w:line="360" w:lineRule="auto"/>
              <w:jc w:val="center"/>
              <w:rPr>
                <w:rFonts w:ascii="宋体" w:hAnsi="宋体" w:cs="宋体"/>
                <w:szCs w:val="21"/>
              </w:rPr>
            </w:pPr>
            <w:r>
              <w:rPr>
                <w:rFonts w:hint="eastAsia" w:ascii="宋体" w:hAnsi="宋体" w:cs="宋体"/>
                <w:szCs w:val="21"/>
                <w:u w:val="single"/>
              </w:rPr>
              <w:t>递交投标文件地点</w:t>
            </w:r>
          </w:p>
        </w:tc>
        <w:tc>
          <w:tcPr>
            <w:tcW w:w="5963" w:type="dxa"/>
            <w:vAlign w:val="center"/>
          </w:tcPr>
          <w:p w14:paraId="1AD1A85D">
            <w:pPr>
              <w:spacing w:line="360" w:lineRule="auto"/>
              <w:rPr>
                <w:rFonts w:ascii="宋体" w:hAnsi="宋体" w:cs="宋体"/>
                <w:szCs w:val="21"/>
                <w:u w:val="single"/>
              </w:rPr>
            </w:pPr>
            <w:r>
              <w:rPr>
                <w:rFonts w:hint="eastAsia" w:ascii="宋体" w:hAnsi="宋体" w:cs="宋体"/>
                <w:szCs w:val="21"/>
                <w:u w:val="single"/>
              </w:rPr>
              <w:t>1.递交方式：网上递交投标文件。</w:t>
            </w:r>
          </w:p>
          <w:p w14:paraId="7834C6FB">
            <w:pPr>
              <w:spacing w:line="360" w:lineRule="auto"/>
              <w:rPr>
                <w:rFonts w:ascii="宋体" w:hAnsi="宋体" w:cs="宋体"/>
                <w:szCs w:val="21"/>
                <w:u w:val="single"/>
              </w:rPr>
            </w:pPr>
            <w:r>
              <w:rPr>
                <w:rFonts w:hint="eastAsia" w:ascii="宋体" w:hAnsi="宋体" w:cs="宋体"/>
                <w:szCs w:val="21"/>
                <w:u w:val="single"/>
              </w:rPr>
              <w:t>2.递交投标文件的起始时间：</w:t>
            </w:r>
            <w:r>
              <w:rPr>
                <w:rFonts w:hint="eastAsia" w:ascii="宋体" w:hAnsi="宋体" w:cs="宋体"/>
                <w:szCs w:val="21"/>
                <w:u w:val="single"/>
                <w:lang w:eastAsia="zh-CN"/>
              </w:rPr>
              <w:t>202</w:t>
            </w:r>
            <w:r>
              <w:rPr>
                <w:rFonts w:hint="eastAsia" w:ascii="宋体" w:hAnsi="宋体" w:cs="宋体"/>
                <w:szCs w:val="21"/>
                <w:u w:val="single"/>
                <w:lang w:val="en-US" w:eastAsia="zh-CN"/>
              </w:rPr>
              <w:t>5</w:t>
            </w:r>
            <w:r>
              <w:rPr>
                <w:rFonts w:hint="eastAsia" w:ascii="宋体" w:hAnsi="宋体" w:cs="宋体"/>
                <w:szCs w:val="21"/>
                <w:u w:val="single"/>
              </w:rPr>
              <w:t>年    月   日</w:t>
            </w:r>
            <w:r>
              <w:rPr>
                <w:rFonts w:ascii="宋体" w:hAnsi="宋体" w:cs="宋体"/>
                <w:szCs w:val="21"/>
                <w:u w:val="single"/>
              </w:rPr>
              <w:t>00</w:t>
            </w:r>
            <w:r>
              <w:rPr>
                <w:rFonts w:hint="eastAsia" w:ascii="宋体" w:hAnsi="宋体" w:cs="宋体"/>
                <w:szCs w:val="21"/>
                <w:u w:val="single"/>
              </w:rPr>
              <w:t>时00 分</w:t>
            </w:r>
          </w:p>
          <w:p w14:paraId="1BC28B2A">
            <w:pPr>
              <w:pStyle w:val="8"/>
              <w:spacing w:line="360" w:lineRule="auto"/>
              <w:ind w:firstLine="1704" w:firstLineChars="800"/>
              <w:rPr>
                <w:color w:val="auto"/>
              </w:rPr>
            </w:pPr>
            <w:r>
              <w:rPr>
                <w:rFonts w:hint="eastAsia" w:cs="宋体"/>
                <w:b w:val="0"/>
                <w:color w:val="auto"/>
                <w:szCs w:val="21"/>
                <w:u w:val="single"/>
              </w:rPr>
              <w:t>截止时间：</w:t>
            </w:r>
            <w:r>
              <w:rPr>
                <w:rFonts w:hint="eastAsia" w:cs="宋体"/>
                <w:b w:val="0"/>
                <w:color w:val="auto"/>
                <w:szCs w:val="21"/>
                <w:u w:val="single"/>
                <w:lang w:eastAsia="zh-CN"/>
              </w:rPr>
              <w:t>202</w:t>
            </w:r>
            <w:r>
              <w:rPr>
                <w:rFonts w:hint="eastAsia" w:cs="宋体"/>
                <w:b w:val="0"/>
                <w:color w:val="auto"/>
                <w:szCs w:val="21"/>
                <w:u w:val="single"/>
                <w:lang w:val="en-US" w:eastAsia="zh-CN"/>
              </w:rPr>
              <w:t>5</w:t>
            </w:r>
            <w:r>
              <w:rPr>
                <w:rFonts w:hint="eastAsia" w:cs="宋体"/>
                <w:b w:val="0"/>
                <w:color w:val="auto"/>
                <w:szCs w:val="21"/>
                <w:u w:val="single"/>
              </w:rPr>
              <w:t xml:space="preserve">年    月 </w:t>
            </w:r>
            <w:r>
              <w:rPr>
                <w:rFonts w:cs="宋体"/>
                <w:b w:val="0"/>
                <w:color w:val="auto"/>
                <w:szCs w:val="21"/>
                <w:u w:val="single"/>
              </w:rPr>
              <w:t xml:space="preserve"> </w:t>
            </w:r>
            <w:r>
              <w:rPr>
                <w:rFonts w:hint="eastAsia" w:cs="宋体"/>
                <w:b w:val="0"/>
                <w:color w:val="auto"/>
                <w:szCs w:val="21"/>
                <w:u w:val="single"/>
              </w:rPr>
              <w:t xml:space="preserve"> 日10时</w:t>
            </w:r>
            <w:r>
              <w:rPr>
                <w:rFonts w:hint="eastAsia" w:cs="宋体"/>
                <w:b w:val="0"/>
                <w:color w:val="auto"/>
                <w:szCs w:val="21"/>
                <w:u w:val="single"/>
                <w:lang w:val="en-US" w:eastAsia="zh-CN"/>
              </w:rPr>
              <w:t>0</w:t>
            </w:r>
            <w:r>
              <w:rPr>
                <w:rFonts w:hint="eastAsia" w:cs="宋体"/>
                <w:b w:val="0"/>
                <w:color w:val="auto"/>
                <w:szCs w:val="21"/>
                <w:u w:val="single"/>
              </w:rPr>
              <w:t>0分</w:t>
            </w:r>
          </w:p>
          <w:p w14:paraId="11618707">
            <w:pPr>
              <w:spacing w:line="360" w:lineRule="auto"/>
              <w:rPr>
                <w:rFonts w:ascii="宋体" w:hAnsi="宋体" w:cs="宋体"/>
                <w:szCs w:val="21"/>
                <w:u w:val="single"/>
              </w:rPr>
            </w:pPr>
            <w:r>
              <w:rPr>
                <w:rFonts w:hint="eastAsia" w:ascii="宋体" w:hAnsi="宋体" w:cs="宋体"/>
                <w:szCs w:val="21"/>
                <w:u w:val="single"/>
              </w:rPr>
              <w:t>3.地点：</w:t>
            </w:r>
            <w:r>
              <w:rPr>
                <w:rFonts w:hint="eastAsia" w:ascii="宋体" w:hAnsi="宋体" w:cs="宋体"/>
                <w:szCs w:val="21"/>
                <w:u w:val="single"/>
                <w:lang w:eastAsia="zh-CN"/>
              </w:rPr>
              <w:t>广州交易集团有限公司(广州公共资源交易中心)</w:t>
            </w:r>
            <w:r>
              <w:rPr>
                <w:rFonts w:hint="eastAsia" w:ascii="宋体" w:hAnsi="宋体" w:cs="宋体"/>
                <w:szCs w:val="21"/>
                <w:u w:val="single"/>
              </w:rPr>
              <w:t>网站。</w:t>
            </w:r>
          </w:p>
          <w:p w14:paraId="6585D6EE">
            <w:pPr>
              <w:spacing w:line="360" w:lineRule="auto"/>
              <w:rPr>
                <w:rFonts w:ascii="宋体" w:hAnsi="宋体" w:cs="宋体"/>
                <w:szCs w:val="21"/>
              </w:rPr>
            </w:pPr>
            <w:r>
              <w:rPr>
                <w:rFonts w:hint="eastAsia" w:ascii="宋体" w:hAnsi="宋体" w:cs="宋体"/>
                <w:szCs w:val="21"/>
                <w:u w:val="single"/>
              </w:rPr>
              <w:t>注：上述时间及地点是否有改变，请密切留意招标答疑纪要或补充公告（如有）的相关信息，具体时间及场地安排请各投标人密切留意</w:t>
            </w:r>
            <w:r>
              <w:rPr>
                <w:rFonts w:hint="eastAsia" w:ascii="宋体" w:hAnsi="宋体" w:cs="宋体"/>
                <w:szCs w:val="21"/>
                <w:u w:val="single"/>
                <w:lang w:eastAsia="zh-CN"/>
              </w:rPr>
              <w:t>广州交易集团有限公司(广州公共资源交易中心)</w:t>
            </w:r>
            <w:r>
              <w:rPr>
                <w:rFonts w:hint="eastAsia" w:ascii="宋体" w:hAnsi="宋体" w:cs="宋体"/>
                <w:szCs w:val="21"/>
                <w:u w:val="single"/>
              </w:rPr>
              <w:t>公布本项目的日程安排，投标人可登录</w:t>
            </w:r>
            <w:r>
              <w:rPr>
                <w:rFonts w:hint="eastAsia" w:ascii="宋体" w:hAnsi="宋体" w:cs="宋体"/>
                <w:szCs w:val="21"/>
                <w:u w:val="single"/>
                <w:lang w:eastAsia="zh-CN"/>
              </w:rPr>
              <w:t>广州交易集团有限公司(广州公共资源交易中心)</w:t>
            </w:r>
            <w:r>
              <w:rPr>
                <w:rFonts w:hint="eastAsia" w:ascii="宋体" w:hAnsi="宋体" w:cs="宋体"/>
                <w:szCs w:val="21"/>
                <w:u w:val="single"/>
              </w:rPr>
              <w:t>网站首页，点击“交易业务-建设工程”专栏中的“项目查询（日程安排、答疑纪要）”，输入项目编号或项目名称查询最新信息。</w:t>
            </w:r>
          </w:p>
        </w:tc>
      </w:tr>
      <w:tr w14:paraId="325A0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14:paraId="623A696A">
            <w:pPr>
              <w:spacing w:line="360" w:lineRule="auto"/>
              <w:jc w:val="center"/>
              <w:rPr>
                <w:rFonts w:ascii="宋体" w:hAnsi="宋体" w:cs="宋体"/>
                <w:szCs w:val="21"/>
                <w:u w:val="single"/>
              </w:rPr>
            </w:pPr>
            <w:r>
              <w:rPr>
                <w:rFonts w:hint="eastAsia" w:ascii="宋体" w:hAnsi="宋体" w:cs="宋体"/>
                <w:szCs w:val="21"/>
              </w:rPr>
              <w:t>4.2.3</w:t>
            </w:r>
          </w:p>
        </w:tc>
        <w:tc>
          <w:tcPr>
            <w:tcW w:w="2455" w:type="dxa"/>
            <w:vAlign w:val="center"/>
          </w:tcPr>
          <w:p w14:paraId="75EAEAEF">
            <w:pPr>
              <w:spacing w:line="360" w:lineRule="auto"/>
              <w:jc w:val="center"/>
              <w:rPr>
                <w:rFonts w:ascii="宋体" w:hAnsi="宋体" w:cs="宋体"/>
                <w:szCs w:val="21"/>
                <w:u w:val="single"/>
              </w:rPr>
            </w:pPr>
            <w:r>
              <w:rPr>
                <w:rFonts w:hint="eastAsia" w:ascii="宋体" w:hAnsi="宋体" w:cs="宋体"/>
                <w:szCs w:val="21"/>
              </w:rPr>
              <w:t>投标文件是否退还</w:t>
            </w:r>
          </w:p>
        </w:tc>
        <w:tc>
          <w:tcPr>
            <w:tcW w:w="5963" w:type="dxa"/>
            <w:vAlign w:val="center"/>
          </w:tcPr>
          <w:p w14:paraId="5043D473">
            <w:pPr>
              <w:spacing w:line="360" w:lineRule="auto"/>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eq \o\ac(□</w:instrText>
            </w:r>
            <w:r>
              <w:rPr>
                <w:rFonts w:hint="eastAsia" w:ascii="宋体" w:hAnsi="宋体" w:cs="宋体"/>
                <w:position w:val="2"/>
                <w:sz w:val="14"/>
                <w:szCs w:val="21"/>
              </w:rPr>
              <w:instrText xml:space="preserve">,</w:instrText>
            </w:r>
            <w:r>
              <w:rPr>
                <w:rFonts w:hint="eastAsia" w:ascii="宋体" w:hAnsi="宋体" w:cs="宋体"/>
                <w:szCs w:val="21"/>
              </w:rPr>
              <w:instrText xml:space="preserve">√)</w:instrText>
            </w:r>
            <w:r>
              <w:rPr>
                <w:rFonts w:hint="eastAsia" w:ascii="宋体" w:hAnsi="宋体" w:cs="宋体"/>
                <w:szCs w:val="21"/>
              </w:rPr>
              <w:fldChar w:fldCharType="end"/>
            </w:r>
            <w:r>
              <w:rPr>
                <w:rFonts w:hint="eastAsia" w:ascii="宋体" w:hAnsi="宋体" w:cs="宋体"/>
                <w:szCs w:val="21"/>
              </w:rPr>
              <w:t>否</w:t>
            </w:r>
          </w:p>
          <w:p w14:paraId="553A22E8">
            <w:pPr>
              <w:spacing w:line="360" w:lineRule="auto"/>
              <w:rPr>
                <w:rFonts w:ascii="宋体" w:hAnsi="宋体" w:cs="宋体"/>
                <w:szCs w:val="21"/>
              </w:rPr>
            </w:pPr>
            <w:r>
              <w:rPr>
                <w:rFonts w:hint="eastAsia" w:ascii="宋体" w:hAnsi="宋体" w:cs="宋体"/>
                <w:szCs w:val="21"/>
              </w:rPr>
              <w:t>□是，退还时间：</w:t>
            </w:r>
          </w:p>
        </w:tc>
      </w:tr>
      <w:tr w14:paraId="07E21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14:paraId="42599A5F">
            <w:pPr>
              <w:spacing w:line="360" w:lineRule="auto"/>
              <w:jc w:val="center"/>
              <w:rPr>
                <w:rFonts w:ascii="宋体" w:hAnsi="宋体" w:cs="宋体"/>
                <w:szCs w:val="21"/>
              </w:rPr>
            </w:pPr>
            <w:r>
              <w:rPr>
                <w:rFonts w:hint="eastAsia" w:ascii="宋体" w:hAnsi="宋体" w:cs="宋体"/>
                <w:szCs w:val="21"/>
              </w:rPr>
              <w:t>5.1（A）</w:t>
            </w:r>
          </w:p>
        </w:tc>
        <w:tc>
          <w:tcPr>
            <w:tcW w:w="2455" w:type="dxa"/>
            <w:vAlign w:val="center"/>
          </w:tcPr>
          <w:p w14:paraId="028404D5">
            <w:pPr>
              <w:spacing w:line="360" w:lineRule="auto"/>
              <w:jc w:val="center"/>
              <w:rPr>
                <w:rFonts w:ascii="宋体" w:hAnsi="宋体" w:cs="宋体"/>
                <w:szCs w:val="21"/>
              </w:rPr>
            </w:pPr>
            <w:r>
              <w:rPr>
                <w:rFonts w:hint="eastAsia" w:ascii="宋体" w:hAnsi="宋体" w:cs="宋体"/>
                <w:szCs w:val="21"/>
              </w:rPr>
              <w:t>开标时间和地点</w:t>
            </w:r>
          </w:p>
        </w:tc>
        <w:tc>
          <w:tcPr>
            <w:tcW w:w="5963" w:type="dxa"/>
            <w:vAlign w:val="center"/>
          </w:tcPr>
          <w:p w14:paraId="1DBA1C73">
            <w:pPr>
              <w:spacing w:line="360" w:lineRule="auto"/>
              <w:rPr>
                <w:rFonts w:ascii="宋体" w:hAnsi="宋体" w:cs="宋体"/>
                <w:szCs w:val="21"/>
              </w:rPr>
            </w:pPr>
            <w:r>
              <w:rPr>
                <w:rFonts w:hint="eastAsia" w:ascii="宋体" w:hAnsi="宋体" w:cs="宋体"/>
                <w:szCs w:val="21"/>
                <w:u w:val="single"/>
              </w:rPr>
              <w:t>/</w:t>
            </w:r>
          </w:p>
        </w:tc>
      </w:tr>
      <w:tr w14:paraId="0F5A2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14:paraId="087312D6">
            <w:pPr>
              <w:spacing w:line="360" w:lineRule="auto"/>
              <w:jc w:val="center"/>
              <w:rPr>
                <w:rFonts w:ascii="宋体" w:hAnsi="宋体" w:cs="宋体"/>
                <w:szCs w:val="21"/>
              </w:rPr>
            </w:pPr>
            <w:r>
              <w:rPr>
                <w:rFonts w:hint="eastAsia" w:ascii="宋体" w:hAnsi="宋体" w:cs="宋体"/>
                <w:szCs w:val="21"/>
                <w:u w:val="single"/>
              </w:rPr>
              <w:t>5.1（B）</w:t>
            </w:r>
          </w:p>
        </w:tc>
        <w:tc>
          <w:tcPr>
            <w:tcW w:w="2455" w:type="dxa"/>
            <w:vAlign w:val="center"/>
          </w:tcPr>
          <w:p w14:paraId="41A64421">
            <w:pPr>
              <w:spacing w:line="360" w:lineRule="auto"/>
              <w:jc w:val="center"/>
              <w:rPr>
                <w:rFonts w:ascii="宋体" w:hAnsi="宋体" w:cs="宋体"/>
                <w:szCs w:val="21"/>
              </w:rPr>
            </w:pPr>
            <w:r>
              <w:rPr>
                <w:rFonts w:hint="eastAsia" w:ascii="宋体" w:hAnsi="宋体" w:cs="宋体"/>
                <w:szCs w:val="21"/>
                <w:u w:val="single"/>
              </w:rPr>
              <w:t>开标时间和地点</w:t>
            </w:r>
          </w:p>
        </w:tc>
        <w:tc>
          <w:tcPr>
            <w:tcW w:w="5963" w:type="dxa"/>
            <w:vAlign w:val="center"/>
          </w:tcPr>
          <w:p w14:paraId="22907C28">
            <w:pPr>
              <w:snapToGrid w:val="0"/>
              <w:spacing w:line="360" w:lineRule="auto"/>
              <w:rPr>
                <w:rFonts w:ascii="宋体" w:hAnsi="宋体" w:cs="宋体"/>
                <w:szCs w:val="21"/>
              </w:rPr>
            </w:pPr>
            <w:r>
              <w:rPr>
                <w:rFonts w:hint="eastAsia" w:ascii="宋体" w:hAnsi="宋体" w:cs="宋体"/>
                <w:szCs w:val="21"/>
              </w:rPr>
              <w:t>招标人在本章第 4.2.1 项规定的投标截止时间（开标时间），通过电子招标投标交易平台公开开标；开标地点在</w:t>
            </w:r>
            <w:r>
              <w:rPr>
                <w:rFonts w:hint="eastAsia" w:ascii="宋体" w:hAnsi="宋体" w:cs="宋体"/>
                <w:szCs w:val="21"/>
                <w:lang w:eastAsia="zh-CN"/>
              </w:rPr>
              <w:t>广州交易集团有限公司(广州公共资源交易中心)</w:t>
            </w:r>
            <w:r>
              <w:rPr>
                <w:rFonts w:hint="eastAsia" w:ascii="宋体" w:hAnsi="宋体" w:cs="宋体"/>
                <w:szCs w:val="21"/>
                <w:lang w:val="en-US" w:eastAsia="zh-CN"/>
              </w:rPr>
              <w:t>开标室</w:t>
            </w:r>
            <w:r>
              <w:rPr>
                <w:rFonts w:hint="eastAsia" w:ascii="宋体" w:hAnsi="宋体" w:cs="宋体"/>
                <w:szCs w:val="21"/>
              </w:rPr>
              <w:t>，详见</w:t>
            </w:r>
            <w:r>
              <w:rPr>
                <w:rFonts w:hint="eastAsia" w:ascii="宋体" w:hAnsi="宋体" w:cs="宋体"/>
                <w:szCs w:val="21"/>
                <w:lang w:eastAsia="zh-CN"/>
              </w:rPr>
              <w:t>广州交易集团有限公司(广州公共资源交易中心)</w:t>
            </w:r>
            <w:r>
              <w:rPr>
                <w:rFonts w:hint="eastAsia" w:ascii="宋体" w:hAnsi="宋体" w:cs="宋体"/>
                <w:szCs w:val="21"/>
              </w:rPr>
              <w:t>公布本项目的日程安排，投标人可登录</w:t>
            </w:r>
            <w:r>
              <w:rPr>
                <w:rFonts w:hint="eastAsia" w:ascii="宋体" w:hAnsi="宋体" w:cs="宋体"/>
                <w:szCs w:val="21"/>
                <w:lang w:eastAsia="zh-CN"/>
              </w:rPr>
              <w:t>广州交易集团有限公司(广州公共资源交易中心)</w:t>
            </w:r>
            <w:r>
              <w:rPr>
                <w:rFonts w:hint="eastAsia" w:ascii="宋体" w:hAnsi="宋体" w:cs="宋体"/>
                <w:szCs w:val="21"/>
              </w:rPr>
              <w:t>网站首页，点击“交易业务-建设工程”专栏中的“项目查询（日程安排、答疑纪要）”，输入项目编号或项目名称查询最新信息。</w:t>
            </w:r>
          </w:p>
          <w:p w14:paraId="1BF7E007">
            <w:pPr>
              <w:snapToGrid w:val="0"/>
              <w:spacing w:line="360" w:lineRule="auto"/>
              <w:rPr>
                <w:rFonts w:ascii="宋体" w:hAnsi="宋体" w:cs="宋体"/>
                <w:szCs w:val="21"/>
              </w:rPr>
            </w:pPr>
            <w:r>
              <w:rPr>
                <w:rFonts w:hint="eastAsia" w:ascii="宋体" w:hAnsi="宋体" w:cs="宋体"/>
                <w:szCs w:val="21"/>
              </w:rPr>
              <w:t>开标时，投标人代表有权出席开标会，也可以自主决定不参加开标会，若投标人代表对开标过程有异议的，参加现场开标的，应当在开标现场提出，同时出示本人身份证原件，招标人应当当场作出答复，并制作记录。</w:t>
            </w:r>
          </w:p>
        </w:tc>
      </w:tr>
      <w:tr w14:paraId="0503E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14:paraId="10FE00CF">
            <w:pPr>
              <w:spacing w:line="360" w:lineRule="auto"/>
              <w:jc w:val="center"/>
              <w:rPr>
                <w:rFonts w:ascii="宋体" w:hAnsi="宋体" w:cs="宋体"/>
                <w:szCs w:val="21"/>
                <w:u w:val="single"/>
              </w:rPr>
            </w:pPr>
            <w:r>
              <w:rPr>
                <w:rFonts w:hint="eastAsia" w:ascii="宋体" w:hAnsi="宋体" w:cs="宋体"/>
                <w:szCs w:val="21"/>
                <w:u w:val="single"/>
              </w:rPr>
              <w:t>5.2</w:t>
            </w:r>
          </w:p>
        </w:tc>
        <w:tc>
          <w:tcPr>
            <w:tcW w:w="2455" w:type="dxa"/>
            <w:vAlign w:val="center"/>
          </w:tcPr>
          <w:p w14:paraId="7B71BDB1">
            <w:pPr>
              <w:spacing w:line="360" w:lineRule="auto"/>
              <w:jc w:val="center"/>
              <w:rPr>
                <w:rFonts w:ascii="宋体" w:hAnsi="宋体" w:cs="宋体"/>
                <w:szCs w:val="21"/>
                <w:u w:val="single"/>
              </w:rPr>
            </w:pPr>
            <w:r>
              <w:rPr>
                <w:rFonts w:hint="eastAsia" w:ascii="宋体" w:hAnsi="宋体" w:cs="宋体"/>
                <w:szCs w:val="21"/>
                <w:u w:val="single"/>
              </w:rPr>
              <w:t>开标程序</w:t>
            </w:r>
          </w:p>
        </w:tc>
        <w:tc>
          <w:tcPr>
            <w:tcW w:w="5963" w:type="dxa"/>
            <w:vAlign w:val="center"/>
          </w:tcPr>
          <w:p w14:paraId="727DF5DD">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电子招投标项目开标按下列程序进行：</w:t>
            </w:r>
          </w:p>
          <w:p w14:paraId="68F41770">
            <w:pPr>
              <w:snapToGrid w:val="0"/>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u w:val="single"/>
              </w:rPr>
              <w:t>5.2.1主持人按下列程序进行开标：</w:t>
            </w:r>
          </w:p>
          <w:p w14:paraId="66DF5DE6">
            <w:pPr>
              <w:snapToGrid w:val="0"/>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u w:val="single"/>
              </w:rPr>
              <w:t>（1）宣布开标纪律；</w:t>
            </w:r>
          </w:p>
          <w:p w14:paraId="410F0E08">
            <w:pPr>
              <w:snapToGrid w:val="0"/>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u w:val="single"/>
              </w:rPr>
              <w:t>（2）公布在投标截止时间前递交投标文件的投标人名称；</w:t>
            </w:r>
          </w:p>
          <w:p w14:paraId="230E5DAD">
            <w:pPr>
              <w:snapToGrid w:val="0"/>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u w:val="single"/>
              </w:rPr>
              <w:t>（3）宣布开标人、唱标人、记录人、监标人等有关人员姓名；</w:t>
            </w:r>
          </w:p>
          <w:p w14:paraId="6B94A48B">
            <w:pPr>
              <w:snapToGrid w:val="0"/>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u w:val="single"/>
              </w:rPr>
              <w:t>（4）（B）投标人通过电子招标投标交易平台对已递交的电子投标文件进行解密，公布招标项目名称、投标人名称、投标报价、服务期限及其他内容，并记录在案；</w:t>
            </w:r>
          </w:p>
          <w:p w14:paraId="38309710">
            <w:pPr>
              <w:snapToGrid w:val="0"/>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u w:val="single"/>
              </w:rPr>
              <w:t>（5）（B）投标人代表、招标人代表、监标人、记录人等有关人员在开标记录上签字确认；若有关人员不签字的，不影响开标程序；</w:t>
            </w:r>
          </w:p>
          <w:p w14:paraId="439F4946">
            <w:pPr>
              <w:snapToGrid w:val="0"/>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u w:val="single"/>
              </w:rPr>
              <w:t>（6）开标结束。</w:t>
            </w:r>
          </w:p>
          <w:p w14:paraId="67140A5F">
            <w:pPr>
              <w:snapToGrid w:val="0"/>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u w:val="single"/>
              </w:rPr>
              <w:t>5.2.2投标截止时间前未完成投标文件传输的或因投标人之外的原因造成投标文件未解密的或未在投标截止时间后</w:t>
            </w:r>
            <w:r>
              <w:rPr>
                <w:rFonts w:hint="eastAsia" w:ascii="宋体" w:hAnsi="宋体" w:cs="宋体"/>
                <w:color w:val="auto"/>
                <w:szCs w:val="21"/>
                <w:highlight w:val="none"/>
                <w:u w:val="single"/>
                <w:lang w:val="en-US" w:eastAsia="zh-CN"/>
              </w:rPr>
              <w:t>1</w:t>
            </w:r>
            <w:r>
              <w:rPr>
                <w:rFonts w:hint="eastAsia" w:ascii="宋体" w:hAnsi="宋体" w:cs="宋体"/>
                <w:color w:val="auto"/>
                <w:szCs w:val="21"/>
                <w:highlight w:val="none"/>
                <w:u w:val="single"/>
              </w:rPr>
              <w:t>小时解密的，视为投标人其撤回投标文件。因投标人原因造成投标文件未解密的，或因投标人原因解密失败且未递交电子光盘或递交的电子光盘不能读取的，视为撤销其投标文件。</w:t>
            </w:r>
          </w:p>
          <w:p w14:paraId="4FF4F64B">
            <w:pPr>
              <w:spacing w:line="360" w:lineRule="auto"/>
              <w:rPr>
                <w:rFonts w:ascii="宋体" w:hAnsi="宋体" w:cs="宋体"/>
                <w:szCs w:val="21"/>
                <w:u w:val="single"/>
              </w:rPr>
            </w:pPr>
            <w:r>
              <w:rPr>
                <w:rFonts w:hint="eastAsia" w:ascii="宋体" w:hAnsi="宋体" w:cs="宋体"/>
                <w:color w:val="auto"/>
                <w:szCs w:val="21"/>
                <w:highlight w:val="none"/>
                <w:u w:val="single"/>
              </w:rPr>
              <w:t>5.2.3开标时，两个（含两个）以上的投标人加密打包投标文件电脑机器特征码一致的，由评标委员会否决其投标。</w:t>
            </w:r>
          </w:p>
        </w:tc>
      </w:tr>
      <w:tr w14:paraId="183C5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14:paraId="01979056">
            <w:pPr>
              <w:spacing w:line="360" w:lineRule="auto"/>
              <w:jc w:val="center"/>
              <w:rPr>
                <w:rFonts w:ascii="宋体" w:hAnsi="宋体" w:cs="宋体"/>
                <w:szCs w:val="21"/>
                <w:u w:val="single"/>
              </w:rPr>
            </w:pPr>
            <w:r>
              <w:rPr>
                <w:rFonts w:hint="eastAsia" w:ascii="宋体" w:hAnsi="宋体" w:cs="宋体"/>
                <w:szCs w:val="21"/>
                <w:u w:val="single"/>
              </w:rPr>
              <w:t>5.3</w:t>
            </w:r>
          </w:p>
        </w:tc>
        <w:tc>
          <w:tcPr>
            <w:tcW w:w="2455" w:type="dxa"/>
            <w:vAlign w:val="center"/>
          </w:tcPr>
          <w:p w14:paraId="2E88D64F">
            <w:pPr>
              <w:spacing w:line="360" w:lineRule="auto"/>
              <w:jc w:val="center"/>
              <w:rPr>
                <w:rFonts w:ascii="宋体" w:hAnsi="宋体" w:cs="宋体"/>
                <w:szCs w:val="21"/>
                <w:u w:val="single"/>
              </w:rPr>
            </w:pPr>
            <w:r>
              <w:rPr>
                <w:rFonts w:hint="eastAsia" w:ascii="宋体" w:hAnsi="宋体" w:cs="宋体"/>
                <w:szCs w:val="21"/>
                <w:u w:val="single"/>
              </w:rPr>
              <w:t>开标异议</w:t>
            </w:r>
          </w:p>
        </w:tc>
        <w:tc>
          <w:tcPr>
            <w:tcW w:w="5963" w:type="dxa"/>
            <w:vAlign w:val="center"/>
          </w:tcPr>
          <w:p w14:paraId="52926ED7">
            <w:pPr>
              <w:spacing w:line="360" w:lineRule="auto"/>
              <w:rPr>
                <w:rFonts w:ascii="宋体" w:hAnsi="宋体" w:cs="宋体"/>
                <w:u w:val="single"/>
              </w:rPr>
            </w:pPr>
            <w:r>
              <w:rPr>
                <w:rFonts w:hint="eastAsia" w:ascii="宋体" w:hAnsi="宋体" w:cs="宋体"/>
                <w:u w:val="single"/>
              </w:rPr>
              <w:t>5.3.1开标方式采用电子开标和现场开标两种模式，投标人可选择在开标室参与开标或准时在线参加开标，也可不参加开标。参加在线开标的投标人登录交易平台实时查看开标、唱标情况。交易平台生成开标记录并向社会公众公布。</w:t>
            </w:r>
          </w:p>
          <w:p w14:paraId="56B300CA">
            <w:pPr>
              <w:spacing w:line="360" w:lineRule="auto"/>
              <w:rPr>
                <w:rFonts w:ascii="宋体" w:hAnsi="宋体" w:cs="宋体"/>
                <w:u w:val="single"/>
              </w:rPr>
            </w:pPr>
            <w:r>
              <w:rPr>
                <w:rFonts w:hint="eastAsia" w:ascii="宋体" w:hAnsi="宋体" w:cs="宋体"/>
                <w:u w:val="single"/>
              </w:rPr>
              <w:t>5.3.2参加现场开标的投标人对开标结果有异议的，应当在开标现场提出，该投标人代表须同时出示本人身份证原件，招标人当场作出答复，并制作记录。</w:t>
            </w:r>
          </w:p>
          <w:p w14:paraId="2C321CE7">
            <w:pPr>
              <w:spacing w:line="360" w:lineRule="auto"/>
              <w:rPr>
                <w:rFonts w:ascii="宋体" w:hAnsi="宋体" w:cs="宋体"/>
                <w:u w:val="single"/>
              </w:rPr>
            </w:pPr>
            <w:r>
              <w:rPr>
                <w:rFonts w:hint="eastAsia" w:ascii="宋体" w:hAnsi="宋体" w:cs="宋体"/>
                <w:u w:val="single"/>
              </w:rPr>
              <w:t>5.3.3参加在线开标的投标人对开标结果有异议的，应当使用单位数字证书登录交易平台后通过交易平台提出。招标人授权招标代理机构工作人员使用招标代理机构数字证书登录交易平台答复异议，异议答复是招标人真实意思表示。未答复的，开标程序不得结束，投标人若无异议，点击“我没有异议了”按钮即可。</w:t>
            </w:r>
          </w:p>
          <w:p w14:paraId="198B8364">
            <w:pPr>
              <w:spacing w:line="360" w:lineRule="auto"/>
              <w:rPr>
                <w:rFonts w:ascii="宋体" w:hAnsi="宋体"/>
                <w:szCs w:val="21"/>
                <w:u w:val="single"/>
              </w:rPr>
            </w:pPr>
            <w:r>
              <w:rPr>
                <w:rFonts w:hint="eastAsia" w:ascii="宋体" w:hAnsi="宋体" w:cs="宋体"/>
                <w:u w:val="single"/>
              </w:rPr>
              <w:t>5.3.4投标人未参加开标或在规定的时间内未提出异议的，视为对开标无异议。</w:t>
            </w:r>
          </w:p>
        </w:tc>
      </w:tr>
      <w:tr w14:paraId="40C01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14:paraId="5D49A96D">
            <w:pPr>
              <w:spacing w:line="360" w:lineRule="auto"/>
              <w:jc w:val="center"/>
              <w:rPr>
                <w:rFonts w:ascii="宋体" w:hAnsi="宋体" w:cs="宋体"/>
                <w:szCs w:val="21"/>
                <w:u w:val="single"/>
              </w:rPr>
            </w:pPr>
            <w:r>
              <w:rPr>
                <w:rFonts w:hint="eastAsia" w:ascii="宋体" w:hAnsi="宋体" w:cs="宋体"/>
                <w:szCs w:val="21"/>
              </w:rPr>
              <w:t>6.1.1</w:t>
            </w:r>
          </w:p>
        </w:tc>
        <w:tc>
          <w:tcPr>
            <w:tcW w:w="2455" w:type="dxa"/>
            <w:vAlign w:val="center"/>
          </w:tcPr>
          <w:p w14:paraId="6DF5A6CB">
            <w:pPr>
              <w:spacing w:line="360" w:lineRule="auto"/>
              <w:jc w:val="center"/>
              <w:rPr>
                <w:rFonts w:ascii="宋体" w:hAnsi="宋体" w:cs="宋体"/>
                <w:szCs w:val="21"/>
                <w:u w:val="single"/>
              </w:rPr>
            </w:pPr>
            <w:r>
              <w:rPr>
                <w:rFonts w:hint="eastAsia" w:ascii="宋体" w:hAnsi="宋体" w:cs="宋体"/>
                <w:szCs w:val="21"/>
              </w:rPr>
              <w:t>评标委员会的组建</w:t>
            </w:r>
          </w:p>
        </w:tc>
        <w:tc>
          <w:tcPr>
            <w:tcW w:w="5963" w:type="dxa"/>
            <w:vAlign w:val="center"/>
          </w:tcPr>
          <w:p w14:paraId="184C4357">
            <w:pPr>
              <w:spacing w:line="360" w:lineRule="auto"/>
              <w:rPr>
                <w:rFonts w:ascii="宋体" w:hAnsi="宋体" w:cs="宋体"/>
                <w:szCs w:val="21"/>
                <w:u w:val="single"/>
              </w:rPr>
            </w:pPr>
            <w:r>
              <w:rPr>
                <w:rFonts w:hint="eastAsia" w:ascii="宋体" w:hAnsi="宋体" w:cs="宋体"/>
                <w:szCs w:val="21"/>
                <w:u w:val="single"/>
              </w:rPr>
              <w:t>评标委员会构成：7人（其中招标人代表 2人，在广东省综合评标评审专家库中随机抽取的专家5人）。</w:t>
            </w:r>
          </w:p>
        </w:tc>
      </w:tr>
      <w:tr w14:paraId="4EE9F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14:paraId="2408B8B7">
            <w:pPr>
              <w:spacing w:line="360" w:lineRule="auto"/>
              <w:jc w:val="center"/>
              <w:rPr>
                <w:rFonts w:ascii="宋体" w:hAnsi="宋体" w:cs="宋体"/>
                <w:szCs w:val="21"/>
              </w:rPr>
            </w:pPr>
            <w:r>
              <w:rPr>
                <w:rFonts w:hint="eastAsia" w:ascii="宋体" w:hAnsi="宋体" w:cs="宋体"/>
                <w:szCs w:val="21"/>
              </w:rPr>
              <w:t>6.3.2</w:t>
            </w:r>
          </w:p>
        </w:tc>
        <w:tc>
          <w:tcPr>
            <w:tcW w:w="2455" w:type="dxa"/>
            <w:vAlign w:val="center"/>
          </w:tcPr>
          <w:p w14:paraId="7DA3182C">
            <w:pPr>
              <w:spacing w:line="360" w:lineRule="auto"/>
              <w:jc w:val="center"/>
              <w:rPr>
                <w:rFonts w:ascii="宋体" w:hAnsi="宋体" w:cs="宋体"/>
                <w:szCs w:val="21"/>
              </w:rPr>
            </w:pPr>
            <w:r>
              <w:rPr>
                <w:rFonts w:hint="eastAsia" w:ascii="宋体" w:hAnsi="宋体" w:cs="宋体"/>
                <w:szCs w:val="21"/>
              </w:rPr>
              <w:t>评标委员会推荐中标候选人的人数</w:t>
            </w:r>
          </w:p>
        </w:tc>
        <w:tc>
          <w:tcPr>
            <w:tcW w:w="5963" w:type="dxa"/>
            <w:vAlign w:val="center"/>
          </w:tcPr>
          <w:p w14:paraId="74E34C10">
            <w:pPr>
              <w:spacing w:line="360" w:lineRule="auto"/>
              <w:rPr>
                <w:rFonts w:ascii="宋体" w:hAnsi="宋体" w:cs="宋体"/>
                <w:szCs w:val="21"/>
              </w:rPr>
            </w:pPr>
            <w:r>
              <w:rPr>
                <w:rFonts w:hint="eastAsia" w:ascii="宋体" w:hAnsi="宋体"/>
                <w:szCs w:val="21"/>
              </w:rPr>
              <w:t>推荐中标候选人</w:t>
            </w:r>
            <w:r>
              <w:rPr>
                <w:rFonts w:hint="eastAsia" w:ascii="宋体" w:hAnsi="宋体"/>
                <w:szCs w:val="21"/>
                <w:u w:val="single"/>
              </w:rPr>
              <w:t>3人。</w:t>
            </w:r>
          </w:p>
        </w:tc>
      </w:tr>
      <w:tr w14:paraId="47003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14:paraId="013132A7">
            <w:pPr>
              <w:spacing w:line="360" w:lineRule="auto"/>
              <w:jc w:val="center"/>
              <w:rPr>
                <w:rFonts w:ascii="宋体" w:hAnsi="宋体" w:cs="宋体"/>
                <w:szCs w:val="21"/>
              </w:rPr>
            </w:pPr>
            <w:r>
              <w:rPr>
                <w:rFonts w:hint="eastAsia" w:ascii="宋体" w:hAnsi="宋体" w:cs="宋体"/>
                <w:szCs w:val="21"/>
              </w:rPr>
              <w:t>7.1</w:t>
            </w:r>
          </w:p>
        </w:tc>
        <w:tc>
          <w:tcPr>
            <w:tcW w:w="2455" w:type="dxa"/>
            <w:vAlign w:val="center"/>
          </w:tcPr>
          <w:p w14:paraId="5770F141">
            <w:pPr>
              <w:spacing w:line="360" w:lineRule="auto"/>
              <w:jc w:val="center"/>
              <w:rPr>
                <w:rFonts w:ascii="宋体" w:hAnsi="宋体" w:cs="宋体"/>
                <w:szCs w:val="21"/>
              </w:rPr>
            </w:pPr>
            <w:r>
              <w:rPr>
                <w:rFonts w:hint="eastAsia" w:ascii="宋体" w:hAnsi="宋体" w:cs="宋体"/>
                <w:szCs w:val="21"/>
              </w:rPr>
              <w:t>中标候选人公示媒介及期限</w:t>
            </w:r>
          </w:p>
        </w:tc>
        <w:tc>
          <w:tcPr>
            <w:tcW w:w="5963" w:type="dxa"/>
            <w:vAlign w:val="center"/>
          </w:tcPr>
          <w:p w14:paraId="22E43A7C">
            <w:pPr>
              <w:spacing w:line="360" w:lineRule="auto"/>
              <w:rPr>
                <w:rFonts w:ascii="宋体" w:hAnsi="宋体" w:cs="宋体"/>
                <w:szCs w:val="21"/>
                <w:u w:val="single"/>
              </w:rPr>
            </w:pPr>
            <w:r>
              <w:rPr>
                <w:rFonts w:hint="eastAsia" w:ascii="宋体" w:hAnsi="宋体" w:cs="宋体"/>
                <w:szCs w:val="21"/>
              </w:rPr>
              <w:t>公示媒介：</w:t>
            </w:r>
            <w:r>
              <w:rPr>
                <w:rFonts w:hint="eastAsia" w:ascii="宋体" w:hAnsi="宋体" w:cs="宋体"/>
                <w:szCs w:val="21"/>
                <w:u w:val="single"/>
              </w:rPr>
              <w:t>中国招标投标公共服务平台、广东省招标投标监管网、</w:t>
            </w:r>
            <w:r>
              <w:rPr>
                <w:rFonts w:hint="eastAsia" w:ascii="宋体" w:hAnsi="宋体" w:cs="宋体"/>
                <w:szCs w:val="21"/>
                <w:u w:val="single"/>
                <w:lang w:eastAsia="zh-CN"/>
              </w:rPr>
              <w:t>广州交易集团有限公司(广州公共资源交易中心)</w:t>
            </w:r>
            <w:r>
              <w:rPr>
                <w:rFonts w:hint="eastAsia" w:ascii="宋体" w:hAnsi="宋体" w:cs="宋体"/>
                <w:szCs w:val="21"/>
                <w:u w:val="single"/>
              </w:rPr>
              <w:t>网站。</w:t>
            </w:r>
          </w:p>
          <w:p w14:paraId="28A46D42">
            <w:pPr>
              <w:spacing w:line="360" w:lineRule="auto"/>
              <w:rPr>
                <w:rFonts w:ascii="宋体" w:hAnsi="宋体" w:cs="宋体"/>
                <w:szCs w:val="21"/>
                <w:u w:val="single"/>
              </w:rPr>
            </w:pPr>
            <w:r>
              <w:rPr>
                <w:rFonts w:hint="eastAsia" w:ascii="宋体" w:hAnsi="宋体" w:cs="宋体"/>
                <w:szCs w:val="21"/>
              </w:rPr>
              <w:t>公示期限：</w:t>
            </w:r>
            <w:r>
              <w:rPr>
                <w:rFonts w:hint="eastAsia" w:ascii="宋体" w:hAnsi="宋体" w:cs="宋体"/>
                <w:szCs w:val="21"/>
                <w:u w:val="single"/>
              </w:rPr>
              <w:t>3</w:t>
            </w:r>
            <w:r>
              <w:rPr>
                <w:rFonts w:hint="eastAsia" w:ascii="宋体" w:hAnsi="宋体" w:cs="宋体"/>
                <w:szCs w:val="21"/>
              </w:rPr>
              <w:t>日，公示期限最后一天为工作日。</w:t>
            </w:r>
          </w:p>
        </w:tc>
      </w:tr>
      <w:tr w14:paraId="0BDB3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88" w:type="dxa"/>
            <w:vAlign w:val="center"/>
          </w:tcPr>
          <w:p w14:paraId="6E71F6BF">
            <w:pPr>
              <w:spacing w:line="360" w:lineRule="auto"/>
              <w:jc w:val="center"/>
              <w:rPr>
                <w:rFonts w:ascii="宋体" w:hAnsi="宋体" w:cs="宋体"/>
                <w:szCs w:val="21"/>
              </w:rPr>
            </w:pPr>
            <w:r>
              <w:rPr>
                <w:rFonts w:hint="eastAsia" w:ascii="宋体" w:hAnsi="宋体" w:cs="宋体"/>
                <w:szCs w:val="21"/>
              </w:rPr>
              <w:t>7.4</w:t>
            </w:r>
          </w:p>
        </w:tc>
        <w:tc>
          <w:tcPr>
            <w:tcW w:w="2455" w:type="dxa"/>
            <w:vAlign w:val="center"/>
          </w:tcPr>
          <w:p w14:paraId="251402E9">
            <w:pPr>
              <w:spacing w:line="360" w:lineRule="auto"/>
              <w:jc w:val="center"/>
              <w:rPr>
                <w:rFonts w:ascii="宋体" w:hAnsi="宋体" w:cs="宋体"/>
                <w:szCs w:val="21"/>
              </w:rPr>
            </w:pPr>
            <w:r>
              <w:rPr>
                <w:rFonts w:hint="eastAsia" w:ascii="宋体" w:hAnsi="宋体" w:cs="宋体"/>
                <w:szCs w:val="21"/>
              </w:rPr>
              <w:t>是否授权评标委员会确定中标人</w:t>
            </w:r>
          </w:p>
        </w:tc>
        <w:tc>
          <w:tcPr>
            <w:tcW w:w="5963" w:type="dxa"/>
            <w:vAlign w:val="center"/>
          </w:tcPr>
          <w:p w14:paraId="0BC07280">
            <w:pPr>
              <w:pStyle w:val="41"/>
              <w:spacing w:line="360" w:lineRule="auto"/>
              <w:jc w:val="left"/>
              <w:rPr>
                <w:rFonts w:ascii="宋体" w:hAnsi="宋体" w:cs="宋体"/>
                <w:b w:val="0"/>
                <w:bCs/>
                <w:szCs w:val="21"/>
              </w:rPr>
            </w:pPr>
            <w:r>
              <w:rPr>
                <w:rFonts w:hint="eastAsia" w:ascii="宋体" w:hAnsi="宋体" w:cs="宋体"/>
                <w:b w:val="0"/>
                <w:bCs/>
                <w:szCs w:val="21"/>
              </w:rPr>
              <w:t>□是</w:t>
            </w:r>
          </w:p>
          <w:p w14:paraId="70F54168">
            <w:pPr>
              <w:pStyle w:val="41"/>
              <w:spacing w:line="360" w:lineRule="auto"/>
              <w:jc w:val="left"/>
              <w:rPr>
                <w:rFonts w:ascii="宋体" w:hAnsi="宋体" w:cs="宋体"/>
                <w:szCs w:val="21"/>
              </w:rPr>
            </w:pPr>
            <w:r>
              <w:rPr>
                <w:rFonts w:hint="eastAsia" w:ascii="宋体" w:hAnsi="宋体" w:cs="宋体"/>
                <w:b w:val="0"/>
                <w:bCs/>
                <w:szCs w:val="21"/>
              </w:rPr>
              <w:fldChar w:fldCharType="begin"/>
            </w:r>
            <w:r>
              <w:rPr>
                <w:rFonts w:hint="eastAsia" w:ascii="宋体" w:hAnsi="宋体" w:cs="宋体"/>
                <w:b w:val="0"/>
                <w:bCs/>
                <w:szCs w:val="21"/>
              </w:rPr>
              <w:instrText xml:space="preserve"> eq \o\ac(□</w:instrText>
            </w:r>
            <w:r>
              <w:rPr>
                <w:rFonts w:hint="eastAsia" w:ascii="宋体" w:hAnsi="宋体" w:cs="宋体"/>
                <w:b w:val="0"/>
                <w:bCs/>
                <w:position w:val="2"/>
                <w:sz w:val="14"/>
                <w:szCs w:val="21"/>
              </w:rPr>
              <w:instrText xml:space="preserve">,</w:instrText>
            </w:r>
            <w:r>
              <w:rPr>
                <w:rFonts w:hint="eastAsia" w:ascii="宋体" w:hAnsi="宋体" w:cs="宋体"/>
                <w:b w:val="0"/>
                <w:bCs/>
                <w:szCs w:val="21"/>
              </w:rPr>
              <w:instrText xml:space="preserve">√)</w:instrText>
            </w:r>
            <w:r>
              <w:rPr>
                <w:rFonts w:hint="eastAsia" w:ascii="宋体" w:hAnsi="宋体" w:cs="宋体"/>
                <w:b w:val="0"/>
                <w:bCs/>
                <w:szCs w:val="21"/>
              </w:rPr>
              <w:fldChar w:fldCharType="end"/>
            </w:r>
            <w:r>
              <w:rPr>
                <w:rFonts w:hint="eastAsia" w:ascii="宋体" w:hAnsi="宋体" w:cs="宋体"/>
                <w:b w:val="0"/>
                <w:bCs/>
                <w:szCs w:val="21"/>
              </w:rPr>
              <w:t>否，</w:t>
            </w:r>
            <w:r>
              <w:rPr>
                <w:rFonts w:hint="eastAsia" w:ascii="宋体" w:hAnsi="宋体" w:cs="宋体"/>
                <w:b w:val="0"/>
                <w:bCs/>
                <w:szCs w:val="21"/>
                <w:u w:val="single"/>
              </w:rPr>
              <w:t>由招标人确定评标委员会推荐的排名第一的中标候选人为中标</w:t>
            </w:r>
            <w:r>
              <w:rPr>
                <w:rFonts w:hint="eastAsia" w:ascii="宋体" w:hAnsi="宋体" w:cs="宋体"/>
                <w:b w:val="0"/>
                <w:szCs w:val="21"/>
                <w:u w:val="single"/>
              </w:rPr>
              <w:t>人。如排名第一的中标候选人放弃中标或因不可抗力提出不能履行合同或者存在违法行为被有关部门依法查处等情形，且其违法行为影响中标结果的，则确定排名第二的中标候选人递上为中标人；如排名第二的中标候选人也发生上述情形的，则确定排名第三的中标候选人为中标人。</w:t>
            </w:r>
          </w:p>
        </w:tc>
      </w:tr>
      <w:tr w14:paraId="5BE2A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14:paraId="744273A7">
            <w:pPr>
              <w:spacing w:line="360" w:lineRule="auto"/>
              <w:jc w:val="center"/>
              <w:rPr>
                <w:rFonts w:ascii="宋体" w:hAnsi="宋体" w:cs="宋体"/>
                <w:szCs w:val="21"/>
              </w:rPr>
            </w:pPr>
            <w:r>
              <w:rPr>
                <w:rFonts w:hint="eastAsia" w:ascii="宋体" w:hAnsi="宋体" w:cs="宋体"/>
                <w:szCs w:val="21"/>
              </w:rPr>
              <w:t>7.6.1</w:t>
            </w:r>
          </w:p>
        </w:tc>
        <w:tc>
          <w:tcPr>
            <w:tcW w:w="2455" w:type="dxa"/>
            <w:vAlign w:val="center"/>
          </w:tcPr>
          <w:p w14:paraId="345BBAC4">
            <w:pPr>
              <w:spacing w:line="360" w:lineRule="auto"/>
              <w:jc w:val="center"/>
              <w:rPr>
                <w:rFonts w:ascii="宋体" w:hAnsi="宋体" w:cs="宋体"/>
                <w:szCs w:val="21"/>
              </w:rPr>
            </w:pPr>
            <w:r>
              <w:rPr>
                <w:rFonts w:hint="eastAsia" w:ascii="宋体" w:hAnsi="宋体" w:cs="宋体"/>
                <w:szCs w:val="21"/>
              </w:rPr>
              <w:t>履约保证金</w:t>
            </w:r>
          </w:p>
        </w:tc>
        <w:tc>
          <w:tcPr>
            <w:tcW w:w="5963" w:type="dxa"/>
            <w:vAlign w:val="center"/>
          </w:tcPr>
          <w:p w14:paraId="3E18B6A9">
            <w:pPr>
              <w:spacing w:line="360" w:lineRule="auto"/>
              <w:rPr>
                <w:rFonts w:ascii="宋体" w:hAnsi="宋体" w:cs="宋体"/>
                <w:szCs w:val="21"/>
              </w:rPr>
            </w:pPr>
            <w:r>
              <w:rPr>
                <w:rFonts w:hint="eastAsia" w:ascii="宋体" w:hAnsi="宋体" w:cs="宋体"/>
                <w:szCs w:val="21"/>
              </w:rPr>
              <w:t>是否要求中标人提交履约保证金：</w:t>
            </w:r>
          </w:p>
          <w:p w14:paraId="44629DDC">
            <w:pPr>
              <w:numPr>
                <w:ilvl w:val="-1"/>
                <w:numId w:val="0"/>
              </w:numPr>
              <w:spacing w:line="360" w:lineRule="auto"/>
              <w:ind w:firstLine="0" w:firstLineChars="0"/>
              <w:rPr>
                <w:rFonts w:hint="eastAsia" w:ascii="宋体" w:hAnsi="宋体" w:eastAsia="宋体" w:cs="宋体"/>
                <w:szCs w:val="21"/>
                <w:lang w:eastAsia="zh-CN"/>
              </w:rPr>
            </w:pPr>
            <w:r>
              <w:rPr>
                <w:rFonts w:hint="eastAsia" w:ascii="宋体" w:hAnsi="宋体" w:cs="宋体"/>
                <w:szCs w:val="21"/>
              </w:rPr>
              <w:fldChar w:fldCharType="begin"/>
            </w:r>
            <w:r>
              <w:rPr>
                <w:rFonts w:hint="eastAsia" w:ascii="宋体" w:hAnsi="宋体" w:cs="宋体"/>
                <w:szCs w:val="21"/>
              </w:rPr>
              <w:instrText xml:space="preserve"> eq \o\ac(□</w:instrText>
            </w:r>
            <w:r>
              <w:rPr>
                <w:rFonts w:hint="eastAsia" w:ascii="宋体" w:hAnsi="宋体" w:cs="宋体"/>
                <w:szCs w:val="21"/>
                <w:lang w:eastAsia="zh-CN"/>
              </w:rPr>
              <w:instrText xml:space="preserve">,</w:instrText>
            </w:r>
            <w:r>
              <w:rPr>
                <w:rFonts w:hint="eastAsia" w:ascii="宋体" w:hAnsi="宋体" w:cs="宋体"/>
                <w:position w:val="2"/>
                <w:sz w:val="13"/>
                <w:szCs w:val="21"/>
                <w:lang w:eastAsia="zh-CN"/>
              </w:rPr>
              <w:instrText xml:space="preserve">√</w:instrText>
            </w:r>
            <w:r>
              <w:rPr>
                <w:rFonts w:hint="eastAsia" w:ascii="宋体" w:hAnsi="宋体" w:cs="宋体"/>
                <w:szCs w:val="21"/>
                <w:lang w:eastAsia="zh-CN"/>
              </w:rPr>
              <w:instrText xml:space="preserve">,</w:instrText>
            </w:r>
            <w:r>
              <w:rPr>
                <w:rFonts w:hint="eastAsia" w:ascii="宋体" w:hAnsi="宋体" w:cs="宋体"/>
                <w:position w:val="2"/>
                <w:sz w:val="13"/>
                <w:szCs w:val="21"/>
                <w:lang w:eastAsia="zh-CN"/>
              </w:rPr>
              <w:instrText xml:space="preserve">√</w:instrText>
            </w:r>
            <w:r>
              <w:rPr>
                <w:rFonts w:hint="eastAsia" w:ascii="宋体" w:hAnsi="宋体" w:cs="宋体"/>
                <w:szCs w:val="21"/>
              </w:rPr>
              <w:instrText xml:space="preserve">)</w:instrText>
            </w:r>
            <w:r>
              <w:rPr>
                <w:rFonts w:hint="eastAsia" w:ascii="宋体" w:hAnsi="宋体" w:cs="宋体"/>
                <w:szCs w:val="21"/>
              </w:rPr>
              <w:fldChar w:fldCharType="end"/>
            </w:r>
            <w:r>
              <w:rPr>
                <w:rFonts w:hint="eastAsia" w:ascii="宋体" w:hAnsi="宋体" w:cs="宋体"/>
                <w:szCs w:val="21"/>
              </w:rPr>
              <w:t>要求</w:t>
            </w:r>
            <w:r>
              <w:rPr>
                <w:rFonts w:hint="eastAsia" w:ascii="宋体" w:hAnsi="宋体" w:cs="宋体"/>
                <w:szCs w:val="21"/>
                <w:lang w:eastAsia="zh-CN"/>
              </w:rPr>
              <w:t>：</w:t>
            </w:r>
            <w:r>
              <w:rPr>
                <w:rFonts w:hint="eastAsia" w:ascii="宋体" w:hAnsi="宋体" w:cs="宋体"/>
                <w:color w:val="auto"/>
                <w:szCs w:val="21"/>
                <w:highlight w:val="none"/>
              </w:rPr>
              <w:t>履约保证金为中标价款的10%。可以以现金转账、银行保函形式或履约保证保险等有效方式向招标人递交履约担保；如果中标人的履约担保是以银行保函的形式提供，则该银行保函应由在中国注册的银行开具。（若中标人不提交，招标人有权取消其中标资格</w:t>
            </w:r>
            <w:r>
              <w:rPr>
                <w:rFonts w:hint="eastAsia" w:ascii="宋体" w:hAnsi="宋体" w:cs="宋体"/>
                <w:strike w:val="0"/>
                <w:color w:val="auto"/>
                <w:szCs w:val="21"/>
                <w:highlight w:val="none"/>
                <w:lang w:val="en-US" w:eastAsia="zh-CN"/>
              </w:rPr>
              <w:t>及</w:t>
            </w:r>
            <w:r>
              <w:rPr>
                <w:rFonts w:hint="eastAsia" w:ascii="宋体" w:hAnsi="宋体" w:cs="宋体"/>
                <w:strike w:val="0"/>
                <w:color w:val="auto"/>
                <w:szCs w:val="21"/>
                <w:highlight w:val="none"/>
                <w:u w:val="single"/>
              </w:rPr>
              <w:t>有权根据《关于投标保证金的承诺》，要求投标人足额补交投标保证金，其补交的投标保证金不予退还。</w:t>
            </w:r>
            <w:r>
              <w:rPr>
                <w:rFonts w:hint="eastAsia" w:ascii="宋体" w:hAnsi="宋体" w:cs="宋体"/>
                <w:color w:val="auto"/>
                <w:szCs w:val="21"/>
                <w:highlight w:val="none"/>
              </w:rPr>
              <w:t>中标人需确保银行保函或保证保险在工程竣工前有效。）</w:t>
            </w:r>
          </w:p>
          <w:p w14:paraId="6F3EEBA2">
            <w:pPr>
              <w:spacing w:line="360" w:lineRule="auto"/>
              <w:rPr>
                <w:rFonts w:ascii="宋体" w:hAnsi="宋体" w:cs="宋体"/>
                <w:szCs w:val="21"/>
              </w:rPr>
            </w:pPr>
            <w:r>
              <w:rPr>
                <w:rFonts w:hint="eastAsia" w:ascii="宋体" w:hAnsi="宋体"/>
                <w:color w:val="auto"/>
                <w:sz w:val="21"/>
                <w:szCs w:val="21"/>
                <w:highlight w:val="none"/>
                <w:lang w:eastAsia="zh-CN"/>
              </w:rPr>
              <w:t>□</w:t>
            </w:r>
            <w:r>
              <w:rPr>
                <w:rFonts w:hint="eastAsia" w:ascii="宋体" w:hAnsi="宋体" w:cs="宋体"/>
                <w:szCs w:val="21"/>
              </w:rPr>
              <w:t>不要求</w:t>
            </w:r>
          </w:p>
        </w:tc>
      </w:tr>
      <w:tr w14:paraId="17566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14:paraId="20797F4D">
            <w:pPr>
              <w:spacing w:line="360" w:lineRule="auto"/>
              <w:jc w:val="center"/>
              <w:rPr>
                <w:rFonts w:ascii="宋体" w:hAnsi="宋体" w:cs="宋体"/>
                <w:szCs w:val="21"/>
              </w:rPr>
            </w:pPr>
            <w:r>
              <w:rPr>
                <w:rFonts w:hint="eastAsia" w:ascii="宋体" w:hAnsi="宋体" w:cs="宋体"/>
                <w:szCs w:val="21"/>
              </w:rPr>
              <w:t>9</w:t>
            </w:r>
          </w:p>
        </w:tc>
        <w:tc>
          <w:tcPr>
            <w:tcW w:w="2455" w:type="dxa"/>
            <w:vAlign w:val="center"/>
          </w:tcPr>
          <w:p w14:paraId="70157533">
            <w:pPr>
              <w:spacing w:line="360" w:lineRule="auto"/>
              <w:jc w:val="center"/>
              <w:rPr>
                <w:rFonts w:ascii="宋体" w:hAnsi="宋体" w:cs="宋体"/>
                <w:szCs w:val="21"/>
              </w:rPr>
            </w:pPr>
            <w:r>
              <w:rPr>
                <w:rFonts w:hint="eastAsia" w:ascii="宋体" w:hAnsi="宋体" w:cs="宋体"/>
                <w:szCs w:val="21"/>
              </w:rPr>
              <w:t>是否采用电子招标投标</w:t>
            </w:r>
          </w:p>
        </w:tc>
        <w:tc>
          <w:tcPr>
            <w:tcW w:w="5963" w:type="dxa"/>
            <w:vAlign w:val="center"/>
          </w:tcPr>
          <w:p w14:paraId="442AB7BA">
            <w:pPr>
              <w:rPr>
                <w:rFonts w:ascii="宋体" w:hAnsi="宋体" w:eastAsia="宋体" w:cs="宋体"/>
                <w:color w:val="auto"/>
                <w:sz w:val="21"/>
                <w:szCs w:val="21"/>
                <w:highlight w:val="none"/>
                <w:lang w:eastAsia="zh-CN"/>
              </w:rPr>
            </w:pPr>
            <w:r>
              <w:rPr>
                <w:rFonts w:hint="eastAsia" w:ascii="宋体" w:hAnsi="宋体"/>
                <w:color w:val="auto"/>
                <w:sz w:val="21"/>
                <w:szCs w:val="21"/>
                <w:highlight w:val="none"/>
                <w:lang w:eastAsia="zh-CN"/>
              </w:rPr>
              <w:t>□</w:t>
            </w:r>
            <w:r>
              <w:rPr>
                <w:rFonts w:ascii="宋体" w:hAnsi="宋体" w:eastAsia="宋体" w:cs="宋体"/>
                <w:color w:val="auto"/>
                <w:sz w:val="21"/>
                <w:szCs w:val="21"/>
                <w:highlight w:val="none"/>
                <w:lang w:eastAsia="zh-CN"/>
              </w:rPr>
              <w:t>否</w:t>
            </w:r>
          </w:p>
          <w:p w14:paraId="499DAF2F">
            <w:pPr>
              <w:rPr>
                <w:rFonts w:hint="eastAsia" w:ascii="宋体" w:hAnsi="宋体" w:eastAsia="宋体" w:cs="宋体"/>
                <w:color w:val="auto"/>
                <w:sz w:val="21"/>
                <w:szCs w:val="21"/>
                <w:highlight w:val="none"/>
                <w:lang w:eastAsia="zh-CN"/>
              </w:rPr>
            </w:pPr>
            <w:r>
              <w:rPr>
                <w:rFonts w:hint="eastAsia" w:ascii="宋体" w:hAnsi="宋体" w:cs="宋体"/>
                <w:szCs w:val="21"/>
              </w:rPr>
              <w:fldChar w:fldCharType="begin"/>
            </w:r>
            <w:r>
              <w:rPr>
                <w:rFonts w:hint="eastAsia" w:ascii="宋体" w:hAnsi="宋体" w:cs="宋体"/>
                <w:szCs w:val="21"/>
              </w:rPr>
              <w:instrText xml:space="preserve"> eq \o\ac(□</w:instrText>
            </w:r>
            <w:r>
              <w:rPr>
                <w:rFonts w:hint="eastAsia" w:ascii="宋体" w:hAnsi="宋体" w:cs="宋体"/>
                <w:position w:val="2"/>
                <w:sz w:val="14"/>
                <w:szCs w:val="21"/>
              </w:rPr>
              <w:instrText xml:space="preserve">,</w:instrText>
            </w:r>
            <w:r>
              <w:rPr>
                <w:rFonts w:hint="eastAsia" w:ascii="宋体" w:hAnsi="宋体" w:cs="宋体"/>
                <w:szCs w:val="21"/>
              </w:rPr>
              <w:instrText xml:space="preserve">√)</w:instrText>
            </w:r>
            <w:r>
              <w:rPr>
                <w:rFonts w:hint="eastAsia" w:ascii="宋体" w:hAnsi="宋体" w:cs="宋体"/>
                <w:szCs w:val="21"/>
              </w:rPr>
              <w:fldChar w:fldCharType="end"/>
            </w:r>
            <w:r>
              <w:rPr>
                <w:rFonts w:ascii="宋体" w:hAnsi="宋体" w:eastAsia="宋体" w:cs="宋体"/>
                <w:color w:val="auto"/>
                <w:sz w:val="21"/>
                <w:szCs w:val="21"/>
                <w:highlight w:val="none"/>
                <w:lang w:eastAsia="zh-CN"/>
              </w:rPr>
              <w:t>是，具体要求：</w:t>
            </w:r>
          </w:p>
          <w:p w14:paraId="08E9B208">
            <w:pPr>
              <w:numPr>
                <w:ilvl w:val="0"/>
                <w:numId w:val="1"/>
              </w:numPr>
              <w:spacing w:line="360" w:lineRule="auto"/>
              <w:rPr>
                <w:rFonts w:hint="eastAsia" w:ascii="宋体" w:hAnsi="宋体" w:eastAsia="宋体"/>
                <w:color w:val="auto"/>
                <w:sz w:val="21"/>
                <w:szCs w:val="21"/>
                <w:highlight w:val="none"/>
                <w:u w:val="single"/>
                <w:lang w:eastAsia="zh-CN"/>
              </w:rPr>
            </w:pPr>
            <w:r>
              <w:rPr>
                <w:rFonts w:hint="eastAsia" w:ascii="宋体" w:hAnsi="宋体" w:eastAsia="宋体"/>
                <w:color w:val="auto"/>
                <w:sz w:val="21"/>
                <w:szCs w:val="21"/>
                <w:highlight w:val="none"/>
                <w:u w:val="single"/>
                <w:lang w:eastAsia="zh-CN"/>
              </w:rPr>
              <w:t>具体操作详见</w:t>
            </w:r>
            <w:r>
              <w:rPr>
                <w:rFonts w:hint="eastAsia" w:hAnsi="宋体"/>
                <w:color w:val="auto"/>
                <w:sz w:val="21"/>
                <w:szCs w:val="21"/>
                <w:highlight w:val="none"/>
                <w:u w:val="single"/>
                <w:lang w:eastAsia="zh-CN"/>
              </w:rPr>
              <w:t>广州交易集团有限公司(广州公共资源交易中心)网站相关栏目发布的</w:t>
            </w:r>
            <w:r>
              <w:rPr>
                <w:rFonts w:hint="eastAsia" w:ascii="宋体" w:hAnsi="宋体" w:eastAsia="宋体"/>
                <w:color w:val="auto"/>
                <w:sz w:val="21"/>
                <w:szCs w:val="21"/>
                <w:highlight w:val="none"/>
                <w:u w:val="single"/>
                <w:lang w:eastAsia="zh-CN"/>
              </w:rPr>
              <w:t>《建设工程全流程电子化项目操作指南》。</w:t>
            </w:r>
          </w:p>
          <w:p w14:paraId="330C8625">
            <w:pPr>
              <w:spacing w:line="360" w:lineRule="exact"/>
              <w:rPr>
                <w:rFonts w:hint="eastAsia" w:ascii="宋体" w:hAnsi="宋体" w:cs="宋体"/>
                <w:color w:val="auto"/>
                <w:szCs w:val="21"/>
                <w:highlight w:val="none"/>
                <w:u w:val="single"/>
              </w:rPr>
            </w:pPr>
            <w:r>
              <w:rPr>
                <w:rFonts w:hint="eastAsia" w:ascii="宋体" w:hAnsi="宋体" w:cs="宋体"/>
                <w:color w:val="auto"/>
                <w:szCs w:val="21"/>
                <w:highlight w:val="none"/>
                <w:u w:val="single"/>
              </w:rPr>
              <w:t>2、提交投标文件光盘备用</w:t>
            </w:r>
          </w:p>
          <w:p w14:paraId="0982720D">
            <w:pPr>
              <w:spacing w:line="360" w:lineRule="exact"/>
              <w:rPr>
                <w:rFonts w:hint="eastAsia" w:ascii="宋体" w:hAnsi="宋体" w:cs="宋体"/>
                <w:color w:val="auto"/>
                <w:szCs w:val="21"/>
                <w:highlight w:val="none"/>
                <w:u w:val="single"/>
              </w:rPr>
            </w:pPr>
            <w:r>
              <w:rPr>
                <w:rFonts w:hint="eastAsia" w:ascii="宋体" w:hAnsi="宋体" w:cs="宋体"/>
                <w:color w:val="auto"/>
                <w:szCs w:val="21"/>
                <w:highlight w:val="none"/>
                <w:u w:val="single"/>
              </w:rPr>
              <w:t>投标人可制作非加密的电子投标文件（PDF格式）刻入光盘（1份），在招标公告规定的时间、地点提交备用。刻录好的投标文件光盘密封在密封袋中，并在封口处加盖投标人单位公章。密封袋上应写明的内容见投标人须知前附表要求4.1.2。递交的投标文件光盘（备用）不得加密。备用光盘无法读取或导入的，则视为未提交投标文件光盘（备用）。如果投标人没有按规定通过交易平台网上递交电子投标文件的，不再读取提交的光盘。投标人也可不提交投标文件光盘（备用）。</w:t>
            </w:r>
          </w:p>
          <w:p w14:paraId="59007C06">
            <w:pPr>
              <w:spacing w:line="360" w:lineRule="exact"/>
              <w:rPr>
                <w:rFonts w:hint="eastAsia" w:ascii="宋体" w:hAnsi="宋体" w:cs="宋体"/>
                <w:color w:val="auto"/>
                <w:szCs w:val="21"/>
                <w:highlight w:val="none"/>
                <w:u w:val="single"/>
              </w:rPr>
            </w:pPr>
            <w:r>
              <w:rPr>
                <w:rFonts w:hint="eastAsia" w:ascii="宋体" w:hAnsi="宋体" w:cs="宋体"/>
                <w:color w:val="auto"/>
                <w:szCs w:val="21"/>
                <w:highlight w:val="none"/>
                <w:u w:val="single"/>
              </w:rPr>
              <w:t>3、补救方案</w:t>
            </w:r>
          </w:p>
          <w:p w14:paraId="743AA2A4">
            <w:pPr>
              <w:spacing w:line="360" w:lineRule="exact"/>
              <w:rPr>
                <w:rFonts w:hint="eastAsia" w:ascii="宋体" w:hAnsi="宋体" w:cs="宋体"/>
                <w:color w:val="auto"/>
                <w:szCs w:val="21"/>
                <w:highlight w:val="none"/>
                <w:u w:val="single"/>
              </w:rPr>
            </w:pPr>
            <w:r>
              <w:rPr>
                <w:rFonts w:hint="eastAsia" w:ascii="宋体" w:hAnsi="宋体" w:cs="宋体"/>
                <w:color w:val="auto"/>
                <w:szCs w:val="21"/>
                <w:highlight w:val="none"/>
                <w:u w:val="single"/>
              </w:rPr>
              <w:t>（1）投标文件解密失败的补救方案：</w:t>
            </w:r>
          </w:p>
          <w:p w14:paraId="2717FAAB">
            <w:pPr>
              <w:spacing w:line="360" w:lineRule="exact"/>
              <w:rPr>
                <w:rFonts w:hint="eastAsia" w:ascii="宋体" w:hAnsi="宋体" w:cs="宋体"/>
                <w:color w:val="auto"/>
                <w:szCs w:val="21"/>
                <w:highlight w:val="none"/>
                <w:u w:val="single"/>
              </w:rPr>
            </w:pPr>
            <w:r>
              <w:rPr>
                <w:rFonts w:hint="eastAsia" w:ascii="宋体" w:hAnsi="宋体" w:cs="宋体"/>
                <w:color w:val="auto"/>
                <w:szCs w:val="21"/>
                <w:highlight w:val="none"/>
                <w:u w:val="single"/>
              </w:rPr>
              <w:t>在规定时间内，因投标人之外原因（指网络瘫痪、服务器损坏、交易系统故障短期无法恢复）导致的电子投标文件解密失败，在开标现场读取光盘内容，继续开标程序。评标委员会对其投标文件的评审以光盘内容为准。因投标人之外原因解密失败且未递交电子光盘的，视为撤回投标文件。</w:t>
            </w:r>
          </w:p>
          <w:p w14:paraId="02E0B7ED">
            <w:pPr>
              <w:spacing w:line="360" w:lineRule="exact"/>
              <w:rPr>
                <w:rFonts w:hint="eastAsia" w:ascii="宋体" w:hAnsi="宋体" w:cs="宋体"/>
                <w:color w:val="auto"/>
                <w:szCs w:val="21"/>
                <w:highlight w:val="none"/>
                <w:u w:val="single"/>
              </w:rPr>
            </w:pPr>
            <w:r>
              <w:rPr>
                <w:rFonts w:hint="eastAsia" w:ascii="宋体" w:hAnsi="宋体" w:cs="宋体"/>
                <w:color w:val="auto"/>
                <w:szCs w:val="21"/>
                <w:highlight w:val="none"/>
                <w:u w:val="single"/>
              </w:rPr>
              <w:t>（2）评标时突发情况的补救方案</w:t>
            </w:r>
          </w:p>
          <w:p w14:paraId="47A3A8D9">
            <w:pPr>
              <w:spacing w:line="360" w:lineRule="exact"/>
              <w:rPr>
                <w:rFonts w:hint="eastAsia" w:ascii="宋体" w:hAnsi="宋体" w:cs="宋体"/>
                <w:color w:val="auto"/>
                <w:szCs w:val="21"/>
                <w:highlight w:val="none"/>
                <w:u w:val="single"/>
              </w:rPr>
            </w:pPr>
            <w:r>
              <w:rPr>
                <w:rFonts w:hint="eastAsia" w:ascii="宋体" w:hAnsi="宋体" w:cs="宋体"/>
                <w:color w:val="auto"/>
                <w:szCs w:val="21"/>
                <w:highlight w:val="none"/>
                <w:u w:val="single"/>
              </w:rPr>
              <w:t>若遇不可抗力发生（如：网络瘫痪、服务器损坏、交易系统故障短期无法恢复等因素），由评标委员会开启现场递交的全部投标文件光盘，并按光盘内容进行评审。投标人未递交投标文件光盘（备用）的，视为撤回投标文件。</w:t>
            </w:r>
          </w:p>
          <w:p w14:paraId="45656026">
            <w:pPr>
              <w:pStyle w:val="30"/>
              <w:numPr>
                <w:ilvl w:val="0"/>
                <w:numId w:val="0"/>
              </w:numPr>
            </w:pPr>
            <w:r>
              <w:rPr>
                <w:rFonts w:hint="eastAsia" w:ascii="宋体" w:hAnsi="宋体" w:cs="宋体"/>
                <w:color w:val="auto"/>
                <w:szCs w:val="21"/>
                <w:highlight w:val="none"/>
                <w:u w:val="single"/>
              </w:rPr>
              <w:t>（3）除发生上述情况外，开标评标均以投标人通过交易平台网上递交的电子投标文件为准。</w:t>
            </w:r>
          </w:p>
        </w:tc>
      </w:tr>
      <w:tr w14:paraId="6599F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14:paraId="6A054861">
            <w:pPr>
              <w:spacing w:line="360" w:lineRule="auto"/>
              <w:jc w:val="center"/>
              <w:rPr>
                <w:rFonts w:ascii="宋体" w:hAnsi="宋体" w:cs="宋体"/>
                <w:szCs w:val="21"/>
              </w:rPr>
            </w:pPr>
            <w:r>
              <w:rPr>
                <w:rFonts w:hint="eastAsia" w:ascii="宋体" w:hAnsi="宋体" w:cs="宋体"/>
                <w:szCs w:val="21"/>
              </w:rPr>
              <w:t>10</w:t>
            </w:r>
          </w:p>
        </w:tc>
        <w:tc>
          <w:tcPr>
            <w:tcW w:w="8418" w:type="dxa"/>
            <w:gridSpan w:val="2"/>
            <w:vAlign w:val="center"/>
          </w:tcPr>
          <w:p w14:paraId="67B6A9B9">
            <w:pPr>
              <w:spacing w:line="360" w:lineRule="auto"/>
              <w:jc w:val="center"/>
              <w:rPr>
                <w:rFonts w:ascii="宋体" w:hAnsi="宋体" w:cs="宋体"/>
                <w:szCs w:val="21"/>
                <w:u w:val="single"/>
              </w:rPr>
            </w:pPr>
            <w:r>
              <w:rPr>
                <w:rFonts w:hint="eastAsia" w:ascii="宋体" w:hAnsi="宋体" w:cs="宋体"/>
                <w:szCs w:val="21"/>
              </w:rPr>
              <w:t>需要补充的其他内容</w:t>
            </w:r>
          </w:p>
        </w:tc>
      </w:tr>
      <w:tr w14:paraId="36764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188" w:type="dxa"/>
            <w:vAlign w:val="center"/>
          </w:tcPr>
          <w:p w14:paraId="5F40B0DB">
            <w:pPr>
              <w:spacing w:line="360" w:lineRule="auto"/>
              <w:jc w:val="center"/>
              <w:rPr>
                <w:rFonts w:ascii="宋体" w:hAnsi="宋体" w:cs="宋体"/>
                <w:szCs w:val="21"/>
                <w:u w:val="single"/>
              </w:rPr>
            </w:pPr>
            <w:r>
              <w:rPr>
                <w:rFonts w:hint="eastAsia" w:ascii="宋体" w:hAnsi="宋体" w:cs="宋体"/>
                <w:szCs w:val="21"/>
                <w:u w:val="single"/>
              </w:rPr>
              <w:t>10.1</w:t>
            </w:r>
          </w:p>
        </w:tc>
        <w:tc>
          <w:tcPr>
            <w:tcW w:w="2455" w:type="dxa"/>
            <w:vAlign w:val="center"/>
          </w:tcPr>
          <w:p w14:paraId="4FCDB5EC">
            <w:pPr>
              <w:spacing w:line="360" w:lineRule="auto"/>
              <w:jc w:val="center"/>
              <w:rPr>
                <w:rFonts w:ascii="宋体" w:hAnsi="宋体" w:cs="宋体"/>
                <w:szCs w:val="21"/>
              </w:rPr>
            </w:pPr>
            <w:r>
              <w:rPr>
                <w:rFonts w:hint="eastAsia" w:ascii="宋体" w:hAnsi="宋体" w:cs="宋体"/>
                <w:szCs w:val="21"/>
                <w:u w:val="single"/>
              </w:rPr>
              <w:t>招标失败的情形</w:t>
            </w:r>
          </w:p>
        </w:tc>
        <w:tc>
          <w:tcPr>
            <w:tcW w:w="5963" w:type="dxa"/>
            <w:vAlign w:val="center"/>
          </w:tcPr>
          <w:p w14:paraId="21C8FBF3">
            <w:pPr>
              <w:wordWrap w:val="0"/>
              <w:adjustRightInd w:val="0"/>
              <w:snapToGrid w:val="0"/>
              <w:spacing w:line="360" w:lineRule="auto"/>
              <w:rPr>
                <w:rFonts w:ascii="宋体" w:hAnsi="宋体" w:cs="宋体"/>
                <w:szCs w:val="21"/>
              </w:rPr>
            </w:pPr>
            <w:r>
              <w:rPr>
                <w:rFonts w:hint="eastAsia" w:ascii="宋体" w:hAnsi="宋体" w:cs="宋体"/>
                <w:szCs w:val="21"/>
                <w:u w:val="single"/>
              </w:rPr>
              <w:t>本项目采用资格后审方式，满足资格审查合格条件或通过初步评审的投标申请人不足3名视为招标失败。招标人分析招标失败原因，修正招标方案，重新组织招标。</w:t>
            </w:r>
          </w:p>
        </w:tc>
      </w:tr>
      <w:tr w14:paraId="3BDCA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atLeast"/>
          <w:jc w:val="center"/>
        </w:trPr>
        <w:tc>
          <w:tcPr>
            <w:tcW w:w="1188" w:type="dxa"/>
            <w:vAlign w:val="center"/>
          </w:tcPr>
          <w:p w14:paraId="7331DC5E">
            <w:pPr>
              <w:spacing w:line="360" w:lineRule="auto"/>
              <w:jc w:val="center"/>
              <w:rPr>
                <w:rFonts w:ascii="宋体" w:hAnsi="宋体" w:cs="宋体"/>
                <w:szCs w:val="21"/>
                <w:u w:val="single"/>
              </w:rPr>
            </w:pPr>
            <w:r>
              <w:rPr>
                <w:rFonts w:hint="eastAsia" w:ascii="宋体" w:hAnsi="宋体" w:cs="宋体"/>
                <w:szCs w:val="21"/>
                <w:u w:val="single"/>
              </w:rPr>
              <w:t>10.2</w:t>
            </w:r>
          </w:p>
        </w:tc>
        <w:tc>
          <w:tcPr>
            <w:tcW w:w="2455" w:type="dxa"/>
            <w:vAlign w:val="center"/>
          </w:tcPr>
          <w:p w14:paraId="5AE00798">
            <w:pPr>
              <w:spacing w:line="360" w:lineRule="auto"/>
              <w:jc w:val="center"/>
              <w:rPr>
                <w:rFonts w:ascii="宋体" w:hAnsi="宋体" w:cs="宋体"/>
                <w:szCs w:val="21"/>
                <w:u w:val="single"/>
              </w:rPr>
            </w:pPr>
            <w:r>
              <w:rPr>
                <w:rFonts w:hint="eastAsia" w:ascii="宋体" w:hAnsi="宋体" w:cs="宋体"/>
                <w:szCs w:val="21"/>
                <w:u w:val="single"/>
              </w:rPr>
              <w:t>交易服务费</w:t>
            </w:r>
          </w:p>
        </w:tc>
        <w:tc>
          <w:tcPr>
            <w:tcW w:w="5963" w:type="dxa"/>
            <w:vAlign w:val="center"/>
          </w:tcPr>
          <w:p w14:paraId="5F903F63">
            <w:pPr>
              <w:spacing w:line="360" w:lineRule="auto"/>
              <w:rPr>
                <w:rFonts w:ascii="宋体" w:hAnsi="宋体" w:cs="宋体"/>
                <w:szCs w:val="21"/>
                <w:u w:val="single"/>
              </w:rPr>
            </w:pPr>
            <w:r>
              <w:rPr>
                <w:rFonts w:hint="eastAsia" w:ascii="宋体" w:hAnsi="宋体" w:cs="宋体"/>
                <w:szCs w:val="21"/>
                <w:u w:val="single"/>
              </w:rPr>
              <w:t>中标人按《广州市发展改革委转发省发展改革委关于规范公共资源交易服务收费及有关问题的通知》（穗发改〔2017〕811 号）文件的规定，向广州公共资源交易中心代缴交易服务费， 交易服务费的金额为中标总金额的 0.9‰，其费用包含在中标人投标报价中，招标人不另行支付。</w:t>
            </w:r>
          </w:p>
        </w:tc>
      </w:tr>
      <w:tr w14:paraId="07682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188" w:type="dxa"/>
            <w:vAlign w:val="center"/>
          </w:tcPr>
          <w:p w14:paraId="1BB5EF72">
            <w:pPr>
              <w:spacing w:line="360" w:lineRule="auto"/>
              <w:jc w:val="center"/>
              <w:rPr>
                <w:rFonts w:ascii="宋体" w:hAnsi="宋体" w:cs="宋体"/>
                <w:szCs w:val="21"/>
                <w:u w:val="single"/>
              </w:rPr>
            </w:pPr>
            <w:r>
              <w:rPr>
                <w:rFonts w:hint="eastAsia" w:ascii="宋体" w:hAnsi="宋体" w:cs="宋体"/>
                <w:szCs w:val="21"/>
                <w:u w:val="single"/>
              </w:rPr>
              <w:t>10.3</w:t>
            </w:r>
          </w:p>
        </w:tc>
        <w:tc>
          <w:tcPr>
            <w:tcW w:w="2455" w:type="dxa"/>
            <w:vAlign w:val="center"/>
          </w:tcPr>
          <w:p w14:paraId="2DAFA435">
            <w:pPr>
              <w:spacing w:line="360" w:lineRule="auto"/>
              <w:jc w:val="center"/>
              <w:rPr>
                <w:rFonts w:ascii="宋体" w:hAnsi="宋体" w:cs="宋体"/>
                <w:szCs w:val="21"/>
                <w:u w:val="single"/>
              </w:rPr>
            </w:pPr>
            <w:r>
              <w:rPr>
                <w:rFonts w:hint="eastAsia" w:ascii="宋体" w:hAnsi="宋体" w:cs="宋体"/>
                <w:szCs w:val="21"/>
                <w:u w:val="single"/>
              </w:rPr>
              <w:t>中标候选人及中标结果公示</w:t>
            </w:r>
          </w:p>
        </w:tc>
        <w:tc>
          <w:tcPr>
            <w:tcW w:w="5963" w:type="dxa"/>
            <w:vAlign w:val="center"/>
          </w:tcPr>
          <w:p w14:paraId="463B5D25">
            <w:pPr>
              <w:numPr>
                <w:ilvl w:val="0"/>
                <w:numId w:val="2"/>
              </w:numPr>
              <w:spacing w:line="360" w:lineRule="auto"/>
              <w:rPr>
                <w:rFonts w:ascii="宋体" w:hAnsi="宋体" w:cs="宋体"/>
                <w:szCs w:val="21"/>
                <w:u w:val="single"/>
              </w:rPr>
            </w:pPr>
            <w:r>
              <w:rPr>
                <w:rFonts w:hint="eastAsia" w:ascii="宋体" w:hAnsi="宋体" w:cs="宋体"/>
                <w:szCs w:val="21"/>
                <w:u w:val="single"/>
              </w:rPr>
              <w:t>在产生中标候选人后，招标人将中标候选人的投标文件商务部分的电子版（报价清单、方案等涉及商业秘密的内容除外）在</w:t>
            </w:r>
            <w:r>
              <w:rPr>
                <w:rFonts w:hint="eastAsia" w:ascii="宋体" w:hAnsi="宋体" w:cs="宋体"/>
                <w:szCs w:val="21"/>
                <w:u w:val="single"/>
                <w:lang w:eastAsia="zh-CN"/>
              </w:rPr>
              <w:t>广州交易集团有限公司(广州公共资源交易中心)</w:t>
            </w:r>
            <w:r>
              <w:rPr>
                <w:rFonts w:hint="eastAsia" w:ascii="宋体" w:hAnsi="宋体" w:cs="宋体"/>
                <w:szCs w:val="21"/>
                <w:u w:val="single"/>
              </w:rPr>
              <w:t>网站、广东省招标投标监管网等公开。</w:t>
            </w:r>
          </w:p>
          <w:p w14:paraId="6E7130C0">
            <w:pPr>
              <w:spacing w:line="360" w:lineRule="auto"/>
              <w:rPr>
                <w:rFonts w:ascii="宋体" w:hAnsi="宋体" w:cs="宋体"/>
                <w:szCs w:val="21"/>
                <w:u w:val="single"/>
              </w:rPr>
            </w:pPr>
            <w:r>
              <w:rPr>
                <w:rFonts w:hint="eastAsia" w:ascii="宋体" w:hAnsi="宋体" w:cs="宋体"/>
                <w:szCs w:val="21"/>
                <w:u w:val="single"/>
              </w:rPr>
              <w:t>2、确定中标人后，招标人在</w:t>
            </w:r>
            <w:r>
              <w:rPr>
                <w:rFonts w:hint="eastAsia" w:ascii="宋体" w:hAnsi="宋体" w:cs="宋体"/>
                <w:szCs w:val="21"/>
                <w:u w:val="single"/>
                <w:lang w:eastAsia="zh-CN"/>
              </w:rPr>
              <w:t>广州交易集团有限公司(广州公共资源交易中心)</w:t>
            </w:r>
            <w:r>
              <w:rPr>
                <w:rFonts w:hint="eastAsia" w:ascii="宋体" w:hAnsi="宋体" w:cs="宋体"/>
                <w:szCs w:val="21"/>
                <w:u w:val="single"/>
              </w:rPr>
              <w:t>网和广东省招标投标监管网公开中标结果。</w:t>
            </w:r>
          </w:p>
        </w:tc>
      </w:tr>
      <w:tr w14:paraId="4F8B9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14:paraId="42A8B1DF">
            <w:pPr>
              <w:spacing w:line="360" w:lineRule="auto"/>
              <w:jc w:val="center"/>
              <w:rPr>
                <w:rFonts w:ascii="宋体" w:hAnsi="宋体" w:cs="宋体"/>
                <w:szCs w:val="21"/>
                <w:u w:val="single"/>
              </w:rPr>
            </w:pPr>
            <w:r>
              <w:rPr>
                <w:rFonts w:hint="eastAsia" w:ascii="宋体" w:hAnsi="宋体" w:cs="宋体"/>
                <w:szCs w:val="21"/>
                <w:u w:val="single"/>
              </w:rPr>
              <w:t>10.4</w:t>
            </w:r>
          </w:p>
        </w:tc>
        <w:tc>
          <w:tcPr>
            <w:tcW w:w="2455" w:type="dxa"/>
            <w:vAlign w:val="center"/>
          </w:tcPr>
          <w:p w14:paraId="5CBC9991">
            <w:pPr>
              <w:spacing w:line="360" w:lineRule="auto"/>
              <w:jc w:val="center"/>
              <w:rPr>
                <w:rFonts w:ascii="宋体" w:hAnsi="宋体" w:cs="宋体"/>
                <w:szCs w:val="21"/>
                <w:u w:val="single"/>
              </w:rPr>
            </w:pPr>
            <w:r>
              <w:rPr>
                <w:rFonts w:hint="eastAsia" w:ascii="宋体" w:hAnsi="宋体" w:cs="宋体"/>
                <w:szCs w:val="21"/>
                <w:u w:val="single"/>
              </w:rPr>
              <w:t>投标文件公开</w:t>
            </w:r>
          </w:p>
        </w:tc>
        <w:tc>
          <w:tcPr>
            <w:tcW w:w="5963" w:type="dxa"/>
            <w:vAlign w:val="center"/>
          </w:tcPr>
          <w:p w14:paraId="4A5C3C8C">
            <w:pPr>
              <w:spacing w:line="360" w:lineRule="auto"/>
              <w:rPr>
                <w:rFonts w:ascii="宋体" w:hAnsi="宋体" w:cs="宋体"/>
                <w:szCs w:val="21"/>
                <w:u w:val="single"/>
              </w:rPr>
            </w:pPr>
            <w:r>
              <w:rPr>
                <w:rFonts w:hint="eastAsia" w:ascii="宋体" w:hAnsi="宋体" w:cs="宋体"/>
                <w:szCs w:val="21"/>
                <w:u w:val="single"/>
              </w:rPr>
              <w:t>在产生中标候选人后，招标人将中标候选人的投标文件商务部分的电子版（方案等涉及商业秘密的内容除外）在</w:t>
            </w:r>
            <w:r>
              <w:rPr>
                <w:rFonts w:hint="eastAsia" w:ascii="宋体" w:hAnsi="宋体" w:cs="宋体"/>
                <w:szCs w:val="21"/>
                <w:u w:val="single"/>
                <w:lang w:eastAsia="zh-CN"/>
              </w:rPr>
              <w:t>广州交易集团有限公司(广州公共资源交易中心)</w:t>
            </w:r>
            <w:r>
              <w:rPr>
                <w:rFonts w:hint="eastAsia" w:ascii="宋体" w:hAnsi="宋体" w:cs="宋体"/>
                <w:szCs w:val="21"/>
                <w:u w:val="single"/>
              </w:rPr>
              <w:t>网站公开。</w:t>
            </w:r>
          </w:p>
        </w:tc>
      </w:tr>
      <w:tr w14:paraId="7459B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14:paraId="3A30A9BE">
            <w:pPr>
              <w:spacing w:line="360" w:lineRule="auto"/>
              <w:jc w:val="center"/>
              <w:rPr>
                <w:rFonts w:ascii="宋体" w:hAnsi="宋体" w:cs="宋体"/>
                <w:szCs w:val="21"/>
                <w:u w:val="single"/>
              </w:rPr>
            </w:pPr>
            <w:r>
              <w:rPr>
                <w:rFonts w:hint="eastAsia" w:ascii="宋体" w:hAnsi="宋体" w:cs="宋体"/>
                <w:szCs w:val="21"/>
                <w:u w:val="single"/>
              </w:rPr>
              <w:t>10.5</w:t>
            </w:r>
          </w:p>
        </w:tc>
        <w:tc>
          <w:tcPr>
            <w:tcW w:w="2455" w:type="dxa"/>
            <w:vAlign w:val="center"/>
          </w:tcPr>
          <w:p w14:paraId="77ECBEAE">
            <w:pPr>
              <w:spacing w:line="360" w:lineRule="auto"/>
              <w:jc w:val="center"/>
              <w:rPr>
                <w:rFonts w:ascii="宋体" w:hAnsi="宋体" w:cs="宋体"/>
                <w:szCs w:val="21"/>
                <w:u w:val="single"/>
              </w:rPr>
            </w:pPr>
            <w:r>
              <w:rPr>
                <w:rFonts w:hint="eastAsia" w:ascii="宋体" w:hAnsi="宋体" w:cs="宋体"/>
                <w:szCs w:val="21"/>
                <w:u w:val="single"/>
              </w:rPr>
              <w:t>补交纸质投标文件</w:t>
            </w:r>
          </w:p>
        </w:tc>
        <w:tc>
          <w:tcPr>
            <w:tcW w:w="5963" w:type="dxa"/>
            <w:vAlign w:val="center"/>
          </w:tcPr>
          <w:p w14:paraId="505BFF30">
            <w:pPr>
              <w:spacing w:line="360" w:lineRule="auto"/>
              <w:rPr>
                <w:rFonts w:ascii="宋体" w:hAnsi="宋体" w:cs="宋体"/>
                <w:szCs w:val="21"/>
                <w:u w:val="single"/>
              </w:rPr>
            </w:pPr>
            <w:r>
              <w:rPr>
                <w:rFonts w:hint="eastAsia" w:ascii="宋体" w:hAnsi="宋体" w:cs="宋体"/>
                <w:szCs w:val="21"/>
                <w:u w:val="single"/>
              </w:rPr>
              <w:t>中标单位领取中标通知书时，补送</w:t>
            </w:r>
            <w:r>
              <w:rPr>
                <w:rFonts w:hint="eastAsia" w:ascii="宋体" w:hAnsi="宋体" w:cs="宋体"/>
                <w:b/>
                <w:szCs w:val="21"/>
                <w:u w:val="single"/>
              </w:rPr>
              <w:t>一</w:t>
            </w:r>
            <w:r>
              <w:rPr>
                <w:rFonts w:hint="eastAsia" w:ascii="宋体" w:hAnsi="宋体" w:cs="宋体"/>
                <w:b w:val="0"/>
                <w:szCs w:val="21"/>
                <w:u w:val="single"/>
              </w:rPr>
              <w:t>正两副</w:t>
            </w:r>
            <w:r>
              <w:rPr>
                <w:rFonts w:hint="eastAsia" w:ascii="宋体" w:hAnsi="宋体" w:cs="宋体"/>
                <w:szCs w:val="21"/>
                <w:u w:val="single"/>
              </w:rPr>
              <w:t>与交易平台网上递交的电子投标文件一致的</w:t>
            </w:r>
            <w:r>
              <w:rPr>
                <w:rFonts w:hint="eastAsia" w:ascii="宋体" w:hAnsi="宋体" w:cs="宋体"/>
                <w:b/>
                <w:szCs w:val="21"/>
                <w:u w:val="single"/>
              </w:rPr>
              <w:t>书面投标文件（加盖公章）</w:t>
            </w:r>
            <w:r>
              <w:rPr>
                <w:rFonts w:hint="eastAsia" w:ascii="宋体" w:hAnsi="宋体" w:cs="宋体"/>
                <w:szCs w:val="21"/>
                <w:u w:val="single"/>
              </w:rPr>
              <w:t>及一份与书面投标文件一致的用“Microsoft Word ”或“PDF”格式制作的电子文件（光盘）给招标人，相关费用由中标人支付。</w:t>
            </w:r>
          </w:p>
        </w:tc>
      </w:tr>
      <w:tr w14:paraId="3C0E4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14:paraId="30BBDD3D">
            <w:pPr>
              <w:spacing w:line="360" w:lineRule="auto"/>
              <w:jc w:val="center"/>
              <w:rPr>
                <w:rFonts w:ascii="宋体" w:hAnsi="宋体" w:cs="宋体"/>
                <w:szCs w:val="21"/>
                <w:u w:val="single"/>
              </w:rPr>
            </w:pPr>
            <w:r>
              <w:rPr>
                <w:rFonts w:hint="eastAsia" w:ascii="宋体" w:hAnsi="宋体" w:cs="宋体"/>
                <w:szCs w:val="21"/>
                <w:u w:val="single"/>
              </w:rPr>
              <w:t>10.6</w:t>
            </w:r>
          </w:p>
        </w:tc>
        <w:tc>
          <w:tcPr>
            <w:tcW w:w="2455" w:type="dxa"/>
            <w:vAlign w:val="center"/>
          </w:tcPr>
          <w:p w14:paraId="32234D98">
            <w:pPr>
              <w:spacing w:line="360" w:lineRule="auto"/>
              <w:jc w:val="center"/>
              <w:rPr>
                <w:rFonts w:ascii="宋体" w:hAnsi="宋体" w:cs="宋体"/>
                <w:szCs w:val="21"/>
                <w:u w:val="single"/>
              </w:rPr>
            </w:pPr>
            <w:r>
              <w:rPr>
                <w:rFonts w:hint="eastAsia" w:ascii="宋体" w:hAnsi="宋体" w:cs="宋体"/>
                <w:szCs w:val="21"/>
                <w:u w:val="single"/>
              </w:rPr>
              <w:t>否决投标条款</w:t>
            </w:r>
          </w:p>
        </w:tc>
        <w:tc>
          <w:tcPr>
            <w:tcW w:w="5963" w:type="dxa"/>
            <w:vAlign w:val="center"/>
          </w:tcPr>
          <w:p w14:paraId="0F64914B">
            <w:pPr>
              <w:spacing w:line="360" w:lineRule="auto"/>
              <w:rPr>
                <w:rFonts w:ascii="宋体" w:hAnsi="宋体" w:cs="宋体"/>
                <w:szCs w:val="21"/>
                <w:u w:val="single"/>
              </w:rPr>
            </w:pPr>
            <w:r>
              <w:rPr>
                <w:rFonts w:hint="eastAsia" w:ascii="宋体" w:hAnsi="宋体" w:cs="宋体"/>
                <w:szCs w:val="21"/>
                <w:u w:val="single"/>
              </w:rPr>
              <w:t>否决投标条款：</w:t>
            </w:r>
          </w:p>
          <w:p w14:paraId="2026B241">
            <w:pPr>
              <w:snapToGrid w:val="0"/>
              <w:spacing w:line="360" w:lineRule="auto"/>
              <w:jc w:val="left"/>
              <w:rPr>
                <w:rFonts w:ascii="宋体" w:hAnsi="宋体" w:cs="宋体"/>
                <w:szCs w:val="21"/>
                <w:u w:val="single"/>
              </w:rPr>
            </w:pPr>
            <w:r>
              <w:rPr>
                <w:rFonts w:hint="eastAsia" w:ascii="宋体" w:hAnsi="宋体" w:cs="宋体"/>
                <w:szCs w:val="21"/>
                <w:u w:val="single"/>
              </w:rPr>
              <w:t>1、未成功提交投标文件或因投标人原因造成投标文件未解密的。</w:t>
            </w:r>
          </w:p>
          <w:p w14:paraId="07913073">
            <w:pPr>
              <w:snapToGrid w:val="0"/>
              <w:spacing w:line="360" w:lineRule="auto"/>
              <w:jc w:val="left"/>
              <w:rPr>
                <w:rFonts w:ascii="宋体" w:hAnsi="宋体" w:cs="宋体"/>
                <w:szCs w:val="21"/>
                <w:u w:val="single"/>
              </w:rPr>
            </w:pPr>
            <w:r>
              <w:rPr>
                <w:rFonts w:hint="eastAsia" w:ascii="宋体" w:hAnsi="宋体" w:cs="宋体"/>
                <w:szCs w:val="21"/>
                <w:u w:val="single"/>
              </w:rPr>
              <w:t>2、投标人未按投标文件要求提供附件或未按要求加盖电子印章及签名的，经评标委员会认定后，其投标文件将被否决。</w:t>
            </w:r>
          </w:p>
          <w:p w14:paraId="67FC4E2B">
            <w:pPr>
              <w:snapToGrid w:val="0"/>
              <w:spacing w:line="360" w:lineRule="auto"/>
              <w:jc w:val="left"/>
              <w:rPr>
                <w:rFonts w:ascii="宋体" w:hAnsi="宋体" w:cs="宋体"/>
                <w:szCs w:val="21"/>
                <w:u w:val="single"/>
              </w:rPr>
            </w:pPr>
            <w:r>
              <w:rPr>
                <w:rFonts w:hint="eastAsia" w:ascii="宋体" w:hAnsi="宋体" w:cs="宋体"/>
                <w:szCs w:val="21"/>
                <w:u w:val="single"/>
              </w:rPr>
              <w:t>3、投标文件中投标报价高于投标最高限价的，其投标文件将被否决。</w:t>
            </w:r>
          </w:p>
          <w:p w14:paraId="554FAFC5">
            <w:pPr>
              <w:snapToGrid w:val="0"/>
              <w:spacing w:line="360" w:lineRule="auto"/>
              <w:jc w:val="left"/>
              <w:rPr>
                <w:rFonts w:ascii="宋体" w:hAnsi="宋体" w:cs="宋体"/>
                <w:szCs w:val="21"/>
                <w:u w:val="single"/>
              </w:rPr>
            </w:pPr>
            <w:r>
              <w:rPr>
                <w:rFonts w:hint="eastAsia" w:ascii="宋体" w:hAnsi="宋体" w:cs="宋体"/>
                <w:szCs w:val="21"/>
                <w:u w:val="single"/>
              </w:rPr>
              <w:t>4、按投标报价的算术校核原则及方法调整或修正投标文件的投标报价，调整后的投标报价对投标人起约束作用。如果投标人不接受修正后的报价，则取消其中标资格。</w:t>
            </w:r>
          </w:p>
          <w:p w14:paraId="6D1704D6">
            <w:pPr>
              <w:snapToGrid w:val="0"/>
              <w:spacing w:line="360" w:lineRule="auto"/>
              <w:jc w:val="left"/>
              <w:rPr>
                <w:rFonts w:ascii="宋体" w:hAnsi="宋体" w:cs="宋体"/>
                <w:szCs w:val="21"/>
                <w:u w:val="single"/>
              </w:rPr>
            </w:pPr>
            <w:r>
              <w:rPr>
                <w:rFonts w:hint="eastAsia" w:ascii="宋体" w:hAnsi="宋体" w:cs="宋体"/>
                <w:szCs w:val="21"/>
                <w:u w:val="single"/>
              </w:rPr>
              <w:t>5、资审合格后，投标人的资格发生变化而不满足投标人合格条件，在发出中标通知书前，资格问题仍未解决的，招标人将取消其中标资格。</w:t>
            </w:r>
          </w:p>
          <w:p w14:paraId="272171A4">
            <w:pPr>
              <w:snapToGrid w:val="0"/>
              <w:spacing w:line="360" w:lineRule="auto"/>
              <w:jc w:val="left"/>
              <w:rPr>
                <w:rFonts w:ascii="宋体" w:hAnsi="宋体" w:cs="宋体"/>
                <w:szCs w:val="21"/>
                <w:u w:val="single"/>
              </w:rPr>
            </w:pPr>
            <w:r>
              <w:rPr>
                <w:rFonts w:hint="eastAsia" w:ascii="宋体" w:hAnsi="宋体" w:cs="宋体"/>
                <w:szCs w:val="21"/>
                <w:u w:val="single"/>
              </w:rPr>
              <w:t>6、投标人如在本项目中存在串通投标、弄虚作假、行贿情形的，中标无效，该投标人将被招标人列入黑名单并限制其投标。行政监督部门将对其违法行为进行行政处罚并通报。</w:t>
            </w:r>
          </w:p>
          <w:p w14:paraId="491169A2">
            <w:pPr>
              <w:spacing w:line="360" w:lineRule="auto"/>
              <w:rPr>
                <w:rFonts w:ascii="宋体" w:hAnsi="宋体" w:cs="宋体"/>
                <w:szCs w:val="21"/>
                <w:u w:val="single"/>
              </w:rPr>
            </w:pPr>
            <w:r>
              <w:rPr>
                <w:rFonts w:hint="eastAsia" w:ascii="宋体" w:hAnsi="宋体" w:cs="宋体"/>
                <w:szCs w:val="21"/>
                <w:u w:val="single"/>
              </w:rPr>
              <w:t>7、投标文件符合列于《评标办法前附表》“形式评审标准”“资格评审标准”“响应性评审标准”中所有情形的，为有效投标文件。任一情形不符合均为无效投标文件，经评标委员会认定后，其投标文件将被否决。</w:t>
            </w:r>
          </w:p>
        </w:tc>
      </w:tr>
      <w:tr w14:paraId="1C77B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14:paraId="0EE1BB46">
            <w:pPr>
              <w:spacing w:line="360" w:lineRule="auto"/>
              <w:jc w:val="center"/>
              <w:rPr>
                <w:rFonts w:hint="default" w:ascii="宋体" w:hAnsi="宋体" w:eastAsia="宋体" w:cs="宋体"/>
                <w:szCs w:val="21"/>
                <w:u w:val="single"/>
                <w:lang w:val="en-US" w:eastAsia="zh-CN"/>
              </w:rPr>
            </w:pPr>
            <w:r>
              <w:rPr>
                <w:rFonts w:hint="eastAsia" w:ascii="宋体" w:hAnsi="宋体" w:cs="宋体"/>
                <w:szCs w:val="21"/>
                <w:u w:val="single"/>
                <w:lang w:val="en-US" w:eastAsia="zh-CN"/>
              </w:rPr>
              <w:t>10.7</w:t>
            </w:r>
          </w:p>
        </w:tc>
        <w:tc>
          <w:tcPr>
            <w:tcW w:w="2455" w:type="dxa"/>
            <w:vAlign w:val="center"/>
          </w:tcPr>
          <w:p w14:paraId="124804C3">
            <w:pPr>
              <w:widowControl/>
              <w:shd w:val="clear" w:color="auto" w:fill="FFFFFF"/>
              <w:adjustRightInd w:val="0"/>
              <w:spacing w:line="360" w:lineRule="exact"/>
              <w:jc w:val="center"/>
              <w:rPr>
                <w:rFonts w:hint="eastAsia" w:ascii="宋体" w:hAnsi="宋体" w:cs="宋体"/>
                <w:szCs w:val="21"/>
                <w:u w:val="single"/>
              </w:rPr>
            </w:pPr>
            <w:r>
              <w:rPr>
                <w:rFonts w:hint="eastAsia" w:ascii="宋体" w:hAnsi="宋体"/>
                <w:color w:val="auto"/>
                <w:szCs w:val="21"/>
                <w:highlight w:val="none"/>
              </w:rPr>
              <w:t>投标人是否参加开标</w:t>
            </w:r>
          </w:p>
        </w:tc>
        <w:tc>
          <w:tcPr>
            <w:tcW w:w="5963" w:type="dxa"/>
            <w:vAlign w:val="center"/>
          </w:tcPr>
          <w:p w14:paraId="642CECAE">
            <w:pPr>
              <w:widowControl/>
              <w:shd w:val="clear" w:color="auto" w:fill="FFFFFF"/>
              <w:spacing w:line="360" w:lineRule="exact"/>
              <w:jc w:val="left"/>
              <w:rPr>
                <w:rFonts w:hint="eastAsia" w:ascii="宋体" w:hAnsi="宋体" w:cs="宋体"/>
                <w:szCs w:val="21"/>
                <w:u w:val="single"/>
              </w:rPr>
            </w:pPr>
            <w:r>
              <w:rPr>
                <w:rFonts w:hint="eastAsia" w:ascii="宋体" w:hAnsi="宋体"/>
                <w:color w:val="auto"/>
                <w:szCs w:val="21"/>
                <w:highlight w:val="none"/>
                <w:u w:val="single"/>
              </w:rPr>
              <w:t>开标方式采用电子开标和现场开标两种模式，投标人可选择在开标室参与开标或准时在线参加开标，也可不参加开标。参加在线开标的投标人登录交易平台实时查看开标、唱标情况。交易平台生成开标记录并向社会公众公布。</w:t>
            </w:r>
          </w:p>
        </w:tc>
      </w:tr>
      <w:tr w14:paraId="2F996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14:paraId="1B3DA8AD">
            <w:pPr>
              <w:spacing w:line="360" w:lineRule="auto"/>
              <w:jc w:val="center"/>
              <w:rPr>
                <w:rFonts w:hint="default" w:ascii="宋体" w:hAnsi="宋体" w:cs="宋体"/>
                <w:szCs w:val="21"/>
                <w:u w:val="single"/>
                <w:lang w:val="en-US" w:eastAsia="zh-CN"/>
              </w:rPr>
            </w:pPr>
            <w:r>
              <w:rPr>
                <w:rFonts w:hint="eastAsia" w:ascii="宋体" w:hAnsi="宋体" w:cs="宋体"/>
                <w:szCs w:val="21"/>
                <w:u w:val="single"/>
                <w:lang w:val="en-US" w:eastAsia="zh-CN"/>
              </w:rPr>
              <w:t>10.8</w:t>
            </w:r>
          </w:p>
        </w:tc>
        <w:tc>
          <w:tcPr>
            <w:tcW w:w="2455" w:type="dxa"/>
            <w:vAlign w:val="center"/>
          </w:tcPr>
          <w:p w14:paraId="00AC9B4D">
            <w:pPr>
              <w:spacing w:line="360" w:lineRule="auto"/>
              <w:jc w:val="center"/>
              <w:rPr>
                <w:rFonts w:hint="eastAsia" w:ascii="宋体" w:hAnsi="宋体" w:eastAsia="宋体"/>
                <w:color w:val="auto"/>
                <w:sz w:val="21"/>
                <w:szCs w:val="21"/>
                <w:highlight w:val="none"/>
                <w:lang w:eastAsia="zh-CN"/>
              </w:rPr>
            </w:pPr>
            <w:r>
              <w:rPr>
                <w:rFonts w:hint="eastAsia" w:ascii="宋体" w:hAnsi="宋体" w:eastAsia="宋体" w:cs="宋体"/>
                <w:color w:val="auto"/>
                <w:sz w:val="21"/>
                <w:szCs w:val="21"/>
                <w:highlight w:val="none"/>
                <w:lang w:eastAsia="zh-CN"/>
              </w:rPr>
              <w:t>串通投标与重新组织招标</w:t>
            </w:r>
          </w:p>
        </w:tc>
        <w:tc>
          <w:tcPr>
            <w:tcW w:w="5963" w:type="dxa"/>
            <w:vAlign w:val="center"/>
          </w:tcPr>
          <w:p w14:paraId="40285BEE">
            <w:pPr>
              <w:spacing w:line="360" w:lineRule="auto"/>
              <w:jc w:val="lef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10.9.1投标人有下列情况之一的，视为串通投标:</w:t>
            </w:r>
          </w:p>
          <w:p w14:paraId="134610AF">
            <w:pPr>
              <w:spacing w:line="360" w:lineRule="auto"/>
              <w:jc w:val="lef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（1）递交投标文件前,投标人私下向招标人或其雇员出示或告知投标文件内容；</w:t>
            </w:r>
          </w:p>
          <w:p w14:paraId="5D6C38AB">
            <w:pPr>
              <w:spacing w:line="360" w:lineRule="auto"/>
              <w:jc w:val="lef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（2）评标表决结束前，投标人私下向评标委员会成员出示或告知投标文件内容；</w:t>
            </w:r>
          </w:p>
          <w:p w14:paraId="0D4BACBF">
            <w:pPr>
              <w:spacing w:line="360" w:lineRule="auto"/>
              <w:jc w:val="lef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（3）评标结果揭晓前，投标人与招标人就投标价格、投标方案等实质性内容进行谈判。</w:t>
            </w:r>
          </w:p>
          <w:p w14:paraId="2C50430E">
            <w:pPr>
              <w:spacing w:line="360" w:lineRule="auto"/>
              <w:jc w:val="lef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10.9.2发生下列情形之一的，招标人应当重新组织招标:</w:t>
            </w:r>
          </w:p>
          <w:p w14:paraId="43D0AE66">
            <w:pPr>
              <w:spacing w:line="360" w:lineRule="auto"/>
              <w:jc w:val="lef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（1）递交投标文件或通过资格审查的投标人不足三人；</w:t>
            </w:r>
          </w:p>
          <w:p w14:paraId="617F2578">
            <w:pPr>
              <w:spacing w:line="360" w:lineRule="auto"/>
              <w:jc w:val="lef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（2）所有投标被否决，或者经评议有效投标的投标人少于三人；</w:t>
            </w:r>
          </w:p>
          <w:p w14:paraId="6E19EE3D">
            <w:pPr>
              <w:spacing w:line="360" w:lineRule="auto"/>
              <w:jc w:val="left"/>
              <w:rPr>
                <w:rFonts w:hint="eastAsia" w:ascii="宋体" w:hAnsi="宋体" w:eastAsia="宋体"/>
                <w:color w:val="auto"/>
                <w:sz w:val="21"/>
                <w:szCs w:val="21"/>
                <w:highlight w:val="none"/>
                <w:u w:val="single"/>
                <w:lang w:eastAsia="zh-CN"/>
              </w:rPr>
            </w:pPr>
            <w:r>
              <w:rPr>
                <w:rFonts w:hint="eastAsia" w:ascii="宋体" w:hAnsi="宋体" w:eastAsia="宋体"/>
                <w:color w:val="auto"/>
                <w:sz w:val="21"/>
                <w:szCs w:val="21"/>
                <w:highlight w:val="none"/>
                <w:lang w:val="en-US" w:eastAsia="zh-CN"/>
              </w:rPr>
              <w:t>（3）经项目审批部门会同行业主管部门裁定招标投标结果无效。</w:t>
            </w:r>
          </w:p>
        </w:tc>
      </w:tr>
      <w:tr w14:paraId="18E9E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14:paraId="1DFFB435">
            <w:pPr>
              <w:spacing w:line="360" w:lineRule="auto"/>
              <w:jc w:val="center"/>
              <w:rPr>
                <w:rFonts w:hint="default" w:ascii="宋体" w:hAnsi="宋体" w:cs="宋体"/>
                <w:szCs w:val="21"/>
                <w:u w:val="single"/>
                <w:lang w:val="en-US" w:eastAsia="zh-CN"/>
              </w:rPr>
            </w:pPr>
            <w:r>
              <w:rPr>
                <w:rFonts w:hint="eastAsia" w:ascii="宋体" w:hAnsi="宋体" w:cs="宋体"/>
                <w:szCs w:val="21"/>
                <w:u w:val="single"/>
                <w:lang w:val="en-US" w:eastAsia="zh-CN"/>
              </w:rPr>
              <w:t>10.9</w:t>
            </w:r>
          </w:p>
        </w:tc>
        <w:tc>
          <w:tcPr>
            <w:tcW w:w="2455" w:type="dxa"/>
            <w:vAlign w:val="center"/>
          </w:tcPr>
          <w:p w14:paraId="43BB6369">
            <w:pPr>
              <w:widowControl/>
              <w:shd w:val="clear" w:color="auto" w:fill="FFFFFF"/>
              <w:adjustRightInd w:val="0"/>
              <w:jc w:val="center"/>
              <w:rPr>
                <w:rFonts w:hint="eastAsia" w:ascii="宋体" w:hAnsi="宋体" w:eastAsia="宋体" w:cs="宋体"/>
                <w:color w:val="auto"/>
                <w:sz w:val="21"/>
                <w:szCs w:val="21"/>
                <w:highlight w:val="none"/>
                <w:lang w:eastAsia="zh-CN"/>
              </w:rPr>
            </w:pPr>
            <w:r>
              <w:rPr>
                <w:rFonts w:hint="eastAsia" w:ascii="宋体" w:hAnsi="宋体" w:cs="宋体"/>
                <w:color w:val="auto"/>
                <w:szCs w:val="21"/>
                <w:highlight w:val="none"/>
              </w:rPr>
              <w:t>社保要求</w:t>
            </w:r>
          </w:p>
        </w:tc>
        <w:tc>
          <w:tcPr>
            <w:tcW w:w="5963" w:type="dxa"/>
            <w:vAlign w:val="center"/>
          </w:tcPr>
          <w:p w14:paraId="60C8A38A">
            <w:pPr>
              <w:widowControl/>
              <w:shd w:val="clear" w:color="auto" w:fill="FFFFFF"/>
              <w:spacing w:line="360" w:lineRule="exact"/>
              <w:jc w:val="left"/>
              <w:rPr>
                <w:rFonts w:hint="eastAsia" w:ascii="宋体" w:hAnsi="宋体" w:eastAsia="宋体"/>
                <w:color w:val="auto"/>
                <w:sz w:val="21"/>
                <w:szCs w:val="21"/>
                <w:highlight w:val="none"/>
                <w:lang w:val="en-US" w:eastAsia="zh-CN"/>
              </w:rPr>
            </w:pPr>
            <w:r>
              <w:rPr>
                <w:rFonts w:hint="eastAsia" w:ascii="Calibri" w:hAnsi="Calibri" w:eastAsia="宋体" w:cs="Times New Roman"/>
                <w:color w:val="auto"/>
                <w:highlight w:val="none"/>
                <w:lang w:val="en-US" w:eastAsia="zh-CN"/>
              </w:rPr>
              <w:t>社保要求：投标人提供的人员社保证明需提供投标截止时间最近一个月（时间为：2025年</w:t>
            </w:r>
            <w:r>
              <w:rPr>
                <w:rFonts w:hint="eastAsia" w:ascii="Calibri" w:hAnsi="Calibri" w:cs="Times New Roman"/>
                <w:color w:val="auto"/>
                <w:highlight w:val="none"/>
                <w:lang w:val="en-US" w:eastAsia="zh-CN"/>
              </w:rPr>
              <w:t>3</w:t>
            </w:r>
            <w:r>
              <w:rPr>
                <w:rFonts w:hint="eastAsia" w:ascii="Calibri" w:hAnsi="Calibri" w:eastAsia="宋体" w:cs="Times New Roman"/>
                <w:color w:val="auto"/>
                <w:highlight w:val="none"/>
                <w:lang w:val="en-US" w:eastAsia="zh-CN"/>
              </w:rPr>
              <w:t>月）在本单位（不含子公司）交纳的社保证明文件，退休返聘人员需提供退休及返聘证明。社保证明文件以加盖社会保险基金管理中心印章的相关资料为准，退休返聘人员需提供退休及返聘证明。注：（1）因当地政府政策规定未能反映本项目投标截止时间最近一个月（时间为：2025年</w:t>
            </w:r>
            <w:r>
              <w:rPr>
                <w:rFonts w:hint="eastAsia" w:ascii="Calibri" w:hAnsi="Calibri" w:cs="Times New Roman"/>
                <w:color w:val="auto"/>
                <w:highlight w:val="none"/>
                <w:lang w:val="en-US" w:eastAsia="zh-CN"/>
              </w:rPr>
              <w:t>3</w:t>
            </w:r>
            <w:r>
              <w:rPr>
                <w:rFonts w:hint="eastAsia" w:ascii="Calibri" w:hAnsi="Calibri" w:eastAsia="宋体" w:cs="Times New Roman"/>
                <w:color w:val="auto"/>
                <w:highlight w:val="none"/>
                <w:lang w:val="en-US" w:eastAsia="zh-CN"/>
              </w:rPr>
              <w:t>月）信息的，投标人须提供当地社会保险基金管理中心的相关文件及本单位最近一个月的社保证明文件作为缴纳社保的证明。（2）中标后需提供投标文件中人员的社保补缴情况相关证明报招标人核实。</w:t>
            </w:r>
          </w:p>
        </w:tc>
      </w:tr>
      <w:tr w14:paraId="15836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14:paraId="1FC168E8">
            <w:pPr>
              <w:spacing w:line="360" w:lineRule="auto"/>
              <w:jc w:val="center"/>
              <w:rPr>
                <w:rFonts w:hint="default" w:ascii="宋体" w:hAnsi="宋体" w:cs="宋体"/>
                <w:szCs w:val="21"/>
                <w:u w:val="single"/>
                <w:lang w:val="en-US" w:eastAsia="zh-CN"/>
              </w:rPr>
            </w:pPr>
            <w:r>
              <w:rPr>
                <w:rFonts w:hint="eastAsia" w:ascii="宋体" w:hAnsi="宋体" w:cs="宋体"/>
                <w:szCs w:val="21"/>
                <w:u w:val="single"/>
                <w:lang w:val="en-US" w:eastAsia="zh-CN"/>
              </w:rPr>
              <w:t>10.10</w:t>
            </w:r>
          </w:p>
        </w:tc>
        <w:tc>
          <w:tcPr>
            <w:tcW w:w="2455" w:type="dxa"/>
            <w:vAlign w:val="center"/>
          </w:tcPr>
          <w:p w14:paraId="05E65097">
            <w:pPr>
              <w:spacing w:line="360" w:lineRule="auto"/>
              <w:jc w:val="center"/>
              <w:rPr>
                <w:rFonts w:hint="eastAsia" w:ascii="宋体" w:hAnsi="宋体"/>
                <w:color w:val="auto"/>
                <w:szCs w:val="21"/>
                <w:highlight w:val="none"/>
              </w:rPr>
            </w:pPr>
            <w:r>
              <w:rPr>
                <w:rFonts w:hint="eastAsia" w:ascii="宋体" w:hAnsi="宋体"/>
                <w:color w:val="auto"/>
                <w:szCs w:val="21"/>
                <w:highlight w:val="none"/>
              </w:rPr>
              <w:t>其他要求</w:t>
            </w:r>
          </w:p>
        </w:tc>
        <w:tc>
          <w:tcPr>
            <w:tcW w:w="5963" w:type="dxa"/>
            <w:vAlign w:val="center"/>
          </w:tcPr>
          <w:p w14:paraId="2C65614F">
            <w:pPr>
              <w:spacing w:line="360" w:lineRule="auto"/>
              <w:jc w:val="left"/>
              <w:rPr>
                <w:rFonts w:hint="eastAsia" w:ascii="宋体" w:hAnsi="宋体"/>
                <w:color w:val="auto"/>
                <w:szCs w:val="21"/>
                <w:highlight w:val="none"/>
                <w:u w:val="single"/>
              </w:rPr>
            </w:pPr>
            <w:r>
              <w:rPr>
                <w:rFonts w:hint="eastAsia" w:ascii="宋体" w:hAnsi="宋体"/>
                <w:color w:val="auto"/>
                <w:szCs w:val="21"/>
                <w:highlight w:val="none"/>
                <w:u w:val="single"/>
              </w:rPr>
              <w:t>各投标人递交投标资料参与投标，均视为接受及认同招标合同及招标人（业主单位）制定的各项相关建设管理办法。如中标人不按合同履约及未遵守招标人（业主单位）制发的各项相关建设管理办法，业主方有权依据相关管理办法要求中标人承担相应责任，中标人应无条件接受。</w:t>
            </w:r>
          </w:p>
        </w:tc>
      </w:tr>
      <w:tr w14:paraId="539EF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14:paraId="3C57772E">
            <w:pPr>
              <w:spacing w:line="360" w:lineRule="auto"/>
              <w:jc w:val="center"/>
              <w:rPr>
                <w:rFonts w:hint="default" w:ascii="宋体" w:hAnsi="宋体" w:cs="宋体"/>
                <w:szCs w:val="21"/>
                <w:u w:val="single"/>
                <w:lang w:val="en-US" w:eastAsia="zh-CN"/>
              </w:rPr>
            </w:pPr>
            <w:r>
              <w:rPr>
                <w:rFonts w:hint="eastAsia" w:ascii="宋体" w:hAnsi="宋体" w:cs="宋体"/>
                <w:szCs w:val="21"/>
                <w:u w:val="single"/>
                <w:lang w:val="en-US" w:eastAsia="zh-CN"/>
              </w:rPr>
              <w:t>10.11</w:t>
            </w:r>
          </w:p>
        </w:tc>
        <w:tc>
          <w:tcPr>
            <w:tcW w:w="2455" w:type="dxa"/>
            <w:vAlign w:val="center"/>
          </w:tcPr>
          <w:p w14:paraId="0052B3EE">
            <w:pPr>
              <w:widowControl/>
              <w:shd w:val="clear" w:color="auto" w:fill="FFFFFF"/>
              <w:adjustRightIn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定标及中标原则</w:t>
            </w:r>
          </w:p>
        </w:tc>
        <w:tc>
          <w:tcPr>
            <w:tcW w:w="5963" w:type="dxa"/>
            <w:vAlign w:val="center"/>
          </w:tcPr>
          <w:p w14:paraId="49B24A4D">
            <w:pPr>
              <w:widowControl/>
              <w:shd w:val="clear" w:color="auto" w:fill="FFFFFF"/>
              <w:spacing w:line="360" w:lineRule="exact"/>
              <w:jc w:val="left"/>
              <w:rPr>
                <w:rFonts w:hint="eastAsia" w:ascii="宋体" w:hAnsi="宋体"/>
                <w:color w:val="auto"/>
                <w:szCs w:val="21"/>
                <w:highlight w:val="none"/>
                <w:u w:val="single"/>
              </w:rPr>
            </w:pPr>
            <w:r>
              <w:rPr>
                <w:rFonts w:hint="eastAsia" w:ascii="宋体" w:hAnsi="宋体"/>
                <w:color w:val="auto"/>
                <w:szCs w:val="21"/>
                <w:highlight w:val="none"/>
                <w:u w:val="single"/>
              </w:rPr>
              <w:t>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tc>
      </w:tr>
      <w:tr w14:paraId="60EC7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14:paraId="537488CB">
            <w:pPr>
              <w:spacing w:line="360" w:lineRule="auto"/>
              <w:jc w:val="center"/>
              <w:rPr>
                <w:rFonts w:hint="default" w:ascii="宋体" w:hAnsi="宋体" w:cs="宋体"/>
                <w:szCs w:val="21"/>
                <w:u w:val="single"/>
                <w:lang w:val="en-US" w:eastAsia="zh-CN"/>
              </w:rPr>
            </w:pPr>
            <w:r>
              <w:rPr>
                <w:rFonts w:hint="eastAsia" w:ascii="宋体" w:hAnsi="宋体" w:cs="宋体"/>
                <w:szCs w:val="21"/>
                <w:u w:val="single"/>
                <w:lang w:val="en-US" w:eastAsia="zh-CN"/>
              </w:rPr>
              <w:t>10.12</w:t>
            </w:r>
          </w:p>
        </w:tc>
        <w:tc>
          <w:tcPr>
            <w:tcW w:w="2455" w:type="dxa"/>
            <w:vAlign w:val="center"/>
          </w:tcPr>
          <w:p w14:paraId="3DBB706C">
            <w:pPr>
              <w:widowControl/>
              <w:shd w:val="clear"/>
              <w:autoSpaceDE w:val="0"/>
              <w:autoSpaceDN w:val="0"/>
              <w:adjustRightInd w:val="0"/>
              <w:spacing w:line="240" w:lineRule="auto"/>
              <w:jc w:val="center"/>
              <w:rPr>
                <w:rFonts w:hint="eastAsia" w:ascii="宋体" w:hAnsi="宋体"/>
                <w:color w:val="auto"/>
                <w:szCs w:val="21"/>
                <w:highlight w:val="none"/>
              </w:rPr>
            </w:pPr>
            <w:r>
              <w:rPr>
                <w:rFonts w:hint="eastAsia" w:ascii="宋体" w:hAnsi="宋体" w:eastAsia="宋体" w:cs="宋体"/>
                <w:b w:val="0"/>
                <w:bCs w:val="0"/>
                <w:color w:val="auto"/>
                <w:sz w:val="21"/>
                <w:szCs w:val="21"/>
                <w:highlight w:val="none"/>
                <w:u w:val="single"/>
                <w:lang w:val="en-US" w:eastAsia="zh-CN"/>
              </w:rPr>
              <w:t>投标报价</w:t>
            </w:r>
            <w:r>
              <w:rPr>
                <w:rFonts w:hint="default" w:ascii="宋体" w:hAnsi="宋体" w:eastAsia="宋体" w:cs="宋体"/>
                <w:b w:val="0"/>
                <w:bCs w:val="0"/>
                <w:color w:val="auto"/>
                <w:sz w:val="21"/>
                <w:szCs w:val="21"/>
                <w:highlight w:val="none"/>
                <w:u w:val="single"/>
                <w:lang w:val="en-US"/>
              </w:rPr>
              <w:t>评审优惠政策</w:t>
            </w:r>
          </w:p>
        </w:tc>
        <w:tc>
          <w:tcPr>
            <w:tcW w:w="5963" w:type="dxa"/>
            <w:vAlign w:val="center"/>
          </w:tcPr>
          <w:p w14:paraId="5C730802">
            <w:pPr>
              <w:widowControl/>
              <w:shd w:val="clear" w:color="auto" w:fill="FFFFFF"/>
              <w:spacing w:line="360" w:lineRule="exact"/>
              <w:jc w:val="left"/>
              <w:rPr>
                <w:rFonts w:hint="eastAsia" w:ascii="宋体" w:hAnsi="宋体"/>
                <w:color w:val="auto"/>
                <w:szCs w:val="21"/>
                <w:highlight w:val="none"/>
                <w:u w:val="single"/>
              </w:rPr>
            </w:pPr>
            <w:r>
              <w:rPr>
                <w:rFonts w:hint="eastAsia" w:ascii="宋体" w:hAnsi="宋体"/>
                <w:color w:val="auto"/>
                <w:szCs w:val="21"/>
                <w:highlight w:val="none"/>
                <w:u w:val="single"/>
              </w:rPr>
              <w:t>投标报价评审优惠政策</w:t>
            </w:r>
          </w:p>
          <w:p w14:paraId="01C26D7A">
            <w:pPr>
              <w:widowControl/>
              <w:shd w:val="clear" w:color="auto" w:fill="FFFFFF"/>
              <w:spacing w:line="360" w:lineRule="exact"/>
              <w:jc w:val="left"/>
              <w:rPr>
                <w:rFonts w:hint="eastAsia" w:ascii="宋体" w:hAnsi="宋体"/>
                <w:color w:val="auto"/>
                <w:szCs w:val="21"/>
                <w:highlight w:val="none"/>
                <w:u w:val="single"/>
              </w:rPr>
            </w:pPr>
            <w:r>
              <w:rPr>
                <w:rFonts w:hint="eastAsia" w:ascii="宋体" w:hAnsi="宋体"/>
                <w:color w:val="auto"/>
                <w:szCs w:val="21"/>
                <w:highlight w:val="none"/>
                <w:u w:val="single"/>
              </w:rPr>
              <w:t>□本招标项目不执行投标报价评审优惠政策</w:t>
            </w:r>
          </w:p>
          <w:p w14:paraId="7B249304">
            <w:pPr>
              <w:widowControl/>
              <w:shd w:val="clear" w:color="auto" w:fill="FFFFFF"/>
              <w:spacing w:line="360" w:lineRule="exact"/>
              <w:jc w:val="left"/>
              <w:rPr>
                <w:rFonts w:hint="eastAsia" w:ascii="宋体" w:hAnsi="宋体"/>
                <w:color w:val="auto"/>
                <w:szCs w:val="21"/>
                <w:highlight w:val="none"/>
                <w:u w:val="single"/>
              </w:rPr>
            </w:pPr>
            <w:r>
              <w:rPr>
                <w:rFonts w:hint="eastAsia" w:ascii="宋体" w:hAnsi="宋体"/>
                <w:color w:val="auto"/>
                <w:szCs w:val="21"/>
                <w:highlight w:val="none"/>
                <w:u w:val="single"/>
              </w:rPr>
              <w:t>☑本招标项目执行投标报价评审优惠政策</w:t>
            </w:r>
          </w:p>
          <w:p w14:paraId="1F4962B5">
            <w:pPr>
              <w:widowControl/>
              <w:shd w:val="clear" w:color="auto" w:fill="FFFFFF"/>
              <w:spacing w:line="360" w:lineRule="exact"/>
              <w:jc w:val="left"/>
              <w:rPr>
                <w:rFonts w:hint="eastAsia" w:ascii="宋体" w:hAnsi="宋体"/>
                <w:color w:val="auto"/>
                <w:szCs w:val="21"/>
                <w:highlight w:val="none"/>
                <w:u w:val="single"/>
              </w:rPr>
            </w:pPr>
            <w:r>
              <w:rPr>
                <w:rFonts w:hint="eastAsia" w:ascii="宋体" w:hAnsi="宋体"/>
                <w:color w:val="auto"/>
                <w:szCs w:val="21"/>
                <w:highlight w:val="none"/>
                <w:u w:val="single"/>
              </w:rPr>
              <w:t>注：（1）符合投标报价评审优惠政策条件的，应当执行该政策；不符合投标报价评审优惠政策条件的，不得执行该政策。</w:t>
            </w:r>
          </w:p>
          <w:p w14:paraId="74F1EF62">
            <w:pPr>
              <w:widowControl/>
              <w:shd w:val="clear" w:color="auto" w:fill="FFFFFF"/>
              <w:spacing w:line="360" w:lineRule="exact"/>
              <w:jc w:val="left"/>
              <w:rPr>
                <w:rFonts w:hint="eastAsia" w:ascii="宋体" w:hAnsi="宋体"/>
                <w:color w:val="auto"/>
                <w:szCs w:val="21"/>
                <w:highlight w:val="none"/>
                <w:u w:val="single"/>
              </w:rPr>
            </w:pPr>
            <w:r>
              <w:rPr>
                <w:rFonts w:hint="eastAsia" w:ascii="宋体" w:hAnsi="宋体"/>
                <w:color w:val="auto"/>
                <w:szCs w:val="21"/>
                <w:highlight w:val="none"/>
                <w:u w:val="single"/>
              </w:rPr>
              <w:t>（2）财政性资金是指纳入预算管理的资金，以财政性资金作为还款来源的借贷资金，视同财政性资金。</w:t>
            </w:r>
          </w:p>
          <w:p w14:paraId="62F428BD">
            <w:pPr>
              <w:widowControl/>
              <w:shd w:val="clear" w:color="auto" w:fill="FFFFFF"/>
              <w:spacing w:line="360" w:lineRule="exact"/>
              <w:jc w:val="left"/>
              <w:rPr>
                <w:rFonts w:hint="eastAsia" w:ascii="宋体" w:hAnsi="宋体"/>
                <w:color w:val="auto"/>
                <w:szCs w:val="21"/>
                <w:highlight w:val="none"/>
                <w:u w:val="single"/>
              </w:rPr>
            </w:pPr>
            <w:r>
              <w:rPr>
                <w:rFonts w:hint="eastAsia" w:ascii="宋体" w:hAnsi="宋体"/>
                <w:color w:val="auto"/>
                <w:szCs w:val="21"/>
                <w:highlight w:val="none"/>
                <w:u w:val="single"/>
              </w:rPr>
              <w:t>☑若本招标项目执行投标报价评审优惠政策。</w:t>
            </w:r>
          </w:p>
          <w:p w14:paraId="6392E719">
            <w:pPr>
              <w:widowControl/>
              <w:shd w:val="clear" w:color="auto" w:fill="FFFFFF"/>
              <w:spacing w:line="360" w:lineRule="exact"/>
              <w:jc w:val="left"/>
              <w:rPr>
                <w:rFonts w:hint="eastAsia" w:ascii="宋体" w:hAnsi="宋体"/>
                <w:color w:val="auto"/>
                <w:szCs w:val="21"/>
                <w:highlight w:val="none"/>
                <w:u w:val="single"/>
              </w:rPr>
            </w:pPr>
            <w:r>
              <w:rPr>
                <w:rFonts w:hint="eastAsia" w:ascii="宋体" w:hAnsi="宋体"/>
                <w:color w:val="auto"/>
                <w:szCs w:val="21"/>
                <w:highlight w:val="none"/>
                <w:u w:val="single"/>
              </w:rPr>
              <w:t>1、根据《广东省政府采购促进中小企业发展实施细则（试行）》（粤财采购〔2022〕10号）、广州市财政局 广州市工业和信息化局转发广东省财政厅 广东省发展和改革委员会 广东省工业和信息化厅 广东省地方金融监督管理局关于印发《广东省政府采购促进中小企业发展实施细则（试行）》的通知穗财采〔2023〕8号要求，对符合《政府采购促进中小企业发展管理办法》（财库〔2020〕46号）的投标人，给予相应的价格评审优惠。</w:t>
            </w:r>
          </w:p>
          <w:p w14:paraId="53FDEDEA">
            <w:pPr>
              <w:widowControl/>
              <w:shd w:val="clear" w:color="auto" w:fill="FFFFFF"/>
              <w:spacing w:line="360" w:lineRule="exact"/>
              <w:jc w:val="left"/>
              <w:rPr>
                <w:rFonts w:hint="eastAsia" w:ascii="宋体" w:hAnsi="宋体"/>
                <w:color w:val="auto"/>
                <w:szCs w:val="21"/>
                <w:highlight w:val="none"/>
                <w:u w:val="single"/>
              </w:rPr>
            </w:pPr>
            <w:r>
              <w:rPr>
                <w:rFonts w:hint="eastAsia" w:ascii="宋体" w:hAnsi="宋体"/>
                <w:color w:val="auto"/>
                <w:szCs w:val="21"/>
                <w:highlight w:val="none"/>
                <w:u w:val="single"/>
              </w:rPr>
              <w:t>2、本招标项目评标计算投标报价得分时，对小微企业投标的，在采用原报价进行评分的基础上增加其价格得分的5%作为其投标报价得分，若原报价已满分，仍可突破满分上限继续享受加分优惠，以实际计算结果作为最终投标报价得分。</w:t>
            </w:r>
          </w:p>
          <w:p w14:paraId="556B675A">
            <w:pPr>
              <w:widowControl/>
              <w:shd w:val="clear" w:color="auto" w:fill="FFFFFF"/>
              <w:spacing w:line="360" w:lineRule="exact"/>
              <w:jc w:val="left"/>
              <w:rPr>
                <w:rFonts w:hint="eastAsia" w:ascii="宋体" w:hAnsi="宋体"/>
                <w:color w:val="auto"/>
                <w:szCs w:val="21"/>
                <w:highlight w:val="none"/>
                <w:u w:val="single"/>
              </w:rPr>
            </w:pPr>
            <w:r>
              <w:rPr>
                <w:rFonts w:hint="eastAsia" w:ascii="宋体" w:hAnsi="宋体"/>
                <w:color w:val="auto"/>
                <w:szCs w:val="21"/>
                <w:highlight w:val="none"/>
                <w:u w:val="single"/>
              </w:rPr>
              <w:t>3、投标人应按《政府采购促进中小企业发展管理办法》（财库〔2020〕46号）规定出具《中小企业声明函》（格式见投标文件格式），否则不得享受相关价格评审优惠。投标人填写《中小企业声明函》时，对于已纳入统计部门统计范围的企业，所属行业、从业人员、营业收入、资产总额、规模类型应与统计部门报表一致。对于未纳入统计部门统计范围的企业，应对照《国民经济行业分类》确定所属行业，当企业从事两种以上经济活动时，则按照主要活动确定其所属行业；从业人数可以社会保险参保人数为准；营业收入、资产总额可以第三方出具的报告为准。</w:t>
            </w:r>
          </w:p>
          <w:p w14:paraId="684D9E24">
            <w:pPr>
              <w:widowControl/>
              <w:shd w:val="clear" w:color="auto" w:fill="FFFFFF"/>
              <w:spacing w:line="360" w:lineRule="exact"/>
              <w:jc w:val="left"/>
              <w:rPr>
                <w:rFonts w:hint="eastAsia" w:ascii="宋体" w:hAnsi="宋体"/>
                <w:color w:val="auto"/>
                <w:szCs w:val="21"/>
                <w:highlight w:val="none"/>
                <w:u w:val="single"/>
              </w:rPr>
            </w:pPr>
            <w:r>
              <w:rPr>
                <w:rFonts w:hint="eastAsia" w:ascii="宋体" w:hAnsi="宋体"/>
                <w:color w:val="auto"/>
                <w:szCs w:val="21"/>
                <w:highlight w:val="none"/>
                <w:u w:val="single"/>
              </w:rPr>
              <w:t>4、小微企业划分标准按照《工业和信息化部 国家统计局 国家发展和改革委员会 财政部关于印发中小企业划型标准规定的通知》（工信部联企业〔2011〕300号）执行。</w:t>
            </w:r>
          </w:p>
          <w:p w14:paraId="04A02095">
            <w:pPr>
              <w:widowControl/>
              <w:shd w:val="clear" w:color="auto" w:fill="FFFFFF"/>
              <w:spacing w:line="360" w:lineRule="exact"/>
              <w:jc w:val="left"/>
              <w:rPr>
                <w:rFonts w:hint="eastAsia" w:ascii="宋体" w:hAnsi="宋体"/>
                <w:color w:val="auto"/>
                <w:szCs w:val="21"/>
                <w:highlight w:val="none"/>
                <w:u w:val="single"/>
              </w:rPr>
            </w:pPr>
            <w:r>
              <w:rPr>
                <w:rFonts w:hint="eastAsia" w:ascii="宋体" w:hAnsi="宋体"/>
                <w:color w:val="auto"/>
                <w:szCs w:val="21"/>
                <w:highlight w:val="none"/>
                <w:u w:val="single"/>
              </w:rPr>
              <w:t>注：（1）小微企业，是指在中华人民共和国境内依法设立，依据国务院批准的中小企业划分标准确定的小型企业和微型企业，但与大企业的负责人为同一人，或者与大企业存在直接控股、管理关系的除外。以联合体形式参与投标的，联合体各方均为小微企业的，联合体视同小微企业。</w:t>
            </w:r>
          </w:p>
          <w:p w14:paraId="4B7BBF1B">
            <w:pPr>
              <w:widowControl/>
              <w:shd w:val="clear" w:color="auto" w:fill="FFFFFF"/>
              <w:spacing w:line="360" w:lineRule="exact"/>
              <w:jc w:val="left"/>
              <w:rPr>
                <w:rFonts w:hint="eastAsia" w:ascii="宋体" w:hAnsi="宋体"/>
                <w:color w:val="auto"/>
                <w:szCs w:val="21"/>
                <w:highlight w:val="none"/>
                <w:u w:val="single"/>
              </w:rPr>
            </w:pPr>
            <w:r>
              <w:rPr>
                <w:rFonts w:hint="eastAsia" w:ascii="宋体" w:hAnsi="宋体"/>
                <w:color w:val="auto"/>
                <w:szCs w:val="21"/>
                <w:highlight w:val="none"/>
                <w:u w:val="single"/>
              </w:rPr>
              <w:t>（2）公示期间如有异议、投诉的，被异议、投诉单位需提供注册登记所在地的县级以上人民政府中小企业主管部门认定函。</w:t>
            </w:r>
          </w:p>
          <w:p w14:paraId="2BFFA2D7">
            <w:pPr>
              <w:widowControl/>
              <w:shd w:val="clear" w:color="auto" w:fill="FFFFFF"/>
              <w:spacing w:line="360" w:lineRule="exact"/>
              <w:jc w:val="left"/>
              <w:rPr>
                <w:rFonts w:hint="eastAsia" w:ascii="宋体" w:hAnsi="宋体"/>
                <w:color w:val="auto"/>
                <w:szCs w:val="21"/>
                <w:highlight w:val="none"/>
                <w:u w:val="single"/>
              </w:rPr>
            </w:pPr>
            <w:r>
              <w:rPr>
                <w:rFonts w:hint="eastAsia" w:ascii="宋体" w:hAnsi="宋体"/>
                <w:color w:val="auto"/>
                <w:szCs w:val="21"/>
                <w:highlight w:val="none"/>
                <w:u w:val="single"/>
              </w:rPr>
              <w:t>（3）规定享受扶持政策获得承包合同的，小微企业不得将合同分包给大中型企业。</w:t>
            </w:r>
          </w:p>
          <w:p w14:paraId="1DAF1EFD">
            <w:pPr>
              <w:widowControl/>
              <w:shd w:val="clear" w:color="auto" w:fill="FFFFFF"/>
              <w:spacing w:line="360" w:lineRule="exact"/>
              <w:jc w:val="left"/>
              <w:rPr>
                <w:rFonts w:hint="eastAsia" w:ascii="宋体" w:hAnsi="宋体"/>
                <w:color w:val="auto"/>
                <w:szCs w:val="21"/>
                <w:highlight w:val="none"/>
                <w:u w:val="single"/>
              </w:rPr>
            </w:pPr>
            <w:r>
              <w:rPr>
                <w:rFonts w:hint="eastAsia" w:ascii="宋体" w:hAnsi="宋体"/>
                <w:color w:val="auto"/>
                <w:szCs w:val="21"/>
                <w:highlight w:val="none"/>
                <w:u w:val="single"/>
              </w:rPr>
              <w:t>（4）根据《财政部 司法部关于政府采购支持监狱企业发展有关问题的通知》（财库〔2014〕68号）规定，监狱企业视同小型、微型企业，需提供由省级以上监狱管理局、戒毒管理局（含新疆生产建设兵团）出具的属于监狱企业的证明文件，经评审满足要求后，可享受上述加分优惠，否则不得享受上述加分优惠。根据《财政部 民政部 中国残疾人联合会关于促进残疾人就业政府采购政策的通知》（财库〔2017〕141号）规定，残疾人福利性单位视同小型、微型企业，需提供《残疾人福利性单位声明函》（格式详见投标文件格式），经评审满足要求后，可享受上述加分优惠，否则不得享受上述加分优惠。监狱企业、残疾人福利性单位属于小型、微型企业的，不重复享受政策。</w:t>
            </w:r>
          </w:p>
        </w:tc>
      </w:tr>
    </w:tbl>
    <w:p w14:paraId="2491DC7F">
      <w:pPr>
        <w:spacing w:line="360" w:lineRule="auto"/>
        <w:rPr>
          <w:rFonts w:ascii="宋体" w:hAnsi="宋体" w:cs="宋体"/>
        </w:rPr>
      </w:pPr>
    </w:p>
    <w:p w14:paraId="72930A44">
      <w:pPr>
        <w:pStyle w:val="4"/>
        <w:rPr>
          <w:rFonts w:ascii="宋体" w:hAnsi="宋体" w:eastAsia="宋体" w:cs="宋体"/>
        </w:rPr>
      </w:pPr>
      <w:r>
        <w:rPr>
          <w:rFonts w:hint="eastAsia" w:ascii="宋体" w:hAnsi="宋体" w:eastAsia="宋体" w:cs="宋体"/>
        </w:rPr>
        <w:br w:type="page"/>
      </w:r>
      <w:bookmarkStart w:id="16" w:name="_Toc11266"/>
      <w:bookmarkStart w:id="17" w:name="_Toc12980"/>
      <w:bookmarkStart w:id="18" w:name="_Toc5302"/>
      <w:bookmarkStart w:id="19" w:name="_Toc24104528"/>
      <w:r>
        <w:rPr>
          <w:rFonts w:hint="eastAsia" w:ascii="宋体" w:hAnsi="宋体" w:eastAsia="宋体" w:cs="宋体"/>
        </w:rPr>
        <w:t>1. 总则</w:t>
      </w:r>
      <w:bookmarkEnd w:id="16"/>
      <w:bookmarkEnd w:id="17"/>
      <w:bookmarkEnd w:id="18"/>
      <w:bookmarkEnd w:id="19"/>
    </w:p>
    <w:p w14:paraId="0DFDDA67">
      <w:pPr>
        <w:pStyle w:val="5"/>
        <w:spacing w:before="62" w:beforeLines="20" w:after="62" w:afterLines="20" w:line="360" w:lineRule="auto"/>
        <w:rPr>
          <w:rFonts w:ascii="宋体" w:hAnsi="宋体" w:cs="宋体"/>
        </w:rPr>
      </w:pPr>
      <w:bookmarkStart w:id="20" w:name="_Toc26288"/>
      <w:bookmarkStart w:id="21" w:name="_Toc12490"/>
      <w:bookmarkStart w:id="22" w:name="_Toc24104529"/>
      <w:bookmarkStart w:id="23" w:name="_Toc15159"/>
      <w:r>
        <w:rPr>
          <w:rFonts w:hint="eastAsia" w:ascii="宋体" w:hAnsi="宋体" w:cs="宋体"/>
        </w:rPr>
        <w:t>1.1 招标项目概况</w:t>
      </w:r>
      <w:bookmarkEnd w:id="20"/>
      <w:bookmarkEnd w:id="21"/>
      <w:bookmarkEnd w:id="22"/>
      <w:bookmarkEnd w:id="23"/>
    </w:p>
    <w:p w14:paraId="5EB05318">
      <w:pPr>
        <w:spacing w:line="360" w:lineRule="auto"/>
        <w:ind w:firstLine="426" w:firstLineChars="200"/>
        <w:rPr>
          <w:rFonts w:ascii="宋体" w:hAnsi="宋体" w:cs="宋体"/>
        </w:rPr>
      </w:pPr>
      <w:r>
        <w:rPr>
          <w:rFonts w:hint="eastAsia" w:ascii="宋体" w:hAnsi="宋体" w:cs="宋体"/>
        </w:rPr>
        <w:t>1.1.1 根据《中华人民共和国招标投标法》、《中华人民共和国招标投标法实施条例》等有关法律、法规和规章的规定，本招标项目已具备招标条件，现对</w:t>
      </w:r>
      <w:r>
        <w:rPr>
          <w:rFonts w:hint="eastAsia" w:ascii="宋体" w:hAnsi="宋体" w:cs="宋体"/>
          <w:u w:val="single"/>
        </w:rPr>
        <w:t>该项目</w:t>
      </w:r>
      <w:r>
        <w:rPr>
          <w:rFonts w:hint="eastAsia" w:ascii="宋体" w:hAnsi="宋体" w:cs="宋体"/>
          <w:u w:val="single"/>
          <w:lang w:val="en-US" w:eastAsia="zh-CN"/>
        </w:rPr>
        <w:t>施工图审查</w:t>
      </w:r>
      <w:r>
        <w:rPr>
          <w:rFonts w:hint="eastAsia" w:ascii="宋体" w:hAnsi="宋体" w:cs="宋体"/>
        </w:rPr>
        <w:t>进行招标。</w:t>
      </w:r>
    </w:p>
    <w:p w14:paraId="2D70A9F8">
      <w:pPr>
        <w:spacing w:line="360" w:lineRule="auto"/>
        <w:ind w:firstLine="426" w:firstLineChars="200"/>
        <w:rPr>
          <w:rFonts w:ascii="宋体" w:hAnsi="宋体" w:cs="宋体"/>
        </w:rPr>
      </w:pPr>
      <w:r>
        <w:rPr>
          <w:rFonts w:hint="eastAsia" w:ascii="宋体" w:hAnsi="宋体" w:cs="宋体"/>
        </w:rPr>
        <w:t>1.1.2 招标人：见投标人须知前附表。</w:t>
      </w:r>
    </w:p>
    <w:p w14:paraId="5635584C">
      <w:pPr>
        <w:spacing w:line="360" w:lineRule="auto"/>
        <w:ind w:firstLine="426" w:firstLineChars="200"/>
        <w:rPr>
          <w:rFonts w:ascii="宋体" w:hAnsi="宋体" w:cs="宋体"/>
        </w:rPr>
      </w:pPr>
      <w:r>
        <w:rPr>
          <w:rFonts w:hint="eastAsia" w:ascii="宋体" w:hAnsi="宋体" w:cs="宋体"/>
        </w:rPr>
        <w:t>1.1.3 招标代理机构：见投标人须知前附表。</w:t>
      </w:r>
    </w:p>
    <w:p w14:paraId="57894735">
      <w:pPr>
        <w:spacing w:line="360" w:lineRule="auto"/>
        <w:ind w:firstLine="426" w:firstLineChars="200"/>
        <w:rPr>
          <w:rFonts w:ascii="宋体" w:hAnsi="宋体" w:cs="宋体"/>
        </w:rPr>
      </w:pPr>
      <w:r>
        <w:rPr>
          <w:rFonts w:hint="eastAsia" w:ascii="宋体" w:hAnsi="宋体" w:cs="宋体"/>
        </w:rPr>
        <w:t>1.1.4 招标项目名称：见投标人须知前附表。</w:t>
      </w:r>
    </w:p>
    <w:p w14:paraId="487D8FCC">
      <w:pPr>
        <w:spacing w:line="360" w:lineRule="auto"/>
        <w:ind w:firstLine="426" w:firstLineChars="200"/>
        <w:rPr>
          <w:rFonts w:ascii="宋体" w:hAnsi="宋体" w:cs="宋体"/>
        </w:rPr>
      </w:pPr>
      <w:r>
        <w:rPr>
          <w:rFonts w:hint="eastAsia" w:ascii="宋体" w:hAnsi="宋体" w:cs="宋体"/>
        </w:rPr>
        <w:t>1.1.5 项目建设地点：见投标人须知前附表。</w:t>
      </w:r>
    </w:p>
    <w:p w14:paraId="14027342">
      <w:pPr>
        <w:spacing w:line="360" w:lineRule="auto"/>
        <w:ind w:firstLine="426" w:firstLineChars="200"/>
        <w:rPr>
          <w:rFonts w:ascii="宋体" w:hAnsi="宋体" w:cs="宋体"/>
        </w:rPr>
      </w:pPr>
      <w:r>
        <w:rPr>
          <w:rFonts w:hint="eastAsia" w:ascii="宋体" w:hAnsi="宋体" w:cs="宋体"/>
        </w:rPr>
        <w:t>1.1.6 项目建设规模：见投标人须知前附表。</w:t>
      </w:r>
    </w:p>
    <w:p w14:paraId="3D0C5EE7">
      <w:pPr>
        <w:spacing w:line="360" w:lineRule="auto"/>
        <w:ind w:firstLine="426" w:firstLineChars="200"/>
        <w:rPr>
          <w:rFonts w:ascii="宋体" w:hAnsi="宋体" w:cs="宋体"/>
        </w:rPr>
      </w:pPr>
      <w:r>
        <w:rPr>
          <w:rFonts w:hint="eastAsia" w:ascii="宋体" w:hAnsi="宋体" w:cs="宋体"/>
        </w:rPr>
        <w:t>1.1.7 工程项目</w:t>
      </w:r>
      <w:r>
        <w:rPr>
          <w:rFonts w:hint="eastAsia" w:ascii="宋体" w:hAnsi="宋体" w:cs="宋体"/>
          <w:strike/>
          <w:szCs w:val="21"/>
        </w:rPr>
        <w:t>施工</w:t>
      </w:r>
      <w:r>
        <w:rPr>
          <w:rFonts w:hint="eastAsia" w:ascii="宋体" w:hAnsi="宋体" w:cs="宋体"/>
        </w:rPr>
        <w:t>预计开工日期和建设周期：见投标人须知前附表。</w:t>
      </w:r>
    </w:p>
    <w:p w14:paraId="1EA1990A">
      <w:pPr>
        <w:pStyle w:val="5"/>
        <w:spacing w:before="62" w:beforeLines="20" w:after="62" w:afterLines="20" w:line="360" w:lineRule="auto"/>
        <w:rPr>
          <w:rFonts w:ascii="宋体" w:hAnsi="宋体" w:cs="宋体"/>
        </w:rPr>
      </w:pPr>
      <w:bookmarkStart w:id="24" w:name="_Toc18770"/>
      <w:bookmarkStart w:id="25" w:name="_Toc1434"/>
      <w:bookmarkStart w:id="26" w:name="_Toc6699"/>
      <w:bookmarkStart w:id="27" w:name="_Toc24104530"/>
      <w:r>
        <w:rPr>
          <w:rFonts w:hint="eastAsia" w:ascii="宋体" w:hAnsi="宋体" w:cs="宋体"/>
        </w:rPr>
        <w:t>1.2 招标项目的资金来源和落实情况</w:t>
      </w:r>
      <w:bookmarkEnd w:id="24"/>
      <w:bookmarkEnd w:id="25"/>
      <w:bookmarkEnd w:id="26"/>
      <w:bookmarkEnd w:id="27"/>
    </w:p>
    <w:p w14:paraId="3878D54C">
      <w:pPr>
        <w:spacing w:line="360" w:lineRule="auto"/>
        <w:ind w:firstLine="426" w:firstLineChars="200"/>
        <w:rPr>
          <w:rFonts w:ascii="宋体" w:hAnsi="宋体" w:cs="宋体"/>
        </w:rPr>
      </w:pPr>
      <w:r>
        <w:rPr>
          <w:rFonts w:hint="eastAsia" w:ascii="宋体" w:hAnsi="宋体" w:cs="宋体"/>
        </w:rPr>
        <w:t>1.2.1 资金来源及比例：见投标人须知前附表。</w:t>
      </w:r>
    </w:p>
    <w:p w14:paraId="0E9B9516">
      <w:pPr>
        <w:spacing w:line="360" w:lineRule="auto"/>
        <w:ind w:firstLine="426" w:firstLineChars="200"/>
        <w:rPr>
          <w:rFonts w:ascii="宋体" w:hAnsi="宋体" w:cs="宋体"/>
        </w:rPr>
      </w:pPr>
      <w:r>
        <w:rPr>
          <w:rFonts w:hint="eastAsia" w:ascii="宋体" w:hAnsi="宋体" w:cs="宋体"/>
        </w:rPr>
        <w:t>1.2.2 资金落实情况：见投标人须知前附表。</w:t>
      </w:r>
    </w:p>
    <w:p w14:paraId="01B3239E">
      <w:pPr>
        <w:pStyle w:val="5"/>
        <w:spacing w:before="62" w:beforeLines="20" w:after="62" w:afterLines="20" w:line="360" w:lineRule="auto"/>
        <w:rPr>
          <w:rFonts w:ascii="宋体" w:hAnsi="宋体" w:cs="宋体"/>
        </w:rPr>
      </w:pPr>
      <w:bookmarkStart w:id="28" w:name="_Toc13729"/>
      <w:bookmarkStart w:id="29" w:name="_Toc24104531"/>
      <w:bookmarkStart w:id="30" w:name="_Toc6086"/>
      <w:bookmarkStart w:id="31" w:name="_Toc3755"/>
      <w:r>
        <w:rPr>
          <w:rFonts w:hint="eastAsia" w:ascii="宋体" w:hAnsi="宋体" w:cs="宋体"/>
        </w:rPr>
        <w:t>1.3 招标范围、服务期限和质量标准</w:t>
      </w:r>
      <w:bookmarkEnd w:id="28"/>
      <w:bookmarkEnd w:id="29"/>
      <w:bookmarkEnd w:id="30"/>
      <w:bookmarkEnd w:id="31"/>
    </w:p>
    <w:p w14:paraId="506A27D5">
      <w:pPr>
        <w:spacing w:line="360" w:lineRule="auto"/>
        <w:ind w:firstLine="426" w:firstLineChars="200"/>
        <w:rPr>
          <w:rFonts w:ascii="宋体" w:hAnsi="宋体" w:cs="宋体"/>
        </w:rPr>
      </w:pPr>
      <w:r>
        <w:rPr>
          <w:rFonts w:hint="eastAsia" w:ascii="宋体" w:hAnsi="宋体" w:cs="宋体"/>
        </w:rPr>
        <w:t>1.3.1 招标范围：见投标人须知前附表。</w:t>
      </w:r>
    </w:p>
    <w:p w14:paraId="13870281">
      <w:pPr>
        <w:spacing w:line="360" w:lineRule="auto"/>
        <w:ind w:firstLine="426" w:firstLineChars="200"/>
        <w:rPr>
          <w:rFonts w:ascii="宋体" w:hAnsi="宋体" w:cs="宋体"/>
        </w:rPr>
      </w:pPr>
      <w:r>
        <w:rPr>
          <w:rFonts w:hint="eastAsia" w:ascii="宋体" w:hAnsi="宋体" w:cs="宋体"/>
        </w:rPr>
        <w:t>1.3.2 服务期限：见投标人须知前附表。</w:t>
      </w:r>
    </w:p>
    <w:p w14:paraId="3D77DD77">
      <w:pPr>
        <w:spacing w:line="360" w:lineRule="auto"/>
        <w:ind w:firstLine="426" w:firstLineChars="200"/>
        <w:rPr>
          <w:rFonts w:ascii="宋体" w:hAnsi="宋体" w:cs="宋体"/>
        </w:rPr>
      </w:pPr>
      <w:r>
        <w:rPr>
          <w:rFonts w:hint="eastAsia" w:ascii="宋体" w:hAnsi="宋体" w:cs="宋体"/>
        </w:rPr>
        <w:t>1.3.3 质量标准：见投标人须知前附表。</w:t>
      </w:r>
    </w:p>
    <w:p w14:paraId="3A77E676">
      <w:pPr>
        <w:pStyle w:val="5"/>
        <w:spacing w:before="62" w:beforeLines="20" w:after="62" w:afterLines="20" w:line="360" w:lineRule="auto"/>
        <w:rPr>
          <w:rFonts w:ascii="宋体" w:hAnsi="宋体" w:cs="宋体"/>
        </w:rPr>
      </w:pPr>
      <w:bookmarkStart w:id="32" w:name="_Toc20218"/>
      <w:bookmarkStart w:id="33" w:name="_Toc1816"/>
      <w:bookmarkStart w:id="34" w:name="_Toc24104532"/>
      <w:bookmarkStart w:id="35" w:name="_Toc21016"/>
      <w:r>
        <w:rPr>
          <w:rFonts w:hint="eastAsia" w:ascii="宋体" w:hAnsi="宋体" w:cs="宋体"/>
        </w:rPr>
        <w:t>1.4 投标人资格要求</w:t>
      </w:r>
      <w:bookmarkEnd w:id="32"/>
      <w:bookmarkEnd w:id="33"/>
      <w:bookmarkEnd w:id="34"/>
      <w:bookmarkEnd w:id="35"/>
    </w:p>
    <w:p w14:paraId="24D11A9B">
      <w:pPr>
        <w:spacing w:line="360" w:lineRule="auto"/>
        <w:ind w:firstLine="426" w:firstLineChars="200"/>
        <w:rPr>
          <w:rFonts w:ascii="宋体" w:hAnsi="宋体" w:cs="宋体"/>
        </w:rPr>
      </w:pPr>
      <w:r>
        <w:rPr>
          <w:rFonts w:hint="eastAsia" w:ascii="宋体" w:hAnsi="宋体" w:cs="宋体"/>
        </w:rPr>
        <w:t>1.4.1 投标人应具备承担本招标项目资质条件、能力和信誉：</w:t>
      </w:r>
    </w:p>
    <w:p w14:paraId="04F668B4">
      <w:pPr>
        <w:spacing w:line="360" w:lineRule="auto"/>
        <w:ind w:firstLine="426" w:firstLineChars="200"/>
        <w:rPr>
          <w:rFonts w:ascii="宋体" w:hAnsi="宋体" w:cs="宋体"/>
        </w:rPr>
      </w:pPr>
      <w:r>
        <w:rPr>
          <w:rFonts w:hint="eastAsia" w:ascii="宋体" w:hAnsi="宋体" w:cs="宋体"/>
        </w:rPr>
        <w:t>（1）资质要求：见投标人须知前附表；</w:t>
      </w:r>
    </w:p>
    <w:p w14:paraId="7C1B844C">
      <w:pPr>
        <w:spacing w:line="360" w:lineRule="auto"/>
        <w:ind w:firstLine="426" w:firstLineChars="200"/>
        <w:rPr>
          <w:rFonts w:ascii="宋体" w:hAnsi="宋体" w:cs="宋体"/>
        </w:rPr>
      </w:pPr>
      <w:r>
        <w:rPr>
          <w:rFonts w:hint="eastAsia" w:ascii="宋体" w:hAnsi="宋体" w:cs="宋体"/>
        </w:rPr>
        <w:t>（2）财务要求：见投标人须知前附表；</w:t>
      </w:r>
    </w:p>
    <w:p w14:paraId="46AF5FAE">
      <w:pPr>
        <w:spacing w:line="360" w:lineRule="auto"/>
        <w:ind w:firstLine="426" w:firstLineChars="200"/>
        <w:rPr>
          <w:rFonts w:ascii="宋体" w:hAnsi="宋体" w:cs="宋体"/>
        </w:rPr>
      </w:pPr>
      <w:r>
        <w:rPr>
          <w:rFonts w:hint="eastAsia" w:ascii="宋体" w:hAnsi="宋体" w:cs="宋体"/>
        </w:rPr>
        <w:t>（3）业绩要求：见投标人须知前附表；</w:t>
      </w:r>
    </w:p>
    <w:p w14:paraId="50F66AA8">
      <w:pPr>
        <w:spacing w:line="360" w:lineRule="auto"/>
        <w:ind w:firstLine="426" w:firstLineChars="200"/>
        <w:rPr>
          <w:rFonts w:ascii="宋体" w:hAnsi="宋体" w:cs="宋体"/>
        </w:rPr>
      </w:pPr>
      <w:r>
        <w:rPr>
          <w:rFonts w:hint="eastAsia" w:ascii="宋体" w:hAnsi="宋体" w:cs="宋体"/>
        </w:rPr>
        <w:t>（4）信誉要求：见投标人须知前附表；</w:t>
      </w:r>
    </w:p>
    <w:p w14:paraId="18667DB5">
      <w:pPr>
        <w:spacing w:line="360" w:lineRule="auto"/>
        <w:ind w:firstLine="426" w:firstLineChars="200"/>
        <w:rPr>
          <w:rFonts w:ascii="宋体" w:hAnsi="宋体" w:cs="宋体"/>
          <w:u w:val="single"/>
        </w:rPr>
      </w:pPr>
      <w:r>
        <w:rPr>
          <w:rFonts w:hint="eastAsia" w:ascii="宋体" w:hAnsi="宋体" w:cs="宋体"/>
        </w:rPr>
        <w:t>（5）</w:t>
      </w:r>
      <w:r>
        <w:rPr>
          <w:rFonts w:hint="eastAsia" w:ascii="宋体" w:hAnsi="宋体" w:cs="宋体"/>
          <w:szCs w:val="21"/>
          <w:u w:val="single"/>
        </w:rPr>
        <w:t>项目负责人</w:t>
      </w:r>
      <w:r>
        <w:rPr>
          <w:rFonts w:hint="eastAsia" w:ascii="宋体" w:hAnsi="宋体" w:cs="宋体"/>
        </w:rPr>
        <w:t>的资格要求：</w:t>
      </w:r>
      <w:r>
        <w:rPr>
          <w:rFonts w:hint="eastAsia" w:ascii="宋体" w:hAnsi="宋体" w:cs="宋体"/>
          <w:u w:val="single"/>
        </w:rPr>
        <w:t>具体要求见投标人须知前附表；</w:t>
      </w:r>
    </w:p>
    <w:p w14:paraId="2EF157F4">
      <w:pPr>
        <w:spacing w:line="360" w:lineRule="auto"/>
        <w:ind w:firstLine="426" w:firstLineChars="200"/>
        <w:rPr>
          <w:rFonts w:ascii="宋体" w:hAnsi="宋体" w:cs="宋体"/>
        </w:rPr>
      </w:pPr>
      <w:r>
        <w:rPr>
          <w:rFonts w:hint="eastAsia" w:ascii="宋体" w:hAnsi="宋体" w:cs="宋体"/>
        </w:rPr>
        <w:t>（6）其他主要人员要求：见投标人须知前附表。</w:t>
      </w:r>
    </w:p>
    <w:p w14:paraId="7BC80540">
      <w:pPr>
        <w:spacing w:line="360" w:lineRule="auto"/>
        <w:ind w:firstLine="426" w:firstLineChars="200"/>
        <w:rPr>
          <w:rFonts w:ascii="宋体" w:hAnsi="宋体" w:cs="宋体"/>
        </w:rPr>
      </w:pPr>
      <w:r>
        <w:rPr>
          <w:rFonts w:hint="eastAsia" w:ascii="宋体" w:hAnsi="宋体" w:cs="宋体"/>
        </w:rPr>
        <w:t>（7）试验检测监测仪器设备要求：见投标人须知前附表。</w:t>
      </w:r>
    </w:p>
    <w:p w14:paraId="437E71BE">
      <w:pPr>
        <w:spacing w:line="360" w:lineRule="auto"/>
        <w:ind w:firstLine="426" w:firstLineChars="200"/>
        <w:rPr>
          <w:rFonts w:ascii="宋体" w:hAnsi="宋体" w:cs="宋体"/>
        </w:rPr>
      </w:pPr>
      <w:r>
        <w:rPr>
          <w:rFonts w:hint="eastAsia" w:ascii="宋体" w:hAnsi="宋体" w:cs="宋体"/>
        </w:rPr>
        <w:t>（8）其他要求：见投标人须知前附表。</w:t>
      </w:r>
    </w:p>
    <w:p w14:paraId="64DE6BD9">
      <w:pPr>
        <w:spacing w:line="360" w:lineRule="auto"/>
        <w:ind w:firstLine="426" w:firstLineChars="200"/>
        <w:rPr>
          <w:rFonts w:ascii="宋体" w:hAnsi="宋体" w:cs="宋体"/>
        </w:rPr>
      </w:pPr>
      <w:r>
        <w:rPr>
          <w:rFonts w:hint="eastAsia" w:ascii="宋体" w:hAnsi="宋体" w:cs="宋体"/>
        </w:rPr>
        <w:t>需要提交的相关证明材料见本章第 3.5 款的规定。</w:t>
      </w:r>
    </w:p>
    <w:p w14:paraId="43DC5E44">
      <w:pPr>
        <w:spacing w:line="360" w:lineRule="auto"/>
        <w:ind w:firstLine="426" w:firstLineChars="200"/>
        <w:rPr>
          <w:rFonts w:ascii="宋体" w:hAnsi="宋体" w:cs="宋体"/>
          <w:strike/>
          <w:dstrike w:val="0"/>
        </w:rPr>
      </w:pPr>
      <w:r>
        <w:rPr>
          <w:rFonts w:hint="eastAsia" w:ascii="宋体" w:hAnsi="宋体" w:cs="宋体"/>
          <w:strike/>
          <w:dstrike w:val="0"/>
        </w:rPr>
        <w:t>1.4.2 投标人须知前附表规定接受联合体投标的，联合体除应符合本章第 1.4.1 项和投标人须知前附表的要求外，还应遵守以下规定：</w:t>
      </w:r>
    </w:p>
    <w:p w14:paraId="781928E5">
      <w:pPr>
        <w:spacing w:line="360" w:lineRule="auto"/>
        <w:ind w:firstLine="426" w:firstLineChars="200"/>
        <w:rPr>
          <w:rFonts w:ascii="宋体" w:hAnsi="宋体" w:cs="宋体"/>
          <w:strike/>
          <w:dstrike w:val="0"/>
        </w:rPr>
      </w:pPr>
      <w:r>
        <w:rPr>
          <w:rFonts w:hint="eastAsia" w:ascii="宋体" w:hAnsi="宋体" w:cs="宋体"/>
          <w:strike/>
          <w:dstrike w:val="0"/>
        </w:rPr>
        <w:t>（1）联合体各方应按招标文件提供的格式签订联合体协议书，明确联合体牵头人和各方权利义务，并承诺就中标项目向招标人承担连带责任；</w:t>
      </w:r>
    </w:p>
    <w:p w14:paraId="7842E35B">
      <w:pPr>
        <w:spacing w:line="360" w:lineRule="auto"/>
        <w:ind w:firstLine="426" w:firstLineChars="200"/>
        <w:rPr>
          <w:rFonts w:ascii="宋体" w:hAnsi="宋体" w:cs="宋体"/>
          <w:strike/>
          <w:dstrike w:val="0"/>
        </w:rPr>
      </w:pPr>
      <w:r>
        <w:rPr>
          <w:rFonts w:hint="eastAsia" w:ascii="宋体" w:hAnsi="宋体" w:cs="宋体"/>
          <w:strike/>
          <w:dstrike w:val="0"/>
        </w:rPr>
        <w:t>（2）由同一专业的单位组成的联合体，按照资质等级较低的单位确定资质等级；</w:t>
      </w:r>
    </w:p>
    <w:p w14:paraId="3919182A">
      <w:pPr>
        <w:spacing w:line="360" w:lineRule="auto"/>
        <w:ind w:firstLine="426" w:firstLineChars="200"/>
        <w:rPr>
          <w:rFonts w:ascii="宋体" w:hAnsi="宋体" w:cs="宋体"/>
        </w:rPr>
      </w:pPr>
      <w:r>
        <w:rPr>
          <w:rFonts w:hint="eastAsia" w:ascii="宋体" w:hAnsi="宋体" w:cs="宋体"/>
          <w:strike/>
          <w:dstrike w:val="0"/>
        </w:rPr>
        <w:t>（3）联合体各方不得再以自己名义单独或参加其他联合体在本招标项目中投标，否则各相关投标均无效。</w:t>
      </w:r>
    </w:p>
    <w:p w14:paraId="12C0D1B6">
      <w:pPr>
        <w:spacing w:line="360" w:lineRule="auto"/>
        <w:ind w:firstLine="426" w:firstLineChars="200"/>
        <w:rPr>
          <w:rFonts w:ascii="宋体" w:hAnsi="宋体" w:cs="宋体"/>
        </w:rPr>
      </w:pPr>
      <w:r>
        <w:rPr>
          <w:rFonts w:hint="eastAsia" w:ascii="宋体" w:hAnsi="宋体" w:cs="宋体"/>
        </w:rPr>
        <w:t>1.4.3 投标人不得存在下列情形之一：</w:t>
      </w:r>
    </w:p>
    <w:p w14:paraId="00B769DB">
      <w:pPr>
        <w:spacing w:line="360" w:lineRule="auto"/>
        <w:ind w:firstLine="426" w:firstLineChars="200"/>
        <w:rPr>
          <w:rFonts w:hint="eastAsia" w:ascii="宋体" w:hAnsi="宋体" w:cs="宋体"/>
          <w:u w:val="single"/>
        </w:rPr>
      </w:pPr>
      <w:bookmarkStart w:id="36" w:name="_Toc24104533"/>
      <w:bookmarkStart w:id="37" w:name="_Toc31703"/>
      <w:bookmarkStart w:id="38" w:name="_Toc26428"/>
      <w:r>
        <w:rPr>
          <w:rFonts w:hint="eastAsia" w:ascii="宋体" w:hAnsi="宋体" w:cs="宋体"/>
          <w:u w:val="single"/>
        </w:rPr>
        <w:t>（1）为招标人不具有独立法人资格的附属机构（单位）；</w:t>
      </w:r>
    </w:p>
    <w:p w14:paraId="7D540439">
      <w:pPr>
        <w:spacing w:line="360" w:lineRule="auto"/>
        <w:ind w:firstLine="426" w:firstLineChars="200"/>
        <w:rPr>
          <w:rFonts w:hint="eastAsia" w:ascii="宋体" w:hAnsi="宋体" w:cs="宋体"/>
          <w:u w:val="single"/>
        </w:rPr>
      </w:pPr>
      <w:r>
        <w:rPr>
          <w:rFonts w:hint="eastAsia" w:ascii="宋体" w:hAnsi="宋体" w:cs="宋体"/>
          <w:u w:val="single"/>
        </w:rPr>
        <w:t>（2）为本标段前期准备提供设计或咨询服务或者与本项目设计人或提供咨询服务的机构存在附属关系的</w:t>
      </w:r>
    </w:p>
    <w:p w14:paraId="5570A36F">
      <w:pPr>
        <w:spacing w:line="360" w:lineRule="auto"/>
        <w:ind w:firstLine="426" w:firstLineChars="200"/>
        <w:rPr>
          <w:rFonts w:hint="eastAsia" w:ascii="宋体" w:hAnsi="宋体" w:cs="宋体"/>
          <w:u w:val="single"/>
        </w:rPr>
      </w:pPr>
      <w:r>
        <w:rPr>
          <w:rFonts w:hint="eastAsia" w:ascii="宋体" w:hAnsi="宋体" w:cs="宋体"/>
          <w:u w:val="single"/>
        </w:rPr>
        <w:t>（3）</w:t>
      </w:r>
      <w:r>
        <w:rPr>
          <w:rFonts w:hint="eastAsia"/>
        </w:rPr>
        <w:t>与本标段的检测机构有隶属关系或者其他利害关系；</w:t>
      </w:r>
    </w:p>
    <w:p w14:paraId="2B799D79">
      <w:pPr>
        <w:spacing w:line="360" w:lineRule="auto"/>
        <w:ind w:firstLine="426" w:firstLineChars="200"/>
        <w:rPr>
          <w:rFonts w:hint="eastAsia" w:ascii="宋体" w:hAnsi="宋体" w:cs="宋体"/>
          <w:u w:val="single"/>
        </w:rPr>
      </w:pPr>
      <w:r>
        <w:rPr>
          <w:rFonts w:hint="eastAsia" w:ascii="宋体" w:hAnsi="宋体" w:cs="宋体"/>
          <w:u w:val="single"/>
        </w:rPr>
        <w:t>（4）为本招标项目的代建人；</w:t>
      </w:r>
    </w:p>
    <w:p w14:paraId="012F6984">
      <w:pPr>
        <w:spacing w:line="360" w:lineRule="auto"/>
        <w:ind w:firstLine="426" w:firstLineChars="200"/>
        <w:rPr>
          <w:rFonts w:hint="eastAsia" w:ascii="宋体" w:hAnsi="宋体" w:cs="宋体"/>
          <w:u w:val="single"/>
        </w:rPr>
      </w:pPr>
      <w:r>
        <w:rPr>
          <w:rFonts w:hint="eastAsia" w:ascii="宋体" w:hAnsi="宋体" w:cs="宋体"/>
          <w:u w:val="single"/>
        </w:rPr>
        <w:t>（5）为本招标项目的招标代理机构；</w:t>
      </w:r>
    </w:p>
    <w:p w14:paraId="1BF77E8B">
      <w:pPr>
        <w:spacing w:line="360" w:lineRule="auto"/>
        <w:ind w:firstLine="426" w:firstLineChars="200"/>
        <w:rPr>
          <w:rFonts w:hint="eastAsia" w:ascii="宋体" w:hAnsi="宋体" w:cs="宋体"/>
          <w:u w:val="single"/>
        </w:rPr>
      </w:pPr>
      <w:r>
        <w:rPr>
          <w:rFonts w:hint="eastAsia" w:ascii="宋体" w:hAnsi="宋体" w:cs="宋体"/>
          <w:u w:val="single"/>
        </w:rPr>
        <w:t>（6）与本招标项目的代建人或招标代理机构同为一个法定代表人；</w:t>
      </w:r>
    </w:p>
    <w:p w14:paraId="6CFDDBA1">
      <w:pPr>
        <w:spacing w:line="360" w:lineRule="auto"/>
        <w:ind w:firstLine="426" w:firstLineChars="200"/>
        <w:rPr>
          <w:rFonts w:hint="eastAsia" w:ascii="宋体" w:hAnsi="宋体" w:cs="宋体"/>
          <w:u w:val="single"/>
        </w:rPr>
      </w:pPr>
      <w:r>
        <w:rPr>
          <w:rFonts w:hint="eastAsia" w:ascii="宋体" w:hAnsi="宋体" w:cs="宋体"/>
          <w:u w:val="single"/>
        </w:rPr>
        <w:t>（7）与本标段的监理人或代建人或招标代理机构互相控股或参股的；</w:t>
      </w:r>
    </w:p>
    <w:p w14:paraId="6FB4FF66">
      <w:pPr>
        <w:spacing w:line="360" w:lineRule="auto"/>
        <w:ind w:firstLine="426" w:firstLineChars="200"/>
        <w:rPr>
          <w:rFonts w:hint="eastAsia" w:ascii="宋体" w:hAnsi="宋体" w:cs="宋体"/>
          <w:u w:val="single"/>
        </w:rPr>
      </w:pPr>
      <w:r>
        <w:rPr>
          <w:rFonts w:hint="eastAsia" w:ascii="宋体" w:hAnsi="宋体" w:cs="宋体"/>
          <w:u w:val="single"/>
        </w:rPr>
        <w:t>（8）与本标段的监理人或代建人或招标代理机构相互任职或工作的；</w:t>
      </w:r>
    </w:p>
    <w:p w14:paraId="18AFA254">
      <w:pPr>
        <w:spacing w:line="360" w:lineRule="auto"/>
        <w:ind w:firstLine="426" w:firstLineChars="200"/>
        <w:rPr>
          <w:rFonts w:hint="eastAsia" w:ascii="宋体" w:hAnsi="宋体" w:cs="宋体"/>
          <w:u w:val="single"/>
        </w:rPr>
      </w:pPr>
      <w:r>
        <w:rPr>
          <w:rFonts w:hint="eastAsia" w:ascii="宋体" w:hAnsi="宋体" w:cs="宋体"/>
          <w:u w:val="single"/>
        </w:rPr>
        <w:t>（9）与本标段的检测机构有隶属关系或者其他利害关系；</w:t>
      </w:r>
    </w:p>
    <w:p w14:paraId="45891D4F">
      <w:pPr>
        <w:pStyle w:val="30"/>
        <w:rPr>
          <w:rFonts w:hint="eastAsia"/>
        </w:rPr>
      </w:pPr>
      <w:r>
        <w:rPr>
          <w:rFonts w:hint="eastAsia" w:ascii="宋体" w:hAnsi="宋体" w:cs="宋体"/>
          <w:u w:val="single"/>
        </w:rPr>
        <w:t>（10）与招标人存在利害关系且可能影响招标公正性；</w:t>
      </w:r>
    </w:p>
    <w:p w14:paraId="4BA2514D">
      <w:pPr>
        <w:spacing w:line="360" w:lineRule="auto"/>
        <w:ind w:firstLine="426" w:firstLineChars="200"/>
        <w:rPr>
          <w:rFonts w:hint="eastAsia" w:ascii="宋体" w:hAnsi="宋体" w:cs="宋体"/>
          <w:u w:val="single"/>
        </w:rPr>
      </w:pPr>
      <w:r>
        <w:rPr>
          <w:rFonts w:hint="eastAsia" w:ascii="宋体" w:hAnsi="宋体" w:cs="宋体"/>
          <w:u w:val="single"/>
        </w:rPr>
        <w:t>（11）被依法暂停或者取消投标资格；（本项事实应当以根据《中华人民共和国行政处罚法》依法作出并已经生效的行政处罚决定为认定依据。行政处罚决定中已经明确的暂停或取消投标资格的区域范围不包含本标段建设地点的，不受该项规定限制）</w:t>
      </w:r>
    </w:p>
    <w:p w14:paraId="2D01DA07">
      <w:pPr>
        <w:spacing w:line="360" w:lineRule="auto"/>
        <w:ind w:firstLine="426" w:firstLineChars="200"/>
        <w:rPr>
          <w:rFonts w:hint="eastAsia" w:ascii="宋体" w:hAnsi="宋体" w:cs="宋体"/>
          <w:u w:val="single"/>
        </w:rPr>
      </w:pPr>
      <w:r>
        <w:rPr>
          <w:rFonts w:hint="eastAsia" w:ascii="宋体" w:hAnsi="宋体" w:cs="宋体"/>
          <w:u w:val="single"/>
        </w:rPr>
        <w:t>（12）被责令停产停业、暂扣或者吊销许可证、暂扣或者吊销执照；（本项事实应当以根据《中华人民共和国行政处罚法》依法作出并已经生效的行政处罚决定为认定依据。）</w:t>
      </w:r>
    </w:p>
    <w:p w14:paraId="15DA3E81">
      <w:pPr>
        <w:spacing w:line="360" w:lineRule="auto"/>
        <w:ind w:firstLine="426" w:firstLineChars="200"/>
        <w:rPr>
          <w:rFonts w:hint="eastAsia" w:ascii="宋体" w:hAnsi="宋体" w:cs="宋体"/>
          <w:u w:val="single"/>
        </w:rPr>
      </w:pPr>
      <w:r>
        <w:rPr>
          <w:rFonts w:hint="eastAsia" w:ascii="宋体" w:hAnsi="宋体" w:cs="宋体"/>
          <w:u w:val="single"/>
        </w:rPr>
        <w:t>（13）进入清算程序，或被宣告破产，或其他丧失履约能力的情形；</w:t>
      </w:r>
    </w:p>
    <w:p w14:paraId="3EE2B400">
      <w:pPr>
        <w:spacing w:line="360" w:lineRule="auto"/>
        <w:ind w:firstLine="426" w:firstLineChars="200"/>
        <w:rPr>
          <w:rFonts w:hint="eastAsia" w:ascii="宋体" w:hAnsi="宋体" w:cs="宋体"/>
          <w:u w:val="single"/>
        </w:rPr>
      </w:pPr>
      <w:r>
        <w:rPr>
          <w:rFonts w:hint="eastAsia" w:ascii="宋体" w:hAnsi="宋体" w:cs="宋体"/>
          <w:u w:val="single"/>
          <w:lang w:val="en-US" w:eastAsia="zh-CN"/>
        </w:rPr>
        <w:t>（14）</w:t>
      </w:r>
      <w:r>
        <w:rPr>
          <w:rFonts w:hint="eastAsia" w:ascii="宋体" w:hAnsi="宋体" w:cs="宋体"/>
          <w:u w:val="single"/>
        </w:rPr>
        <w:t>在最近三年内发生重大施工图审查质量问题（以相关行业主管部门的行政处罚决定或司法机关出具的有关法律文书为准；“最近三年”是指从投标截止时间之日起逆推三年，以相关行业主管部门、司法机关出具的生效文件的落款时间起计算）；</w:t>
      </w:r>
    </w:p>
    <w:p w14:paraId="08975CAB">
      <w:pPr>
        <w:spacing w:line="360" w:lineRule="auto"/>
        <w:ind w:firstLine="426" w:firstLineChars="200"/>
        <w:rPr>
          <w:rFonts w:hint="eastAsia" w:ascii="宋体" w:hAnsi="宋体" w:cs="宋体"/>
          <w:u w:val="single"/>
        </w:rPr>
      </w:pPr>
      <w:r>
        <w:rPr>
          <w:rFonts w:hint="eastAsia" w:ascii="宋体" w:hAnsi="宋体" w:cs="宋体"/>
          <w:u w:val="single"/>
          <w:lang w:eastAsia="zh-CN"/>
        </w:rPr>
        <w:t>（</w:t>
      </w:r>
      <w:r>
        <w:rPr>
          <w:rFonts w:hint="eastAsia" w:ascii="宋体" w:hAnsi="宋体" w:cs="宋体"/>
          <w:u w:val="single"/>
          <w:lang w:val="en-US" w:eastAsia="zh-CN"/>
        </w:rPr>
        <w:t>15</w:t>
      </w:r>
      <w:r>
        <w:rPr>
          <w:rFonts w:hint="eastAsia" w:ascii="宋体" w:hAnsi="宋体" w:cs="宋体"/>
          <w:u w:val="single"/>
          <w:lang w:eastAsia="zh-CN"/>
        </w:rPr>
        <w:t>）</w:t>
      </w:r>
      <w:r>
        <w:rPr>
          <w:rFonts w:hint="eastAsia" w:ascii="宋体" w:hAnsi="宋体" w:cs="宋体"/>
          <w:u w:val="single"/>
        </w:rPr>
        <w:t>法律法规或投标人须知前附表规定的其他情形。</w:t>
      </w:r>
    </w:p>
    <w:p w14:paraId="71521509">
      <w:pPr>
        <w:spacing w:line="360" w:lineRule="auto"/>
        <w:ind w:firstLine="426" w:firstLineChars="200"/>
        <w:rPr>
          <w:rFonts w:hint="eastAsia" w:ascii="宋体" w:hAnsi="宋体" w:cs="宋体"/>
          <w:u w:val="single"/>
        </w:rPr>
      </w:pPr>
      <w:r>
        <w:rPr>
          <w:rFonts w:hint="eastAsia" w:ascii="宋体" w:hAnsi="宋体" w:cs="宋体"/>
          <w:u w:val="single"/>
        </w:rPr>
        <w:t>1.4.4 单位负责人为同一人或者存在控股、管理关系的不同单位，不得同时参加本招标项目投标。</w:t>
      </w:r>
    </w:p>
    <w:p w14:paraId="31CAC4FE">
      <w:pPr>
        <w:pStyle w:val="5"/>
        <w:spacing w:before="62" w:beforeLines="20" w:after="62" w:afterLines="20" w:line="360" w:lineRule="auto"/>
        <w:rPr>
          <w:rFonts w:ascii="宋体" w:hAnsi="宋体" w:cs="宋体"/>
        </w:rPr>
      </w:pPr>
      <w:bookmarkStart w:id="39" w:name="_Toc23297"/>
      <w:r>
        <w:rPr>
          <w:rFonts w:hint="eastAsia" w:ascii="宋体" w:hAnsi="宋体" w:cs="宋体"/>
        </w:rPr>
        <w:t>1.5 费用承担</w:t>
      </w:r>
      <w:bookmarkEnd w:id="36"/>
      <w:bookmarkEnd w:id="37"/>
      <w:bookmarkEnd w:id="38"/>
      <w:bookmarkEnd w:id="39"/>
    </w:p>
    <w:p w14:paraId="4AF418F1">
      <w:pPr>
        <w:spacing w:line="360" w:lineRule="auto"/>
        <w:ind w:firstLine="426" w:firstLineChars="200"/>
        <w:rPr>
          <w:rFonts w:ascii="宋体" w:hAnsi="宋体" w:cs="宋体"/>
        </w:rPr>
      </w:pPr>
      <w:r>
        <w:rPr>
          <w:rFonts w:hint="eastAsia" w:ascii="宋体" w:hAnsi="宋体" w:cs="宋体"/>
        </w:rPr>
        <w:t>投标人准备和参加投标活动发生的费用自理。</w:t>
      </w:r>
    </w:p>
    <w:p w14:paraId="116DB922">
      <w:pPr>
        <w:pStyle w:val="5"/>
        <w:spacing w:before="62" w:beforeLines="20" w:after="62" w:afterLines="20" w:line="360" w:lineRule="auto"/>
        <w:rPr>
          <w:rFonts w:ascii="宋体" w:hAnsi="宋体" w:cs="宋体"/>
        </w:rPr>
      </w:pPr>
      <w:bookmarkStart w:id="40" w:name="_Toc7414"/>
      <w:bookmarkStart w:id="41" w:name="_Toc22328"/>
      <w:bookmarkStart w:id="42" w:name="_Toc24104534"/>
      <w:bookmarkStart w:id="43" w:name="_Toc7586"/>
      <w:r>
        <w:rPr>
          <w:rFonts w:hint="eastAsia" w:ascii="宋体" w:hAnsi="宋体" w:cs="宋体"/>
        </w:rPr>
        <w:t>1.6 保密</w:t>
      </w:r>
      <w:bookmarkEnd w:id="40"/>
      <w:bookmarkEnd w:id="41"/>
      <w:bookmarkEnd w:id="42"/>
      <w:bookmarkEnd w:id="43"/>
    </w:p>
    <w:p w14:paraId="39641030">
      <w:pPr>
        <w:spacing w:line="360" w:lineRule="auto"/>
        <w:ind w:firstLine="426" w:firstLineChars="200"/>
        <w:rPr>
          <w:rFonts w:ascii="宋体" w:hAnsi="宋体" w:cs="宋体"/>
        </w:rPr>
      </w:pPr>
      <w:r>
        <w:rPr>
          <w:rFonts w:hint="eastAsia" w:ascii="宋体" w:hAnsi="宋体" w:cs="宋体"/>
        </w:rPr>
        <w:t>参与招标投标活动的各方应对招标文件和投标文件中的商业和技术等秘密保密，否则应承担相应的法律责任。</w:t>
      </w:r>
    </w:p>
    <w:p w14:paraId="4ECDDC2D">
      <w:pPr>
        <w:pStyle w:val="5"/>
        <w:spacing w:before="62" w:beforeLines="20" w:after="62" w:afterLines="20" w:line="360" w:lineRule="auto"/>
        <w:rPr>
          <w:rFonts w:ascii="宋体" w:hAnsi="宋体" w:cs="宋体"/>
        </w:rPr>
      </w:pPr>
      <w:bookmarkStart w:id="44" w:name="_Toc29737"/>
      <w:bookmarkStart w:id="45" w:name="_Toc23847"/>
      <w:bookmarkStart w:id="46" w:name="_Toc14510"/>
      <w:bookmarkStart w:id="47" w:name="_Toc24104535"/>
      <w:r>
        <w:rPr>
          <w:rFonts w:hint="eastAsia" w:ascii="宋体" w:hAnsi="宋体" w:cs="宋体"/>
        </w:rPr>
        <w:t>1.7 语言文字</w:t>
      </w:r>
      <w:bookmarkEnd w:id="44"/>
      <w:bookmarkEnd w:id="45"/>
      <w:bookmarkEnd w:id="46"/>
      <w:bookmarkEnd w:id="47"/>
    </w:p>
    <w:p w14:paraId="4A8482EA">
      <w:pPr>
        <w:spacing w:line="360" w:lineRule="auto"/>
        <w:ind w:firstLine="426" w:firstLineChars="200"/>
        <w:rPr>
          <w:rFonts w:ascii="宋体" w:hAnsi="宋体" w:cs="宋体"/>
        </w:rPr>
      </w:pPr>
      <w:r>
        <w:rPr>
          <w:rFonts w:hint="eastAsia" w:ascii="宋体" w:hAnsi="宋体" w:cs="宋体"/>
        </w:rPr>
        <w:t>招标投标文件使用的语言文字为中文。专用术语使用外文的，应附有中文注释。</w:t>
      </w:r>
    </w:p>
    <w:p w14:paraId="589F194F">
      <w:pPr>
        <w:pStyle w:val="5"/>
        <w:spacing w:before="62" w:beforeLines="20" w:after="62" w:afterLines="20" w:line="360" w:lineRule="auto"/>
        <w:rPr>
          <w:rFonts w:ascii="宋体" w:hAnsi="宋体" w:cs="宋体"/>
        </w:rPr>
      </w:pPr>
      <w:bookmarkStart w:id="48" w:name="_Toc9409"/>
      <w:bookmarkStart w:id="49" w:name="_Toc23894"/>
      <w:bookmarkStart w:id="50" w:name="_Toc27083"/>
      <w:bookmarkStart w:id="51" w:name="_Toc24104536"/>
      <w:r>
        <w:rPr>
          <w:rFonts w:hint="eastAsia" w:ascii="宋体" w:hAnsi="宋体" w:cs="宋体"/>
        </w:rPr>
        <w:t>1.8 计量单位</w:t>
      </w:r>
      <w:bookmarkEnd w:id="48"/>
      <w:bookmarkEnd w:id="49"/>
      <w:bookmarkEnd w:id="50"/>
      <w:bookmarkEnd w:id="51"/>
    </w:p>
    <w:p w14:paraId="6A9ABE6B">
      <w:pPr>
        <w:spacing w:line="360" w:lineRule="auto"/>
        <w:ind w:firstLine="426" w:firstLineChars="200"/>
        <w:rPr>
          <w:rFonts w:ascii="宋体" w:hAnsi="宋体" w:cs="宋体"/>
        </w:rPr>
      </w:pPr>
      <w:r>
        <w:rPr>
          <w:rFonts w:hint="eastAsia" w:ascii="宋体" w:hAnsi="宋体" w:cs="宋体"/>
        </w:rPr>
        <w:t>所有计量均采用中华人民共和国法定计量单位。</w:t>
      </w:r>
    </w:p>
    <w:p w14:paraId="4D87FD17">
      <w:pPr>
        <w:pStyle w:val="5"/>
        <w:spacing w:before="62" w:beforeLines="20" w:after="62" w:afterLines="20" w:line="360" w:lineRule="auto"/>
        <w:rPr>
          <w:rFonts w:ascii="宋体" w:hAnsi="宋体" w:cs="宋体"/>
        </w:rPr>
      </w:pPr>
      <w:bookmarkStart w:id="52" w:name="_Toc24550"/>
      <w:bookmarkStart w:id="53" w:name="_Toc24104537"/>
      <w:bookmarkStart w:id="54" w:name="_Toc272"/>
      <w:bookmarkStart w:id="55" w:name="_Toc22594"/>
      <w:r>
        <w:rPr>
          <w:rFonts w:hint="eastAsia" w:ascii="宋体" w:hAnsi="宋体" w:cs="宋体"/>
        </w:rPr>
        <w:t>1.9 踏勘现场</w:t>
      </w:r>
      <w:bookmarkEnd w:id="52"/>
      <w:bookmarkEnd w:id="53"/>
      <w:bookmarkEnd w:id="54"/>
      <w:bookmarkEnd w:id="55"/>
    </w:p>
    <w:p w14:paraId="75053C9C">
      <w:pPr>
        <w:spacing w:line="360" w:lineRule="auto"/>
        <w:ind w:firstLine="426" w:firstLineChars="200"/>
        <w:rPr>
          <w:rFonts w:ascii="宋体" w:hAnsi="宋体" w:cs="宋体"/>
        </w:rPr>
      </w:pPr>
      <w:r>
        <w:rPr>
          <w:rFonts w:hint="eastAsia" w:ascii="宋体" w:hAnsi="宋体" w:cs="宋体"/>
        </w:rPr>
        <w:t>1.9.1 投标人须知前附表规定组织踏勘现场的，招标人按投标人须知前附表规定的时间、地点组织投标人踏勘项目现场。部分投标人未按时参加踏勘现场的，不影响踏勘现场的正常进行。</w:t>
      </w:r>
    </w:p>
    <w:p w14:paraId="64F32408">
      <w:pPr>
        <w:spacing w:line="360" w:lineRule="auto"/>
        <w:ind w:firstLine="426" w:firstLineChars="200"/>
        <w:rPr>
          <w:rFonts w:ascii="宋体" w:hAnsi="宋体" w:cs="宋体"/>
        </w:rPr>
      </w:pPr>
      <w:r>
        <w:rPr>
          <w:rFonts w:hint="eastAsia" w:ascii="宋体" w:hAnsi="宋体" w:cs="宋体"/>
        </w:rPr>
        <w:t>1.9.2 投标人踏勘现场发生的费用自理。</w:t>
      </w:r>
    </w:p>
    <w:p w14:paraId="5EBA2E61">
      <w:pPr>
        <w:spacing w:line="360" w:lineRule="auto"/>
        <w:ind w:firstLine="426" w:firstLineChars="200"/>
        <w:rPr>
          <w:rFonts w:ascii="宋体" w:hAnsi="宋体" w:cs="宋体"/>
        </w:rPr>
      </w:pPr>
      <w:r>
        <w:rPr>
          <w:rFonts w:hint="eastAsia" w:ascii="宋体" w:hAnsi="宋体" w:cs="宋体"/>
        </w:rPr>
        <w:t>1.9.3 除招标人的原因外，投标人自行负责在踏勘现场中所发生的人员伤亡和财产损失。</w:t>
      </w:r>
    </w:p>
    <w:p w14:paraId="27923986">
      <w:pPr>
        <w:spacing w:line="360" w:lineRule="auto"/>
        <w:ind w:firstLine="426" w:firstLineChars="200"/>
        <w:rPr>
          <w:rFonts w:ascii="宋体" w:hAnsi="宋体" w:cs="宋体"/>
        </w:rPr>
      </w:pPr>
      <w:r>
        <w:rPr>
          <w:rFonts w:hint="eastAsia" w:ascii="宋体" w:hAnsi="宋体" w:cs="宋体"/>
        </w:rPr>
        <w:t>1.9.4 招标人在踏勘现场中介绍的工程场地和相关的周边环境情况，供投标人在编制投标文件时参考，招标人不对投标人据此作出的判断和决策负责。</w:t>
      </w:r>
    </w:p>
    <w:p w14:paraId="2FB58DF1">
      <w:pPr>
        <w:pStyle w:val="5"/>
        <w:spacing w:before="62" w:beforeLines="20" w:after="62" w:afterLines="20" w:line="360" w:lineRule="auto"/>
        <w:rPr>
          <w:rFonts w:ascii="宋体" w:hAnsi="宋体" w:cs="宋体"/>
          <w:strike/>
        </w:rPr>
      </w:pPr>
      <w:bookmarkStart w:id="56" w:name="_Toc8391"/>
      <w:bookmarkStart w:id="57" w:name="_Toc24195"/>
      <w:bookmarkStart w:id="58" w:name="_Toc16895"/>
      <w:bookmarkStart w:id="59" w:name="_Toc24104538"/>
      <w:r>
        <w:rPr>
          <w:rFonts w:hint="eastAsia" w:ascii="宋体" w:hAnsi="宋体" w:cs="宋体"/>
          <w:strike/>
        </w:rPr>
        <w:t>1.10 投标预备会</w:t>
      </w:r>
      <w:bookmarkEnd w:id="56"/>
      <w:bookmarkEnd w:id="57"/>
      <w:bookmarkEnd w:id="58"/>
      <w:bookmarkEnd w:id="59"/>
    </w:p>
    <w:p w14:paraId="63131C3B">
      <w:pPr>
        <w:spacing w:line="360" w:lineRule="auto"/>
        <w:ind w:firstLine="426" w:firstLineChars="200"/>
        <w:rPr>
          <w:rFonts w:ascii="宋体" w:hAnsi="宋体" w:cs="宋体"/>
          <w:strike/>
        </w:rPr>
      </w:pPr>
      <w:r>
        <w:rPr>
          <w:rFonts w:hint="eastAsia" w:ascii="宋体" w:hAnsi="宋体" w:cs="宋体"/>
          <w:strike/>
        </w:rPr>
        <w:t>1.10.1  投标人须知前附表规定召开投标预备会的，招标人按投标人须知前附表规定的时间和地点召开投标预备会，澄清投标人提出的问题。</w:t>
      </w:r>
    </w:p>
    <w:p w14:paraId="6F2F00C9">
      <w:pPr>
        <w:spacing w:line="360" w:lineRule="auto"/>
        <w:ind w:firstLine="426" w:firstLineChars="200"/>
        <w:rPr>
          <w:rFonts w:ascii="宋体" w:hAnsi="宋体" w:cs="宋体"/>
          <w:strike/>
        </w:rPr>
      </w:pPr>
      <w:r>
        <w:rPr>
          <w:rFonts w:hint="eastAsia" w:ascii="宋体" w:hAnsi="宋体" w:cs="宋体"/>
          <w:strike/>
        </w:rPr>
        <w:t>1.10.2  投标人应按投标人须知前附表规定的时间和形式将提出的问题送达招标人，以便招标人在会议期间澄清。</w:t>
      </w:r>
    </w:p>
    <w:p w14:paraId="793E1ACC">
      <w:pPr>
        <w:spacing w:line="360" w:lineRule="auto"/>
        <w:ind w:firstLine="426" w:firstLineChars="200"/>
        <w:rPr>
          <w:rFonts w:ascii="宋体" w:hAnsi="宋体" w:cs="宋体"/>
          <w:strike/>
        </w:rPr>
      </w:pPr>
      <w:r>
        <w:rPr>
          <w:rFonts w:hint="eastAsia" w:ascii="宋体" w:hAnsi="宋体" w:cs="宋体"/>
          <w:strike/>
        </w:rPr>
        <w:t>1.10.3  投标预备会后，招标人将对投标人所提问题的澄清，以投标人须知前附表规定的形式通知所有购买招标文件的投标人。该澄清内容为招标文件的组成部分。</w:t>
      </w:r>
    </w:p>
    <w:p w14:paraId="5E970702">
      <w:pPr>
        <w:pStyle w:val="5"/>
        <w:spacing w:before="62" w:beforeLines="20" w:after="62" w:afterLines="20" w:line="360" w:lineRule="auto"/>
        <w:rPr>
          <w:rFonts w:ascii="宋体" w:hAnsi="宋体" w:cs="宋体"/>
        </w:rPr>
      </w:pPr>
      <w:bookmarkStart w:id="60" w:name="_Toc19986"/>
      <w:bookmarkStart w:id="61" w:name="_Toc5969"/>
      <w:bookmarkStart w:id="62" w:name="_Toc22601"/>
      <w:bookmarkStart w:id="63" w:name="_Toc24104539"/>
      <w:r>
        <w:rPr>
          <w:rFonts w:hint="eastAsia" w:ascii="宋体" w:hAnsi="宋体" w:cs="宋体"/>
        </w:rPr>
        <w:t>1.11 分包</w:t>
      </w:r>
      <w:bookmarkEnd w:id="60"/>
      <w:bookmarkEnd w:id="61"/>
      <w:bookmarkEnd w:id="62"/>
      <w:bookmarkEnd w:id="63"/>
    </w:p>
    <w:p w14:paraId="62F4BE27">
      <w:pPr>
        <w:spacing w:line="360" w:lineRule="auto"/>
        <w:ind w:firstLine="426" w:firstLineChars="200"/>
        <w:rPr>
          <w:rFonts w:ascii="宋体" w:hAnsi="宋体" w:cs="宋体"/>
        </w:rPr>
      </w:pPr>
      <w:r>
        <w:rPr>
          <w:rFonts w:hint="eastAsia" w:ascii="宋体" w:hAnsi="宋体" w:cs="宋体"/>
        </w:rPr>
        <w:t>本项目严禁分包。</w:t>
      </w:r>
    </w:p>
    <w:p w14:paraId="622FC39E">
      <w:pPr>
        <w:pStyle w:val="5"/>
        <w:spacing w:before="62" w:beforeLines="20" w:after="62" w:afterLines="20" w:line="360" w:lineRule="auto"/>
        <w:rPr>
          <w:rFonts w:ascii="宋体" w:hAnsi="宋体" w:cs="宋体"/>
        </w:rPr>
      </w:pPr>
      <w:bookmarkStart w:id="64" w:name="_Toc16874"/>
      <w:bookmarkStart w:id="65" w:name="_Toc24104540"/>
      <w:bookmarkStart w:id="66" w:name="_Toc21152"/>
      <w:bookmarkStart w:id="67" w:name="_Toc1987"/>
      <w:r>
        <w:rPr>
          <w:rFonts w:hint="eastAsia" w:ascii="宋体" w:hAnsi="宋体" w:cs="宋体"/>
        </w:rPr>
        <w:t>1.12 响应和偏差</w:t>
      </w:r>
      <w:bookmarkEnd w:id="64"/>
      <w:bookmarkEnd w:id="65"/>
      <w:bookmarkEnd w:id="66"/>
      <w:bookmarkEnd w:id="67"/>
    </w:p>
    <w:p w14:paraId="5D70825A">
      <w:pPr>
        <w:spacing w:line="360" w:lineRule="auto"/>
        <w:ind w:firstLine="426" w:firstLineChars="200"/>
        <w:rPr>
          <w:rFonts w:ascii="宋体" w:hAnsi="宋体" w:cs="宋体"/>
        </w:rPr>
      </w:pPr>
      <w:r>
        <w:rPr>
          <w:rFonts w:hint="eastAsia" w:ascii="宋体" w:hAnsi="宋体" w:cs="宋体"/>
        </w:rPr>
        <w:t>1.12.1 投标文件应当对招标文件的实质性要求和条件作出满足性或更有利于招标人的响应，否则，投标人的投标将被否决。实质性要求和条件见投标人须知前附表。</w:t>
      </w:r>
    </w:p>
    <w:p w14:paraId="40459D7F">
      <w:pPr>
        <w:spacing w:line="360" w:lineRule="auto"/>
        <w:ind w:firstLine="426" w:firstLineChars="200"/>
        <w:rPr>
          <w:rFonts w:ascii="宋体" w:hAnsi="宋体" w:cs="宋体"/>
        </w:rPr>
      </w:pPr>
      <w:r>
        <w:rPr>
          <w:rFonts w:hint="eastAsia" w:ascii="宋体" w:hAnsi="宋体" w:cs="宋体"/>
        </w:rPr>
        <w:t>1.12.2 投标人应根据招标文件的要求提供投标</w:t>
      </w:r>
      <w:r>
        <w:rPr>
          <w:rFonts w:hint="eastAsia" w:ascii="宋体" w:hAnsi="宋体"/>
          <w:szCs w:val="21"/>
          <w:u w:val="single"/>
        </w:rPr>
        <w:t>文件</w:t>
      </w:r>
      <w:r>
        <w:rPr>
          <w:rFonts w:hint="eastAsia" w:ascii="宋体" w:hAnsi="宋体" w:cs="宋体"/>
        </w:rPr>
        <w:t>等内容以对招标文件作出响应。</w:t>
      </w:r>
    </w:p>
    <w:p w14:paraId="49B7F311">
      <w:pPr>
        <w:spacing w:line="360" w:lineRule="auto"/>
        <w:ind w:firstLine="426" w:firstLineChars="200"/>
        <w:rPr>
          <w:rFonts w:ascii="宋体" w:hAnsi="宋体" w:cs="宋体"/>
        </w:rPr>
      </w:pPr>
      <w:r>
        <w:rPr>
          <w:rFonts w:hint="eastAsia" w:ascii="宋体" w:hAnsi="宋体" w:cs="宋体"/>
        </w:rPr>
        <w:t>1.12.3 投标人须知前附表允许投标文件偏离招标文件某些要求的，偏差应当符合招标文件规定的偏差范围和幅度。</w:t>
      </w:r>
    </w:p>
    <w:p w14:paraId="30F4BC87">
      <w:pPr>
        <w:pStyle w:val="4"/>
        <w:rPr>
          <w:rFonts w:ascii="宋体" w:hAnsi="宋体" w:eastAsia="宋体" w:cs="宋体"/>
        </w:rPr>
      </w:pPr>
      <w:bookmarkStart w:id="68" w:name="_Toc7113"/>
      <w:bookmarkStart w:id="69" w:name="_Toc24104541"/>
      <w:bookmarkStart w:id="70" w:name="_Toc19186"/>
      <w:bookmarkStart w:id="71" w:name="_Toc10656"/>
      <w:r>
        <w:rPr>
          <w:rFonts w:hint="eastAsia" w:ascii="宋体" w:hAnsi="宋体" w:eastAsia="宋体" w:cs="宋体"/>
        </w:rPr>
        <w:t>2. 招标文件</w:t>
      </w:r>
      <w:bookmarkEnd w:id="68"/>
      <w:bookmarkEnd w:id="69"/>
      <w:bookmarkEnd w:id="70"/>
      <w:bookmarkEnd w:id="71"/>
    </w:p>
    <w:p w14:paraId="37F1495B">
      <w:pPr>
        <w:pStyle w:val="5"/>
        <w:spacing w:before="62" w:beforeLines="20" w:after="62" w:afterLines="20" w:line="360" w:lineRule="auto"/>
        <w:rPr>
          <w:rFonts w:ascii="宋体" w:hAnsi="宋体" w:cs="宋体"/>
        </w:rPr>
      </w:pPr>
      <w:bookmarkStart w:id="72" w:name="_Toc18031"/>
      <w:bookmarkStart w:id="73" w:name="_Toc24104542"/>
      <w:bookmarkStart w:id="74" w:name="_Toc4346"/>
      <w:bookmarkStart w:id="75" w:name="_Toc19209"/>
      <w:r>
        <w:rPr>
          <w:rFonts w:hint="eastAsia" w:ascii="宋体" w:hAnsi="宋体" w:cs="宋体"/>
        </w:rPr>
        <w:t>2.1 招标文件的组成</w:t>
      </w:r>
      <w:bookmarkEnd w:id="72"/>
      <w:bookmarkEnd w:id="73"/>
      <w:bookmarkEnd w:id="74"/>
      <w:bookmarkEnd w:id="75"/>
    </w:p>
    <w:p w14:paraId="3E97F862">
      <w:pPr>
        <w:spacing w:line="360" w:lineRule="auto"/>
        <w:ind w:firstLine="426" w:firstLineChars="200"/>
        <w:rPr>
          <w:rFonts w:ascii="宋体" w:hAnsi="宋体" w:cs="宋体"/>
        </w:rPr>
      </w:pPr>
      <w:r>
        <w:rPr>
          <w:rFonts w:hint="eastAsia" w:ascii="宋体" w:hAnsi="宋体" w:cs="宋体"/>
        </w:rPr>
        <w:t>本招标文件包括：</w:t>
      </w:r>
    </w:p>
    <w:p w14:paraId="672096A6">
      <w:pPr>
        <w:spacing w:line="360" w:lineRule="auto"/>
        <w:ind w:firstLine="426" w:firstLineChars="200"/>
        <w:rPr>
          <w:rFonts w:ascii="宋体" w:hAnsi="宋体" w:cs="宋体"/>
        </w:rPr>
      </w:pPr>
      <w:r>
        <w:rPr>
          <w:rFonts w:hint="eastAsia" w:ascii="宋体" w:hAnsi="宋体" w:cs="宋体"/>
        </w:rPr>
        <w:t>（1）招标公告；</w:t>
      </w:r>
    </w:p>
    <w:p w14:paraId="68405058">
      <w:pPr>
        <w:spacing w:line="360" w:lineRule="auto"/>
        <w:ind w:firstLine="426" w:firstLineChars="200"/>
        <w:rPr>
          <w:rFonts w:ascii="宋体" w:hAnsi="宋体" w:cs="宋体"/>
        </w:rPr>
      </w:pPr>
      <w:r>
        <w:rPr>
          <w:rFonts w:hint="eastAsia" w:ascii="宋体" w:hAnsi="宋体" w:cs="宋体"/>
        </w:rPr>
        <w:t>（2）投标人须知；</w:t>
      </w:r>
    </w:p>
    <w:p w14:paraId="06572B58">
      <w:pPr>
        <w:spacing w:line="360" w:lineRule="auto"/>
        <w:ind w:firstLine="426" w:firstLineChars="200"/>
        <w:rPr>
          <w:rFonts w:ascii="宋体" w:hAnsi="宋体" w:cs="宋体"/>
        </w:rPr>
      </w:pPr>
      <w:r>
        <w:rPr>
          <w:rFonts w:hint="eastAsia" w:ascii="宋体" w:hAnsi="宋体" w:cs="宋体"/>
        </w:rPr>
        <w:t>（3）评标办法；</w:t>
      </w:r>
    </w:p>
    <w:p w14:paraId="59268D9C">
      <w:pPr>
        <w:spacing w:line="360" w:lineRule="auto"/>
        <w:ind w:firstLine="426" w:firstLineChars="200"/>
        <w:rPr>
          <w:rFonts w:ascii="宋体" w:hAnsi="宋体" w:cs="宋体"/>
        </w:rPr>
      </w:pPr>
      <w:r>
        <w:rPr>
          <w:rFonts w:hint="eastAsia" w:ascii="宋体" w:hAnsi="宋体" w:cs="宋体"/>
        </w:rPr>
        <w:t>（4）合同条款及格式（另册）；</w:t>
      </w:r>
    </w:p>
    <w:p w14:paraId="12859F91">
      <w:pPr>
        <w:spacing w:line="360" w:lineRule="auto"/>
        <w:ind w:firstLine="426" w:firstLineChars="200"/>
        <w:rPr>
          <w:rFonts w:hint="eastAsia" w:ascii="宋体" w:hAnsi="宋体" w:cs="宋体"/>
          <w:u w:val="single"/>
        </w:rPr>
      </w:pPr>
      <w:r>
        <w:rPr>
          <w:rFonts w:hint="eastAsia" w:ascii="宋体" w:hAnsi="宋体" w:cs="宋体"/>
          <w:u w:val="single"/>
        </w:rPr>
        <w:t>（5）施工图审查服务技术要求；</w:t>
      </w:r>
    </w:p>
    <w:p w14:paraId="224B91D0">
      <w:pPr>
        <w:spacing w:line="360" w:lineRule="auto"/>
        <w:ind w:firstLine="426" w:firstLineChars="200"/>
        <w:rPr>
          <w:rFonts w:hint="eastAsia" w:ascii="宋体" w:hAnsi="宋体" w:cs="宋体"/>
        </w:rPr>
      </w:pPr>
      <w:r>
        <w:rPr>
          <w:rFonts w:hint="eastAsia" w:ascii="宋体" w:hAnsi="宋体" w:cs="宋体"/>
        </w:rPr>
        <w:t>（6）投标文件格式；</w:t>
      </w:r>
    </w:p>
    <w:p w14:paraId="6E7CA7A9">
      <w:pPr>
        <w:spacing w:line="360" w:lineRule="auto"/>
        <w:ind w:firstLine="426" w:firstLineChars="200"/>
        <w:rPr>
          <w:rFonts w:hint="eastAsia" w:ascii="宋体" w:hAnsi="宋体" w:cs="宋体"/>
        </w:rPr>
      </w:pPr>
      <w:r>
        <w:rPr>
          <w:rFonts w:hint="eastAsia" w:ascii="宋体" w:hAnsi="宋体" w:cs="宋体"/>
        </w:rPr>
        <w:t>（7）投标人须知前附表规定的其他资料。</w:t>
      </w:r>
    </w:p>
    <w:p w14:paraId="71378609">
      <w:pPr>
        <w:spacing w:line="360" w:lineRule="auto"/>
        <w:ind w:firstLine="426" w:firstLineChars="200"/>
        <w:rPr>
          <w:rFonts w:ascii="宋体" w:hAnsi="宋体" w:cs="宋体"/>
        </w:rPr>
      </w:pPr>
      <w:r>
        <w:rPr>
          <w:rFonts w:hint="eastAsia" w:ascii="宋体" w:hAnsi="宋体" w:cs="宋体"/>
        </w:rPr>
        <w:t>根据本章</w:t>
      </w:r>
      <w:r>
        <w:rPr>
          <w:rFonts w:hint="eastAsia" w:ascii="宋体" w:hAnsi="宋体" w:cs="宋体"/>
          <w:strike/>
        </w:rPr>
        <w:t>第 1.10 款、</w:t>
      </w:r>
      <w:r>
        <w:rPr>
          <w:rFonts w:hint="eastAsia" w:ascii="宋体" w:hAnsi="宋体" w:cs="宋体"/>
        </w:rPr>
        <w:t>第 2.2 款和第 2.3 款对招标文件所做的澄清、修改，构成招标文件的组成部分。</w:t>
      </w:r>
    </w:p>
    <w:p w14:paraId="7A1E05D2">
      <w:pPr>
        <w:pStyle w:val="5"/>
        <w:spacing w:before="62" w:beforeLines="20" w:after="62" w:afterLines="20" w:line="360" w:lineRule="auto"/>
        <w:rPr>
          <w:rFonts w:ascii="宋体" w:hAnsi="宋体" w:cs="宋体"/>
        </w:rPr>
      </w:pPr>
      <w:bookmarkStart w:id="76" w:name="_Toc12056"/>
      <w:bookmarkStart w:id="77" w:name="_Toc24104543"/>
      <w:bookmarkStart w:id="78" w:name="_Toc17221"/>
      <w:bookmarkStart w:id="79" w:name="_Toc5343"/>
      <w:r>
        <w:rPr>
          <w:rFonts w:hint="eastAsia" w:ascii="宋体" w:hAnsi="宋体" w:cs="宋体"/>
        </w:rPr>
        <w:t>2.2 招标文件的澄清</w:t>
      </w:r>
      <w:bookmarkEnd w:id="76"/>
      <w:bookmarkEnd w:id="77"/>
      <w:bookmarkEnd w:id="78"/>
      <w:bookmarkEnd w:id="79"/>
    </w:p>
    <w:p w14:paraId="6CD2418C">
      <w:pPr>
        <w:spacing w:line="360" w:lineRule="auto"/>
        <w:ind w:firstLine="426" w:firstLineChars="200"/>
        <w:rPr>
          <w:rFonts w:ascii="宋体" w:hAnsi="宋体" w:cs="宋体"/>
        </w:rPr>
      </w:pPr>
      <w:r>
        <w:rPr>
          <w:rFonts w:hint="eastAsia" w:ascii="宋体" w:hAnsi="宋体" w:cs="宋体"/>
        </w:rPr>
        <w:t>2.2.1 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14:paraId="5929863A">
      <w:pPr>
        <w:spacing w:line="360" w:lineRule="auto"/>
        <w:ind w:firstLine="426" w:firstLineChars="200"/>
        <w:rPr>
          <w:rFonts w:ascii="宋体" w:hAnsi="宋体" w:cs="宋体"/>
        </w:rPr>
      </w:pPr>
      <w:r>
        <w:rPr>
          <w:rFonts w:hint="eastAsia" w:ascii="宋体" w:hAnsi="宋体" w:cs="宋体"/>
        </w:rPr>
        <w:t>2.2.2 招标文件的澄清以投标人须知前附表规定的形式发给所有</w:t>
      </w:r>
      <w:r>
        <w:rPr>
          <w:rFonts w:hint="eastAsia" w:ascii="宋体" w:hAnsi="宋体" w:cs="宋体"/>
          <w:strike/>
        </w:rPr>
        <w:t>购买招标文件的</w:t>
      </w:r>
      <w:r>
        <w:rPr>
          <w:rFonts w:hint="eastAsia" w:ascii="宋体" w:hAnsi="宋体" w:cs="宋体"/>
        </w:rPr>
        <w:t>投标人，但不指明澄清问题的来源。澄清发出的时间距本章第 4.2.1 项规定的投标截止时间不足 15 日的，并且澄清内容可能影响投标文件编制的，将相应延长投标截止时间。</w:t>
      </w:r>
    </w:p>
    <w:p w14:paraId="290F4E57">
      <w:pPr>
        <w:spacing w:line="360" w:lineRule="auto"/>
        <w:ind w:firstLine="426" w:firstLineChars="200"/>
        <w:rPr>
          <w:rFonts w:ascii="宋体" w:hAnsi="宋体" w:cs="宋体"/>
        </w:rPr>
      </w:pPr>
      <w:r>
        <w:rPr>
          <w:rFonts w:hint="eastAsia" w:ascii="宋体" w:hAnsi="宋体" w:cs="宋体"/>
        </w:rPr>
        <w:t>2.2.3</w:t>
      </w:r>
      <w:r>
        <w:rPr>
          <w:rFonts w:hint="eastAsia" w:ascii="宋体" w:hAnsi="宋体" w:cs="宋体"/>
          <w:u w:val="single"/>
        </w:rPr>
        <w:t>招标文件的澄清或修改在广州交易集团有限公司（广州公共资源交易中心）网站答疑专区网上公开发布，发出即视作收到，以广州交易集团有限公司（广州公共资源交易中心）数字交易平台网站发布时间作为送达时间。无需投标人确认。投标人应自行关注，招标人不再一一通知。招标文件的澄清或修改内容作为招标文件的组成部分，具有约束作用。投标人因自身贻误行为导致投标失败的，责任自负。</w:t>
      </w:r>
    </w:p>
    <w:p w14:paraId="4B3D2F54">
      <w:pPr>
        <w:spacing w:line="360" w:lineRule="auto"/>
        <w:ind w:firstLine="426" w:firstLineChars="200"/>
        <w:rPr>
          <w:rFonts w:ascii="宋体" w:hAnsi="宋体" w:cs="宋体"/>
        </w:rPr>
      </w:pPr>
      <w:r>
        <w:rPr>
          <w:rFonts w:hint="eastAsia" w:ascii="宋体" w:hAnsi="宋体" w:cs="宋体"/>
        </w:rPr>
        <w:t>2.2.4 除非招标人认为确有必要答复，否则，招标人有权拒绝回复投标人在本章第 2.2.1 项规定的时间后的任何澄清要求。</w:t>
      </w:r>
    </w:p>
    <w:p w14:paraId="054D8D8C">
      <w:pPr>
        <w:pStyle w:val="5"/>
        <w:spacing w:before="62" w:beforeLines="20" w:after="62" w:afterLines="20" w:line="360" w:lineRule="auto"/>
        <w:rPr>
          <w:rFonts w:ascii="宋体" w:hAnsi="宋体" w:cs="宋体"/>
        </w:rPr>
      </w:pPr>
      <w:bookmarkStart w:id="80" w:name="_Toc19593"/>
      <w:bookmarkStart w:id="81" w:name="_Toc27898"/>
      <w:bookmarkStart w:id="82" w:name="_Toc24104544"/>
      <w:bookmarkStart w:id="83" w:name="_Toc6373"/>
      <w:r>
        <w:rPr>
          <w:rFonts w:hint="eastAsia" w:ascii="宋体" w:hAnsi="宋体" w:cs="宋体"/>
        </w:rPr>
        <w:t>2.3 招标文件的修改</w:t>
      </w:r>
      <w:bookmarkEnd w:id="80"/>
      <w:bookmarkEnd w:id="81"/>
      <w:bookmarkEnd w:id="82"/>
      <w:bookmarkEnd w:id="83"/>
    </w:p>
    <w:p w14:paraId="0B3BFA25">
      <w:pPr>
        <w:spacing w:line="360" w:lineRule="auto"/>
        <w:ind w:firstLine="426" w:firstLineChars="200"/>
        <w:rPr>
          <w:rFonts w:ascii="宋体" w:hAnsi="宋体" w:cs="宋体"/>
        </w:rPr>
      </w:pPr>
      <w:r>
        <w:rPr>
          <w:rFonts w:hint="eastAsia" w:ascii="宋体" w:hAnsi="宋体" w:cs="宋体"/>
        </w:rPr>
        <w:t>2.3.1 招标人以投标人须知前附表规定的形式修改招标文件，并通知所有</w:t>
      </w:r>
      <w:r>
        <w:rPr>
          <w:rFonts w:hint="eastAsia" w:ascii="宋体" w:hAnsi="宋体" w:cs="宋体"/>
          <w:strike/>
        </w:rPr>
        <w:t>已购买招标文件的</w:t>
      </w:r>
      <w:r>
        <w:rPr>
          <w:rFonts w:hint="eastAsia" w:ascii="宋体" w:hAnsi="宋体" w:cs="宋体"/>
        </w:rPr>
        <w:t>投标人。修改招标文件的时间距本章第 4.2.1 项规定的投标截止时间不足 15 日的，并且修改内容可能影响投标文件编制的，将相应延长投标截止时间。</w:t>
      </w:r>
    </w:p>
    <w:p w14:paraId="16F81F75">
      <w:pPr>
        <w:spacing w:line="360" w:lineRule="auto"/>
        <w:ind w:firstLine="426" w:firstLineChars="200"/>
        <w:rPr>
          <w:rFonts w:ascii="宋体" w:hAnsi="宋体" w:cs="宋体"/>
        </w:rPr>
      </w:pPr>
      <w:r>
        <w:rPr>
          <w:rFonts w:hint="eastAsia" w:ascii="宋体" w:hAnsi="宋体" w:cs="宋体"/>
        </w:rPr>
        <w:t xml:space="preserve">2.3.2 </w:t>
      </w:r>
      <w:r>
        <w:rPr>
          <w:rFonts w:hint="eastAsia" w:ascii="宋体" w:hAnsi="宋体" w:cs="宋体"/>
          <w:u w:val="single"/>
        </w:rPr>
        <w:t>招标文件修改一经在</w:t>
      </w:r>
      <w:r>
        <w:rPr>
          <w:rFonts w:hint="eastAsia" w:ascii="宋体" w:hAnsi="宋体" w:cs="宋体"/>
          <w:u w:val="single"/>
          <w:lang w:eastAsia="zh-CN"/>
        </w:rPr>
        <w:t>广州交易集团有限公司(广州公共资源交易中心)</w:t>
      </w:r>
      <w:r>
        <w:rPr>
          <w:rFonts w:hint="eastAsia" w:ascii="宋体" w:hAnsi="宋体" w:cs="宋体"/>
          <w:u w:val="single"/>
        </w:rPr>
        <w:t>网站发布，视作已发放给所有投标人，无需确认。潜在投标人应自行关注招标公告公布的网站公告，招标人不再一一通知。投标人因自身贻误行为导致投标失败的，责任自负。</w:t>
      </w:r>
    </w:p>
    <w:p w14:paraId="47DB7FF4">
      <w:pPr>
        <w:pStyle w:val="5"/>
        <w:spacing w:before="62" w:beforeLines="20" w:after="62" w:afterLines="20" w:line="360" w:lineRule="auto"/>
        <w:rPr>
          <w:rFonts w:ascii="宋体" w:hAnsi="宋体" w:cs="宋体"/>
        </w:rPr>
      </w:pPr>
      <w:bookmarkStart w:id="84" w:name="_Toc29577"/>
      <w:bookmarkStart w:id="85" w:name="_Toc25863"/>
      <w:bookmarkStart w:id="86" w:name="_Toc24104545"/>
      <w:bookmarkStart w:id="87" w:name="_Toc21470"/>
      <w:r>
        <w:rPr>
          <w:rFonts w:hint="eastAsia" w:ascii="宋体" w:hAnsi="宋体" w:cs="宋体"/>
        </w:rPr>
        <w:t>2.4 招标文件的异议</w:t>
      </w:r>
      <w:bookmarkEnd w:id="84"/>
      <w:bookmarkEnd w:id="85"/>
      <w:bookmarkEnd w:id="86"/>
      <w:bookmarkEnd w:id="87"/>
    </w:p>
    <w:p w14:paraId="4AC8932D">
      <w:pPr>
        <w:spacing w:line="360" w:lineRule="auto"/>
        <w:ind w:firstLine="426" w:firstLineChars="200"/>
        <w:rPr>
          <w:rFonts w:ascii="宋体" w:hAnsi="宋体" w:cs="宋体"/>
        </w:rPr>
      </w:pPr>
      <w:r>
        <w:rPr>
          <w:rFonts w:hint="eastAsia" w:ascii="宋体" w:hAnsi="宋体" w:cs="宋体"/>
        </w:rPr>
        <w:t>投标人或者其他利害关系人对招标文件有异议的，应当在投标截止时间10日前向招标人提出，可以通过线下或线上的形式提出异议。线上提出异议的，应通过交易平台进行提交，招标人授权招标代理机构工作人员使用招标代理机构数字证书登录交易平台答复异议，异议答复是招标人真实意思表示。具体按照交易平台相关指南进行操作。招标人将在收到异议之日起3日内作出答复；作出答复前，将暂停招标投标活动。</w:t>
      </w:r>
    </w:p>
    <w:p w14:paraId="0BC2EF88">
      <w:pPr>
        <w:pStyle w:val="4"/>
        <w:rPr>
          <w:rFonts w:ascii="宋体" w:hAnsi="宋体" w:eastAsia="宋体" w:cs="宋体"/>
        </w:rPr>
      </w:pPr>
      <w:bookmarkStart w:id="88" w:name="_Toc17777"/>
      <w:bookmarkStart w:id="89" w:name="_Toc24104546"/>
      <w:bookmarkStart w:id="90" w:name="_Toc3203"/>
      <w:bookmarkStart w:id="91" w:name="_Toc4038"/>
      <w:r>
        <w:rPr>
          <w:rFonts w:hint="eastAsia" w:ascii="宋体" w:hAnsi="宋体" w:eastAsia="宋体" w:cs="宋体"/>
        </w:rPr>
        <w:t>3. 投标文件</w:t>
      </w:r>
      <w:bookmarkEnd w:id="88"/>
      <w:bookmarkEnd w:id="89"/>
      <w:bookmarkEnd w:id="90"/>
      <w:bookmarkEnd w:id="91"/>
    </w:p>
    <w:p w14:paraId="506BE123">
      <w:pPr>
        <w:pStyle w:val="5"/>
        <w:spacing w:before="62" w:beforeLines="20" w:after="62" w:afterLines="20" w:line="360" w:lineRule="auto"/>
        <w:rPr>
          <w:rFonts w:ascii="宋体" w:hAnsi="宋体" w:cs="宋体"/>
        </w:rPr>
      </w:pPr>
      <w:bookmarkStart w:id="92" w:name="_Toc13272"/>
      <w:bookmarkStart w:id="93" w:name="_Toc11630"/>
      <w:bookmarkStart w:id="94" w:name="_Toc24104547"/>
      <w:bookmarkStart w:id="95" w:name="_Toc387"/>
      <w:r>
        <w:rPr>
          <w:rFonts w:hint="eastAsia" w:ascii="宋体" w:hAnsi="宋体" w:cs="宋体"/>
        </w:rPr>
        <w:t>3.1 投标文件的组成</w:t>
      </w:r>
      <w:bookmarkEnd w:id="92"/>
      <w:bookmarkEnd w:id="93"/>
      <w:bookmarkEnd w:id="94"/>
      <w:bookmarkEnd w:id="95"/>
    </w:p>
    <w:p w14:paraId="482C634E">
      <w:pPr>
        <w:spacing w:line="360" w:lineRule="auto"/>
        <w:ind w:firstLine="426" w:firstLineChars="200"/>
        <w:rPr>
          <w:rFonts w:hint="eastAsia" w:ascii="宋体" w:hAnsi="宋体" w:cs="宋体"/>
        </w:rPr>
      </w:pPr>
      <w:r>
        <w:rPr>
          <w:rFonts w:hint="eastAsia" w:ascii="宋体" w:hAnsi="宋体" w:cs="宋体"/>
        </w:rPr>
        <w:t>（1）投标文件封面；</w:t>
      </w:r>
    </w:p>
    <w:p w14:paraId="447D189B">
      <w:pPr>
        <w:spacing w:line="360" w:lineRule="auto"/>
        <w:ind w:firstLine="426" w:firstLineChars="200"/>
        <w:rPr>
          <w:rFonts w:hint="eastAsia" w:ascii="宋体" w:hAnsi="宋体" w:cs="宋体"/>
        </w:rPr>
      </w:pPr>
      <w:r>
        <w:rPr>
          <w:rFonts w:hint="eastAsia" w:ascii="宋体" w:hAnsi="宋体" w:cs="宋体"/>
        </w:rPr>
        <w:t>（2）投标文件目录；</w:t>
      </w:r>
    </w:p>
    <w:p w14:paraId="48AC632B">
      <w:pPr>
        <w:spacing w:line="360" w:lineRule="auto"/>
        <w:ind w:firstLine="426" w:firstLineChars="200"/>
        <w:rPr>
          <w:rFonts w:hint="eastAsia" w:ascii="宋体" w:hAnsi="宋体" w:cs="宋体"/>
        </w:rPr>
      </w:pPr>
      <w:r>
        <w:rPr>
          <w:rFonts w:hint="eastAsia" w:ascii="宋体" w:hAnsi="宋体" w:cs="宋体"/>
        </w:rPr>
        <w:t>（3）投标函及投标函附录；</w:t>
      </w:r>
    </w:p>
    <w:p w14:paraId="5551471D">
      <w:pPr>
        <w:spacing w:line="360" w:lineRule="auto"/>
        <w:ind w:firstLine="426" w:firstLineChars="200"/>
        <w:rPr>
          <w:rFonts w:hint="eastAsia" w:ascii="宋体" w:hAnsi="宋体" w:cs="宋体"/>
        </w:rPr>
      </w:pPr>
      <w:r>
        <w:rPr>
          <w:rFonts w:hint="eastAsia" w:ascii="宋体" w:hAnsi="宋体" w:cs="宋体"/>
        </w:rPr>
        <w:t>（4）法定代表人证明书及法定代表人授权委托书（仅限于非法定代表人参加投标报名活动时提供）（按第六章格式）；</w:t>
      </w:r>
    </w:p>
    <w:p w14:paraId="32E39533">
      <w:pPr>
        <w:spacing w:line="360" w:lineRule="auto"/>
        <w:ind w:firstLine="426" w:firstLineChars="200"/>
        <w:rPr>
          <w:rFonts w:hint="eastAsia" w:ascii="宋体" w:hAnsi="宋体" w:cs="宋体"/>
        </w:rPr>
      </w:pPr>
      <w:r>
        <w:rPr>
          <w:rFonts w:hint="eastAsia" w:ascii="宋体" w:hAnsi="宋体" w:cs="宋体"/>
        </w:rPr>
        <w:t>（5）关于投标保证金的承诺</w:t>
      </w:r>
    </w:p>
    <w:p w14:paraId="0D880569">
      <w:pPr>
        <w:spacing w:line="360" w:lineRule="auto"/>
        <w:ind w:firstLine="426" w:firstLineChars="200"/>
        <w:rPr>
          <w:rFonts w:hint="eastAsia" w:ascii="宋体" w:hAnsi="宋体" w:cs="宋体"/>
        </w:rPr>
      </w:pPr>
      <w:r>
        <w:rPr>
          <w:rFonts w:hint="eastAsia" w:ascii="宋体" w:hAnsi="宋体" w:cs="宋体"/>
        </w:rPr>
        <w:t>（6）投标报价表（按第六章格式）；</w:t>
      </w:r>
    </w:p>
    <w:p w14:paraId="631D4AD5">
      <w:pPr>
        <w:spacing w:line="360" w:lineRule="auto"/>
        <w:ind w:firstLine="426" w:firstLineChars="200"/>
        <w:rPr>
          <w:rFonts w:hint="eastAsia" w:ascii="宋体" w:hAnsi="宋体" w:cs="宋体"/>
        </w:rPr>
      </w:pPr>
      <w:r>
        <w:rPr>
          <w:rFonts w:hint="eastAsia" w:ascii="宋体" w:hAnsi="宋体" w:cs="宋体"/>
        </w:rPr>
        <w:t>（7）资格审查资料；</w:t>
      </w:r>
    </w:p>
    <w:p w14:paraId="3DE9E354">
      <w:pPr>
        <w:spacing w:line="360" w:lineRule="auto"/>
        <w:ind w:firstLine="426" w:firstLineChars="200"/>
        <w:rPr>
          <w:rFonts w:hint="eastAsia" w:ascii="宋体" w:hAnsi="宋体" w:cs="宋体"/>
        </w:rPr>
      </w:pPr>
      <w:r>
        <w:rPr>
          <w:rFonts w:hint="eastAsia" w:ascii="宋体" w:hAnsi="宋体" w:cs="宋体"/>
        </w:rPr>
        <w:t>（8）施工图审查工作方案：根据招标人提供的资料，以及现行的国家和地方的规范和文件结合《评标办法前附表》,编制有针对性的施工图审查工作方案；</w:t>
      </w:r>
    </w:p>
    <w:p w14:paraId="584D257A">
      <w:pPr>
        <w:spacing w:line="360" w:lineRule="auto"/>
        <w:ind w:firstLine="426" w:firstLineChars="200"/>
        <w:rPr>
          <w:rFonts w:hint="eastAsia" w:ascii="宋体" w:hAnsi="宋体" w:cs="宋体"/>
        </w:rPr>
      </w:pPr>
      <w:r>
        <w:rPr>
          <w:rFonts w:hint="eastAsia" w:ascii="宋体" w:hAnsi="宋体" w:cs="宋体"/>
        </w:rPr>
        <w:t>（9）类似项目业绩表（按第六章格式）；</w:t>
      </w:r>
    </w:p>
    <w:p w14:paraId="479C8B87">
      <w:pPr>
        <w:spacing w:line="360" w:lineRule="auto"/>
        <w:ind w:firstLine="426" w:firstLineChars="200"/>
        <w:rPr>
          <w:rFonts w:hint="eastAsia" w:ascii="宋体" w:hAnsi="宋体" w:cs="宋体"/>
        </w:rPr>
      </w:pPr>
      <w:r>
        <w:rPr>
          <w:rFonts w:hint="eastAsia" w:ascii="宋体" w:hAnsi="宋体" w:cs="宋体"/>
        </w:rPr>
        <w:t>（10）拟在本项目任职的主要人员一览表（按第六章格式）；</w:t>
      </w:r>
    </w:p>
    <w:p w14:paraId="05AB3D0B">
      <w:pPr>
        <w:spacing w:line="360" w:lineRule="auto"/>
        <w:ind w:firstLine="426" w:firstLineChars="200"/>
        <w:rPr>
          <w:rFonts w:hint="eastAsia" w:ascii="宋体" w:hAnsi="宋体" w:cs="宋体"/>
        </w:rPr>
      </w:pPr>
      <w:r>
        <w:rPr>
          <w:rFonts w:hint="eastAsia" w:ascii="宋体" w:hAnsi="宋体" w:cs="宋体"/>
        </w:rPr>
        <w:t>（11）主要技术人员简历表（按第六章格式）；</w:t>
      </w:r>
    </w:p>
    <w:p w14:paraId="198B729C">
      <w:pPr>
        <w:spacing w:line="360" w:lineRule="auto"/>
        <w:ind w:firstLine="426" w:firstLineChars="200"/>
        <w:rPr>
          <w:rFonts w:ascii="宋体" w:hAnsi="宋体" w:cs="宋体"/>
        </w:rPr>
      </w:pPr>
      <w:r>
        <w:rPr>
          <w:rFonts w:hint="eastAsia" w:ascii="宋体" w:hAnsi="宋体" w:cs="宋体"/>
        </w:rPr>
        <w:t>（12）投标人认为应该提供的其他资料。</w:t>
      </w:r>
    </w:p>
    <w:p w14:paraId="15B8815F">
      <w:pPr>
        <w:spacing w:line="360" w:lineRule="auto"/>
        <w:ind w:firstLine="426" w:firstLineChars="200"/>
        <w:rPr>
          <w:rFonts w:ascii="宋体" w:hAnsi="宋体" w:cs="宋体"/>
        </w:rPr>
      </w:pPr>
      <w:r>
        <w:rPr>
          <w:rFonts w:hint="eastAsia" w:ascii="宋体" w:hAnsi="宋体" w:cs="宋体"/>
        </w:rPr>
        <w:t>投标人在评标过程中作出的符合法律法规和招标文件规定的澄清确认，构成投标文件的组成部分。</w:t>
      </w:r>
    </w:p>
    <w:p w14:paraId="3478DB10">
      <w:pPr>
        <w:pStyle w:val="5"/>
        <w:spacing w:before="62" w:beforeLines="20" w:after="62" w:afterLines="20" w:line="360" w:lineRule="auto"/>
        <w:rPr>
          <w:rFonts w:ascii="宋体" w:hAnsi="宋体" w:cs="宋体"/>
        </w:rPr>
      </w:pPr>
      <w:bookmarkStart w:id="96" w:name="_Toc4796"/>
      <w:bookmarkStart w:id="97" w:name="_Toc24104548"/>
      <w:bookmarkStart w:id="98" w:name="_Toc5729"/>
      <w:bookmarkStart w:id="99" w:name="_Toc21115"/>
      <w:r>
        <w:rPr>
          <w:rFonts w:hint="eastAsia" w:ascii="宋体" w:hAnsi="宋体" w:cs="宋体"/>
        </w:rPr>
        <w:t>3.2 投标报价</w:t>
      </w:r>
      <w:bookmarkEnd w:id="96"/>
      <w:bookmarkEnd w:id="97"/>
      <w:bookmarkEnd w:id="98"/>
      <w:bookmarkEnd w:id="99"/>
    </w:p>
    <w:p w14:paraId="3E9497DB">
      <w:pPr>
        <w:spacing w:line="360" w:lineRule="auto"/>
        <w:ind w:firstLine="426" w:firstLineChars="200"/>
        <w:rPr>
          <w:rFonts w:hint="eastAsia" w:ascii="宋体" w:hAnsi="宋体" w:cs="宋体"/>
        </w:rPr>
      </w:pPr>
      <w:r>
        <w:rPr>
          <w:rFonts w:hint="eastAsia" w:ascii="宋体" w:hAnsi="宋体" w:cs="宋体"/>
        </w:rPr>
        <w:t>3.2.1投标报价应包括国家规定的增值税税金，除投标人须知前附表另有规定外，增值税税金按一般计税方法计算。投标人应按第六章“投标文件格式”的要求在投标函中进行报价并填写。</w:t>
      </w:r>
    </w:p>
    <w:p w14:paraId="6BB0F21F">
      <w:pPr>
        <w:spacing w:line="360" w:lineRule="auto"/>
        <w:ind w:firstLine="426" w:firstLineChars="200"/>
        <w:rPr>
          <w:rFonts w:hint="eastAsia" w:ascii="宋体" w:hAnsi="宋体" w:cs="宋体"/>
        </w:rPr>
      </w:pPr>
      <w:r>
        <w:rPr>
          <w:rFonts w:hint="eastAsia" w:ascii="宋体" w:hAnsi="宋体" w:cs="宋体"/>
        </w:rPr>
        <w:t>3.2.2投标人应充分了解该项目的总体情况以及影响投标报价的其他要素。</w:t>
      </w:r>
    </w:p>
    <w:p w14:paraId="2E210E21">
      <w:pPr>
        <w:spacing w:line="360" w:lineRule="auto"/>
        <w:ind w:firstLine="426" w:firstLineChars="200"/>
        <w:rPr>
          <w:rFonts w:hint="eastAsia" w:ascii="宋体" w:hAnsi="宋体" w:cs="宋体"/>
        </w:rPr>
      </w:pPr>
      <w:r>
        <w:rPr>
          <w:rFonts w:hint="eastAsia" w:ascii="宋体" w:hAnsi="宋体" w:cs="宋体"/>
        </w:rPr>
        <w:t>3.2.3本项目的报价方式见投标人须知前附表。</w:t>
      </w:r>
    </w:p>
    <w:p w14:paraId="71277F64">
      <w:pPr>
        <w:spacing w:line="360" w:lineRule="auto"/>
        <w:ind w:firstLine="426" w:firstLineChars="200"/>
        <w:rPr>
          <w:rFonts w:hint="eastAsia" w:ascii="宋体" w:hAnsi="宋体" w:cs="宋体"/>
        </w:rPr>
      </w:pPr>
      <w:r>
        <w:rPr>
          <w:rFonts w:hint="eastAsia" w:ascii="宋体" w:hAnsi="宋体" w:cs="宋体"/>
        </w:rPr>
        <w:t>3.2.4招标人设有最高投标限价的，投标人的投标报价不得超过最高投标限价，最高投标限价在投标人须知前附表中载明。</w:t>
      </w:r>
    </w:p>
    <w:p w14:paraId="48743AEE">
      <w:pPr>
        <w:spacing w:line="360" w:lineRule="auto"/>
        <w:ind w:firstLine="426" w:firstLineChars="200"/>
        <w:rPr>
          <w:rFonts w:ascii="宋体" w:hAnsi="宋体" w:cs="宋体"/>
        </w:rPr>
      </w:pPr>
      <w:r>
        <w:rPr>
          <w:rFonts w:hint="eastAsia" w:ascii="宋体" w:hAnsi="宋体" w:cs="宋体"/>
        </w:rPr>
        <w:t>3.2.5投标报价的其他要求见投标人须知前附表。</w:t>
      </w:r>
    </w:p>
    <w:p w14:paraId="240090E1">
      <w:pPr>
        <w:pStyle w:val="5"/>
        <w:spacing w:before="62" w:beforeLines="20" w:after="62" w:afterLines="20" w:line="360" w:lineRule="auto"/>
        <w:rPr>
          <w:rFonts w:ascii="宋体" w:hAnsi="宋体" w:cs="宋体"/>
        </w:rPr>
      </w:pPr>
      <w:bookmarkStart w:id="100" w:name="_Toc13912"/>
      <w:bookmarkStart w:id="101" w:name="_Toc19001"/>
      <w:bookmarkStart w:id="102" w:name="_Toc24104549"/>
      <w:bookmarkStart w:id="103" w:name="_Toc8247"/>
      <w:r>
        <w:rPr>
          <w:rFonts w:hint="eastAsia" w:ascii="宋体" w:hAnsi="宋体" w:cs="宋体"/>
        </w:rPr>
        <w:t>3.3 投标有效期</w:t>
      </w:r>
      <w:bookmarkEnd w:id="100"/>
      <w:bookmarkEnd w:id="101"/>
      <w:bookmarkEnd w:id="102"/>
      <w:bookmarkEnd w:id="103"/>
    </w:p>
    <w:p w14:paraId="44C2CA46">
      <w:pPr>
        <w:spacing w:line="360" w:lineRule="auto"/>
        <w:ind w:firstLine="426" w:firstLineChars="200"/>
        <w:rPr>
          <w:rFonts w:ascii="宋体" w:hAnsi="宋体" w:cs="宋体"/>
        </w:rPr>
      </w:pPr>
      <w:r>
        <w:rPr>
          <w:rFonts w:hint="eastAsia" w:ascii="宋体" w:hAnsi="宋体" w:cs="宋体"/>
        </w:rPr>
        <w:t>3.3.1 除投标人须知前附表另有规定外，投标有效期为 90 天。</w:t>
      </w:r>
    </w:p>
    <w:p w14:paraId="7FD6C4A7">
      <w:pPr>
        <w:spacing w:line="360" w:lineRule="auto"/>
        <w:ind w:firstLine="426" w:firstLineChars="200"/>
        <w:rPr>
          <w:rFonts w:ascii="宋体" w:hAnsi="宋体" w:cs="宋体"/>
        </w:rPr>
      </w:pPr>
      <w:r>
        <w:rPr>
          <w:rFonts w:hint="eastAsia" w:ascii="宋体" w:hAnsi="宋体" w:cs="宋体"/>
        </w:rPr>
        <w:t>3.3.2 在投标有效期内，投标人撤销投标文件的，应承担招标文件和法律规定的责任。</w:t>
      </w:r>
    </w:p>
    <w:p w14:paraId="6D434A14">
      <w:pPr>
        <w:spacing w:line="360" w:lineRule="auto"/>
        <w:ind w:firstLine="426" w:firstLineChars="200"/>
        <w:rPr>
          <w:rFonts w:ascii="宋体" w:hAnsi="宋体" w:cs="宋体"/>
        </w:rPr>
      </w:pPr>
      <w:r>
        <w:rPr>
          <w:rFonts w:hint="eastAsia" w:ascii="宋体" w:hAnsi="宋体" w:cs="宋体"/>
        </w:rPr>
        <w:t>3.3.3 出现特殊情况需要延长投标有效期的，招标人以书面形式通知所有投标人延长投标有效期。投标人应予以书面答复，同意延长的</w:t>
      </w:r>
      <w:r>
        <w:rPr>
          <w:rFonts w:hint="eastAsia" w:ascii="宋体" w:hAnsi="宋体" w:cs="宋体"/>
          <w:strike/>
        </w:rPr>
        <w:t>，应相应延长其投标保证金的有效期</w:t>
      </w:r>
      <w:r>
        <w:rPr>
          <w:rFonts w:hint="eastAsia" w:ascii="宋体" w:hAnsi="宋体" w:cs="宋体"/>
        </w:rPr>
        <w:t>，但不得要求或被允许修改其投标文件；投标人拒绝延长的，其投标失效，</w:t>
      </w:r>
      <w:r>
        <w:rPr>
          <w:rFonts w:hint="eastAsia" w:ascii="宋体" w:hAnsi="宋体" w:cs="宋体"/>
          <w:strike/>
        </w:rPr>
        <w:t>但投标人有权收回其投标保证金及以现金或者支票形式递交的投标保证金的银行同期存款利息</w:t>
      </w:r>
      <w:r>
        <w:rPr>
          <w:rFonts w:hint="eastAsia" w:ascii="宋体" w:hAnsi="宋体" w:cs="宋体"/>
        </w:rPr>
        <w:t>。</w:t>
      </w:r>
    </w:p>
    <w:p w14:paraId="497DD494">
      <w:pPr>
        <w:pStyle w:val="5"/>
        <w:spacing w:before="62" w:beforeLines="20" w:after="62" w:afterLines="20" w:line="360" w:lineRule="auto"/>
        <w:rPr>
          <w:rFonts w:ascii="宋体" w:hAnsi="宋体" w:cs="宋体"/>
          <w:strike w:val="0"/>
        </w:rPr>
      </w:pPr>
      <w:bookmarkStart w:id="104" w:name="_Toc16389"/>
      <w:bookmarkStart w:id="105" w:name="_Toc24104550"/>
      <w:bookmarkStart w:id="106" w:name="_Toc1352"/>
      <w:bookmarkStart w:id="107" w:name="_Toc4707"/>
      <w:r>
        <w:rPr>
          <w:rFonts w:hint="eastAsia" w:ascii="宋体" w:hAnsi="宋体" w:cs="宋体"/>
          <w:strike w:val="0"/>
        </w:rPr>
        <w:t>3.4 投标保证金</w:t>
      </w:r>
      <w:bookmarkEnd w:id="104"/>
      <w:bookmarkEnd w:id="105"/>
      <w:bookmarkEnd w:id="106"/>
      <w:bookmarkEnd w:id="107"/>
    </w:p>
    <w:p w14:paraId="7B512095">
      <w:pPr>
        <w:spacing w:line="360" w:lineRule="auto"/>
        <w:ind w:firstLine="426" w:firstLineChars="200"/>
        <w:rPr>
          <w:rFonts w:ascii="宋体" w:hAnsi="宋体" w:cs="宋体"/>
          <w:strike w:val="0"/>
        </w:rPr>
      </w:pPr>
      <w:r>
        <w:rPr>
          <w:rFonts w:hint="eastAsia" w:ascii="宋体" w:hAnsi="宋体" w:cs="宋体"/>
          <w:strike w:val="0"/>
        </w:rPr>
        <w:t xml:space="preserve">3.4.1 </w:t>
      </w:r>
      <w:r>
        <w:rPr>
          <w:rFonts w:hint="eastAsia" w:ascii="宋体" w:hAnsi="宋体" w:eastAsia="宋体"/>
          <w:color w:val="auto"/>
          <w:sz w:val="21"/>
          <w:szCs w:val="24"/>
          <w:u w:val="single"/>
        </w:rPr>
        <w:t>本项目免收投标保证金，投标人需提供《关于投标保证金的承诺》（详见第六章投标文件格式）。</w:t>
      </w:r>
    </w:p>
    <w:p w14:paraId="725BE6C4">
      <w:pPr>
        <w:spacing w:line="360" w:lineRule="auto"/>
        <w:ind w:firstLine="426" w:firstLineChars="200"/>
        <w:rPr>
          <w:rFonts w:ascii="宋体" w:hAnsi="宋体" w:cs="宋体"/>
          <w:strike w:val="0"/>
        </w:rPr>
      </w:pPr>
      <w:r>
        <w:rPr>
          <w:rFonts w:hint="eastAsia" w:ascii="宋体" w:hAnsi="宋体" w:cs="宋体"/>
          <w:strike w:val="0"/>
        </w:rPr>
        <w:t xml:space="preserve">3.4.2 </w:t>
      </w:r>
      <w:r>
        <w:rPr>
          <w:rFonts w:hint="eastAsia" w:ascii="宋体" w:hAnsi="宋体" w:cs="宋体"/>
          <w:u w:val="single"/>
        </w:rPr>
        <w:t>若投标人存在3.4.</w:t>
      </w:r>
      <w:r>
        <w:rPr>
          <w:rFonts w:hint="eastAsia" w:ascii="宋体" w:hAnsi="宋体" w:cs="宋体"/>
          <w:u w:val="single"/>
          <w:lang w:val="en-US" w:eastAsia="zh-CN"/>
        </w:rPr>
        <w:t>4</w:t>
      </w:r>
      <w:r>
        <w:rPr>
          <w:rFonts w:hint="eastAsia" w:ascii="宋体" w:hAnsi="宋体" w:cs="宋体"/>
          <w:u w:val="single"/>
        </w:rPr>
        <w:t>条款所列不予退还投标保证金情形的，需按照招标人的要求，在发现存在3.4.</w:t>
      </w:r>
      <w:r>
        <w:rPr>
          <w:rFonts w:hint="eastAsia" w:ascii="宋体" w:hAnsi="宋体" w:cs="宋体"/>
          <w:u w:val="single"/>
          <w:lang w:val="en-US" w:eastAsia="zh-CN"/>
        </w:rPr>
        <w:t>4</w:t>
      </w:r>
      <w:r>
        <w:rPr>
          <w:rFonts w:hint="eastAsia" w:ascii="宋体" w:hAnsi="宋体" w:cs="宋体"/>
          <w:u w:val="single"/>
        </w:rPr>
        <w:t>条款所列情形之日起5个工作日内向招标人足额补交投标保证金。</w:t>
      </w:r>
    </w:p>
    <w:p w14:paraId="4AB0EA1C">
      <w:pPr>
        <w:spacing w:line="360" w:lineRule="auto"/>
        <w:ind w:firstLine="426" w:firstLineChars="200"/>
        <w:rPr>
          <w:rFonts w:ascii="宋体" w:hAnsi="宋体" w:cs="宋体"/>
          <w:strike w:val="0"/>
          <w:u w:val="single"/>
        </w:rPr>
      </w:pPr>
      <w:r>
        <w:rPr>
          <w:rFonts w:hint="eastAsia" w:ascii="宋体" w:hAnsi="宋体" w:cs="宋体"/>
          <w:strike/>
        </w:rPr>
        <w:t xml:space="preserve">3.4.3 </w:t>
      </w:r>
      <w:r>
        <w:rPr>
          <w:rFonts w:hint="eastAsia" w:ascii="宋体" w:hAnsi="宋体"/>
          <w:strike/>
          <w:u w:val="single"/>
        </w:rPr>
        <w:t>中标候选人以外的投标人的投标保证金在中标通知书发出之日起五日内退还。中标人和其他中标候选人的投标保证金在书面合同订立之日起五日内退还</w:t>
      </w:r>
      <w:r>
        <w:rPr>
          <w:rFonts w:hint="eastAsia" w:ascii="宋体" w:hAnsi="宋体" w:cs="宋体"/>
          <w:strike/>
        </w:rPr>
        <w:t>。</w:t>
      </w:r>
    </w:p>
    <w:p w14:paraId="00120639">
      <w:pPr>
        <w:spacing w:line="360" w:lineRule="auto"/>
        <w:ind w:firstLine="426" w:firstLineChars="200"/>
        <w:rPr>
          <w:rFonts w:ascii="宋体" w:hAnsi="宋体" w:cs="宋体"/>
          <w:strike w:val="0"/>
        </w:rPr>
      </w:pPr>
      <w:r>
        <w:rPr>
          <w:rFonts w:hint="eastAsia" w:ascii="宋体" w:hAnsi="宋体" w:cs="宋体"/>
          <w:strike w:val="0"/>
        </w:rPr>
        <w:t>3.4.4 有下列情形之一的，投标保证金将不予退还：</w:t>
      </w:r>
    </w:p>
    <w:p w14:paraId="4E856836">
      <w:pPr>
        <w:spacing w:line="360" w:lineRule="auto"/>
        <w:ind w:firstLine="426" w:firstLineChars="200"/>
        <w:rPr>
          <w:rFonts w:ascii="宋体" w:hAnsi="宋体" w:cs="宋体"/>
          <w:strike w:val="0"/>
        </w:rPr>
      </w:pPr>
      <w:r>
        <w:rPr>
          <w:rFonts w:hint="eastAsia" w:ascii="宋体" w:hAnsi="宋体" w:cs="宋体"/>
          <w:strike w:val="0"/>
        </w:rPr>
        <w:t>（1）投标人在投标有效期内撤销投标文件；</w:t>
      </w:r>
    </w:p>
    <w:p w14:paraId="6EFBBF99">
      <w:pPr>
        <w:spacing w:line="360" w:lineRule="auto"/>
        <w:ind w:firstLine="426" w:firstLineChars="200"/>
        <w:rPr>
          <w:rFonts w:ascii="宋体" w:hAnsi="宋体" w:cs="宋体"/>
          <w:strike w:val="0"/>
        </w:rPr>
      </w:pPr>
      <w:r>
        <w:rPr>
          <w:rFonts w:hint="eastAsia" w:ascii="宋体" w:hAnsi="宋体" w:cs="宋体"/>
          <w:strike w:val="0"/>
        </w:rPr>
        <w:t>（2）中标人在收到中标通知书后，无正当理由不与招标人订立合同，在签订合同时向招标人提出附加条件或者不按照招标文件要求提交履约保证金；</w:t>
      </w:r>
    </w:p>
    <w:p w14:paraId="4AF25235">
      <w:pPr>
        <w:spacing w:line="360" w:lineRule="auto"/>
        <w:ind w:firstLine="426" w:firstLineChars="200"/>
        <w:rPr>
          <w:rFonts w:ascii="宋体" w:hAnsi="宋体" w:cs="宋体"/>
          <w:strike w:val="0"/>
        </w:rPr>
      </w:pPr>
      <w:r>
        <w:rPr>
          <w:rFonts w:hint="eastAsia" w:ascii="宋体" w:hAnsi="宋体" w:cs="宋体"/>
          <w:strike w:val="0"/>
        </w:rPr>
        <w:t>（3）发生投标人须知前附表规定的其他可以不予退还投标保证金的情形。</w:t>
      </w:r>
    </w:p>
    <w:p w14:paraId="4D489E62">
      <w:pPr>
        <w:pStyle w:val="5"/>
        <w:spacing w:before="62" w:beforeLines="20" w:after="62" w:afterLines="20" w:line="360" w:lineRule="auto"/>
        <w:rPr>
          <w:rFonts w:ascii="宋体" w:hAnsi="宋体" w:cs="宋体"/>
          <w:strike/>
        </w:rPr>
      </w:pPr>
      <w:bookmarkStart w:id="108" w:name="_Toc110522878"/>
      <w:bookmarkStart w:id="109" w:name="_Toc18059"/>
      <w:bookmarkStart w:id="110" w:name="_Toc24104551"/>
      <w:bookmarkStart w:id="111" w:name="_Toc21133"/>
      <w:bookmarkStart w:id="112" w:name="_Toc1668"/>
      <w:bookmarkStart w:id="113" w:name="_Toc110594335"/>
      <w:r>
        <w:rPr>
          <w:rFonts w:hint="eastAsia" w:ascii="宋体" w:hAnsi="宋体" w:cs="宋体"/>
          <w:strike/>
        </w:rPr>
        <w:t>3.5 资格审查资料（适用于已进行资格预审的）</w:t>
      </w:r>
      <w:bookmarkEnd w:id="108"/>
      <w:bookmarkEnd w:id="109"/>
      <w:bookmarkEnd w:id="110"/>
      <w:bookmarkEnd w:id="111"/>
      <w:bookmarkEnd w:id="112"/>
      <w:bookmarkEnd w:id="113"/>
    </w:p>
    <w:p w14:paraId="75F0FB5A">
      <w:pPr>
        <w:spacing w:line="360" w:lineRule="auto"/>
        <w:ind w:firstLine="426" w:firstLineChars="200"/>
        <w:rPr>
          <w:rFonts w:ascii="宋体" w:hAnsi="宋体" w:cs="宋体"/>
          <w:strike/>
        </w:rPr>
      </w:pPr>
      <w:r>
        <w:rPr>
          <w:rFonts w:hint="eastAsia" w:ascii="宋体" w:hAnsi="宋体" w:cs="宋体"/>
          <w:strike/>
        </w:rPr>
        <w:t>投标人在递交投标文件前，发生可能影响其投标资格的新情况的，应更新或补充其在申请资格预审时提供的资料，以证实其各项资格条件仍能继续满足资格预审文件的要求，且没有实质性降低。</w:t>
      </w:r>
    </w:p>
    <w:p w14:paraId="38E79F29">
      <w:pPr>
        <w:pStyle w:val="5"/>
        <w:spacing w:before="62" w:beforeLines="20" w:after="62" w:afterLines="20" w:line="360" w:lineRule="auto"/>
        <w:rPr>
          <w:rFonts w:ascii="宋体" w:hAnsi="宋体" w:cs="宋体"/>
        </w:rPr>
      </w:pPr>
      <w:bookmarkStart w:id="114" w:name="_Toc24104552"/>
      <w:bookmarkStart w:id="115" w:name="_Toc5017"/>
      <w:bookmarkStart w:id="116" w:name="_Toc1303"/>
      <w:bookmarkStart w:id="117" w:name="_Toc2311"/>
      <w:r>
        <w:rPr>
          <w:rFonts w:hint="eastAsia" w:ascii="宋体" w:hAnsi="宋体" w:cs="宋体"/>
        </w:rPr>
        <w:t>3.5 资格审查资料（适用于未进行资格预审的）</w:t>
      </w:r>
      <w:bookmarkEnd w:id="114"/>
      <w:bookmarkEnd w:id="115"/>
      <w:bookmarkEnd w:id="116"/>
      <w:bookmarkEnd w:id="117"/>
    </w:p>
    <w:p w14:paraId="28D1BE4A">
      <w:pPr>
        <w:spacing w:line="360" w:lineRule="auto"/>
        <w:ind w:firstLine="426" w:firstLineChars="200"/>
        <w:rPr>
          <w:rFonts w:ascii="宋体" w:hAnsi="宋体" w:cs="宋体"/>
        </w:rPr>
      </w:pPr>
      <w:r>
        <w:rPr>
          <w:rFonts w:hint="eastAsia" w:ascii="宋体" w:hAnsi="宋体" w:cs="宋体"/>
        </w:rPr>
        <w:t>除投标人须知前附表另有规定外，投标人应按下列规定提供资格审查资料，以证明其满足本章第 1.4 款规定的资质</w:t>
      </w:r>
      <w:r>
        <w:rPr>
          <w:rFonts w:hint="eastAsia" w:ascii="宋体" w:hAnsi="宋体" w:cs="宋体"/>
          <w:strike/>
        </w:rPr>
        <w:t>、财务、业绩、信誉</w:t>
      </w:r>
      <w:r>
        <w:rPr>
          <w:rFonts w:hint="eastAsia" w:ascii="宋体" w:hAnsi="宋体" w:cs="宋体"/>
        </w:rPr>
        <w:t>等要求。</w:t>
      </w:r>
    </w:p>
    <w:p w14:paraId="117DE0EC">
      <w:pPr>
        <w:spacing w:line="360" w:lineRule="auto"/>
        <w:ind w:firstLine="426" w:firstLineChars="200"/>
        <w:rPr>
          <w:rFonts w:ascii="宋体" w:hAnsi="宋体" w:cs="宋体"/>
          <w:szCs w:val="21"/>
          <w:u w:val="single"/>
        </w:rPr>
      </w:pPr>
      <w:r>
        <w:rPr>
          <w:rFonts w:hint="eastAsia" w:ascii="宋体" w:hAnsi="宋体" w:cs="宋体"/>
          <w:szCs w:val="21"/>
        </w:rPr>
        <w:t>3.5.1</w:t>
      </w:r>
      <w:r>
        <w:rPr>
          <w:rFonts w:hint="eastAsia" w:ascii="宋体" w:hAnsi="宋体" w:cs="宋体"/>
          <w:szCs w:val="21"/>
          <w:u w:val="single"/>
        </w:rPr>
        <w:t>投标人参加投标的意思表达清楚，投标人代表被授权有效；按招标文件第</w:t>
      </w:r>
      <w:r>
        <w:rPr>
          <w:rFonts w:hint="eastAsia" w:ascii="宋体" w:hAnsi="宋体" w:cs="宋体"/>
          <w:szCs w:val="21"/>
          <w:u w:val="single"/>
          <w:lang w:val="en-US" w:eastAsia="zh-CN"/>
        </w:rPr>
        <w:t>六</w:t>
      </w:r>
      <w:r>
        <w:rPr>
          <w:rFonts w:hint="eastAsia" w:ascii="宋体" w:hAnsi="宋体" w:cs="宋体"/>
          <w:szCs w:val="21"/>
          <w:u w:val="single"/>
        </w:rPr>
        <w:t>章所附格式内容要求签署盖章的《投标申请公函》；</w:t>
      </w:r>
    </w:p>
    <w:p w14:paraId="252A6E84">
      <w:pPr>
        <w:spacing w:line="360" w:lineRule="auto"/>
        <w:ind w:firstLine="426" w:firstLineChars="200"/>
        <w:rPr>
          <w:rFonts w:ascii="宋体" w:hAnsi="宋体" w:cs="宋体"/>
          <w:szCs w:val="21"/>
          <w:u w:val="single"/>
        </w:rPr>
      </w:pPr>
      <w:r>
        <w:rPr>
          <w:rFonts w:hint="eastAsia" w:ascii="宋体" w:hAnsi="宋体" w:cs="宋体"/>
          <w:szCs w:val="21"/>
        </w:rPr>
        <w:t>3.5.2投标人</w:t>
      </w:r>
      <w:r>
        <w:rPr>
          <w:rFonts w:hint="eastAsia" w:ascii="宋体" w:hAnsi="宋体"/>
          <w:szCs w:val="21"/>
          <w:u w:val="single"/>
        </w:rPr>
        <w:t>企业营业执照或事业单位登记机构核发的事业单位法人证书；</w:t>
      </w:r>
    </w:p>
    <w:p w14:paraId="67DE7AF1">
      <w:pPr>
        <w:spacing w:line="360" w:lineRule="auto"/>
        <w:ind w:firstLine="426" w:firstLineChars="200"/>
        <w:rPr>
          <w:rFonts w:hint="eastAsia" w:ascii="宋体" w:hAnsi="宋体" w:eastAsia="宋体"/>
          <w:szCs w:val="21"/>
          <w:u w:val="single"/>
          <w:lang w:eastAsia="zh-CN"/>
        </w:rPr>
      </w:pPr>
      <w:r>
        <w:rPr>
          <w:rFonts w:hint="eastAsia" w:ascii="宋体" w:hAnsi="宋体"/>
          <w:szCs w:val="21"/>
        </w:rPr>
        <w:t>3.5.3投标人</w:t>
      </w:r>
      <w:r>
        <w:rPr>
          <w:rFonts w:hint="eastAsia" w:ascii="宋体" w:hAnsi="宋体"/>
          <w:szCs w:val="21"/>
          <w:u w:val="single"/>
        </w:rPr>
        <w:t>资质</w:t>
      </w:r>
      <w:r>
        <w:rPr>
          <w:rFonts w:hint="eastAsia" w:ascii="宋体" w:hAnsi="宋体"/>
          <w:szCs w:val="21"/>
          <w:u w:val="single"/>
          <w:lang w:val="en-US" w:eastAsia="zh-CN"/>
        </w:rPr>
        <w:t>证书；</w:t>
      </w:r>
    </w:p>
    <w:p w14:paraId="5D1F6A35">
      <w:pPr>
        <w:spacing w:line="360" w:lineRule="auto"/>
        <w:ind w:firstLine="426" w:firstLineChars="200"/>
        <w:rPr>
          <w:rFonts w:ascii="宋体" w:hAnsi="宋体"/>
          <w:szCs w:val="21"/>
        </w:rPr>
      </w:pPr>
      <w:r>
        <w:rPr>
          <w:rFonts w:hint="eastAsia" w:ascii="宋体" w:hAnsi="宋体"/>
          <w:szCs w:val="21"/>
        </w:rPr>
        <w:t>3.5.4拟派的项目负责人</w:t>
      </w:r>
      <w:r>
        <w:rPr>
          <w:rFonts w:hint="eastAsia" w:ascii="宋体" w:hAnsi="宋体"/>
          <w:szCs w:val="21"/>
          <w:lang w:val="en-US" w:eastAsia="zh-CN"/>
        </w:rPr>
        <w:t>相关证明材料；</w:t>
      </w:r>
      <w:r>
        <w:rPr>
          <w:rFonts w:hint="eastAsia" w:ascii="宋体" w:hAnsi="宋体"/>
          <w:szCs w:val="21"/>
        </w:rPr>
        <w:t>（满足招标公告要求）</w:t>
      </w:r>
    </w:p>
    <w:p w14:paraId="193A5A5C">
      <w:pPr>
        <w:spacing w:line="360" w:lineRule="auto"/>
        <w:ind w:firstLine="426" w:firstLineChars="200"/>
        <w:rPr>
          <w:rFonts w:ascii="宋体" w:hAnsi="宋体"/>
          <w:szCs w:val="21"/>
          <w:u w:val="single"/>
        </w:rPr>
      </w:pPr>
      <w:r>
        <w:rPr>
          <w:rFonts w:hint="eastAsia" w:ascii="宋体" w:hAnsi="宋体"/>
          <w:szCs w:val="21"/>
        </w:rPr>
        <w:t xml:space="preserve">3.5.5 </w:t>
      </w:r>
      <w:r>
        <w:rPr>
          <w:rFonts w:hint="eastAsia" w:ascii="宋体" w:hAnsi="宋体" w:cs="宋体"/>
          <w:bCs/>
          <w:szCs w:val="21"/>
          <w:u w:val="single"/>
        </w:rPr>
        <w:t>《投标人声明》（格式见招标公告附件一）；</w:t>
      </w:r>
    </w:p>
    <w:p w14:paraId="0D3AE8AA">
      <w:pPr>
        <w:spacing w:line="360" w:lineRule="auto"/>
        <w:ind w:firstLine="426" w:firstLineChars="200"/>
        <w:rPr>
          <w:rFonts w:hint="eastAsia" w:ascii="宋体" w:hAnsi="宋体" w:cs="宋体"/>
          <w:bCs/>
          <w:szCs w:val="21"/>
          <w:u w:val="single"/>
        </w:rPr>
      </w:pPr>
      <w:r>
        <w:rPr>
          <w:rFonts w:hint="eastAsia" w:ascii="宋体" w:hAnsi="宋体" w:cs="宋体"/>
          <w:bCs/>
          <w:szCs w:val="21"/>
          <w:u w:val="single"/>
        </w:rPr>
        <w:t>3.5.6资格审查前，投标人须在广州公共资源交易中心办理企业信息登记。（附网页截图打印页面并加盖公章）</w:t>
      </w:r>
    </w:p>
    <w:p w14:paraId="3E472B5A">
      <w:pPr>
        <w:pStyle w:val="30"/>
        <w:rPr>
          <w:rFonts w:hint="default" w:eastAsia="宋体"/>
          <w:lang w:val="en-US" w:eastAsia="zh-CN"/>
        </w:rPr>
      </w:pPr>
      <w:r>
        <w:rPr>
          <w:rFonts w:hint="eastAsia" w:ascii="宋体" w:hAnsi="宋体" w:cs="宋体"/>
          <w:bCs/>
          <w:szCs w:val="21"/>
          <w:u w:val="single"/>
          <w:lang w:val="en-US" w:eastAsia="zh-CN"/>
        </w:rPr>
        <w:t>3.5.7投标人未被列入“在一定期限内依法取消参加依法必须进行招标的项目的投标资格”，具体名单以递交投标文件截止时间“信用广州”公布的“黑名单”为准。（惩戒对象及依据《全国失信惩戒措施清单基础清单》（2024版）。）（提供查询结果网页截图，并加盖公章）</w:t>
      </w:r>
    </w:p>
    <w:p w14:paraId="6EA92C7F">
      <w:pPr>
        <w:spacing w:line="360" w:lineRule="auto"/>
        <w:ind w:firstLine="426" w:firstLineChars="200"/>
        <w:rPr>
          <w:rFonts w:ascii="宋体" w:hAnsi="宋体" w:cs="宋体"/>
          <w:bCs/>
          <w:szCs w:val="21"/>
          <w:u w:val="single"/>
        </w:rPr>
      </w:pPr>
      <w:r>
        <w:rPr>
          <w:rFonts w:hint="eastAsia" w:ascii="宋体" w:hAnsi="宋体" w:cs="宋体"/>
          <w:szCs w:val="21"/>
          <w:u w:val="single"/>
          <w:lang w:val="en-US" w:eastAsia="zh-CN"/>
        </w:rPr>
        <w:t>3.5.8</w:t>
      </w:r>
      <w:r>
        <w:rPr>
          <w:rFonts w:hint="eastAsia" w:ascii="宋体" w:hAnsi="宋体" w:cs="宋体"/>
          <w:szCs w:val="21"/>
          <w:u w:val="single"/>
        </w:rPr>
        <w:t>其他满足投标人资格要求的证明材料（如有）。</w:t>
      </w:r>
    </w:p>
    <w:p w14:paraId="322C8F6C">
      <w:pPr>
        <w:pStyle w:val="5"/>
        <w:spacing w:before="62" w:beforeLines="20" w:after="62" w:afterLines="20" w:line="360" w:lineRule="auto"/>
        <w:rPr>
          <w:rFonts w:ascii="宋体" w:hAnsi="宋体" w:cs="宋体"/>
        </w:rPr>
      </w:pPr>
      <w:bookmarkStart w:id="118" w:name="_Toc22156"/>
      <w:bookmarkStart w:id="119" w:name="_Toc1862"/>
      <w:bookmarkStart w:id="120" w:name="_Toc24104553"/>
      <w:bookmarkStart w:id="121" w:name="_Toc4235"/>
      <w:r>
        <w:rPr>
          <w:rFonts w:hint="eastAsia" w:ascii="宋体" w:hAnsi="宋体" w:cs="宋体"/>
        </w:rPr>
        <w:t>3.6 备选投标方案</w:t>
      </w:r>
      <w:bookmarkEnd w:id="118"/>
      <w:bookmarkEnd w:id="119"/>
      <w:bookmarkEnd w:id="120"/>
      <w:bookmarkEnd w:id="121"/>
    </w:p>
    <w:p w14:paraId="7286EA50">
      <w:pPr>
        <w:spacing w:line="360" w:lineRule="auto"/>
        <w:ind w:firstLine="426" w:firstLineChars="200"/>
        <w:rPr>
          <w:rFonts w:ascii="宋体" w:hAnsi="宋体" w:cs="宋体"/>
        </w:rPr>
      </w:pPr>
      <w:r>
        <w:rPr>
          <w:rFonts w:hint="eastAsia" w:ascii="宋体" w:hAnsi="宋体" w:cs="宋体"/>
        </w:rPr>
        <w:t>3.6.1 除投标人须知前附表规定允许外，投标人不得递交备选投标方案，否则其投标将被否决。</w:t>
      </w:r>
    </w:p>
    <w:p w14:paraId="3CD7F53A">
      <w:pPr>
        <w:spacing w:line="360" w:lineRule="auto"/>
        <w:ind w:firstLine="426" w:firstLineChars="200"/>
        <w:rPr>
          <w:rFonts w:ascii="宋体" w:hAnsi="宋体" w:cs="宋体"/>
        </w:rPr>
      </w:pPr>
      <w:r>
        <w:rPr>
          <w:rFonts w:hint="eastAsia" w:ascii="宋体" w:hAnsi="宋体" w:cs="宋体"/>
        </w:rPr>
        <w:t>3.6.2 允许投标人递交备选投标方案的，只有中标人所递交的备选投标方案方可予以考虑。评标委员会认为中标人的备选投标方案优于其按照招标文件要求编制的投标方案的，招标人可以接受该备选投标方案。</w:t>
      </w:r>
    </w:p>
    <w:p w14:paraId="43E776C8">
      <w:pPr>
        <w:spacing w:line="360" w:lineRule="auto"/>
        <w:ind w:firstLine="426" w:firstLineChars="200"/>
        <w:rPr>
          <w:rFonts w:ascii="宋体" w:hAnsi="宋体" w:cs="宋体"/>
        </w:rPr>
      </w:pPr>
      <w:r>
        <w:rPr>
          <w:rFonts w:hint="eastAsia" w:ascii="宋体" w:hAnsi="宋体" w:cs="宋体"/>
        </w:rPr>
        <w:t>3.6.3 投标人提供两个或两个以上投标报价，或者在投标文件中提供一个报价，但同时提供两个或两个以上</w:t>
      </w:r>
      <w:r>
        <w:rPr>
          <w:rFonts w:hint="eastAsia" w:ascii="宋体" w:hAnsi="宋体" w:cs="宋体"/>
          <w:u w:val="single"/>
        </w:rPr>
        <w:t>投标</w:t>
      </w:r>
      <w:r>
        <w:rPr>
          <w:rFonts w:hint="eastAsia" w:ascii="宋体" w:hAnsi="宋体" w:cs="宋体"/>
        </w:rPr>
        <w:t>方案的，视为提供备选方案。</w:t>
      </w:r>
    </w:p>
    <w:p w14:paraId="21C49FCA">
      <w:pPr>
        <w:pStyle w:val="5"/>
        <w:spacing w:before="62" w:beforeLines="20" w:after="62" w:afterLines="20" w:line="360" w:lineRule="auto"/>
        <w:rPr>
          <w:rFonts w:ascii="宋体" w:hAnsi="宋体" w:cs="宋体"/>
        </w:rPr>
      </w:pPr>
      <w:bookmarkStart w:id="122" w:name="_Toc24104554"/>
      <w:bookmarkStart w:id="123" w:name="_Toc19304"/>
      <w:bookmarkStart w:id="124" w:name="_Toc27315"/>
      <w:bookmarkStart w:id="125" w:name="_Toc30658"/>
      <w:r>
        <w:rPr>
          <w:rFonts w:hint="eastAsia" w:ascii="宋体" w:hAnsi="宋体" w:cs="宋体"/>
        </w:rPr>
        <w:t>3.7 投标文件的编制</w:t>
      </w:r>
      <w:bookmarkEnd w:id="122"/>
      <w:bookmarkEnd w:id="123"/>
      <w:bookmarkEnd w:id="124"/>
      <w:bookmarkEnd w:id="125"/>
    </w:p>
    <w:p w14:paraId="0F32C6A7">
      <w:pPr>
        <w:spacing w:line="360" w:lineRule="auto"/>
        <w:ind w:firstLine="426" w:firstLineChars="200"/>
        <w:rPr>
          <w:rFonts w:ascii="宋体" w:hAnsi="宋体" w:cs="宋体"/>
        </w:rPr>
      </w:pPr>
      <w:r>
        <w:rPr>
          <w:rFonts w:hint="eastAsia" w:ascii="宋体" w:hAnsi="宋体" w:cs="宋体"/>
        </w:rPr>
        <w:t>3.7.1 投标文件应按第</w:t>
      </w:r>
      <w:r>
        <w:rPr>
          <w:rFonts w:hint="eastAsia" w:ascii="宋体" w:hAnsi="宋体" w:cs="宋体"/>
          <w:lang w:val="en-US" w:eastAsia="zh-CN"/>
        </w:rPr>
        <w:t>六</w:t>
      </w:r>
      <w:r>
        <w:rPr>
          <w:rFonts w:hint="eastAsia" w:ascii="宋体" w:hAnsi="宋体" w:cs="宋体"/>
        </w:rPr>
        <w:t>章“投标文件格式”进行编写，如有必要，可以增加附页，作为投标文件的组成部分。其中，投标函附录在满足招标文件实质性要求的基础上，可以提出比招标文件要求更有利于招标人的承诺。</w:t>
      </w:r>
    </w:p>
    <w:p w14:paraId="29FBA5F9">
      <w:pPr>
        <w:spacing w:line="360" w:lineRule="auto"/>
        <w:ind w:firstLine="426" w:firstLineChars="200"/>
        <w:rPr>
          <w:rFonts w:ascii="宋体" w:hAnsi="宋体" w:cs="宋体"/>
        </w:rPr>
      </w:pPr>
      <w:r>
        <w:rPr>
          <w:rFonts w:hint="eastAsia" w:ascii="宋体" w:hAnsi="宋体" w:cs="宋体"/>
        </w:rPr>
        <w:t>3.7.2 投标文件应当对招标文件有关服务期限、投标有效期、</w:t>
      </w:r>
      <w:r>
        <w:rPr>
          <w:rFonts w:hint="eastAsia" w:ascii="宋体" w:hAnsi="宋体" w:cs="宋体"/>
          <w:strike/>
          <w:szCs w:val="21"/>
        </w:rPr>
        <w:t>委托人要求、</w:t>
      </w:r>
      <w:r>
        <w:rPr>
          <w:rFonts w:hint="eastAsia" w:ascii="宋体" w:hAnsi="宋体" w:cs="宋体"/>
        </w:rPr>
        <w:t>招标范围等实质性内容作出响应。</w:t>
      </w:r>
    </w:p>
    <w:p w14:paraId="361B08DD">
      <w:pPr>
        <w:spacing w:line="360" w:lineRule="auto"/>
        <w:ind w:firstLine="426" w:firstLineChars="200"/>
        <w:rPr>
          <w:rFonts w:ascii="宋体" w:hAnsi="宋体" w:cs="宋体"/>
          <w:strike/>
          <w:szCs w:val="21"/>
        </w:rPr>
      </w:pPr>
      <w:r>
        <w:rPr>
          <w:rFonts w:hint="eastAsia" w:ascii="宋体" w:hAnsi="宋体" w:cs="宋体"/>
          <w:strike/>
          <w:szCs w:val="21"/>
        </w:rPr>
        <w:t>3.7.3（A）（1）投标文件应用不褪色的材料书写或打印，投标函、投标函附录及对投标文件的澄清、说明和补正应由投标人的法定代表人或其授权的代理人签字或盖单位章。由投标人的法定代表人签字的，应附法定代表人身份证明，由代理人签字的，应附授权委托书，身份证明或授权委托书应符合第六章“投标文件格式”的要求。投标文件应尽量避免涂改、行间插字或删除。如果出现上述情况，改动之处应由投标人的法定代表人或其授权的代理人签字或盖单位章。</w:t>
      </w:r>
    </w:p>
    <w:p w14:paraId="462FE418">
      <w:pPr>
        <w:spacing w:line="360" w:lineRule="auto"/>
        <w:ind w:firstLine="426" w:firstLineChars="200"/>
        <w:rPr>
          <w:rFonts w:ascii="宋体" w:hAnsi="宋体" w:cs="宋体"/>
          <w:strike/>
          <w:szCs w:val="21"/>
        </w:rPr>
      </w:pPr>
      <w:r>
        <w:rPr>
          <w:rFonts w:hint="eastAsia" w:ascii="宋体" w:hAnsi="宋体" w:cs="宋体"/>
          <w:strike/>
          <w:szCs w:val="21"/>
        </w:rPr>
        <w:t>（2）投标文件正本一份，副本份数见投标人须知前附表。正本和副本的封面右上角上应清楚地标记“正本”或“副本”的字样。投标人应根据投标人须知前附表要求提供电子版文件。当副本和正本不一致或电子版文件和纸质正本文件不一致时，以纸质正本文件为准。</w:t>
      </w:r>
    </w:p>
    <w:p w14:paraId="364E5672">
      <w:pPr>
        <w:spacing w:line="360" w:lineRule="auto"/>
        <w:ind w:firstLine="426" w:firstLineChars="200"/>
        <w:rPr>
          <w:rFonts w:ascii="宋体" w:hAnsi="宋体" w:cs="宋体"/>
          <w:strike/>
          <w:szCs w:val="21"/>
        </w:rPr>
      </w:pPr>
      <w:r>
        <w:rPr>
          <w:rFonts w:hint="eastAsia" w:ascii="宋体" w:hAnsi="宋体" w:cs="宋体"/>
          <w:strike/>
          <w:szCs w:val="21"/>
        </w:rPr>
        <w:t>（3）投标文件的正本与副本应分别装订，并编制目录，投标文件需分册装订的，具体分册装订要求见投标人须知前附表规定。</w:t>
      </w:r>
    </w:p>
    <w:p w14:paraId="76571233">
      <w:pPr>
        <w:spacing w:line="360" w:lineRule="auto"/>
        <w:ind w:firstLine="426" w:firstLineChars="200"/>
        <w:rPr>
          <w:rFonts w:ascii="宋体" w:hAnsi="宋体" w:cs="宋体"/>
        </w:rPr>
      </w:pPr>
      <w:r>
        <w:rPr>
          <w:rFonts w:hint="eastAsia" w:ascii="宋体" w:hAnsi="宋体" w:cs="宋体"/>
        </w:rPr>
        <w:t>3.7.3（B）投标文件全部采用电子文档，除投标人须知前附表另有规定外，投标文件所附证书证件均为原件扫描件，并采用单位和个人数字证书，按招标文件要求在相应位置加盖电子印章。由投标人的法定代表人签字或加盖电子印章的，应附法定代表人身份证明，由代理人签字或加盖电子印章的，应附由法定代表人签署的授权委托书。签字或盖章的具体要求见投标人须知前附表。</w:t>
      </w:r>
    </w:p>
    <w:p w14:paraId="056236FA">
      <w:pPr>
        <w:pStyle w:val="4"/>
        <w:rPr>
          <w:rFonts w:ascii="宋体" w:hAnsi="宋体" w:eastAsia="宋体" w:cs="宋体"/>
        </w:rPr>
      </w:pPr>
      <w:bookmarkStart w:id="126" w:name="_Toc22576"/>
      <w:bookmarkStart w:id="127" w:name="_Toc28642"/>
      <w:bookmarkStart w:id="128" w:name="_Toc7162"/>
      <w:bookmarkStart w:id="129" w:name="_Toc24104555"/>
      <w:r>
        <w:rPr>
          <w:rFonts w:hint="eastAsia" w:ascii="宋体" w:hAnsi="宋体" w:eastAsia="宋体" w:cs="宋体"/>
        </w:rPr>
        <w:t>4. 投标</w:t>
      </w:r>
      <w:bookmarkEnd w:id="126"/>
      <w:bookmarkEnd w:id="127"/>
      <w:bookmarkEnd w:id="128"/>
      <w:bookmarkEnd w:id="129"/>
    </w:p>
    <w:p w14:paraId="23E3BF75">
      <w:pPr>
        <w:pStyle w:val="5"/>
        <w:spacing w:before="62" w:beforeLines="20" w:after="62" w:afterLines="20" w:line="360" w:lineRule="auto"/>
        <w:rPr>
          <w:rFonts w:ascii="宋体" w:hAnsi="宋体" w:cs="宋体"/>
        </w:rPr>
      </w:pPr>
      <w:bookmarkStart w:id="130" w:name="_Toc26680"/>
      <w:bookmarkStart w:id="131" w:name="_Toc1201"/>
      <w:bookmarkStart w:id="132" w:name="_Toc24104556"/>
      <w:bookmarkStart w:id="133" w:name="_Toc1888"/>
      <w:r>
        <w:rPr>
          <w:rFonts w:hint="eastAsia" w:ascii="宋体" w:hAnsi="宋体" w:cs="宋体"/>
        </w:rPr>
        <w:t>4.1 投标文件的密封和标记</w:t>
      </w:r>
      <w:bookmarkEnd w:id="130"/>
      <w:bookmarkEnd w:id="131"/>
      <w:bookmarkEnd w:id="132"/>
      <w:bookmarkEnd w:id="133"/>
    </w:p>
    <w:p w14:paraId="7334AC8A">
      <w:pPr>
        <w:spacing w:line="360" w:lineRule="auto"/>
        <w:ind w:firstLine="426" w:firstLineChars="200"/>
        <w:rPr>
          <w:rFonts w:ascii="宋体" w:hAnsi="宋体" w:cs="宋体"/>
          <w:strike/>
          <w:szCs w:val="21"/>
        </w:rPr>
      </w:pPr>
      <w:r>
        <w:rPr>
          <w:rFonts w:hint="eastAsia" w:ascii="宋体" w:hAnsi="宋体" w:cs="宋体"/>
          <w:strike/>
          <w:szCs w:val="21"/>
        </w:rPr>
        <w:t>4.1.1 （A）投标文件应密封包装，并在封套的封口处加盖投标人单位章或由投标人的法定代表人或其授权的代理人签字。</w:t>
      </w:r>
    </w:p>
    <w:p w14:paraId="46CC1D73">
      <w:pPr>
        <w:spacing w:line="360" w:lineRule="auto"/>
        <w:ind w:firstLine="426" w:firstLineChars="200"/>
        <w:rPr>
          <w:rFonts w:ascii="宋体" w:hAnsi="宋体" w:cs="宋体"/>
        </w:rPr>
      </w:pPr>
      <w:r>
        <w:rPr>
          <w:rFonts w:hint="eastAsia" w:ascii="宋体" w:hAnsi="宋体" w:cs="宋体"/>
        </w:rPr>
        <w:t>4.1.1 （B）投标人应当按照招标文件和电子招标投标交易平台的要求加密投标文件，具体要求见投标人须知前附表。</w:t>
      </w:r>
    </w:p>
    <w:p w14:paraId="1F928D3C">
      <w:pPr>
        <w:spacing w:line="360" w:lineRule="auto"/>
        <w:ind w:firstLine="426" w:firstLineChars="200"/>
        <w:rPr>
          <w:rFonts w:ascii="宋体" w:hAnsi="宋体" w:cs="宋体"/>
        </w:rPr>
      </w:pPr>
      <w:r>
        <w:rPr>
          <w:rFonts w:hint="eastAsia" w:ascii="宋体" w:hAnsi="宋体" w:cs="宋体"/>
        </w:rPr>
        <w:t>4.1.2 投标文件</w:t>
      </w:r>
      <w:r>
        <w:rPr>
          <w:rFonts w:hint="eastAsia" w:ascii="宋体" w:hAnsi="宋体" w:cs="宋体"/>
          <w:u w:val="single"/>
        </w:rPr>
        <w:t>光盘备用</w:t>
      </w:r>
      <w:r>
        <w:rPr>
          <w:rFonts w:hint="eastAsia" w:ascii="宋体" w:hAnsi="宋体" w:cs="宋体"/>
        </w:rPr>
        <w:t>封套上应写明的内容见投标人须知前附表。</w:t>
      </w:r>
    </w:p>
    <w:p w14:paraId="54410313">
      <w:pPr>
        <w:spacing w:line="360" w:lineRule="auto"/>
        <w:ind w:firstLine="426" w:firstLineChars="200"/>
        <w:rPr>
          <w:rFonts w:ascii="宋体" w:hAnsi="宋体" w:cs="宋体"/>
        </w:rPr>
      </w:pPr>
      <w:r>
        <w:rPr>
          <w:rFonts w:hint="eastAsia" w:ascii="宋体" w:hAnsi="宋体" w:cs="宋体"/>
        </w:rPr>
        <w:t>4.1.3 未按本章第 4.1.1 项要求密封的投标文件，招标人将予以拒收。</w:t>
      </w:r>
    </w:p>
    <w:p w14:paraId="5D1FC64B">
      <w:pPr>
        <w:pStyle w:val="5"/>
        <w:spacing w:before="62" w:beforeLines="20" w:after="62" w:afterLines="20" w:line="360" w:lineRule="auto"/>
        <w:rPr>
          <w:rFonts w:ascii="宋体" w:hAnsi="宋体" w:cs="宋体"/>
        </w:rPr>
      </w:pPr>
      <w:bookmarkStart w:id="134" w:name="_Toc24104557"/>
      <w:bookmarkStart w:id="135" w:name="_Toc31552"/>
      <w:bookmarkStart w:id="136" w:name="_Toc5641"/>
      <w:bookmarkStart w:id="137" w:name="_Toc10113"/>
      <w:r>
        <w:rPr>
          <w:rFonts w:hint="eastAsia" w:ascii="宋体" w:hAnsi="宋体" w:cs="宋体"/>
        </w:rPr>
        <w:t>4.2 投标文件的递交</w:t>
      </w:r>
      <w:bookmarkEnd w:id="134"/>
      <w:bookmarkEnd w:id="135"/>
      <w:bookmarkEnd w:id="136"/>
      <w:bookmarkEnd w:id="137"/>
    </w:p>
    <w:p w14:paraId="270715A5">
      <w:pPr>
        <w:spacing w:line="360" w:lineRule="auto"/>
        <w:ind w:firstLine="426" w:firstLineChars="200"/>
        <w:rPr>
          <w:rFonts w:ascii="宋体" w:hAnsi="宋体" w:cs="宋体"/>
        </w:rPr>
      </w:pPr>
      <w:r>
        <w:rPr>
          <w:rFonts w:hint="eastAsia" w:ascii="宋体" w:hAnsi="宋体" w:cs="宋体"/>
        </w:rPr>
        <w:t>4.2.1 投标人应在投标人须知前附表规定的投标截止时间前递交投标文件。</w:t>
      </w:r>
    </w:p>
    <w:p w14:paraId="55D63215">
      <w:pPr>
        <w:spacing w:line="360" w:lineRule="auto"/>
        <w:ind w:firstLine="426" w:firstLineChars="200"/>
        <w:rPr>
          <w:rFonts w:ascii="宋体" w:hAnsi="宋体" w:cs="宋体"/>
          <w:strike/>
          <w:szCs w:val="21"/>
        </w:rPr>
      </w:pPr>
      <w:r>
        <w:rPr>
          <w:rFonts w:hint="eastAsia" w:ascii="宋体" w:hAnsi="宋体" w:cs="宋体"/>
          <w:strike/>
          <w:szCs w:val="21"/>
        </w:rPr>
        <w:t>4.2.2 （A）投标人递交投标文件的地点：见投标人须知前附表。</w:t>
      </w:r>
    </w:p>
    <w:p w14:paraId="154C32FD">
      <w:pPr>
        <w:spacing w:line="360" w:lineRule="auto"/>
        <w:ind w:firstLine="426" w:firstLineChars="200"/>
        <w:rPr>
          <w:rFonts w:ascii="宋体" w:hAnsi="宋体" w:cs="宋体"/>
        </w:rPr>
      </w:pPr>
      <w:r>
        <w:rPr>
          <w:rFonts w:hint="eastAsia" w:ascii="宋体" w:hAnsi="宋体" w:cs="宋体"/>
        </w:rPr>
        <w:t>4.2.2 （B）投标人通过下载招标文件的电子招标投标交易平台递交电子投标文件。</w:t>
      </w:r>
    </w:p>
    <w:p w14:paraId="274CC1D8">
      <w:pPr>
        <w:spacing w:line="360" w:lineRule="auto"/>
        <w:ind w:firstLine="426" w:firstLineChars="200"/>
        <w:rPr>
          <w:rFonts w:ascii="宋体" w:hAnsi="宋体" w:cs="宋体"/>
        </w:rPr>
      </w:pPr>
      <w:r>
        <w:rPr>
          <w:rFonts w:hint="eastAsia" w:ascii="宋体" w:hAnsi="宋体" w:cs="宋体"/>
        </w:rPr>
        <w:t>4.2.3 除投标人须知前附表另有规定外，投标人所递交的投标文件不予退还。</w:t>
      </w:r>
    </w:p>
    <w:p w14:paraId="46B53C35">
      <w:pPr>
        <w:spacing w:line="360" w:lineRule="auto"/>
        <w:ind w:firstLine="426" w:firstLineChars="200"/>
        <w:rPr>
          <w:rFonts w:ascii="宋体" w:hAnsi="宋体" w:cs="宋体"/>
          <w:strike/>
          <w:szCs w:val="21"/>
        </w:rPr>
      </w:pPr>
      <w:r>
        <w:rPr>
          <w:rFonts w:hint="eastAsia" w:ascii="宋体" w:hAnsi="宋体" w:cs="宋体"/>
          <w:strike/>
          <w:szCs w:val="21"/>
        </w:rPr>
        <w:t>4.2.4 （A）招标人收到投标文件后，向投标人出具签收凭证。</w:t>
      </w:r>
    </w:p>
    <w:p w14:paraId="31D394B2">
      <w:pPr>
        <w:spacing w:line="360" w:lineRule="auto"/>
        <w:ind w:firstLine="426" w:firstLineChars="200"/>
        <w:rPr>
          <w:rFonts w:ascii="宋体" w:hAnsi="宋体" w:cs="宋体"/>
        </w:rPr>
      </w:pPr>
      <w:r>
        <w:rPr>
          <w:rFonts w:hint="eastAsia" w:ascii="宋体" w:hAnsi="宋体" w:cs="宋体"/>
        </w:rPr>
        <w:t>4.2.4 （B）投标人完成电子投标文件上传后，电子招标投标交易平台即时向投标人发出递交回执通知。递交时间以递交回执通知载明的传输完成时间为准。</w:t>
      </w:r>
    </w:p>
    <w:p w14:paraId="1CFC4988">
      <w:pPr>
        <w:spacing w:line="360" w:lineRule="auto"/>
        <w:ind w:firstLine="426" w:firstLineChars="200"/>
        <w:rPr>
          <w:rFonts w:ascii="宋体" w:hAnsi="宋体" w:cs="宋体"/>
        </w:rPr>
      </w:pPr>
      <w:r>
        <w:rPr>
          <w:rFonts w:hint="eastAsia" w:ascii="宋体" w:hAnsi="宋体" w:cs="宋体"/>
          <w:strike/>
          <w:szCs w:val="21"/>
        </w:rPr>
        <w:t>4.2.5 （A）逾期送达的投标文件，招标人将予以拒收。</w:t>
      </w:r>
    </w:p>
    <w:p w14:paraId="159DAA38">
      <w:pPr>
        <w:spacing w:line="360" w:lineRule="auto"/>
        <w:ind w:firstLine="426" w:firstLineChars="200"/>
        <w:rPr>
          <w:rFonts w:ascii="宋体" w:hAnsi="宋体" w:cs="宋体"/>
        </w:rPr>
      </w:pPr>
      <w:r>
        <w:rPr>
          <w:rFonts w:hint="eastAsia" w:ascii="宋体" w:hAnsi="宋体" w:cs="宋体"/>
        </w:rPr>
        <w:t>4.2.5 （B）逾期送达的投标文件，电子招标投标交易平台将予以拒收。</w:t>
      </w:r>
    </w:p>
    <w:p w14:paraId="5C97E894">
      <w:pPr>
        <w:pStyle w:val="5"/>
        <w:spacing w:before="62" w:beforeLines="20" w:after="62" w:afterLines="20" w:line="360" w:lineRule="auto"/>
        <w:rPr>
          <w:rFonts w:ascii="宋体" w:hAnsi="宋体" w:cs="宋体"/>
        </w:rPr>
      </w:pPr>
      <w:bookmarkStart w:id="138" w:name="_Toc20873"/>
      <w:bookmarkStart w:id="139" w:name="_Toc1416"/>
      <w:bookmarkStart w:id="140" w:name="_Toc24104558"/>
      <w:bookmarkStart w:id="141" w:name="_Toc19406"/>
      <w:r>
        <w:rPr>
          <w:rFonts w:hint="eastAsia" w:ascii="宋体" w:hAnsi="宋体" w:cs="宋体"/>
        </w:rPr>
        <w:t>4.3 投标文件的修改与撤回</w:t>
      </w:r>
      <w:bookmarkEnd w:id="138"/>
      <w:bookmarkEnd w:id="139"/>
      <w:bookmarkEnd w:id="140"/>
      <w:bookmarkEnd w:id="141"/>
    </w:p>
    <w:p w14:paraId="4AC2657C">
      <w:pPr>
        <w:spacing w:line="360" w:lineRule="auto"/>
        <w:ind w:firstLine="426" w:firstLineChars="200"/>
        <w:rPr>
          <w:rFonts w:ascii="宋体" w:hAnsi="宋体" w:cs="宋体"/>
        </w:rPr>
      </w:pPr>
      <w:r>
        <w:rPr>
          <w:rFonts w:hint="eastAsia" w:ascii="宋体" w:hAnsi="宋体" w:cs="宋体"/>
        </w:rPr>
        <w:t>4.3.1 在本章第 4.2.1 项规定的投标截止时间前，投标人可以修改或撤回已递交的投标文件，但应以书面形式通知招标人。</w:t>
      </w:r>
    </w:p>
    <w:p w14:paraId="1EBC1938">
      <w:pPr>
        <w:spacing w:line="360" w:lineRule="auto"/>
        <w:ind w:firstLine="426" w:firstLineChars="200"/>
        <w:rPr>
          <w:rFonts w:ascii="宋体" w:hAnsi="宋体" w:cs="宋体"/>
          <w:strike/>
          <w:szCs w:val="21"/>
        </w:rPr>
      </w:pPr>
      <w:r>
        <w:rPr>
          <w:rFonts w:hint="eastAsia" w:ascii="宋体" w:hAnsi="宋体" w:cs="宋体"/>
          <w:strike/>
          <w:szCs w:val="21"/>
        </w:rPr>
        <w:t>4.3.2 （A）投标人修改或撤回已递交投标文件的书面通知应按照本章第 3.7.3（A）项的要求签字或盖章。招标人收到书面通知后，向投标人出具签收凭证。</w:t>
      </w:r>
    </w:p>
    <w:p w14:paraId="312044A6">
      <w:pPr>
        <w:spacing w:line="360" w:lineRule="auto"/>
        <w:ind w:firstLine="426" w:firstLineChars="200"/>
        <w:rPr>
          <w:rFonts w:ascii="宋体" w:hAnsi="宋体" w:cs="宋体"/>
        </w:rPr>
      </w:pPr>
      <w:r>
        <w:rPr>
          <w:rFonts w:hint="eastAsia" w:ascii="宋体" w:hAnsi="宋体" w:cs="宋体"/>
        </w:rPr>
        <w:t>4.3.2 （B）投标人修改或撤回已递交投标文件的通知，应按照本章第 3.7.3（B）项的要求加盖电子印章。电子招标投标交易平台收到通知后，及时向投标人发出确认回执通知。</w:t>
      </w:r>
    </w:p>
    <w:p w14:paraId="3DF65CD6">
      <w:pPr>
        <w:spacing w:line="360" w:lineRule="auto"/>
        <w:ind w:firstLine="426" w:firstLineChars="200"/>
        <w:rPr>
          <w:rFonts w:ascii="宋体" w:hAnsi="宋体" w:cs="宋体"/>
          <w:strike/>
        </w:rPr>
      </w:pPr>
      <w:r>
        <w:rPr>
          <w:rFonts w:hint="eastAsia" w:ascii="宋体" w:hAnsi="宋体" w:cs="宋体"/>
          <w:strike/>
        </w:rPr>
        <w:t>4.3.3 投标人撤回投标文件的，招标人自收到投标人书面撤回通知之日起 5 日内退还已收取的投标保证金。</w:t>
      </w:r>
    </w:p>
    <w:p w14:paraId="2F5450FD">
      <w:pPr>
        <w:spacing w:line="360" w:lineRule="auto"/>
        <w:ind w:firstLine="426" w:firstLineChars="200"/>
        <w:rPr>
          <w:rFonts w:ascii="宋体" w:hAnsi="宋体" w:cs="宋体"/>
        </w:rPr>
      </w:pPr>
      <w:r>
        <w:rPr>
          <w:rFonts w:hint="eastAsia" w:ascii="宋体" w:hAnsi="宋体" w:cs="宋体"/>
        </w:rPr>
        <w:t>4.3.4 修改的内容为投标文件的组成部分。修改的投标文件应按照本章第 3 条、第 4 条的规定进行编制、密封、标记和递交，并标明“修改”字样。</w:t>
      </w:r>
    </w:p>
    <w:p w14:paraId="50B3CC2E">
      <w:pPr>
        <w:pStyle w:val="4"/>
        <w:rPr>
          <w:rFonts w:ascii="宋体" w:hAnsi="宋体" w:eastAsia="宋体" w:cs="宋体"/>
        </w:rPr>
      </w:pPr>
      <w:bookmarkStart w:id="142" w:name="_Toc24568"/>
      <w:bookmarkStart w:id="143" w:name="_Toc8688"/>
      <w:bookmarkStart w:id="144" w:name="_Toc24104559"/>
      <w:bookmarkStart w:id="145" w:name="_Toc13828"/>
      <w:r>
        <w:rPr>
          <w:rFonts w:hint="eastAsia" w:ascii="宋体" w:hAnsi="宋体" w:eastAsia="宋体" w:cs="宋体"/>
        </w:rPr>
        <w:t>5. 开标</w:t>
      </w:r>
      <w:bookmarkEnd w:id="142"/>
      <w:bookmarkEnd w:id="143"/>
      <w:bookmarkEnd w:id="144"/>
      <w:bookmarkEnd w:id="145"/>
    </w:p>
    <w:p w14:paraId="1CACEB7C">
      <w:pPr>
        <w:pStyle w:val="5"/>
        <w:spacing w:before="62" w:beforeLines="20" w:after="62" w:afterLines="20" w:line="360" w:lineRule="auto"/>
        <w:rPr>
          <w:rFonts w:ascii="宋体" w:hAnsi="宋体" w:cs="宋体"/>
          <w:strike/>
        </w:rPr>
      </w:pPr>
      <w:bookmarkStart w:id="146" w:name="_Toc24104560"/>
      <w:bookmarkStart w:id="147" w:name="_Toc110594344"/>
      <w:bookmarkStart w:id="148" w:name="_Toc110522887"/>
      <w:bookmarkStart w:id="149" w:name="_Toc649"/>
      <w:bookmarkStart w:id="150" w:name="_Toc11018"/>
      <w:bookmarkStart w:id="151" w:name="_Toc8998"/>
      <w:r>
        <w:rPr>
          <w:rFonts w:hint="eastAsia" w:ascii="宋体" w:hAnsi="宋体" w:cs="宋体"/>
          <w:strike/>
        </w:rPr>
        <w:t>5.1 开标时间和地点（A）</w:t>
      </w:r>
      <w:bookmarkEnd w:id="146"/>
      <w:bookmarkEnd w:id="147"/>
      <w:bookmarkEnd w:id="148"/>
      <w:bookmarkEnd w:id="149"/>
      <w:bookmarkEnd w:id="150"/>
      <w:bookmarkEnd w:id="151"/>
    </w:p>
    <w:p w14:paraId="30D2C7AB">
      <w:pPr>
        <w:spacing w:line="360" w:lineRule="auto"/>
        <w:ind w:firstLine="426" w:firstLineChars="200"/>
        <w:rPr>
          <w:rFonts w:ascii="宋体" w:hAnsi="宋体" w:cs="宋体"/>
          <w:strike/>
        </w:rPr>
      </w:pPr>
      <w:r>
        <w:rPr>
          <w:rFonts w:hint="eastAsia" w:ascii="宋体" w:hAnsi="宋体" w:cs="宋体"/>
          <w:strike/>
        </w:rPr>
        <w:t>招标人在本章第 4.2.1 项规定的投标截止时间（开标时间）和投标人须知前附表规定的地点公开开标，并邀请所有投标人的法定代表人或其委托代理人准时参加。</w:t>
      </w:r>
    </w:p>
    <w:p w14:paraId="2142B9DF">
      <w:pPr>
        <w:pStyle w:val="5"/>
        <w:spacing w:before="62" w:beforeLines="20" w:after="62" w:afterLines="20" w:line="360" w:lineRule="auto"/>
        <w:rPr>
          <w:rFonts w:ascii="宋体" w:hAnsi="宋体" w:cs="宋体"/>
        </w:rPr>
      </w:pPr>
      <w:bookmarkStart w:id="152" w:name="_Toc5860"/>
      <w:bookmarkStart w:id="153" w:name="_Toc6972"/>
      <w:bookmarkStart w:id="154" w:name="_Toc24104561"/>
      <w:bookmarkStart w:id="155" w:name="_Toc5867"/>
      <w:r>
        <w:rPr>
          <w:rFonts w:hint="eastAsia" w:ascii="宋体" w:hAnsi="宋体" w:cs="宋体"/>
        </w:rPr>
        <w:t>5.1 开标时间和地点（B）</w:t>
      </w:r>
      <w:bookmarkEnd w:id="152"/>
      <w:bookmarkEnd w:id="153"/>
      <w:bookmarkEnd w:id="154"/>
      <w:bookmarkEnd w:id="155"/>
    </w:p>
    <w:p w14:paraId="17E1762F">
      <w:pPr>
        <w:spacing w:line="360" w:lineRule="auto"/>
        <w:ind w:firstLine="426" w:firstLineChars="200"/>
        <w:rPr>
          <w:rFonts w:ascii="宋体" w:hAnsi="宋体" w:cs="宋体"/>
          <w:u w:val="single"/>
        </w:rPr>
      </w:pPr>
      <w:r>
        <w:rPr>
          <w:rFonts w:hint="eastAsia" w:ascii="宋体" w:hAnsi="宋体" w:cs="宋体"/>
          <w:u w:val="single"/>
        </w:rPr>
        <w:t>招标人在本章第 4.2.1 项规定的投标截止时间（开标时间），通过电子招标投标交易平台公开开标；开标地点在</w:t>
      </w:r>
      <w:r>
        <w:rPr>
          <w:rFonts w:hint="eastAsia" w:ascii="宋体" w:hAnsi="宋体" w:cs="宋体"/>
          <w:u w:val="single"/>
          <w:lang w:eastAsia="zh-CN"/>
        </w:rPr>
        <w:t>广州交易集团有限公司(广州公共资源交易中心)</w:t>
      </w:r>
      <w:r>
        <w:rPr>
          <w:rFonts w:hint="eastAsia" w:ascii="宋体" w:hAnsi="宋体" w:cs="宋体"/>
          <w:u w:val="single"/>
          <w:lang w:val="en-US" w:eastAsia="zh-CN"/>
        </w:rPr>
        <w:t>番禺交易部</w:t>
      </w:r>
      <w:r>
        <w:rPr>
          <w:rFonts w:hint="eastAsia" w:ascii="宋体" w:hAnsi="宋体" w:cs="宋体"/>
          <w:u w:val="single"/>
        </w:rPr>
        <w:t>，详见</w:t>
      </w:r>
      <w:r>
        <w:rPr>
          <w:rFonts w:hint="eastAsia" w:ascii="宋体" w:hAnsi="宋体" w:cs="宋体"/>
          <w:u w:val="single"/>
          <w:lang w:eastAsia="zh-CN"/>
        </w:rPr>
        <w:t>广州交易集团有限公司(广州公共资源交易中心)</w:t>
      </w:r>
      <w:r>
        <w:rPr>
          <w:rFonts w:hint="eastAsia" w:ascii="宋体" w:hAnsi="宋体" w:cs="宋体"/>
          <w:u w:val="single"/>
        </w:rPr>
        <w:t>公布本项目的日程安排，投标人可登录</w:t>
      </w:r>
      <w:r>
        <w:rPr>
          <w:rFonts w:hint="eastAsia" w:ascii="宋体" w:hAnsi="宋体" w:cs="宋体"/>
          <w:u w:val="single"/>
          <w:lang w:eastAsia="zh-CN"/>
        </w:rPr>
        <w:t>广州交易集团有限公司(广州公共资源交易中心)</w:t>
      </w:r>
      <w:r>
        <w:rPr>
          <w:rFonts w:hint="eastAsia" w:ascii="宋体" w:hAnsi="宋体" w:cs="宋体"/>
          <w:u w:val="single"/>
        </w:rPr>
        <w:t>网站首页，点击“交易业务-建设工程”专栏中的“项目查询（日程安排、答疑纪要）”，输入项目编号或项目名称查询最新信息。</w:t>
      </w:r>
    </w:p>
    <w:p w14:paraId="3F7F9834">
      <w:pPr>
        <w:spacing w:line="360" w:lineRule="auto"/>
        <w:ind w:firstLine="426" w:firstLineChars="200"/>
        <w:rPr>
          <w:rFonts w:ascii="宋体" w:hAnsi="宋体" w:cs="宋体"/>
        </w:rPr>
      </w:pPr>
      <w:r>
        <w:rPr>
          <w:rFonts w:hint="eastAsia" w:ascii="宋体" w:hAnsi="宋体" w:cs="宋体"/>
          <w:u w:val="single"/>
        </w:rPr>
        <w:t>开标时，投标人代表有权出席开标会，也可以自主决定不参加开标会</w:t>
      </w:r>
      <w:r>
        <w:rPr>
          <w:rFonts w:hint="eastAsia" w:ascii="宋体" w:hAnsi="宋体" w:cs="宋体"/>
          <w:u w:val="single"/>
          <w:lang w:eastAsia="zh-CN"/>
        </w:rPr>
        <w:t>。</w:t>
      </w:r>
    </w:p>
    <w:p w14:paraId="1CFEE666">
      <w:pPr>
        <w:pStyle w:val="5"/>
        <w:spacing w:before="62" w:beforeLines="20" w:after="62" w:afterLines="20" w:line="360" w:lineRule="auto"/>
        <w:rPr>
          <w:rFonts w:ascii="宋体" w:hAnsi="宋体" w:cs="宋体"/>
        </w:rPr>
      </w:pPr>
      <w:bookmarkStart w:id="156" w:name="_Toc24104562"/>
      <w:bookmarkStart w:id="157" w:name="_Toc29893"/>
      <w:bookmarkStart w:id="158" w:name="_Toc3834"/>
      <w:bookmarkStart w:id="159" w:name="_Toc29809"/>
      <w:r>
        <w:rPr>
          <w:rFonts w:hint="eastAsia" w:ascii="宋体" w:hAnsi="宋体" w:cs="宋体"/>
        </w:rPr>
        <w:t>5.2 开标程序</w:t>
      </w:r>
      <w:bookmarkEnd w:id="156"/>
      <w:bookmarkEnd w:id="157"/>
      <w:bookmarkEnd w:id="158"/>
      <w:bookmarkEnd w:id="159"/>
    </w:p>
    <w:p w14:paraId="5CD3AD9F">
      <w:pPr>
        <w:spacing w:line="360" w:lineRule="auto"/>
        <w:ind w:firstLine="426" w:firstLineChars="200"/>
        <w:rPr>
          <w:rFonts w:ascii="宋体" w:hAnsi="宋体" w:cs="宋体"/>
        </w:rPr>
      </w:pPr>
      <w:r>
        <w:rPr>
          <w:rFonts w:hint="eastAsia" w:ascii="宋体" w:hAnsi="宋体" w:cs="宋体"/>
          <w:u w:val="single"/>
        </w:rPr>
        <w:t>见投标人须知前附表。</w:t>
      </w:r>
    </w:p>
    <w:p w14:paraId="3FB88840">
      <w:pPr>
        <w:pStyle w:val="5"/>
        <w:spacing w:before="62" w:beforeLines="20" w:after="62" w:afterLines="20" w:line="360" w:lineRule="auto"/>
        <w:rPr>
          <w:rFonts w:ascii="宋体" w:hAnsi="宋体" w:cs="宋体"/>
        </w:rPr>
      </w:pPr>
      <w:bookmarkStart w:id="160" w:name="_Toc25082"/>
      <w:bookmarkStart w:id="161" w:name="_Toc24104563"/>
      <w:bookmarkStart w:id="162" w:name="_Toc7950"/>
      <w:bookmarkStart w:id="163" w:name="_Toc16501"/>
      <w:r>
        <w:rPr>
          <w:rFonts w:hint="eastAsia" w:ascii="宋体" w:hAnsi="宋体" w:cs="宋体"/>
        </w:rPr>
        <w:t>5.3 开标异议</w:t>
      </w:r>
      <w:bookmarkEnd w:id="160"/>
      <w:bookmarkEnd w:id="161"/>
      <w:bookmarkEnd w:id="162"/>
      <w:bookmarkEnd w:id="163"/>
    </w:p>
    <w:p w14:paraId="254FD0C6">
      <w:pPr>
        <w:spacing w:line="360" w:lineRule="auto"/>
        <w:ind w:firstLine="426" w:firstLineChars="200"/>
        <w:rPr>
          <w:rFonts w:ascii="宋体" w:hAnsi="宋体"/>
          <w:szCs w:val="21"/>
          <w:u w:val="single"/>
        </w:rPr>
      </w:pPr>
      <w:r>
        <w:rPr>
          <w:rFonts w:ascii="宋体" w:hAnsi="宋体"/>
          <w:szCs w:val="21"/>
          <w:u w:val="single"/>
        </w:rPr>
        <w:t>5.3.1开标方式采用电子开标和现场开标两种模式，投标人可选择在开标室参与开标或准时在线参加开标，也可不参加开标。参加在线开标的投标人登录交易平台实时查看开标、唱标情况。交易平台生成开标记录并向社会公众公布。</w:t>
      </w:r>
    </w:p>
    <w:p w14:paraId="02090763">
      <w:pPr>
        <w:spacing w:line="360" w:lineRule="auto"/>
        <w:ind w:firstLine="426" w:firstLineChars="200"/>
        <w:rPr>
          <w:rFonts w:ascii="宋体" w:hAnsi="宋体"/>
          <w:szCs w:val="21"/>
          <w:u w:val="single"/>
        </w:rPr>
      </w:pPr>
      <w:r>
        <w:rPr>
          <w:rFonts w:ascii="宋体" w:hAnsi="宋体"/>
          <w:szCs w:val="21"/>
          <w:u w:val="single"/>
        </w:rPr>
        <w:t>5.3.2参加现场开标的投标人对开标结果有异议的，应当在开标现场提出，该投标人代表须同时出示本人身份证原件，招标人当场作出答复，并制作记录。</w:t>
      </w:r>
    </w:p>
    <w:p w14:paraId="2F6D1112">
      <w:pPr>
        <w:spacing w:line="360" w:lineRule="auto"/>
        <w:ind w:firstLine="426" w:firstLineChars="200"/>
        <w:rPr>
          <w:rFonts w:ascii="宋体" w:hAnsi="宋体"/>
          <w:szCs w:val="21"/>
          <w:u w:val="single"/>
        </w:rPr>
      </w:pPr>
      <w:r>
        <w:rPr>
          <w:rFonts w:ascii="宋体" w:hAnsi="宋体"/>
          <w:szCs w:val="21"/>
          <w:u w:val="single"/>
        </w:rPr>
        <w:t>5.3.3参加在线开标的投标人对开标结果有异议的，应当使用单位数字证书登录交易平台后通过交易平台提出。招标人授权招标代理机构工作人员使用招标代理机构数字证书登录交易平台答复异议，异议答复是招标人真实意思表示。未答复的，开标程序不得结束，投标人若无异议，点击“我没有异议了”按钮即可。</w:t>
      </w:r>
    </w:p>
    <w:p w14:paraId="0634AA8C">
      <w:pPr>
        <w:spacing w:line="360" w:lineRule="auto"/>
        <w:ind w:firstLine="426" w:firstLineChars="200"/>
        <w:rPr>
          <w:rFonts w:ascii="宋体" w:hAnsi="宋体"/>
          <w:szCs w:val="21"/>
          <w:u w:val="single"/>
        </w:rPr>
      </w:pPr>
      <w:r>
        <w:rPr>
          <w:rFonts w:ascii="宋体" w:hAnsi="宋体"/>
          <w:szCs w:val="21"/>
          <w:u w:val="single"/>
        </w:rPr>
        <w:t>5.3.4投标人未参加开标或在规定的时间内未提出异议的，视为对开标无异议。</w:t>
      </w:r>
    </w:p>
    <w:p w14:paraId="2D7F8085">
      <w:pPr>
        <w:pStyle w:val="4"/>
        <w:rPr>
          <w:rFonts w:ascii="宋体" w:hAnsi="宋体" w:eastAsia="宋体" w:cs="宋体"/>
        </w:rPr>
      </w:pPr>
      <w:bookmarkStart w:id="164" w:name="_Toc25535"/>
      <w:bookmarkStart w:id="165" w:name="_Toc24104564"/>
      <w:bookmarkStart w:id="166" w:name="_Toc23578"/>
      <w:bookmarkStart w:id="167" w:name="_Toc1117"/>
      <w:r>
        <w:rPr>
          <w:rFonts w:hint="eastAsia" w:ascii="宋体" w:hAnsi="宋体" w:eastAsia="宋体" w:cs="宋体"/>
        </w:rPr>
        <w:t>6. 评标</w:t>
      </w:r>
      <w:bookmarkEnd w:id="164"/>
      <w:bookmarkEnd w:id="165"/>
      <w:bookmarkEnd w:id="166"/>
      <w:bookmarkEnd w:id="167"/>
    </w:p>
    <w:p w14:paraId="0F7248FC">
      <w:pPr>
        <w:pStyle w:val="5"/>
        <w:spacing w:before="62" w:beforeLines="20" w:after="62" w:afterLines="20" w:line="360" w:lineRule="auto"/>
        <w:rPr>
          <w:rFonts w:ascii="宋体" w:hAnsi="宋体" w:cs="宋体"/>
        </w:rPr>
      </w:pPr>
      <w:bookmarkStart w:id="168" w:name="_Toc24104565"/>
      <w:bookmarkStart w:id="169" w:name="_Toc6365"/>
      <w:bookmarkStart w:id="170" w:name="_Toc6908"/>
      <w:bookmarkStart w:id="171" w:name="_Toc992"/>
      <w:r>
        <w:rPr>
          <w:rFonts w:hint="eastAsia" w:ascii="宋体" w:hAnsi="宋体" w:cs="宋体"/>
        </w:rPr>
        <w:t>6.1 评标委员会</w:t>
      </w:r>
      <w:bookmarkEnd w:id="168"/>
      <w:bookmarkEnd w:id="169"/>
      <w:bookmarkEnd w:id="170"/>
      <w:bookmarkEnd w:id="171"/>
    </w:p>
    <w:p w14:paraId="2E6696C8">
      <w:pPr>
        <w:spacing w:line="360" w:lineRule="auto"/>
        <w:ind w:firstLine="426" w:firstLineChars="200"/>
        <w:rPr>
          <w:rFonts w:ascii="宋体" w:hAnsi="宋体" w:cs="宋体"/>
          <w:u w:val="single"/>
        </w:rPr>
      </w:pPr>
      <w:r>
        <w:rPr>
          <w:rFonts w:hint="eastAsia" w:ascii="宋体" w:hAnsi="宋体" w:cs="宋体"/>
        </w:rPr>
        <w:t>6.1.1 评标由招标人依法组建的评标委员会负责。</w:t>
      </w:r>
      <w:r>
        <w:rPr>
          <w:rFonts w:hint="eastAsia" w:ascii="宋体" w:hAnsi="宋体" w:cs="宋体"/>
          <w:u w:val="single"/>
        </w:rPr>
        <w:t>评标委员会由有关技术、经济等方面的专家和招标人代表组成，专家从广东省综合评标评审专家库中抽取。</w:t>
      </w:r>
      <w:r>
        <w:rPr>
          <w:rFonts w:hint="eastAsia" w:ascii="宋体" w:hAnsi="宋体" w:cs="宋体"/>
          <w:u w:val="single"/>
          <w:lang w:val="en-US" w:eastAsia="zh-CN"/>
        </w:rPr>
        <w:t>详见《</w:t>
      </w:r>
      <w:r>
        <w:rPr>
          <w:rFonts w:hint="eastAsia" w:ascii="宋体" w:hAnsi="宋体" w:cs="宋体"/>
          <w:u w:val="single"/>
        </w:rPr>
        <w:t>投标人须知前附表</w:t>
      </w:r>
      <w:r>
        <w:rPr>
          <w:rFonts w:hint="eastAsia" w:ascii="宋体" w:hAnsi="宋体" w:cs="宋体"/>
          <w:u w:val="single"/>
          <w:lang w:eastAsia="zh-CN"/>
        </w:rPr>
        <w:t>》</w:t>
      </w:r>
      <w:r>
        <w:rPr>
          <w:rFonts w:hint="eastAsia" w:ascii="宋体" w:hAnsi="宋体" w:cs="宋体"/>
          <w:u w:val="single"/>
        </w:rPr>
        <w:t>。评标委员会在开始评标前，应了解评标专家的职责及守则，认真阅读《评标委员会成员声明》的内容并签名，签字后方可进行评标。</w:t>
      </w:r>
    </w:p>
    <w:p w14:paraId="30B34914">
      <w:pPr>
        <w:spacing w:line="360" w:lineRule="auto"/>
        <w:ind w:firstLine="426" w:firstLineChars="200"/>
        <w:rPr>
          <w:rFonts w:ascii="宋体" w:hAnsi="宋体" w:cs="宋体"/>
        </w:rPr>
      </w:pPr>
      <w:r>
        <w:rPr>
          <w:rFonts w:hint="eastAsia" w:ascii="宋体" w:hAnsi="宋体" w:cs="宋体"/>
        </w:rPr>
        <w:t>6.1.2 评标委员会成员有下列情形之一的，应当回避：</w:t>
      </w:r>
    </w:p>
    <w:p w14:paraId="6907569C">
      <w:pPr>
        <w:spacing w:line="360" w:lineRule="auto"/>
        <w:ind w:firstLine="426" w:firstLineChars="200"/>
        <w:rPr>
          <w:rFonts w:ascii="宋体" w:hAnsi="宋体" w:cs="宋体"/>
        </w:rPr>
      </w:pPr>
      <w:r>
        <w:rPr>
          <w:rFonts w:hint="eastAsia" w:ascii="宋体" w:hAnsi="宋体" w:cs="宋体"/>
        </w:rPr>
        <w:t>（1）投标人或投标人主要负责人的近亲属；</w:t>
      </w:r>
    </w:p>
    <w:p w14:paraId="59929069">
      <w:pPr>
        <w:spacing w:line="360" w:lineRule="auto"/>
        <w:ind w:firstLine="426" w:firstLineChars="200"/>
        <w:rPr>
          <w:rFonts w:ascii="宋体" w:hAnsi="宋体" w:cs="宋体"/>
        </w:rPr>
      </w:pPr>
      <w:r>
        <w:rPr>
          <w:rFonts w:hint="eastAsia" w:ascii="宋体" w:hAnsi="宋体" w:cs="宋体"/>
        </w:rPr>
        <w:t>（2）项目主管部门或者行政监督部门的人员；</w:t>
      </w:r>
    </w:p>
    <w:p w14:paraId="66BB0201">
      <w:pPr>
        <w:spacing w:line="360" w:lineRule="auto"/>
        <w:ind w:firstLine="426" w:firstLineChars="200"/>
        <w:rPr>
          <w:rFonts w:ascii="宋体" w:hAnsi="宋体" w:cs="宋体"/>
        </w:rPr>
      </w:pPr>
      <w:r>
        <w:rPr>
          <w:rFonts w:hint="eastAsia" w:ascii="宋体" w:hAnsi="宋体" w:cs="宋体"/>
        </w:rPr>
        <w:t>（3）与投标人有经济利益关系，可能影响对投标公正评审的；</w:t>
      </w:r>
    </w:p>
    <w:p w14:paraId="2F48D5DA">
      <w:pPr>
        <w:spacing w:line="360" w:lineRule="auto"/>
        <w:ind w:firstLine="426" w:firstLineChars="200"/>
        <w:rPr>
          <w:rFonts w:ascii="宋体" w:hAnsi="宋体" w:cs="宋体"/>
        </w:rPr>
      </w:pPr>
      <w:r>
        <w:rPr>
          <w:rFonts w:hint="eastAsia" w:ascii="宋体" w:hAnsi="宋体" w:cs="宋体"/>
        </w:rPr>
        <w:t>（4）曾因在招标、评标以及其他与招标投标有关活动中从事违法行为而受过行政处罚 或刑事处罚的；</w:t>
      </w:r>
    </w:p>
    <w:p w14:paraId="1840DED8">
      <w:pPr>
        <w:spacing w:line="360" w:lineRule="auto"/>
        <w:ind w:firstLine="426" w:firstLineChars="200"/>
        <w:rPr>
          <w:rFonts w:ascii="宋体" w:hAnsi="宋体" w:cs="宋体"/>
        </w:rPr>
      </w:pPr>
      <w:r>
        <w:rPr>
          <w:rFonts w:hint="eastAsia" w:ascii="宋体" w:hAnsi="宋体" w:cs="宋体"/>
        </w:rPr>
        <w:t>（5）与投标人有其他利害关系。</w:t>
      </w:r>
    </w:p>
    <w:p w14:paraId="0BB1C55C">
      <w:pPr>
        <w:spacing w:line="360" w:lineRule="auto"/>
        <w:ind w:firstLine="426" w:firstLineChars="200"/>
        <w:rPr>
          <w:rFonts w:ascii="宋体" w:hAnsi="宋体" w:cs="宋体"/>
        </w:rPr>
      </w:pPr>
      <w:r>
        <w:rPr>
          <w:rFonts w:hint="eastAsia" w:ascii="宋体" w:hAnsi="宋体" w:cs="宋体"/>
        </w:rPr>
        <w:t>6.1.3 评标过程中，评标委员会成员有回避事由、擅离职守或者因健康等原因不能继续评标的，招标人有权更换。被更换的评标委员会成员作出的评审结论无效，由更换后的评标委员会成员重新进行评审。</w:t>
      </w:r>
    </w:p>
    <w:p w14:paraId="3DED1970">
      <w:pPr>
        <w:pStyle w:val="5"/>
        <w:spacing w:before="62" w:beforeLines="20" w:after="62" w:afterLines="20" w:line="360" w:lineRule="auto"/>
        <w:rPr>
          <w:rFonts w:ascii="宋体" w:hAnsi="宋体" w:cs="宋体"/>
        </w:rPr>
      </w:pPr>
      <w:bookmarkStart w:id="172" w:name="_Toc13877"/>
      <w:bookmarkStart w:id="173" w:name="_Toc24104566"/>
      <w:bookmarkStart w:id="174" w:name="_Toc12780"/>
      <w:bookmarkStart w:id="175" w:name="_Toc31572"/>
      <w:r>
        <w:rPr>
          <w:rFonts w:hint="eastAsia" w:ascii="宋体" w:hAnsi="宋体" w:cs="宋体"/>
        </w:rPr>
        <w:t>6.2 评标原则</w:t>
      </w:r>
      <w:bookmarkEnd w:id="172"/>
      <w:bookmarkEnd w:id="173"/>
      <w:bookmarkEnd w:id="174"/>
      <w:bookmarkEnd w:id="175"/>
    </w:p>
    <w:p w14:paraId="4BF5AE4F">
      <w:pPr>
        <w:spacing w:line="360" w:lineRule="auto"/>
        <w:ind w:firstLine="426" w:firstLineChars="200"/>
        <w:rPr>
          <w:rFonts w:ascii="宋体" w:hAnsi="宋体" w:cs="宋体"/>
        </w:rPr>
      </w:pPr>
      <w:r>
        <w:rPr>
          <w:rFonts w:hint="eastAsia" w:ascii="宋体" w:hAnsi="宋体" w:cs="宋体"/>
        </w:rPr>
        <w:t>评标活动遵循公平、公正、科学和择优的原则。</w:t>
      </w:r>
    </w:p>
    <w:p w14:paraId="2B2CF7A0">
      <w:pPr>
        <w:pStyle w:val="5"/>
        <w:spacing w:before="62" w:beforeLines="20" w:after="62" w:afterLines="20" w:line="360" w:lineRule="auto"/>
        <w:rPr>
          <w:rFonts w:ascii="宋体" w:hAnsi="宋体" w:cs="宋体"/>
        </w:rPr>
      </w:pPr>
      <w:bookmarkStart w:id="176" w:name="_Toc14124"/>
      <w:bookmarkStart w:id="177" w:name="_Toc24104567"/>
      <w:bookmarkStart w:id="178" w:name="_Toc31545"/>
      <w:bookmarkStart w:id="179" w:name="_Toc28446"/>
      <w:r>
        <w:rPr>
          <w:rFonts w:hint="eastAsia" w:ascii="宋体" w:hAnsi="宋体" w:cs="宋体"/>
        </w:rPr>
        <w:t>6.3 评标</w:t>
      </w:r>
      <w:bookmarkEnd w:id="176"/>
      <w:bookmarkEnd w:id="177"/>
      <w:bookmarkEnd w:id="178"/>
      <w:bookmarkEnd w:id="179"/>
    </w:p>
    <w:p w14:paraId="77247051">
      <w:pPr>
        <w:spacing w:line="360" w:lineRule="auto"/>
        <w:ind w:firstLine="426" w:firstLineChars="200"/>
        <w:rPr>
          <w:rFonts w:ascii="宋体" w:hAnsi="宋体" w:cs="宋体"/>
        </w:rPr>
      </w:pPr>
      <w:r>
        <w:rPr>
          <w:rFonts w:hint="eastAsia" w:ascii="宋体" w:hAnsi="宋体" w:cs="宋体"/>
        </w:rPr>
        <w:t>6.3.1 评标委员会按照第三章“评标办法”规定的方法、评审因素、标准和程序对投标文件进行评审。第三章“评标办法”没有规定的方法、评审因素和标准，不作为评标依据。</w:t>
      </w:r>
    </w:p>
    <w:p w14:paraId="4BF5C04C">
      <w:pPr>
        <w:spacing w:line="360" w:lineRule="auto"/>
        <w:ind w:firstLine="426" w:firstLineChars="200"/>
        <w:rPr>
          <w:rFonts w:hint="eastAsia" w:ascii="宋体" w:hAnsi="宋体" w:cs="宋体"/>
        </w:rPr>
      </w:pPr>
      <w:r>
        <w:rPr>
          <w:rFonts w:hint="eastAsia" w:ascii="宋体" w:hAnsi="宋体" w:cs="宋体"/>
        </w:rPr>
        <w:t>6.3.2 评标完成后，评标委员会应当向招标人提交书面评标报告和中标候选人名单。评标委员会推荐中标候选人的人数见投标人须知前附表。</w:t>
      </w:r>
    </w:p>
    <w:p w14:paraId="2CBCBEA8">
      <w:pPr>
        <w:pStyle w:val="30"/>
        <w:rPr>
          <w:rFonts w:hint="eastAsia"/>
          <w:u w:val="single"/>
        </w:rPr>
      </w:pPr>
      <w:r>
        <w:rPr>
          <w:rFonts w:hint="eastAsia"/>
          <w:u w:val="single"/>
        </w:rPr>
        <w:t>6.3.3发生下列情形之一的，招标人将重新组织招标：</w:t>
      </w:r>
    </w:p>
    <w:p w14:paraId="76087DF7">
      <w:pPr>
        <w:pStyle w:val="30"/>
        <w:rPr>
          <w:rFonts w:hint="eastAsia"/>
          <w:u w:val="single"/>
        </w:rPr>
      </w:pPr>
      <w:r>
        <w:rPr>
          <w:rFonts w:hint="eastAsia"/>
          <w:u w:val="single"/>
        </w:rPr>
        <w:t xml:space="preserve"> (a) 递交投标文件或通过初步评审的投标人不足3人。</w:t>
      </w:r>
    </w:p>
    <w:p w14:paraId="58F69810">
      <w:pPr>
        <w:pStyle w:val="30"/>
        <w:rPr>
          <w:u w:val="single"/>
        </w:rPr>
      </w:pPr>
      <w:r>
        <w:rPr>
          <w:rFonts w:hint="eastAsia"/>
          <w:u w:val="single"/>
        </w:rPr>
        <w:t xml:space="preserve"> (b) 所有投标被否决，或者经评审有效投标的投标人不足3。</w:t>
      </w:r>
    </w:p>
    <w:p w14:paraId="2DDEFA9A">
      <w:pPr>
        <w:pStyle w:val="4"/>
        <w:rPr>
          <w:rFonts w:ascii="宋体" w:hAnsi="宋体" w:eastAsia="宋体" w:cs="宋体"/>
        </w:rPr>
      </w:pPr>
      <w:bookmarkStart w:id="180" w:name="_Toc24104568"/>
      <w:bookmarkStart w:id="181" w:name="_Toc2354"/>
      <w:bookmarkStart w:id="182" w:name="_Toc11801"/>
      <w:bookmarkStart w:id="183" w:name="_Toc12321"/>
      <w:r>
        <w:rPr>
          <w:rFonts w:hint="eastAsia" w:ascii="宋体" w:hAnsi="宋体" w:eastAsia="宋体" w:cs="宋体"/>
        </w:rPr>
        <w:t>7. 合同授予</w:t>
      </w:r>
      <w:bookmarkEnd w:id="180"/>
      <w:bookmarkEnd w:id="181"/>
      <w:bookmarkEnd w:id="182"/>
      <w:bookmarkEnd w:id="183"/>
    </w:p>
    <w:p w14:paraId="5E40BB5D">
      <w:pPr>
        <w:pStyle w:val="5"/>
        <w:spacing w:before="62" w:beforeLines="20" w:after="62" w:afterLines="20" w:line="360" w:lineRule="auto"/>
        <w:rPr>
          <w:rFonts w:ascii="宋体" w:hAnsi="宋体" w:cs="宋体"/>
        </w:rPr>
      </w:pPr>
      <w:bookmarkStart w:id="184" w:name="_Toc22456"/>
      <w:bookmarkStart w:id="185" w:name="_Toc13392"/>
      <w:bookmarkStart w:id="186" w:name="_Toc24104569"/>
      <w:bookmarkStart w:id="187" w:name="_Toc32254"/>
      <w:r>
        <w:rPr>
          <w:rFonts w:hint="eastAsia" w:ascii="宋体" w:hAnsi="宋体" w:cs="宋体"/>
        </w:rPr>
        <w:t>7.1 中标候选人公示</w:t>
      </w:r>
      <w:bookmarkEnd w:id="184"/>
      <w:bookmarkEnd w:id="185"/>
      <w:bookmarkEnd w:id="186"/>
      <w:bookmarkEnd w:id="187"/>
    </w:p>
    <w:p w14:paraId="7460BB52">
      <w:pPr>
        <w:spacing w:line="360" w:lineRule="auto"/>
        <w:ind w:firstLine="426" w:firstLineChars="200"/>
        <w:rPr>
          <w:rFonts w:ascii="宋体" w:hAnsi="宋体" w:cs="宋体"/>
        </w:rPr>
      </w:pPr>
      <w:r>
        <w:rPr>
          <w:rFonts w:hint="eastAsia" w:ascii="宋体" w:hAnsi="宋体" w:cs="宋体"/>
        </w:rPr>
        <w:t>7.1.1招标人在收到评标报告之日起3日内，按照投标人须知前附表规定的公示媒介和期限公示中标候选人，公示期不得少于 3 天，公示期限最后一天为工作日。</w:t>
      </w:r>
    </w:p>
    <w:p w14:paraId="3DFF1F24">
      <w:pPr>
        <w:spacing w:line="360" w:lineRule="auto"/>
        <w:ind w:firstLine="426" w:firstLineChars="200"/>
        <w:rPr>
          <w:rFonts w:ascii="宋体" w:hAnsi="宋体" w:cs="宋体"/>
        </w:rPr>
      </w:pPr>
      <w:r>
        <w:rPr>
          <w:rFonts w:hint="eastAsia" w:ascii="宋体" w:hAnsi="宋体" w:cs="宋体"/>
        </w:rPr>
        <w:t>7.1.2在产生中标候选人后，招标人将中标候选人的投标文件商务部分文件的所有内容（包括人员、业绩、奖项等资料）在</w:t>
      </w:r>
      <w:r>
        <w:rPr>
          <w:rFonts w:hint="eastAsia" w:ascii="宋体" w:hAnsi="宋体" w:cs="宋体"/>
          <w:lang w:eastAsia="zh-CN"/>
        </w:rPr>
        <w:t>广州交易集团有限公司(广州公共资源交易中心)</w:t>
      </w:r>
      <w:r>
        <w:rPr>
          <w:rFonts w:hint="eastAsia" w:ascii="宋体" w:hAnsi="宋体" w:cs="宋体"/>
        </w:rPr>
        <w:t>网和广东省招标投标监管网公开。</w:t>
      </w:r>
    </w:p>
    <w:p w14:paraId="7F5A86B6">
      <w:pPr>
        <w:pStyle w:val="5"/>
        <w:spacing w:before="62" w:beforeLines="20" w:after="62" w:afterLines="20" w:line="360" w:lineRule="auto"/>
        <w:rPr>
          <w:rFonts w:ascii="宋体" w:hAnsi="宋体" w:cs="宋体"/>
        </w:rPr>
      </w:pPr>
      <w:bookmarkStart w:id="188" w:name="_Toc31769"/>
      <w:bookmarkStart w:id="189" w:name="_Toc28273"/>
      <w:bookmarkStart w:id="190" w:name="_Toc24104570"/>
      <w:bookmarkStart w:id="191" w:name="_Toc15613"/>
      <w:r>
        <w:rPr>
          <w:rFonts w:hint="eastAsia" w:ascii="宋体" w:hAnsi="宋体" w:cs="宋体"/>
        </w:rPr>
        <w:t>7.2 中标结果异议</w:t>
      </w:r>
      <w:bookmarkEnd w:id="188"/>
      <w:bookmarkEnd w:id="189"/>
      <w:bookmarkEnd w:id="190"/>
      <w:bookmarkEnd w:id="191"/>
    </w:p>
    <w:p w14:paraId="4EEEDDC4">
      <w:pPr>
        <w:spacing w:line="360" w:lineRule="auto"/>
        <w:ind w:firstLine="426" w:firstLineChars="200"/>
        <w:rPr>
          <w:rFonts w:ascii="宋体" w:hAnsi="宋体" w:cs="宋体"/>
        </w:rPr>
      </w:pPr>
      <w:r>
        <w:rPr>
          <w:rFonts w:hint="eastAsia" w:ascii="宋体" w:hAnsi="宋体" w:cs="宋体"/>
        </w:rPr>
        <w:t>投标人或者其他利害关系人对评标结果有异议的，应当在中标候选人公示期间提出，可以通过线下或线上的形式提出异议。</w:t>
      </w:r>
      <w:r>
        <w:rPr>
          <w:rFonts w:hint="eastAsia" w:ascii="宋体" w:hAnsi="宋体" w:cs="宋体"/>
          <w:u w:val="single"/>
        </w:rPr>
        <w:t>线上提出异议的，应通过交易平台进行提交</w:t>
      </w:r>
      <w:r>
        <w:rPr>
          <w:rFonts w:hint="eastAsia" w:ascii="宋体" w:hAnsi="宋体" w:cs="宋体"/>
        </w:rPr>
        <w:t>，招标人授权招标代理机构工作人员使用招标代理机构数字证书登录交易平台答复异议，异议答复是招标人真实意思表示。具体按照交易平台相关指南进行操作。招标人将在收到异议之日起3日内作出答复；作出答复前，将暂停招标投标活动。</w:t>
      </w:r>
    </w:p>
    <w:p w14:paraId="3CBE868A">
      <w:pPr>
        <w:pStyle w:val="5"/>
        <w:spacing w:before="62" w:beforeLines="20" w:after="62" w:afterLines="20" w:line="360" w:lineRule="auto"/>
        <w:rPr>
          <w:rFonts w:ascii="宋体" w:hAnsi="宋体" w:cs="宋体"/>
        </w:rPr>
      </w:pPr>
      <w:bookmarkStart w:id="192" w:name="_Toc27755"/>
      <w:bookmarkStart w:id="193" w:name="_Toc24104571"/>
      <w:bookmarkStart w:id="194" w:name="_Toc16959"/>
      <w:bookmarkStart w:id="195" w:name="_Toc10611"/>
      <w:r>
        <w:rPr>
          <w:rFonts w:hint="eastAsia" w:ascii="宋体" w:hAnsi="宋体" w:cs="宋体"/>
        </w:rPr>
        <w:t>7.3 中标候选人履约能力审查</w:t>
      </w:r>
      <w:bookmarkEnd w:id="192"/>
      <w:bookmarkEnd w:id="193"/>
      <w:bookmarkEnd w:id="194"/>
      <w:bookmarkEnd w:id="195"/>
    </w:p>
    <w:p w14:paraId="743C29E8">
      <w:pPr>
        <w:spacing w:line="360" w:lineRule="auto"/>
        <w:ind w:firstLine="426" w:firstLineChars="200"/>
        <w:rPr>
          <w:rFonts w:ascii="宋体" w:hAnsi="宋体" w:cs="宋体"/>
        </w:rPr>
      </w:pPr>
      <w:r>
        <w:rPr>
          <w:rFonts w:hint="eastAsia" w:ascii="宋体" w:hAnsi="宋体" w:cs="宋体"/>
        </w:rPr>
        <w:t>中标候选人的经营、财务状况发生较大变化或存在违法行为，招标人认为可能影响其履约 能力的，将在发出中标通知书前提请原评标委员会按照招标文件规定的标准和方法进行审查确认。</w:t>
      </w:r>
    </w:p>
    <w:p w14:paraId="432097F3">
      <w:pPr>
        <w:pStyle w:val="5"/>
        <w:spacing w:before="62" w:beforeLines="20" w:after="62" w:afterLines="20" w:line="360" w:lineRule="auto"/>
        <w:rPr>
          <w:rFonts w:ascii="宋体" w:hAnsi="宋体" w:cs="宋体"/>
        </w:rPr>
      </w:pPr>
      <w:bookmarkStart w:id="196" w:name="_Toc24104572"/>
      <w:bookmarkStart w:id="197" w:name="_Toc32647"/>
      <w:bookmarkStart w:id="198" w:name="_Toc25172"/>
      <w:bookmarkStart w:id="199" w:name="_Toc15883"/>
      <w:r>
        <w:rPr>
          <w:rFonts w:hint="eastAsia" w:ascii="宋体" w:hAnsi="宋体" w:cs="宋体"/>
        </w:rPr>
        <w:t>7.4 定标</w:t>
      </w:r>
      <w:bookmarkEnd w:id="196"/>
      <w:bookmarkEnd w:id="197"/>
      <w:bookmarkEnd w:id="198"/>
      <w:bookmarkEnd w:id="199"/>
    </w:p>
    <w:p w14:paraId="54722A0E">
      <w:pPr>
        <w:spacing w:line="360" w:lineRule="auto"/>
        <w:ind w:firstLine="426" w:firstLineChars="200"/>
        <w:rPr>
          <w:rFonts w:ascii="宋体" w:hAnsi="宋体" w:cs="宋体"/>
        </w:rPr>
      </w:pPr>
      <w:r>
        <w:rPr>
          <w:rFonts w:hint="eastAsia" w:ascii="宋体" w:hAnsi="宋体" w:cs="宋体"/>
        </w:rPr>
        <w:t>按照投标人须知前附表的规定，招标人或招标人授权的评标委员会依法确定中标人。</w:t>
      </w:r>
    </w:p>
    <w:p w14:paraId="3AC440B0">
      <w:pPr>
        <w:pStyle w:val="5"/>
        <w:spacing w:before="62" w:beforeLines="20" w:after="62" w:afterLines="20" w:line="360" w:lineRule="auto"/>
        <w:rPr>
          <w:rFonts w:ascii="宋体" w:hAnsi="宋体" w:cs="宋体"/>
        </w:rPr>
      </w:pPr>
      <w:bookmarkStart w:id="200" w:name="_Toc24104573"/>
      <w:bookmarkStart w:id="201" w:name="_Toc25769"/>
      <w:bookmarkStart w:id="202" w:name="_Toc20172"/>
      <w:bookmarkStart w:id="203" w:name="_Toc27140"/>
      <w:r>
        <w:rPr>
          <w:rFonts w:hint="eastAsia" w:ascii="宋体" w:hAnsi="宋体" w:cs="宋体"/>
        </w:rPr>
        <w:t>7.5 中标通知</w:t>
      </w:r>
      <w:bookmarkEnd w:id="200"/>
      <w:bookmarkEnd w:id="201"/>
      <w:bookmarkEnd w:id="202"/>
      <w:bookmarkEnd w:id="203"/>
    </w:p>
    <w:p w14:paraId="15F28578">
      <w:pPr>
        <w:spacing w:line="360" w:lineRule="auto"/>
        <w:ind w:firstLine="426" w:firstLineChars="200"/>
        <w:rPr>
          <w:rFonts w:ascii="宋体" w:hAnsi="宋体" w:cs="宋体"/>
        </w:rPr>
      </w:pPr>
      <w:r>
        <w:rPr>
          <w:rFonts w:hint="eastAsia" w:ascii="宋体" w:hAnsi="宋体" w:cs="宋体"/>
        </w:rPr>
        <w:t>在本章第3.3款规定的投标有效期内，中标人自行于广州交易集团有限公司（广州公共资源交易中心）交易平台下载中标通知书，同时招标人将中标结果通过广州交易集团有限公司（广州公共资源交易中心）交易平台公开发布。中标人须对其投标文件真实性负责，并准备投标文件涉及的所有原件待查，如存在弄虚作假情况或原件不齐或与原件不符的，招标人有权取消其中标人资格，并上报建设行政主管部门。</w:t>
      </w:r>
    </w:p>
    <w:p w14:paraId="13F704CB">
      <w:pPr>
        <w:pStyle w:val="5"/>
        <w:spacing w:before="62" w:beforeLines="20" w:after="62" w:afterLines="20" w:line="360" w:lineRule="auto"/>
        <w:rPr>
          <w:rFonts w:ascii="宋体" w:hAnsi="宋体" w:cs="宋体"/>
          <w:strike w:val="0"/>
        </w:rPr>
      </w:pPr>
      <w:bookmarkStart w:id="204" w:name="_Toc453"/>
      <w:bookmarkStart w:id="205" w:name="_Toc1458"/>
      <w:bookmarkStart w:id="206" w:name="_Toc24104574"/>
      <w:bookmarkStart w:id="207" w:name="_Toc14797"/>
      <w:r>
        <w:rPr>
          <w:rFonts w:hint="eastAsia" w:ascii="宋体" w:hAnsi="宋体" w:cs="宋体"/>
          <w:strike w:val="0"/>
        </w:rPr>
        <w:t>7.6 履约保证金</w:t>
      </w:r>
      <w:bookmarkEnd w:id="204"/>
      <w:bookmarkEnd w:id="205"/>
      <w:bookmarkEnd w:id="206"/>
      <w:bookmarkEnd w:id="207"/>
    </w:p>
    <w:p w14:paraId="0DBF475B">
      <w:pPr>
        <w:spacing w:line="360" w:lineRule="auto"/>
        <w:ind w:firstLine="426" w:firstLineChars="200"/>
        <w:rPr>
          <w:rFonts w:hint="eastAsia" w:ascii="宋体" w:hAnsi="宋体" w:cs="宋体"/>
          <w:strike w:val="0"/>
        </w:rPr>
      </w:pPr>
      <w:r>
        <w:rPr>
          <w:rFonts w:hint="eastAsia" w:ascii="宋体" w:hAnsi="宋体" w:cs="宋体"/>
          <w:strike w:val="0"/>
        </w:rPr>
        <w:t>7.6.1 在签订合同前，中标人应按投标人须知前附表规定的形式、金额和招标文件第四章“合同条款及格式”规定的或者事先经过招标人书面认可的履约保证金格式向招标人提交履约保证金。除投标人须知前附表另有规定外，履约保证金为中标合同金额的10%。</w:t>
      </w:r>
    </w:p>
    <w:p w14:paraId="6892F41E">
      <w:pPr>
        <w:spacing w:line="360" w:lineRule="auto"/>
        <w:ind w:firstLine="426" w:firstLineChars="200"/>
        <w:rPr>
          <w:rFonts w:ascii="宋体" w:hAnsi="宋体" w:cs="宋体"/>
          <w:strike w:val="0"/>
          <w:u w:val="single"/>
        </w:rPr>
      </w:pPr>
      <w:r>
        <w:rPr>
          <w:rFonts w:hint="eastAsia" w:ascii="宋体" w:hAnsi="宋体" w:cs="宋体"/>
          <w:strike w:val="0"/>
        </w:rPr>
        <w:t>7.6.2 中标人不能按本章第 7.6.1 项要求提交履约保证金的，视为放弃中标，</w:t>
      </w:r>
      <w:r>
        <w:rPr>
          <w:rFonts w:hint="eastAsia" w:ascii="宋体" w:hAnsi="宋体" w:cs="宋体"/>
          <w:strike w:val="0"/>
          <w:u w:val="single"/>
        </w:rPr>
        <w:t>招标人有权根据《关于投标保证金的承诺》，要求投标人足额补交投标保证金，其补交的投标保证金不予退还</w:t>
      </w:r>
      <w:r>
        <w:rPr>
          <w:rFonts w:hint="eastAsia" w:ascii="宋体" w:hAnsi="宋体" w:cs="宋体"/>
          <w:strike w:val="0"/>
        </w:rPr>
        <w:t>，给招标人造成的损失超过投标保证金数额的，中标人还应当对超过部分予以赔偿。</w:t>
      </w:r>
    </w:p>
    <w:p w14:paraId="68AC08B9">
      <w:pPr>
        <w:pStyle w:val="5"/>
        <w:spacing w:before="62" w:beforeLines="20" w:after="62" w:afterLines="20" w:line="360" w:lineRule="auto"/>
        <w:rPr>
          <w:rFonts w:ascii="宋体" w:hAnsi="宋体" w:cs="宋体"/>
        </w:rPr>
      </w:pPr>
      <w:bookmarkStart w:id="208" w:name="_Toc19699"/>
      <w:bookmarkStart w:id="209" w:name="_Toc24104575"/>
      <w:bookmarkStart w:id="210" w:name="_Toc1220"/>
      <w:bookmarkStart w:id="211" w:name="_Toc7345"/>
      <w:r>
        <w:rPr>
          <w:rFonts w:hint="eastAsia" w:ascii="宋体" w:hAnsi="宋体" w:cs="宋体"/>
        </w:rPr>
        <w:t>7.7 签订合同</w:t>
      </w:r>
      <w:bookmarkEnd w:id="208"/>
      <w:bookmarkEnd w:id="209"/>
      <w:bookmarkEnd w:id="210"/>
      <w:bookmarkEnd w:id="211"/>
    </w:p>
    <w:p w14:paraId="2AD79BA4">
      <w:pPr>
        <w:spacing w:line="360" w:lineRule="auto"/>
        <w:ind w:firstLine="426" w:firstLineChars="200"/>
        <w:rPr>
          <w:rFonts w:ascii="宋体" w:hAnsi="宋体" w:cs="宋体"/>
        </w:rPr>
      </w:pPr>
      <w:r>
        <w:rPr>
          <w:rFonts w:hint="eastAsia" w:ascii="宋体" w:hAnsi="宋体" w:cs="宋体"/>
        </w:rPr>
        <w:t>7.7.1 招标人和中标人应当在中标通知书发出之日起 30 日内，根据招标文件和中标人的投标文件订立书面合同。中标人无正当理由拒签合同，在签订合同时向招标人提出附加条件</w:t>
      </w:r>
      <w:r>
        <w:rPr>
          <w:rFonts w:hint="eastAsia" w:ascii="宋体" w:hAnsi="宋体" w:cs="宋体"/>
          <w:strike/>
        </w:rPr>
        <w:t>，或者不按照招标文件要求提交履约保证金的</w:t>
      </w:r>
      <w:r>
        <w:rPr>
          <w:rFonts w:hint="eastAsia" w:ascii="宋体" w:hAnsi="宋体" w:cs="宋体"/>
        </w:rPr>
        <w:t>，招标人有权取消其中标资格并根据《关于投标保证金的承诺》，要求投标人足额补交投标保证金，其补交的投标保证金不予退还。给招标人造成的损失超过</w:t>
      </w:r>
      <w:r>
        <w:rPr>
          <w:rFonts w:hint="eastAsia" w:ascii="宋体" w:hAnsi="宋体" w:cs="宋体"/>
          <w:strike/>
        </w:rPr>
        <w:t>投标保证金数额的</w:t>
      </w:r>
      <w:r>
        <w:rPr>
          <w:rFonts w:hint="eastAsia" w:ascii="宋体" w:hAnsi="宋体" w:cs="宋体"/>
        </w:rPr>
        <w:t>，中标人还应当</w:t>
      </w:r>
      <w:r>
        <w:rPr>
          <w:rFonts w:hint="eastAsia" w:ascii="宋体" w:hAnsi="宋体" w:cs="宋体"/>
          <w:strike w:val="0"/>
        </w:rPr>
        <w:t>对超过部分</w:t>
      </w:r>
      <w:r>
        <w:rPr>
          <w:rFonts w:hint="eastAsia" w:ascii="宋体" w:hAnsi="宋体" w:cs="宋体"/>
        </w:rPr>
        <w:t>予以赔偿。</w:t>
      </w:r>
    </w:p>
    <w:p w14:paraId="2C7AB4C7">
      <w:pPr>
        <w:spacing w:line="360" w:lineRule="auto"/>
        <w:ind w:firstLine="426" w:firstLineChars="200"/>
        <w:rPr>
          <w:rFonts w:ascii="宋体" w:hAnsi="宋体" w:cs="宋体"/>
          <w:strike/>
        </w:rPr>
      </w:pPr>
      <w:r>
        <w:rPr>
          <w:rFonts w:hint="eastAsia" w:ascii="宋体" w:hAnsi="宋体" w:cs="宋体"/>
          <w:strike/>
        </w:rPr>
        <w:t>7.7.2 发出中标通知书后，招标人无正当理由拒签合同，或者在签订合同时向中标人提出附加条件的，招标人向中标人退还投标保证金；给中标人造成损失的，还应当赔偿损失。</w:t>
      </w:r>
    </w:p>
    <w:p w14:paraId="7A75F3BB">
      <w:pPr>
        <w:spacing w:line="360" w:lineRule="auto"/>
        <w:ind w:firstLine="426" w:firstLineChars="200"/>
        <w:rPr>
          <w:rFonts w:ascii="宋体" w:hAnsi="宋体" w:cs="宋体"/>
          <w:strike/>
        </w:rPr>
      </w:pPr>
      <w:r>
        <w:rPr>
          <w:rFonts w:hint="eastAsia" w:ascii="宋体" w:hAnsi="宋体" w:cs="宋体"/>
          <w:strike/>
        </w:rPr>
        <w:t>7.7.3 联合体中标的，联合体各方应当共同与招标人签订合同，就中标项目向招标人承担连带责任。</w:t>
      </w:r>
    </w:p>
    <w:p w14:paraId="1A144B0A">
      <w:pPr>
        <w:pStyle w:val="4"/>
        <w:rPr>
          <w:rFonts w:ascii="宋体" w:hAnsi="宋体" w:eastAsia="宋体" w:cs="宋体"/>
        </w:rPr>
      </w:pPr>
      <w:bookmarkStart w:id="212" w:name="_Toc15167"/>
      <w:bookmarkStart w:id="213" w:name="_Toc4656"/>
      <w:bookmarkStart w:id="214" w:name="_Toc17878"/>
      <w:bookmarkStart w:id="215" w:name="_Toc24104576"/>
      <w:r>
        <w:rPr>
          <w:rFonts w:hint="eastAsia" w:ascii="宋体" w:hAnsi="宋体" w:eastAsia="宋体" w:cs="宋体"/>
        </w:rPr>
        <w:t>8. 纪律和监督</w:t>
      </w:r>
      <w:bookmarkEnd w:id="212"/>
      <w:bookmarkEnd w:id="213"/>
      <w:bookmarkEnd w:id="214"/>
      <w:bookmarkEnd w:id="215"/>
    </w:p>
    <w:p w14:paraId="178F8D16">
      <w:pPr>
        <w:pStyle w:val="5"/>
        <w:spacing w:before="62" w:beforeLines="20" w:after="62" w:afterLines="20" w:line="360" w:lineRule="auto"/>
        <w:rPr>
          <w:rFonts w:ascii="宋体" w:hAnsi="宋体" w:cs="宋体"/>
        </w:rPr>
      </w:pPr>
      <w:bookmarkStart w:id="216" w:name="_Toc10293"/>
      <w:bookmarkStart w:id="217" w:name="_Toc15199"/>
      <w:bookmarkStart w:id="218" w:name="_Toc24104577"/>
      <w:bookmarkStart w:id="219" w:name="_Toc6869"/>
      <w:r>
        <w:rPr>
          <w:rFonts w:hint="eastAsia" w:ascii="宋体" w:hAnsi="宋体" w:cs="宋体"/>
        </w:rPr>
        <w:t>8.1 对招标人的纪律要求</w:t>
      </w:r>
      <w:bookmarkEnd w:id="216"/>
      <w:bookmarkEnd w:id="217"/>
      <w:bookmarkEnd w:id="218"/>
      <w:bookmarkEnd w:id="219"/>
    </w:p>
    <w:p w14:paraId="79243F49">
      <w:pPr>
        <w:spacing w:line="360" w:lineRule="auto"/>
        <w:ind w:firstLine="426" w:firstLineChars="200"/>
        <w:rPr>
          <w:rFonts w:ascii="宋体" w:hAnsi="宋体" w:cs="宋体"/>
        </w:rPr>
      </w:pPr>
      <w:r>
        <w:rPr>
          <w:rFonts w:hint="eastAsia" w:ascii="宋体" w:hAnsi="宋体" w:cs="宋体"/>
        </w:rPr>
        <w:t>招标人不得泄露招标投标活动中应当保密的情况和资料，不得与投标人串通损害国家利益、社会公共利益或者他人合法权益。</w:t>
      </w:r>
    </w:p>
    <w:p w14:paraId="7E9CB97E">
      <w:pPr>
        <w:pStyle w:val="5"/>
        <w:spacing w:before="62" w:beforeLines="20" w:after="62" w:afterLines="20" w:line="360" w:lineRule="auto"/>
        <w:rPr>
          <w:rFonts w:ascii="宋体" w:hAnsi="宋体" w:cs="宋体"/>
        </w:rPr>
      </w:pPr>
      <w:bookmarkStart w:id="220" w:name="_Toc22421"/>
      <w:bookmarkStart w:id="221" w:name="_Toc24104578"/>
      <w:bookmarkStart w:id="222" w:name="_Toc11211"/>
      <w:bookmarkStart w:id="223" w:name="_Toc20662"/>
      <w:r>
        <w:rPr>
          <w:rFonts w:hint="eastAsia" w:ascii="宋体" w:hAnsi="宋体" w:cs="宋体"/>
        </w:rPr>
        <w:t>8.2 对投标人的纪律要求</w:t>
      </w:r>
      <w:bookmarkEnd w:id="220"/>
      <w:bookmarkEnd w:id="221"/>
      <w:bookmarkEnd w:id="222"/>
      <w:bookmarkEnd w:id="223"/>
    </w:p>
    <w:p w14:paraId="5D851F37">
      <w:pPr>
        <w:spacing w:line="360" w:lineRule="auto"/>
        <w:ind w:firstLine="426" w:firstLineChars="200"/>
        <w:rPr>
          <w:rFonts w:ascii="宋体" w:hAnsi="宋体" w:cs="宋体"/>
        </w:rPr>
      </w:pPr>
      <w:r>
        <w:rPr>
          <w:rFonts w:hint="eastAsia" w:ascii="宋体" w:hAnsi="宋体" w:cs="宋体"/>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570B7857">
      <w:pPr>
        <w:pStyle w:val="5"/>
        <w:spacing w:before="62" w:beforeLines="20" w:after="62" w:afterLines="20" w:line="360" w:lineRule="auto"/>
        <w:rPr>
          <w:rFonts w:ascii="宋体" w:hAnsi="宋体" w:cs="宋体"/>
        </w:rPr>
      </w:pPr>
      <w:bookmarkStart w:id="224" w:name="_Toc15871"/>
      <w:bookmarkStart w:id="225" w:name="_Toc15265"/>
      <w:bookmarkStart w:id="226" w:name="_Toc26420"/>
      <w:bookmarkStart w:id="227" w:name="_Toc24104579"/>
      <w:r>
        <w:rPr>
          <w:rFonts w:hint="eastAsia" w:ascii="宋体" w:hAnsi="宋体" w:cs="宋体"/>
        </w:rPr>
        <w:t>8.3 对评标委员会成员的纪律要求</w:t>
      </w:r>
      <w:bookmarkEnd w:id="224"/>
      <w:bookmarkEnd w:id="225"/>
      <w:bookmarkEnd w:id="226"/>
      <w:bookmarkEnd w:id="227"/>
    </w:p>
    <w:p w14:paraId="6E148901">
      <w:pPr>
        <w:spacing w:line="360" w:lineRule="auto"/>
        <w:ind w:firstLine="426" w:firstLineChars="200"/>
        <w:rPr>
          <w:rFonts w:ascii="宋体" w:hAnsi="宋体" w:cs="宋体"/>
        </w:rPr>
      </w:pPr>
      <w:r>
        <w:rPr>
          <w:rFonts w:hint="eastAsia" w:ascii="宋体" w:hAnsi="宋体" w:cs="宋体"/>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24D8DEAE">
      <w:pPr>
        <w:pStyle w:val="5"/>
        <w:spacing w:before="62" w:beforeLines="20" w:after="62" w:afterLines="20" w:line="360" w:lineRule="auto"/>
        <w:rPr>
          <w:rFonts w:ascii="宋体" w:hAnsi="宋体" w:cs="宋体"/>
        </w:rPr>
      </w:pPr>
      <w:bookmarkStart w:id="228" w:name="_Toc17580"/>
      <w:bookmarkStart w:id="229" w:name="_Toc11328"/>
      <w:bookmarkStart w:id="230" w:name="_Toc24104580"/>
      <w:bookmarkStart w:id="231" w:name="_Toc32493"/>
      <w:r>
        <w:rPr>
          <w:rFonts w:hint="eastAsia" w:ascii="宋体" w:hAnsi="宋体" w:cs="宋体"/>
        </w:rPr>
        <w:t>8.4 对与评标活动有关的工作人员的纪律要求</w:t>
      </w:r>
      <w:bookmarkEnd w:id="228"/>
      <w:bookmarkEnd w:id="229"/>
      <w:bookmarkEnd w:id="230"/>
      <w:bookmarkEnd w:id="231"/>
    </w:p>
    <w:p w14:paraId="2EE381AB">
      <w:pPr>
        <w:spacing w:line="360" w:lineRule="auto"/>
        <w:ind w:firstLine="426" w:firstLineChars="200"/>
        <w:rPr>
          <w:rFonts w:ascii="宋体" w:hAnsi="宋体" w:cs="宋体"/>
        </w:rPr>
      </w:pPr>
      <w:r>
        <w:rPr>
          <w:rFonts w:hint="eastAsia" w:ascii="宋体" w:hAnsi="宋体" w:cs="宋体"/>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14:paraId="68F24965">
      <w:pPr>
        <w:pStyle w:val="5"/>
        <w:spacing w:before="62" w:beforeLines="20" w:after="62" w:afterLines="20" w:line="360" w:lineRule="auto"/>
        <w:rPr>
          <w:rFonts w:ascii="宋体" w:hAnsi="宋体" w:cs="宋体"/>
        </w:rPr>
      </w:pPr>
      <w:bookmarkStart w:id="232" w:name="_Toc17319"/>
      <w:bookmarkStart w:id="233" w:name="_Toc28591"/>
      <w:bookmarkStart w:id="234" w:name="_Toc5789"/>
      <w:bookmarkStart w:id="235" w:name="_Toc24104581"/>
      <w:r>
        <w:rPr>
          <w:rFonts w:hint="eastAsia" w:ascii="宋体" w:hAnsi="宋体" w:cs="宋体"/>
        </w:rPr>
        <w:t>8.5 投诉</w:t>
      </w:r>
      <w:bookmarkEnd w:id="232"/>
      <w:bookmarkEnd w:id="233"/>
      <w:bookmarkEnd w:id="234"/>
      <w:bookmarkEnd w:id="235"/>
    </w:p>
    <w:p w14:paraId="31F6A473">
      <w:pPr>
        <w:spacing w:line="360" w:lineRule="auto"/>
        <w:ind w:firstLine="426" w:firstLineChars="200"/>
        <w:rPr>
          <w:rFonts w:ascii="宋体" w:hAnsi="宋体" w:cs="宋体"/>
        </w:rPr>
      </w:pPr>
      <w:r>
        <w:rPr>
          <w:rFonts w:hint="eastAsia" w:ascii="宋体" w:hAnsi="宋体" w:cs="宋体"/>
        </w:rPr>
        <w:t>8.5.1 投标人或者其他利害关系人认为招标投标活动不符合法律、行政法规规定的，可以自知道或者应当知道之日起 10 日内向有关行政监督部门投诉。投诉应当有明确的请求和必要的证明材料。</w:t>
      </w:r>
    </w:p>
    <w:p w14:paraId="5E0F93D0">
      <w:pPr>
        <w:spacing w:line="360" w:lineRule="auto"/>
        <w:ind w:firstLine="426" w:firstLineChars="200"/>
        <w:rPr>
          <w:rFonts w:ascii="宋体" w:hAnsi="宋体" w:cs="宋体"/>
        </w:rPr>
      </w:pPr>
      <w:r>
        <w:rPr>
          <w:rFonts w:hint="eastAsia" w:ascii="宋体" w:hAnsi="宋体" w:cs="宋体"/>
        </w:rPr>
        <w:t>8.5.2 投标人或者其他利害关系人对招标文件、开标和评标结果提出投诉的，应当按照投标人须知第 2.4 款、第 5.3 款和第 7.2 款的规定先向招标人提出异议。异议答复期间不计算在第 8.5.1项规定的期限内。</w:t>
      </w:r>
    </w:p>
    <w:p w14:paraId="16A669B5">
      <w:pPr>
        <w:pStyle w:val="4"/>
        <w:rPr>
          <w:rFonts w:ascii="宋体" w:hAnsi="宋体" w:eastAsia="宋体" w:cs="宋体"/>
        </w:rPr>
      </w:pPr>
      <w:bookmarkStart w:id="236" w:name="_Toc14888"/>
      <w:bookmarkStart w:id="237" w:name="_Toc17520"/>
      <w:bookmarkStart w:id="238" w:name="_Toc24104582"/>
      <w:bookmarkStart w:id="239" w:name="_Toc16376"/>
      <w:r>
        <w:rPr>
          <w:rFonts w:hint="eastAsia" w:ascii="宋体" w:hAnsi="宋体" w:eastAsia="宋体" w:cs="宋体"/>
        </w:rPr>
        <w:t>9. 是否采用电子招标投标</w:t>
      </w:r>
      <w:bookmarkEnd w:id="236"/>
      <w:bookmarkEnd w:id="237"/>
      <w:bookmarkEnd w:id="238"/>
      <w:bookmarkEnd w:id="239"/>
    </w:p>
    <w:p w14:paraId="093201C0">
      <w:pPr>
        <w:spacing w:line="360" w:lineRule="auto"/>
        <w:ind w:firstLine="426" w:firstLineChars="200"/>
        <w:rPr>
          <w:rFonts w:ascii="宋体" w:hAnsi="宋体" w:cs="宋体"/>
        </w:rPr>
      </w:pPr>
      <w:r>
        <w:rPr>
          <w:rFonts w:hint="eastAsia" w:ascii="宋体" w:hAnsi="宋体" w:cs="宋体"/>
        </w:rPr>
        <w:t>本招标项目是否采用电子招标投标方式，见投标人须知前附表。</w:t>
      </w:r>
    </w:p>
    <w:p w14:paraId="5E79D0AE">
      <w:pPr>
        <w:pStyle w:val="4"/>
        <w:rPr>
          <w:rFonts w:ascii="宋体" w:hAnsi="宋体" w:eastAsia="宋体" w:cs="宋体"/>
        </w:rPr>
      </w:pPr>
      <w:bookmarkStart w:id="240" w:name="_Toc14878"/>
      <w:bookmarkStart w:id="241" w:name="_Toc24104583"/>
      <w:bookmarkStart w:id="242" w:name="_Toc24826"/>
      <w:bookmarkStart w:id="243" w:name="_Toc3121"/>
      <w:r>
        <w:rPr>
          <w:rFonts w:hint="eastAsia" w:ascii="宋体" w:hAnsi="宋体" w:eastAsia="宋体" w:cs="宋体"/>
        </w:rPr>
        <w:t>10. 需要补充的其他内容</w:t>
      </w:r>
      <w:bookmarkEnd w:id="240"/>
      <w:bookmarkEnd w:id="241"/>
      <w:bookmarkEnd w:id="242"/>
      <w:bookmarkEnd w:id="243"/>
    </w:p>
    <w:p w14:paraId="02478A51">
      <w:pPr>
        <w:spacing w:line="360" w:lineRule="auto"/>
        <w:ind w:firstLine="426" w:firstLineChars="200"/>
        <w:rPr>
          <w:rFonts w:ascii="宋体" w:hAnsi="宋体" w:cs="宋体"/>
        </w:rPr>
      </w:pPr>
      <w:r>
        <w:rPr>
          <w:rFonts w:hint="eastAsia" w:ascii="宋体" w:hAnsi="宋体" w:cs="宋体"/>
        </w:rPr>
        <w:t>需要补充的其他内容：见投标人须知前附表。</w:t>
      </w:r>
    </w:p>
    <w:p w14:paraId="0D91F682">
      <w:pPr>
        <w:pStyle w:val="4"/>
        <w:rPr>
          <w:rFonts w:ascii="宋体" w:hAnsi="宋体" w:eastAsia="宋体" w:cs="宋体"/>
        </w:rPr>
      </w:pPr>
      <w:r>
        <w:rPr>
          <w:rFonts w:hint="eastAsia" w:ascii="宋体" w:hAnsi="宋体" w:eastAsia="宋体" w:cs="宋体"/>
        </w:rPr>
        <w:br w:type="page"/>
      </w:r>
      <w:bookmarkStart w:id="244" w:name="_Toc7111"/>
      <w:bookmarkStart w:id="245" w:name="_Toc5738"/>
      <w:bookmarkStart w:id="246" w:name="_Toc24104584"/>
      <w:bookmarkStart w:id="247" w:name="_Toc14677"/>
      <w:r>
        <w:rPr>
          <w:rFonts w:hint="eastAsia" w:ascii="宋体" w:hAnsi="宋体" w:eastAsia="宋体" w:cs="宋体"/>
        </w:rPr>
        <w:t>附件一：开标记录表</w:t>
      </w:r>
      <w:bookmarkEnd w:id="244"/>
      <w:bookmarkEnd w:id="245"/>
      <w:bookmarkEnd w:id="246"/>
      <w:r>
        <w:rPr>
          <w:rFonts w:hint="eastAsia" w:ascii="宋体" w:hAnsi="宋体" w:eastAsia="宋体" w:cs="宋体"/>
        </w:rPr>
        <w:t>(具体格式以电子招标投标交易平台导出格式为准）</w:t>
      </w:r>
      <w:bookmarkEnd w:id="247"/>
    </w:p>
    <w:p w14:paraId="33AA8BBB">
      <w:pPr>
        <w:spacing w:line="360" w:lineRule="auto"/>
        <w:jc w:val="center"/>
        <w:rPr>
          <w:rFonts w:ascii="宋体" w:hAnsi="宋体" w:cs="宋体"/>
          <w:b/>
          <w:sz w:val="32"/>
          <w:szCs w:val="32"/>
        </w:rPr>
      </w:pPr>
      <w:r>
        <w:rPr>
          <w:rFonts w:hint="eastAsia" w:ascii="宋体" w:hAnsi="宋体" w:cs="宋体"/>
          <w:b/>
          <w:sz w:val="32"/>
          <w:szCs w:val="32"/>
        </w:rPr>
        <w:t>开标记录表</w:t>
      </w:r>
    </w:p>
    <w:p w14:paraId="30BF5FBF">
      <w:pPr>
        <w:spacing w:line="360" w:lineRule="auto"/>
        <w:jc w:val="right"/>
        <w:rPr>
          <w:rFonts w:ascii="宋体" w:hAnsi="宋体" w:cs="宋体"/>
        </w:rPr>
      </w:pPr>
      <w:r>
        <w:rPr>
          <w:rFonts w:hint="eastAsia" w:ascii="宋体" w:hAnsi="宋体" w:cs="宋体"/>
        </w:rPr>
        <w:t>开标时间：年月日时分</w:t>
      </w:r>
    </w:p>
    <w:tbl>
      <w:tblPr>
        <w:tblStyle w:val="33"/>
        <w:tblW w:w="90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9"/>
        <w:gridCol w:w="801"/>
        <w:gridCol w:w="923"/>
        <w:gridCol w:w="800"/>
        <w:gridCol w:w="967"/>
        <w:gridCol w:w="917"/>
        <w:gridCol w:w="1050"/>
        <w:gridCol w:w="1100"/>
        <w:gridCol w:w="372"/>
        <w:gridCol w:w="494"/>
        <w:gridCol w:w="1163"/>
      </w:tblGrid>
      <w:tr w14:paraId="1D971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dxa"/>
            <w:vAlign w:val="center"/>
          </w:tcPr>
          <w:p w14:paraId="38C901EC">
            <w:pPr>
              <w:spacing w:line="360" w:lineRule="auto"/>
              <w:jc w:val="center"/>
              <w:rPr>
                <w:rFonts w:ascii="宋体" w:hAnsi="宋体" w:cs="宋体"/>
              </w:rPr>
            </w:pPr>
            <w:r>
              <w:rPr>
                <w:rFonts w:hint="eastAsia" w:ascii="宋体" w:hAnsi="宋体" w:cs="宋体"/>
              </w:rPr>
              <w:t>序号</w:t>
            </w:r>
          </w:p>
        </w:tc>
        <w:tc>
          <w:tcPr>
            <w:tcW w:w="801" w:type="dxa"/>
            <w:vAlign w:val="center"/>
          </w:tcPr>
          <w:p w14:paraId="125B84EB">
            <w:pPr>
              <w:spacing w:line="360" w:lineRule="auto"/>
              <w:jc w:val="center"/>
              <w:rPr>
                <w:rFonts w:ascii="宋体" w:hAnsi="宋体" w:cs="宋体"/>
              </w:rPr>
            </w:pPr>
            <w:r>
              <w:rPr>
                <w:rFonts w:hint="eastAsia" w:ascii="宋体" w:hAnsi="宋体" w:cs="宋体"/>
              </w:rPr>
              <w:t>投标人</w:t>
            </w:r>
          </w:p>
        </w:tc>
        <w:tc>
          <w:tcPr>
            <w:tcW w:w="923" w:type="dxa"/>
            <w:vAlign w:val="center"/>
          </w:tcPr>
          <w:p w14:paraId="5C06D81A">
            <w:pPr>
              <w:spacing w:line="360" w:lineRule="auto"/>
              <w:jc w:val="center"/>
              <w:rPr>
                <w:rFonts w:ascii="宋体" w:hAnsi="宋体" w:cs="宋体"/>
              </w:rPr>
            </w:pPr>
            <w:r>
              <w:rPr>
                <w:rFonts w:hint="eastAsia" w:ascii="宋体" w:hAnsi="宋体" w:cs="宋体"/>
                <w:strike/>
              </w:rPr>
              <w:t>投标保证金</w:t>
            </w:r>
          </w:p>
        </w:tc>
        <w:tc>
          <w:tcPr>
            <w:tcW w:w="800" w:type="dxa"/>
            <w:vAlign w:val="center"/>
          </w:tcPr>
          <w:p w14:paraId="65E58017">
            <w:pPr>
              <w:spacing w:line="360" w:lineRule="auto"/>
              <w:jc w:val="center"/>
              <w:rPr>
                <w:rFonts w:ascii="宋体" w:hAnsi="宋体" w:cs="宋体"/>
              </w:rPr>
            </w:pPr>
            <w:r>
              <w:rPr>
                <w:rFonts w:hint="eastAsia" w:ascii="宋体" w:hAnsi="宋体" w:cs="宋体"/>
              </w:rPr>
              <w:t>投标总报价（元）</w:t>
            </w:r>
          </w:p>
        </w:tc>
        <w:tc>
          <w:tcPr>
            <w:tcW w:w="967" w:type="dxa"/>
            <w:vAlign w:val="center"/>
          </w:tcPr>
          <w:p w14:paraId="306FEB97">
            <w:pPr>
              <w:spacing w:line="360" w:lineRule="auto"/>
              <w:jc w:val="center"/>
              <w:rPr>
                <w:rFonts w:ascii="宋体" w:hAnsi="宋体" w:cs="宋体"/>
              </w:rPr>
            </w:pPr>
            <w:r>
              <w:rPr>
                <w:rFonts w:hint="eastAsia" w:ascii="宋体" w:hAnsi="宋体" w:cs="宋体"/>
                <w:szCs w:val="21"/>
              </w:rPr>
              <w:t>项目负责人</w:t>
            </w:r>
          </w:p>
        </w:tc>
        <w:tc>
          <w:tcPr>
            <w:tcW w:w="917" w:type="dxa"/>
            <w:vAlign w:val="center"/>
          </w:tcPr>
          <w:p w14:paraId="50ADD5A6">
            <w:pPr>
              <w:spacing w:line="360" w:lineRule="auto"/>
              <w:jc w:val="center"/>
              <w:rPr>
                <w:rFonts w:ascii="宋体" w:hAnsi="宋体" w:cs="宋体"/>
              </w:rPr>
            </w:pPr>
            <w:r>
              <w:rPr>
                <w:rFonts w:hint="eastAsia" w:ascii="宋体" w:hAnsi="宋体" w:cs="宋体"/>
              </w:rPr>
              <w:t>服务期限</w:t>
            </w:r>
          </w:p>
        </w:tc>
        <w:tc>
          <w:tcPr>
            <w:tcW w:w="1050" w:type="dxa"/>
            <w:vAlign w:val="center"/>
          </w:tcPr>
          <w:p w14:paraId="37EA1A52">
            <w:pPr>
              <w:spacing w:line="360" w:lineRule="auto"/>
              <w:jc w:val="center"/>
              <w:rPr>
                <w:rFonts w:ascii="宋体" w:hAnsi="宋体" w:cs="宋体"/>
              </w:rPr>
            </w:pPr>
            <w:r>
              <w:rPr>
                <w:rFonts w:hint="eastAsia" w:ascii="宋体" w:hAnsi="宋体" w:cs="宋体"/>
              </w:rPr>
              <w:t>投标文件递交情况</w:t>
            </w:r>
          </w:p>
        </w:tc>
        <w:tc>
          <w:tcPr>
            <w:tcW w:w="1100" w:type="dxa"/>
          </w:tcPr>
          <w:p w14:paraId="2B008D8A">
            <w:pPr>
              <w:spacing w:line="360" w:lineRule="auto"/>
              <w:jc w:val="center"/>
              <w:rPr>
                <w:rFonts w:ascii="宋体" w:hAnsi="宋体" w:cs="宋体"/>
              </w:rPr>
            </w:pPr>
            <w:r>
              <w:rPr>
                <w:rFonts w:hint="eastAsia" w:ascii="宋体" w:hAnsi="宋体" w:cs="宋体"/>
              </w:rPr>
              <w:t>投标文件解密情况</w:t>
            </w:r>
          </w:p>
        </w:tc>
        <w:tc>
          <w:tcPr>
            <w:tcW w:w="866" w:type="dxa"/>
            <w:gridSpan w:val="2"/>
            <w:vAlign w:val="center"/>
          </w:tcPr>
          <w:p w14:paraId="4F42A120">
            <w:pPr>
              <w:spacing w:line="360" w:lineRule="auto"/>
              <w:jc w:val="center"/>
              <w:rPr>
                <w:rFonts w:ascii="宋体" w:hAnsi="宋体" w:cs="宋体"/>
              </w:rPr>
            </w:pPr>
            <w:r>
              <w:rPr>
                <w:rFonts w:hint="eastAsia" w:ascii="宋体" w:hAnsi="宋体" w:cs="宋体"/>
              </w:rPr>
              <w:t>备注</w:t>
            </w:r>
          </w:p>
        </w:tc>
        <w:tc>
          <w:tcPr>
            <w:tcW w:w="1163" w:type="dxa"/>
            <w:vAlign w:val="center"/>
          </w:tcPr>
          <w:p w14:paraId="4A2C3918">
            <w:pPr>
              <w:spacing w:line="360" w:lineRule="auto"/>
              <w:jc w:val="center"/>
              <w:rPr>
                <w:rFonts w:ascii="宋体" w:hAnsi="宋体" w:cs="宋体"/>
              </w:rPr>
            </w:pPr>
            <w:r>
              <w:rPr>
                <w:rFonts w:hint="eastAsia" w:ascii="宋体" w:hAnsi="宋体" w:cs="宋体"/>
              </w:rPr>
              <w:t>投标人代表签名</w:t>
            </w:r>
          </w:p>
        </w:tc>
      </w:tr>
      <w:tr w14:paraId="25D6E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dxa"/>
          </w:tcPr>
          <w:p w14:paraId="48C7624A">
            <w:pPr>
              <w:spacing w:line="360" w:lineRule="auto"/>
              <w:rPr>
                <w:rFonts w:ascii="宋体" w:hAnsi="宋体" w:cs="宋体"/>
              </w:rPr>
            </w:pPr>
          </w:p>
        </w:tc>
        <w:tc>
          <w:tcPr>
            <w:tcW w:w="801" w:type="dxa"/>
          </w:tcPr>
          <w:p w14:paraId="24127D29">
            <w:pPr>
              <w:spacing w:line="360" w:lineRule="auto"/>
              <w:rPr>
                <w:rFonts w:ascii="宋体" w:hAnsi="宋体" w:cs="宋体"/>
              </w:rPr>
            </w:pPr>
          </w:p>
        </w:tc>
        <w:tc>
          <w:tcPr>
            <w:tcW w:w="923" w:type="dxa"/>
          </w:tcPr>
          <w:p w14:paraId="74586449">
            <w:pPr>
              <w:spacing w:line="360" w:lineRule="auto"/>
              <w:rPr>
                <w:rFonts w:ascii="宋体" w:hAnsi="宋体" w:cs="宋体"/>
              </w:rPr>
            </w:pPr>
          </w:p>
        </w:tc>
        <w:tc>
          <w:tcPr>
            <w:tcW w:w="800" w:type="dxa"/>
          </w:tcPr>
          <w:p w14:paraId="3470C484">
            <w:pPr>
              <w:spacing w:line="360" w:lineRule="auto"/>
              <w:rPr>
                <w:rFonts w:ascii="宋体" w:hAnsi="宋体" w:cs="宋体"/>
              </w:rPr>
            </w:pPr>
          </w:p>
        </w:tc>
        <w:tc>
          <w:tcPr>
            <w:tcW w:w="967" w:type="dxa"/>
          </w:tcPr>
          <w:p w14:paraId="652FB905">
            <w:pPr>
              <w:spacing w:line="360" w:lineRule="auto"/>
              <w:rPr>
                <w:rFonts w:ascii="宋体" w:hAnsi="宋体" w:cs="宋体"/>
              </w:rPr>
            </w:pPr>
          </w:p>
        </w:tc>
        <w:tc>
          <w:tcPr>
            <w:tcW w:w="917" w:type="dxa"/>
          </w:tcPr>
          <w:p w14:paraId="72D9D014">
            <w:pPr>
              <w:spacing w:line="360" w:lineRule="auto"/>
              <w:rPr>
                <w:rFonts w:ascii="宋体" w:hAnsi="宋体" w:cs="宋体"/>
              </w:rPr>
            </w:pPr>
          </w:p>
        </w:tc>
        <w:tc>
          <w:tcPr>
            <w:tcW w:w="1050" w:type="dxa"/>
          </w:tcPr>
          <w:p w14:paraId="2910723F">
            <w:pPr>
              <w:spacing w:line="360" w:lineRule="auto"/>
              <w:rPr>
                <w:rFonts w:ascii="宋体" w:hAnsi="宋体" w:cs="宋体"/>
              </w:rPr>
            </w:pPr>
          </w:p>
        </w:tc>
        <w:tc>
          <w:tcPr>
            <w:tcW w:w="1100" w:type="dxa"/>
          </w:tcPr>
          <w:p w14:paraId="76FBB2C6">
            <w:pPr>
              <w:spacing w:line="360" w:lineRule="auto"/>
              <w:rPr>
                <w:rFonts w:ascii="宋体" w:hAnsi="宋体" w:cs="宋体"/>
              </w:rPr>
            </w:pPr>
          </w:p>
        </w:tc>
        <w:tc>
          <w:tcPr>
            <w:tcW w:w="866" w:type="dxa"/>
            <w:gridSpan w:val="2"/>
          </w:tcPr>
          <w:p w14:paraId="3106589B">
            <w:pPr>
              <w:spacing w:line="360" w:lineRule="auto"/>
              <w:rPr>
                <w:rFonts w:ascii="宋体" w:hAnsi="宋体" w:cs="宋体"/>
              </w:rPr>
            </w:pPr>
          </w:p>
        </w:tc>
        <w:tc>
          <w:tcPr>
            <w:tcW w:w="1163" w:type="dxa"/>
          </w:tcPr>
          <w:p w14:paraId="5B8203C1">
            <w:pPr>
              <w:spacing w:line="360" w:lineRule="auto"/>
              <w:rPr>
                <w:rFonts w:ascii="宋体" w:hAnsi="宋体" w:cs="宋体"/>
              </w:rPr>
            </w:pPr>
          </w:p>
        </w:tc>
      </w:tr>
      <w:tr w14:paraId="4270A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dxa"/>
          </w:tcPr>
          <w:p w14:paraId="4173D0F5">
            <w:pPr>
              <w:spacing w:line="360" w:lineRule="auto"/>
              <w:rPr>
                <w:rFonts w:ascii="宋体" w:hAnsi="宋体" w:cs="宋体"/>
              </w:rPr>
            </w:pPr>
          </w:p>
        </w:tc>
        <w:tc>
          <w:tcPr>
            <w:tcW w:w="801" w:type="dxa"/>
          </w:tcPr>
          <w:p w14:paraId="132411A3">
            <w:pPr>
              <w:spacing w:line="360" w:lineRule="auto"/>
              <w:rPr>
                <w:rFonts w:ascii="宋体" w:hAnsi="宋体" w:cs="宋体"/>
              </w:rPr>
            </w:pPr>
          </w:p>
        </w:tc>
        <w:tc>
          <w:tcPr>
            <w:tcW w:w="923" w:type="dxa"/>
          </w:tcPr>
          <w:p w14:paraId="69C54A64">
            <w:pPr>
              <w:spacing w:line="360" w:lineRule="auto"/>
              <w:rPr>
                <w:rFonts w:ascii="宋体" w:hAnsi="宋体" w:cs="宋体"/>
              </w:rPr>
            </w:pPr>
          </w:p>
        </w:tc>
        <w:tc>
          <w:tcPr>
            <w:tcW w:w="800" w:type="dxa"/>
          </w:tcPr>
          <w:p w14:paraId="040F06A9">
            <w:pPr>
              <w:spacing w:line="360" w:lineRule="auto"/>
              <w:rPr>
                <w:rFonts w:ascii="宋体" w:hAnsi="宋体" w:cs="宋体"/>
              </w:rPr>
            </w:pPr>
          </w:p>
        </w:tc>
        <w:tc>
          <w:tcPr>
            <w:tcW w:w="967" w:type="dxa"/>
          </w:tcPr>
          <w:p w14:paraId="4F7F3F23">
            <w:pPr>
              <w:spacing w:line="360" w:lineRule="auto"/>
              <w:rPr>
                <w:rFonts w:ascii="宋体" w:hAnsi="宋体" w:cs="宋体"/>
              </w:rPr>
            </w:pPr>
          </w:p>
        </w:tc>
        <w:tc>
          <w:tcPr>
            <w:tcW w:w="917" w:type="dxa"/>
          </w:tcPr>
          <w:p w14:paraId="5FA5EEF7">
            <w:pPr>
              <w:spacing w:line="360" w:lineRule="auto"/>
              <w:rPr>
                <w:rFonts w:ascii="宋体" w:hAnsi="宋体" w:cs="宋体"/>
              </w:rPr>
            </w:pPr>
          </w:p>
        </w:tc>
        <w:tc>
          <w:tcPr>
            <w:tcW w:w="1050" w:type="dxa"/>
          </w:tcPr>
          <w:p w14:paraId="7BCD5DFB">
            <w:pPr>
              <w:spacing w:line="360" w:lineRule="auto"/>
              <w:rPr>
                <w:rFonts w:ascii="宋体" w:hAnsi="宋体" w:cs="宋体"/>
              </w:rPr>
            </w:pPr>
          </w:p>
        </w:tc>
        <w:tc>
          <w:tcPr>
            <w:tcW w:w="1100" w:type="dxa"/>
          </w:tcPr>
          <w:p w14:paraId="109B67BD">
            <w:pPr>
              <w:spacing w:line="360" w:lineRule="auto"/>
              <w:rPr>
                <w:rFonts w:ascii="宋体" w:hAnsi="宋体" w:cs="宋体"/>
              </w:rPr>
            </w:pPr>
          </w:p>
        </w:tc>
        <w:tc>
          <w:tcPr>
            <w:tcW w:w="866" w:type="dxa"/>
            <w:gridSpan w:val="2"/>
          </w:tcPr>
          <w:p w14:paraId="34E77362">
            <w:pPr>
              <w:spacing w:line="360" w:lineRule="auto"/>
              <w:rPr>
                <w:rFonts w:ascii="宋体" w:hAnsi="宋体" w:cs="宋体"/>
              </w:rPr>
            </w:pPr>
          </w:p>
        </w:tc>
        <w:tc>
          <w:tcPr>
            <w:tcW w:w="1163" w:type="dxa"/>
          </w:tcPr>
          <w:p w14:paraId="2E425982">
            <w:pPr>
              <w:spacing w:line="360" w:lineRule="auto"/>
              <w:rPr>
                <w:rFonts w:ascii="宋体" w:hAnsi="宋体" w:cs="宋体"/>
              </w:rPr>
            </w:pPr>
          </w:p>
        </w:tc>
      </w:tr>
      <w:tr w14:paraId="6B6B5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dxa"/>
          </w:tcPr>
          <w:p w14:paraId="75E02F5D">
            <w:pPr>
              <w:spacing w:line="360" w:lineRule="auto"/>
              <w:rPr>
                <w:rFonts w:ascii="宋体" w:hAnsi="宋体" w:cs="宋体"/>
              </w:rPr>
            </w:pPr>
          </w:p>
        </w:tc>
        <w:tc>
          <w:tcPr>
            <w:tcW w:w="801" w:type="dxa"/>
          </w:tcPr>
          <w:p w14:paraId="3485FE58">
            <w:pPr>
              <w:spacing w:line="360" w:lineRule="auto"/>
              <w:rPr>
                <w:rFonts w:ascii="宋体" w:hAnsi="宋体" w:cs="宋体"/>
              </w:rPr>
            </w:pPr>
          </w:p>
        </w:tc>
        <w:tc>
          <w:tcPr>
            <w:tcW w:w="923" w:type="dxa"/>
          </w:tcPr>
          <w:p w14:paraId="137B3DAE">
            <w:pPr>
              <w:spacing w:line="360" w:lineRule="auto"/>
              <w:rPr>
                <w:rFonts w:ascii="宋体" w:hAnsi="宋体" w:cs="宋体"/>
              </w:rPr>
            </w:pPr>
          </w:p>
        </w:tc>
        <w:tc>
          <w:tcPr>
            <w:tcW w:w="800" w:type="dxa"/>
          </w:tcPr>
          <w:p w14:paraId="0372EFDD">
            <w:pPr>
              <w:spacing w:line="360" w:lineRule="auto"/>
              <w:rPr>
                <w:rFonts w:ascii="宋体" w:hAnsi="宋体" w:cs="宋体"/>
              </w:rPr>
            </w:pPr>
          </w:p>
        </w:tc>
        <w:tc>
          <w:tcPr>
            <w:tcW w:w="967" w:type="dxa"/>
          </w:tcPr>
          <w:p w14:paraId="6B68B1A5">
            <w:pPr>
              <w:spacing w:line="360" w:lineRule="auto"/>
              <w:rPr>
                <w:rFonts w:ascii="宋体" w:hAnsi="宋体" w:cs="宋体"/>
              </w:rPr>
            </w:pPr>
          </w:p>
        </w:tc>
        <w:tc>
          <w:tcPr>
            <w:tcW w:w="917" w:type="dxa"/>
          </w:tcPr>
          <w:p w14:paraId="2A740845">
            <w:pPr>
              <w:spacing w:line="360" w:lineRule="auto"/>
              <w:rPr>
                <w:rFonts w:ascii="宋体" w:hAnsi="宋体" w:cs="宋体"/>
              </w:rPr>
            </w:pPr>
          </w:p>
        </w:tc>
        <w:tc>
          <w:tcPr>
            <w:tcW w:w="1050" w:type="dxa"/>
          </w:tcPr>
          <w:p w14:paraId="406E0653">
            <w:pPr>
              <w:spacing w:line="360" w:lineRule="auto"/>
              <w:rPr>
                <w:rFonts w:ascii="宋体" w:hAnsi="宋体" w:cs="宋体"/>
              </w:rPr>
            </w:pPr>
          </w:p>
        </w:tc>
        <w:tc>
          <w:tcPr>
            <w:tcW w:w="1100" w:type="dxa"/>
          </w:tcPr>
          <w:p w14:paraId="57F56E06">
            <w:pPr>
              <w:spacing w:line="360" w:lineRule="auto"/>
              <w:rPr>
                <w:rFonts w:ascii="宋体" w:hAnsi="宋体" w:cs="宋体"/>
              </w:rPr>
            </w:pPr>
          </w:p>
        </w:tc>
        <w:tc>
          <w:tcPr>
            <w:tcW w:w="866" w:type="dxa"/>
            <w:gridSpan w:val="2"/>
          </w:tcPr>
          <w:p w14:paraId="7D8ACE24">
            <w:pPr>
              <w:spacing w:line="360" w:lineRule="auto"/>
              <w:rPr>
                <w:rFonts w:ascii="宋体" w:hAnsi="宋体" w:cs="宋体"/>
              </w:rPr>
            </w:pPr>
          </w:p>
        </w:tc>
        <w:tc>
          <w:tcPr>
            <w:tcW w:w="1163" w:type="dxa"/>
          </w:tcPr>
          <w:p w14:paraId="511345D8">
            <w:pPr>
              <w:spacing w:line="360" w:lineRule="auto"/>
              <w:rPr>
                <w:rFonts w:ascii="宋体" w:hAnsi="宋体" w:cs="宋体"/>
              </w:rPr>
            </w:pPr>
          </w:p>
        </w:tc>
      </w:tr>
      <w:tr w14:paraId="01707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dxa"/>
          </w:tcPr>
          <w:p w14:paraId="103292FE">
            <w:pPr>
              <w:spacing w:line="360" w:lineRule="auto"/>
              <w:rPr>
                <w:rFonts w:ascii="宋体" w:hAnsi="宋体" w:cs="宋体"/>
              </w:rPr>
            </w:pPr>
          </w:p>
        </w:tc>
        <w:tc>
          <w:tcPr>
            <w:tcW w:w="801" w:type="dxa"/>
          </w:tcPr>
          <w:p w14:paraId="7F3DD0BE">
            <w:pPr>
              <w:spacing w:line="360" w:lineRule="auto"/>
              <w:rPr>
                <w:rFonts w:ascii="宋体" w:hAnsi="宋体" w:cs="宋体"/>
              </w:rPr>
            </w:pPr>
          </w:p>
        </w:tc>
        <w:tc>
          <w:tcPr>
            <w:tcW w:w="923" w:type="dxa"/>
          </w:tcPr>
          <w:p w14:paraId="017E0B41">
            <w:pPr>
              <w:spacing w:line="360" w:lineRule="auto"/>
              <w:rPr>
                <w:rFonts w:ascii="宋体" w:hAnsi="宋体" w:cs="宋体"/>
              </w:rPr>
            </w:pPr>
          </w:p>
        </w:tc>
        <w:tc>
          <w:tcPr>
            <w:tcW w:w="800" w:type="dxa"/>
          </w:tcPr>
          <w:p w14:paraId="34528834">
            <w:pPr>
              <w:spacing w:line="360" w:lineRule="auto"/>
              <w:rPr>
                <w:rFonts w:ascii="宋体" w:hAnsi="宋体" w:cs="宋体"/>
              </w:rPr>
            </w:pPr>
          </w:p>
        </w:tc>
        <w:tc>
          <w:tcPr>
            <w:tcW w:w="967" w:type="dxa"/>
          </w:tcPr>
          <w:p w14:paraId="5D400E74">
            <w:pPr>
              <w:spacing w:line="360" w:lineRule="auto"/>
              <w:rPr>
                <w:rFonts w:ascii="宋体" w:hAnsi="宋体" w:cs="宋体"/>
              </w:rPr>
            </w:pPr>
          </w:p>
        </w:tc>
        <w:tc>
          <w:tcPr>
            <w:tcW w:w="917" w:type="dxa"/>
          </w:tcPr>
          <w:p w14:paraId="7D7750A1">
            <w:pPr>
              <w:spacing w:line="360" w:lineRule="auto"/>
              <w:rPr>
                <w:rFonts w:ascii="宋体" w:hAnsi="宋体" w:cs="宋体"/>
              </w:rPr>
            </w:pPr>
          </w:p>
        </w:tc>
        <w:tc>
          <w:tcPr>
            <w:tcW w:w="1050" w:type="dxa"/>
          </w:tcPr>
          <w:p w14:paraId="655D1E2E">
            <w:pPr>
              <w:spacing w:line="360" w:lineRule="auto"/>
              <w:rPr>
                <w:rFonts w:ascii="宋体" w:hAnsi="宋体" w:cs="宋体"/>
              </w:rPr>
            </w:pPr>
          </w:p>
        </w:tc>
        <w:tc>
          <w:tcPr>
            <w:tcW w:w="1100" w:type="dxa"/>
          </w:tcPr>
          <w:p w14:paraId="405BC7EB">
            <w:pPr>
              <w:spacing w:line="360" w:lineRule="auto"/>
              <w:rPr>
                <w:rFonts w:ascii="宋体" w:hAnsi="宋体" w:cs="宋体"/>
              </w:rPr>
            </w:pPr>
          </w:p>
        </w:tc>
        <w:tc>
          <w:tcPr>
            <w:tcW w:w="866" w:type="dxa"/>
            <w:gridSpan w:val="2"/>
          </w:tcPr>
          <w:p w14:paraId="1C1149DB">
            <w:pPr>
              <w:spacing w:line="360" w:lineRule="auto"/>
              <w:rPr>
                <w:rFonts w:ascii="宋体" w:hAnsi="宋体" w:cs="宋体"/>
              </w:rPr>
            </w:pPr>
          </w:p>
        </w:tc>
        <w:tc>
          <w:tcPr>
            <w:tcW w:w="1163" w:type="dxa"/>
          </w:tcPr>
          <w:p w14:paraId="5E4B14F9">
            <w:pPr>
              <w:spacing w:line="360" w:lineRule="auto"/>
              <w:rPr>
                <w:rFonts w:ascii="宋体" w:hAnsi="宋体" w:cs="宋体"/>
              </w:rPr>
            </w:pPr>
          </w:p>
        </w:tc>
      </w:tr>
      <w:tr w14:paraId="2F795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dxa"/>
          </w:tcPr>
          <w:p w14:paraId="530776FA">
            <w:pPr>
              <w:spacing w:line="360" w:lineRule="auto"/>
              <w:rPr>
                <w:rFonts w:ascii="宋体" w:hAnsi="宋体" w:cs="宋体"/>
              </w:rPr>
            </w:pPr>
          </w:p>
        </w:tc>
        <w:tc>
          <w:tcPr>
            <w:tcW w:w="801" w:type="dxa"/>
          </w:tcPr>
          <w:p w14:paraId="606C3361">
            <w:pPr>
              <w:spacing w:line="360" w:lineRule="auto"/>
              <w:rPr>
                <w:rFonts w:ascii="宋体" w:hAnsi="宋体" w:cs="宋体"/>
              </w:rPr>
            </w:pPr>
          </w:p>
        </w:tc>
        <w:tc>
          <w:tcPr>
            <w:tcW w:w="923" w:type="dxa"/>
          </w:tcPr>
          <w:p w14:paraId="31FBFE62">
            <w:pPr>
              <w:spacing w:line="360" w:lineRule="auto"/>
              <w:rPr>
                <w:rFonts w:ascii="宋体" w:hAnsi="宋体" w:cs="宋体"/>
              </w:rPr>
            </w:pPr>
          </w:p>
        </w:tc>
        <w:tc>
          <w:tcPr>
            <w:tcW w:w="800" w:type="dxa"/>
          </w:tcPr>
          <w:p w14:paraId="55E632F2">
            <w:pPr>
              <w:spacing w:line="360" w:lineRule="auto"/>
              <w:rPr>
                <w:rFonts w:ascii="宋体" w:hAnsi="宋体" w:cs="宋体"/>
              </w:rPr>
            </w:pPr>
          </w:p>
        </w:tc>
        <w:tc>
          <w:tcPr>
            <w:tcW w:w="967" w:type="dxa"/>
          </w:tcPr>
          <w:p w14:paraId="7B3D54F0">
            <w:pPr>
              <w:spacing w:line="360" w:lineRule="auto"/>
              <w:rPr>
                <w:rFonts w:ascii="宋体" w:hAnsi="宋体" w:cs="宋体"/>
              </w:rPr>
            </w:pPr>
          </w:p>
        </w:tc>
        <w:tc>
          <w:tcPr>
            <w:tcW w:w="917" w:type="dxa"/>
          </w:tcPr>
          <w:p w14:paraId="7AF07205">
            <w:pPr>
              <w:spacing w:line="360" w:lineRule="auto"/>
              <w:rPr>
                <w:rFonts w:ascii="宋体" w:hAnsi="宋体" w:cs="宋体"/>
              </w:rPr>
            </w:pPr>
          </w:p>
        </w:tc>
        <w:tc>
          <w:tcPr>
            <w:tcW w:w="1050" w:type="dxa"/>
          </w:tcPr>
          <w:p w14:paraId="75532D50">
            <w:pPr>
              <w:spacing w:line="360" w:lineRule="auto"/>
              <w:rPr>
                <w:rFonts w:ascii="宋体" w:hAnsi="宋体" w:cs="宋体"/>
              </w:rPr>
            </w:pPr>
          </w:p>
        </w:tc>
        <w:tc>
          <w:tcPr>
            <w:tcW w:w="1100" w:type="dxa"/>
          </w:tcPr>
          <w:p w14:paraId="12FE4DE0">
            <w:pPr>
              <w:spacing w:line="360" w:lineRule="auto"/>
              <w:rPr>
                <w:rFonts w:ascii="宋体" w:hAnsi="宋体" w:cs="宋体"/>
              </w:rPr>
            </w:pPr>
          </w:p>
        </w:tc>
        <w:tc>
          <w:tcPr>
            <w:tcW w:w="866" w:type="dxa"/>
            <w:gridSpan w:val="2"/>
          </w:tcPr>
          <w:p w14:paraId="40FE4EEF">
            <w:pPr>
              <w:spacing w:line="360" w:lineRule="auto"/>
              <w:rPr>
                <w:rFonts w:ascii="宋体" w:hAnsi="宋体" w:cs="宋体"/>
              </w:rPr>
            </w:pPr>
          </w:p>
        </w:tc>
        <w:tc>
          <w:tcPr>
            <w:tcW w:w="1163" w:type="dxa"/>
          </w:tcPr>
          <w:p w14:paraId="77270861">
            <w:pPr>
              <w:spacing w:line="360" w:lineRule="auto"/>
              <w:rPr>
                <w:rFonts w:ascii="宋体" w:hAnsi="宋体" w:cs="宋体"/>
              </w:rPr>
            </w:pPr>
          </w:p>
        </w:tc>
      </w:tr>
      <w:tr w14:paraId="35B36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dxa"/>
          </w:tcPr>
          <w:p w14:paraId="5E1C2F2A">
            <w:pPr>
              <w:spacing w:line="360" w:lineRule="auto"/>
              <w:rPr>
                <w:rFonts w:ascii="宋体" w:hAnsi="宋体" w:cs="宋体"/>
              </w:rPr>
            </w:pPr>
          </w:p>
        </w:tc>
        <w:tc>
          <w:tcPr>
            <w:tcW w:w="801" w:type="dxa"/>
          </w:tcPr>
          <w:p w14:paraId="7A4A33AC">
            <w:pPr>
              <w:spacing w:line="360" w:lineRule="auto"/>
              <w:rPr>
                <w:rFonts w:ascii="宋体" w:hAnsi="宋体" w:cs="宋体"/>
              </w:rPr>
            </w:pPr>
          </w:p>
        </w:tc>
        <w:tc>
          <w:tcPr>
            <w:tcW w:w="923" w:type="dxa"/>
          </w:tcPr>
          <w:p w14:paraId="0BAD5063">
            <w:pPr>
              <w:spacing w:line="360" w:lineRule="auto"/>
              <w:rPr>
                <w:rFonts w:ascii="宋体" w:hAnsi="宋体" w:cs="宋体"/>
              </w:rPr>
            </w:pPr>
          </w:p>
        </w:tc>
        <w:tc>
          <w:tcPr>
            <w:tcW w:w="800" w:type="dxa"/>
          </w:tcPr>
          <w:p w14:paraId="5B7B3FFF">
            <w:pPr>
              <w:spacing w:line="360" w:lineRule="auto"/>
              <w:rPr>
                <w:rFonts w:ascii="宋体" w:hAnsi="宋体" w:cs="宋体"/>
              </w:rPr>
            </w:pPr>
          </w:p>
        </w:tc>
        <w:tc>
          <w:tcPr>
            <w:tcW w:w="967" w:type="dxa"/>
          </w:tcPr>
          <w:p w14:paraId="2252F13B">
            <w:pPr>
              <w:spacing w:line="360" w:lineRule="auto"/>
              <w:rPr>
                <w:rFonts w:ascii="宋体" w:hAnsi="宋体" w:cs="宋体"/>
              </w:rPr>
            </w:pPr>
          </w:p>
        </w:tc>
        <w:tc>
          <w:tcPr>
            <w:tcW w:w="917" w:type="dxa"/>
          </w:tcPr>
          <w:p w14:paraId="62FD24DF">
            <w:pPr>
              <w:spacing w:line="360" w:lineRule="auto"/>
              <w:rPr>
                <w:rFonts w:ascii="宋体" w:hAnsi="宋体" w:cs="宋体"/>
              </w:rPr>
            </w:pPr>
          </w:p>
        </w:tc>
        <w:tc>
          <w:tcPr>
            <w:tcW w:w="1050" w:type="dxa"/>
          </w:tcPr>
          <w:p w14:paraId="247C60F2">
            <w:pPr>
              <w:spacing w:line="360" w:lineRule="auto"/>
              <w:rPr>
                <w:rFonts w:ascii="宋体" w:hAnsi="宋体" w:cs="宋体"/>
              </w:rPr>
            </w:pPr>
          </w:p>
        </w:tc>
        <w:tc>
          <w:tcPr>
            <w:tcW w:w="1100" w:type="dxa"/>
          </w:tcPr>
          <w:p w14:paraId="529FE6E6">
            <w:pPr>
              <w:spacing w:line="360" w:lineRule="auto"/>
              <w:rPr>
                <w:rFonts w:ascii="宋体" w:hAnsi="宋体" w:cs="宋体"/>
              </w:rPr>
            </w:pPr>
          </w:p>
        </w:tc>
        <w:tc>
          <w:tcPr>
            <w:tcW w:w="866" w:type="dxa"/>
            <w:gridSpan w:val="2"/>
          </w:tcPr>
          <w:p w14:paraId="5B69EE3A">
            <w:pPr>
              <w:spacing w:line="360" w:lineRule="auto"/>
              <w:rPr>
                <w:rFonts w:ascii="宋体" w:hAnsi="宋体" w:cs="宋体"/>
              </w:rPr>
            </w:pPr>
          </w:p>
        </w:tc>
        <w:tc>
          <w:tcPr>
            <w:tcW w:w="1163" w:type="dxa"/>
          </w:tcPr>
          <w:p w14:paraId="09E51DC3">
            <w:pPr>
              <w:spacing w:line="360" w:lineRule="auto"/>
              <w:rPr>
                <w:rFonts w:ascii="宋体" w:hAnsi="宋体" w:cs="宋体"/>
              </w:rPr>
            </w:pPr>
          </w:p>
        </w:tc>
      </w:tr>
      <w:tr w14:paraId="73D09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dxa"/>
          </w:tcPr>
          <w:p w14:paraId="3F0A88B9">
            <w:pPr>
              <w:spacing w:line="360" w:lineRule="auto"/>
              <w:rPr>
                <w:rFonts w:ascii="宋体" w:hAnsi="宋体" w:cs="宋体"/>
              </w:rPr>
            </w:pPr>
          </w:p>
        </w:tc>
        <w:tc>
          <w:tcPr>
            <w:tcW w:w="801" w:type="dxa"/>
          </w:tcPr>
          <w:p w14:paraId="122BE638">
            <w:pPr>
              <w:spacing w:line="360" w:lineRule="auto"/>
              <w:rPr>
                <w:rFonts w:ascii="宋体" w:hAnsi="宋体" w:cs="宋体"/>
              </w:rPr>
            </w:pPr>
          </w:p>
        </w:tc>
        <w:tc>
          <w:tcPr>
            <w:tcW w:w="923" w:type="dxa"/>
          </w:tcPr>
          <w:p w14:paraId="392BB0FC">
            <w:pPr>
              <w:spacing w:line="360" w:lineRule="auto"/>
              <w:rPr>
                <w:rFonts w:ascii="宋体" w:hAnsi="宋体" w:cs="宋体"/>
              </w:rPr>
            </w:pPr>
          </w:p>
        </w:tc>
        <w:tc>
          <w:tcPr>
            <w:tcW w:w="800" w:type="dxa"/>
          </w:tcPr>
          <w:p w14:paraId="732F6A76">
            <w:pPr>
              <w:spacing w:line="360" w:lineRule="auto"/>
              <w:rPr>
                <w:rFonts w:ascii="宋体" w:hAnsi="宋体" w:cs="宋体"/>
              </w:rPr>
            </w:pPr>
          </w:p>
        </w:tc>
        <w:tc>
          <w:tcPr>
            <w:tcW w:w="967" w:type="dxa"/>
          </w:tcPr>
          <w:p w14:paraId="7D1436E9">
            <w:pPr>
              <w:spacing w:line="360" w:lineRule="auto"/>
              <w:rPr>
                <w:rFonts w:ascii="宋体" w:hAnsi="宋体" w:cs="宋体"/>
              </w:rPr>
            </w:pPr>
          </w:p>
        </w:tc>
        <w:tc>
          <w:tcPr>
            <w:tcW w:w="917" w:type="dxa"/>
          </w:tcPr>
          <w:p w14:paraId="0B8B8734">
            <w:pPr>
              <w:spacing w:line="360" w:lineRule="auto"/>
              <w:rPr>
                <w:rFonts w:ascii="宋体" w:hAnsi="宋体" w:cs="宋体"/>
              </w:rPr>
            </w:pPr>
          </w:p>
        </w:tc>
        <w:tc>
          <w:tcPr>
            <w:tcW w:w="1050" w:type="dxa"/>
          </w:tcPr>
          <w:p w14:paraId="02CE816E">
            <w:pPr>
              <w:spacing w:line="360" w:lineRule="auto"/>
              <w:rPr>
                <w:rFonts w:ascii="宋体" w:hAnsi="宋体" w:cs="宋体"/>
              </w:rPr>
            </w:pPr>
          </w:p>
        </w:tc>
        <w:tc>
          <w:tcPr>
            <w:tcW w:w="1100" w:type="dxa"/>
          </w:tcPr>
          <w:p w14:paraId="4747FA87">
            <w:pPr>
              <w:spacing w:line="360" w:lineRule="auto"/>
              <w:rPr>
                <w:rFonts w:ascii="宋体" w:hAnsi="宋体" w:cs="宋体"/>
              </w:rPr>
            </w:pPr>
          </w:p>
        </w:tc>
        <w:tc>
          <w:tcPr>
            <w:tcW w:w="866" w:type="dxa"/>
            <w:gridSpan w:val="2"/>
          </w:tcPr>
          <w:p w14:paraId="2F62F546">
            <w:pPr>
              <w:spacing w:line="360" w:lineRule="auto"/>
              <w:rPr>
                <w:rFonts w:ascii="宋体" w:hAnsi="宋体" w:cs="宋体"/>
              </w:rPr>
            </w:pPr>
          </w:p>
        </w:tc>
        <w:tc>
          <w:tcPr>
            <w:tcW w:w="1163" w:type="dxa"/>
          </w:tcPr>
          <w:p w14:paraId="02683BF3">
            <w:pPr>
              <w:spacing w:line="360" w:lineRule="auto"/>
              <w:rPr>
                <w:rFonts w:ascii="宋体" w:hAnsi="宋体" w:cs="宋体"/>
              </w:rPr>
            </w:pPr>
          </w:p>
        </w:tc>
      </w:tr>
      <w:tr w14:paraId="5C76B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dxa"/>
          </w:tcPr>
          <w:p w14:paraId="236F7162">
            <w:pPr>
              <w:spacing w:line="360" w:lineRule="auto"/>
              <w:rPr>
                <w:rFonts w:ascii="宋体" w:hAnsi="宋体" w:cs="宋体"/>
              </w:rPr>
            </w:pPr>
          </w:p>
        </w:tc>
        <w:tc>
          <w:tcPr>
            <w:tcW w:w="801" w:type="dxa"/>
          </w:tcPr>
          <w:p w14:paraId="055D874F">
            <w:pPr>
              <w:spacing w:line="360" w:lineRule="auto"/>
              <w:rPr>
                <w:rFonts w:ascii="宋体" w:hAnsi="宋体" w:cs="宋体"/>
              </w:rPr>
            </w:pPr>
          </w:p>
        </w:tc>
        <w:tc>
          <w:tcPr>
            <w:tcW w:w="923" w:type="dxa"/>
          </w:tcPr>
          <w:p w14:paraId="701C98D8">
            <w:pPr>
              <w:spacing w:line="360" w:lineRule="auto"/>
              <w:rPr>
                <w:rFonts w:ascii="宋体" w:hAnsi="宋体" w:cs="宋体"/>
              </w:rPr>
            </w:pPr>
          </w:p>
        </w:tc>
        <w:tc>
          <w:tcPr>
            <w:tcW w:w="800" w:type="dxa"/>
          </w:tcPr>
          <w:p w14:paraId="3F752AEC">
            <w:pPr>
              <w:spacing w:line="360" w:lineRule="auto"/>
              <w:rPr>
                <w:rFonts w:ascii="宋体" w:hAnsi="宋体" w:cs="宋体"/>
              </w:rPr>
            </w:pPr>
          </w:p>
        </w:tc>
        <w:tc>
          <w:tcPr>
            <w:tcW w:w="967" w:type="dxa"/>
          </w:tcPr>
          <w:p w14:paraId="0CFC874A">
            <w:pPr>
              <w:spacing w:line="360" w:lineRule="auto"/>
              <w:rPr>
                <w:rFonts w:ascii="宋体" w:hAnsi="宋体" w:cs="宋体"/>
              </w:rPr>
            </w:pPr>
          </w:p>
        </w:tc>
        <w:tc>
          <w:tcPr>
            <w:tcW w:w="917" w:type="dxa"/>
          </w:tcPr>
          <w:p w14:paraId="4EDED668">
            <w:pPr>
              <w:spacing w:line="360" w:lineRule="auto"/>
              <w:rPr>
                <w:rFonts w:ascii="宋体" w:hAnsi="宋体" w:cs="宋体"/>
              </w:rPr>
            </w:pPr>
          </w:p>
        </w:tc>
        <w:tc>
          <w:tcPr>
            <w:tcW w:w="1050" w:type="dxa"/>
          </w:tcPr>
          <w:p w14:paraId="55D43A48">
            <w:pPr>
              <w:spacing w:line="360" w:lineRule="auto"/>
              <w:rPr>
                <w:rFonts w:ascii="宋体" w:hAnsi="宋体" w:cs="宋体"/>
              </w:rPr>
            </w:pPr>
          </w:p>
        </w:tc>
        <w:tc>
          <w:tcPr>
            <w:tcW w:w="1100" w:type="dxa"/>
          </w:tcPr>
          <w:p w14:paraId="49CCC894">
            <w:pPr>
              <w:spacing w:line="360" w:lineRule="auto"/>
              <w:rPr>
                <w:rFonts w:ascii="宋体" w:hAnsi="宋体" w:cs="宋体"/>
              </w:rPr>
            </w:pPr>
          </w:p>
        </w:tc>
        <w:tc>
          <w:tcPr>
            <w:tcW w:w="866" w:type="dxa"/>
            <w:gridSpan w:val="2"/>
          </w:tcPr>
          <w:p w14:paraId="5037A93C">
            <w:pPr>
              <w:spacing w:line="360" w:lineRule="auto"/>
              <w:rPr>
                <w:rFonts w:ascii="宋体" w:hAnsi="宋体" w:cs="宋体"/>
              </w:rPr>
            </w:pPr>
          </w:p>
        </w:tc>
        <w:tc>
          <w:tcPr>
            <w:tcW w:w="1163" w:type="dxa"/>
          </w:tcPr>
          <w:p w14:paraId="026449FA">
            <w:pPr>
              <w:spacing w:line="360" w:lineRule="auto"/>
              <w:rPr>
                <w:rFonts w:ascii="宋体" w:hAnsi="宋体" w:cs="宋体"/>
              </w:rPr>
            </w:pPr>
          </w:p>
        </w:tc>
      </w:tr>
      <w:tr w14:paraId="03CED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dxa"/>
          </w:tcPr>
          <w:p w14:paraId="50DF2065">
            <w:pPr>
              <w:spacing w:line="360" w:lineRule="auto"/>
              <w:rPr>
                <w:rFonts w:ascii="宋体" w:hAnsi="宋体" w:cs="宋体"/>
              </w:rPr>
            </w:pPr>
          </w:p>
        </w:tc>
        <w:tc>
          <w:tcPr>
            <w:tcW w:w="801" w:type="dxa"/>
          </w:tcPr>
          <w:p w14:paraId="1AEA9DE2">
            <w:pPr>
              <w:spacing w:line="360" w:lineRule="auto"/>
              <w:rPr>
                <w:rFonts w:ascii="宋体" w:hAnsi="宋体" w:cs="宋体"/>
              </w:rPr>
            </w:pPr>
          </w:p>
        </w:tc>
        <w:tc>
          <w:tcPr>
            <w:tcW w:w="923" w:type="dxa"/>
          </w:tcPr>
          <w:p w14:paraId="35B79CC0">
            <w:pPr>
              <w:spacing w:line="360" w:lineRule="auto"/>
              <w:rPr>
                <w:rFonts w:ascii="宋体" w:hAnsi="宋体" w:cs="宋体"/>
              </w:rPr>
            </w:pPr>
          </w:p>
        </w:tc>
        <w:tc>
          <w:tcPr>
            <w:tcW w:w="800" w:type="dxa"/>
          </w:tcPr>
          <w:p w14:paraId="46822DE8">
            <w:pPr>
              <w:spacing w:line="360" w:lineRule="auto"/>
              <w:rPr>
                <w:rFonts w:ascii="宋体" w:hAnsi="宋体" w:cs="宋体"/>
              </w:rPr>
            </w:pPr>
          </w:p>
        </w:tc>
        <w:tc>
          <w:tcPr>
            <w:tcW w:w="967" w:type="dxa"/>
          </w:tcPr>
          <w:p w14:paraId="0B27F660">
            <w:pPr>
              <w:spacing w:line="360" w:lineRule="auto"/>
              <w:rPr>
                <w:rFonts w:ascii="宋体" w:hAnsi="宋体" w:cs="宋体"/>
              </w:rPr>
            </w:pPr>
          </w:p>
        </w:tc>
        <w:tc>
          <w:tcPr>
            <w:tcW w:w="917" w:type="dxa"/>
          </w:tcPr>
          <w:p w14:paraId="1723733B">
            <w:pPr>
              <w:spacing w:line="360" w:lineRule="auto"/>
              <w:rPr>
                <w:rFonts w:ascii="宋体" w:hAnsi="宋体" w:cs="宋体"/>
              </w:rPr>
            </w:pPr>
          </w:p>
        </w:tc>
        <w:tc>
          <w:tcPr>
            <w:tcW w:w="1050" w:type="dxa"/>
          </w:tcPr>
          <w:p w14:paraId="4608544F">
            <w:pPr>
              <w:spacing w:line="360" w:lineRule="auto"/>
              <w:rPr>
                <w:rFonts w:ascii="宋体" w:hAnsi="宋体" w:cs="宋体"/>
              </w:rPr>
            </w:pPr>
          </w:p>
        </w:tc>
        <w:tc>
          <w:tcPr>
            <w:tcW w:w="1100" w:type="dxa"/>
          </w:tcPr>
          <w:p w14:paraId="4897252E">
            <w:pPr>
              <w:spacing w:line="360" w:lineRule="auto"/>
              <w:rPr>
                <w:rFonts w:ascii="宋体" w:hAnsi="宋体" w:cs="宋体"/>
              </w:rPr>
            </w:pPr>
          </w:p>
        </w:tc>
        <w:tc>
          <w:tcPr>
            <w:tcW w:w="866" w:type="dxa"/>
            <w:gridSpan w:val="2"/>
          </w:tcPr>
          <w:p w14:paraId="697A1E50">
            <w:pPr>
              <w:spacing w:line="360" w:lineRule="auto"/>
              <w:rPr>
                <w:rFonts w:ascii="宋体" w:hAnsi="宋体" w:cs="宋体"/>
              </w:rPr>
            </w:pPr>
          </w:p>
        </w:tc>
        <w:tc>
          <w:tcPr>
            <w:tcW w:w="1163" w:type="dxa"/>
          </w:tcPr>
          <w:p w14:paraId="0CE9E3A5">
            <w:pPr>
              <w:spacing w:line="360" w:lineRule="auto"/>
              <w:rPr>
                <w:rFonts w:ascii="宋体" w:hAnsi="宋体" w:cs="宋体"/>
              </w:rPr>
            </w:pPr>
          </w:p>
        </w:tc>
      </w:tr>
      <w:tr w14:paraId="367A3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dxa"/>
          </w:tcPr>
          <w:p w14:paraId="315D42B8">
            <w:pPr>
              <w:spacing w:line="360" w:lineRule="auto"/>
              <w:rPr>
                <w:rFonts w:ascii="宋体" w:hAnsi="宋体" w:cs="宋体"/>
              </w:rPr>
            </w:pPr>
          </w:p>
        </w:tc>
        <w:tc>
          <w:tcPr>
            <w:tcW w:w="801" w:type="dxa"/>
          </w:tcPr>
          <w:p w14:paraId="61D55CF1">
            <w:pPr>
              <w:spacing w:line="360" w:lineRule="auto"/>
              <w:rPr>
                <w:rFonts w:ascii="宋体" w:hAnsi="宋体" w:cs="宋体"/>
              </w:rPr>
            </w:pPr>
          </w:p>
        </w:tc>
        <w:tc>
          <w:tcPr>
            <w:tcW w:w="923" w:type="dxa"/>
          </w:tcPr>
          <w:p w14:paraId="515B6A0F">
            <w:pPr>
              <w:spacing w:line="360" w:lineRule="auto"/>
              <w:rPr>
                <w:rFonts w:ascii="宋体" w:hAnsi="宋体" w:cs="宋体"/>
              </w:rPr>
            </w:pPr>
          </w:p>
        </w:tc>
        <w:tc>
          <w:tcPr>
            <w:tcW w:w="800" w:type="dxa"/>
          </w:tcPr>
          <w:p w14:paraId="210D3AA9">
            <w:pPr>
              <w:spacing w:line="360" w:lineRule="auto"/>
              <w:rPr>
                <w:rFonts w:ascii="宋体" w:hAnsi="宋体" w:cs="宋体"/>
              </w:rPr>
            </w:pPr>
          </w:p>
        </w:tc>
        <w:tc>
          <w:tcPr>
            <w:tcW w:w="967" w:type="dxa"/>
          </w:tcPr>
          <w:p w14:paraId="13902E9A">
            <w:pPr>
              <w:spacing w:line="360" w:lineRule="auto"/>
              <w:rPr>
                <w:rFonts w:ascii="宋体" w:hAnsi="宋体" w:cs="宋体"/>
              </w:rPr>
            </w:pPr>
          </w:p>
        </w:tc>
        <w:tc>
          <w:tcPr>
            <w:tcW w:w="917" w:type="dxa"/>
          </w:tcPr>
          <w:p w14:paraId="1D588F2E">
            <w:pPr>
              <w:spacing w:line="360" w:lineRule="auto"/>
              <w:rPr>
                <w:rFonts w:ascii="宋体" w:hAnsi="宋体" w:cs="宋体"/>
              </w:rPr>
            </w:pPr>
          </w:p>
        </w:tc>
        <w:tc>
          <w:tcPr>
            <w:tcW w:w="1050" w:type="dxa"/>
          </w:tcPr>
          <w:p w14:paraId="6979AB41">
            <w:pPr>
              <w:spacing w:line="360" w:lineRule="auto"/>
              <w:rPr>
                <w:rFonts w:ascii="宋体" w:hAnsi="宋体" w:cs="宋体"/>
              </w:rPr>
            </w:pPr>
          </w:p>
        </w:tc>
        <w:tc>
          <w:tcPr>
            <w:tcW w:w="1100" w:type="dxa"/>
          </w:tcPr>
          <w:p w14:paraId="7BABCAC1">
            <w:pPr>
              <w:spacing w:line="360" w:lineRule="auto"/>
              <w:rPr>
                <w:rFonts w:ascii="宋体" w:hAnsi="宋体" w:cs="宋体"/>
              </w:rPr>
            </w:pPr>
          </w:p>
        </w:tc>
        <w:tc>
          <w:tcPr>
            <w:tcW w:w="866" w:type="dxa"/>
            <w:gridSpan w:val="2"/>
          </w:tcPr>
          <w:p w14:paraId="088E4EC5">
            <w:pPr>
              <w:spacing w:line="360" w:lineRule="auto"/>
              <w:rPr>
                <w:rFonts w:ascii="宋体" w:hAnsi="宋体" w:cs="宋体"/>
              </w:rPr>
            </w:pPr>
          </w:p>
        </w:tc>
        <w:tc>
          <w:tcPr>
            <w:tcW w:w="1163" w:type="dxa"/>
          </w:tcPr>
          <w:p w14:paraId="56708A65">
            <w:pPr>
              <w:spacing w:line="360" w:lineRule="auto"/>
              <w:rPr>
                <w:rFonts w:ascii="宋体" w:hAnsi="宋体" w:cs="宋体"/>
              </w:rPr>
            </w:pPr>
          </w:p>
        </w:tc>
      </w:tr>
      <w:tr w14:paraId="10012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dxa"/>
          </w:tcPr>
          <w:p w14:paraId="08F7564B">
            <w:pPr>
              <w:spacing w:line="360" w:lineRule="auto"/>
              <w:rPr>
                <w:rFonts w:ascii="宋体" w:hAnsi="宋体" w:cs="宋体"/>
              </w:rPr>
            </w:pPr>
          </w:p>
        </w:tc>
        <w:tc>
          <w:tcPr>
            <w:tcW w:w="801" w:type="dxa"/>
          </w:tcPr>
          <w:p w14:paraId="13B6323F">
            <w:pPr>
              <w:spacing w:line="360" w:lineRule="auto"/>
              <w:rPr>
                <w:rFonts w:ascii="宋体" w:hAnsi="宋体" w:cs="宋体"/>
              </w:rPr>
            </w:pPr>
          </w:p>
        </w:tc>
        <w:tc>
          <w:tcPr>
            <w:tcW w:w="923" w:type="dxa"/>
          </w:tcPr>
          <w:p w14:paraId="4FB25ACD">
            <w:pPr>
              <w:spacing w:line="360" w:lineRule="auto"/>
              <w:rPr>
                <w:rFonts w:ascii="宋体" w:hAnsi="宋体" w:cs="宋体"/>
              </w:rPr>
            </w:pPr>
          </w:p>
        </w:tc>
        <w:tc>
          <w:tcPr>
            <w:tcW w:w="800" w:type="dxa"/>
          </w:tcPr>
          <w:p w14:paraId="56BA66BE">
            <w:pPr>
              <w:spacing w:line="360" w:lineRule="auto"/>
              <w:rPr>
                <w:rFonts w:ascii="宋体" w:hAnsi="宋体" w:cs="宋体"/>
              </w:rPr>
            </w:pPr>
          </w:p>
        </w:tc>
        <w:tc>
          <w:tcPr>
            <w:tcW w:w="967" w:type="dxa"/>
          </w:tcPr>
          <w:p w14:paraId="48046D13">
            <w:pPr>
              <w:spacing w:line="360" w:lineRule="auto"/>
              <w:rPr>
                <w:rFonts w:ascii="宋体" w:hAnsi="宋体" w:cs="宋体"/>
              </w:rPr>
            </w:pPr>
          </w:p>
        </w:tc>
        <w:tc>
          <w:tcPr>
            <w:tcW w:w="917" w:type="dxa"/>
          </w:tcPr>
          <w:p w14:paraId="6CD95AE0">
            <w:pPr>
              <w:spacing w:line="360" w:lineRule="auto"/>
              <w:rPr>
                <w:rFonts w:ascii="宋体" w:hAnsi="宋体" w:cs="宋体"/>
              </w:rPr>
            </w:pPr>
          </w:p>
        </w:tc>
        <w:tc>
          <w:tcPr>
            <w:tcW w:w="1050" w:type="dxa"/>
          </w:tcPr>
          <w:p w14:paraId="69802F92">
            <w:pPr>
              <w:spacing w:line="360" w:lineRule="auto"/>
              <w:rPr>
                <w:rFonts w:ascii="宋体" w:hAnsi="宋体" w:cs="宋体"/>
              </w:rPr>
            </w:pPr>
          </w:p>
        </w:tc>
        <w:tc>
          <w:tcPr>
            <w:tcW w:w="1100" w:type="dxa"/>
          </w:tcPr>
          <w:p w14:paraId="75ADD8F7">
            <w:pPr>
              <w:spacing w:line="360" w:lineRule="auto"/>
              <w:rPr>
                <w:rFonts w:ascii="宋体" w:hAnsi="宋体" w:cs="宋体"/>
              </w:rPr>
            </w:pPr>
          </w:p>
        </w:tc>
        <w:tc>
          <w:tcPr>
            <w:tcW w:w="866" w:type="dxa"/>
            <w:gridSpan w:val="2"/>
          </w:tcPr>
          <w:p w14:paraId="29696F46">
            <w:pPr>
              <w:spacing w:line="360" w:lineRule="auto"/>
              <w:rPr>
                <w:rFonts w:ascii="宋体" w:hAnsi="宋体" w:cs="宋体"/>
              </w:rPr>
            </w:pPr>
          </w:p>
        </w:tc>
        <w:tc>
          <w:tcPr>
            <w:tcW w:w="1163" w:type="dxa"/>
          </w:tcPr>
          <w:p w14:paraId="4CDE8780">
            <w:pPr>
              <w:spacing w:line="360" w:lineRule="auto"/>
              <w:rPr>
                <w:rFonts w:ascii="宋体" w:hAnsi="宋体" w:cs="宋体"/>
              </w:rPr>
            </w:pPr>
          </w:p>
        </w:tc>
      </w:tr>
      <w:tr w14:paraId="1316F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3" w:type="dxa"/>
            <w:gridSpan w:val="3"/>
          </w:tcPr>
          <w:p w14:paraId="173840C9">
            <w:pPr>
              <w:spacing w:line="360" w:lineRule="auto"/>
              <w:rPr>
                <w:rFonts w:ascii="宋体" w:hAnsi="宋体" w:cs="宋体"/>
              </w:rPr>
            </w:pPr>
            <w:r>
              <w:rPr>
                <w:rFonts w:hint="eastAsia" w:ascii="宋体" w:hAnsi="宋体" w:cs="宋体"/>
              </w:rPr>
              <w:t>最高投标限价：</w:t>
            </w:r>
          </w:p>
        </w:tc>
        <w:tc>
          <w:tcPr>
            <w:tcW w:w="5206" w:type="dxa"/>
            <w:gridSpan w:val="6"/>
          </w:tcPr>
          <w:p w14:paraId="641A18DD">
            <w:pPr>
              <w:spacing w:line="360" w:lineRule="auto"/>
              <w:rPr>
                <w:rFonts w:ascii="宋体" w:hAnsi="宋体" w:cs="宋体"/>
              </w:rPr>
            </w:pPr>
          </w:p>
        </w:tc>
        <w:tc>
          <w:tcPr>
            <w:tcW w:w="1657" w:type="dxa"/>
            <w:gridSpan w:val="2"/>
          </w:tcPr>
          <w:p w14:paraId="5838B8D1">
            <w:pPr>
              <w:spacing w:line="360" w:lineRule="auto"/>
              <w:rPr>
                <w:rFonts w:ascii="宋体" w:hAnsi="宋体" w:cs="宋体"/>
              </w:rPr>
            </w:pPr>
          </w:p>
        </w:tc>
      </w:tr>
    </w:tbl>
    <w:p w14:paraId="74267150">
      <w:pPr>
        <w:spacing w:line="360" w:lineRule="auto"/>
        <w:rPr>
          <w:rFonts w:ascii="宋体" w:hAnsi="宋体" w:cs="宋体"/>
        </w:rPr>
      </w:pPr>
    </w:p>
    <w:p w14:paraId="01D603C0">
      <w:pPr>
        <w:spacing w:line="360" w:lineRule="auto"/>
        <w:rPr>
          <w:rFonts w:ascii="宋体" w:hAnsi="宋体" w:cs="宋体"/>
        </w:rPr>
      </w:pPr>
      <w:r>
        <w:rPr>
          <w:rFonts w:hint="eastAsia" w:ascii="宋体" w:hAnsi="宋体" w:cs="宋体"/>
        </w:rPr>
        <w:t>招标人代表：         记录人：         监标人：</w:t>
      </w:r>
    </w:p>
    <w:p w14:paraId="0A5A8FA1">
      <w:pPr>
        <w:spacing w:line="360" w:lineRule="auto"/>
        <w:ind w:firstLine="426" w:firstLineChars="200"/>
        <w:jc w:val="right"/>
        <w:rPr>
          <w:rFonts w:ascii="宋体" w:hAnsi="宋体" w:cs="宋体"/>
        </w:rPr>
      </w:pPr>
      <w:r>
        <w:rPr>
          <w:rFonts w:hint="eastAsia" w:ascii="宋体" w:hAnsi="宋体" w:cs="宋体"/>
        </w:rPr>
        <w:t>年月日</w:t>
      </w:r>
    </w:p>
    <w:p w14:paraId="4F44D3C7">
      <w:pPr>
        <w:pStyle w:val="4"/>
        <w:rPr>
          <w:rFonts w:ascii="宋体" w:hAnsi="宋体" w:eastAsia="宋体" w:cs="宋体"/>
        </w:rPr>
      </w:pPr>
      <w:r>
        <w:rPr>
          <w:rFonts w:hint="eastAsia" w:ascii="宋体" w:hAnsi="宋体" w:eastAsia="宋体" w:cs="宋体"/>
        </w:rPr>
        <w:br w:type="page"/>
      </w:r>
      <w:bookmarkStart w:id="248" w:name="_Toc24931"/>
      <w:bookmarkStart w:id="249" w:name="_Toc13012"/>
      <w:bookmarkStart w:id="250" w:name="_Toc24104585"/>
      <w:bookmarkStart w:id="251" w:name="_Toc22830"/>
      <w:r>
        <w:rPr>
          <w:rFonts w:hint="eastAsia" w:ascii="宋体" w:hAnsi="宋体" w:eastAsia="宋体" w:cs="宋体"/>
        </w:rPr>
        <w:t>附件二：问题澄清通知</w:t>
      </w:r>
      <w:bookmarkEnd w:id="248"/>
      <w:bookmarkEnd w:id="249"/>
      <w:bookmarkEnd w:id="250"/>
      <w:bookmarkEnd w:id="251"/>
    </w:p>
    <w:p w14:paraId="1E7D6449">
      <w:pPr>
        <w:spacing w:line="360" w:lineRule="auto"/>
        <w:jc w:val="center"/>
        <w:rPr>
          <w:rFonts w:ascii="宋体" w:hAnsi="宋体" w:cs="宋体"/>
          <w:b/>
          <w:sz w:val="32"/>
          <w:szCs w:val="32"/>
        </w:rPr>
      </w:pPr>
      <w:r>
        <w:rPr>
          <w:rFonts w:hint="eastAsia" w:ascii="宋体" w:hAnsi="宋体" w:cs="宋体"/>
          <w:b/>
          <w:sz w:val="32"/>
          <w:szCs w:val="32"/>
        </w:rPr>
        <w:t>问题澄清通知</w:t>
      </w:r>
    </w:p>
    <w:p w14:paraId="4B7CF765">
      <w:pPr>
        <w:spacing w:line="360" w:lineRule="auto"/>
        <w:jc w:val="center"/>
        <w:rPr>
          <w:rFonts w:ascii="宋体" w:hAnsi="宋体" w:cs="宋体"/>
          <w:b/>
          <w:sz w:val="32"/>
          <w:szCs w:val="32"/>
        </w:rPr>
      </w:pPr>
      <w:r>
        <w:rPr>
          <w:rFonts w:hint="eastAsia" w:ascii="宋体" w:hAnsi="宋体" w:cs="宋体"/>
          <w:b/>
          <w:sz w:val="32"/>
          <w:szCs w:val="32"/>
        </w:rPr>
        <w:t>（按</w:t>
      </w:r>
      <w:r>
        <w:rPr>
          <w:rFonts w:hint="eastAsia" w:ascii="宋体" w:hAnsi="宋体" w:cs="宋体"/>
          <w:b/>
          <w:sz w:val="32"/>
          <w:szCs w:val="32"/>
          <w:lang w:eastAsia="zh-CN"/>
        </w:rPr>
        <w:t>广州交易集团有限公司(广州公共资源交易中心)</w:t>
      </w:r>
      <w:r>
        <w:rPr>
          <w:rFonts w:hint="eastAsia" w:ascii="宋体" w:hAnsi="宋体" w:cs="宋体"/>
          <w:b/>
          <w:sz w:val="32"/>
          <w:szCs w:val="32"/>
        </w:rPr>
        <w:t>的版式为准）</w:t>
      </w:r>
    </w:p>
    <w:p w14:paraId="142BC459">
      <w:pPr>
        <w:rPr>
          <w:rFonts w:ascii="宋体" w:hAnsi="宋体" w:cs="宋体"/>
        </w:rPr>
      </w:pPr>
    </w:p>
    <w:p w14:paraId="6E1837F6">
      <w:pPr>
        <w:pStyle w:val="4"/>
        <w:rPr>
          <w:rFonts w:ascii="宋体" w:hAnsi="宋体" w:eastAsia="宋体" w:cs="宋体"/>
        </w:rPr>
      </w:pPr>
      <w:r>
        <w:rPr>
          <w:rFonts w:hint="eastAsia" w:ascii="宋体" w:hAnsi="宋体" w:eastAsia="宋体" w:cs="宋体"/>
        </w:rPr>
        <w:br w:type="page"/>
      </w:r>
      <w:bookmarkStart w:id="252" w:name="_Toc24104586"/>
      <w:bookmarkStart w:id="253" w:name="_Toc29820"/>
      <w:bookmarkStart w:id="254" w:name="_Toc25786"/>
      <w:bookmarkStart w:id="255" w:name="_Toc1371"/>
      <w:r>
        <w:rPr>
          <w:rFonts w:hint="eastAsia" w:ascii="宋体" w:hAnsi="宋体" w:eastAsia="宋体" w:cs="宋体"/>
        </w:rPr>
        <w:t>附件三：问题的澄清</w:t>
      </w:r>
      <w:bookmarkEnd w:id="252"/>
      <w:bookmarkEnd w:id="253"/>
      <w:bookmarkEnd w:id="254"/>
      <w:bookmarkEnd w:id="255"/>
    </w:p>
    <w:p w14:paraId="3227C9F6">
      <w:pPr>
        <w:spacing w:line="360" w:lineRule="auto"/>
        <w:jc w:val="center"/>
        <w:rPr>
          <w:rFonts w:ascii="宋体" w:hAnsi="宋体" w:cs="宋体"/>
          <w:b/>
          <w:sz w:val="32"/>
          <w:szCs w:val="32"/>
        </w:rPr>
      </w:pPr>
      <w:r>
        <w:rPr>
          <w:rFonts w:hint="eastAsia" w:ascii="宋体" w:hAnsi="宋体" w:cs="宋体"/>
          <w:b/>
          <w:sz w:val="32"/>
          <w:szCs w:val="32"/>
        </w:rPr>
        <w:t>问题的澄清</w:t>
      </w:r>
    </w:p>
    <w:p w14:paraId="3B7BA3EE">
      <w:pPr>
        <w:spacing w:line="360" w:lineRule="auto"/>
        <w:jc w:val="center"/>
        <w:rPr>
          <w:rFonts w:ascii="宋体" w:hAnsi="宋体" w:cs="宋体"/>
          <w:b/>
          <w:sz w:val="32"/>
          <w:szCs w:val="32"/>
        </w:rPr>
      </w:pPr>
      <w:bookmarkStart w:id="256" w:name="OLE_LINK1"/>
      <w:r>
        <w:rPr>
          <w:rFonts w:hint="eastAsia" w:ascii="宋体" w:hAnsi="宋体" w:cs="宋体"/>
          <w:b/>
          <w:sz w:val="32"/>
          <w:szCs w:val="32"/>
        </w:rPr>
        <w:t>（按</w:t>
      </w:r>
      <w:r>
        <w:rPr>
          <w:rFonts w:hint="eastAsia" w:ascii="宋体" w:hAnsi="宋体" w:cs="宋体"/>
          <w:b/>
          <w:sz w:val="32"/>
          <w:szCs w:val="32"/>
          <w:lang w:eastAsia="zh-CN"/>
        </w:rPr>
        <w:t>广州交易集团有限公司(广州公共资源交易中心)</w:t>
      </w:r>
      <w:r>
        <w:rPr>
          <w:rFonts w:hint="eastAsia" w:ascii="宋体" w:hAnsi="宋体" w:cs="宋体"/>
          <w:b/>
          <w:sz w:val="32"/>
          <w:szCs w:val="32"/>
        </w:rPr>
        <w:t>的版式为准）</w:t>
      </w:r>
    </w:p>
    <w:bookmarkEnd w:id="256"/>
    <w:p w14:paraId="114CB8D5">
      <w:pPr>
        <w:rPr>
          <w:rFonts w:ascii="宋体" w:hAnsi="宋体" w:cs="宋体"/>
        </w:rPr>
      </w:pPr>
    </w:p>
    <w:p w14:paraId="475B6EEA">
      <w:pPr>
        <w:pStyle w:val="3"/>
        <w:spacing w:before="62" w:beforeLines="20" w:after="62" w:afterLines="20" w:line="360" w:lineRule="auto"/>
        <w:jc w:val="center"/>
        <w:rPr>
          <w:rFonts w:ascii="宋体" w:hAnsi="宋体" w:cs="宋体"/>
        </w:rPr>
      </w:pPr>
      <w:r>
        <w:rPr>
          <w:rFonts w:hint="eastAsia" w:ascii="宋体" w:hAnsi="宋体" w:cs="宋体"/>
        </w:rPr>
        <w:br w:type="page"/>
      </w:r>
      <w:bookmarkStart w:id="257" w:name="_Toc28956"/>
      <w:bookmarkStart w:id="258" w:name="_Toc2652"/>
      <w:bookmarkStart w:id="259" w:name="_Toc17288"/>
      <w:bookmarkStart w:id="260" w:name="_Toc24104587"/>
      <w:r>
        <w:rPr>
          <w:rFonts w:hint="eastAsia" w:ascii="宋体" w:hAnsi="宋体" w:cs="宋体"/>
        </w:rPr>
        <w:t>第三章 评标办法（综合评估法）</w:t>
      </w:r>
      <w:bookmarkEnd w:id="257"/>
      <w:bookmarkEnd w:id="258"/>
      <w:bookmarkEnd w:id="259"/>
      <w:bookmarkEnd w:id="260"/>
    </w:p>
    <w:p w14:paraId="19BACEF1">
      <w:pPr>
        <w:pStyle w:val="4"/>
        <w:jc w:val="center"/>
        <w:rPr>
          <w:rFonts w:ascii="宋体" w:hAnsi="宋体" w:eastAsia="宋体" w:cs="宋体"/>
        </w:rPr>
      </w:pPr>
      <w:bookmarkStart w:id="261" w:name="_Toc13293"/>
      <w:bookmarkStart w:id="262" w:name="_Toc24104588"/>
      <w:bookmarkStart w:id="263" w:name="_Toc25583"/>
      <w:bookmarkStart w:id="264" w:name="_Toc24846"/>
      <w:r>
        <w:rPr>
          <w:rFonts w:hint="eastAsia" w:ascii="宋体" w:hAnsi="宋体" w:eastAsia="宋体" w:cs="宋体"/>
        </w:rPr>
        <w:t>评标办法前附表</w:t>
      </w:r>
      <w:bookmarkEnd w:id="261"/>
      <w:bookmarkEnd w:id="262"/>
      <w:bookmarkEnd w:id="263"/>
      <w:bookmarkEnd w:id="264"/>
    </w:p>
    <w:tbl>
      <w:tblPr>
        <w:tblStyle w:val="33"/>
        <w:tblW w:w="107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175"/>
        <w:gridCol w:w="1723"/>
        <w:gridCol w:w="7073"/>
      </w:tblGrid>
      <w:tr w14:paraId="01D41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951" w:type="dxa"/>
            <w:gridSpan w:val="2"/>
            <w:vAlign w:val="center"/>
          </w:tcPr>
          <w:p w14:paraId="2EA1B56A">
            <w:pPr>
              <w:spacing w:line="360" w:lineRule="auto"/>
              <w:jc w:val="center"/>
              <w:rPr>
                <w:rFonts w:ascii="宋体" w:hAnsi="宋体" w:cs="宋体"/>
                <w:b/>
              </w:rPr>
            </w:pPr>
            <w:r>
              <w:rPr>
                <w:rFonts w:hint="eastAsia" w:ascii="宋体" w:hAnsi="宋体" w:cs="宋体"/>
                <w:b/>
              </w:rPr>
              <w:t>条款号</w:t>
            </w:r>
          </w:p>
        </w:tc>
        <w:tc>
          <w:tcPr>
            <w:tcW w:w="1723" w:type="dxa"/>
            <w:vAlign w:val="center"/>
          </w:tcPr>
          <w:p w14:paraId="0CB97063">
            <w:pPr>
              <w:spacing w:line="360" w:lineRule="auto"/>
              <w:jc w:val="center"/>
              <w:rPr>
                <w:rFonts w:ascii="宋体" w:hAnsi="宋体" w:cs="宋体"/>
                <w:b/>
              </w:rPr>
            </w:pPr>
            <w:r>
              <w:rPr>
                <w:rFonts w:hint="eastAsia" w:ascii="宋体" w:hAnsi="宋体" w:cs="宋体"/>
                <w:b/>
              </w:rPr>
              <w:t>评审因素</w:t>
            </w:r>
          </w:p>
        </w:tc>
        <w:tc>
          <w:tcPr>
            <w:tcW w:w="7073" w:type="dxa"/>
            <w:vAlign w:val="center"/>
          </w:tcPr>
          <w:p w14:paraId="41194761">
            <w:pPr>
              <w:spacing w:line="360" w:lineRule="auto"/>
              <w:jc w:val="center"/>
              <w:rPr>
                <w:rFonts w:ascii="宋体" w:hAnsi="宋体" w:cs="宋体"/>
                <w:b/>
              </w:rPr>
            </w:pPr>
            <w:r>
              <w:rPr>
                <w:rFonts w:hint="eastAsia" w:ascii="宋体" w:hAnsi="宋体" w:cs="宋体"/>
                <w:b/>
              </w:rPr>
              <w:t>评审标准</w:t>
            </w:r>
          </w:p>
        </w:tc>
      </w:tr>
      <w:tr w14:paraId="49239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vAlign w:val="center"/>
          </w:tcPr>
          <w:p w14:paraId="41830343">
            <w:pPr>
              <w:spacing w:line="360" w:lineRule="auto"/>
              <w:jc w:val="center"/>
              <w:rPr>
                <w:rFonts w:ascii="宋体" w:hAnsi="宋体" w:cs="宋体"/>
              </w:rPr>
            </w:pPr>
            <w:r>
              <w:rPr>
                <w:rFonts w:hint="eastAsia" w:ascii="宋体" w:hAnsi="宋体" w:cs="宋体"/>
              </w:rPr>
              <w:t>1</w:t>
            </w:r>
          </w:p>
        </w:tc>
        <w:tc>
          <w:tcPr>
            <w:tcW w:w="1175" w:type="dxa"/>
            <w:vAlign w:val="center"/>
          </w:tcPr>
          <w:p w14:paraId="5A20E886">
            <w:pPr>
              <w:spacing w:line="360" w:lineRule="auto"/>
              <w:jc w:val="center"/>
              <w:rPr>
                <w:rFonts w:ascii="宋体" w:hAnsi="宋体" w:cs="宋体"/>
              </w:rPr>
            </w:pPr>
            <w:r>
              <w:rPr>
                <w:rFonts w:hint="eastAsia" w:ascii="宋体" w:hAnsi="宋体" w:cs="宋体"/>
              </w:rPr>
              <w:t>评标方法</w:t>
            </w:r>
          </w:p>
        </w:tc>
        <w:tc>
          <w:tcPr>
            <w:tcW w:w="1723" w:type="dxa"/>
            <w:vAlign w:val="center"/>
          </w:tcPr>
          <w:p w14:paraId="3B853C97">
            <w:pPr>
              <w:spacing w:line="360" w:lineRule="auto"/>
              <w:jc w:val="center"/>
              <w:rPr>
                <w:rFonts w:ascii="宋体" w:hAnsi="宋体" w:cs="宋体"/>
              </w:rPr>
            </w:pPr>
            <w:r>
              <w:rPr>
                <w:rFonts w:hint="eastAsia" w:ascii="宋体" w:hAnsi="宋体" w:cs="宋体"/>
              </w:rPr>
              <w:t>中标候选人排序方法</w:t>
            </w:r>
          </w:p>
        </w:tc>
        <w:tc>
          <w:tcPr>
            <w:tcW w:w="7073" w:type="dxa"/>
            <w:vAlign w:val="center"/>
          </w:tcPr>
          <w:p w14:paraId="01723384">
            <w:pPr>
              <w:pStyle w:val="31"/>
              <w:ind w:left="0" w:leftChars="0" w:firstLine="0" w:firstLineChars="0"/>
            </w:pPr>
            <w:r>
              <w:rPr>
                <w:rFonts w:hint="eastAsia" w:ascii="宋体" w:hAnsi="宋体" w:cs="宋体"/>
              </w:rPr>
              <w:t>评标委员会对满足招标文件实质性要求的投标文件，按照本章第 2.2 款规定的评分标准进行打分，并按</w:t>
            </w:r>
            <w:r>
              <w:rPr>
                <w:rFonts w:hint="eastAsia" w:ascii="宋体" w:hAnsi="宋体" w:cs="宋体"/>
                <w:lang w:val="en-US" w:eastAsia="zh-CN"/>
              </w:rPr>
              <w:t>总</w:t>
            </w:r>
            <w:r>
              <w:rPr>
                <w:rFonts w:hint="eastAsia" w:ascii="宋体" w:hAnsi="宋体" w:cs="宋体"/>
              </w:rPr>
              <w:t>得分由高到低顺序推荐中标候选人，</w:t>
            </w:r>
            <w:r>
              <w:rPr>
                <w:rFonts w:hint="eastAsia"/>
              </w:rPr>
              <w:t>投标人总得分由高到低排序前3名作为第一、第二、第三中标候选人，总得分相同时，则以投标报价得分高的排前；若投标报价得分也相同，则以</w:t>
            </w:r>
            <w:r>
              <w:rPr>
                <w:rFonts w:hint="eastAsia"/>
                <w:u w:val="single"/>
              </w:rPr>
              <w:t>施工图审查方案</w:t>
            </w:r>
            <w:r>
              <w:rPr>
                <w:rFonts w:hint="eastAsia"/>
              </w:rPr>
              <w:t>得分高的排前；若投标报价得分和</w:t>
            </w:r>
            <w:r>
              <w:rPr>
                <w:rFonts w:hint="eastAsia"/>
                <w:strike w:val="0"/>
                <w:u w:val="single"/>
              </w:rPr>
              <w:t>施工图审查方案</w:t>
            </w:r>
            <w:r>
              <w:rPr>
                <w:rFonts w:hint="eastAsia"/>
              </w:rPr>
              <w:t>得分均相同，则对具有相同情况的投标人，按中标候选人数量规定，由评标委员会采用记名投票方式</w:t>
            </w:r>
            <w:r>
              <w:rPr>
                <w:rFonts w:hint="eastAsia"/>
                <w:lang w:eastAsia="zh-CN"/>
              </w:rPr>
              <w:t>（</w:t>
            </w:r>
            <w:r>
              <w:rPr>
                <w:rFonts w:hint="eastAsia"/>
                <w:lang w:val="en-US" w:eastAsia="zh-CN"/>
              </w:rPr>
              <w:t>不得弃权）</w:t>
            </w:r>
            <w:r>
              <w:rPr>
                <w:rFonts w:hint="eastAsia"/>
              </w:rPr>
              <w:t>，确定中标候选人的排序。</w:t>
            </w:r>
          </w:p>
          <w:p w14:paraId="152F0D72">
            <w:pPr>
              <w:pStyle w:val="31"/>
              <w:spacing w:line="240" w:lineRule="auto"/>
              <w:ind w:left="0" w:leftChars="0" w:firstLine="0" w:firstLineChars="0"/>
            </w:pPr>
            <w:r>
              <w:rPr>
                <w:rFonts w:hint="eastAsia"/>
              </w:rPr>
              <w:t>记名投票方式确定排序的具体步骤为：由评标委员会对出现该情况的投标人采用记名投票的方式确定，按得票数高低进行排序，根据得票数高低确定中标候选人排序。</w:t>
            </w:r>
          </w:p>
        </w:tc>
      </w:tr>
      <w:tr w14:paraId="1BCBC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vMerge w:val="restart"/>
            <w:vAlign w:val="center"/>
          </w:tcPr>
          <w:p w14:paraId="750984AB">
            <w:pPr>
              <w:spacing w:line="360" w:lineRule="auto"/>
              <w:jc w:val="center"/>
              <w:rPr>
                <w:rFonts w:ascii="宋体" w:hAnsi="宋体" w:cs="宋体"/>
              </w:rPr>
            </w:pPr>
            <w:r>
              <w:rPr>
                <w:rFonts w:hint="eastAsia" w:ascii="宋体" w:hAnsi="宋体" w:cs="宋体"/>
              </w:rPr>
              <w:t>2.1.1</w:t>
            </w:r>
          </w:p>
        </w:tc>
        <w:tc>
          <w:tcPr>
            <w:tcW w:w="1175" w:type="dxa"/>
            <w:vMerge w:val="restart"/>
            <w:vAlign w:val="center"/>
          </w:tcPr>
          <w:p w14:paraId="093381AC">
            <w:pPr>
              <w:spacing w:line="360" w:lineRule="auto"/>
              <w:jc w:val="center"/>
              <w:rPr>
                <w:rFonts w:ascii="宋体" w:hAnsi="宋体" w:cs="宋体"/>
              </w:rPr>
            </w:pPr>
            <w:r>
              <w:rPr>
                <w:rFonts w:hint="eastAsia" w:ascii="宋体" w:hAnsi="宋体" w:cs="宋体"/>
              </w:rPr>
              <w:t>形式评审标准</w:t>
            </w:r>
          </w:p>
        </w:tc>
        <w:tc>
          <w:tcPr>
            <w:tcW w:w="1723" w:type="dxa"/>
            <w:vAlign w:val="center"/>
          </w:tcPr>
          <w:p w14:paraId="1802462E">
            <w:pPr>
              <w:spacing w:line="360" w:lineRule="auto"/>
              <w:jc w:val="center"/>
              <w:rPr>
                <w:rFonts w:ascii="宋体" w:hAnsi="宋体" w:cs="宋体"/>
              </w:rPr>
            </w:pPr>
            <w:r>
              <w:rPr>
                <w:rFonts w:hint="eastAsia" w:ascii="宋体" w:hAnsi="宋体" w:cs="宋体"/>
              </w:rPr>
              <w:t>投标人名称</w:t>
            </w:r>
          </w:p>
        </w:tc>
        <w:tc>
          <w:tcPr>
            <w:tcW w:w="7073" w:type="dxa"/>
            <w:vAlign w:val="center"/>
          </w:tcPr>
          <w:p w14:paraId="2A4B0A02">
            <w:pPr>
              <w:spacing w:line="360" w:lineRule="auto"/>
              <w:rPr>
                <w:rFonts w:ascii="宋体" w:hAnsi="宋体" w:cs="宋体"/>
              </w:rPr>
            </w:pPr>
            <w:r>
              <w:rPr>
                <w:rFonts w:hint="eastAsia" w:ascii="宋体" w:hAnsi="宋体" w:cs="宋体"/>
              </w:rPr>
              <w:t>与营业执照（或事业单位法人证书）、资质证书一致</w:t>
            </w:r>
          </w:p>
        </w:tc>
      </w:tr>
      <w:tr w14:paraId="2C865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vMerge w:val="continue"/>
            <w:vAlign w:val="center"/>
          </w:tcPr>
          <w:p w14:paraId="7424F0FB">
            <w:pPr>
              <w:spacing w:line="360" w:lineRule="auto"/>
              <w:jc w:val="center"/>
              <w:rPr>
                <w:rFonts w:ascii="宋体" w:hAnsi="宋体" w:cs="宋体"/>
              </w:rPr>
            </w:pPr>
          </w:p>
        </w:tc>
        <w:tc>
          <w:tcPr>
            <w:tcW w:w="1175" w:type="dxa"/>
            <w:vMerge w:val="continue"/>
            <w:vAlign w:val="center"/>
          </w:tcPr>
          <w:p w14:paraId="483DD4E1">
            <w:pPr>
              <w:spacing w:line="360" w:lineRule="auto"/>
              <w:jc w:val="center"/>
              <w:rPr>
                <w:rFonts w:ascii="宋体" w:hAnsi="宋体" w:cs="宋体"/>
              </w:rPr>
            </w:pPr>
          </w:p>
        </w:tc>
        <w:tc>
          <w:tcPr>
            <w:tcW w:w="1723" w:type="dxa"/>
            <w:vAlign w:val="center"/>
          </w:tcPr>
          <w:p w14:paraId="071C93C8">
            <w:pPr>
              <w:snapToGrid w:val="0"/>
              <w:spacing w:line="360" w:lineRule="auto"/>
              <w:jc w:val="center"/>
              <w:rPr>
                <w:rFonts w:ascii="宋体" w:hAnsi="宋体" w:cs="宋体"/>
              </w:rPr>
            </w:pPr>
            <w:r>
              <w:rPr>
                <w:rFonts w:hint="eastAsia" w:ascii="宋体" w:hAnsi="宋体" w:cs="宋体"/>
              </w:rPr>
              <w:t>投标函及投标函附录签字盖章，法定代表人或其委托代理人签字或加盖单位章</w:t>
            </w:r>
          </w:p>
        </w:tc>
        <w:tc>
          <w:tcPr>
            <w:tcW w:w="7073" w:type="dxa"/>
            <w:vAlign w:val="center"/>
          </w:tcPr>
          <w:p w14:paraId="6E5E238A">
            <w:pPr>
              <w:spacing w:line="360" w:lineRule="auto"/>
              <w:rPr>
                <w:rFonts w:ascii="宋体" w:hAnsi="宋体" w:cs="宋体"/>
              </w:rPr>
            </w:pPr>
            <w:r>
              <w:rPr>
                <w:rFonts w:hint="eastAsia" w:ascii="宋体" w:hAnsi="宋体"/>
                <w:color w:val="auto"/>
                <w:highlight w:val="none"/>
              </w:rPr>
              <w:t>投标函及投标函附录</w:t>
            </w:r>
            <w:r>
              <w:rPr>
                <w:rFonts w:hint="eastAsia" w:ascii="宋体" w:hAnsi="宋体" w:cs="宋体"/>
                <w:color w:val="auto"/>
                <w:highlight w:val="none"/>
              </w:rPr>
              <w:t>签字盖章，有法定代表人或其委托代理人签字（或盖章）和加盖单位章。由法定代表人签字（或盖章）的，应附法定代表人身份证明，由代理人签字（或盖章）的，应附授权委托书，身份证明或授权委托书应符合第六章“投标文件格式”的规定</w:t>
            </w:r>
          </w:p>
        </w:tc>
      </w:tr>
      <w:tr w14:paraId="3C99B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vMerge w:val="continue"/>
            <w:vAlign w:val="center"/>
          </w:tcPr>
          <w:p w14:paraId="386C42B3">
            <w:pPr>
              <w:spacing w:line="360" w:lineRule="auto"/>
              <w:jc w:val="center"/>
              <w:rPr>
                <w:rFonts w:ascii="宋体" w:hAnsi="宋体" w:cs="宋体"/>
              </w:rPr>
            </w:pPr>
          </w:p>
        </w:tc>
        <w:tc>
          <w:tcPr>
            <w:tcW w:w="1175" w:type="dxa"/>
            <w:vMerge w:val="continue"/>
            <w:vAlign w:val="center"/>
          </w:tcPr>
          <w:p w14:paraId="2C47A78B">
            <w:pPr>
              <w:spacing w:line="360" w:lineRule="auto"/>
              <w:jc w:val="center"/>
              <w:rPr>
                <w:rFonts w:ascii="宋体" w:hAnsi="宋体" w:cs="宋体"/>
              </w:rPr>
            </w:pPr>
          </w:p>
        </w:tc>
        <w:tc>
          <w:tcPr>
            <w:tcW w:w="1723" w:type="dxa"/>
            <w:vAlign w:val="center"/>
          </w:tcPr>
          <w:p w14:paraId="53F34328">
            <w:pPr>
              <w:spacing w:line="360" w:lineRule="auto"/>
              <w:jc w:val="center"/>
              <w:rPr>
                <w:rFonts w:ascii="宋体" w:hAnsi="宋体" w:cs="宋体"/>
              </w:rPr>
            </w:pPr>
            <w:r>
              <w:rPr>
                <w:rFonts w:hint="eastAsia" w:ascii="宋体" w:hAnsi="宋体" w:cs="宋体"/>
              </w:rPr>
              <w:t>投标文件格式</w:t>
            </w:r>
          </w:p>
        </w:tc>
        <w:tc>
          <w:tcPr>
            <w:tcW w:w="7073" w:type="dxa"/>
            <w:vAlign w:val="center"/>
          </w:tcPr>
          <w:p w14:paraId="36643032">
            <w:pPr>
              <w:spacing w:line="360" w:lineRule="auto"/>
              <w:rPr>
                <w:rFonts w:ascii="宋体" w:hAnsi="宋体" w:cs="宋体"/>
              </w:rPr>
            </w:pPr>
            <w:r>
              <w:rPr>
                <w:rFonts w:hint="eastAsia"/>
              </w:rPr>
              <w:t>符合第六章“投标文件格式《投标函</w:t>
            </w:r>
            <w:r>
              <w:rPr>
                <w:rFonts w:hint="eastAsia"/>
                <w:lang w:eastAsia="zh-CN"/>
              </w:rPr>
              <w:t>、</w:t>
            </w:r>
            <w:r>
              <w:rPr>
                <w:rFonts w:hint="eastAsia"/>
              </w:rPr>
              <w:t>投标函附录</w:t>
            </w:r>
            <w:r>
              <w:rPr>
                <w:rFonts w:hint="eastAsia"/>
                <w:lang w:eastAsia="zh-CN"/>
              </w:rPr>
              <w:t>、</w:t>
            </w:r>
            <w:r>
              <w:rPr>
                <w:rFonts w:hint="eastAsia"/>
                <w:lang w:val="en-US" w:eastAsia="zh-CN"/>
              </w:rPr>
              <w:t>投标人声明</w:t>
            </w:r>
            <w:r>
              <w:rPr>
                <w:rFonts w:hint="eastAsia"/>
              </w:rPr>
              <w:t>》”的规定；</w:t>
            </w:r>
          </w:p>
        </w:tc>
      </w:tr>
      <w:tr w14:paraId="1B26B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vMerge w:val="continue"/>
            <w:vAlign w:val="center"/>
          </w:tcPr>
          <w:p w14:paraId="5E3F1F8E">
            <w:pPr>
              <w:spacing w:line="360" w:lineRule="auto"/>
              <w:jc w:val="center"/>
              <w:rPr>
                <w:rFonts w:ascii="宋体" w:hAnsi="宋体" w:cs="宋体"/>
              </w:rPr>
            </w:pPr>
          </w:p>
        </w:tc>
        <w:tc>
          <w:tcPr>
            <w:tcW w:w="1175" w:type="dxa"/>
            <w:vMerge w:val="continue"/>
            <w:vAlign w:val="center"/>
          </w:tcPr>
          <w:p w14:paraId="36AA6E51">
            <w:pPr>
              <w:spacing w:line="360" w:lineRule="auto"/>
              <w:jc w:val="center"/>
              <w:rPr>
                <w:rFonts w:ascii="宋体" w:hAnsi="宋体" w:cs="宋体"/>
              </w:rPr>
            </w:pPr>
          </w:p>
        </w:tc>
        <w:tc>
          <w:tcPr>
            <w:tcW w:w="1723" w:type="dxa"/>
            <w:vAlign w:val="center"/>
          </w:tcPr>
          <w:p w14:paraId="4356EA33">
            <w:pPr>
              <w:spacing w:line="360" w:lineRule="auto"/>
              <w:jc w:val="center"/>
              <w:rPr>
                <w:rFonts w:ascii="宋体" w:hAnsi="宋体" w:cs="宋体"/>
              </w:rPr>
            </w:pPr>
            <w:r>
              <w:rPr>
                <w:rFonts w:hint="eastAsia" w:ascii="宋体" w:hAnsi="宋体" w:cs="宋体"/>
              </w:rPr>
              <w:t>备选投标方案</w:t>
            </w:r>
          </w:p>
        </w:tc>
        <w:tc>
          <w:tcPr>
            <w:tcW w:w="7073" w:type="dxa"/>
            <w:vAlign w:val="center"/>
          </w:tcPr>
          <w:p w14:paraId="78637905">
            <w:pPr>
              <w:spacing w:line="360" w:lineRule="auto"/>
              <w:rPr>
                <w:rFonts w:ascii="宋体" w:hAnsi="宋体" w:cs="宋体"/>
              </w:rPr>
            </w:pPr>
            <w:r>
              <w:rPr>
                <w:rFonts w:hint="eastAsia" w:ascii="宋体" w:hAnsi="宋体" w:cs="宋体"/>
              </w:rPr>
              <w:t>不允许</w:t>
            </w:r>
          </w:p>
        </w:tc>
      </w:tr>
      <w:tr w14:paraId="40BB6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vMerge w:val="continue"/>
            <w:vAlign w:val="center"/>
          </w:tcPr>
          <w:p w14:paraId="36E73365">
            <w:pPr>
              <w:spacing w:line="360" w:lineRule="auto"/>
              <w:jc w:val="center"/>
              <w:rPr>
                <w:rFonts w:ascii="宋体" w:hAnsi="宋体" w:cs="宋体"/>
              </w:rPr>
            </w:pPr>
          </w:p>
        </w:tc>
        <w:tc>
          <w:tcPr>
            <w:tcW w:w="1175" w:type="dxa"/>
            <w:vMerge w:val="continue"/>
            <w:vAlign w:val="center"/>
          </w:tcPr>
          <w:p w14:paraId="5EAB7990">
            <w:pPr>
              <w:spacing w:line="360" w:lineRule="auto"/>
              <w:jc w:val="center"/>
              <w:rPr>
                <w:rFonts w:ascii="宋体" w:hAnsi="宋体" w:cs="宋体"/>
              </w:rPr>
            </w:pPr>
          </w:p>
        </w:tc>
        <w:tc>
          <w:tcPr>
            <w:tcW w:w="1723" w:type="dxa"/>
            <w:vAlign w:val="center"/>
          </w:tcPr>
          <w:p w14:paraId="73637B47">
            <w:pPr>
              <w:spacing w:line="360" w:lineRule="auto"/>
              <w:jc w:val="center"/>
              <w:rPr>
                <w:rFonts w:ascii="宋体" w:hAnsi="宋体" w:cs="宋体"/>
                <w:u w:val="single"/>
              </w:rPr>
            </w:pPr>
            <w:r>
              <w:rPr>
                <w:rFonts w:hint="eastAsia" w:ascii="宋体" w:hAnsi="宋体" w:cs="宋体"/>
              </w:rPr>
              <w:t>投标人机器码</w:t>
            </w:r>
          </w:p>
        </w:tc>
        <w:tc>
          <w:tcPr>
            <w:tcW w:w="7073" w:type="dxa"/>
            <w:vAlign w:val="center"/>
          </w:tcPr>
          <w:p w14:paraId="4A7D3732">
            <w:pPr>
              <w:spacing w:line="360" w:lineRule="auto"/>
              <w:rPr>
                <w:rFonts w:ascii="宋体" w:hAnsi="宋体" w:cs="宋体"/>
              </w:rPr>
            </w:pPr>
            <w:r>
              <w:rPr>
                <w:rFonts w:hint="eastAsia" w:ascii="宋体" w:hAnsi="宋体" w:cs="宋体"/>
                <w:u w:val="single"/>
              </w:rPr>
              <w:t>投标人与本项目其他投标人加密打包投标文件电脑机器特征码一致的（以</w:t>
            </w:r>
            <w:r>
              <w:rPr>
                <w:rFonts w:hint="eastAsia" w:ascii="宋体" w:hAnsi="宋体" w:cs="宋体"/>
                <w:u w:val="single"/>
                <w:lang w:eastAsia="zh-CN"/>
              </w:rPr>
              <w:t>广州交易集团有限公司(广州公共资源交易中心)</w:t>
            </w:r>
            <w:r>
              <w:rPr>
                <w:rFonts w:hint="eastAsia" w:ascii="宋体" w:hAnsi="宋体" w:cs="宋体"/>
                <w:u w:val="single"/>
              </w:rPr>
              <w:t>评标系统的检索信息为准），其投标将被否决。</w:t>
            </w:r>
          </w:p>
        </w:tc>
      </w:tr>
      <w:tr w14:paraId="272E4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vMerge w:val="restart"/>
            <w:vAlign w:val="center"/>
          </w:tcPr>
          <w:p w14:paraId="6FB684A6">
            <w:pPr>
              <w:spacing w:line="360" w:lineRule="auto"/>
              <w:jc w:val="center"/>
              <w:rPr>
                <w:rFonts w:ascii="宋体" w:hAnsi="宋体" w:cs="宋体"/>
              </w:rPr>
            </w:pPr>
            <w:r>
              <w:rPr>
                <w:rFonts w:hint="eastAsia" w:ascii="宋体" w:hAnsi="宋体" w:cs="宋体"/>
              </w:rPr>
              <w:t>2.1.2</w:t>
            </w:r>
          </w:p>
        </w:tc>
        <w:tc>
          <w:tcPr>
            <w:tcW w:w="1175" w:type="dxa"/>
            <w:vMerge w:val="restart"/>
            <w:vAlign w:val="center"/>
          </w:tcPr>
          <w:p w14:paraId="480BD75B">
            <w:pPr>
              <w:spacing w:line="360" w:lineRule="auto"/>
              <w:jc w:val="center"/>
              <w:rPr>
                <w:rFonts w:ascii="宋体" w:hAnsi="宋体" w:cs="宋体"/>
              </w:rPr>
            </w:pPr>
            <w:r>
              <w:rPr>
                <w:rFonts w:hint="eastAsia" w:ascii="宋体" w:hAnsi="宋体" w:cs="宋体"/>
              </w:rPr>
              <w:t>资格评审标准</w:t>
            </w:r>
          </w:p>
        </w:tc>
        <w:tc>
          <w:tcPr>
            <w:tcW w:w="1723" w:type="dxa"/>
            <w:vAlign w:val="center"/>
          </w:tcPr>
          <w:p w14:paraId="09518C10">
            <w:pPr>
              <w:snapToGrid w:val="0"/>
              <w:spacing w:line="360" w:lineRule="auto"/>
              <w:jc w:val="center"/>
              <w:rPr>
                <w:rFonts w:ascii="宋体" w:hAnsi="宋体" w:cs="宋体"/>
              </w:rPr>
            </w:pPr>
            <w:r>
              <w:rPr>
                <w:rFonts w:hint="eastAsia" w:ascii="宋体" w:hAnsi="宋体" w:cs="宋体"/>
              </w:rPr>
              <w:t>营业执照</w:t>
            </w:r>
            <w:r>
              <w:rPr>
                <w:rFonts w:hint="eastAsia" w:ascii="宋体" w:hAnsi="宋体" w:cs="宋体"/>
                <w:u w:val="single"/>
              </w:rPr>
              <w:t>或事业单位法人证书</w:t>
            </w:r>
          </w:p>
        </w:tc>
        <w:tc>
          <w:tcPr>
            <w:tcW w:w="7073" w:type="dxa"/>
            <w:vAlign w:val="center"/>
          </w:tcPr>
          <w:p w14:paraId="1876F8AA">
            <w:pPr>
              <w:spacing w:line="360" w:lineRule="auto"/>
              <w:rPr>
                <w:rFonts w:ascii="宋体" w:hAnsi="宋体" w:cs="宋体"/>
              </w:rPr>
            </w:pPr>
            <w:r>
              <w:rPr>
                <w:rFonts w:hint="eastAsia" w:ascii="宋体" w:hAnsi="宋体" w:cs="宋体"/>
              </w:rPr>
              <w:t>符合第二章“投标人须知”第</w:t>
            </w:r>
            <w:r>
              <w:rPr>
                <w:rFonts w:hint="eastAsia" w:ascii="宋体" w:hAnsi="宋体" w:cs="宋体"/>
                <w:u w:val="single"/>
              </w:rPr>
              <w:t xml:space="preserve"> 3.5.2 </w:t>
            </w:r>
            <w:r>
              <w:rPr>
                <w:rFonts w:hint="eastAsia" w:ascii="宋体" w:hAnsi="宋体" w:cs="宋体"/>
              </w:rPr>
              <w:t>项规定</w:t>
            </w:r>
          </w:p>
        </w:tc>
      </w:tr>
      <w:tr w14:paraId="40D4E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vMerge w:val="continue"/>
            <w:vAlign w:val="center"/>
          </w:tcPr>
          <w:p w14:paraId="34E9630E">
            <w:pPr>
              <w:spacing w:line="360" w:lineRule="auto"/>
              <w:jc w:val="center"/>
              <w:rPr>
                <w:rFonts w:ascii="宋体" w:hAnsi="宋体" w:cs="宋体"/>
              </w:rPr>
            </w:pPr>
          </w:p>
        </w:tc>
        <w:tc>
          <w:tcPr>
            <w:tcW w:w="1175" w:type="dxa"/>
            <w:vMerge w:val="continue"/>
            <w:vAlign w:val="center"/>
          </w:tcPr>
          <w:p w14:paraId="7889EF2B">
            <w:pPr>
              <w:spacing w:line="360" w:lineRule="auto"/>
              <w:jc w:val="center"/>
              <w:rPr>
                <w:rFonts w:ascii="宋体" w:hAnsi="宋体" w:cs="宋体"/>
              </w:rPr>
            </w:pPr>
          </w:p>
        </w:tc>
        <w:tc>
          <w:tcPr>
            <w:tcW w:w="1723" w:type="dxa"/>
            <w:vAlign w:val="center"/>
          </w:tcPr>
          <w:p w14:paraId="5EA931B7">
            <w:pPr>
              <w:spacing w:line="360" w:lineRule="auto"/>
              <w:jc w:val="center"/>
              <w:rPr>
                <w:rFonts w:ascii="宋体" w:hAnsi="宋体" w:cs="宋体"/>
              </w:rPr>
            </w:pPr>
            <w:r>
              <w:rPr>
                <w:rFonts w:hint="eastAsia" w:ascii="宋体" w:hAnsi="宋体" w:cs="宋体"/>
              </w:rPr>
              <w:t>资质要求</w:t>
            </w:r>
          </w:p>
        </w:tc>
        <w:tc>
          <w:tcPr>
            <w:tcW w:w="7073" w:type="dxa"/>
            <w:vAlign w:val="center"/>
          </w:tcPr>
          <w:p w14:paraId="1BE5254E">
            <w:pPr>
              <w:spacing w:line="360" w:lineRule="auto"/>
              <w:rPr>
                <w:rFonts w:ascii="宋体" w:hAnsi="宋体" w:cs="宋体"/>
              </w:rPr>
            </w:pPr>
            <w:r>
              <w:rPr>
                <w:rFonts w:hint="eastAsia" w:ascii="宋体" w:hAnsi="宋体" w:cs="宋体"/>
              </w:rPr>
              <w:t>符合第二章“投标人须知”第 1.4.1 项规定</w:t>
            </w:r>
          </w:p>
        </w:tc>
      </w:tr>
      <w:tr w14:paraId="49F2B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vMerge w:val="continue"/>
            <w:vAlign w:val="center"/>
          </w:tcPr>
          <w:p w14:paraId="42258804">
            <w:pPr>
              <w:spacing w:line="360" w:lineRule="auto"/>
              <w:jc w:val="center"/>
              <w:rPr>
                <w:rFonts w:ascii="宋体" w:hAnsi="宋体" w:cs="宋体"/>
              </w:rPr>
            </w:pPr>
          </w:p>
        </w:tc>
        <w:tc>
          <w:tcPr>
            <w:tcW w:w="1175" w:type="dxa"/>
            <w:vMerge w:val="continue"/>
            <w:vAlign w:val="center"/>
          </w:tcPr>
          <w:p w14:paraId="34DFDCDE">
            <w:pPr>
              <w:spacing w:line="360" w:lineRule="auto"/>
              <w:jc w:val="center"/>
              <w:rPr>
                <w:rFonts w:ascii="宋体" w:hAnsi="宋体" w:cs="宋体"/>
              </w:rPr>
            </w:pPr>
          </w:p>
        </w:tc>
        <w:tc>
          <w:tcPr>
            <w:tcW w:w="1723" w:type="dxa"/>
            <w:vAlign w:val="center"/>
          </w:tcPr>
          <w:p w14:paraId="0B28FB35">
            <w:pPr>
              <w:spacing w:line="360" w:lineRule="auto"/>
              <w:jc w:val="center"/>
              <w:rPr>
                <w:rFonts w:ascii="宋体" w:hAnsi="宋体" w:cs="宋体"/>
                <w:strike/>
              </w:rPr>
            </w:pPr>
            <w:r>
              <w:rPr>
                <w:rFonts w:hint="eastAsia" w:ascii="宋体" w:hAnsi="宋体" w:cs="宋体"/>
                <w:strike/>
              </w:rPr>
              <w:t>财务要求</w:t>
            </w:r>
          </w:p>
        </w:tc>
        <w:tc>
          <w:tcPr>
            <w:tcW w:w="7073" w:type="dxa"/>
            <w:vAlign w:val="center"/>
          </w:tcPr>
          <w:p w14:paraId="3E39C977">
            <w:pPr>
              <w:spacing w:line="360" w:lineRule="auto"/>
              <w:rPr>
                <w:rFonts w:ascii="宋体" w:hAnsi="宋体" w:cs="宋体"/>
                <w:strike/>
                <w:u w:val="single"/>
              </w:rPr>
            </w:pPr>
            <w:r>
              <w:rPr>
                <w:rFonts w:hint="eastAsia" w:ascii="宋体" w:hAnsi="宋体" w:cs="宋体"/>
                <w:strike/>
                <w:u w:val="single"/>
              </w:rPr>
              <w:t xml:space="preserve">  /  </w:t>
            </w:r>
          </w:p>
        </w:tc>
      </w:tr>
      <w:tr w14:paraId="4FD33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vMerge w:val="continue"/>
            <w:vAlign w:val="center"/>
          </w:tcPr>
          <w:p w14:paraId="7E632EAC">
            <w:pPr>
              <w:spacing w:line="360" w:lineRule="auto"/>
              <w:jc w:val="center"/>
              <w:rPr>
                <w:rFonts w:ascii="宋体" w:hAnsi="宋体" w:cs="宋体"/>
              </w:rPr>
            </w:pPr>
          </w:p>
        </w:tc>
        <w:tc>
          <w:tcPr>
            <w:tcW w:w="1175" w:type="dxa"/>
            <w:vMerge w:val="continue"/>
            <w:vAlign w:val="center"/>
          </w:tcPr>
          <w:p w14:paraId="3E028A79">
            <w:pPr>
              <w:spacing w:line="360" w:lineRule="auto"/>
              <w:jc w:val="center"/>
              <w:rPr>
                <w:rFonts w:ascii="宋体" w:hAnsi="宋体" w:cs="宋体"/>
              </w:rPr>
            </w:pPr>
          </w:p>
        </w:tc>
        <w:tc>
          <w:tcPr>
            <w:tcW w:w="1723" w:type="dxa"/>
            <w:vAlign w:val="center"/>
          </w:tcPr>
          <w:p w14:paraId="028725E4">
            <w:pPr>
              <w:spacing w:line="360" w:lineRule="auto"/>
              <w:jc w:val="center"/>
              <w:rPr>
                <w:rFonts w:ascii="宋体" w:hAnsi="宋体" w:cs="宋体"/>
                <w:strike/>
              </w:rPr>
            </w:pPr>
            <w:r>
              <w:rPr>
                <w:rFonts w:hint="eastAsia" w:ascii="宋体" w:hAnsi="宋体" w:cs="宋体"/>
                <w:strike/>
              </w:rPr>
              <w:t>业绩要求</w:t>
            </w:r>
          </w:p>
        </w:tc>
        <w:tc>
          <w:tcPr>
            <w:tcW w:w="7073" w:type="dxa"/>
            <w:vAlign w:val="center"/>
          </w:tcPr>
          <w:p w14:paraId="15C55ED1">
            <w:pPr>
              <w:spacing w:line="360" w:lineRule="auto"/>
              <w:rPr>
                <w:rFonts w:ascii="宋体" w:hAnsi="宋体" w:cs="宋体"/>
                <w:strike/>
              </w:rPr>
            </w:pPr>
            <w:r>
              <w:rPr>
                <w:rFonts w:hint="eastAsia" w:ascii="宋体" w:hAnsi="宋体" w:cs="宋体"/>
                <w:strike/>
                <w:u w:val="single"/>
              </w:rPr>
              <w:t xml:space="preserve">  /  </w:t>
            </w:r>
          </w:p>
        </w:tc>
      </w:tr>
      <w:tr w14:paraId="4D43A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vMerge w:val="continue"/>
            <w:vAlign w:val="center"/>
          </w:tcPr>
          <w:p w14:paraId="756E1D7C">
            <w:pPr>
              <w:spacing w:line="360" w:lineRule="auto"/>
              <w:jc w:val="center"/>
              <w:rPr>
                <w:rFonts w:ascii="宋体" w:hAnsi="宋体" w:cs="宋体"/>
              </w:rPr>
            </w:pPr>
          </w:p>
        </w:tc>
        <w:tc>
          <w:tcPr>
            <w:tcW w:w="1175" w:type="dxa"/>
            <w:vMerge w:val="continue"/>
            <w:vAlign w:val="center"/>
          </w:tcPr>
          <w:p w14:paraId="1C6E0A65">
            <w:pPr>
              <w:spacing w:line="360" w:lineRule="auto"/>
              <w:jc w:val="center"/>
              <w:rPr>
                <w:rFonts w:ascii="宋体" w:hAnsi="宋体" w:cs="宋体"/>
              </w:rPr>
            </w:pPr>
          </w:p>
        </w:tc>
        <w:tc>
          <w:tcPr>
            <w:tcW w:w="1723" w:type="dxa"/>
            <w:vAlign w:val="center"/>
          </w:tcPr>
          <w:p w14:paraId="44919158">
            <w:pPr>
              <w:spacing w:line="360" w:lineRule="auto"/>
              <w:jc w:val="center"/>
              <w:rPr>
                <w:rFonts w:ascii="宋体" w:hAnsi="宋体" w:cs="宋体"/>
                <w:strike/>
              </w:rPr>
            </w:pPr>
            <w:r>
              <w:rPr>
                <w:rFonts w:hint="eastAsia" w:ascii="宋体" w:hAnsi="宋体" w:cs="宋体"/>
                <w:strike/>
              </w:rPr>
              <w:t>信誉要求</w:t>
            </w:r>
          </w:p>
        </w:tc>
        <w:tc>
          <w:tcPr>
            <w:tcW w:w="7073" w:type="dxa"/>
            <w:vAlign w:val="center"/>
          </w:tcPr>
          <w:p w14:paraId="1F81AFD7">
            <w:pPr>
              <w:spacing w:line="360" w:lineRule="auto"/>
              <w:rPr>
                <w:rFonts w:ascii="宋体" w:hAnsi="宋体" w:cs="宋体"/>
                <w:strike/>
              </w:rPr>
            </w:pPr>
            <w:r>
              <w:rPr>
                <w:rFonts w:hint="eastAsia" w:ascii="宋体" w:hAnsi="宋体" w:cs="宋体"/>
                <w:strike/>
                <w:u w:val="single"/>
              </w:rPr>
              <w:t xml:space="preserve">  /  </w:t>
            </w:r>
          </w:p>
        </w:tc>
      </w:tr>
      <w:tr w14:paraId="5B0D0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vMerge w:val="continue"/>
            <w:vAlign w:val="center"/>
          </w:tcPr>
          <w:p w14:paraId="36807092">
            <w:pPr>
              <w:spacing w:line="360" w:lineRule="auto"/>
              <w:jc w:val="center"/>
              <w:rPr>
                <w:rFonts w:ascii="宋体" w:hAnsi="宋体" w:cs="宋体"/>
              </w:rPr>
            </w:pPr>
          </w:p>
        </w:tc>
        <w:tc>
          <w:tcPr>
            <w:tcW w:w="1175" w:type="dxa"/>
            <w:vMerge w:val="continue"/>
            <w:vAlign w:val="center"/>
          </w:tcPr>
          <w:p w14:paraId="786B62C8">
            <w:pPr>
              <w:spacing w:line="360" w:lineRule="auto"/>
              <w:jc w:val="center"/>
              <w:rPr>
                <w:rFonts w:ascii="宋体" w:hAnsi="宋体" w:cs="宋体"/>
              </w:rPr>
            </w:pPr>
          </w:p>
        </w:tc>
        <w:tc>
          <w:tcPr>
            <w:tcW w:w="1723" w:type="dxa"/>
            <w:vAlign w:val="center"/>
          </w:tcPr>
          <w:p w14:paraId="4AB99961">
            <w:pPr>
              <w:spacing w:line="360" w:lineRule="auto"/>
              <w:jc w:val="center"/>
              <w:rPr>
                <w:rFonts w:ascii="宋体" w:hAnsi="宋体" w:cs="宋体"/>
              </w:rPr>
            </w:pPr>
            <w:r>
              <w:rPr>
                <w:rFonts w:hint="eastAsia" w:ascii="宋体" w:hAnsi="宋体" w:cs="宋体"/>
                <w:szCs w:val="21"/>
                <w:u w:val="single"/>
              </w:rPr>
              <w:t>项目负责人</w:t>
            </w:r>
          </w:p>
        </w:tc>
        <w:tc>
          <w:tcPr>
            <w:tcW w:w="7073" w:type="dxa"/>
            <w:vAlign w:val="center"/>
          </w:tcPr>
          <w:p w14:paraId="4D3DE87E">
            <w:pPr>
              <w:spacing w:line="360" w:lineRule="auto"/>
              <w:rPr>
                <w:rFonts w:ascii="宋体" w:hAnsi="宋体" w:cs="宋体"/>
              </w:rPr>
            </w:pPr>
            <w:r>
              <w:rPr>
                <w:rFonts w:hint="eastAsia" w:ascii="宋体" w:hAnsi="宋体" w:cs="宋体"/>
              </w:rPr>
              <w:t>符合第二章“投标人须知”第 1.4.1 项规定</w:t>
            </w:r>
          </w:p>
        </w:tc>
      </w:tr>
      <w:tr w14:paraId="61FB4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vMerge w:val="continue"/>
            <w:vAlign w:val="center"/>
          </w:tcPr>
          <w:p w14:paraId="1D590F52">
            <w:pPr>
              <w:spacing w:line="360" w:lineRule="auto"/>
              <w:jc w:val="center"/>
              <w:rPr>
                <w:rFonts w:ascii="宋体" w:hAnsi="宋体" w:cs="宋体"/>
              </w:rPr>
            </w:pPr>
          </w:p>
        </w:tc>
        <w:tc>
          <w:tcPr>
            <w:tcW w:w="1175" w:type="dxa"/>
            <w:vMerge w:val="continue"/>
            <w:vAlign w:val="center"/>
          </w:tcPr>
          <w:p w14:paraId="7CAD89D0">
            <w:pPr>
              <w:spacing w:line="360" w:lineRule="auto"/>
              <w:jc w:val="center"/>
              <w:rPr>
                <w:rFonts w:ascii="宋体" w:hAnsi="宋体" w:cs="宋体"/>
              </w:rPr>
            </w:pPr>
          </w:p>
        </w:tc>
        <w:tc>
          <w:tcPr>
            <w:tcW w:w="1723" w:type="dxa"/>
            <w:vAlign w:val="center"/>
          </w:tcPr>
          <w:p w14:paraId="288CE647">
            <w:pPr>
              <w:spacing w:line="360" w:lineRule="auto"/>
              <w:jc w:val="center"/>
              <w:rPr>
                <w:rFonts w:ascii="宋体" w:hAnsi="宋体" w:cs="宋体"/>
                <w:strike/>
              </w:rPr>
            </w:pPr>
            <w:r>
              <w:rPr>
                <w:rFonts w:hint="eastAsia" w:ascii="宋体" w:hAnsi="宋体" w:cs="宋体"/>
                <w:strike/>
              </w:rPr>
              <w:t>其他主要人员</w:t>
            </w:r>
          </w:p>
        </w:tc>
        <w:tc>
          <w:tcPr>
            <w:tcW w:w="7073" w:type="dxa"/>
            <w:vAlign w:val="center"/>
          </w:tcPr>
          <w:p w14:paraId="406AF30E">
            <w:pPr>
              <w:spacing w:line="360" w:lineRule="auto"/>
              <w:rPr>
                <w:rFonts w:ascii="宋体" w:hAnsi="宋体" w:cs="宋体"/>
                <w:strike/>
              </w:rPr>
            </w:pPr>
            <w:r>
              <w:rPr>
                <w:rFonts w:hint="eastAsia" w:ascii="宋体" w:hAnsi="宋体" w:cs="宋体"/>
                <w:strike/>
                <w:u w:val="single"/>
              </w:rPr>
              <w:t xml:space="preserve">  /  </w:t>
            </w:r>
          </w:p>
        </w:tc>
      </w:tr>
      <w:tr w14:paraId="604E9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vMerge w:val="continue"/>
            <w:vAlign w:val="center"/>
          </w:tcPr>
          <w:p w14:paraId="7F1D9CEE">
            <w:pPr>
              <w:spacing w:line="360" w:lineRule="auto"/>
              <w:jc w:val="center"/>
              <w:rPr>
                <w:rFonts w:ascii="宋体" w:hAnsi="宋体" w:cs="宋体"/>
              </w:rPr>
            </w:pPr>
          </w:p>
        </w:tc>
        <w:tc>
          <w:tcPr>
            <w:tcW w:w="1175" w:type="dxa"/>
            <w:vMerge w:val="continue"/>
            <w:vAlign w:val="center"/>
          </w:tcPr>
          <w:p w14:paraId="2E1A4342">
            <w:pPr>
              <w:spacing w:line="360" w:lineRule="auto"/>
              <w:jc w:val="center"/>
              <w:rPr>
                <w:rFonts w:ascii="宋体" w:hAnsi="宋体" w:cs="宋体"/>
              </w:rPr>
            </w:pPr>
          </w:p>
        </w:tc>
        <w:tc>
          <w:tcPr>
            <w:tcW w:w="1723" w:type="dxa"/>
            <w:vAlign w:val="center"/>
          </w:tcPr>
          <w:p w14:paraId="40930AED">
            <w:pPr>
              <w:snapToGrid w:val="0"/>
              <w:spacing w:line="360" w:lineRule="auto"/>
              <w:jc w:val="center"/>
              <w:rPr>
                <w:rFonts w:ascii="宋体" w:hAnsi="宋体" w:cs="宋体"/>
                <w:strike/>
              </w:rPr>
            </w:pPr>
            <w:r>
              <w:rPr>
                <w:rFonts w:hint="eastAsia" w:ascii="宋体" w:hAnsi="宋体" w:cs="宋体"/>
                <w:strike/>
              </w:rPr>
              <w:t>试验检测监测仪器设备</w:t>
            </w:r>
          </w:p>
        </w:tc>
        <w:tc>
          <w:tcPr>
            <w:tcW w:w="7073" w:type="dxa"/>
            <w:vAlign w:val="center"/>
          </w:tcPr>
          <w:p w14:paraId="6416F8AB">
            <w:pPr>
              <w:snapToGrid w:val="0"/>
              <w:spacing w:line="360" w:lineRule="auto"/>
              <w:rPr>
                <w:rFonts w:ascii="宋体" w:hAnsi="宋体" w:cs="宋体"/>
                <w:strike/>
              </w:rPr>
            </w:pPr>
            <w:r>
              <w:rPr>
                <w:rFonts w:hint="eastAsia" w:ascii="宋体" w:hAnsi="宋体" w:cs="宋体"/>
                <w:strike/>
                <w:u w:val="single"/>
              </w:rPr>
              <w:t xml:space="preserve">  /  </w:t>
            </w:r>
          </w:p>
        </w:tc>
      </w:tr>
      <w:tr w14:paraId="36D83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vMerge w:val="continue"/>
            <w:vAlign w:val="center"/>
          </w:tcPr>
          <w:p w14:paraId="423990EB">
            <w:pPr>
              <w:spacing w:line="360" w:lineRule="auto"/>
              <w:jc w:val="center"/>
              <w:rPr>
                <w:rFonts w:ascii="宋体" w:hAnsi="宋体" w:cs="宋体"/>
              </w:rPr>
            </w:pPr>
          </w:p>
        </w:tc>
        <w:tc>
          <w:tcPr>
            <w:tcW w:w="1175" w:type="dxa"/>
            <w:vMerge w:val="continue"/>
            <w:vAlign w:val="center"/>
          </w:tcPr>
          <w:p w14:paraId="3579579F">
            <w:pPr>
              <w:spacing w:line="360" w:lineRule="auto"/>
              <w:jc w:val="center"/>
              <w:rPr>
                <w:rFonts w:ascii="宋体" w:hAnsi="宋体" w:cs="宋体"/>
              </w:rPr>
            </w:pPr>
          </w:p>
        </w:tc>
        <w:tc>
          <w:tcPr>
            <w:tcW w:w="1723" w:type="dxa"/>
            <w:vAlign w:val="center"/>
          </w:tcPr>
          <w:p w14:paraId="0B2336D9">
            <w:pPr>
              <w:spacing w:line="360" w:lineRule="auto"/>
              <w:jc w:val="center"/>
              <w:rPr>
                <w:rFonts w:ascii="宋体" w:hAnsi="宋体" w:cs="宋体"/>
              </w:rPr>
            </w:pPr>
            <w:r>
              <w:rPr>
                <w:rFonts w:hint="eastAsia" w:ascii="宋体" w:hAnsi="宋体" w:cs="宋体"/>
              </w:rPr>
              <w:t>其他要求</w:t>
            </w:r>
          </w:p>
        </w:tc>
        <w:tc>
          <w:tcPr>
            <w:tcW w:w="7073" w:type="dxa"/>
            <w:vAlign w:val="center"/>
          </w:tcPr>
          <w:p w14:paraId="60FBCC44">
            <w:pPr>
              <w:spacing w:line="360" w:lineRule="auto"/>
              <w:rPr>
                <w:rFonts w:ascii="宋体" w:hAnsi="宋体" w:cs="宋体"/>
                <w:u w:val="single"/>
              </w:rPr>
            </w:pPr>
            <w:r>
              <w:rPr>
                <w:rFonts w:hint="eastAsia" w:ascii="宋体" w:hAnsi="宋体" w:cs="宋体"/>
              </w:rPr>
              <w:t>符合第二章“投标人须知”第 1.4.1 项规定</w:t>
            </w:r>
          </w:p>
        </w:tc>
      </w:tr>
      <w:tr w14:paraId="20B99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vMerge w:val="continue"/>
            <w:vAlign w:val="center"/>
          </w:tcPr>
          <w:p w14:paraId="1FDDB68E">
            <w:pPr>
              <w:spacing w:line="360" w:lineRule="auto"/>
              <w:jc w:val="center"/>
              <w:rPr>
                <w:rFonts w:ascii="宋体" w:hAnsi="宋体" w:cs="宋体"/>
              </w:rPr>
            </w:pPr>
          </w:p>
        </w:tc>
        <w:tc>
          <w:tcPr>
            <w:tcW w:w="1175" w:type="dxa"/>
            <w:vMerge w:val="continue"/>
            <w:vAlign w:val="center"/>
          </w:tcPr>
          <w:p w14:paraId="17B127FA">
            <w:pPr>
              <w:spacing w:line="360" w:lineRule="auto"/>
              <w:jc w:val="center"/>
              <w:rPr>
                <w:rFonts w:ascii="宋体" w:hAnsi="宋体" w:cs="宋体"/>
              </w:rPr>
            </w:pPr>
          </w:p>
        </w:tc>
        <w:tc>
          <w:tcPr>
            <w:tcW w:w="1723" w:type="dxa"/>
            <w:vAlign w:val="center"/>
          </w:tcPr>
          <w:p w14:paraId="025752C1">
            <w:pPr>
              <w:spacing w:line="360" w:lineRule="auto"/>
              <w:jc w:val="center"/>
              <w:rPr>
                <w:rFonts w:ascii="宋体" w:hAnsi="宋体" w:cs="宋体"/>
                <w:strike/>
                <w:dstrike w:val="0"/>
              </w:rPr>
            </w:pPr>
            <w:r>
              <w:rPr>
                <w:rFonts w:hint="eastAsia" w:ascii="宋体" w:hAnsi="宋体" w:cs="宋体"/>
                <w:strike/>
                <w:dstrike w:val="0"/>
              </w:rPr>
              <w:t>联合体投标人</w:t>
            </w:r>
          </w:p>
        </w:tc>
        <w:tc>
          <w:tcPr>
            <w:tcW w:w="7073" w:type="dxa"/>
            <w:vAlign w:val="center"/>
          </w:tcPr>
          <w:p w14:paraId="6B0E5AAD">
            <w:pPr>
              <w:spacing w:line="360" w:lineRule="auto"/>
              <w:rPr>
                <w:rFonts w:ascii="宋体" w:hAnsi="宋体" w:cs="宋体"/>
                <w:strike/>
                <w:dstrike w:val="0"/>
              </w:rPr>
            </w:pPr>
            <w:r>
              <w:rPr>
                <w:rFonts w:hint="eastAsia" w:ascii="宋体" w:hAnsi="宋体" w:cs="宋体"/>
                <w:strike/>
                <w:dstrike w:val="0"/>
              </w:rPr>
              <w:t>符合第二章“投标人须知”第 1.4.2 项规定</w:t>
            </w:r>
          </w:p>
        </w:tc>
      </w:tr>
      <w:tr w14:paraId="4B39E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vMerge w:val="continue"/>
            <w:vAlign w:val="center"/>
          </w:tcPr>
          <w:p w14:paraId="0A06B632">
            <w:pPr>
              <w:spacing w:line="360" w:lineRule="auto"/>
              <w:jc w:val="center"/>
              <w:rPr>
                <w:rFonts w:ascii="宋体" w:hAnsi="宋体" w:cs="宋体"/>
              </w:rPr>
            </w:pPr>
          </w:p>
        </w:tc>
        <w:tc>
          <w:tcPr>
            <w:tcW w:w="1175" w:type="dxa"/>
            <w:vMerge w:val="continue"/>
            <w:vAlign w:val="center"/>
          </w:tcPr>
          <w:p w14:paraId="3E88637F">
            <w:pPr>
              <w:spacing w:line="360" w:lineRule="auto"/>
              <w:jc w:val="center"/>
              <w:rPr>
                <w:rFonts w:ascii="宋体" w:hAnsi="宋体" w:cs="宋体"/>
              </w:rPr>
            </w:pPr>
          </w:p>
        </w:tc>
        <w:tc>
          <w:tcPr>
            <w:tcW w:w="1723" w:type="dxa"/>
            <w:vAlign w:val="center"/>
          </w:tcPr>
          <w:p w14:paraId="115DD5FB">
            <w:pPr>
              <w:spacing w:line="360" w:lineRule="auto"/>
              <w:jc w:val="center"/>
              <w:rPr>
                <w:rFonts w:ascii="宋体" w:hAnsi="宋体" w:cs="宋体"/>
              </w:rPr>
            </w:pPr>
            <w:r>
              <w:rPr>
                <w:rFonts w:hint="eastAsia" w:ascii="宋体" w:hAnsi="宋体" w:cs="宋体"/>
                <w:szCs w:val="21"/>
              </w:rPr>
              <w:t>未被纳入失信联合惩戒名单且被限制参与相关项目投标的</w:t>
            </w:r>
          </w:p>
        </w:tc>
        <w:tc>
          <w:tcPr>
            <w:tcW w:w="7073" w:type="dxa"/>
            <w:vAlign w:val="center"/>
          </w:tcPr>
          <w:p w14:paraId="57E6C5AA">
            <w:pPr>
              <w:spacing w:line="360" w:lineRule="auto"/>
              <w:rPr>
                <w:rFonts w:ascii="宋体" w:hAnsi="宋体" w:cs="宋体"/>
              </w:rPr>
            </w:pPr>
            <w:r>
              <w:rPr>
                <w:rFonts w:hint="eastAsia" w:ascii="宋体" w:hAnsi="宋体" w:eastAsia="宋体" w:cs="宋体"/>
                <w:color w:val="auto"/>
                <w:szCs w:val="21"/>
                <w:highlight w:val="none"/>
                <w:u w:val="none"/>
              </w:rPr>
              <w:t>失信联合惩戒名单以“信用广州”网站公布的“黑名单”为准。（提供</w:t>
            </w:r>
            <w:r>
              <w:rPr>
                <w:rFonts w:hint="eastAsia" w:ascii="宋体" w:hAnsi="宋体" w:eastAsia="宋体" w:cs="宋体"/>
                <w:color w:val="auto"/>
                <w:szCs w:val="21"/>
                <w:highlight w:val="none"/>
                <w:u w:val="none"/>
                <w:lang w:eastAsia="zh-CN"/>
              </w:rPr>
              <w:t>查询结果</w:t>
            </w:r>
            <w:r>
              <w:rPr>
                <w:rFonts w:hint="eastAsia" w:ascii="宋体" w:hAnsi="宋体" w:eastAsia="宋体" w:cs="宋体"/>
                <w:color w:val="auto"/>
                <w:szCs w:val="21"/>
                <w:highlight w:val="none"/>
                <w:u w:val="none"/>
              </w:rPr>
              <w:t>网页截图，并加盖公章</w:t>
            </w:r>
            <w:r>
              <w:rPr>
                <w:rFonts w:hint="eastAsia" w:ascii="宋体" w:hAnsi="宋体" w:eastAsia="宋体" w:cs="宋体"/>
                <w:color w:val="auto"/>
                <w:szCs w:val="21"/>
                <w:highlight w:val="none"/>
                <w:u w:val="none"/>
                <w:lang w:eastAsia="zh-CN"/>
              </w:rPr>
              <w:t>。</w:t>
            </w:r>
            <w:r>
              <w:rPr>
                <w:rFonts w:hint="eastAsia" w:ascii="宋体" w:hAnsi="宋体" w:eastAsia="宋体" w:cs="宋体"/>
                <w:color w:val="auto"/>
                <w:szCs w:val="21"/>
                <w:highlight w:val="none"/>
                <w:u w:val="none"/>
              </w:rPr>
              <w:t>）</w:t>
            </w:r>
          </w:p>
        </w:tc>
      </w:tr>
      <w:tr w14:paraId="09251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vMerge w:val="continue"/>
            <w:vAlign w:val="center"/>
          </w:tcPr>
          <w:p w14:paraId="08A74060">
            <w:pPr>
              <w:spacing w:line="360" w:lineRule="auto"/>
              <w:jc w:val="center"/>
              <w:rPr>
                <w:rFonts w:ascii="宋体" w:hAnsi="宋体" w:cs="宋体"/>
              </w:rPr>
            </w:pPr>
          </w:p>
        </w:tc>
        <w:tc>
          <w:tcPr>
            <w:tcW w:w="1175" w:type="dxa"/>
            <w:vMerge w:val="continue"/>
            <w:vAlign w:val="center"/>
          </w:tcPr>
          <w:p w14:paraId="135D620B">
            <w:pPr>
              <w:spacing w:line="360" w:lineRule="auto"/>
              <w:jc w:val="center"/>
              <w:rPr>
                <w:rFonts w:ascii="宋体" w:hAnsi="宋体" w:cs="宋体"/>
              </w:rPr>
            </w:pPr>
          </w:p>
        </w:tc>
        <w:tc>
          <w:tcPr>
            <w:tcW w:w="1723" w:type="dxa"/>
            <w:vAlign w:val="center"/>
          </w:tcPr>
          <w:p w14:paraId="0086F832">
            <w:pPr>
              <w:snapToGrid w:val="0"/>
              <w:spacing w:line="360" w:lineRule="auto"/>
              <w:jc w:val="center"/>
              <w:rPr>
                <w:rFonts w:ascii="宋体" w:hAnsi="宋体" w:cs="宋体"/>
              </w:rPr>
            </w:pPr>
            <w:r>
              <w:rPr>
                <w:rFonts w:hint="eastAsia" w:ascii="宋体" w:hAnsi="宋体" w:cs="宋体"/>
              </w:rPr>
              <w:t>不存在禁止投标的情形</w:t>
            </w:r>
          </w:p>
        </w:tc>
        <w:tc>
          <w:tcPr>
            <w:tcW w:w="7073" w:type="dxa"/>
            <w:vAlign w:val="center"/>
          </w:tcPr>
          <w:p w14:paraId="54EC527B">
            <w:pPr>
              <w:snapToGrid w:val="0"/>
              <w:spacing w:line="360" w:lineRule="auto"/>
              <w:rPr>
                <w:rFonts w:ascii="宋体" w:hAnsi="宋体" w:cs="宋体"/>
              </w:rPr>
            </w:pPr>
            <w:r>
              <w:rPr>
                <w:rFonts w:hint="eastAsia" w:ascii="宋体" w:hAnsi="宋体" w:cs="宋体"/>
              </w:rPr>
              <w:t>不存在第二章“投标人须知”第 1.4.3 项规定的任何一种情形</w:t>
            </w:r>
            <w:r>
              <w:rPr>
                <w:rFonts w:hint="eastAsia" w:ascii="宋体" w:hAnsi="宋体" w:cs="宋体"/>
                <w:u w:val="single"/>
              </w:rPr>
              <w:t>（以《投标人声明》为准）</w:t>
            </w:r>
          </w:p>
        </w:tc>
      </w:tr>
      <w:tr w14:paraId="04E73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vMerge w:val="restart"/>
            <w:vAlign w:val="center"/>
          </w:tcPr>
          <w:p w14:paraId="6F894D33">
            <w:pPr>
              <w:spacing w:line="360" w:lineRule="auto"/>
              <w:jc w:val="center"/>
              <w:rPr>
                <w:rFonts w:ascii="宋体" w:hAnsi="宋体" w:cs="宋体"/>
              </w:rPr>
            </w:pPr>
            <w:r>
              <w:rPr>
                <w:rFonts w:hint="eastAsia" w:ascii="宋体" w:hAnsi="宋体" w:cs="宋体"/>
              </w:rPr>
              <w:t>2.1.3</w:t>
            </w:r>
          </w:p>
        </w:tc>
        <w:tc>
          <w:tcPr>
            <w:tcW w:w="1175" w:type="dxa"/>
            <w:vMerge w:val="restart"/>
            <w:vAlign w:val="center"/>
          </w:tcPr>
          <w:p w14:paraId="01638FF2">
            <w:pPr>
              <w:spacing w:line="360" w:lineRule="auto"/>
              <w:jc w:val="center"/>
              <w:rPr>
                <w:rFonts w:ascii="宋体" w:hAnsi="宋体" w:cs="宋体"/>
              </w:rPr>
            </w:pPr>
            <w:r>
              <w:rPr>
                <w:rFonts w:hint="eastAsia" w:ascii="宋体" w:hAnsi="宋体" w:cs="宋体"/>
              </w:rPr>
              <w:t>响应性评审标准</w:t>
            </w:r>
          </w:p>
        </w:tc>
        <w:tc>
          <w:tcPr>
            <w:tcW w:w="1723" w:type="dxa"/>
            <w:vAlign w:val="center"/>
          </w:tcPr>
          <w:p w14:paraId="6395F879">
            <w:pPr>
              <w:spacing w:line="360" w:lineRule="auto"/>
              <w:jc w:val="center"/>
              <w:rPr>
                <w:rFonts w:ascii="宋体" w:hAnsi="宋体" w:cs="宋体"/>
                <w:strike/>
                <w:u w:val="single"/>
              </w:rPr>
            </w:pPr>
            <w:r>
              <w:rPr>
                <w:rFonts w:hint="eastAsia" w:ascii="宋体" w:hAnsi="宋体" w:cs="宋体"/>
              </w:rPr>
              <w:t>投标报价</w:t>
            </w:r>
          </w:p>
        </w:tc>
        <w:tc>
          <w:tcPr>
            <w:tcW w:w="7073" w:type="dxa"/>
            <w:vAlign w:val="center"/>
          </w:tcPr>
          <w:p w14:paraId="0B6A37B1">
            <w:pPr>
              <w:spacing w:line="360" w:lineRule="auto"/>
              <w:rPr>
                <w:rFonts w:ascii="宋体" w:hAnsi="宋体" w:cs="宋体"/>
                <w:strike/>
                <w:u w:val="single"/>
              </w:rPr>
            </w:pPr>
            <w:r>
              <w:rPr>
                <w:rFonts w:hint="eastAsia" w:ascii="宋体" w:hAnsi="宋体" w:cs="宋体"/>
              </w:rPr>
              <w:t>符合第二章“投标人须知”第 3.2 款规定</w:t>
            </w:r>
          </w:p>
        </w:tc>
      </w:tr>
      <w:tr w14:paraId="63323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vMerge w:val="continue"/>
            <w:vAlign w:val="center"/>
          </w:tcPr>
          <w:p w14:paraId="3567A1E3">
            <w:pPr>
              <w:spacing w:line="360" w:lineRule="auto"/>
              <w:jc w:val="center"/>
              <w:rPr>
                <w:rFonts w:ascii="宋体" w:hAnsi="宋体" w:cs="宋体"/>
              </w:rPr>
            </w:pPr>
          </w:p>
        </w:tc>
        <w:tc>
          <w:tcPr>
            <w:tcW w:w="1175" w:type="dxa"/>
            <w:vMerge w:val="continue"/>
            <w:vAlign w:val="center"/>
          </w:tcPr>
          <w:p w14:paraId="63BA58FB">
            <w:pPr>
              <w:spacing w:line="360" w:lineRule="auto"/>
              <w:jc w:val="center"/>
              <w:rPr>
                <w:rFonts w:ascii="宋体" w:hAnsi="宋体" w:cs="宋体"/>
              </w:rPr>
            </w:pPr>
          </w:p>
        </w:tc>
        <w:tc>
          <w:tcPr>
            <w:tcW w:w="1723" w:type="dxa"/>
            <w:vAlign w:val="center"/>
          </w:tcPr>
          <w:p w14:paraId="7EF47503">
            <w:pPr>
              <w:spacing w:line="360" w:lineRule="auto"/>
              <w:jc w:val="center"/>
              <w:rPr>
                <w:rFonts w:ascii="宋体" w:hAnsi="宋体" w:cs="宋体"/>
              </w:rPr>
            </w:pPr>
            <w:r>
              <w:rPr>
                <w:rFonts w:hint="eastAsia" w:ascii="宋体" w:hAnsi="宋体" w:cs="宋体"/>
              </w:rPr>
              <w:t>投标内容</w:t>
            </w:r>
          </w:p>
        </w:tc>
        <w:tc>
          <w:tcPr>
            <w:tcW w:w="7073" w:type="dxa"/>
            <w:vAlign w:val="center"/>
          </w:tcPr>
          <w:p w14:paraId="033A0082">
            <w:pPr>
              <w:spacing w:line="360" w:lineRule="auto"/>
              <w:rPr>
                <w:rFonts w:ascii="宋体" w:hAnsi="宋体" w:cs="宋体"/>
              </w:rPr>
            </w:pPr>
            <w:r>
              <w:rPr>
                <w:rFonts w:hint="eastAsia" w:ascii="宋体" w:hAnsi="宋体" w:cs="宋体"/>
              </w:rPr>
              <w:t>符合第二章“投标人须知”第 1.3.1 项规定</w:t>
            </w:r>
          </w:p>
        </w:tc>
      </w:tr>
      <w:tr w14:paraId="2576E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vMerge w:val="continue"/>
            <w:vAlign w:val="center"/>
          </w:tcPr>
          <w:p w14:paraId="1980E6AF">
            <w:pPr>
              <w:spacing w:line="360" w:lineRule="auto"/>
              <w:jc w:val="center"/>
              <w:rPr>
                <w:rFonts w:ascii="宋体" w:hAnsi="宋体" w:cs="宋体"/>
              </w:rPr>
            </w:pPr>
          </w:p>
        </w:tc>
        <w:tc>
          <w:tcPr>
            <w:tcW w:w="1175" w:type="dxa"/>
            <w:vMerge w:val="continue"/>
            <w:vAlign w:val="center"/>
          </w:tcPr>
          <w:p w14:paraId="011E94E8">
            <w:pPr>
              <w:spacing w:line="360" w:lineRule="auto"/>
              <w:jc w:val="center"/>
              <w:rPr>
                <w:rFonts w:ascii="宋体" w:hAnsi="宋体" w:cs="宋体"/>
              </w:rPr>
            </w:pPr>
          </w:p>
        </w:tc>
        <w:tc>
          <w:tcPr>
            <w:tcW w:w="1723" w:type="dxa"/>
            <w:vAlign w:val="center"/>
          </w:tcPr>
          <w:p w14:paraId="0D4326C8">
            <w:pPr>
              <w:spacing w:line="360" w:lineRule="auto"/>
              <w:jc w:val="center"/>
              <w:rPr>
                <w:rFonts w:ascii="宋体" w:hAnsi="宋体" w:cs="宋体"/>
              </w:rPr>
            </w:pPr>
            <w:r>
              <w:rPr>
                <w:rFonts w:hint="eastAsia" w:ascii="宋体" w:hAnsi="宋体" w:cs="宋体"/>
              </w:rPr>
              <w:t>服务期限</w:t>
            </w:r>
          </w:p>
        </w:tc>
        <w:tc>
          <w:tcPr>
            <w:tcW w:w="7073" w:type="dxa"/>
            <w:vAlign w:val="center"/>
          </w:tcPr>
          <w:p w14:paraId="6433775C">
            <w:pPr>
              <w:spacing w:line="360" w:lineRule="auto"/>
              <w:rPr>
                <w:rFonts w:ascii="宋体" w:hAnsi="宋体" w:cs="宋体"/>
              </w:rPr>
            </w:pPr>
            <w:r>
              <w:rPr>
                <w:rFonts w:hint="eastAsia" w:ascii="宋体" w:hAnsi="宋体" w:cs="宋体"/>
              </w:rPr>
              <w:t>符合第二章“投标人须知”第 1.3.2 项规定</w:t>
            </w:r>
          </w:p>
        </w:tc>
      </w:tr>
      <w:tr w14:paraId="76615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vMerge w:val="continue"/>
            <w:vAlign w:val="center"/>
          </w:tcPr>
          <w:p w14:paraId="5E5479CD">
            <w:pPr>
              <w:spacing w:line="360" w:lineRule="auto"/>
              <w:jc w:val="center"/>
              <w:rPr>
                <w:rFonts w:ascii="宋体" w:hAnsi="宋体" w:cs="宋体"/>
              </w:rPr>
            </w:pPr>
          </w:p>
        </w:tc>
        <w:tc>
          <w:tcPr>
            <w:tcW w:w="1175" w:type="dxa"/>
            <w:vMerge w:val="continue"/>
            <w:vAlign w:val="center"/>
          </w:tcPr>
          <w:p w14:paraId="69D184E9">
            <w:pPr>
              <w:spacing w:line="360" w:lineRule="auto"/>
              <w:jc w:val="center"/>
              <w:rPr>
                <w:rFonts w:ascii="宋体" w:hAnsi="宋体" w:cs="宋体"/>
              </w:rPr>
            </w:pPr>
          </w:p>
        </w:tc>
        <w:tc>
          <w:tcPr>
            <w:tcW w:w="1723" w:type="dxa"/>
            <w:vAlign w:val="center"/>
          </w:tcPr>
          <w:p w14:paraId="25E4DDE0">
            <w:pPr>
              <w:spacing w:line="360" w:lineRule="auto"/>
              <w:jc w:val="center"/>
              <w:rPr>
                <w:rFonts w:ascii="宋体" w:hAnsi="宋体" w:cs="宋体"/>
              </w:rPr>
            </w:pPr>
            <w:r>
              <w:rPr>
                <w:rFonts w:hint="eastAsia" w:ascii="宋体" w:hAnsi="宋体" w:cs="宋体"/>
              </w:rPr>
              <w:t>质量标准</w:t>
            </w:r>
          </w:p>
        </w:tc>
        <w:tc>
          <w:tcPr>
            <w:tcW w:w="7073" w:type="dxa"/>
            <w:vAlign w:val="center"/>
          </w:tcPr>
          <w:p w14:paraId="58209E2F">
            <w:pPr>
              <w:spacing w:line="360" w:lineRule="auto"/>
              <w:rPr>
                <w:rFonts w:ascii="宋体" w:hAnsi="宋体" w:cs="宋体"/>
              </w:rPr>
            </w:pPr>
            <w:r>
              <w:rPr>
                <w:rFonts w:hint="eastAsia" w:ascii="宋体" w:hAnsi="宋体" w:cs="宋体"/>
              </w:rPr>
              <w:t>符合第二章“投标人须知”第 1.3.3 项规定</w:t>
            </w:r>
          </w:p>
        </w:tc>
      </w:tr>
      <w:tr w14:paraId="7781B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vMerge w:val="continue"/>
            <w:vAlign w:val="center"/>
          </w:tcPr>
          <w:p w14:paraId="0FBA0B35">
            <w:pPr>
              <w:spacing w:line="360" w:lineRule="auto"/>
              <w:jc w:val="center"/>
              <w:rPr>
                <w:rFonts w:ascii="宋体" w:hAnsi="宋体" w:cs="宋体"/>
              </w:rPr>
            </w:pPr>
          </w:p>
        </w:tc>
        <w:tc>
          <w:tcPr>
            <w:tcW w:w="1175" w:type="dxa"/>
            <w:vMerge w:val="continue"/>
            <w:vAlign w:val="center"/>
          </w:tcPr>
          <w:p w14:paraId="6F4C9D22">
            <w:pPr>
              <w:spacing w:line="360" w:lineRule="auto"/>
              <w:jc w:val="center"/>
              <w:rPr>
                <w:rFonts w:ascii="宋体" w:hAnsi="宋体" w:cs="宋体"/>
              </w:rPr>
            </w:pPr>
          </w:p>
        </w:tc>
        <w:tc>
          <w:tcPr>
            <w:tcW w:w="1723" w:type="dxa"/>
            <w:vAlign w:val="center"/>
          </w:tcPr>
          <w:p w14:paraId="693519FC">
            <w:pPr>
              <w:spacing w:line="360" w:lineRule="auto"/>
              <w:jc w:val="center"/>
              <w:rPr>
                <w:rFonts w:ascii="宋体" w:hAnsi="宋体" w:cs="宋体"/>
              </w:rPr>
            </w:pPr>
            <w:r>
              <w:rPr>
                <w:rFonts w:hint="eastAsia" w:ascii="宋体" w:hAnsi="宋体" w:cs="宋体"/>
              </w:rPr>
              <w:t>投标有效期</w:t>
            </w:r>
          </w:p>
        </w:tc>
        <w:tc>
          <w:tcPr>
            <w:tcW w:w="7073" w:type="dxa"/>
            <w:vAlign w:val="center"/>
          </w:tcPr>
          <w:p w14:paraId="3532C378">
            <w:pPr>
              <w:spacing w:line="360" w:lineRule="auto"/>
              <w:rPr>
                <w:rFonts w:ascii="宋体" w:hAnsi="宋体" w:cs="宋体"/>
              </w:rPr>
            </w:pPr>
            <w:r>
              <w:rPr>
                <w:rFonts w:hint="eastAsia" w:ascii="宋体" w:hAnsi="宋体" w:cs="宋体"/>
              </w:rPr>
              <w:t>符合第二章“投标人须知”第 3.3.1 项规定</w:t>
            </w:r>
          </w:p>
        </w:tc>
      </w:tr>
      <w:tr w14:paraId="41ED5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vMerge w:val="continue"/>
            <w:vAlign w:val="center"/>
          </w:tcPr>
          <w:p w14:paraId="45E902AD">
            <w:pPr>
              <w:spacing w:line="360" w:lineRule="auto"/>
              <w:jc w:val="center"/>
              <w:rPr>
                <w:rFonts w:ascii="宋体" w:hAnsi="宋体" w:cs="宋体"/>
              </w:rPr>
            </w:pPr>
          </w:p>
        </w:tc>
        <w:tc>
          <w:tcPr>
            <w:tcW w:w="1175" w:type="dxa"/>
            <w:vMerge w:val="continue"/>
            <w:vAlign w:val="center"/>
          </w:tcPr>
          <w:p w14:paraId="17187DD8">
            <w:pPr>
              <w:spacing w:line="360" w:lineRule="auto"/>
              <w:jc w:val="center"/>
              <w:rPr>
                <w:rFonts w:ascii="宋体" w:hAnsi="宋体" w:cs="宋体"/>
              </w:rPr>
            </w:pPr>
          </w:p>
        </w:tc>
        <w:tc>
          <w:tcPr>
            <w:tcW w:w="1723" w:type="dxa"/>
            <w:vAlign w:val="center"/>
          </w:tcPr>
          <w:p w14:paraId="21A07687">
            <w:pPr>
              <w:spacing w:line="360" w:lineRule="auto"/>
              <w:jc w:val="center"/>
              <w:rPr>
                <w:rFonts w:ascii="宋体" w:hAnsi="宋体" w:cs="宋体"/>
                <w:strike/>
              </w:rPr>
            </w:pPr>
            <w:r>
              <w:rPr>
                <w:rFonts w:hint="eastAsia" w:ascii="宋体" w:hAnsi="宋体" w:cs="宋体"/>
                <w:strike w:val="0"/>
              </w:rPr>
              <w:t>投标保证金</w:t>
            </w:r>
          </w:p>
        </w:tc>
        <w:tc>
          <w:tcPr>
            <w:tcW w:w="7073" w:type="dxa"/>
            <w:vAlign w:val="center"/>
          </w:tcPr>
          <w:p w14:paraId="23EFCF38">
            <w:pPr>
              <w:spacing w:line="360" w:lineRule="auto"/>
              <w:rPr>
                <w:rFonts w:ascii="宋体" w:hAnsi="宋体" w:cs="宋体"/>
                <w:strike/>
              </w:rPr>
            </w:pPr>
            <w:r>
              <w:rPr>
                <w:rFonts w:hint="eastAsia" w:ascii="宋体" w:hAnsi="宋体"/>
                <w:color w:val="auto"/>
                <w:highlight w:val="none"/>
                <w:u w:val="single"/>
              </w:rPr>
              <w:t>有提供《关于投标保证金的承诺》，并按规定的格式及内容要求签署。</w:t>
            </w:r>
          </w:p>
        </w:tc>
      </w:tr>
      <w:tr w14:paraId="106E1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vMerge w:val="continue"/>
            <w:vAlign w:val="center"/>
          </w:tcPr>
          <w:p w14:paraId="493C365D">
            <w:pPr>
              <w:spacing w:line="360" w:lineRule="auto"/>
              <w:jc w:val="center"/>
              <w:rPr>
                <w:rFonts w:ascii="宋体" w:hAnsi="宋体" w:cs="宋体"/>
              </w:rPr>
            </w:pPr>
          </w:p>
        </w:tc>
        <w:tc>
          <w:tcPr>
            <w:tcW w:w="1175" w:type="dxa"/>
            <w:vMerge w:val="continue"/>
            <w:vAlign w:val="center"/>
          </w:tcPr>
          <w:p w14:paraId="25FE6980">
            <w:pPr>
              <w:spacing w:line="360" w:lineRule="auto"/>
              <w:jc w:val="center"/>
              <w:rPr>
                <w:rFonts w:ascii="宋体" w:hAnsi="宋体" w:cs="宋体"/>
              </w:rPr>
            </w:pPr>
          </w:p>
        </w:tc>
        <w:tc>
          <w:tcPr>
            <w:tcW w:w="1723" w:type="dxa"/>
            <w:vAlign w:val="center"/>
          </w:tcPr>
          <w:p w14:paraId="2C221391">
            <w:pPr>
              <w:spacing w:line="360" w:lineRule="auto"/>
              <w:jc w:val="center"/>
              <w:rPr>
                <w:rFonts w:ascii="宋体" w:hAnsi="宋体" w:cs="宋体"/>
                <w:u w:val="single"/>
              </w:rPr>
            </w:pPr>
            <w:r>
              <w:rPr>
                <w:rFonts w:hint="eastAsia" w:ascii="宋体" w:hAnsi="宋体" w:cs="宋体"/>
                <w:u w:val="single"/>
              </w:rPr>
              <w:t>串通投标情形</w:t>
            </w:r>
          </w:p>
        </w:tc>
        <w:tc>
          <w:tcPr>
            <w:tcW w:w="7073" w:type="dxa"/>
            <w:vAlign w:val="center"/>
          </w:tcPr>
          <w:p w14:paraId="325560C4">
            <w:pPr>
              <w:spacing w:line="360" w:lineRule="auto"/>
              <w:rPr>
                <w:rFonts w:ascii="宋体" w:hAnsi="宋体" w:cs="宋体"/>
                <w:u w:val="single"/>
              </w:rPr>
            </w:pPr>
            <w:r>
              <w:rPr>
                <w:rFonts w:hint="eastAsia" w:ascii="宋体" w:hAnsi="宋体" w:cs="宋体"/>
                <w:u w:val="single"/>
              </w:rPr>
              <w:t>投标人之间不存在《广东省实施〈中华人民共和国招标投标法〉》第十六条所禁止的情形的；</w:t>
            </w:r>
          </w:p>
        </w:tc>
      </w:tr>
      <w:tr w14:paraId="3E50F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951" w:type="dxa"/>
            <w:gridSpan w:val="2"/>
            <w:vAlign w:val="center"/>
          </w:tcPr>
          <w:p w14:paraId="6A6D508C">
            <w:pPr>
              <w:spacing w:line="360" w:lineRule="auto"/>
              <w:jc w:val="center"/>
              <w:rPr>
                <w:rFonts w:ascii="宋体" w:hAnsi="宋体" w:cs="宋体"/>
                <w:b/>
              </w:rPr>
            </w:pPr>
            <w:r>
              <w:rPr>
                <w:rFonts w:hint="eastAsia" w:ascii="宋体" w:hAnsi="宋体" w:cs="宋体"/>
                <w:b/>
              </w:rPr>
              <w:t>条款号</w:t>
            </w:r>
          </w:p>
        </w:tc>
        <w:tc>
          <w:tcPr>
            <w:tcW w:w="1723" w:type="dxa"/>
            <w:vAlign w:val="center"/>
          </w:tcPr>
          <w:p w14:paraId="7EB7ECCA">
            <w:pPr>
              <w:spacing w:line="360" w:lineRule="auto"/>
              <w:jc w:val="center"/>
              <w:rPr>
                <w:rFonts w:ascii="宋体" w:hAnsi="宋体" w:cs="宋体"/>
                <w:b/>
              </w:rPr>
            </w:pPr>
            <w:r>
              <w:rPr>
                <w:rFonts w:hint="eastAsia" w:ascii="宋体" w:hAnsi="宋体" w:cs="宋体"/>
                <w:b/>
              </w:rPr>
              <w:t>条款内容</w:t>
            </w:r>
          </w:p>
        </w:tc>
        <w:tc>
          <w:tcPr>
            <w:tcW w:w="7073" w:type="dxa"/>
            <w:vAlign w:val="center"/>
          </w:tcPr>
          <w:p w14:paraId="7103EABB">
            <w:pPr>
              <w:spacing w:line="360" w:lineRule="auto"/>
              <w:jc w:val="center"/>
              <w:rPr>
                <w:rFonts w:ascii="宋体" w:hAnsi="宋体" w:cs="宋体"/>
                <w:b/>
              </w:rPr>
            </w:pPr>
            <w:r>
              <w:rPr>
                <w:rFonts w:hint="eastAsia" w:ascii="宋体" w:hAnsi="宋体" w:cs="宋体"/>
                <w:b/>
              </w:rPr>
              <w:t>编列内容</w:t>
            </w:r>
          </w:p>
        </w:tc>
      </w:tr>
      <w:tr w14:paraId="27DEF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1951" w:type="dxa"/>
            <w:gridSpan w:val="2"/>
            <w:vAlign w:val="center"/>
          </w:tcPr>
          <w:p w14:paraId="423120D0">
            <w:pPr>
              <w:spacing w:line="360" w:lineRule="auto"/>
              <w:jc w:val="center"/>
              <w:rPr>
                <w:rFonts w:ascii="宋体" w:hAnsi="宋体" w:cs="宋体"/>
              </w:rPr>
            </w:pPr>
            <w:r>
              <w:rPr>
                <w:rFonts w:hint="eastAsia" w:ascii="宋体" w:hAnsi="宋体" w:cs="宋体"/>
              </w:rPr>
              <w:t>2.2.1</w:t>
            </w:r>
          </w:p>
        </w:tc>
        <w:tc>
          <w:tcPr>
            <w:tcW w:w="1723" w:type="dxa"/>
            <w:vAlign w:val="center"/>
          </w:tcPr>
          <w:p w14:paraId="71C49956">
            <w:pPr>
              <w:spacing w:line="360" w:lineRule="auto"/>
              <w:jc w:val="center"/>
              <w:rPr>
                <w:rFonts w:ascii="宋体" w:hAnsi="宋体" w:cs="宋体"/>
              </w:rPr>
            </w:pPr>
            <w:r>
              <w:rPr>
                <w:rFonts w:hint="eastAsia" w:ascii="宋体" w:hAnsi="宋体" w:cs="宋体"/>
              </w:rPr>
              <w:t>分值构成</w:t>
            </w:r>
          </w:p>
          <w:p w14:paraId="1E3B66EA">
            <w:pPr>
              <w:spacing w:line="360" w:lineRule="auto"/>
              <w:jc w:val="center"/>
              <w:rPr>
                <w:rFonts w:ascii="宋体" w:hAnsi="宋体" w:cs="宋体"/>
              </w:rPr>
            </w:pPr>
            <w:r>
              <w:rPr>
                <w:rFonts w:hint="eastAsia" w:ascii="宋体" w:hAnsi="宋体" w:cs="宋体"/>
              </w:rPr>
              <w:t>（总分 100 分）</w:t>
            </w:r>
          </w:p>
        </w:tc>
        <w:tc>
          <w:tcPr>
            <w:tcW w:w="7073" w:type="dxa"/>
            <w:vAlign w:val="center"/>
          </w:tcPr>
          <w:p w14:paraId="67E7DD6C">
            <w:pPr>
              <w:spacing w:line="360" w:lineRule="auto"/>
              <w:rPr>
                <w:rFonts w:ascii="宋体" w:hAnsi="宋体"/>
                <w:u w:val="single"/>
              </w:rPr>
            </w:pPr>
            <w:r>
              <w:rPr>
                <w:rFonts w:hint="eastAsia" w:ascii="宋体" w:hAnsi="宋体"/>
              </w:rPr>
              <w:t>1、企业资信业绩：</w:t>
            </w:r>
            <w:r>
              <w:rPr>
                <w:rFonts w:hint="eastAsia" w:ascii="宋体" w:hAnsi="宋体"/>
                <w:u w:val="single"/>
                <w:lang w:val="en-US" w:eastAsia="zh-CN"/>
              </w:rPr>
              <w:t>40</w:t>
            </w:r>
            <w:r>
              <w:rPr>
                <w:rFonts w:hint="eastAsia" w:ascii="宋体" w:hAnsi="宋体"/>
                <w:u w:val="single"/>
              </w:rPr>
              <w:t>分</w:t>
            </w:r>
          </w:p>
          <w:p w14:paraId="45265DD6">
            <w:pPr>
              <w:spacing w:line="360" w:lineRule="auto"/>
              <w:rPr>
                <w:rFonts w:ascii="宋体" w:hAnsi="宋体"/>
                <w:u w:val="single"/>
              </w:rPr>
            </w:pPr>
            <w:r>
              <w:rPr>
                <w:rFonts w:hint="eastAsia" w:ascii="宋体" w:hAnsi="宋体"/>
              </w:rPr>
              <w:t>2、</w:t>
            </w:r>
            <w:r>
              <w:rPr>
                <w:rFonts w:hint="eastAsia" w:ascii="宋体" w:hAnsi="宋体" w:eastAsia="宋体" w:cs="Times New Roman"/>
                <w:color w:val="auto"/>
                <w:szCs w:val="21"/>
                <w:highlight w:val="none"/>
              </w:rPr>
              <w:t>施工图审查方案</w:t>
            </w:r>
            <w:r>
              <w:rPr>
                <w:rFonts w:hint="eastAsia" w:ascii="宋体" w:hAnsi="宋体"/>
              </w:rPr>
              <w:t>：</w:t>
            </w:r>
            <w:r>
              <w:rPr>
                <w:rFonts w:hint="eastAsia" w:ascii="宋体" w:hAnsi="宋体"/>
                <w:u w:val="single"/>
                <w:lang w:val="en-US" w:eastAsia="zh-CN"/>
              </w:rPr>
              <w:t>40</w:t>
            </w:r>
            <w:r>
              <w:rPr>
                <w:rFonts w:hint="eastAsia" w:ascii="宋体" w:hAnsi="宋体"/>
                <w:u w:val="single"/>
              </w:rPr>
              <w:t>分</w:t>
            </w:r>
          </w:p>
          <w:p w14:paraId="6BEAC045">
            <w:pPr>
              <w:spacing w:line="360" w:lineRule="auto"/>
              <w:rPr>
                <w:rFonts w:hint="eastAsia" w:ascii="宋体" w:hAnsi="宋体"/>
                <w:u w:val="single"/>
              </w:rPr>
            </w:pPr>
            <w:r>
              <w:rPr>
                <w:rFonts w:ascii="宋体" w:hAnsi="宋体"/>
              </w:rPr>
              <w:t>3</w:t>
            </w:r>
            <w:r>
              <w:rPr>
                <w:rFonts w:hint="eastAsia" w:ascii="宋体" w:hAnsi="宋体"/>
              </w:rPr>
              <w:t>、投标报价：</w:t>
            </w:r>
            <w:r>
              <w:rPr>
                <w:rFonts w:hint="eastAsia" w:ascii="宋体" w:hAnsi="宋体"/>
                <w:u w:val="single"/>
                <w:lang w:val="en-US" w:eastAsia="zh-CN"/>
              </w:rPr>
              <w:t>10</w:t>
            </w:r>
            <w:r>
              <w:rPr>
                <w:rFonts w:hint="eastAsia" w:ascii="宋体" w:hAnsi="宋体"/>
                <w:u w:val="single"/>
              </w:rPr>
              <w:t>分</w:t>
            </w:r>
          </w:p>
          <w:p w14:paraId="30A7994C">
            <w:pPr>
              <w:spacing w:line="360" w:lineRule="auto"/>
              <w:rPr>
                <w:rFonts w:hint="default" w:ascii="宋体" w:hAnsi="宋体" w:eastAsia="宋体"/>
                <w:u w:val="single"/>
                <w:lang w:val="en-US" w:eastAsia="zh-CN"/>
              </w:rPr>
            </w:pPr>
            <w:r>
              <w:rPr>
                <w:rFonts w:hint="eastAsia" w:ascii="宋体" w:hAnsi="宋体"/>
                <w:u w:val="single"/>
                <w:lang w:val="en-US" w:eastAsia="zh-CN"/>
              </w:rPr>
              <w:t>4、信用评分：10分</w:t>
            </w:r>
          </w:p>
        </w:tc>
      </w:tr>
      <w:tr w14:paraId="5971F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1" w:type="dxa"/>
            <w:gridSpan w:val="2"/>
            <w:vAlign w:val="center"/>
          </w:tcPr>
          <w:p w14:paraId="2F81DDF5">
            <w:pPr>
              <w:spacing w:line="360" w:lineRule="auto"/>
              <w:jc w:val="center"/>
              <w:rPr>
                <w:rFonts w:ascii="宋体" w:hAnsi="宋体" w:cs="宋体"/>
              </w:rPr>
            </w:pPr>
            <w:r>
              <w:rPr>
                <w:rFonts w:hint="eastAsia" w:ascii="宋体" w:hAnsi="宋体" w:cs="宋体"/>
              </w:rPr>
              <w:t>2.2.2</w:t>
            </w:r>
          </w:p>
        </w:tc>
        <w:tc>
          <w:tcPr>
            <w:tcW w:w="1723" w:type="dxa"/>
            <w:vAlign w:val="center"/>
          </w:tcPr>
          <w:p w14:paraId="242CC9E3">
            <w:pPr>
              <w:spacing w:line="360" w:lineRule="auto"/>
              <w:jc w:val="center"/>
              <w:rPr>
                <w:rFonts w:ascii="宋体" w:hAnsi="宋体" w:cs="宋体"/>
                <w:strike/>
                <w:highlight w:val="none"/>
              </w:rPr>
            </w:pPr>
            <w:r>
              <w:rPr>
                <w:rFonts w:hint="eastAsia" w:ascii="宋体" w:hAnsi="宋体" w:cs="宋体"/>
                <w:strike w:val="0"/>
                <w:highlight w:val="none"/>
              </w:rPr>
              <w:t>评标基准价计算方法</w:t>
            </w:r>
          </w:p>
        </w:tc>
        <w:tc>
          <w:tcPr>
            <w:tcW w:w="7073" w:type="dxa"/>
            <w:vAlign w:val="center"/>
          </w:tcPr>
          <w:p w14:paraId="6549C0AF">
            <w:pPr>
              <w:spacing w:line="360" w:lineRule="auto"/>
              <w:jc w:val="left"/>
              <w:rPr>
                <w:rFonts w:ascii="宋体" w:hAnsi="宋体" w:cs="宋体"/>
                <w:strike/>
                <w:highlight w:val="none"/>
                <w:u w:val="single"/>
              </w:rPr>
            </w:pPr>
            <w:r>
              <w:rPr>
                <w:rFonts w:hint="eastAsia" w:ascii="宋体" w:hAnsi="宋体"/>
                <w:color w:val="auto"/>
                <w:szCs w:val="21"/>
                <w:highlight w:val="none"/>
              </w:rPr>
              <w:t>当通过初步评审的投标人有效投标人的投标报价（投标报价是指算术复核后的投标报价）的算术平均值作为评标基准价（PC）。（评标基准价保留小数点后2位，第三位小数四舍五入, 若角分均为零，则按阿拉伯数字0填写）</w:t>
            </w:r>
          </w:p>
        </w:tc>
      </w:tr>
      <w:tr w14:paraId="0A27E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951" w:type="dxa"/>
            <w:gridSpan w:val="2"/>
            <w:vAlign w:val="center"/>
          </w:tcPr>
          <w:p w14:paraId="03C781A2">
            <w:pPr>
              <w:jc w:val="center"/>
              <w:rPr>
                <w:rFonts w:ascii="宋体" w:hAnsi="宋体" w:cs="宋体"/>
              </w:rPr>
            </w:pPr>
            <w:r>
              <w:rPr>
                <w:rFonts w:hint="eastAsia" w:ascii="宋体" w:hAnsi="宋体" w:cs="宋体"/>
                <w:color w:val="auto"/>
                <w:szCs w:val="21"/>
                <w:highlight w:val="none"/>
              </w:rPr>
              <w:t>2.2.3</w:t>
            </w:r>
          </w:p>
        </w:tc>
        <w:tc>
          <w:tcPr>
            <w:tcW w:w="1723" w:type="dxa"/>
            <w:vAlign w:val="center"/>
          </w:tcPr>
          <w:p w14:paraId="4483029E">
            <w:pPr>
              <w:jc w:val="center"/>
              <w:rPr>
                <w:rFonts w:hint="eastAsia" w:ascii="宋体" w:hAnsi="宋体" w:cs="宋体"/>
                <w:color w:val="auto"/>
                <w:szCs w:val="21"/>
                <w:highlight w:val="none"/>
              </w:rPr>
            </w:pPr>
            <w:r>
              <w:rPr>
                <w:rFonts w:hint="eastAsia" w:ascii="宋体" w:hAnsi="宋体" w:cs="宋体"/>
                <w:color w:val="auto"/>
                <w:szCs w:val="21"/>
                <w:highlight w:val="none"/>
              </w:rPr>
              <w:t>投标报价得分</w:t>
            </w:r>
          </w:p>
          <w:p w14:paraId="349B8075">
            <w:pPr>
              <w:jc w:val="center"/>
              <w:rPr>
                <w:rFonts w:ascii="宋体" w:hAnsi="宋体" w:cs="宋体"/>
                <w:strike/>
              </w:rPr>
            </w:pPr>
            <w:r>
              <w:rPr>
                <w:rFonts w:hint="eastAsia" w:ascii="宋体" w:hAnsi="宋体" w:cs="宋体"/>
                <w:color w:val="auto"/>
                <w:szCs w:val="21"/>
                <w:highlight w:val="none"/>
              </w:rPr>
              <w:t>计算公式</w:t>
            </w:r>
          </w:p>
        </w:tc>
        <w:tc>
          <w:tcPr>
            <w:tcW w:w="7073" w:type="dxa"/>
            <w:vAlign w:val="center"/>
          </w:tcPr>
          <w:p w14:paraId="7889BD18">
            <w:pPr>
              <w:spacing w:line="360" w:lineRule="auto"/>
              <w:jc w:val="left"/>
              <w:rPr>
                <w:rFonts w:ascii="宋体" w:hAnsi="宋体"/>
                <w:color w:val="auto"/>
                <w:szCs w:val="21"/>
                <w:highlight w:val="none"/>
              </w:rPr>
            </w:pPr>
            <w:r>
              <w:rPr>
                <w:rFonts w:hint="eastAsia" w:ascii="宋体" w:hAnsi="宋体"/>
                <w:color w:val="auto"/>
                <w:szCs w:val="21"/>
                <w:highlight w:val="none"/>
              </w:rPr>
              <w:t>以评标基准价作为计算各有效投标人的投标报价得分的基础。当有效投标人的投标报价（PT）等于评标基准价（PC）时，有效投标人的投标报价得分I=10分；有效投标人的投标报价（PT）比评标基准价（PC）每上偏1%扣</w:t>
            </w:r>
            <w:r>
              <w:rPr>
                <w:rFonts w:hint="eastAsia" w:ascii="宋体" w:hAnsi="宋体"/>
                <w:color w:val="auto"/>
                <w:szCs w:val="21"/>
                <w:highlight w:val="none"/>
                <w:lang w:val="en-US" w:eastAsia="zh-CN"/>
              </w:rPr>
              <w:t>0.4</w:t>
            </w:r>
            <w:r>
              <w:rPr>
                <w:rFonts w:hint="eastAsia" w:ascii="宋体" w:hAnsi="宋体"/>
                <w:color w:val="auto"/>
                <w:szCs w:val="21"/>
                <w:highlight w:val="none"/>
              </w:rPr>
              <w:t>分，每下偏1%扣</w:t>
            </w:r>
            <w:r>
              <w:rPr>
                <w:rFonts w:hint="eastAsia" w:ascii="宋体" w:hAnsi="宋体"/>
                <w:color w:val="auto"/>
                <w:szCs w:val="21"/>
                <w:highlight w:val="none"/>
                <w:lang w:val="en-US" w:eastAsia="zh-CN"/>
              </w:rPr>
              <w:t>0.1</w:t>
            </w:r>
            <w:r>
              <w:rPr>
                <w:rFonts w:hint="eastAsia" w:ascii="宋体" w:hAnsi="宋体"/>
                <w:color w:val="auto"/>
                <w:szCs w:val="21"/>
                <w:highlight w:val="none"/>
              </w:rPr>
              <w:t>分，最多扣至0分止。</w:t>
            </w:r>
          </w:p>
          <w:p w14:paraId="52263ABD">
            <w:pPr>
              <w:spacing w:line="360" w:lineRule="auto"/>
              <w:jc w:val="left"/>
              <w:rPr>
                <w:rFonts w:ascii="宋体" w:hAnsi="宋体"/>
                <w:color w:val="auto"/>
                <w:szCs w:val="21"/>
                <w:highlight w:val="none"/>
              </w:rPr>
            </w:pPr>
            <w:r>
              <w:rPr>
                <w:rFonts w:hint="eastAsia" w:ascii="宋体" w:hAnsi="宋体"/>
                <w:color w:val="auto"/>
                <w:szCs w:val="21"/>
                <w:highlight w:val="none"/>
              </w:rPr>
              <w:t>计算公式为：</w:t>
            </w:r>
          </w:p>
          <w:p w14:paraId="51F87C17">
            <w:pPr>
              <w:spacing w:line="360" w:lineRule="auto"/>
              <w:jc w:val="left"/>
              <w:rPr>
                <w:rFonts w:ascii="宋体" w:hAnsi="宋体" w:cs="宋体"/>
                <w:strike/>
                <w:u w:val="single"/>
              </w:rPr>
            </w:pPr>
            <w:r>
              <w:rPr>
                <w:rFonts w:hint="eastAsia" w:ascii="宋体" w:hAnsi="宋体" w:cs="宋体"/>
                <w:color w:val="auto"/>
                <w:szCs w:val="21"/>
                <w:highlight w:val="none"/>
              </w:rPr>
              <w:t>投标报价得分=10-n*100*|PT-PC|/PC，当PT≥PC时，n=</w:t>
            </w:r>
            <w:r>
              <w:rPr>
                <w:rFonts w:hint="eastAsia" w:ascii="宋体" w:hAnsi="宋体" w:cs="宋体"/>
                <w:color w:val="auto"/>
                <w:szCs w:val="21"/>
                <w:highlight w:val="none"/>
                <w:lang w:val="en-US" w:eastAsia="zh-CN"/>
              </w:rPr>
              <w:t>0.4</w:t>
            </w:r>
            <w:r>
              <w:rPr>
                <w:rFonts w:hint="eastAsia" w:ascii="宋体" w:hAnsi="宋体" w:cs="宋体"/>
                <w:color w:val="auto"/>
                <w:szCs w:val="21"/>
                <w:highlight w:val="none"/>
              </w:rPr>
              <w:t>；当PT ＜PC时，n=0.</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w:t>
            </w:r>
            <w:r>
              <w:rPr>
                <w:rFonts w:hint="eastAsia" w:ascii="宋体"/>
                <w:color w:val="auto"/>
                <w:szCs w:val="21"/>
                <w:highlight w:val="none"/>
              </w:rPr>
              <w:t>（出现小数点时，保留小数点后二位，第三位小数四舍五入。）</w:t>
            </w:r>
          </w:p>
        </w:tc>
      </w:tr>
      <w:tr w14:paraId="68579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951" w:type="dxa"/>
            <w:gridSpan w:val="2"/>
            <w:vAlign w:val="center"/>
          </w:tcPr>
          <w:p w14:paraId="38CCD381">
            <w:pPr>
              <w:spacing w:line="360" w:lineRule="auto"/>
              <w:jc w:val="center"/>
              <w:rPr>
                <w:rFonts w:ascii="宋体" w:hAnsi="宋体" w:cs="宋体"/>
                <w:b/>
              </w:rPr>
            </w:pPr>
            <w:r>
              <w:rPr>
                <w:rFonts w:hint="eastAsia" w:ascii="宋体" w:hAnsi="宋体" w:cs="宋体"/>
                <w:b/>
              </w:rPr>
              <w:t>条款号</w:t>
            </w:r>
          </w:p>
        </w:tc>
        <w:tc>
          <w:tcPr>
            <w:tcW w:w="1723" w:type="dxa"/>
            <w:vAlign w:val="center"/>
          </w:tcPr>
          <w:p w14:paraId="24DAD255">
            <w:pPr>
              <w:spacing w:line="360" w:lineRule="auto"/>
              <w:jc w:val="center"/>
              <w:rPr>
                <w:rFonts w:ascii="宋体" w:hAnsi="宋体" w:cs="宋体"/>
                <w:b/>
              </w:rPr>
            </w:pPr>
            <w:r>
              <w:rPr>
                <w:rFonts w:hint="eastAsia" w:ascii="宋体" w:hAnsi="宋体" w:cs="宋体"/>
                <w:b/>
              </w:rPr>
              <w:t>评分因素</w:t>
            </w:r>
          </w:p>
        </w:tc>
        <w:tc>
          <w:tcPr>
            <w:tcW w:w="7073" w:type="dxa"/>
            <w:vAlign w:val="center"/>
          </w:tcPr>
          <w:p w14:paraId="79C3D1E1">
            <w:pPr>
              <w:spacing w:line="360" w:lineRule="auto"/>
              <w:jc w:val="center"/>
              <w:rPr>
                <w:rFonts w:ascii="宋体" w:hAnsi="宋体" w:cs="宋体"/>
                <w:b/>
              </w:rPr>
            </w:pPr>
            <w:r>
              <w:rPr>
                <w:rFonts w:hint="eastAsia" w:ascii="宋体" w:hAnsi="宋体" w:cs="宋体"/>
                <w:b/>
              </w:rPr>
              <w:t>评分标准</w:t>
            </w:r>
          </w:p>
        </w:tc>
      </w:tr>
      <w:tr w14:paraId="5FD24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776" w:type="dxa"/>
            <w:vMerge w:val="restart"/>
            <w:vAlign w:val="center"/>
          </w:tcPr>
          <w:p w14:paraId="0459EEFF">
            <w:pPr>
              <w:spacing w:after="180" w:line="360" w:lineRule="auto"/>
              <w:rPr>
                <w:rFonts w:ascii="宋体" w:hAnsi="宋体" w:cs="宋体"/>
                <w:szCs w:val="21"/>
                <w:highlight w:val="none"/>
              </w:rPr>
            </w:pPr>
            <w:r>
              <w:rPr>
                <w:rFonts w:hint="eastAsia" w:ascii="宋体" w:hAnsi="宋体" w:cs="宋体"/>
                <w:szCs w:val="21"/>
                <w:highlight w:val="none"/>
              </w:rPr>
              <w:t>2.2.4</w:t>
            </w:r>
          </w:p>
          <w:p w14:paraId="0932570D">
            <w:pPr>
              <w:spacing w:line="360" w:lineRule="auto"/>
              <w:ind w:left="106"/>
              <w:rPr>
                <w:rFonts w:ascii="宋体" w:hAnsi="宋体" w:cs="宋体"/>
                <w:b/>
                <w:highlight w:val="none"/>
              </w:rPr>
            </w:pPr>
            <w:r>
              <w:rPr>
                <w:rFonts w:hint="eastAsia" w:ascii="宋体" w:hAnsi="宋体" w:cs="宋体"/>
                <w:szCs w:val="21"/>
                <w:highlight w:val="none"/>
              </w:rPr>
              <w:t xml:space="preserve">（1） </w:t>
            </w:r>
          </w:p>
        </w:tc>
        <w:tc>
          <w:tcPr>
            <w:tcW w:w="1175" w:type="dxa"/>
            <w:vMerge w:val="restart"/>
            <w:vAlign w:val="center"/>
          </w:tcPr>
          <w:p w14:paraId="6B4239DA">
            <w:pPr>
              <w:spacing w:line="360" w:lineRule="auto"/>
              <w:jc w:val="center"/>
              <w:rPr>
                <w:rFonts w:ascii="宋体" w:hAnsi="宋体" w:cs="宋体"/>
                <w:szCs w:val="21"/>
                <w:highlight w:val="none"/>
              </w:rPr>
            </w:pPr>
            <w:r>
              <w:rPr>
                <w:rFonts w:hint="eastAsia" w:ascii="宋体" w:hAnsi="宋体" w:cs="宋体"/>
                <w:szCs w:val="21"/>
                <w:highlight w:val="none"/>
              </w:rPr>
              <w:t xml:space="preserve">企业资信业绩评分标准 </w:t>
            </w:r>
          </w:p>
          <w:p w14:paraId="66B25FDF">
            <w:pPr>
              <w:spacing w:line="360" w:lineRule="auto"/>
              <w:jc w:val="center"/>
              <w:rPr>
                <w:rFonts w:ascii="宋体" w:hAnsi="宋体" w:cs="宋体"/>
                <w:b/>
                <w:highlight w:val="none"/>
              </w:rPr>
            </w:pPr>
            <w:r>
              <w:rPr>
                <w:rFonts w:hint="eastAsia" w:ascii="宋体" w:hAnsi="宋体" w:cs="宋体"/>
                <w:szCs w:val="21"/>
                <w:highlight w:val="none"/>
              </w:rPr>
              <w:t>（</w:t>
            </w:r>
            <w:r>
              <w:rPr>
                <w:rFonts w:hint="eastAsia" w:ascii="宋体" w:hAnsi="宋体" w:cs="宋体"/>
                <w:szCs w:val="21"/>
                <w:highlight w:val="none"/>
                <w:lang w:val="en-US" w:eastAsia="zh-CN"/>
              </w:rPr>
              <w:t>40</w:t>
            </w:r>
            <w:r>
              <w:rPr>
                <w:rFonts w:hint="eastAsia" w:ascii="宋体" w:hAnsi="宋体" w:cs="宋体"/>
                <w:szCs w:val="21"/>
                <w:highlight w:val="none"/>
              </w:rPr>
              <w:t>分）</w:t>
            </w:r>
          </w:p>
        </w:tc>
        <w:tc>
          <w:tcPr>
            <w:tcW w:w="1723" w:type="dxa"/>
            <w:vAlign w:val="center"/>
          </w:tcPr>
          <w:p w14:paraId="2608759F">
            <w:pPr>
              <w:spacing w:line="360"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企业业绩</w:t>
            </w:r>
          </w:p>
          <w:p w14:paraId="0F3AA5BA">
            <w:pPr>
              <w:spacing w:line="360" w:lineRule="auto"/>
              <w:jc w:val="center"/>
              <w:rPr>
                <w:rFonts w:ascii="宋体" w:hAnsi="宋体" w:cs="宋体"/>
                <w:szCs w:val="21"/>
                <w:highlight w:val="none"/>
              </w:rPr>
            </w:pP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10</w:t>
            </w:r>
            <w:r>
              <w:rPr>
                <w:rFonts w:hint="eastAsia" w:ascii="宋体" w:hAnsi="宋体" w:eastAsia="宋体" w:cs="Times New Roman"/>
                <w:color w:val="auto"/>
                <w:szCs w:val="21"/>
                <w:highlight w:val="none"/>
              </w:rPr>
              <w:t>分）</w:t>
            </w:r>
          </w:p>
        </w:tc>
        <w:tc>
          <w:tcPr>
            <w:tcW w:w="7073" w:type="dxa"/>
          </w:tcPr>
          <w:p w14:paraId="3204DBF0">
            <w:pPr>
              <w:pStyle w:val="12"/>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宋体" w:hAnsi="宋体" w:eastAsia="宋体" w:cs="宋体"/>
                <w:bCs/>
                <w:color w:val="auto"/>
                <w:szCs w:val="21"/>
                <w:highlight w:val="none"/>
              </w:rPr>
            </w:pPr>
            <w:r>
              <w:rPr>
                <w:rFonts w:hint="eastAsia" w:ascii="宋体" w:hAnsi="宋体" w:eastAsia="宋体" w:cs="宋体"/>
                <w:bCs/>
                <w:color w:val="auto"/>
                <w:szCs w:val="21"/>
                <w:highlight w:val="none"/>
              </w:rPr>
              <w:t>投标人</w:t>
            </w:r>
            <w:r>
              <w:rPr>
                <w:rFonts w:hint="eastAsia" w:ascii="宋体" w:hAnsi="宋体" w:eastAsia="宋体" w:cs="宋体"/>
                <w:bCs/>
                <w:color w:val="auto"/>
                <w:szCs w:val="21"/>
                <w:highlight w:val="none"/>
                <w:lang w:val="en-US" w:eastAsia="zh-CN"/>
              </w:rPr>
              <w:t>自</w:t>
            </w:r>
            <w:r>
              <w:rPr>
                <w:rFonts w:hint="eastAsia" w:ascii="宋体" w:hAnsi="宋体" w:eastAsia="宋体" w:cs="宋体"/>
                <w:bCs/>
                <w:color w:val="auto"/>
                <w:szCs w:val="21"/>
                <w:highlight w:val="none"/>
              </w:rPr>
              <w:t>20</w:t>
            </w:r>
            <w:r>
              <w:rPr>
                <w:rFonts w:hint="eastAsia" w:ascii="宋体" w:hAnsi="宋体" w:cs="宋体"/>
                <w:bCs/>
                <w:color w:val="auto"/>
                <w:szCs w:val="21"/>
                <w:highlight w:val="none"/>
                <w:lang w:val="en-US" w:eastAsia="zh-CN"/>
              </w:rPr>
              <w:t>20</w:t>
            </w:r>
            <w:r>
              <w:rPr>
                <w:rFonts w:hint="eastAsia" w:ascii="宋体" w:hAnsi="宋体" w:eastAsia="宋体" w:cs="宋体"/>
                <w:bCs/>
                <w:color w:val="auto"/>
                <w:szCs w:val="21"/>
                <w:highlight w:val="none"/>
              </w:rPr>
              <w:t>年1月1日至投标截止之日，承接过水利工程设计技术审查或施工图审查服务项目：</w:t>
            </w:r>
          </w:p>
          <w:p w14:paraId="3D74E886">
            <w:pPr>
              <w:pStyle w:val="12"/>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宋体" w:hAnsi="宋体" w:eastAsia="宋体" w:cs="Times New Roman"/>
                <w:color w:val="auto"/>
                <w:szCs w:val="21"/>
                <w:highlight w:val="none"/>
              </w:rPr>
            </w:pPr>
            <w:r>
              <w:rPr>
                <w:rFonts w:hint="eastAsia" w:ascii="宋体" w:hAnsi="宋体" w:eastAsia="宋体" w:cs="宋体"/>
                <w:bCs/>
                <w:color w:val="auto"/>
                <w:szCs w:val="21"/>
                <w:highlight w:val="none"/>
              </w:rPr>
              <w:t>承接过</w:t>
            </w:r>
            <w:r>
              <w:rPr>
                <w:rFonts w:hint="eastAsia" w:ascii="宋体" w:hAnsi="宋体" w:cs="宋体"/>
                <w:bCs/>
                <w:color w:val="auto"/>
                <w:szCs w:val="21"/>
                <w:highlight w:val="none"/>
                <w:lang w:val="en-US" w:eastAsia="zh-CN"/>
              </w:rPr>
              <w:t>大型</w:t>
            </w:r>
            <w:r>
              <w:rPr>
                <w:rFonts w:hint="eastAsia" w:ascii="宋体" w:hAnsi="宋体" w:eastAsia="宋体" w:cs="宋体"/>
                <w:bCs/>
                <w:color w:val="auto"/>
                <w:szCs w:val="21"/>
                <w:highlight w:val="none"/>
              </w:rPr>
              <w:t>水利工程设计技术审查或施工图审查服务项目</w:t>
            </w:r>
            <w:r>
              <w:rPr>
                <w:rFonts w:hint="eastAsia" w:ascii="宋体" w:hAnsi="宋体" w:cs="宋体"/>
                <w:bCs/>
                <w:color w:val="auto"/>
                <w:szCs w:val="21"/>
                <w:highlight w:val="none"/>
                <w:lang w:val="en-US" w:eastAsia="zh-CN"/>
              </w:rPr>
              <w:t>的</w:t>
            </w:r>
            <w:r>
              <w:rPr>
                <w:rFonts w:hint="eastAsia" w:ascii="宋体" w:hAnsi="宋体" w:eastAsia="宋体" w:cs="宋体"/>
                <w:bCs/>
                <w:color w:val="auto"/>
                <w:szCs w:val="21"/>
                <w:highlight w:val="none"/>
              </w:rPr>
              <w:t>，</w:t>
            </w:r>
            <w:r>
              <w:rPr>
                <w:rFonts w:ascii="宋体" w:hAnsi="宋体" w:eastAsia="宋体" w:cs="Times New Roman"/>
                <w:color w:val="auto"/>
                <w:szCs w:val="21"/>
                <w:highlight w:val="none"/>
              </w:rPr>
              <w:t>每提供一项得</w:t>
            </w:r>
            <w:r>
              <w:rPr>
                <w:rFonts w:hint="eastAsia" w:ascii="宋体" w:hAnsi="宋体" w:cs="Times New Roman"/>
                <w:color w:val="auto"/>
                <w:szCs w:val="21"/>
                <w:highlight w:val="none"/>
                <w:lang w:val="en-US" w:eastAsia="zh-CN"/>
              </w:rPr>
              <w:t>3</w:t>
            </w:r>
            <w:r>
              <w:rPr>
                <w:rFonts w:ascii="宋体" w:hAnsi="宋体" w:eastAsia="宋体" w:cs="Times New Roman"/>
                <w:color w:val="auto"/>
                <w:szCs w:val="21"/>
                <w:highlight w:val="none"/>
              </w:rPr>
              <w:t>分；</w:t>
            </w:r>
          </w:p>
          <w:p w14:paraId="63527A3F">
            <w:pPr>
              <w:pStyle w:val="12"/>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宋体" w:hAnsi="宋体" w:eastAsia="宋体" w:cs="宋体"/>
                <w:bCs/>
                <w:color w:val="auto"/>
                <w:szCs w:val="21"/>
                <w:highlight w:val="none"/>
                <w:lang w:val="zh-CN"/>
              </w:rPr>
            </w:pPr>
            <w:r>
              <w:rPr>
                <w:rFonts w:hint="eastAsia" w:ascii="宋体" w:hAnsi="宋体" w:eastAsia="宋体" w:cs="宋体"/>
                <w:bCs/>
                <w:color w:val="auto"/>
                <w:szCs w:val="21"/>
                <w:highlight w:val="none"/>
              </w:rPr>
              <w:t>承接过</w:t>
            </w:r>
            <w:r>
              <w:rPr>
                <w:rFonts w:hint="eastAsia" w:ascii="宋体" w:hAnsi="宋体" w:cs="宋体"/>
                <w:bCs/>
                <w:color w:val="auto"/>
                <w:szCs w:val="21"/>
                <w:highlight w:val="none"/>
                <w:lang w:val="en-US" w:eastAsia="zh-CN"/>
              </w:rPr>
              <w:t>中型</w:t>
            </w:r>
            <w:r>
              <w:rPr>
                <w:rFonts w:hint="eastAsia" w:ascii="宋体" w:hAnsi="宋体" w:eastAsia="宋体" w:cs="宋体"/>
                <w:bCs/>
                <w:color w:val="auto"/>
                <w:szCs w:val="21"/>
                <w:highlight w:val="none"/>
              </w:rPr>
              <w:t>水利工程设计技术审查或施工图审查服务项目</w:t>
            </w:r>
            <w:r>
              <w:rPr>
                <w:rFonts w:hint="eastAsia" w:ascii="宋体" w:hAnsi="宋体" w:cs="宋体"/>
                <w:bCs/>
                <w:color w:val="auto"/>
                <w:szCs w:val="21"/>
                <w:highlight w:val="none"/>
                <w:lang w:val="en-US" w:eastAsia="zh-CN"/>
              </w:rPr>
              <w:t>的</w:t>
            </w:r>
            <w:r>
              <w:rPr>
                <w:rFonts w:hint="eastAsia" w:ascii="宋体" w:hAnsi="宋体" w:eastAsia="宋体" w:cs="宋体"/>
                <w:bCs/>
                <w:color w:val="auto"/>
                <w:szCs w:val="21"/>
                <w:highlight w:val="none"/>
              </w:rPr>
              <w:t>，</w:t>
            </w:r>
            <w:r>
              <w:rPr>
                <w:rFonts w:ascii="宋体" w:hAnsi="宋体" w:eastAsia="宋体" w:cs="Times New Roman"/>
                <w:color w:val="auto"/>
                <w:szCs w:val="21"/>
                <w:highlight w:val="none"/>
              </w:rPr>
              <w:t>每提供一项得</w:t>
            </w:r>
            <w:r>
              <w:rPr>
                <w:rFonts w:hint="eastAsia" w:ascii="宋体" w:hAnsi="宋体" w:cs="Times New Roman"/>
                <w:color w:val="auto"/>
                <w:szCs w:val="21"/>
                <w:highlight w:val="none"/>
                <w:lang w:val="en-US" w:eastAsia="zh-CN"/>
              </w:rPr>
              <w:t>2</w:t>
            </w:r>
            <w:r>
              <w:rPr>
                <w:rFonts w:ascii="宋体" w:hAnsi="宋体" w:eastAsia="宋体" w:cs="Times New Roman"/>
                <w:color w:val="auto"/>
                <w:szCs w:val="21"/>
                <w:highlight w:val="none"/>
              </w:rPr>
              <w:t>分；</w:t>
            </w:r>
          </w:p>
          <w:p w14:paraId="3060ED15">
            <w:pPr>
              <w:pStyle w:val="12"/>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宋体" w:hAnsi="宋体" w:eastAsia="宋体" w:cs="宋体"/>
                <w:bCs/>
                <w:color w:val="auto"/>
                <w:szCs w:val="21"/>
                <w:highlight w:val="none"/>
                <w:lang w:val="zh-CN"/>
              </w:rPr>
            </w:pPr>
            <w:r>
              <w:rPr>
                <w:rFonts w:hint="eastAsia" w:ascii="宋体" w:hAnsi="宋体" w:eastAsia="宋体" w:cs="宋体"/>
                <w:bCs/>
                <w:color w:val="auto"/>
                <w:szCs w:val="21"/>
                <w:highlight w:val="none"/>
              </w:rPr>
              <w:t>承接过</w:t>
            </w:r>
            <w:r>
              <w:rPr>
                <w:rFonts w:hint="eastAsia" w:ascii="宋体" w:hAnsi="宋体" w:cs="宋体"/>
                <w:bCs/>
                <w:color w:val="auto"/>
                <w:szCs w:val="21"/>
                <w:highlight w:val="none"/>
                <w:lang w:val="en-US" w:eastAsia="zh-CN"/>
              </w:rPr>
              <w:t>小型</w:t>
            </w:r>
            <w:r>
              <w:rPr>
                <w:rFonts w:hint="eastAsia" w:ascii="宋体" w:hAnsi="宋体" w:eastAsia="宋体" w:cs="宋体"/>
                <w:bCs/>
                <w:color w:val="auto"/>
                <w:szCs w:val="21"/>
                <w:highlight w:val="none"/>
              </w:rPr>
              <w:t>水利工程设计技术审查或施工图审查服务项目</w:t>
            </w:r>
            <w:r>
              <w:rPr>
                <w:rFonts w:hint="eastAsia" w:ascii="宋体" w:hAnsi="宋体" w:cs="宋体"/>
                <w:bCs/>
                <w:color w:val="auto"/>
                <w:szCs w:val="21"/>
                <w:highlight w:val="none"/>
                <w:lang w:val="en-US" w:eastAsia="zh-CN"/>
              </w:rPr>
              <w:t>的</w:t>
            </w:r>
            <w:r>
              <w:rPr>
                <w:rFonts w:hint="eastAsia" w:ascii="宋体" w:hAnsi="宋体" w:eastAsia="宋体" w:cs="宋体"/>
                <w:bCs/>
                <w:color w:val="auto"/>
                <w:szCs w:val="21"/>
                <w:highlight w:val="none"/>
              </w:rPr>
              <w:t>，</w:t>
            </w:r>
            <w:r>
              <w:rPr>
                <w:rFonts w:ascii="宋体" w:hAnsi="宋体" w:eastAsia="宋体" w:cs="Times New Roman"/>
                <w:color w:val="auto"/>
                <w:szCs w:val="21"/>
                <w:highlight w:val="none"/>
              </w:rPr>
              <w:t>每提供一项得</w:t>
            </w:r>
            <w:r>
              <w:rPr>
                <w:rFonts w:hint="eastAsia" w:ascii="宋体" w:hAnsi="宋体" w:cs="Times New Roman"/>
                <w:color w:val="auto"/>
                <w:szCs w:val="21"/>
                <w:highlight w:val="none"/>
                <w:lang w:val="en-US" w:eastAsia="zh-CN"/>
              </w:rPr>
              <w:t>1</w:t>
            </w:r>
            <w:r>
              <w:rPr>
                <w:rFonts w:ascii="宋体" w:hAnsi="宋体" w:eastAsia="宋体" w:cs="Times New Roman"/>
                <w:color w:val="auto"/>
                <w:szCs w:val="21"/>
                <w:highlight w:val="none"/>
              </w:rPr>
              <w:t>分；</w:t>
            </w:r>
          </w:p>
          <w:p w14:paraId="48214FC4">
            <w:pPr>
              <w:pStyle w:val="30"/>
              <w:spacing w:line="360" w:lineRule="auto"/>
              <w:ind w:firstLine="0"/>
              <w:jc w:val="left"/>
              <w:rPr>
                <w:rFonts w:ascii="宋体" w:hAnsi="宋体" w:cs="宋体"/>
                <w:szCs w:val="21"/>
                <w:highlight w:val="none"/>
              </w:rPr>
            </w:pPr>
            <w:r>
              <w:rPr>
                <w:rFonts w:hint="eastAsia" w:ascii="宋体" w:hAnsi="宋体" w:eastAsia="宋体" w:cs="Times New Roman"/>
                <w:b/>
                <w:bCs w:val="0"/>
                <w:color w:val="auto"/>
                <w:szCs w:val="21"/>
                <w:highlight w:val="none"/>
                <w:lang w:val="en-US" w:eastAsia="zh-CN"/>
              </w:rPr>
              <w:t>注：</w:t>
            </w:r>
            <w:r>
              <w:rPr>
                <w:rFonts w:hint="eastAsia" w:ascii="宋体" w:hAnsi="宋体" w:eastAsia="宋体" w:cs="Times New Roman"/>
                <w:b/>
                <w:bCs w:val="0"/>
                <w:color w:val="auto"/>
                <w:szCs w:val="21"/>
                <w:highlight w:val="none"/>
              </w:rPr>
              <w:t>本项最高得</w:t>
            </w:r>
            <w:r>
              <w:rPr>
                <w:rFonts w:hint="eastAsia" w:ascii="宋体" w:hAnsi="宋体" w:cs="Times New Roman"/>
                <w:b/>
                <w:bCs w:val="0"/>
                <w:color w:val="auto"/>
                <w:szCs w:val="21"/>
                <w:highlight w:val="none"/>
                <w:lang w:val="en-US" w:eastAsia="zh-CN"/>
              </w:rPr>
              <w:t>10</w:t>
            </w:r>
            <w:r>
              <w:rPr>
                <w:rFonts w:hint="eastAsia" w:ascii="宋体" w:hAnsi="宋体" w:eastAsia="宋体" w:cs="Times New Roman"/>
                <w:b/>
                <w:bCs w:val="0"/>
                <w:color w:val="auto"/>
                <w:szCs w:val="21"/>
                <w:highlight w:val="none"/>
              </w:rPr>
              <w:t>分。时间以合同</w:t>
            </w:r>
            <w:r>
              <w:rPr>
                <w:rFonts w:hint="eastAsia" w:ascii="宋体" w:hAnsi="宋体" w:eastAsia="宋体" w:cs="Times New Roman"/>
                <w:b/>
                <w:bCs w:val="0"/>
                <w:color w:val="auto"/>
                <w:szCs w:val="21"/>
                <w:highlight w:val="none"/>
                <w:lang w:val="en-US" w:eastAsia="zh-CN"/>
              </w:rPr>
              <w:t>签订时间</w:t>
            </w:r>
            <w:r>
              <w:rPr>
                <w:rFonts w:hint="eastAsia" w:ascii="宋体" w:hAnsi="宋体" w:eastAsia="宋体" w:cs="Times New Roman"/>
                <w:b/>
                <w:bCs w:val="0"/>
                <w:color w:val="auto"/>
                <w:szCs w:val="21"/>
                <w:highlight w:val="none"/>
              </w:rPr>
              <w:t>为准，</w:t>
            </w:r>
            <w:r>
              <w:rPr>
                <w:rFonts w:hint="eastAsia" w:ascii="宋体" w:hAnsi="宋体" w:eastAsia="宋体" w:cs="Times New Roman"/>
                <w:b/>
                <w:bCs w:val="0"/>
                <w:color w:val="auto"/>
                <w:szCs w:val="21"/>
                <w:highlight w:val="none"/>
                <w:lang w:val="en-US" w:eastAsia="zh-CN"/>
              </w:rPr>
              <w:t>工程规模等级</w:t>
            </w:r>
            <w:r>
              <w:rPr>
                <w:rFonts w:hint="eastAsia" w:ascii="宋体" w:hAnsi="宋体" w:eastAsia="宋体" w:cs="Times New Roman"/>
                <w:b/>
                <w:bCs w:val="0"/>
                <w:color w:val="auto"/>
                <w:szCs w:val="21"/>
                <w:highlight w:val="none"/>
              </w:rPr>
              <w:t>以合同或批复</w:t>
            </w:r>
            <w:r>
              <w:rPr>
                <w:rFonts w:hint="eastAsia" w:ascii="宋体" w:hAnsi="宋体" w:eastAsia="宋体" w:cs="Times New Roman"/>
                <w:b/>
                <w:bCs w:val="0"/>
                <w:color w:val="auto"/>
                <w:szCs w:val="21"/>
                <w:highlight w:val="none"/>
                <w:lang w:val="en-US" w:eastAsia="zh-CN"/>
              </w:rPr>
              <w:t>文件</w:t>
            </w:r>
            <w:r>
              <w:rPr>
                <w:rFonts w:hint="eastAsia" w:ascii="宋体" w:hAnsi="宋体" w:eastAsia="宋体" w:cs="Times New Roman"/>
                <w:b/>
                <w:bCs w:val="0"/>
                <w:color w:val="auto"/>
                <w:szCs w:val="21"/>
                <w:highlight w:val="none"/>
              </w:rPr>
              <w:t>为准。业绩证明材料：需提供</w:t>
            </w:r>
            <w:r>
              <w:rPr>
                <w:rFonts w:hint="eastAsia" w:ascii="宋体" w:hAnsi="宋体" w:eastAsia="宋体" w:cs="Times New Roman"/>
                <w:b/>
                <w:bCs w:val="0"/>
                <w:color w:val="auto"/>
                <w:szCs w:val="21"/>
                <w:highlight w:val="none"/>
                <w:lang w:val="zh-CN"/>
              </w:rPr>
              <w:t>中标通知书（</w:t>
            </w:r>
            <w:r>
              <w:rPr>
                <w:rFonts w:hint="eastAsia" w:ascii="宋体" w:hAnsi="宋体" w:eastAsia="宋体" w:cs="Times New Roman"/>
                <w:b/>
                <w:bCs w:val="0"/>
                <w:color w:val="auto"/>
                <w:szCs w:val="21"/>
                <w:highlight w:val="none"/>
              </w:rPr>
              <w:t>或</w:t>
            </w:r>
            <w:r>
              <w:rPr>
                <w:rFonts w:hint="eastAsia" w:ascii="宋体" w:hAnsi="宋体" w:eastAsia="宋体" w:cs="Times New Roman"/>
                <w:b/>
                <w:bCs w:val="0"/>
                <w:color w:val="auto"/>
                <w:szCs w:val="21"/>
                <w:highlight w:val="none"/>
                <w:lang w:val="zh-CN"/>
              </w:rPr>
              <w:t>中</w:t>
            </w:r>
            <w:r>
              <w:rPr>
                <w:rFonts w:hint="eastAsia" w:ascii="宋体" w:hAnsi="宋体" w:eastAsia="宋体" w:cs="Times New Roman"/>
                <w:b/>
                <w:bCs w:val="0"/>
                <w:color w:val="auto"/>
                <w:szCs w:val="21"/>
                <w:highlight w:val="none"/>
                <w:lang w:val="en-US" w:eastAsia="zh-CN"/>
              </w:rPr>
              <w:t>选</w:t>
            </w:r>
            <w:r>
              <w:rPr>
                <w:rFonts w:hint="eastAsia" w:ascii="宋体" w:hAnsi="宋体" w:eastAsia="宋体" w:cs="Times New Roman"/>
                <w:b/>
                <w:bCs w:val="0"/>
                <w:color w:val="auto"/>
                <w:szCs w:val="21"/>
                <w:highlight w:val="none"/>
                <w:lang w:val="zh-CN"/>
              </w:rPr>
              <w:t>通知书）</w:t>
            </w:r>
            <w:r>
              <w:rPr>
                <w:rFonts w:hint="eastAsia" w:ascii="宋体" w:hAnsi="宋体" w:eastAsia="宋体" w:cs="Times New Roman"/>
                <w:b/>
                <w:bCs w:val="0"/>
                <w:color w:val="auto"/>
                <w:szCs w:val="21"/>
                <w:highlight w:val="none"/>
              </w:rPr>
              <w:t>和</w:t>
            </w:r>
            <w:r>
              <w:rPr>
                <w:rFonts w:hint="eastAsia" w:ascii="宋体" w:hAnsi="宋体" w:eastAsia="宋体" w:cs="Times New Roman"/>
                <w:b/>
                <w:bCs w:val="0"/>
                <w:color w:val="auto"/>
                <w:szCs w:val="21"/>
                <w:highlight w:val="none"/>
                <w:lang w:val="zh-CN"/>
              </w:rPr>
              <w:t>合同关键页</w:t>
            </w:r>
            <w:r>
              <w:rPr>
                <w:rFonts w:hint="eastAsia" w:ascii="宋体" w:hAnsi="宋体" w:eastAsia="宋体" w:cs="Times New Roman"/>
                <w:b/>
                <w:bCs w:val="0"/>
                <w:color w:val="auto"/>
                <w:szCs w:val="21"/>
                <w:highlight w:val="none"/>
              </w:rPr>
              <w:t>等证明材料扫描件并加盖投标人公章，若上述材料均没有反映评审指标的，须提供业主盖章的业绩证明或批复</w:t>
            </w:r>
            <w:r>
              <w:rPr>
                <w:rFonts w:hint="eastAsia" w:ascii="宋体" w:hAnsi="宋体" w:eastAsia="宋体" w:cs="Times New Roman"/>
                <w:b/>
                <w:bCs w:val="0"/>
                <w:color w:val="auto"/>
                <w:szCs w:val="21"/>
                <w:highlight w:val="none"/>
                <w:lang w:val="en-US" w:eastAsia="zh-CN"/>
              </w:rPr>
              <w:t>文件</w:t>
            </w:r>
            <w:r>
              <w:rPr>
                <w:rFonts w:hint="eastAsia" w:ascii="宋体" w:hAnsi="宋体" w:eastAsia="宋体" w:cs="Times New Roman"/>
                <w:b/>
                <w:bCs w:val="0"/>
                <w:color w:val="auto"/>
                <w:szCs w:val="21"/>
                <w:highlight w:val="none"/>
              </w:rPr>
              <w:t>扫描件并加盖投标人公章</w:t>
            </w:r>
            <w:r>
              <w:rPr>
                <w:rFonts w:hint="eastAsia" w:ascii="宋体" w:hAnsi="宋体" w:eastAsia="宋体" w:cs="Times New Roman"/>
                <w:b/>
                <w:bCs w:val="0"/>
                <w:color w:val="auto"/>
                <w:szCs w:val="21"/>
                <w:highlight w:val="none"/>
                <w:lang w:eastAsia="zh-CN"/>
              </w:rPr>
              <w:t>。</w:t>
            </w:r>
          </w:p>
        </w:tc>
      </w:tr>
      <w:tr w14:paraId="0AEB9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776" w:type="dxa"/>
            <w:vMerge w:val="continue"/>
            <w:tcBorders>
              <w:bottom w:val="single" w:color="auto" w:sz="4" w:space="0"/>
            </w:tcBorders>
            <w:vAlign w:val="center"/>
          </w:tcPr>
          <w:p w14:paraId="593EAB7E">
            <w:pPr>
              <w:spacing w:line="360" w:lineRule="auto"/>
              <w:ind w:left="106"/>
              <w:rPr>
                <w:rFonts w:ascii="宋体" w:hAnsi="宋体" w:cs="宋体"/>
                <w:b/>
                <w:highlight w:val="none"/>
              </w:rPr>
            </w:pPr>
          </w:p>
        </w:tc>
        <w:tc>
          <w:tcPr>
            <w:tcW w:w="1175" w:type="dxa"/>
            <w:vMerge w:val="continue"/>
            <w:tcBorders>
              <w:bottom w:val="single" w:color="auto" w:sz="4" w:space="0"/>
            </w:tcBorders>
            <w:vAlign w:val="center"/>
          </w:tcPr>
          <w:p w14:paraId="5445F13D">
            <w:pPr>
              <w:spacing w:line="360" w:lineRule="auto"/>
              <w:jc w:val="center"/>
              <w:rPr>
                <w:rFonts w:ascii="宋体" w:hAnsi="宋体" w:cs="宋体"/>
                <w:b/>
                <w:highlight w:val="none"/>
              </w:rPr>
            </w:pPr>
          </w:p>
        </w:tc>
        <w:tc>
          <w:tcPr>
            <w:tcW w:w="1723" w:type="dxa"/>
            <w:tcBorders>
              <w:bottom w:val="single" w:color="auto" w:sz="4" w:space="0"/>
            </w:tcBorders>
            <w:vAlign w:val="center"/>
          </w:tcPr>
          <w:p w14:paraId="5647061F">
            <w:pPr>
              <w:spacing w:line="360" w:lineRule="auto"/>
              <w:jc w:val="center"/>
              <w:rPr>
                <w:rFonts w:ascii="宋体" w:hAnsi="宋体" w:cs="宋体"/>
                <w:szCs w:val="21"/>
                <w:highlight w:val="none"/>
              </w:rPr>
            </w:pPr>
            <w:r>
              <w:rPr>
                <w:rFonts w:hint="eastAsia" w:ascii="宋体" w:hAnsi="宋体" w:cs="Times New Roman"/>
                <w:color w:val="auto"/>
                <w:szCs w:val="21"/>
                <w:highlight w:val="none"/>
                <w:lang w:val="en-US" w:eastAsia="zh-CN"/>
              </w:rPr>
              <w:t xml:space="preserve">主要人员情况 </w:t>
            </w: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16</w:t>
            </w:r>
            <w:r>
              <w:rPr>
                <w:rFonts w:hint="eastAsia" w:ascii="宋体" w:hAnsi="宋体" w:eastAsia="宋体" w:cs="Times New Roman"/>
                <w:color w:val="auto"/>
                <w:szCs w:val="21"/>
                <w:highlight w:val="none"/>
              </w:rPr>
              <w:t>分）</w:t>
            </w:r>
          </w:p>
        </w:tc>
        <w:tc>
          <w:tcPr>
            <w:tcW w:w="7073" w:type="dxa"/>
            <w:tcBorders>
              <w:bottom w:val="single" w:color="auto" w:sz="4" w:space="0"/>
            </w:tcBorders>
          </w:tcPr>
          <w:p w14:paraId="015A21C2">
            <w:pPr>
              <w:pStyle w:val="12"/>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eastAsia="宋体" w:cs="Times New Roman"/>
                <w:b/>
                <w:bCs w:val="0"/>
                <w:color w:val="auto"/>
                <w:highlight w:val="none"/>
              </w:rPr>
            </w:pPr>
            <w:r>
              <w:rPr>
                <w:rFonts w:hint="eastAsia" w:cs="Times New Roman"/>
                <w:b/>
                <w:bCs w:val="0"/>
                <w:color w:val="auto"/>
                <w:highlight w:val="none"/>
                <w:lang w:val="en-US" w:eastAsia="zh-CN"/>
              </w:rPr>
              <w:t>一</w:t>
            </w:r>
            <w:r>
              <w:rPr>
                <w:rFonts w:hint="eastAsia" w:ascii="Times New Roman" w:hAnsi="Times New Roman" w:eastAsia="宋体" w:cs="Times New Roman"/>
                <w:b/>
                <w:bCs w:val="0"/>
                <w:color w:val="auto"/>
                <w:highlight w:val="none"/>
              </w:rPr>
              <w:t>、</w:t>
            </w:r>
            <w:r>
              <w:rPr>
                <w:rFonts w:hint="eastAsia" w:ascii="宋体" w:hAnsi="宋体" w:cs="宋体"/>
                <w:b/>
                <w:bCs w:val="0"/>
                <w:color w:val="auto"/>
                <w:szCs w:val="21"/>
                <w:highlight w:val="none"/>
                <w:lang w:val="zh-CN"/>
              </w:rPr>
              <w:t>拟派的</w:t>
            </w:r>
            <w:r>
              <w:rPr>
                <w:rFonts w:hint="eastAsia" w:ascii="Times New Roman" w:hAnsi="Times New Roman" w:eastAsia="宋体" w:cs="Times New Roman"/>
                <w:b/>
                <w:bCs w:val="0"/>
                <w:color w:val="auto"/>
                <w:highlight w:val="none"/>
              </w:rPr>
              <w:t>项目负责人</w:t>
            </w:r>
            <w:r>
              <w:rPr>
                <w:rFonts w:hint="eastAsia" w:cs="Times New Roman"/>
                <w:b/>
                <w:bCs w:val="0"/>
                <w:color w:val="auto"/>
                <w:highlight w:val="none"/>
                <w:lang w:val="en-US" w:eastAsia="zh-CN"/>
              </w:rPr>
              <w:t>要求：</w:t>
            </w:r>
          </w:p>
          <w:p w14:paraId="08478035">
            <w:pPr>
              <w:pStyle w:val="12"/>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eastAsia="宋体" w:cs="Times New Roman"/>
                <w:bCs/>
                <w:color w:val="auto"/>
                <w:highlight w:val="none"/>
              </w:rPr>
            </w:pPr>
            <w:r>
              <w:rPr>
                <w:rFonts w:hint="eastAsia" w:ascii="Times New Roman" w:hAnsi="Times New Roman" w:eastAsia="宋体" w:cs="Times New Roman"/>
                <w:bCs/>
                <w:color w:val="auto"/>
                <w:highlight w:val="none"/>
              </w:rPr>
              <w:t>（1）</w:t>
            </w:r>
            <w:r>
              <w:rPr>
                <w:rFonts w:hint="eastAsia" w:ascii="宋体" w:hAnsi="宋体"/>
                <w:bCs/>
                <w:color w:val="auto"/>
                <w:szCs w:val="21"/>
                <w:highlight w:val="none"/>
              </w:rPr>
              <w:t>具有</w:t>
            </w:r>
            <w:r>
              <w:rPr>
                <w:rFonts w:hint="eastAsia" w:ascii="宋体" w:hAnsi="宋体"/>
                <w:bCs/>
                <w:color w:val="auto"/>
                <w:szCs w:val="21"/>
                <w:highlight w:val="none"/>
                <w:lang w:val="en-US" w:eastAsia="zh-CN"/>
              </w:rPr>
              <w:t>水利工程相关专业类</w:t>
            </w:r>
            <w:r>
              <w:rPr>
                <w:rFonts w:hint="eastAsia" w:ascii="宋体" w:hAnsi="宋体"/>
                <w:bCs/>
                <w:color w:val="auto"/>
                <w:szCs w:val="21"/>
                <w:highlight w:val="none"/>
              </w:rPr>
              <w:t>正高级（或教授级）高级工程师得</w:t>
            </w:r>
            <w:r>
              <w:rPr>
                <w:rFonts w:hint="eastAsia" w:ascii="宋体" w:hAnsi="宋体"/>
                <w:bCs/>
                <w:color w:val="auto"/>
                <w:szCs w:val="21"/>
                <w:highlight w:val="none"/>
                <w:lang w:val="en-US" w:eastAsia="zh-CN"/>
              </w:rPr>
              <w:t>2</w:t>
            </w:r>
            <w:r>
              <w:rPr>
                <w:rFonts w:hint="eastAsia" w:ascii="宋体" w:hAnsi="宋体"/>
                <w:bCs/>
                <w:color w:val="auto"/>
                <w:szCs w:val="21"/>
                <w:highlight w:val="none"/>
              </w:rPr>
              <w:t>分</w:t>
            </w:r>
            <w:r>
              <w:rPr>
                <w:rFonts w:hint="eastAsia" w:ascii="宋体" w:hAnsi="宋体" w:cs="宋体"/>
                <w:bCs/>
                <w:color w:val="auto"/>
                <w:szCs w:val="21"/>
                <w:highlight w:val="none"/>
              </w:rPr>
              <w:t>；</w:t>
            </w:r>
          </w:p>
          <w:p w14:paraId="1FA8472E">
            <w:pPr>
              <w:pStyle w:val="12"/>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Times New Roman"/>
                <w:bCs/>
                <w:color w:val="auto"/>
                <w:szCs w:val="21"/>
                <w:highlight w:val="none"/>
              </w:rPr>
            </w:pPr>
            <w:r>
              <w:rPr>
                <w:rFonts w:hint="eastAsia" w:ascii="Times New Roman" w:hAnsi="Times New Roman" w:eastAsia="宋体" w:cs="Times New Roman"/>
                <w:bCs/>
                <w:color w:val="auto"/>
                <w:highlight w:val="none"/>
              </w:rPr>
              <w:t>（2）</w:t>
            </w:r>
            <w:r>
              <w:rPr>
                <w:rFonts w:hint="eastAsia" w:ascii="宋体" w:hAnsi="宋体" w:eastAsia="宋体" w:cs="Times New Roman"/>
                <w:bCs/>
                <w:color w:val="auto"/>
                <w:szCs w:val="21"/>
                <w:highlight w:val="none"/>
              </w:rPr>
              <w:t>具有咨询工程师(投资)登记证书</w:t>
            </w:r>
            <w:r>
              <w:rPr>
                <w:rFonts w:hint="eastAsia" w:ascii="宋体" w:hAnsi="宋体" w:cs="Times New Roman"/>
                <w:bCs/>
                <w:color w:val="auto"/>
                <w:szCs w:val="21"/>
                <w:highlight w:val="none"/>
                <w:lang w:eastAsia="zh-CN"/>
              </w:rPr>
              <w:t>（</w:t>
            </w:r>
            <w:r>
              <w:rPr>
                <w:rFonts w:hint="eastAsia" w:ascii="宋体" w:hAnsi="宋体" w:cs="Times New Roman"/>
                <w:bCs/>
                <w:color w:val="auto"/>
                <w:szCs w:val="21"/>
                <w:highlight w:val="none"/>
                <w:lang w:val="en-US" w:eastAsia="zh-CN"/>
              </w:rPr>
              <w:t>主专业为水利水电</w:t>
            </w:r>
            <w:r>
              <w:rPr>
                <w:rFonts w:hint="eastAsia" w:ascii="宋体" w:hAnsi="宋体" w:cs="Times New Roman"/>
                <w:bCs/>
                <w:color w:val="auto"/>
                <w:szCs w:val="21"/>
                <w:highlight w:val="none"/>
                <w:lang w:eastAsia="zh-CN"/>
              </w:rPr>
              <w:t>）</w:t>
            </w:r>
            <w:r>
              <w:rPr>
                <w:rFonts w:hint="eastAsia" w:ascii="宋体" w:hAnsi="宋体" w:eastAsia="宋体" w:cs="Times New Roman"/>
                <w:bCs/>
                <w:color w:val="auto"/>
                <w:szCs w:val="21"/>
                <w:highlight w:val="none"/>
              </w:rPr>
              <w:t>得</w:t>
            </w:r>
            <w:r>
              <w:rPr>
                <w:rFonts w:hint="eastAsia" w:ascii="宋体" w:hAnsi="宋体" w:cs="Times New Roman"/>
                <w:bCs/>
                <w:color w:val="auto"/>
                <w:szCs w:val="21"/>
                <w:highlight w:val="none"/>
                <w:lang w:val="en-US" w:eastAsia="zh-CN"/>
              </w:rPr>
              <w:t>1</w:t>
            </w:r>
            <w:r>
              <w:rPr>
                <w:rFonts w:hint="eastAsia" w:ascii="宋体" w:hAnsi="宋体" w:eastAsia="宋体" w:cs="Times New Roman"/>
                <w:bCs/>
                <w:color w:val="auto"/>
                <w:szCs w:val="21"/>
                <w:highlight w:val="none"/>
              </w:rPr>
              <w:t>分；</w:t>
            </w:r>
          </w:p>
          <w:p w14:paraId="1D62D96E">
            <w:pPr>
              <w:pStyle w:val="12"/>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eastAsia="宋体" w:cs="Times New Roman"/>
                <w:bCs/>
                <w:color w:val="auto"/>
                <w:highlight w:val="none"/>
              </w:rPr>
            </w:pPr>
            <w:r>
              <w:rPr>
                <w:rFonts w:hint="eastAsia" w:ascii="Times New Roman" w:hAnsi="Times New Roman" w:eastAsia="宋体" w:cs="Times New Roman"/>
                <w:bCs/>
                <w:color w:val="auto"/>
                <w:highlight w:val="none"/>
              </w:rPr>
              <w:t>（3）</w:t>
            </w:r>
            <w:r>
              <w:rPr>
                <w:rFonts w:hint="eastAsia" w:ascii="宋体" w:hAnsi="宋体"/>
                <w:bCs/>
                <w:color w:val="auto"/>
                <w:szCs w:val="21"/>
                <w:highlight w:val="none"/>
              </w:rPr>
              <w:t>具有注册土木工程师（水利水电工程）</w:t>
            </w:r>
            <w:r>
              <w:rPr>
                <w:highlight w:val="none"/>
              </w:rPr>
              <w:t>水工结构</w:t>
            </w:r>
            <w:r>
              <w:rPr>
                <w:rFonts w:hint="eastAsia"/>
                <w:highlight w:val="none"/>
                <w:lang w:val="en-US" w:eastAsia="zh-CN"/>
              </w:rPr>
              <w:t>专业注册执业</w:t>
            </w:r>
            <w:r>
              <w:rPr>
                <w:rFonts w:hint="eastAsia" w:ascii="宋体" w:hAnsi="宋体"/>
                <w:bCs/>
                <w:color w:val="auto"/>
                <w:szCs w:val="21"/>
                <w:highlight w:val="none"/>
              </w:rPr>
              <w:t>证书得</w:t>
            </w:r>
            <w:r>
              <w:rPr>
                <w:rFonts w:hint="eastAsia" w:ascii="宋体" w:hAnsi="宋体"/>
                <w:bCs/>
                <w:color w:val="auto"/>
                <w:szCs w:val="21"/>
                <w:highlight w:val="none"/>
                <w:lang w:val="en-US" w:eastAsia="zh-CN"/>
              </w:rPr>
              <w:t>1</w:t>
            </w:r>
            <w:r>
              <w:rPr>
                <w:rFonts w:hint="eastAsia" w:ascii="宋体" w:hAnsi="宋体"/>
                <w:bCs/>
                <w:color w:val="auto"/>
                <w:szCs w:val="21"/>
                <w:highlight w:val="none"/>
              </w:rPr>
              <w:t>分；</w:t>
            </w:r>
          </w:p>
          <w:p w14:paraId="1DEB1A73">
            <w:pPr>
              <w:pStyle w:val="12"/>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cs="Times New Roman"/>
                <w:bCs/>
                <w:color w:val="auto"/>
                <w:szCs w:val="21"/>
                <w:highlight w:val="none"/>
                <w:lang w:eastAsia="zh-CN"/>
              </w:rPr>
            </w:pPr>
            <w:r>
              <w:rPr>
                <w:rFonts w:hint="eastAsia" w:ascii="Times New Roman" w:hAnsi="Times New Roman" w:eastAsia="宋体" w:cs="Times New Roman"/>
                <w:bCs/>
                <w:color w:val="auto"/>
                <w:highlight w:val="none"/>
              </w:rPr>
              <w:t>（</w:t>
            </w:r>
            <w:r>
              <w:rPr>
                <w:rFonts w:hint="eastAsia" w:cs="Times New Roman"/>
                <w:bCs/>
                <w:color w:val="auto"/>
                <w:highlight w:val="none"/>
                <w:lang w:val="en-US" w:eastAsia="zh-CN"/>
              </w:rPr>
              <w:t>4</w:t>
            </w:r>
            <w:r>
              <w:rPr>
                <w:rFonts w:hint="eastAsia" w:ascii="Times New Roman" w:hAnsi="Times New Roman" w:eastAsia="宋体" w:cs="Times New Roman"/>
                <w:bCs/>
                <w:color w:val="auto"/>
                <w:highlight w:val="none"/>
              </w:rPr>
              <w:t>）</w:t>
            </w:r>
            <w:r>
              <w:rPr>
                <w:rFonts w:hint="eastAsia" w:ascii="宋体" w:hAnsi="宋体" w:eastAsia="宋体" w:cs="Times New Roman"/>
                <w:bCs/>
                <w:color w:val="auto"/>
                <w:szCs w:val="21"/>
                <w:highlight w:val="none"/>
              </w:rPr>
              <w:t>具有</w:t>
            </w:r>
            <w:r>
              <w:t>一级造价工程师（水利工程专业）注册证书</w:t>
            </w:r>
            <w:r>
              <w:rPr>
                <w:rFonts w:hint="eastAsia" w:ascii="宋体" w:hAnsi="宋体" w:eastAsia="宋体" w:cs="Times New Roman"/>
                <w:bCs/>
                <w:color w:val="auto"/>
                <w:szCs w:val="21"/>
                <w:highlight w:val="none"/>
              </w:rPr>
              <w:t>得</w:t>
            </w:r>
            <w:r>
              <w:rPr>
                <w:rFonts w:hint="eastAsia" w:ascii="宋体" w:hAnsi="宋体" w:cs="Times New Roman"/>
                <w:bCs/>
                <w:color w:val="auto"/>
                <w:szCs w:val="21"/>
                <w:highlight w:val="none"/>
                <w:lang w:val="en-US" w:eastAsia="zh-CN"/>
              </w:rPr>
              <w:t>1</w:t>
            </w:r>
            <w:r>
              <w:rPr>
                <w:rFonts w:hint="eastAsia" w:ascii="宋体" w:hAnsi="宋体" w:eastAsia="宋体" w:cs="Times New Roman"/>
                <w:bCs/>
                <w:color w:val="auto"/>
                <w:szCs w:val="21"/>
                <w:highlight w:val="none"/>
              </w:rPr>
              <w:t>分</w:t>
            </w:r>
            <w:r>
              <w:rPr>
                <w:rFonts w:hint="eastAsia" w:ascii="宋体" w:hAnsi="宋体" w:cs="Times New Roman"/>
                <w:bCs/>
                <w:color w:val="auto"/>
                <w:szCs w:val="21"/>
                <w:highlight w:val="none"/>
                <w:lang w:eastAsia="zh-CN"/>
              </w:rPr>
              <w:t>；</w:t>
            </w:r>
          </w:p>
          <w:p w14:paraId="3F198F18">
            <w:pPr>
              <w:pStyle w:val="12"/>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宋体" w:hAnsi="宋体" w:cs="Times New Roman"/>
                <w:bCs/>
                <w:color w:val="auto"/>
                <w:szCs w:val="21"/>
                <w:highlight w:val="none"/>
                <w:lang w:val="en-US" w:eastAsia="zh-CN"/>
              </w:rPr>
            </w:pPr>
            <w:r>
              <w:rPr>
                <w:rFonts w:hint="eastAsia" w:ascii="宋体" w:hAnsi="宋体" w:cs="Times New Roman"/>
                <w:bCs/>
                <w:color w:val="auto"/>
                <w:szCs w:val="21"/>
                <w:highlight w:val="none"/>
                <w:lang w:val="en-US" w:eastAsia="zh-CN"/>
              </w:rPr>
              <w:t>本小项最高得5分。</w:t>
            </w:r>
          </w:p>
          <w:p w14:paraId="4C8BFA56">
            <w:pPr>
              <w:pStyle w:val="12"/>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Times New Roman" w:hAnsi="Times New Roman" w:eastAsia="宋体" w:cs="Times New Roman"/>
                <w:b/>
                <w:bCs w:val="0"/>
                <w:color w:val="auto"/>
                <w:highlight w:val="none"/>
              </w:rPr>
            </w:pPr>
            <w:r>
              <w:rPr>
                <w:rFonts w:hint="eastAsia" w:cs="Times New Roman"/>
                <w:b/>
                <w:bCs w:val="0"/>
                <w:color w:val="auto"/>
                <w:highlight w:val="none"/>
                <w:lang w:val="en-US" w:eastAsia="zh-CN"/>
              </w:rPr>
              <w:t>二</w:t>
            </w:r>
            <w:r>
              <w:rPr>
                <w:rFonts w:hint="eastAsia" w:ascii="Times New Roman" w:hAnsi="Times New Roman" w:eastAsia="宋体" w:cs="Times New Roman"/>
                <w:b/>
                <w:bCs w:val="0"/>
                <w:color w:val="auto"/>
                <w:highlight w:val="none"/>
              </w:rPr>
              <w:t>、</w:t>
            </w:r>
            <w:r>
              <w:rPr>
                <w:rFonts w:hint="eastAsia" w:ascii="宋体" w:hAnsi="宋体" w:cs="宋体"/>
                <w:b/>
                <w:bCs w:val="0"/>
                <w:color w:val="auto"/>
                <w:szCs w:val="21"/>
                <w:highlight w:val="none"/>
                <w:lang w:val="zh-CN"/>
              </w:rPr>
              <w:t>拟派的</w:t>
            </w:r>
            <w:r>
              <w:rPr>
                <w:rFonts w:hint="eastAsia" w:ascii="宋体" w:hAnsi="宋体" w:eastAsia="宋体" w:cs="宋体"/>
                <w:b/>
                <w:bCs w:val="0"/>
                <w:color w:val="auto"/>
                <w:szCs w:val="21"/>
                <w:highlight w:val="none"/>
                <w:lang w:val="en-US" w:eastAsia="zh-CN"/>
              </w:rPr>
              <w:t>项目技术</w:t>
            </w:r>
            <w:r>
              <w:rPr>
                <w:rFonts w:hint="eastAsia" w:ascii="宋体" w:hAnsi="宋体" w:eastAsia="宋体" w:cs="宋体"/>
                <w:b/>
                <w:bCs w:val="0"/>
                <w:color w:val="auto"/>
                <w:szCs w:val="21"/>
                <w:highlight w:val="none"/>
              </w:rPr>
              <w:t>负责人</w:t>
            </w:r>
            <w:r>
              <w:rPr>
                <w:rFonts w:hint="eastAsia" w:ascii="宋体" w:hAnsi="宋体" w:cs="宋体"/>
                <w:b/>
                <w:bCs w:val="0"/>
                <w:color w:val="auto"/>
                <w:szCs w:val="21"/>
                <w:highlight w:val="none"/>
                <w:lang w:val="en-US" w:eastAsia="zh-CN"/>
              </w:rPr>
              <w:t>要求：</w:t>
            </w:r>
          </w:p>
          <w:p w14:paraId="69149A7F">
            <w:pPr>
              <w:pStyle w:val="12"/>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w:t>
            </w:r>
            <w:r>
              <w:rPr>
                <w:rFonts w:hint="eastAsia" w:ascii="宋体" w:hAnsi="宋体"/>
                <w:bCs/>
                <w:color w:val="auto"/>
                <w:szCs w:val="21"/>
                <w:highlight w:val="none"/>
              </w:rPr>
              <w:t>具有</w:t>
            </w:r>
            <w:r>
              <w:rPr>
                <w:rFonts w:hint="eastAsia" w:ascii="宋体" w:hAnsi="宋体"/>
                <w:bCs/>
                <w:color w:val="auto"/>
                <w:szCs w:val="21"/>
                <w:highlight w:val="none"/>
                <w:lang w:val="en-US" w:eastAsia="zh-CN"/>
              </w:rPr>
              <w:t>水利工程相关专业类</w:t>
            </w:r>
            <w:r>
              <w:rPr>
                <w:rFonts w:hint="eastAsia" w:ascii="宋体" w:hAnsi="宋体"/>
                <w:bCs/>
                <w:color w:val="auto"/>
                <w:szCs w:val="21"/>
                <w:highlight w:val="none"/>
              </w:rPr>
              <w:t>正高级（或教授级）高级工程师得</w:t>
            </w:r>
            <w:r>
              <w:rPr>
                <w:rFonts w:hint="eastAsia" w:ascii="宋体" w:hAnsi="宋体"/>
                <w:bCs/>
                <w:color w:val="auto"/>
                <w:szCs w:val="21"/>
                <w:highlight w:val="none"/>
                <w:lang w:val="en-US" w:eastAsia="zh-CN"/>
              </w:rPr>
              <w:t>2</w:t>
            </w:r>
            <w:r>
              <w:rPr>
                <w:rFonts w:hint="eastAsia" w:ascii="宋体" w:hAnsi="宋体"/>
                <w:bCs/>
                <w:color w:val="auto"/>
                <w:szCs w:val="21"/>
                <w:highlight w:val="none"/>
              </w:rPr>
              <w:t>分</w:t>
            </w:r>
            <w:r>
              <w:rPr>
                <w:rFonts w:hint="eastAsia" w:ascii="宋体" w:hAnsi="宋体"/>
                <w:bCs/>
                <w:color w:val="auto"/>
                <w:szCs w:val="21"/>
                <w:highlight w:val="none"/>
                <w:lang w:eastAsia="zh-CN"/>
              </w:rPr>
              <w:t>，</w:t>
            </w:r>
            <w:r>
              <w:rPr>
                <w:rFonts w:hint="eastAsia" w:ascii="宋体" w:hAnsi="宋体"/>
                <w:bCs/>
                <w:color w:val="auto"/>
                <w:szCs w:val="21"/>
                <w:highlight w:val="none"/>
                <w:lang w:val="en-US" w:eastAsia="zh-CN"/>
              </w:rPr>
              <w:t>水利工程相关专业类</w:t>
            </w:r>
            <w:r>
              <w:rPr>
                <w:rFonts w:hint="eastAsia" w:ascii="宋体" w:hAnsi="宋体" w:cs="宋体"/>
                <w:bCs/>
                <w:color w:val="auto"/>
                <w:szCs w:val="21"/>
                <w:highlight w:val="none"/>
                <w:lang w:val="en-US" w:eastAsia="zh-CN"/>
              </w:rPr>
              <w:t>高级工程师的得1分，最多得2分</w:t>
            </w:r>
            <w:r>
              <w:rPr>
                <w:rFonts w:hint="eastAsia" w:ascii="宋体" w:hAnsi="宋体" w:cs="宋体"/>
                <w:bCs/>
                <w:color w:val="auto"/>
                <w:szCs w:val="21"/>
                <w:highlight w:val="none"/>
              </w:rPr>
              <w:t>；</w:t>
            </w:r>
          </w:p>
          <w:p w14:paraId="576B75E3">
            <w:pPr>
              <w:pStyle w:val="12"/>
              <w:spacing w:after="0" w:line="360" w:lineRule="auto"/>
              <w:rPr>
                <w:rFonts w:hint="eastAsia" w:ascii="宋体" w:hAnsi="宋体" w:cs="Times New Roman"/>
                <w:bCs/>
                <w:color w:val="auto"/>
                <w:szCs w:val="21"/>
                <w:highlight w:val="none"/>
              </w:rPr>
            </w:pPr>
            <w:r>
              <w:rPr>
                <w:rFonts w:hint="eastAsia" w:ascii="宋体" w:hAnsi="宋体" w:eastAsia="宋体" w:cs="Times New Roman"/>
                <w:bCs/>
                <w:color w:val="auto"/>
                <w:szCs w:val="21"/>
                <w:highlight w:val="none"/>
              </w:rPr>
              <w:t>（2）具有咨询工程师(投资)登记证书</w:t>
            </w:r>
            <w:r>
              <w:rPr>
                <w:rFonts w:hint="eastAsia" w:ascii="宋体" w:hAnsi="宋体" w:cs="Times New Roman"/>
                <w:bCs/>
                <w:color w:val="auto"/>
                <w:szCs w:val="21"/>
                <w:highlight w:val="none"/>
                <w:lang w:eastAsia="zh-CN"/>
              </w:rPr>
              <w:t>（</w:t>
            </w:r>
            <w:r>
              <w:rPr>
                <w:rFonts w:hint="eastAsia" w:ascii="宋体" w:hAnsi="宋体" w:cs="Times New Roman"/>
                <w:bCs/>
                <w:color w:val="auto"/>
                <w:szCs w:val="21"/>
                <w:highlight w:val="none"/>
                <w:lang w:val="en-US" w:eastAsia="zh-CN"/>
              </w:rPr>
              <w:t>主专业为水利水电</w:t>
            </w:r>
            <w:r>
              <w:rPr>
                <w:rFonts w:hint="eastAsia" w:ascii="宋体" w:hAnsi="宋体" w:cs="Times New Roman"/>
                <w:bCs/>
                <w:color w:val="auto"/>
                <w:szCs w:val="21"/>
                <w:highlight w:val="none"/>
                <w:lang w:eastAsia="zh-CN"/>
              </w:rPr>
              <w:t>）</w:t>
            </w:r>
            <w:r>
              <w:rPr>
                <w:rFonts w:hint="eastAsia" w:ascii="宋体" w:hAnsi="宋体" w:eastAsia="宋体" w:cs="Times New Roman"/>
                <w:bCs/>
                <w:color w:val="auto"/>
                <w:szCs w:val="21"/>
                <w:highlight w:val="none"/>
              </w:rPr>
              <w:t>得</w:t>
            </w:r>
            <w:r>
              <w:rPr>
                <w:rFonts w:hint="eastAsia" w:ascii="宋体" w:hAnsi="宋体" w:cs="Times New Roman"/>
                <w:bCs/>
                <w:color w:val="auto"/>
                <w:szCs w:val="21"/>
                <w:highlight w:val="none"/>
                <w:lang w:val="en-US" w:eastAsia="zh-CN"/>
              </w:rPr>
              <w:t>2</w:t>
            </w:r>
            <w:r>
              <w:rPr>
                <w:rFonts w:hint="eastAsia" w:ascii="宋体" w:hAnsi="宋体" w:eastAsia="宋体" w:cs="Times New Roman"/>
                <w:bCs/>
                <w:color w:val="auto"/>
                <w:szCs w:val="21"/>
                <w:highlight w:val="none"/>
              </w:rPr>
              <w:t>分；</w:t>
            </w:r>
          </w:p>
          <w:p w14:paraId="46891BD6">
            <w:pPr>
              <w:pStyle w:val="12"/>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Times New Roman"/>
                <w:bCs/>
                <w:color w:val="auto"/>
                <w:szCs w:val="21"/>
                <w:highlight w:val="none"/>
                <w:lang w:eastAsia="zh-CN"/>
              </w:rPr>
            </w:pPr>
            <w:r>
              <w:rPr>
                <w:rFonts w:hint="eastAsia" w:ascii="宋体" w:hAnsi="宋体" w:eastAsia="宋体" w:cs="Times New Roman"/>
                <w:bCs/>
                <w:color w:val="auto"/>
                <w:szCs w:val="21"/>
                <w:highlight w:val="none"/>
              </w:rPr>
              <w:t>（</w:t>
            </w:r>
            <w:r>
              <w:rPr>
                <w:rFonts w:hint="eastAsia" w:ascii="宋体" w:hAnsi="宋体" w:cs="Times New Roman"/>
                <w:bCs/>
                <w:color w:val="auto"/>
                <w:szCs w:val="21"/>
                <w:highlight w:val="none"/>
                <w:lang w:val="en-US" w:eastAsia="zh-CN"/>
              </w:rPr>
              <w:t>3</w:t>
            </w:r>
            <w:r>
              <w:rPr>
                <w:rFonts w:hint="eastAsia" w:ascii="宋体" w:hAnsi="宋体" w:eastAsia="宋体" w:cs="Times New Roman"/>
                <w:bCs/>
                <w:color w:val="auto"/>
                <w:szCs w:val="21"/>
                <w:highlight w:val="none"/>
              </w:rPr>
              <w:t>）20</w:t>
            </w:r>
            <w:r>
              <w:rPr>
                <w:rFonts w:hint="eastAsia" w:ascii="宋体" w:hAnsi="宋体" w:eastAsia="宋体" w:cs="Times New Roman"/>
                <w:bCs/>
                <w:color w:val="auto"/>
                <w:szCs w:val="21"/>
                <w:highlight w:val="none"/>
                <w:lang w:val="en-US" w:eastAsia="zh-CN"/>
              </w:rPr>
              <w:t>20</w:t>
            </w:r>
            <w:r>
              <w:rPr>
                <w:rFonts w:hint="eastAsia" w:ascii="宋体" w:hAnsi="宋体" w:eastAsia="宋体" w:cs="Times New Roman"/>
                <w:bCs/>
                <w:color w:val="auto"/>
                <w:szCs w:val="21"/>
                <w:highlight w:val="none"/>
              </w:rPr>
              <w:t>年1月1日至投标截止之日参与的</w:t>
            </w:r>
            <w:r>
              <w:rPr>
                <w:rFonts w:hint="eastAsia" w:ascii="宋体" w:hAnsi="宋体" w:cs="Times New Roman"/>
                <w:bCs/>
                <w:color w:val="auto"/>
                <w:szCs w:val="21"/>
                <w:highlight w:val="none"/>
                <w:lang w:val="en-US" w:eastAsia="zh-CN"/>
              </w:rPr>
              <w:t>水利工程</w:t>
            </w:r>
            <w:r>
              <w:rPr>
                <w:rFonts w:hint="eastAsia" w:ascii="宋体" w:hAnsi="宋体" w:eastAsia="宋体" w:cs="Times New Roman"/>
                <w:bCs/>
                <w:color w:val="auto"/>
                <w:szCs w:val="21"/>
                <w:highlight w:val="none"/>
              </w:rPr>
              <w:t>项目获得</w:t>
            </w:r>
            <w:r>
              <w:rPr>
                <w:rFonts w:hint="eastAsia" w:ascii="宋体" w:hAnsi="宋体" w:eastAsia="宋体" w:cs="Times New Roman"/>
                <w:color w:val="auto"/>
                <w:szCs w:val="21"/>
                <w:highlight w:val="none"/>
              </w:rPr>
              <w:t>全国</w:t>
            </w:r>
            <w:r>
              <w:rPr>
                <w:rFonts w:hint="eastAsia" w:ascii="宋体" w:hAnsi="宋体" w:eastAsia="宋体" w:cs="Times New Roman"/>
                <w:bCs/>
                <w:color w:val="auto"/>
                <w:szCs w:val="21"/>
                <w:highlight w:val="none"/>
              </w:rPr>
              <w:t>优秀工程咨询成果奖项得</w:t>
            </w:r>
            <w:r>
              <w:rPr>
                <w:rFonts w:hint="eastAsia" w:ascii="宋体" w:hAnsi="宋体" w:cs="Times New Roman"/>
                <w:bCs/>
                <w:color w:val="auto"/>
                <w:szCs w:val="21"/>
                <w:highlight w:val="none"/>
                <w:lang w:val="en-US" w:eastAsia="zh-CN"/>
              </w:rPr>
              <w:t>3</w:t>
            </w:r>
            <w:r>
              <w:rPr>
                <w:rFonts w:hint="eastAsia" w:ascii="宋体" w:hAnsi="宋体" w:eastAsia="宋体" w:cs="Times New Roman"/>
                <w:bCs/>
                <w:color w:val="auto"/>
                <w:szCs w:val="21"/>
                <w:highlight w:val="none"/>
              </w:rPr>
              <w:t>分，获得</w:t>
            </w:r>
            <w:r>
              <w:rPr>
                <w:rFonts w:hint="eastAsia" w:ascii="宋体" w:hAnsi="宋体" w:cs="Times New Roman"/>
                <w:bCs/>
                <w:color w:val="auto"/>
                <w:szCs w:val="21"/>
                <w:highlight w:val="none"/>
                <w:lang w:val="en-US" w:eastAsia="zh-CN"/>
              </w:rPr>
              <w:t>省级</w:t>
            </w:r>
            <w:r>
              <w:rPr>
                <w:rFonts w:hint="eastAsia" w:ascii="宋体" w:hAnsi="宋体" w:eastAsia="宋体" w:cs="Times New Roman"/>
                <w:bCs/>
                <w:color w:val="auto"/>
                <w:szCs w:val="21"/>
                <w:highlight w:val="none"/>
              </w:rPr>
              <w:t>优秀工程咨询成果奖项得</w:t>
            </w:r>
            <w:r>
              <w:rPr>
                <w:rFonts w:hint="eastAsia" w:ascii="宋体" w:hAnsi="宋体" w:cs="Times New Roman"/>
                <w:bCs/>
                <w:color w:val="auto"/>
                <w:szCs w:val="21"/>
                <w:highlight w:val="none"/>
                <w:lang w:val="en-US" w:eastAsia="zh-CN"/>
              </w:rPr>
              <w:t>1.5</w:t>
            </w:r>
            <w:r>
              <w:rPr>
                <w:rFonts w:hint="eastAsia" w:ascii="宋体" w:hAnsi="宋体" w:eastAsia="宋体" w:cs="Times New Roman"/>
                <w:bCs/>
                <w:color w:val="auto"/>
                <w:szCs w:val="21"/>
                <w:highlight w:val="none"/>
              </w:rPr>
              <w:t>分，获得过市级优秀工程咨询成果奖，得</w:t>
            </w:r>
            <w:r>
              <w:rPr>
                <w:rFonts w:hint="eastAsia" w:ascii="宋体" w:hAnsi="宋体" w:cs="Times New Roman"/>
                <w:bCs/>
                <w:color w:val="auto"/>
                <w:szCs w:val="21"/>
                <w:highlight w:val="none"/>
                <w:lang w:val="en-US" w:eastAsia="zh-CN"/>
              </w:rPr>
              <w:t>1</w:t>
            </w:r>
            <w:r>
              <w:rPr>
                <w:rFonts w:hint="eastAsia" w:ascii="宋体" w:hAnsi="宋体" w:eastAsia="宋体" w:cs="Times New Roman"/>
                <w:bCs/>
                <w:color w:val="auto"/>
                <w:szCs w:val="21"/>
                <w:highlight w:val="none"/>
              </w:rPr>
              <w:t>分</w:t>
            </w:r>
            <w:r>
              <w:rPr>
                <w:rFonts w:hint="eastAsia" w:ascii="宋体" w:hAnsi="宋体" w:cs="Times New Roman"/>
                <w:bCs/>
                <w:color w:val="auto"/>
                <w:szCs w:val="21"/>
                <w:highlight w:val="none"/>
                <w:lang w:eastAsia="zh-CN"/>
              </w:rPr>
              <w:t>，</w:t>
            </w:r>
            <w:r>
              <w:rPr>
                <w:rFonts w:hint="eastAsia" w:ascii="宋体" w:hAnsi="宋体" w:cs="Times New Roman"/>
                <w:bCs/>
                <w:color w:val="auto"/>
                <w:szCs w:val="21"/>
                <w:highlight w:val="none"/>
                <w:lang w:val="en-US" w:eastAsia="zh-CN"/>
              </w:rPr>
              <w:t>本小项</w:t>
            </w:r>
            <w:r>
              <w:rPr>
                <w:rFonts w:hint="eastAsia" w:ascii="宋体" w:hAnsi="宋体" w:eastAsia="宋体" w:cs="Times New Roman"/>
                <w:bCs/>
                <w:color w:val="auto"/>
                <w:szCs w:val="21"/>
                <w:highlight w:val="none"/>
              </w:rPr>
              <w:t>最高得</w:t>
            </w:r>
            <w:r>
              <w:rPr>
                <w:rFonts w:hint="eastAsia" w:ascii="宋体" w:hAnsi="宋体" w:cs="Times New Roman"/>
                <w:bCs/>
                <w:color w:val="auto"/>
                <w:szCs w:val="21"/>
                <w:highlight w:val="none"/>
                <w:lang w:val="en-US" w:eastAsia="zh-CN"/>
              </w:rPr>
              <w:t>3</w:t>
            </w:r>
            <w:r>
              <w:rPr>
                <w:rFonts w:hint="eastAsia" w:ascii="宋体" w:hAnsi="宋体" w:eastAsia="宋体" w:cs="Times New Roman"/>
                <w:bCs/>
                <w:color w:val="auto"/>
                <w:szCs w:val="21"/>
                <w:highlight w:val="none"/>
              </w:rPr>
              <w:t>分</w:t>
            </w:r>
            <w:r>
              <w:rPr>
                <w:rFonts w:hint="eastAsia" w:ascii="宋体" w:hAnsi="宋体" w:cs="Times New Roman"/>
                <w:bCs/>
                <w:color w:val="auto"/>
                <w:szCs w:val="21"/>
                <w:highlight w:val="none"/>
                <w:lang w:eastAsia="zh-CN"/>
              </w:rPr>
              <w:t>；</w:t>
            </w:r>
          </w:p>
          <w:p w14:paraId="5DE1B1D9">
            <w:pPr>
              <w:pStyle w:val="12"/>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Times New Roman"/>
                <w:b w:val="0"/>
                <w:bCs/>
                <w:strike w:val="0"/>
                <w:color w:val="auto"/>
                <w:szCs w:val="21"/>
                <w:highlight w:val="none"/>
              </w:rPr>
            </w:pPr>
            <w:r>
              <w:rPr>
                <w:rFonts w:hint="eastAsia" w:ascii="宋体" w:hAnsi="宋体" w:eastAsia="宋体" w:cs="Times New Roman"/>
                <w:b w:val="0"/>
                <w:bCs/>
                <w:strike w:val="0"/>
                <w:color w:val="auto"/>
                <w:szCs w:val="21"/>
                <w:highlight w:val="none"/>
              </w:rPr>
              <w:t>本</w:t>
            </w:r>
            <w:r>
              <w:rPr>
                <w:rFonts w:hint="eastAsia" w:ascii="宋体" w:hAnsi="宋体" w:cs="Times New Roman"/>
                <w:b w:val="0"/>
                <w:bCs/>
                <w:strike w:val="0"/>
                <w:color w:val="auto"/>
                <w:szCs w:val="21"/>
                <w:highlight w:val="none"/>
                <w:lang w:val="en-US" w:eastAsia="zh-CN"/>
              </w:rPr>
              <w:t>小</w:t>
            </w:r>
            <w:r>
              <w:rPr>
                <w:rFonts w:hint="eastAsia" w:ascii="宋体" w:hAnsi="宋体" w:eastAsia="宋体" w:cs="Times New Roman"/>
                <w:b w:val="0"/>
                <w:bCs/>
                <w:strike w:val="0"/>
                <w:color w:val="auto"/>
                <w:szCs w:val="21"/>
                <w:highlight w:val="none"/>
              </w:rPr>
              <w:t>项最高得</w:t>
            </w:r>
            <w:r>
              <w:rPr>
                <w:rFonts w:hint="eastAsia" w:ascii="宋体" w:hAnsi="宋体" w:cs="Times New Roman"/>
                <w:b w:val="0"/>
                <w:bCs/>
                <w:strike w:val="0"/>
                <w:color w:val="auto"/>
                <w:szCs w:val="21"/>
                <w:highlight w:val="none"/>
                <w:lang w:val="en-US" w:eastAsia="zh-CN"/>
              </w:rPr>
              <w:t>7</w:t>
            </w:r>
            <w:r>
              <w:rPr>
                <w:rFonts w:hint="eastAsia" w:ascii="宋体" w:hAnsi="宋体" w:eastAsia="宋体" w:cs="Times New Roman"/>
                <w:b w:val="0"/>
                <w:bCs/>
                <w:strike w:val="0"/>
                <w:color w:val="auto"/>
                <w:szCs w:val="21"/>
                <w:highlight w:val="none"/>
              </w:rPr>
              <w:t>分。</w:t>
            </w:r>
          </w:p>
          <w:p w14:paraId="6C16ED0A">
            <w:pPr>
              <w:pStyle w:val="12"/>
              <w:keepNext w:val="0"/>
              <w:keepLines w:val="0"/>
              <w:pageBreakBefore w:val="0"/>
              <w:widowControl w:val="0"/>
              <w:numPr>
                <w:ilvl w:val="0"/>
                <w:numId w:val="3"/>
              </w:numPr>
              <w:kinsoku/>
              <w:wordWrap/>
              <w:overflowPunct/>
              <w:topLinePunct w:val="0"/>
              <w:autoSpaceDE/>
              <w:autoSpaceDN/>
              <w:bidi w:val="0"/>
              <w:adjustRightInd/>
              <w:snapToGrid/>
              <w:spacing w:after="0" w:line="360" w:lineRule="auto"/>
              <w:textAlignment w:val="auto"/>
              <w:rPr>
                <w:rFonts w:hint="eastAsia" w:ascii="宋体" w:hAnsi="宋体" w:cs="Times New Roman"/>
                <w:b/>
                <w:bCs w:val="0"/>
                <w:color w:val="auto"/>
                <w:szCs w:val="21"/>
                <w:highlight w:val="none"/>
                <w:lang w:val="en-US" w:eastAsia="zh-CN"/>
              </w:rPr>
            </w:pPr>
            <w:r>
              <w:rPr>
                <w:rFonts w:hint="eastAsia" w:ascii="宋体" w:hAnsi="宋体" w:cs="宋体"/>
                <w:b/>
                <w:bCs w:val="0"/>
                <w:color w:val="auto"/>
                <w:szCs w:val="21"/>
                <w:highlight w:val="none"/>
                <w:lang w:val="zh-CN"/>
              </w:rPr>
              <w:t>拟派的</w:t>
            </w:r>
            <w:r>
              <w:rPr>
                <w:rFonts w:hint="eastAsia" w:ascii="宋体" w:hAnsi="宋体" w:cs="宋体"/>
                <w:b/>
                <w:bCs w:val="0"/>
                <w:color w:val="auto"/>
                <w:szCs w:val="21"/>
                <w:highlight w:val="none"/>
                <w:lang w:val="en-US" w:eastAsia="zh-CN"/>
              </w:rPr>
              <w:t>水利</w:t>
            </w:r>
            <w:r>
              <w:rPr>
                <w:rFonts w:hint="eastAsia" w:ascii="宋体" w:hAnsi="宋体" w:cs="宋体"/>
                <w:b/>
                <w:bCs w:val="0"/>
                <w:color w:val="auto"/>
                <w:szCs w:val="21"/>
                <w:highlight w:val="none"/>
              </w:rPr>
              <w:t>专业负责人</w:t>
            </w:r>
            <w:r>
              <w:rPr>
                <w:rFonts w:hint="eastAsia" w:ascii="宋体" w:hAnsi="宋体" w:cs="宋体"/>
                <w:b/>
                <w:bCs w:val="0"/>
                <w:color w:val="auto"/>
                <w:szCs w:val="21"/>
                <w:highlight w:val="none"/>
                <w:lang w:val="en-US" w:eastAsia="zh-CN"/>
              </w:rPr>
              <w:t>要求：</w:t>
            </w:r>
          </w:p>
          <w:p w14:paraId="777D8702">
            <w:pPr>
              <w:pStyle w:val="12"/>
              <w:keepNext w:val="0"/>
              <w:keepLines w:val="0"/>
              <w:pageBreakBefore w:val="0"/>
              <w:widowControl w:val="0"/>
              <w:numPr>
                <w:ilvl w:val="0"/>
                <w:numId w:val="4"/>
              </w:numPr>
              <w:kinsoku/>
              <w:wordWrap/>
              <w:overflowPunct/>
              <w:topLinePunct w:val="0"/>
              <w:autoSpaceDE/>
              <w:autoSpaceDN/>
              <w:bidi w:val="0"/>
              <w:adjustRightInd/>
              <w:snapToGrid/>
              <w:spacing w:after="0" w:line="360" w:lineRule="auto"/>
              <w:textAlignment w:val="auto"/>
              <w:rPr>
                <w:rFonts w:hint="eastAsia" w:ascii="宋体" w:hAnsi="宋体" w:cs="宋体"/>
                <w:bCs/>
                <w:color w:val="auto"/>
                <w:szCs w:val="21"/>
                <w:highlight w:val="none"/>
              </w:rPr>
            </w:pPr>
            <w:r>
              <w:rPr>
                <w:rFonts w:hint="eastAsia" w:ascii="宋体" w:hAnsi="宋体"/>
                <w:bCs/>
                <w:color w:val="auto"/>
                <w:szCs w:val="21"/>
                <w:highlight w:val="none"/>
              </w:rPr>
              <w:t>具有</w:t>
            </w:r>
            <w:r>
              <w:rPr>
                <w:rFonts w:hint="eastAsia" w:ascii="宋体" w:hAnsi="宋体"/>
                <w:bCs/>
                <w:color w:val="auto"/>
                <w:szCs w:val="21"/>
                <w:highlight w:val="none"/>
                <w:lang w:val="en-US" w:eastAsia="zh-CN"/>
              </w:rPr>
              <w:t>水利工程相关专业类</w:t>
            </w:r>
            <w:r>
              <w:rPr>
                <w:rFonts w:hint="eastAsia" w:ascii="宋体" w:hAnsi="宋体"/>
                <w:bCs/>
                <w:color w:val="auto"/>
                <w:szCs w:val="21"/>
                <w:highlight w:val="none"/>
              </w:rPr>
              <w:t>正高级（或教授级）高级工程师得</w:t>
            </w:r>
            <w:r>
              <w:rPr>
                <w:rFonts w:hint="eastAsia" w:ascii="宋体" w:hAnsi="宋体"/>
                <w:bCs/>
                <w:color w:val="auto"/>
                <w:szCs w:val="21"/>
                <w:highlight w:val="none"/>
                <w:lang w:val="en-US" w:eastAsia="zh-CN"/>
              </w:rPr>
              <w:t>2</w:t>
            </w:r>
            <w:r>
              <w:rPr>
                <w:rFonts w:hint="eastAsia" w:ascii="宋体" w:hAnsi="宋体"/>
                <w:bCs/>
                <w:color w:val="auto"/>
                <w:szCs w:val="21"/>
                <w:highlight w:val="none"/>
              </w:rPr>
              <w:t>分</w:t>
            </w:r>
            <w:r>
              <w:rPr>
                <w:rFonts w:hint="eastAsia" w:ascii="宋体" w:hAnsi="宋体"/>
                <w:bCs/>
                <w:color w:val="auto"/>
                <w:szCs w:val="21"/>
                <w:highlight w:val="none"/>
                <w:lang w:eastAsia="zh-CN"/>
              </w:rPr>
              <w:t>，</w:t>
            </w:r>
            <w:r>
              <w:rPr>
                <w:rFonts w:hint="eastAsia" w:ascii="宋体" w:hAnsi="宋体"/>
                <w:bCs/>
                <w:color w:val="auto"/>
                <w:szCs w:val="21"/>
                <w:highlight w:val="none"/>
                <w:lang w:val="en-US" w:eastAsia="zh-CN"/>
              </w:rPr>
              <w:t>水利工程相关专业类</w:t>
            </w:r>
            <w:r>
              <w:rPr>
                <w:rFonts w:hint="eastAsia" w:ascii="宋体" w:hAnsi="宋体" w:cs="宋体"/>
                <w:bCs/>
                <w:color w:val="auto"/>
                <w:szCs w:val="21"/>
                <w:highlight w:val="none"/>
                <w:lang w:val="en-US" w:eastAsia="zh-CN"/>
              </w:rPr>
              <w:t>高级工程师的得1分，本小项最多得2分</w:t>
            </w:r>
            <w:r>
              <w:rPr>
                <w:rFonts w:hint="eastAsia" w:ascii="宋体" w:hAnsi="宋体" w:cs="宋体"/>
                <w:bCs/>
                <w:color w:val="auto"/>
                <w:szCs w:val="21"/>
                <w:highlight w:val="none"/>
              </w:rPr>
              <w:t>；</w:t>
            </w:r>
          </w:p>
          <w:p w14:paraId="4C2DBAFA">
            <w:pPr>
              <w:pStyle w:val="12"/>
              <w:keepNext w:val="0"/>
              <w:keepLines w:val="0"/>
              <w:pageBreakBefore w:val="0"/>
              <w:widowControl w:val="0"/>
              <w:numPr>
                <w:ilvl w:val="0"/>
                <w:numId w:val="4"/>
              </w:numPr>
              <w:kinsoku/>
              <w:wordWrap/>
              <w:overflowPunct/>
              <w:topLinePunct w:val="0"/>
              <w:autoSpaceDE/>
              <w:autoSpaceDN/>
              <w:bidi w:val="0"/>
              <w:adjustRightInd/>
              <w:snapToGrid/>
              <w:spacing w:after="0" w:line="360" w:lineRule="auto"/>
              <w:textAlignment w:val="auto"/>
              <w:rPr>
                <w:rFonts w:hint="eastAsia" w:ascii="宋体" w:hAnsi="宋体" w:cs="宋体"/>
                <w:bCs/>
                <w:color w:val="auto"/>
                <w:szCs w:val="21"/>
                <w:highlight w:val="none"/>
                <w:lang w:val="en-US" w:eastAsia="zh-CN"/>
              </w:rPr>
            </w:pPr>
            <w:r>
              <w:rPr>
                <w:rFonts w:hint="eastAsia" w:ascii="宋体" w:hAnsi="宋体" w:eastAsia="宋体" w:cs="Times New Roman"/>
                <w:bCs/>
                <w:color w:val="auto"/>
                <w:szCs w:val="21"/>
                <w:highlight w:val="none"/>
              </w:rPr>
              <w:t>具有咨询工程师(投资)登记证书</w:t>
            </w:r>
            <w:r>
              <w:rPr>
                <w:rFonts w:hint="eastAsia" w:ascii="宋体" w:hAnsi="宋体" w:cs="Times New Roman"/>
                <w:bCs/>
                <w:color w:val="auto"/>
                <w:szCs w:val="21"/>
                <w:highlight w:val="none"/>
                <w:lang w:eastAsia="zh-CN"/>
              </w:rPr>
              <w:t>（</w:t>
            </w:r>
            <w:r>
              <w:rPr>
                <w:rFonts w:hint="eastAsia" w:ascii="宋体" w:hAnsi="宋体" w:cs="Times New Roman"/>
                <w:bCs/>
                <w:color w:val="auto"/>
                <w:szCs w:val="21"/>
                <w:highlight w:val="none"/>
                <w:lang w:val="en-US" w:eastAsia="zh-CN"/>
              </w:rPr>
              <w:t>主专业为水利水电</w:t>
            </w:r>
            <w:r>
              <w:rPr>
                <w:rFonts w:hint="eastAsia" w:ascii="宋体" w:hAnsi="宋体" w:cs="Times New Roman"/>
                <w:bCs/>
                <w:color w:val="auto"/>
                <w:szCs w:val="21"/>
                <w:highlight w:val="none"/>
                <w:lang w:eastAsia="zh-CN"/>
              </w:rPr>
              <w:t>）</w:t>
            </w:r>
            <w:r>
              <w:rPr>
                <w:rFonts w:hint="eastAsia" w:ascii="宋体" w:hAnsi="宋体" w:eastAsia="宋体" w:cs="Times New Roman"/>
                <w:bCs/>
                <w:color w:val="auto"/>
                <w:szCs w:val="21"/>
                <w:highlight w:val="none"/>
              </w:rPr>
              <w:t>得</w:t>
            </w:r>
            <w:r>
              <w:rPr>
                <w:rFonts w:hint="eastAsia" w:ascii="宋体" w:hAnsi="宋体" w:cs="Times New Roman"/>
                <w:bCs/>
                <w:color w:val="auto"/>
                <w:szCs w:val="21"/>
                <w:highlight w:val="none"/>
                <w:lang w:val="en-US" w:eastAsia="zh-CN"/>
              </w:rPr>
              <w:t>2</w:t>
            </w:r>
            <w:r>
              <w:rPr>
                <w:rFonts w:hint="eastAsia" w:ascii="宋体" w:hAnsi="宋体" w:eastAsia="宋体" w:cs="Times New Roman"/>
                <w:bCs/>
                <w:color w:val="auto"/>
                <w:szCs w:val="21"/>
                <w:highlight w:val="none"/>
              </w:rPr>
              <w:t>分；</w:t>
            </w:r>
          </w:p>
          <w:p w14:paraId="707ADF2A">
            <w:pPr>
              <w:pStyle w:val="12"/>
              <w:spacing w:line="360" w:lineRule="auto"/>
              <w:rPr>
                <w:highlight w:val="none"/>
              </w:rPr>
            </w:pPr>
            <w:r>
              <w:rPr>
                <w:rFonts w:hint="eastAsia" w:ascii="宋体" w:hAnsi="宋体" w:eastAsia="宋体" w:cs="Times New Roman"/>
                <w:b w:val="0"/>
                <w:bCs/>
                <w:strike w:val="0"/>
                <w:color w:val="auto"/>
                <w:szCs w:val="21"/>
                <w:highlight w:val="none"/>
              </w:rPr>
              <w:t>本</w:t>
            </w:r>
            <w:r>
              <w:rPr>
                <w:rFonts w:hint="eastAsia" w:ascii="宋体" w:hAnsi="宋体" w:cs="Times New Roman"/>
                <w:b w:val="0"/>
                <w:bCs/>
                <w:strike w:val="0"/>
                <w:color w:val="auto"/>
                <w:szCs w:val="21"/>
                <w:highlight w:val="none"/>
                <w:lang w:val="en-US" w:eastAsia="zh-CN"/>
              </w:rPr>
              <w:t>小</w:t>
            </w:r>
            <w:r>
              <w:rPr>
                <w:rFonts w:hint="eastAsia" w:ascii="宋体" w:hAnsi="宋体" w:eastAsia="宋体" w:cs="Times New Roman"/>
                <w:b w:val="0"/>
                <w:bCs/>
                <w:strike w:val="0"/>
                <w:color w:val="auto"/>
                <w:szCs w:val="21"/>
                <w:highlight w:val="none"/>
              </w:rPr>
              <w:t>项最高得</w:t>
            </w:r>
            <w:r>
              <w:rPr>
                <w:rFonts w:hint="eastAsia" w:ascii="宋体" w:hAnsi="宋体" w:cs="Times New Roman"/>
                <w:b w:val="0"/>
                <w:bCs/>
                <w:strike w:val="0"/>
                <w:color w:val="auto"/>
                <w:szCs w:val="21"/>
                <w:highlight w:val="none"/>
                <w:lang w:val="en-US" w:eastAsia="zh-CN"/>
              </w:rPr>
              <w:t>4</w:t>
            </w:r>
            <w:r>
              <w:rPr>
                <w:rFonts w:hint="eastAsia" w:ascii="宋体" w:hAnsi="宋体" w:eastAsia="宋体" w:cs="Times New Roman"/>
                <w:b w:val="0"/>
                <w:bCs/>
                <w:strike w:val="0"/>
                <w:color w:val="auto"/>
                <w:szCs w:val="21"/>
                <w:highlight w:val="none"/>
              </w:rPr>
              <w:t>分。</w:t>
            </w:r>
          </w:p>
          <w:p w14:paraId="67742632">
            <w:pPr>
              <w:pStyle w:val="12"/>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Times New Roman" w:hAnsi="Times New Roman" w:eastAsia="宋体" w:cs="Times New Roman"/>
                <w:b/>
                <w:bCs w:val="0"/>
                <w:color w:val="auto"/>
                <w:highlight w:val="none"/>
                <w:lang w:val="en-US" w:eastAsia="zh-CN"/>
              </w:rPr>
            </w:pPr>
            <w:r>
              <w:rPr>
                <w:rFonts w:hint="eastAsia" w:ascii="Times New Roman" w:hAnsi="Times New Roman" w:eastAsia="宋体" w:cs="Times New Roman"/>
                <w:b/>
                <w:bCs w:val="0"/>
                <w:color w:val="auto"/>
                <w:highlight w:val="none"/>
                <w:lang w:val="en-US" w:eastAsia="zh-CN"/>
              </w:rPr>
              <w:t>注：1、需提供各人员相关证书扫描件或复印件，社保证明文件或退休及返聘证明</w:t>
            </w:r>
            <w:r>
              <w:rPr>
                <w:rFonts w:hint="eastAsia" w:cs="Times New Roman"/>
                <w:b/>
                <w:bCs w:val="0"/>
                <w:color w:val="auto"/>
                <w:highlight w:val="none"/>
                <w:lang w:val="en-US" w:eastAsia="zh-CN"/>
              </w:rPr>
              <w:t>。</w:t>
            </w:r>
            <w:r>
              <w:rPr>
                <w:rFonts w:hint="eastAsia" w:ascii="Times New Roman" w:hAnsi="Times New Roman" w:eastAsia="宋体" w:cs="Times New Roman"/>
                <w:b/>
                <w:bCs w:val="0"/>
                <w:color w:val="auto"/>
                <w:highlight w:val="none"/>
                <w:lang w:val="en-US" w:eastAsia="zh-CN"/>
              </w:rPr>
              <w:t>不提供不得分。</w:t>
            </w:r>
          </w:p>
          <w:p w14:paraId="342F0550">
            <w:pPr>
              <w:pStyle w:val="12"/>
              <w:spacing w:after="0"/>
              <w:rPr>
                <w:rFonts w:hint="eastAsia" w:ascii="Times New Roman" w:hAnsi="Times New Roman" w:eastAsia="宋体" w:cs="Times New Roman"/>
                <w:b/>
                <w:bCs w:val="0"/>
                <w:color w:val="auto"/>
                <w:highlight w:val="none"/>
                <w:lang w:val="en-US" w:eastAsia="zh-CN"/>
              </w:rPr>
            </w:pPr>
            <w:r>
              <w:rPr>
                <w:rFonts w:hint="eastAsia" w:ascii="Times New Roman" w:hAnsi="Times New Roman" w:eastAsia="宋体" w:cs="Times New Roman"/>
                <w:b/>
                <w:bCs w:val="0"/>
                <w:color w:val="auto"/>
                <w:highlight w:val="none"/>
                <w:lang w:val="en-US" w:eastAsia="zh-CN"/>
              </w:rPr>
              <w:t>2、获奖：同一人员获多个奖项的，只计一次最高奖项得分，不重复计算，需提供相关咨询协会颁发的荣誉证书扫描件或复印件，时间以荣誉证书颁发时间为准，不提供不得分。</w:t>
            </w:r>
          </w:p>
          <w:p w14:paraId="2EFF4F01">
            <w:pPr>
              <w:pStyle w:val="12"/>
              <w:spacing w:after="0"/>
              <w:rPr>
                <w:rFonts w:hint="eastAsia" w:cs="Times New Roman"/>
                <w:b/>
                <w:bCs w:val="0"/>
                <w:color w:val="auto"/>
                <w:highlight w:val="none"/>
                <w:lang w:val="en-US" w:eastAsia="zh-CN"/>
              </w:rPr>
            </w:pPr>
            <w:r>
              <w:rPr>
                <w:rFonts w:hint="eastAsia" w:ascii="Times New Roman" w:hAnsi="Times New Roman" w:eastAsia="宋体" w:cs="Times New Roman"/>
                <w:b/>
                <w:bCs w:val="0"/>
                <w:color w:val="auto"/>
                <w:highlight w:val="none"/>
                <w:lang w:val="en-US" w:eastAsia="zh-CN"/>
              </w:rPr>
              <w:t>3、上述人员，不能为同一人，不得兼任得分。</w:t>
            </w:r>
          </w:p>
        </w:tc>
      </w:tr>
      <w:tr w14:paraId="6C212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76" w:type="dxa"/>
            <w:vMerge w:val="restart"/>
            <w:vAlign w:val="center"/>
          </w:tcPr>
          <w:p w14:paraId="38DC393F">
            <w:pPr>
              <w:spacing w:line="360" w:lineRule="auto"/>
              <w:ind w:left="106"/>
              <w:rPr>
                <w:rFonts w:ascii="宋体" w:hAnsi="宋体" w:cs="宋体"/>
                <w:b/>
                <w:highlight w:val="none"/>
              </w:rPr>
            </w:pPr>
          </w:p>
        </w:tc>
        <w:tc>
          <w:tcPr>
            <w:tcW w:w="1175" w:type="dxa"/>
            <w:vMerge w:val="restart"/>
            <w:tcBorders>
              <w:right w:val="single" w:color="auto" w:sz="4" w:space="0"/>
            </w:tcBorders>
            <w:vAlign w:val="center"/>
          </w:tcPr>
          <w:p w14:paraId="4065F7F4">
            <w:pPr>
              <w:pStyle w:val="30"/>
              <w:spacing w:line="360" w:lineRule="auto"/>
              <w:ind w:firstLine="0"/>
              <w:jc w:val="center"/>
              <w:rPr>
                <w:rFonts w:ascii="宋体" w:hAnsi="宋体" w:cs="宋体"/>
                <w:szCs w:val="21"/>
                <w:highlight w:val="none"/>
              </w:rPr>
            </w:pPr>
          </w:p>
        </w:tc>
        <w:tc>
          <w:tcPr>
            <w:tcW w:w="1723" w:type="dxa"/>
            <w:tcBorders>
              <w:top w:val="single" w:color="auto" w:sz="4" w:space="0"/>
              <w:left w:val="single" w:color="auto" w:sz="4" w:space="0"/>
              <w:bottom w:val="single" w:color="auto" w:sz="4" w:space="0"/>
            </w:tcBorders>
            <w:vAlign w:val="center"/>
          </w:tcPr>
          <w:p w14:paraId="22E62050">
            <w:pPr>
              <w:pStyle w:val="30"/>
              <w:spacing w:line="360" w:lineRule="auto"/>
              <w:ind w:firstLine="0"/>
              <w:jc w:val="center"/>
              <w:rPr>
                <w:rFonts w:ascii="宋体" w:hAnsi="宋体" w:cs="宋体"/>
                <w:szCs w:val="21"/>
                <w:highlight w:val="none"/>
              </w:rPr>
            </w:pPr>
          </w:p>
          <w:p w14:paraId="71725A47">
            <w:pPr>
              <w:pStyle w:val="30"/>
              <w:spacing w:line="360" w:lineRule="auto"/>
              <w:ind w:firstLine="0"/>
              <w:jc w:val="center"/>
              <w:rPr>
                <w:rFonts w:ascii="宋体" w:hAnsi="宋体" w:cs="宋体"/>
                <w:szCs w:val="21"/>
                <w:highlight w:val="none"/>
              </w:rPr>
            </w:pPr>
          </w:p>
          <w:p w14:paraId="4AFE3EFE">
            <w:pPr>
              <w:pStyle w:val="30"/>
              <w:spacing w:line="360" w:lineRule="auto"/>
              <w:ind w:firstLine="0"/>
              <w:jc w:val="center"/>
              <w:rPr>
                <w:rFonts w:ascii="宋体" w:hAnsi="宋体" w:cs="宋体"/>
                <w:szCs w:val="21"/>
                <w:highlight w:val="none"/>
              </w:rPr>
            </w:pPr>
          </w:p>
          <w:p w14:paraId="16C37104">
            <w:pPr>
              <w:pStyle w:val="30"/>
              <w:spacing w:line="360" w:lineRule="auto"/>
              <w:ind w:firstLine="0"/>
              <w:jc w:val="center"/>
              <w:rPr>
                <w:rFonts w:ascii="宋体" w:hAnsi="宋体" w:cs="宋体"/>
                <w:szCs w:val="21"/>
                <w:highlight w:val="none"/>
              </w:rPr>
            </w:pPr>
          </w:p>
          <w:p w14:paraId="60FCF354">
            <w:pPr>
              <w:pStyle w:val="30"/>
              <w:spacing w:line="360" w:lineRule="auto"/>
              <w:ind w:firstLine="0"/>
              <w:jc w:val="center"/>
              <w:rPr>
                <w:rFonts w:ascii="宋体" w:hAnsi="宋体" w:cs="宋体"/>
                <w:szCs w:val="21"/>
                <w:highlight w:val="none"/>
              </w:rPr>
            </w:pPr>
          </w:p>
          <w:p w14:paraId="29A9501F">
            <w:pPr>
              <w:spacing w:line="360"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企业信誉</w:t>
            </w:r>
          </w:p>
          <w:p w14:paraId="630FD699">
            <w:pPr>
              <w:pStyle w:val="30"/>
              <w:spacing w:line="360" w:lineRule="auto"/>
              <w:ind w:firstLine="0"/>
              <w:jc w:val="center"/>
              <w:rPr>
                <w:rFonts w:hint="eastAsia" w:ascii="宋体" w:hAnsi="宋体" w:cs="宋体"/>
                <w:szCs w:val="21"/>
                <w:highlight w:val="none"/>
              </w:rPr>
            </w:pPr>
            <w:r>
              <w:rPr>
                <w:rFonts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6</w:t>
            </w:r>
            <w:r>
              <w:rPr>
                <w:rFonts w:ascii="宋体" w:hAnsi="宋体" w:eastAsia="宋体" w:cs="Times New Roman"/>
                <w:color w:val="auto"/>
                <w:szCs w:val="21"/>
                <w:highlight w:val="none"/>
              </w:rPr>
              <w:t>分）</w:t>
            </w:r>
            <w:r>
              <w:rPr>
                <w:rFonts w:hint="eastAsia" w:ascii="宋体" w:hAnsi="宋体" w:cs="宋体"/>
                <w:szCs w:val="21"/>
                <w:highlight w:val="none"/>
              </w:rPr>
              <w:t>）</w:t>
            </w:r>
          </w:p>
          <w:p w14:paraId="53C53B01">
            <w:pPr>
              <w:pStyle w:val="30"/>
              <w:spacing w:line="360" w:lineRule="auto"/>
              <w:ind w:firstLine="0"/>
              <w:jc w:val="center"/>
              <w:rPr>
                <w:rFonts w:ascii="宋体" w:hAnsi="宋体" w:cs="宋体"/>
                <w:szCs w:val="21"/>
                <w:highlight w:val="none"/>
              </w:rPr>
            </w:pPr>
          </w:p>
        </w:tc>
        <w:tc>
          <w:tcPr>
            <w:tcW w:w="7073" w:type="dxa"/>
            <w:tcBorders>
              <w:top w:val="single" w:color="auto" w:sz="4" w:space="0"/>
              <w:left w:val="single" w:color="auto" w:sz="4" w:space="0"/>
              <w:bottom w:val="single" w:color="auto" w:sz="4" w:space="0"/>
            </w:tcBorders>
          </w:tcPr>
          <w:p w14:paraId="36A5B162">
            <w:pPr>
              <w:pStyle w:val="12"/>
              <w:numPr>
                <w:ilvl w:val="0"/>
                <w:numId w:val="0"/>
              </w:numPr>
              <w:jc w:val="left"/>
              <w:rPr>
                <w:rFonts w:hint="eastAsia" w:ascii="宋体" w:hAnsi="宋体" w:eastAsia="宋体" w:cs="宋体"/>
                <w:color w:val="auto"/>
                <w:highlight w:val="none"/>
              </w:rPr>
            </w:pPr>
            <w:r>
              <w:rPr>
                <w:rFonts w:hint="eastAsia" w:ascii="宋体" w:hAnsi="宋体" w:eastAsia="宋体" w:cs="宋体"/>
                <w:color w:val="auto"/>
                <w:kern w:val="2"/>
                <w:sz w:val="21"/>
                <w:szCs w:val="24"/>
                <w:highlight w:val="none"/>
                <w:lang w:val="en-US" w:eastAsia="zh-CN" w:bidi="ar-SA"/>
              </w:rPr>
              <w:t>1、</w:t>
            </w:r>
            <w:r>
              <w:rPr>
                <w:rFonts w:hint="eastAsia" w:ascii="宋体" w:hAnsi="宋体" w:eastAsia="宋体" w:cs="宋体"/>
                <w:color w:val="auto"/>
                <w:szCs w:val="21"/>
                <w:highlight w:val="none"/>
              </w:rPr>
              <w:t>投标人</w:t>
            </w:r>
            <w:r>
              <w:rPr>
                <w:rFonts w:hint="eastAsia" w:ascii="宋体" w:hAnsi="宋体" w:eastAsia="宋体" w:cs="宋体"/>
                <w:color w:val="auto"/>
                <w:highlight w:val="none"/>
              </w:rPr>
              <w:t>具备在有效期内的环境管理体系认证证书、职业健康安全管理体系认证证书、质量管理体系认证证书</w:t>
            </w:r>
            <w:r>
              <w:rPr>
                <w:rFonts w:hint="eastAsia" w:ascii="宋体" w:hAnsi="宋体" w:cs="宋体"/>
                <w:color w:val="auto"/>
                <w:highlight w:val="none"/>
                <w:lang w:eastAsia="zh-CN"/>
              </w:rPr>
              <w:t>，</w:t>
            </w:r>
            <w:r>
              <w:rPr>
                <w:rFonts w:hint="eastAsia" w:ascii="宋体" w:hAnsi="宋体" w:cs="宋体"/>
                <w:color w:val="auto"/>
                <w:highlight w:val="none"/>
                <w:lang w:val="en-US" w:eastAsia="zh-CN"/>
              </w:rPr>
              <w:t>全部</w:t>
            </w:r>
            <w:r>
              <w:rPr>
                <w:rFonts w:hint="eastAsia" w:ascii="宋体" w:hAnsi="宋体" w:eastAsia="宋体" w:cs="宋体"/>
                <w:color w:val="auto"/>
                <w:highlight w:val="none"/>
              </w:rPr>
              <w:t>获得</w:t>
            </w:r>
            <w:r>
              <w:rPr>
                <w:rFonts w:hint="eastAsia" w:ascii="宋体" w:hAnsi="宋体" w:eastAsia="宋体" w:cs="宋体"/>
                <w:color w:val="auto"/>
                <w:highlight w:val="none"/>
                <w:lang w:eastAsia="zh-CN"/>
              </w:rPr>
              <w:t>3</w:t>
            </w:r>
            <w:r>
              <w:rPr>
                <w:rFonts w:hint="eastAsia" w:ascii="宋体" w:hAnsi="宋体" w:eastAsia="宋体" w:cs="宋体"/>
                <w:color w:val="auto"/>
                <w:highlight w:val="none"/>
                <w:lang w:val="en-US" w:eastAsia="zh-CN"/>
              </w:rPr>
              <w:t>项</w:t>
            </w:r>
            <w:r>
              <w:rPr>
                <w:rFonts w:hint="eastAsia" w:ascii="宋体" w:hAnsi="宋体" w:eastAsia="宋体" w:cs="宋体"/>
                <w:color w:val="auto"/>
                <w:highlight w:val="none"/>
              </w:rPr>
              <w:t>的得</w:t>
            </w:r>
            <w:r>
              <w:rPr>
                <w:rFonts w:hint="eastAsia" w:ascii="宋体" w:hAnsi="宋体" w:cs="宋体"/>
                <w:color w:val="auto"/>
                <w:highlight w:val="none"/>
                <w:lang w:val="en-US" w:eastAsia="zh-CN"/>
              </w:rPr>
              <w:t>2</w:t>
            </w:r>
            <w:r>
              <w:rPr>
                <w:rFonts w:hint="eastAsia" w:ascii="宋体" w:hAnsi="宋体" w:eastAsia="宋体" w:cs="宋体"/>
                <w:color w:val="auto"/>
                <w:highlight w:val="none"/>
              </w:rPr>
              <w:t>分，获得</w:t>
            </w:r>
            <w:r>
              <w:rPr>
                <w:rFonts w:hint="eastAsia" w:ascii="宋体" w:hAnsi="宋体" w:eastAsia="宋体" w:cs="宋体"/>
                <w:color w:val="auto"/>
                <w:highlight w:val="none"/>
                <w:lang w:eastAsia="zh-CN"/>
              </w:rPr>
              <w:t>1</w:t>
            </w:r>
            <w:r>
              <w:rPr>
                <w:rFonts w:hint="eastAsia" w:ascii="宋体" w:hAnsi="宋体" w:eastAsia="宋体" w:cs="宋体"/>
                <w:color w:val="auto"/>
                <w:highlight w:val="none"/>
                <w:lang w:val="en-US" w:eastAsia="zh-CN"/>
              </w:rPr>
              <w:t>-2项</w:t>
            </w:r>
            <w:r>
              <w:rPr>
                <w:rFonts w:hint="eastAsia" w:ascii="宋体" w:hAnsi="宋体" w:eastAsia="宋体" w:cs="宋体"/>
                <w:color w:val="auto"/>
                <w:highlight w:val="none"/>
              </w:rPr>
              <w:t>的得</w:t>
            </w:r>
            <w:r>
              <w:rPr>
                <w:rFonts w:hint="eastAsia" w:ascii="宋体" w:hAnsi="宋体" w:cs="宋体"/>
                <w:color w:val="auto"/>
                <w:highlight w:val="none"/>
                <w:lang w:val="en-US" w:eastAsia="zh-CN"/>
              </w:rPr>
              <w:t>1</w:t>
            </w:r>
            <w:r>
              <w:rPr>
                <w:rFonts w:hint="eastAsia" w:ascii="宋体" w:hAnsi="宋体" w:eastAsia="宋体" w:cs="宋体"/>
                <w:color w:val="auto"/>
                <w:highlight w:val="none"/>
              </w:rPr>
              <w:t>分，不满足此条件得0分。</w:t>
            </w:r>
          </w:p>
          <w:p w14:paraId="6636B38D">
            <w:pPr>
              <w:pStyle w:val="12"/>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注：</w:t>
            </w:r>
            <w:r>
              <w:rPr>
                <w:rFonts w:hint="eastAsia" w:ascii="宋体" w:hAnsi="宋体" w:eastAsia="宋体" w:cs="宋体"/>
                <w:b/>
                <w:bCs/>
                <w:color w:val="auto"/>
                <w:highlight w:val="none"/>
              </w:rPr>
              <w:t>需提供相关有效证明文件扫描件，证书有效性在国家认证认可监督管理委员会官网（https://www.cnca.gov.cn/）查询有效，并提供网页截图</w:t>
            </w:r>
            <w:r>
              <w:rPr>
                <w:rFonts w:hint="eastAsia" w:ascii="宋体" w:hAnsi="宋体" w:eastAsia="宋体" w:cs="宋体"/>
                <w:b/>
                <w:bCs/>
                <w:color w:val="auto"/>
                <w:highlight w:val="none"/>
                <w:lang w:eastAsia="zh-CN"/>
              </w:rPr>
              <w:t>。</w:t>
            </w:r>
            <w:r>
              <w:rPr>
                <w:rFonts w:hint="eastAsia" w:ascii="宋体" w:hAnsi="宋体" w:cs="宋体"/>
                <w:b/>
                <w:bCs/>
                <w:color w:val="auto"/>
                <w:szCs w:val="21"/>
                <w:highlight w:val="none"/>
                <w:lang w:val="en-US" w:eastAsia="zh-CN"/>
              </w:rPr>
              <w:t>不提供不得分，</w:t>
            </w:r>
            <w:r>
              <w:rPr>
                <w:rFonts w:hint="eastAsia" w:ascii="宋体" w:hAnsi="宋体" w:eastAsia="宋体" w:cs="宋体"/>
                <w:b/>
                <w:bCs/>
                <w:color w:val="auto"/>
                <w:highlight w:val="none"/>
              </w:rPr>
              <w:t>本</w:t>
            </w:r>
            <w:r>
              <w:rPr>
                <w:rFonts w:hint="eastAsia" w:ascii="宋体" w:hAnsi="宋体" w:eastAsia="宋体" w:cs="宋体"/>
                <w:b/>
                <w:bCs/>
                <w:color w:val="auto"/>
                <w:highlight w:val="none"/>
                <w:lang w:val="en-US" w:eastAsia="zh-CN"/>
              </w:rPr>
              <w:t>小</w:t>
            </w:r>
            <w:r>
              <w:rPr>
                <w:rFonts w:hint="eastAsia" w:ascii="宋体" w:hAnsi="宋体" w:eastAsia="宋体" w:cs="宋体"/>
                <w:b/>
                <w:bCs/>
                <w:color w:val="auto"/>
                <w:highlight w:val="none"/>
              </w:rPr>
              <w:t>项最高得</w:t>
            </w:r>
            <w:r>
              <w:rPr>
                <w:rFonts w:hint="eastAsia" w:ascii="宋体" w:hAnsi="宋体" w:cs="宋体"/>
                <w:b/>
                <w:bCs/>
                <w:color w:val="auto"/>
                <w:highlight w:val="none"/>
                <w:lang w:val="en-US" w:eastAsia="zh-CN"/>
              </w:rPr>
              <w:t>2</w:t>
            </w:r>
            <w:r>
              <w:rPr>
                <w:rFonts w:hint="eastAsia" w:ascii="宋体" w:hAnsi="宋体" w:eastAsia="宋体" w:cs="宋体"/>
                <w:b/>
                <w:bCs/>
                <w:color w:val="auto"/>
                <w:highlight w:val="none"/>
              </w:rPr>
              <w:t>分。</w:t>
            </w:r>
          </w:p>
          <w:p w14:paraId="724B34E7">
            <w:pPr>
              <w:pStyle w:val="12"/>
              <w:rPr>
                <w:rFonts w:hint="eastAsia" w:ascii="宋体" w:hAnsi="宋体" w:eastAsia="宋体" w:cs="宋体"/>
                <w:color w:val="auto"/>
                <w:highlight w:val="none"/>
              </w:rPr>
            </w:pPr>
            <w:r>
              <w:rPr>
                <w:rFonts w:hint="eastAsia" w:ascii="宋体" w:hAnsi="宋体" w:eastAsia="宋体" w:cs="宋体"/>
                <w:color w:val="auto"/>
                <w:kern w:val="2"/>
                <w:sz w:val="21"/>
                <w:szCs w:val="24"/>
                <w:highlight w:val="none"/>
                <w:lang w:val="en-US" w:eastAsia="zh-CN" w:bidi="ar-SA"/>
              </w:rPr>
              <w:t>2、</w:t>
            </w:r>
            <w:r>
              <w:rPr>
                <w:rFonts w:hint="eastAsia" w:ascii="宋体" w:hAnsi="宋体" w:eastAsia="宋体" w:cs="宋体"/>
                <w:color w:val="auto"/>
                <w:szCs w:val="21"/>
                <w:highlight w:val="none"/>
              </w:rPr>
              <w:t>投标人</w:t>
            </w:r>
            <w:r>
              <w:rPr>
                <w:rFonts w:hint="eastAsia" w:ascii="宋体" w:hAnsi="宋体" w:eastAsia="宋体" w:cs="宋体"/>
                <w:color w:val="auto"/>
                <w:highlight w:val="none"/>
              </w:rPr>
              <w:t>获得过水利建设市场主体信用评价公告设计类等级为AAA级的得</w:t>
            </w:r>
            <w:r>
              <w:rPr>
                <w:rFonts w:hint="eastAsia" w:ascii="宋体" w:hAnsi="宋体" w:cs="宋体"/>
                <w:color w:val="auto"/>
                <w:highlight w:val="none"/>
                <w:lang w:val="en-US" w:eastAsia="zh-CN"/>
              </w:rPr>
              <w:t>2</w:t>
            </w:r>
            <w:r>
              <w:rPr>
                <w:rFonts w:hint="eastAsia" w:ascii="宋体" w:hAnsi="宋体" w:eastAsia="宋体" w:cs="宋体"/>
                <w:color w:val="auto"/>
                <w:highlight w:val="none"/>
              </w:rPr>
              <w:t>分；AA级的得</w:t>
            </w:r>
            <w:r>
              <w:rPr>
                <w:rFonts w:hint="eastAsia" w:ascii="宋体" w:hAnsi="宋体" w:cs="宋体"/>
                <w:color w:val="auto"/>
                <w:highlight w:val="none"/>
                <w:lang w:val="en-US" w:eastAsia="zh-CN"/>
              </w:rPr>
              <w:t>1</w:t>
            </w:r>
            <w:r>
              <w:rPr>
                <w:rFonts w:hint="eastAsia" w:ascii="宋体" w:hAnsi="宋体" w:eastAsia="宋体" w:cs="宋体"/>
                <w:color w:val="auto"/>
                <w:highlight w:val="none"/>
              </w:rPr>
              <w:t>分；A级的得</w:t>
            </w:r>
            <w:r>
              <w:rPr>
                <w:rFonts w:hint="eastAsia" w:ascii="宋体" w:hAnsi="宋体" w:cs="宋体"/>
                <w:color w:val="auto"/>
                <w:highlight w:val="none"/>
                <w:lang w:val="en-US" w:eastAsia="zh-CN"/>
              </w:rPr>
              <w:t>0.5</w:t>
            </w:r>
            <w:r>
              <w:rPr>
                <w:rFonts w:hint="eastAsia" w:ascii="宋体" w:hAnsi="宋体" w:eastAsia="宋体" w:cs="宋体"/>
                <w:color w:val="auto"/>
                <w:highlight w:val="none"/>
              </w:rPr>
              <w:t>分；无或其他不得分。</w:t>
            </w:r>
          </w:p>
          <w:p w14:paraId="345E36AB">
            <w:pPr>
              <w:pStyle w:val="12"/>
              <w:keepNext w:val="0"/>
              <w:keepLines w:val="0"/>
              <w:pageBreakBefore w:val="0"/>
              <w:numPr>
                <w:ilvl w:val="0"/>
                <w:numId w:val="0"/>
              </w:numPr>
              <w:kinsoku/>
              <w:wordWrap/>
              <w:overflowPunct/>
              <w:topLinePunct w:val="0"/>
              <w:autoSpaceDE/>
              <w:autoSpaceDN/>
              <w:bidi w:val="0"/>
              <w:adjustRightInd/>
              <w:snapToGrid/>
              <w:spacing w:after="0" w:line="240" w:lineRule="auto"/>
              <w:ind w:leftChars="0"/>
              <w:jc w:val="left"/>
              <w:textAlignment w:val="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注：</w:t>
            </w:r>
            <w:r>
              <w:rPr>
                <w:rFonts w:hint="eastAsia" w:ascii="宋体" w:hAnsi="宋体" w:eastAsia="宋体" w:cs="宋体"/>
                <w:b/>
                <w:bCs/>
                <w:color w:val="auto"/>
                <w:szCs w:val="21"/>
                <w:highlight w:val="none"/>
              </w:rPr>
              <w:t>需提供相关有效证明文件扫描件</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不提供不得分，</w:t>
            </w:r>
            <w:r>
              <w:rPr>
                <w:rFonts w:hint="eastAsia" w:ascii="宋体" w:hAnsi="宋体" w:eastAsia="宋体" w:cs="宋体"/>
                <w:b/>
                <w:bCs/>
                <w:color w:val="auto"/>
                <w:szCs w:val="21"/>
                <w:highlight w:val="none"/>
                <w:lang w:val="en-US" w:eastAsia="zh-CN"/>
              </w:rPr>
              <w:t>本</w:t>
            </w:r>
            <w:r>
              <w:rPr>
                <w:rFonts w:hint="eastAsia" w:ascii="宋体" w:hAnsi="宋体" w:eastAsia="宋体" w:cs="宋体"/>
                <w:b/>
                <w:bCs/>
                <w:color w:val="auto"/>
                <w:highlight w:val="none"/>
                <w:lang w:val="en-US" w:eastAsia="zh-CN"/>
              </w:rPr>
              <w:t>小</w:t>
            </w:r>
            <w:r>
              <w:rPr>
                <w:rFonts w:hint="eastAsia" w:ascii="宋体" w:hAnsi="宋体" w:eastAsia="宋体" w:cs="宋体"/>
                <w:b/>
                <w:bCs/>
                <w:color w:val="auto"/>
                <w:highlight w:val="none"/>
              </w:rPr>
              <w:t>项</w:t>
            </w:r>
            <w:r>
              <w:rPr>
                <w:rFonts w:hint="eastAsia" w:ascii="宋体" w:hAnsi="宋体" w:eastAsia="宋体" w:cs="宋体"/>
                <w:b/>
                <w:bCs/>
                <w:color w:val="auto"/>
                <w:szCs w:val="21"/>
                <w:highlight w:val="none"/>
                <w:lang w:val="en-US" w:eastAsia="zh-CN"/>
              </w:rPr>
              <w:t>最高得</w:t>
            </w:r>
            <w:r>
              <w:rPr>
                <w:rFonts w:hint="eastAsia" w:ascii="宋体" w:hAnsi="宋体" w:cs="宋体"/>
                <w:b/>
                <w:bCs/>
                <w:color w:val="auto"/>
                <w:szCs w:val="21"/>
                <w:highlight w:val="none"/>
                <w:lang w:val="en-US" w:eastAsia="zh-CN"/>
              </w:rPr>
              <w:t>2</w:t>
            </w:r>
            <w:r>
              <w:rPr>
                <w:rFonts w:hint="eastAsia" w:ascii="宋体" w:hAnsi="宋体" w:eastAsia="宋体" w:cs="宋体"/>
                <w:b/>
                <w:bCs/>
                <w:color w:val="auto"/>
                <w:szCs w:val="21"/>
                <w:highlight w:val="none"/>
                <w:lang w:val="en-US" w:eastAsia="zh-CN"/>
              </w:rPr>
              <w:t>分。</w:t>
            </w:r>
          </w:p>
          <w:p w14:paraId="045F1A5B">
            <w:pPr>
              <w:pStyle w:val="12"/>
              <w:numPr>
                <w:ilvl w:val="0"/>
                <w:numId w:val="0"/>
              </w:num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w:t>
            </w:r>
            <w:r>
              <w:rPr>
                <w:rFonts w:hint="eastAsia" w:ascii="宋体" w:hAnsi="宋体" w:eastAsia="宋体" w:cs="宋体"/>
                <w:color w:val="auto"/>
                <w:szCs w:val="21"/>
                <w:highlight w:val="none"/>
              </w:rPr>
              <w:t>投标人</w:t>
            </w:r>
            <w:r>
              <w:rPr>
                <w:rFonts w:hint="eastAsia" w:ascii="宋体" w:hAnsi="宋体" w:eastAsia="宋体" w:cs="宋体"/>
                <w:color w:val="auto"/>
                <w:highlight w:val="none"/>
              </w:rPr>
              <w:t>获得过水利建设市场主体信用评价公告工程咨询类等级为AAA级的得</w:t>
            </w:r>
            <w:r>
              <w:rPr>
                <w:rFonts w:hint="eastAsia" w:ascii="宋体" w:hAnsi="宋体" w:cs="宋体"/>
                <w:color w:val="auto"/>
                <w:highlight w:val="none"/>
                <w:lang w:val="en-US" w:eastAsia="zh-CN"/>
              </w:rPr>
              <w:t>2</w:t>
            </w:r>
            <w:r>
              <w:rPr>
                <w:rFonts w:hint="eastAsia" w:ascii="宋体" w:hAnsi="宋体" w:eastAsia="宋体" w:cs="宋体"/>
                <w:color w:val="auto"/>
                <w:highlight w:val="none"/>
              </w:rPr>
              <w:t>分；AA级的得</w:t>
            </w:r>
            <w:r>
              <w:rPr>
                <w:rFonts w:hint="eastAsia" w:ascii="宋体" w:hAnsi="宋体" w:cs="宋体"/>
                <w:color w:val="auto"/>
                <w:highlight w:val="none"/>
                <w:lang w:val="en-US" w:eastAsia="zh-CN"/>
              </w:rPr>
              <w:t>1</w:t>
            </w:r>
            <w:r>
              <w:rPr>
                <w:rFonts w:hint="eastAsia" w:ascii="宋体" w:hAnsi="宋体" w:eastAsia="宋体" w:cs="宋体"/>
                <w:color w:val="auto"/>
                <w:highlight w:val="none"/>
              </w:rPr>
              <w:t>分；A级的得</w:t>
            </w:r>
            <w:r>
              <w:rPr>
                <w:rFonts w:hint="eastAsia" w:ascii="宋体" w:hAnsi="宋体" w:cs="宋体"/>
                <w:color w:val="auto"/>
                <w:highlight w:val="none"/>
                <w:lang w:val="en-US" w:eastAsia="zh-CN"/>
              </w:rPr>
              <w:t>0.5</w:t>
            </w:r>
            <w:r>
              <w:rPr>
                <w:rFonts w:hint="eastAsia" w:ascii="宋体" w:hAnsi="宋体" w:eastAsia="宋体" w:cs="宋体"/>
                <w:color w:val="auto"/>
                <w:highlight w:val="none"/>
              </w:rPr>
              <w:t>分；无或其他不得分。</w:t>
            </w:r>
          </w:p>
          <w:p w14:paraId="7BEC1CE3">
            <w:pPr>
              <w:pStyle w:val="30"/>
              <w:spacing w:line="360" w:lineRule="auto"/>
              <w:ind w:firstLine="0"/>
              <w:jc w:val="left"/>
              <w:rPr>
                <w:rFonts w:hint="eastAsia" w:ascii="宋体" w:hAnsi="宋体" w:eastAsia="宋体" w:cs="宋体"/>
                <w:szCs w:val="21"/>
                <w:highlight w:val="none"/>
                <w:lang w:val="en-US" w:eastAsia="zh-CN"/>
              </w:rPr>
            </w:pPr>
            <w:r>
              <w:rPr>
                <w:rFonts w:hint="eastAsia" w:ascii="宋体" w:hAnsi="宋体" w:eastAsia="宋体" w:cs="宋体"/>
                <w:b/>
                <w:bCs/>
                <w:color w:val="auto"/>
                <w:highlight w:val="none"/>
                <w:lang w:val="en-US" w:eastAsia="zh-CN"/>
              </w:rPr>
              <w:t>注：</w:t>
            </w:r>
            <w:r>
              <w:rPr>
                <w:rFonts w:hint="eastAsia" w:ascii="宋体" w:hAnsi="宋体" w:eastAsia="宋体" w:cs="宋体"/>
                <w:b/>
                <w:bCs/>
                <w:color w:val="auto"/>
                <w:szCs w:val="21"/>
                <w:highlight w:val="none"/>
              </w:rPr>
              <w:t>需提供相关有效证明文件扫描件</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 xml:space="preserve">不提供不得分， </w:t>
            </w:r>
            <w:r>
              <w:rPr>
                <w:rFonts w:hint="eastAsia" w:ascii="宋体" w:hAnsi="宋体" w:eastAsia="宋体" w:cs="宋体"/>
                <w:b/>
                <w:bCs/>
                <w:color w:val="auto"/>
                <w:szCs w:val="21"/>
                <w:highlight w:val="none"/>
                <w:lang w:val="en-US" w:eastAsia="zh-CN"/>
              </w:rPr>
              <w:t>本小项最高得</w:t>
            </w:r>
            <w:r>
              <w:rPr>
                <w:rFonts w:hint="eastAsia" w:ascii="宋体" w:hAnsi="宋体" w:cs="宋体"/>
                <w:b/>
                <w:bCs/>
                <w:color w:val="auto"/>
                <w:szCs w:val="21"/>
                <w:highlight w:val="none"/>
                <w:lang w:val="en-US" w:eastAsia="zh-CN"/>
              </w:rPr>
              <w:t>2</w:t>
            </w:r>
            <w:r>
              <w:rPr>
                <w:rFonts w:hint="eastAsia" w:ascii="宋体" w:hAnsi="宋体" w:eastAsia="宋体" w:cs="宋体"/>
                <w:b/>
                <w:bCs/>
                <w:color w:val="auto"/>
                <w:szCs w:val="21"/>
                <w:highlight w:val="none"/>
                <w:lang w:val="en-US" w:eastAsia="zh-CN"/>
              </w:rPr>
              <w:t>分。</w:t>
            </w:r>
          </w:p>
        </w:tc>
      </w:tr>
      <w:tr w14:paraId="4000F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776" w:type="dxa"/>
            <w:vMerge w:val="continue"/>
            <w:vAlign w:val="center"/>
          </w:tcPr>
          <w:p w14:paraId="500A8D15">
            <w:pPr>
              <w:spacing w:line="360" w:lineRule="auto"/>
              <w:ind w:left="106"/>
              <w:rPr>
                <w:rFonts w:ascii="宋体" w:hAnsi="宋体" w:cs="宋体"/>
                <w:b/>
                <w:highlight w:val="none"/>
              </w:rPr>
            </w:pPr>
          </w:p>
        </w:tc>
        <w:tc>
          <w:tcPr>
            <w:tcW w:w="1175" w:type="dxa"/>
            <w:vMerge w:val="continue"/>
            <w:tcBorders>
              <w:right w:val="single" w:color="auto" w:sz="4" w:space="0"/>
            </w:tcBorders>
            <w:vAlign w:val="center"/>
          </w:tcPr>
          <w:p w14:paraId="3FD32DAE">
            <w:pPr>
              <w:adjustRightInd w:val="0"/>
              <w:snapToGrid w:val="0"/>
              <w:spacing w:line="360" w:lineRule="auto"/>
              <w:jc w:val="center"/>
              <w:rPr>
                <w:rFonts w:ascii="宋体" w:hAnsi="宋体" w:cs="宋体"/>
                <w:sz w:val="24"/>
                <w:highlight w:val="none"/>
              </w:rPr>
            </w:pPr>
          </w:p>
        </w:tc>
        <w:tc>
          <w:tcPr>
            <w:tcW w:w="1723" w:type="dxa"/>
            <w:tcBorders>
              <w:top w:val="single" w:color="auto" w:sz="4" w:space="0"/>
              <w:left w:val="single" w:color="auto" w:sz="4" w:space="0"/>
            </w:tcBorders>
            <w:vAlign w:val="center"/>
          </w:tcPr>
          <w:p w14:paraId="1A41004C">
            <w:pPr>
              <w:spacing w:line="360" w:lineRule="auto"/>
              <w:jc w:val="center"/>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企业</w:t>
            </w:r>
            <w:r>
              <w:rPr>
                <w:rFonts w:hint="eastAsia" w:ascii="宋体" w:hAnsi="宋体" w:cs="Times New Roman"/>
                <w:color w:val="auto"/>
                <w:szCs w:val="21"/>
                <w:highlight w:val="none"/>
                <w:lang w:val="en-US" w:eastAsia="zh-CN"/>
              </w:rPr>
              <w:t>获奖</w:t>
            </w:r>
          </w:p>
          <w:p w14:paraId="0A47B621">
            <w:pPr>
              <w:pStyle w:val="30"/>
              <w:spacing w:line="360" w:lineRule="auto"/>
              <w:ind w:firstLine="0"/>
              <w:jc w:val="center"/>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8</w:t>
            </w:r>
            <w:r>
              <w:rPr>
                <w:rFonts w:hint="eastAsia" w:ascii="宋体" w:hAnsi="宋体" w:eastAsia="宋体" w:cs="Times New Roman"/>
                <w:color w:val="auto"/>
                <w:szCs w:val="21"/>
                <w:highlight w:val="none"/>
              </w:rPr>
              <w:t>分</w:t>
            </w:r>
            <w:r>
              <w:rPr>
                <w:rFonts w:hint="eastAsia" w:ascii="宋体" w:hAnsi="宋体" w:cs="Times New Roman"/>
                <w:color w:val="auto"/>
                <w:szCs w:val="21"/>
                <w:highlight w:val="none"/>
                <w:lang w:eastAsia="zh-CN"/>
              </w:rPr>
              <w:t>）</w:t>
            </w:r>
          </w:p>
        </w:tc>
        <w:tc>
          <w:tcPr>
            <w:tcW w:w="7073" w:type="dxa"/>
            <w:tcBorders>
              <w:top w:val="single" w:color="auto" w:sz="4" w:space="0"/>
            </w:tcBorders>
          </w:tcPr>
          <w:p w14:paraId="63A74BDC">
            <w:pPr>
              <w:widowControl/>
              <w:autoSpaceDE w:val="0"/>
              <w:autoSpaceDN w:val="0"/>
              <w:spacing w:line="312" w:lineRule="auto"/>
              <w:contextualSpacing/>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20</w:t>
            </w:r>
            <w:r>
              <w:rPr>
                <w:rFonts w:hint="eastAsia" w:ascii="宋体" w:hAnsi="宋体" w:eastAsia="宋体" w:cs="Times New Roman"/>
                <w:color w:val="auto"/>
                <w:szCs w:val="21"/>
                <w:highlight w:val="none"/>
                <w:lang w:val="en-US" w:eastAsia="zh-CN"/>
              </w:rPr>
              <w:t>20</w:t>
            </w:r>
            <w:r>
              <w:rPr>
                <w:rFonts w:hint="eastAsia" w:ascii="宋体" w:hAnsi="宋体" w:eastAsia="宋体" w:cs="Times New Roman"/>
                <w:color w:val="auto"/>
                <w:szCs w:val="21"/>
                <w:highlight w:val="none"/>
              </w:rPr>
              <w:t>年1月1日至投标截止之日，投标人参与过的</w:t>
            </w:r>
            <w:r>
              <w:rPr>
                <w:rFonts w:hint="eastAsia" w:ascii="宋体" w:hAnsi="宋体" w:cs="Times New Roman"/>
                <w:color w:val="auto"/>
                <w:szCs w:val="21"/>
                <w:highlight w:val="none"/>
                <w:lang w:val="en-US" w:eastAsia="zh-CN"/>
              </w:rPr>
              <w:t>水利工程项目</w:t>
            </w:r>
            <w:r>
              <w:rPr>
                <w:rFonts w:hint="eastAsia" w:ascii="宋体" w:hAnsi="宋体" w:eastAsia="宋体" w:cs="Times New Roman"/>
                <w:color w:val="auto"/>
                <w:szCs w:val="21"/>
                <w:highlight w:val="none"/>
              </w:rPr>
              <w:t>获得优秀工程咨询成果奖项的：</w:t>
            </w:r>
          </w:p>
          <w:p w14:paraId="35EF8090">
            <w:pPr>
              <w:widowControl/>
              <w:autoSpaceDE w:val="0"/>
              <w:autoSpaceDN w:val="0"/>
              <w:spacing w:line="312" w:lineRule="auto"/>
              <w:contextualSpacing/>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①获得过全国优秀工程咨询成果奖的，得</w:t>
            </w:r>
            <w:r>
              <w:rPr>
                <w:rFonts w:hint="eastAsia" w:ascii="宋体" w:hAnsi="宋体" w:cs="Times New Roman"/>
                <w:color w:val="auto"/>
                <w:szCs w:val="21"/>
                <w:highlight w:val="none"/>
                <w:lang w:val="en-US" w:eastAsia="zh-CN"/>
              </w:rPr>
              <w:t>8</w:t>
            </w:r>
            <w:r>
              <w:rPr>
                <w:rFonts w:hint="eastAsia" w:ascii="宋体" w:hAnsi="宋体" w:eastAsia="宋体" w:cs="Times New Roman"/>
                <w:color w:val="auto"/>
                <w:szCs w:val="21"/>
                <w:highlight w:val="none"/>
              </w:rPr>
              <w:t>分。</w:t>
            </w:r>
          </w:p>
          <w:p w14:paraId="34229B8A">
            <w:pPr>
              <w:widowControl/>
              <w:autoSpaceDE w:val="0"/>
              <w:autoSpaceDN w:val="0"/>
              <w:spacing w:line="312" w:lineRule="auto"/>
              <w:contextualSpacing/>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②获得过省</w:t>
            </w:r>
            <w:r>
              <w:rPr>
                <w:rFonts w:hint="eastAsia" w:ascii="宋体" w:hAnsi="宋体" w:cs="Times New Roman"/>
                <w:color w:val="auto"/>
                <w:szCs w:val="21"/>
                <w:highlight w:val="none"/>
                <w:lang w:val="en-US" w:eastAsia="zh-CN"/>
              </w:rPr>
              <w:t>级</w:t>
            </w:r>
            <w:r>
              <w:rPr>
                <w:rFonts w:hint="eastAsia" w:ascii="宋体" w:hAnsi="宋体" w:eastAsia="宋体" w:cs="Times New Roman"/>
                <w:color w:val="auto"/>
                <w:szCs w:val="21"/>
                <w:highlight w:val="none"/>
              </w:rPr>
              <w:t>优秀工程咨询成果奖，得</w:t>
            </w:r>
            <w:r>
              <w:rPr>
                <w:rFonts w:hint="eastAsia" w:ascii="宋体" w:hAnsi="宋体" w:cs="Times New Roman"/>
                <w:color w:val="auto"/>
                <w:szCs w:val="21"/>
                <w:highlight w:val="none"/>
                <w:lang w:val="en-US" w:eastAsia="zh-CN"/>
              </w:rPr>
              <w:t>4</w:t>
            </w:r>
            <w:r>
              <w:rPr>
                <w:rFonts w:hint="eastAsia" w:ascii="宋体" w:hAnsi="宋体" w:eastAsia="宋体" w:cs="Times New Roman"/>
                <w:color w:val="auto"/>
                <w:szCs w:val="21"/>
                <w:highlight w:val="none"/>
              </w:rPr>
              <w:t>分。</w:t>
            </w:r>
          </w:p>
          <w:p w14:paraId="478382CB">
            <w:pPr>
              <w:widowControl/>
              <w:autoSpaceDE w:val="0"/>
              <w:autoSpaceDN w:val="0"/>
              <w:spacing w:line="312" w:lineRule="auto"/>
              <w:contextualSpacing/>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③获得过市级优秀工程咨询成果奖，得</w:t>
            </w:r>
            <w:r>
              <w:rPr>
                <w:rFonts w:hint="eastAsia" w:ascii="宋体" w:hAnsi="宋体" w:cs="Times New Roman"/>
                <w:color w:val="auto"/>
                <w:szCs w:val="21"/>
                <w:highlight w:val="none"/>
                <w:lang w:val="en-US" w:eastAsia="zh-CN"/>
              </w:rPr>
              <w:t>2</w:t>
            </w:r>
            <w:r>
              <w:rPr>
                <w:rFonts w:hint="eastAsia" w:ascii="宋体" w:hAnsi="宋体" w:eastAsia="宋体" w:cs="Times New Roman"/>
                <w:color w:val="auto"/>
                <w:szCs w:val="21"/>
                <w:highlight w:val="none"/>
              </w:rPr>
              <w:t>分。</w:t>
            </w:r>
          </w:p>
          <w:p w14:paraId="0D79AFBE">
            <w:pPr>
              <w:widowControl/>
              <w:autoSpaceDE w:val="0"/>
              <w:autoSpaceDN w:val="0"/>
              <w:spacing w:line="312" w:lineRule="auto"/>
              <w:contextualSpacing/>
              <w:jc w:val="left"/>
              <w:rPr>
                <w:rFonts w:ascii="宋体" w:hAnsi="宋体" w:cs="宋体"/>
                <w:szCs w:val="21"/>
                <w:highlight w:val="none"/>
              </w:rPr>
            </w:pPr>
            <w:r>
              <w:rPr>
                <w:rFonts w:hint="eastAsia" w:ascii="宋体" w:hAnsi="宋体" w:cs="Times New Roman"/>
                <w:b/>
                <w:bCs/>
                <w:color w:val="auto"/>
                <w:szCs w:val="21"/>
                <w:highlight w:val="none"/>
                <w:lang w:val="en-US" w:eastAsia="zh-CN"/>
              </w:rPr>
              <w:t>注：</w:t>
            </w:r>
            <w:r>
              <w:rPr>
                <w:rFonts w:ascii="宋体" w:hAnsi="宋体" w:eastAsia="宋体" w:cs="Times New Roman"/>
                <w:b/>
                <w:bCs/>
                <w:color w:val="auto"/>
                <w:szCs w:val="21"/>
                <w:highlight w:val="none"/>
              </w:rPr>
              <w:t>按最高得分项目计取，本项最高得</w:t>
            </w:r>
            <w:r>
              <w:rPr>
                <w:rFonts w:hint="eastAsia" w:ascii="宋体" w:hAnsi="宋体" w:cs="Times New Roman"/>
                <w:b/>
                <w:bCs/>
                <w:color w:val="auto"/>
                <w:szCs w:val="21"/>
                <w:highlight w:val="none"/>
                <w:lang w:val="en-US" w:eastAsia="zh-CN"/>
              </w:rPr>
              <w:t>8</w:t>
            </w:r>
            <w:r>
              <w:rPr>
                <w:rFonts w:ascii="宋体" w:hAnsi="宋体" w:eastAsia="宋体" w:cs="Times New Roman"/>
                <w:b/>
                <w:bCs/>
                <w:color w:val="auto"/>
                <w:szCs w:val="21"/>
                <w:highlight w:val="none"/>
              </w:rPr>
              <w:t>分。</w:t>
            </w:r>
            <w:r>
              <w:rPr>
                <w:rFonts w:hint="eastAsia" w:ascii="宋体" w:hAnsi="宋体" w:eastAsia="宋体" w:cs="宋体"/>
                <w:b/>
                <w:bCs/>
                <w:color w:val="auto"/>
                <w:szCs w:val="21"/>
                <w:highlight w:val="none"/>
              </w:rPr>
              <w:t>需提供</w:t>
            </w:r>
            <w:r>
              <w:rPr>
                <w:rFonts w:hint="eastAsia" w:ascii="宋体" w:hAnsi="宋体" w:cs="宋体"/>
                <w:b/>
                <w:bCs/>
                <w:color w:val="auto"/>
                <w:szCs w:val="21"/>
                <w:highlight w:val="none"/>
                <w:lang w:val="en-US" w:eastAsia="zh-CN"/>
              </w:rPr>
              <w:t>相关</w:t>
            </w:r>
            <w:r>
              <w:rPr>
                <w:rFonts w:hint="eastAsia" w:ascii="宋体" w:hAnsi="宋体" w:eastAsia="宋体" w:cs="宋体"/>
                <w:b/>
                <w:bCs/>
                <w:color w:val="auto"/>
                <w:szCs w:val="21"/>
                <w:highlight w:val="none"/>
              </w:rPr>
              <w:t>咨询协会颁发的</w:t>
            </w:r>
            <w:r>
              <w:rPr>
                <w:rFonts w:hint="eastAsia" w:ascii="宋体" w:hAnsi="宋体" w:cs="宋体"/>
                <w:b/>
                <w:bCs/>
                <w:color w:val="auto"/>
                <w:szCs w:val="21"/>
                <w:highlight w:val="none"/>
                <w:lang w:val="en-US" w:eastAsia="zh-CN"/>
              </w:rPr>
              <w:t>荣誉</w:t>
            </w:r>
            <w:r>
              <w:rPr>
                <w:rFonts w:hint="eastAsia" w:ascii="宋体" w:hAnsi="宋体" w:eastAsia="宋体" w:cs="宋体"/>
                <w:b/>
                <w:bCs/>
                <w:color w:val="auto"/>
                <w:szCs w:val="21"/>
                <w:highlight w:val="none"/>
              </w:rPr>
              <w:t>证书</w:t>
            </w:r>
            <w:r>
              <w:rPr>
                <w:rFonts w:hint="eastAsia" w:ascii="宋体" w:hAnsi="宋体" w:cs="宋体"/>
                <w:b/>
                <w:bCs/>
                <w:color w:val="auto"/>
                <w:szCs w:val="21"/>
                <w:highlight w:val="none"/>
                <w:lang w:val="en-US" w:eastAsia="zh-CN"/>
              </w:rPr>
              <w:t>扫描件，不提供不得分，</w:t>
            </w:r>
            <w:r>
              <w:rPr>
                <w:rFonts w:hint="eastAsia" w:ascii="宋体" w:hAnsi="宋体" w:cs="Times New Roman"/>
                <w:b/>
                <w:bCs/>
                <w:color w:val="auto"/>
                <w:szCs w:val="21"/>
                <w:highlight w:val="none"/>
                <w:lang w:val="en-US" w:eastAsia="zh-CN"/>
              </w:rPr>
              <w:t>时间以</w:t>
            </w:r>
            <w:r>
              <w:rPr>
                <w:rFonts w:hint="eastAsia" w:ascii="宋体" w:hAnsi="宋体" w:cs="宋体"/>
                <w:b/>
                <w:bCs/>
                <w:color w:val="auto"/>
                <w:szCs w:val="21"/>
                <w:highlight w:val="none"/>
                <w:lang w:val="en-US" w:eastAsia="zh-CN"/>
              </w:rPr>
              <w:t>荣誉</w:t>
            </w:r>
            <w:r>
              <w:rPr>
                <w:rFonts w:hint="eastAsia" w:ascii="宋体" w:hAnsi="宋体" w:cs="Times New Roman"/>
                <w:b/>
                <w:bCs/>
                <w:color w:val="auto"/>
                <w:szCs w:val="21"/>
                <w:highlight w:val="none"/>
                <w:lang w:val="en-US" w:eastAsia="zh-CN"/>
              </w:rPr>
              <w:t>证书颁发时间为准。</w:t>
            </w:r>
          </w:p>
        </w:tc>
      </w:tr>
      <w:tr w14:paraId="2FECE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776" w:type="dxa"/>
            <w:vMerge w:val="restart"/>
            <w:vAlign w:val="center"/>
          </w:tcPr>
          <w:p w14:paraId="1DD31B45">
            <w:pPr>
              <w:spacing w:after="180" w:line="360" w:lineRule="auto"/>
              <w:rPr>
                <w:rFonts w:ascii="宋体" w:hAnsi="宋体" w:cs="宋体"/>
                <w:szCs w:val="21"/>
                <w:highlight w:val="none"/>
              </w:rPr>
            </w:pPr>
            <w:r>
              <w:rPr>
                <w:rFonts w:hint="eastAsia" w:ascii="宋体" w:hAnsi="宋体" w:cs="宋体"/>
                <w:szCs w:val="21"/>
                <w:highlight w:val="none"/>
              </w:rPr>
              <w:t>2.2.4</w:t>
            </w:r>
          </w:p>
          <w:p w14:paraId="46C9D99E">
            <w:pPr>
              <w:spacing w:line="360" w:lineRule="auto"/>
              <w:ind w:left="106"/>
              <w:rPr>
                <w:rFonts w:ascii="宋体" w:hAnsi="宋体" w:cs="宋体"/>
                <w:b/>
                <w:highlight w:val="none"/>
              </w:rPr>
            </w:pPr>
            <w:r>
              <w:rPr>
                <w:rFonts w:hint="eastAsia" w:ascii="宋体" w:hAnsi="宋体" w:cs="宋体"/>
                <w:szCs w:val="21"/>
                <w:highlight w:val="none"/>
              </w:rPr>
              <w:t xml:space="preserve">（2） </w:t>
            </w:r>
          </w:p>
        </w:tc>
        <w:tc>
          <w:tcPr>
            <w:tcW w:w="1175" w:type="dxa"/>
            <w:vMerge w:val="restart"/>
            <w:vAlign w:val="center"/>
          </w:tcPr>
          <w:p w14:paraId="72716AA8">
            <w:pPr>
              <w:spacing w:line="360"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施工图审查方案</w:t>
            </w:r>
          </w:p>
          <w:p w14:paraId="7FC5C3A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color w:val="auto"/>
                <w:sz w:val="21"/>
                <w:szCs w:val="21"/>
                <w:highlight w:val="none"/>
                <w:vertAlign w:val="baseline"/>
                <w:lang w:val="en-US" w:eastAsia="zh-CN" w:bidi="ar-SA"/>
              </w:rPr>
            </w:pPr>
            <w:r>
              <w:rPr>
                <w:rFonts w:hint="eastAsia" w:ascii="宋体" w:hAnsi="宋体"/>
                <w:highlight w:val="none"/>
                <w:lang w:val="en-US" w:eastAsia="zh-CN"/>
              </w:rPr>
              <w:t>（40分）</w:t>
            </w:r>
          </w:p>
        </w:tc>
        <w:tc>
          <w:tcPr>
            <w:tcW w:w="1723" w:type="dxa"/>
            <w:vAlign w:val="center"/>
          </w:tcPr>
          <w:p w14:paraId="5C33709B">
            <w:pPr>
              <w:spacing w:line="240" w:lineRule="exact"/>
              <w:ind w:left="0" w:leftChars="0"/>
              <w:jc w:val="center"/>
              <w:rPr>
                <w:rFonts w:ascii="宋体" w:hAnsi="宋体" w:cs="宋体"/>
                <w:szCs w:val="21"/>
                <w:highlight w:val="none"/>
              </w:rPr>
            </w:pPr>
            <w:r>
              <w:rPr>
                <w:rFonts w:hint="eastAsia" w:ascii="宋体" w:hAnsi="宋体"/>
                <w:color w:val="auto"/>
                <w:szCs w:val="21"/>
                <w:highlight w:val="none"/>
              </w:rPr>
              <w:t>对施工图审查难点的认知和对策（</w:t>
            </w:r>
            <w:r>
              <w:rPr>
                <w:rFonts w:hint="eastAsia" w:ascii="宋体" w:hAnsi="宋体"/>
                <w:color w:val="auto"/>
                <w:szCs w:val="21"/>
                <w:highlight w:val="none"/>
                <w:lang w:val="en-US" w:eastAsia="zh-CN"/>
              </w:rPr>
              <w:t>8</w:t>
            </w:r>
            <w:r>
              <w:rPr>
                <w:rFonts w:ascii="宋体" w:hAnsi="宋体"/>
                <w:color w:val="auto"/>
                <w:szCs w:val="21"/>
                <w:highlight w:val="none"/>
              </w:rPr>
              <w:t>分）</w:t>
            </w:r>
          </w:p>
        </w:tc>
        <w:tc>
          <w:tcPr>
            <w:tcW w:w="7073" w:type="dxa"/>
            <w:vAlign w:val="center"/>
          </w:tcPr>
          <w:p w14:paraId="500E5A0C">
            <w:pPr>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优</w:t>
            </w:r>
            <w:r>
              <w:rPr>
                <w:rFonts w:hint="eastAsia" w:ascii="宋体" w:hAnsi="宋体"/>
                <w:color w:val="auto"/>
                <w:szCs w:val="21"/>
                <w:highlight w:val="none"/>
              </w:rPr>
              <w:t>）对本工程的难点有充分的认识，措施具体，针对性强；得</w:t>
            </w:r>
            <w:r>
              <w:rPr>
                <w:rFonts w:hint="eastAsia" w:ascii="宋体" w:hAnsi="宋体"/>
                <w:color w:val="auto"/>
                <w:szCs w:val="21"/>
                <w:highlight w:val="none"/>
                <w:lang w:val="en-US" w:eastAsia="zh-CN"/>
              </w:rPr>
              <w:t>8</w:t>
            </w:r>
            <w:r>
              <w:rPr>
                <w:rFonts w:hint="eastAsia" w:ascii="宋体" w:hAnsi="宋体"/>
                <w:color w:val="auto"/>
                <w:szCs w:val="21"/>
                <w:highlight w:val="none"/>
              </w:rPr>
              <w:t>分；</w:t>
            </w:r>
          </w:p>
          <w:p w14:paraId="053B15FF">
            <w:pPr>
              <w:rPr>
                <w:rFonts w:hint="eastAsia"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良</w:t>
            </w:r>
            <w:r>
              <w:rPr>
                <w:rFonts w:hint="eastAsia" w:ascii="宋体" w:hAnsi="宋体"/>
                <w:color w:val="auto"/>
                <w:szCs w:val="21"/>
                <w:highlight w:val="none"/>
              </w:rPr>
              <w:t>）对本工程的难点有认识，措施有针对性但针对性</w:t>
            </w:r>
            <w:r>
              <w:rPr>
                <w:rFonts w:hint="eastAsia" w:ascii="宋体" w:hAnsi="宋体"/>
                <w:color w:val="auto"/>
                <w:szCs w:val="21"/>
                <w:highlight w:val="none"/>
                <w:lang w:val="en-US" w:eastAsia="zh-CN"/>
              </w:rPr>
              <w:t>较好</w:t>
            </w:r>
            <w:r>
              <w:rPr>
                <w:rFonts w:hint="eastAsia" w:ascii="宋体" w:hAnsi="宋体"/>
                <w:color w:val="auto"/>
                <w:szCs w:val="21"/>
                <w:highlight w:val="none"/>
              </w:rPr>
              <w:t>；得</w:t>
            </w:r>
            <w:r>
              <w:rPr>
                <w:rFonts w:hint="eastAsia" w:ascii="宋体" w:hAnsi="宋体"/>
                <w:color w:val="auto"/>
                <w:szCs w:val="21"/>
                <w:highlight w:val="none"/>
                <w:lang w:val="en-US" w:eastAsia="zh-CN"/>
              </w:rPr>
              <w:t>6</w:t>
            </w:r>
            <w:r>
              <w:rPr>
                <w:rFonts w:hint="eastAsia" w:ascii="宋体" w:hAnsi="宋体"/>
                <w:color w:val="auto"/>
                <w:szCs w:val="21"/>
                <w:highlight w:val="none"/>
              </w:rPr>
              <w:t>分；</w:t>
            </w:r>
          </w:p>
          <w:p w14:paraId="4A3D513E">
            <w:pPr>
              <w:rPr>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中</w:t>
            </w:r>
            <w:r>
              <w:rPr>
                <w:rFonts w:hint="eastAsia" w:ascii="宋体" w:hAnsi="宋体"/>
                <w:color w:val="auto"/>
                <w:szCs w:val="21"/>
                <w:highlight w:val="none"/>
              </w:rPr>
              <w:t>）对本工程的难点有认识，措施有针对性但不具体；得</w:t>
            </w:r>
            <w:r>
              <w:rPr>
                <w:rFonts w:hint="eastAsia" w:ascii="宋体" w:hAnsi="宋体"/>
                <w:color w:val="auto"/>
                <w:szCs w:val="21"/>
                <w:highlight w:val="none"/>
                <w:lang w:val="en-US" w:eastAsia="zh-CN"/>
              </w:rPr>
              <w:t>4</w:t>
            </w:r>
            <w:r>
              <w:rPr>
                <w:rFonts w:hint="eastAsia" w:ascii="宋体" w:hAnsi="宋体"/>
                <w:color w:val="auto"/>
                <w:szCs w:val="21"/>
                <w:highlight w:val="none"/>
              </w:rPr>
              <w:t>分；</w:t>
            </w:r>
          </w:p>
          <w:p w14:paraId="60390CB6">
            <w:pPr>
              <w:rPr>
                <w:rFonts w:ascii="宋体" w:hAnsi="宋体"/>
                <w:color w:val="auto"/>
                <w:szCs w:val="21"/>
                <w:highlight w:val="none"/>
              </w:rPr>
            </w:pPr>
            <w:r>
              <w:rPr>
                <w:rFonts w:hint="eastAsia" w:ascii="宋体" w:hAnsi="宋体"/>
                <w:color w:val="auto"/>
                <w:szCs w:val="21"/>
                <w:highlight w:val="none"/>
              </w:rPr>
              <w:t>（差）对本工程的难点没有充分的认识；得</w:t>
            </w:r>
            <w:r>
              <w:rPr>
                <w:rFonts w:hint="eastAsia" w:ascii="宋体" w:hAnsi="宋体"/>
                <w:color w:val="auto"/>
                <w:szCs w:val="21"/>
                <w:highlight w:val="none"/>
                <w:lang w:val="en-US" w:eastAsia="zh-CN"/>
              </w:rPr>
              <w:t>2</w:t>
            </w:r>
            <w:r>
              <w:rPr>
                <w:rFonts w:hint="eastAsia" w:ascii="宋体" w:hAnsi="宋体"/>
                <w:color w:val="auto"/>
                <w:szCs w:val="21"/>
                <w:highlight w:val="none"/>
              </w:rPr>
              <w:t>分。</w:t>
            </w:r>
          </w:p>
          <w:p w14:paraId="77413337">
            <w:pPr>
              <w:rPr>
                <w:rFonts w:ascii="宋体" w:hAnsi="宋体" w:cs="宋体"/>
                <w:szCs w:val="21"/>
                <w:highlight w:val="none"/>
              </w:rPr>
            </w:pPr>
            <w:r>
              <w:rPr>
                <w:rFonts w:hint="eastAsia" w:ascii="宋体" w:hAnsi="宋体"/>
                <w:color w:val="auto"/>
                <w:szCs w:val="21"/>
                <w:highlight w:val="none"/>
              </w:rPr>
              <w:t>没提供不得分。</w:t>
            </w:r>
          </w:p>
        </w:tc>
      </w:tr>
      <w:tr w14:paraId="65D08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jc w:val="center"/>
        </w:trPr>
        <w:tc>
          <w:tcPr>
            <w:tcW w:w="776" w:type="dxa"/>
            <w:vMerge w:val="continue"/>
            <w:vAlign w:val="center"/>
          </w:tcPr>
          <w:p w14:paraId="2DA7CEDB">
            <w:pPr>
              <w:spacing w:line="360" w:lineRule="auto"/>
              <w:ind w:left="106"/>
              <w:rPr>
                <w:rFonts w:ascii="宋体" w:hAnsi="宋体" w:cs="宋体"/>
                <w:b/>
                <w:highlight w:val="none"/>
              </w:rPr>
            </w:pPr>
          </w:p>
        </w:tc>
        <w:tc>
          <w:tcPr>
            <w:tcW w:w="1175" w:type="dxa"/>
            <w:vMerge w:val="continue"/>
            <w:vAlign w:val="center"/>
          </w:tcPr>
          <w:p w14:paraId="19B776C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b/>
                <w:highlight w:val="none"/>
              </w:rPr>
            </w:pPr>
          </w:p>
        </w:tc>
        <w:tc>
          <w:tcPr>
            <w:tcW w:w="1723" w:type="dxa"/>
            <w:vAlign w:val="center"/>
          </w:tcPr>
          <w:p w14:paraId="2F7784D5">
            <w:pPr>
              <w:spacing w:line="240" w:lineRule="exact"/>
              <w:jc w:val="center"/>
              <w:rPr>
                <w:rFonts w:ascii="宋体" w:hAnsi="宋体"/>
                <w:color w:val="auto"/>
                <w:szCs w:val="21"/>
                <w:highlight w:val="none"/>
              </w:rPr>
            </w:pPr>
            <w:r>
              <w:rPr>
                <w:rFonts w:hint="eastAsia" w:ascii="宋体" w:hAnsi="宋体"/>
                <w:color w:val="auto"/>
                <w:szCs w:val="21"/>
                <w:highlight w:val="none"/>
              </w:rPr>
              <w:t>保证审查质量及工期所采取的措施</w:t>
            </w:r>
          </w:p>
          <w:p w14:paraId="6D81564A">
            <w:pPr>
              <w:spacing w:line="240" w:lineRule="exact"/>
              <w:jc w:val="center"/>
              <w:rPr>
                <w:rFonts w:ascii="宋体" w:hAnsi="宋体" w:cs="宋体"/>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8</w:t>
            </w:r>
            <w:r>
              <w:rPr>
                <w:rFonts w:ascii="宋体" w:hAnsi="宋体"/>
                <w:color w:val="auto"/>
                <w:szCs w:val="21"/>
                <w:highlight w:val="none"/>
              </w:rPr>
              <w:t>分）</w:t>
            </w:r>
          </w:p>
        </w:tc>
        <w:tc>
          <w:tcPr>
            <w:tcW w:w="7073" w:type="dxa"/>
            <w:vAlign w:val="top"/>
          </w:tcPr>
          <w:p w14:paraId="728356EF">
            <w:pPr>
              <w:rPr>
                <w:rFonts w:hint="eastAsia"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优</w:t>
            </w:r>
            <w:r>
              <w:rPr>
                <w:rFonts w:hint="eastAsia" w:ascii="宋体" w:hAnsi="宋体"/>
                <w:color w:val="auto"/>
                <w:szCs w:val="21"/>
                <w:highlight w:val="none"/>
              </w:rPr>
              <w:t>）资源配备合理，针对本项目编制具体的工作制度，工作计划安排合理，质量及工期控制措施合理；得</w:t>
            </w:r>
            <w:r>
              <w:rPr>
                <w:rFonts w:hint="eastAsia" w:ascii="宋体" w:hAnsi="宋体"/>
                <w:color w:val="auto"/>
                <w:szCs w:val="21"/>
                <w:highlight w:val="none"/>
                <w:lang w:val="en-US" w:eastAsia="zh-CN"/>
              </w:rPr>
              <w:t>8</w:t>
            </w:r>
            <w:r>
              <w:rPr>
                <w:rFonts w:hint="eastAsia" w:ascii="宋体" w:hAnsi="宋体"/>
                <w:color w:val="auto"/>
                <w:szCs w:val="21"/>
                <w:highlight w:val="none"/>
              </w:rPr>
              <w:t>分；</w:t>
            </w:r>
          </w:p>
          <w:p w14:paraId="677EF364">
            <w:pPr>
              <w:rPr>
                <w:rFonts w:hint="eastAsia"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良</w:t>
            </w:r>
            <w:r>
              <w:rPr>
                <w:rFonts w:hint="eastAsia" w:ascii="宋体" w:hAnsi="宋体"/>
                <w:color w:val="auto"/>
                <w:szCs w:val="21"/>
                <w:highlight w:val="none"/>
              </w:rPr>
              <w:t>）资源配备合理，针对本项目编制工作制度，工作计划安排</w:t>
            </w:r>
            <w:r>
              <w:rPr>
                <w:rFonts w:hint="eastAsia" w:ascii="宋体" w:hAnsi="宋体"/>
                <w:color w:val="auto"/>
                <w:szCs w:val="21"/>
                <w:highlight w:val="none"/>
                <w:lang w:val="en-US" w:eastAsia="zh-CN"/>
              </w:rPr>
              <w:t>较</w:t>
            </w:r>
            <w:r>
              <w:rPr>
                <w:rFonts w:hint="eastAsia" w:ascii="宋体" w:hAnsi="宋体"/>
                <w:color w:val="auto"/>
                <w:szCs w:val="21"/>
                <w:highlight w:val="none"/>
              </w:rPr>
              <w:t>合理，质量及工期控制措施</w:t>
            </w:r>
            <w:r>
              <w:rPr>
                <w:rFonts w:hint="eastAsia" w:ascii="宋体" w:hAnsi="宋体"/>
                <w:color w:val="auto"/>
                <w:szCs w:val="21"/>
                <w:highlight w:val="none"/>
                <w:lang w:val="en-US" w:eastAsia="zh-CN"/>
              </w:rPr>
              <w:t>较</w:t>
            </w:r>
            <w:r>
              <w:rPr>
                <w:rFonts w:hint="eastAsia" w:ascii="宋体" w:hAnsi="宋体"/>
                <w:color w:val="auto"/>
                <w:szCs w:val="21"/>
                <w:highlight w:val="none"/>
              </w:rPr>
              <w:t>合理；得</w:t>
            </w:r>
            <w:r>
              <w:rPr>
                <w:rFonts w:hint="eastAsia" w:ascii="宋体" w:hAnsi="宋体"/>
                <w:color w:val="auto"/>
                <w:szCs w:val="21"/>
                <w:highlight w:val="none"/>
                <w:lang w:val="en-US" w:eastAsia="zh-CN"/>
              </w:rPr>
              <w:t>6</w:t>
            </w:r>
            <w:r>
              <w:rPr>
                <w:rFonts w:hint="eastAsia" w:ascii="宋体" w:hAnsi="宋体"/>
                <w:color w:val="auto"/>
                <w:szCs w:val="21"/>
                <w:highlight w:val="none"/>
              </w:rPr>
              <w:t>分；</w:t>
            </w:r>
          </w:p>
          <w:p w14:paraId="718CCC1E">
            <w:pPr>
              <w:rPr>
                <w:rFonts w:ascii="宋体" w:hAnsi="宋体"/>
                <w:color w:val="auto"/>
                <w:szCs w:val="21"/>
                <w:highlight w:val="none"/>
              </w:rPr>
            </w:pPr>
            <w:r>
              <w:rPr>
                <w:rFonts w:hint="eastAsia" w:ascii="宋体" w:hAnsi="宋体"/>
                <w:color w:val="auto"/>
                <w:szCs w:val="21"/>
                <w:highlight w:val="none"/>
              </w:rPr>
              <w:t>（中）资源配备合理，针对本项目编制具体的工作制度，工作计划安排基本合理，质量及工期控制措施基本合理；得</w:t>
            </w:r>
            <w:r>
              <w:rPr>
                <w:rFonts w:hint="eastAsia" w:ascii="宋体" w:hAnsi="宋体"/>
                <w:color w:val="auto"/>
                <w:szCs w:val="21"/>
                <w:highlight w:val="none"/>
                <w:lang w:val="en-US" w:eastAsia="zh-CN"/>
              </w:rPr>
              <w:t>4</w:t>
            </w:r>
            <w:r>
              <w:rPr>
                <w:rFonts w:hint="eastAsia" w:ascii="宋体" w:hAnsi="宋体"/>
                <w:color w:val="auto"/>
                <w:szCs w:val="21"/>
                <w:highlight w:val="none"/>
              </w:rPr>
              <w:t>分；</w:t>
            </w:r>
          </w:p>
          <w:p w14:paraId="68317B67">
            <w:pPr>
              <w:rPr>
                <w:rFonts w:ascii="宋体" w:hAnsi="宋体"/>
                <w:color w:val="auto"/>
                <w:szCs w:val="21"/>
                <w:highlight w:val="none"/>
              </w:rPr>
            </w:pPr>
            <w:r>
              <w:rPr>
                <w:rFonts w:hint="eastAsia" w:ascii="宋体" w:hAnsi="宋体"/>
                <w:color w:val="auto"/>
                <w:szCs w:val="21"/>
                <w:highlight w:val="none"/>
              </w:rPr>
              <w:t>（差）：保证施工图审查质量及工期所采用的措施不合理；得</w:t>
            </w:r>
            <w:r>
              <w:rPr>
                <w:rFonts w:hint="eastAsia" w:ascii="宋体" w:hAnsi="宋体"/>
                <w:color w:val="auto"/>
                <w:szCs w:val="21"/>
                <w:highlight w:val="none"/>
                <w:lang w:val="en-US" w:eastAsia="zh-CN"/>
              </w:rPr>
              <w:t>2</w:t>
            </w:r>
            <w:r>
              <w:rPr>
                <w:rFonts w:hint="eastAsia" w:ascii="宋体" w:hAnsi="宋体"/>
                <w:color w:val="auto"/>
                <w:szCs w:val="21"/>
                <w:highlight w:val="none"/>
              </w:rPr>
              <w:t>分。</w:t>
            </w:r>
          </w:p>
          <w:p w14:paraId="0F4E5FF8">
            <w:pPr>
              <w:rPr>
                <w:rFonts w:ascii="宋体" w:hAnsi="宋体" w:cs="宋体"/>
                <w:szCs w:val="21"/>
                <w:highlight w:val="none"/>
              </w:rPr>
            </w:pPr>
            <w:r>
              <w:rPr>
                <w:rFonts w:hint="eastAsia" w:ascii="宋体" w:hAnsi="宋体"/>
                <w:color w:val="auto"/>
                <w:szCs w:val="21"/>
                <w:highlight w:val="none"/>
              </w:rPr>
              <w:t>没提供不得分。</w:t>
            </w:r>
          </w:p>
        </w:tc>
      </w:tr>
      <w:tr w14:paraId="40294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4" w:hRule="atLeast"/>
          <w:jc w:val="center"/>
        </w:trPr>
        <w:tc>
          <w:tcPr>
            <w:tcW w:w="776" w:type="dxa"/>
            <w:vMerge w:val="continue"/>
            <w:vAlign w:val="center"/>
          </w:tcPr>
          <w:p w14:paraId="2468E633">
            <w:pPr>
              <w:spacing w:line="360" w:lineRule="auto"/>
              <w:ind w:left="106"/>
              <w:rPr>
                <w:rFonts w:ascii="宋体" w:hAnsi="宋体" w:cs="宋体"/>
                <w:b/>
                <w:highlight w:val="none"/>
              </w:rPr>
            </w:pPr>
          </w:p>
        </w:tc>
        <w:tc>
          <w:tcPr>
            <w:tcW w:w="1175" w:type="dxa"/>
            <w:vMerge w:val="continue"/>
            <w:vAlign w:val="center"/>
          </w:tcPr>
          <w:p w14:paraId="4840BE3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1"/>
                <w:szCs w:val="21"/>
                <w:highlight w:val="none"/>
                <w:vertAlign w:val="baseline"/>
                <w:lang w:val="en-US" w:eastAsia="zh-CN" w:bidi="ar-SA"/>
              </w:rPr>
            </w:pPr>
          </w:p>
        </w:tc>
        <w:tc>
          <w:tcPr>
            <w:tcW w:w="1723" w:type="dxa"/>
            <w:vAlign w:val="center"/>
          </w:tcPr>
          <w:p w14:paraId="3C153185">
            <w:pPr>
              <w:spacing w:line="240" w:lineRule="exact"/>
              <w:jc w:val="center"/>
              <w:rPr>
                <w:rFonts w:ascii="宋体" w:hAnsi="宋体"/>
                <w:color w:val="auto"/>
                <w:szCs w:val="21"/>
                <w:highlight w:val="none"/>
              </w:rPr>
            </w:pPr>
            <w:r>
              <w:rPr>
                <w:rFonts w:hint="eastAsia" w:ascii="宋体" w:hAnsi="宋体"/>
                <w:color w:val="auto"/>
                <w:szCs w:val="21"/>
                <w:highlight w:val="none"/>
              </w:rPr>
              <w:t>合理化建议</w:t>
            </w:r>
          </w:p>
          <w:p w14:paraId="476DD91B">
            <w:pPr>
              <w:spacing w:line="240" w:lineRule="exact"/>
              <w:jc w:val="center"/>
              <w:rPr>
                <w:rFonts w:hint="eastAsia"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8</w:t>
            </w:r>
            <w:r>
              <w:rPr>
                <w:rFonts w:ascii="宋体" w:hAnsi="宋体"/>
                <w:color w:val="auto"/>
                <w:szCs w:val="21"/>
                <w:highlight w:val="none"/>
              </w:rPr>
              <w:t>分）</w:t>
            </w:r>
          </w:p>
        </w:tc>
        <w:tc>
          <w:tcPr>
            <w:tcW w:w="7073" w:type="dxa"/>
            <w:vAlign w:val="center"/>
          </w:tcPr>
          <w:p w14:paraId="4927CD9E">
            <w:pPr>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优</w:t>
            </w:r>
            <w:r>
              <w:rPr>
                <w:rFonts w:hint="eastAsia" w:ascii="宋体" w:hAnsi="宋体"/>
                <w:color w:val="auto"/>
                <w:szCs w:val="21"/>
                <w:highlight w:val="none"/>
              </w:rPr>
              <w:t>）关于工程质量、工期、成本等提出的合理化建议合理；得</w:t>
            </w:r>
            <w:r>
              <w:rPr>
                <w:rFonts w:hint="eastAsia" w:ascii="宋体" w:hAnsi="宋体"/>
                <w:color w:val="auto"/>
                <w:szCs w:val="21"/>
                <w:highlight w:val="none"/>
                <w:lang w:val="en-US" w:eastAsia="zh-CN"/>
              </w:rPr>
              <w:t>8</w:t>
            </w:r>
            <w:r>
              <w:rPr>
                <w:rFonts w:ascii="宋体" w:hAnsi="宋体"/>
                <w:color w:val="auto"/>
                <w:szCs w:val="21"/>
                <w:highlight w:val="none"/>
              </w:rPr>
              <w:t>分；</w:t>
            </w:r>
          </w:p>
          <w:p w14:paraId="1CEE71AE">
            <w:pPr>
              <w:rPr>
                <w:rFonts w:hint="eastAsia"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良</w:t>
            </w:r>
            <w:r>
              <w:rPr>
                <w:rFonts w:hint="eastAsia" w:ascii="宋体" w:hAnsi="宋体"/>
                <w:color w:val="auto"/>
                <w:szCs w:val="21"/>
                <w:highlight w:val="none"/>
              </w:rPr>
              <w:t>）关于工程质量、工期、成本等提出的合理化建议</w:t>
            </w:r>
            <w:r>
              <w:rPr>
                <w:rFonts w:hint="eastAsia" w:ascii="宋体" w:hAnsi="宋体"/>
                <w:color w:val="auto"/>
                <w:szCs w:val="21"/>
                <w:highlight w:val="none"/>
                <w:lang w:val="en-US" w:eastAsia="zh-CN"/>
              </w:rPr>
              <w:t>较</w:t>
            </w:r>
            <w:r>
              <w:rPr>
                <w:rFonts w:hint="eastAsia" w:ascii="宋体" w:hAnsi="宋体"/>
                <w:color w:val="auto"/>
                <w:szCs w:val="21"/>
                <w:highlight w:val="none"/>
              </w:rPr>
              <w:t>合理；得</w:t>
            </w:r>
            <w:r>
              <w:rPr>
                <w:rFonts w:hint="eastAsia" w:ascii="宋体" w:hAnsi="宋体"/>
                <w:color w:val="auto"/>
                <w:szCs w:val="21"/>
                <w:highlight w:val="none"/>
                <w:lang w:val="en-US" w:eastAsia="zh-CN"/>
              </w:rPr>
              <w:t>6</w:t>
            </w:r>
            <w:r>
              <w:rPr>
                <w:rFonts w:ascii="宋体" w:hAnsi="宋体"/>
                <w:color w:val="auto"/>
                <w:szCs w:val="21"/>
                <w:highlight w:val="none"/>
              </w:rPr>
              <w:t>分；</w:t>
            </w:r>
          </w:p>
          <w:p w14:paraId="5B03D30D">
            <w:pPr>
              <w:rPr>
                <w:rFonts w:ascii="宋体" w:hAnsi="宋体"/>
                <w:color w:val="auto"/>
                <w:szCs w:val="21"/>
                <w:highlight w:val="none"/>
              </w:rPr>
            </w:pPr>
            <w:r>
              <w:rPr>
                <w:rFonts w:hint="eastAsia" w:ascii="宋体" w:hAnsi="宋体"/>
                <w:color w:val="auto"/>
                <w:szCs w:val="21"/>
                <w:highlight w:val="none"/>
              </w:rPr>
              <w:t>（中）关于工程质量、工期、成本等提出的合理化建议基本合理；得</w:t>
            </w:r>
            <w:r>
              <w:rPr>
                <w:rFonts w:hint="eastAsia" w:ascii="宋体" w:hAnsi="宋体"/>
                <w:color w:val="auto"/>
                <w:szCs w:val="21"/>
                <w:highlight w:val="none"/>
                <w:lang w:val="en-US" w:eastAsia="zh-CN"/>
              </w:rPr>
              <w:t>4</w:t>
            </w:r>
            <w:r>
              <w:rPr>
                <w:rFonts w:ascii="宋体" w:hAnsi="宋体"/>
                <w:color w:val="auto"/>
                <w:szCs w:val="21"/>
                <w:highlight w:val="none"/>
              </w:rPr>
              <w:t>分；</w:t>
            </w:r>
          </w:p>
          <w:p w14:paraId="360F5523">
            <w:pPr>
              <w:rPr>
                <w:rFonts w:ascii="宋体" w:hAnsi="宋体"/>
                <w:color w:val="auto"/>
                <w:szCs w:val="21"/>
                <w:highlight w:val="none"/>
              </w:rPr>
            </w:pPr>
            <w:r>
              <w:rPr>
                <w:rFonts w:hint="eastAsia" w:ascii="宋体" w:hAnsi="宋体"/>
                <w:color w:val="auto"/>
                <w:szCs w:val="21"/>
                <w:highlight w:val="none"/>
              </w:rPr>
              <w:t>（差）关于工程质量、工期、成本等提出的合理化建议差；得</w:t>
            </w:r>
            <w:r>
              <w:rPr>
                <w:rFonts w:hint="eastAsia" w:ascii="宋体" w:hAnsi="宋体"/>
                <w:color w:val="auto"/>
                <w:szCs w:val="21"/>
                <w:highlight w:val="none"/>
                <w:lang w:val="en-US" w:eastAsia="zh-CN"/>
              </w:rPr>
              <w:t>2</w:t>
            </w:r>
            <w:r>
              <w:rPr>
                <w:rFonts w:ascii="宋体" w:hAnsi="宋体"/>
                <w:color w:val="auto"/>
                <w:szCs w:val="21"/>
                <w:highlight w:val="none"/>
              </w:rPr>
              <w:t>分。</w:t>
            </w:r>
          </w:p>
          <w:p w14:paraId="4B3C2D8A">
            <w:pPr>
              <w:rPr>
                <w:rFonts w:hint="eastAsia" w:ascii="宋体" w:hAnsi="宋体"/>
                <w:color w:val="auto"/>
                <w:szCs w:val="21"/>
                <w:highlight w:val="none"/>
              </w:rPr>
            </w:pPr>
            <w:r>
              <w:rPr>
                <w:rFonts w:hint="eastAsia" w:ascii="宋体" w:hAnsi="宋体"/>
                <w:color w:val="auto"/>
                <w:szCs w:val="21"/>
                <w:highlight w:val="none"/>
              </w:rPr>
              <w:t>没提供不得分。</w:t>
            </w:r>
          </w:p>
        </w:tc>
      </w:tr>
      <w:tr w14:paraId="5E7BB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4" w:hRule="atLeast"/>
          <w:jc w:val="center"/>
        </w:trPr>
        <w:tc>
          <w:tcPr>
            <w:tcW w:w="776" w:type="dxa"/>
            <w:vMerge w:val="continue"/>
            <w:vAlign w:val="center"/>
          </w:tcPr>
          <w:p w14:paraId="3B0A8DD5">
            <w:pPr>
              <w:spacing w:line="360" w:lineRule="auto"/>
              <w:ind w:left="106"/>
              <w:rPr>
                <w:rFonts w:ascii="宋体" w:hAnsi="宋体" w:cs="宋体"/>
                <w:b/>
                <w:highlight w:val="none"/>
              </w:rPr>
            </w:pPr>
          </w:p>
        </w:tc>
        <w:tc>
          <w:tcPr>
            <w:tcW w:w="1175" w:type="dxa"/>
            <w:vMerge w:val="continue"/>
            <w:vAlign w:val="center"/>
          </w:tcPr>
          <w:p w14:paraId="1A05E62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1"/>
                <w:szCs w:val="21"/>
                <w:highlight w:val="none"/>
                <w:vertAlign w:val="baseline"/>
                <w:lang w:val="en-US" w:eastAsia="zh-CN" w:bidi="ar-SA"/>
              </w:rPr>
            </w:pPr>
          </w:p>
        </w:tc>
        <w:tc>
          <w:tcPr>
            <w:tcW w:w="1723" w:type="dxa"/>
            <w:vAlign w:val="center"/>
          </w:tcPr>
          <w:p w14:paraId="3FFCFD75">
            <w:pPr>
              <w:spacing w:after="0" w:line="240" w:lineRule="exact"/>
              <w:jc w:val="center"/>
              <w:rPr>
                <w:rFonts w:hint="eastAsia" w:ascii="宋体" w:hAnsi="宋体" w:eastAsia="宋体" w:cs="Times New Roman"/>
                <w:color w:val="auto"/>
                <w:kern w:val="2"/>
                <w:sz w:val="21"/>
                <w:szCs w:val="21"/>
                <w:highlight w:val="none"/>
                <w:u w:val="none"/>
                <w:lang w:val="en-US" w:eastAsia="zh-CN" w:bidi="ar-SA"/>
              </w:rPr>
            </w:pPr>
            <w:r>
              <w:rPr>
                <w:rFonts w:hint="eastAsia" w:ascii="宋体" w:hAnsi="宋体" w:eastAsia="宋体" w:cs="Times New Roman"/>
                <w:color w:val="auto"/>
                <w:kern w:val="2"/>
                <w:sz w:val="21"/>
                <w:szCs w:val="21"/>
                <w:highlight w:val="none"/>
                <w:u w:val="none"/>
                <w:lang w:val="en-US" w:eastAsia="zh-CN" w:bidi="ar-SA"/>
              </w:rPr>
              <w:t>组织协调</w:t>
            </w:r>
          </w:p>
          <w:p w14:paraId="150CA606">
            <w:pPr>
              <w:spacing w:line="240" w:lineRule="exact"/>
              <w:jc w:val="center"/>
              <w:rPr>
                <w:rFonts w:hint="eastAsia" w:ascii="宋体" w:hAnsi="宋体" w:eastAsia="宋体" w:cs="Times New Roman"/>
                <w:color w:val="auto"/>
                <w:szCs w:val="21"/>
                <w:highlight w:val="none"/>
              </w:rPr>
            </w:pPr>
            <w:r>
              <w:rPr>
                <w:rFonts w:hint="eastAsia" w:ascii="宋体" w:hAnsi="宋体" w:eastAsia="宋体" w:cs="Times New Roman"/>
                <w:color w:val="auto"/>
                <w:kern w:val="2"/>
                <w:sz w:val="21"/>
                <w:szCs w:val="21"/>
                <w:highlight w:val="none"/>
                <w:u w:val="none"/>
                <w:lang w:val="en-US" w:eastAsia="zh-CN" w:bidi="ar-SA"/>
              </w:rPr>
              <w:t>（8</w:t>
            </w:r>
            <w:r>
              <w:rPr>
                <w:rFonts w:hint="eastAsia" w:ascii="宋体" w:hAnsi="宋体" w:eastAsia="宋体" w:cs="Times New Roman"/>
                <w:color w:val="auto"/>
                <w:kern w:val="2"/>
                <w:sz w:val="21"/>
                <w:szCs w:val="21"/>
                <w:highlight w:val="none"/>
                <w:u w:val="none"/>
                <w:lang w:val="zh-CN" w:eastAsia="zh-CN" w:bidi="ar-SA"/>
              </w:rPr>
              <w:t>分</w:t>
            </w:r>
            <w:r>
              <w:rPr>
                <w:rFonts w:hint="eastAsia" w:ascii="宋体" w:hAnsi="宋体" w:eastAsia="宋体" w:cs="Times New Roman"/>
                <w:color w:val="auto"/>
                <w:kern w:val="2"/>
                <w:sz w:val="21"/>
                <w:szCs w:val="21"/>
                <w:highlight w:val="none"/>
                <w:u w:val="none"/>
                <w:lang w:val="en-US" w:eastAsia="zh-CN" w:bidi="ar-SA"/>
              </w:rPr>
              <w:t>）</w:t>
            </w:r>
          </w:p>
        </w:tc>
        <w:tc>
          <w:tcPr>
            <w:tcW w:w="7073" w:type="dxa"/>
            <w:vAlign w:val="center"/>
          </w:tcPr>
          <w:p w14:paraId="18A265B3">
            <w:pPr>
              <w:spacing w:after="0" w:line="240" w:lineRule="auto"/>
              <w:rPr>
                <w:rFonts w:hint="eastAsia" w:ascii="宋体" w:hAnsi="宋体" w:eastAsia="宋体" w:cs="宋体"/>
                <w:color w:val="auto"/>
                <w:kern w:val="2"/>
                <w:sz w:val="21"/>
                <w:szCs w:val="21"/>
                <w:highlight w:val="none"/>
                <w:u w:val="none" w:color="auto"/>
                <w:lang w:val="en-US" w:eastAsia="zh-CN" w:bidi="ar-SA"/>
              </w:rPr>
            </w:pPr>
            <w:r>
              <w:rPr>
                <w:rFonts w:hint="eastAsia" w:ascii="宋体" w:hAnsi="宋体"/>
                <w:color w:val="auto"/>
                <w:szCs w:val="21"/>
                <w:highlight w:val="none"/>
              </w:rPr>
              <w:t>（</w:t>
            </w:r>
            <w:r>
              <w:rPr>
                <w:rFonts w:hint="eastAsia" w:ascii="宋体" w:hAnsi="宋体"/>
                <w:color w:val="auto"/>
                <w:szCs w:val="21"/>
                <w:highlight w:val="none"/>
                <w:lang w:val="en-US" w:eastAsia="zh-CN"/>
              </w:rPr>
              <w:t>优）</w:t>
            </w:r>
            <w:r>
              <w:rPr>
                <w:rFonts w:hint="eastAsia" w:ascii="宋体" w:hAnsi="宋体" w:eastAsia="宋体" w:cs="宋体"/>
                <w:color w:val="auto"/>
                <w:kern w:val="2"/>
                <w:sz w:val="21"/>
                <w:szCs w:val="21"/>
                <w:highlight w:val="none"/>
                <w:u w:val="none" w:color="auto"/>
                <w:lang w:val="en-US" w:eastAsia="zh-CN" w:bidi="ar-SA"/>
              </w:rPr>
              <w:t>方案合理、可行，要求目标明确、协调思路清晰、协调措施针对性强</w:t>
            </w:r>
            <w:r>
              <w:rPr>
                <w:rFonts w:hint="eastAsia" w:ascii="宋体" w:hAnsi="宋体" w:eastAsia="宋体" w:cs="宋体"/>
                <w:color w:val="auto"/>
                <w:kern w:val="2"/>
                <w:sz w:val="21"/>
                <w:szCs w:val="21"/>
                <w:highlight w:val="none"/>
                <w:u w:val="none" w:color="auto"/>
                <w:lang w:val="zh-CN" w:eastAsia="zh-CN" w:bidi="ar-SA"/>
              </w:rPr>
              <w:t>的，</w:t>
            </w:r>
            <w:r>
              <w:rPr>
                <w:rFonts w:hint="eastAsia" w:ascii="宋体" w:hAnsi="宋体" w:eastAsia="宋体" w:cs="宋体"/>
                <w:color w:val="auto"/>
                <w:kern w:val="2"/>
                <w:sz w:val="21"/>
                <w:szCs w:val="21"/>
                <w:highlight w:val="none"/>
                <w:u w:val="none" w:color="auto"/>
                <w:lang w:val="en-US" w:eastAsia="zh-CN" w:bidi="ar-SA"/>
              </w:rPr>
              <w:t>得</w:t>
            </w:r>
            <w:r>
              <w:rPr>
                <w:rFonts w:hint="eastAsia" w:ascii="宋体" w:hAnsi="宋体" w:cs="宋体"/>
                <w:color w:val="auto"/>
                <w:kern w:val="2"/>
                <w:sz w:val="21"/>
                <w:szCs w:val="21"/>
                <w:highlight w:val="none"/>
                <w:u w:val="none" w:color="auto"/>
                <w:lang w:val="en-US" w:eastAsia="zh-CN" w:bidi="ar-SA"/>
              </w:rPr>
              <w:t>8</w:t>
            </w:r>
            <w:r>
              <w:rPr>
                <w:rFonts w:hint="eastAsia" w:ascii="宋体" w:hAnsi="宋体" w:eastAsia="宋体" w:cs="宋体"/>
                <w:color w:val="auto"/>
                <w:kern w:val="2"/>
                <w:sz w:val="21"/>
                <w:szCs w:val="21"/>
                <w:highlight w:val="none"/>
                <w:u w:val="none" w:color="auto"/>
                <w:lang w:val="en-US" w:eastAsia="zh-CN" w:bidi="ar-SA"/>
              </w:rPr>
              <w:t>分；</w:t>
            </w:r>
          </w:p>
          <w:p w14:paraId="59787CBF">
            <w:pPr>
              <w:spacing w:after="0" w:line="240" w:lineRule="auto"/>
              <w:rPr>
                <w:rFonts w:hint="eastAsia" w:ascii="宋体" w:hAnsi="宋体" w:eastAsia="宋体" w:cs="宋体"/>
                <w:color w:val="auto"/>
                <w:kern w:val="2"/>
                <w:sz w:val="21"/>
                <w:szCs w:val="21"/>
                <w:highlight w:val="none"/>
                <w:u w:val="none" w:color="auto"/>
                <w:lang w:val="en-US" w:eastAsia="zh-CN" w:bidi="ar-SA"/>
              </w:rPr>
            </w:pPr>
            <w:r>
              <w:rPr>
                <w:rFonts w:hint="eastAsia" w:ascii="宋体" w:hAnsi="宋体"/>
                <w:color w:val="auto"/>
                <w:szCs w:val="21"/>
                <w:highlight w:val="none"/>
              </w:rPr>
              <w:t>（</w:t>
            </w:r>
            <w:r>
              <w:rPr>
                <w:rFonts w:hint="eastAsia" w:ascii="宋体" w:hAnsi="宋体"/>
                <w:color w:val="auto"/>
                <w:szCs w:val="21"/>
                <w:highlight w:val="none"/>
                <w:lang w:val="en-US" w:eastAsia="zh-CN"/>
              </w:rPr>
              <w:t>良）</w:t>
            </w:r>
            <w:r>
              <w:rPr>
                <w:rFonts w:hint="eastAsia" w:ascii="宋体" w:hAnsi="宋体" w:eastAsia="宋体" w:cs="宋体"/>
                <w:color w:val="auto"/>
                <w:kern w:val="2"/>
                <w:sz w:val="21"/>
                <w:szCs w:val="21"/>
                <w:highlight w:val="none"/>
                <w:u w:val="none" w:color="auto"/>
                <w:lang w:val="en-US" w:eastAsia="zh-CN" w:bidi="ar-SA"/>
              </w:rPr>
              <w:t>方案合理、可行，要求目标比较明确、协调思路比较清晰、协调措施有针对性</w:t>
            </w:r>
            <w:r>
              <w:rPr>
                <w:rFonts w:hint="eastAsia" w:ascii="宋体" w:hAnsi="宋体" w:eastAsia="宋体" w:cs="宋体"/>
                <w:color w:val="auto"/>
                <w:kern w:val="2"/>
                <w:sz w:val="21"/>
                <w:szCs w:val="21"/>
                <w:highlight w:val="none"/>
                <w:u w:val="none" w:color="auto"/>
                <w:lang w:val="zh-CN" w:eastAsia="zh-CN" w:bidi="ar-SA"/>
              </w:rPr>
              <w:t>的，</w:t>
            </w:r>
            <w:r>
              <w:rPr>
                <w:rFonts w:hint="eastAsia" w:ascii="宋体" w:hAnsi="宋体" w:eastAsia="宋体" w:cs="宋体"/>
                <w:color w:val="auto"/>
                <w:kern w:val="2"/>
                <w:sz w:val="21"/>
                <w:szCs w:val="21"/>
                <w:highlight w:val="none"/>
                <w:u w:val="none" w:color="auto"/>
                <w:lang w:val="en-US" w:eastAsia="zh-CN" w:bidi="ar-SA"/>
              </w:rPr>
              <w:t>得</w:t>
            </w:r>
            <w:r>
              <w:rPr>
                <w:rFonts w:hint="eastAsia" w:ascii="宋体" w:hAnsi="宋体" w:cs="宋体"/>
                <w:color w:val="auto"/>
                <w:kern w:val="2"/>
                <w:sz w:val="21"/>
                <w:szCs w:val="21"/>
                <w:highlight w:val="none"/>
                <w:u w:val="none" w:color="auto"/>
                <w:lang w:val="en-US" w:eastAsia="zh-CN" w:bidi="ar-SA"/>
              </w:rPr>
              <w:t>6</w:t>
            </w:r>
            <w:r>
              <w:rPr>
                <w:rFonts w:hint="eastAsia" w:ascii="宋体" w:hAnsi="宋体" w:eastAsia="宋体" w:cs="宋体"/>
                <w:color w:val="auto"/>
                <w:kern w:val="2"/>
                <w:sz w:val="21"/>
                <w:szCs w:val="21"/>
                <w:highlight w:val="none"/>
                <w:u w:val="none" w:color="auto"/>
                <w:lang w:val="en-US" w:eastAsia="zh-CN" w:bidi="ar-SA"/>
              </w:rPr>
              <w:t>分；</w:t>
            </w:r>
          </w:p>
          <w:p w14:paraId="0F469E82">
            <w:pPr>
              <w:spacing w:after="0" w:line="240" w:lineRule="auto"/>
              <w:rPr>
                <w:rFonts w:hint="eastAsia" w:ascii="宋体" w:hAnsi="宋体" w:eastAsia="宋体" w:cs="宋体"/>
                <w:color w:val="auto"/>
                <w:kern w:val="2"/>
                <w:sz w:val="21"/>
                <w:szCs w:val="21"/>
                <w:highlight w:val="none"/>
                <w:u w:val="none" w:color="auto"/>
                <w:lang w:val="en-US" w:eastAsia="zh-CN" w:bidi="ar-SA"/>
              </w:rPr>
            </w:pPr>
            <w:r>
              <w:rPr>
                <w:rFonts w:hint="eastAsia" w:ascii="宋体" w:hAnsi="宋体"/>
                <w:color w:val="auto"/>
                <w:szCs w:val="21"/>
                <w:highlight w:val="none"/>
              </w:rPr>
              <w:t>（中）</w:t>
            </w:r>
            <w:r>
              <w:rPr>
                <w:rFonts w:hint="eastAsia" w:ascii="宋体" w:hAnsi="宋体" w:eastAsia="宋体" w:cs="宋体"/>
                <w:color w:val="auto"/>
                <w:kern w:val="2"/>
                <w:sz w:val="21"/>
                <w:szCs w:val="21"/>
                <w:highlight w:val="none"/>
                <w:u w:val="none" w:color="auto"/>
                <w:lang w:val="en-US" w:eastAsia="zh-CN" w:bidi="ar-SA"/>
              </w:rPr>
              <w:t>方案基本合理、可行，要求目标基本明确、协调思路基本清晰、有协调措施但无针对性的</w:t>
            </w:r>
            <w:r>
              <w:rPr>
                <w:rFonts w:hint="eastAsia" w:ascii="宋体" w:hAnsi="宋体" w:eastAsia="宋体" w:cs="宋体"/>
                <w:color w:val="auto"/>
                <w:kern w:val="2"/>
                <w:sz w:val="21"/>
                <w:szCs w:val="21"/>
                <w:highlight w:val="none"/>
                <w:u w:val="none" w:color="auto"/>
                <w:lang w:val="zh-CN" w:eastAsia="zh-CN" w:bidi="ar-SA"/>
              </w:rPr>
              <w:t>，</w:t>
            </w:r>
            <w:r>
              <w:rPr>
                <w:rFonts w:hint="eastAsia" w:ascii="宋体" w:hAnsi="宋体" w:eastAsia="宋体" w:cs="宋体"/>
                <w:color w:val="auto"/>
                <w:kern w:val="2"/>
                <w:sz w:val="21"/>
                <w:szCs w:val="21"/>
                <w:highlight w:val="none"/>
                <w:u w:val="none" w:color="auto"/>
                <w:lang w:val="en-US" w:eastAsia="zh-CN" w:bidi="ar-SA"/>
              </w:rPr>
              <w:t>得</w:t>
            </w:r>
            <w:r>
              <w:rPr>
                <w:rFonts w:hint="eastAsia" w:ascii="宋体" w:hAnsi="宋体" w:cs="宋体"/>
                <w:color w:val="auto"/>
                <w:kern w:val="2"/>
                <w:sz w:val="21"/>
                <w:szCs w:val="21"/>
                <w:highlight w:val="none"/>
                <w:u w:val="none" w:color="auto"/>
                <w:lang w:val="en-US" w:eastAsia="zh-CN" w:bidi="ar-SA"/>
              </w:rPr>
              <w:t>4</w:t>
            </w:r>
            <w:r>
              <w:rPr>
                <w:rFonts w:hint="eastAsia" w:ascii="宋体" w:hAnsi="宋体" w:eastAsia="宋体" w:cs="宋体"/>
                <w:color w:val="auto"/>
                <w:kern w:val="2"/>
                <w:sz w:val="21"/>
                <w:szCs w:val="21"/>
                <w:highlight w:val="none"/>
                <w:u w:val="none" w:color="auto"/>
                <w:lang w:val="en-US" w:eastAsia="zh-CN" w:bidi="ar-SA"/>
              </w:rPr>
              <w:t>分；</w:t>
            </w:r>
          </w:p>
          <w:p w14:paraId="587141AC">
            <w:pPr>
              <w:rPr>
                <w:rFonts w:hint="eastAsia" w:ascii="宋体" w:hAnsi="宋体" w:eastAsia="宋体" w:cs="宋体"/>
                <w:color w:val="auto"/>
                <w:kern w:val="2"/>
                <w:sz w:val="21"/>
                <w:szCs w:val="21"/>
                <w:highlight w:val="none"/>
                <w:u w:val="none" w:color="auto"/>
                <w:lang w:val="en-US" w:eastAsia="zh-CN" w:bidi="ar-SA"/>
              </w:rPr>
            </w:pPr>
            <w:r>
              <w:rPr>
                <w:rFonts w:hint="eastAsia" w:ascii="宋体" w:hAnsi="宋体"/>
                <w:color w:val="auto"/>
                <w:szCs w:val="21"/>
                <w:highlight w:val="none"/>
              </w:rPr>
              <w:t>（差）</w:t>
            </w:r>
            <w:r>
              <w:rPr>
                <w:rFonts w:hint="eastAsia" w:ascii="宋体" w:hAnsi="宋体"/>
                <w:color w:val="auto"/>
                <w:szCs w:val="21"/>
                <w:highlight w:val="none"/>
                <w:lang w:val="en-US" w:eastAsia="zh-CN"/>
              </w:rPr>
              <w:t>提供</w:t>
            </w:r>
            <w:r>
              <w:rPr>
                <w:rFonts w:hint="eastAsia" w:ascii="宋体" w:hAnsi="宋体" w:eastAsia="宋体" w:cs="宋体"/>
                <w:color w:val="auto"/>
                <w:kern w:val="2"/>
                <w:sz w:val="21"/>
                <w:szCs w:val="21"/>
                <w:highlight w:val="none"/>
                <w:u w:val="none" w:color="auto"/>
                <w:lang w:val="en-US" w:eastAsia="zh-CN" w:bidi="ar-SA"/>
              </w:rPr>
              <w:t>方案</w:t>
            </w:r>
            <w:r>
              <w:rPr>
                <w:rFonts w:hint="eastAsia" w:ascii="宋体" w:hAnsi="宋体"/>
                <w:color w:val="auto"/>
                <w:szCs w:val="21"/>
                <w:highlight w:val="none"/>
              </w:rPr>
              <w:t>建议差；得</w:t>
            </w:r>
            <w:r>
              <w:rPr>
                <w:rFonts w:hint="eastAsia" w:ascii="宋体" w:hAnsi="宋体"/>
                <w:color w:val="auto"/>
                <w:szCs w:val="21"/>
                <w:highlight w:val="none"/>
                <w:lang w:val="en-US" w:eastAsia="zh-CN"/>
              </w:rPr>
              <w:t>2</w:t>
            </w:r>
            <w:r>
              <w:rPr>
                <w:rFonts w:ascii="宋体" w:hAnsi="宋体"/>
                <w:color w:val="auto"/>
                <w:szCs w:val="21"/>
                <w:highlight w:val="none"/>
              </w:rPr>
              <w:t>分。</w:t>
            </w:r>
          </w:p>
          <w:p w14:paraId="028F63C6">
            <w:pPr>
              <w:pStyle w:val="26"/>
              <w:ind w:left="0" w:leftChars="0"/>
              <w:rPr>
                <w:rFonts w:hint="eastAsia"/>
                <w:highlight w:val="none"/>
              </w:rPr>
            </w:pPr>
            <w:r>
              <w:rPr>
                <w:rFonts w:hint="eastAsia" w:ascii="宋体" w:hAnsi="宋体"/>
                <w:color w:val="auto"/>
                <w:szCs w:val="21"/>
                <w:highlight w:val="none"/>
              </w:rPr>
              <w:t>没提供不得分。</w:t>
            </w:r>
          </w:p>
        </w:tc>
      </w:tr>
      <w:tr w14:paraId="7EE78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776" w:type="dxa"/>
            <w:vAlign w:val="center"/>
          </w:tcPr>
          <w:p w14:paraId="3BBF932E">
            <w:pPr>
              <w:spacing w:line="360" w:lineRule="auto"/>
              <w:ind w:left="106"/>
              <w:rPr>
                <w:rFonts w:ascii="宋体" w:hAnsi="宋体" w:cs="宋体"/>
                <w:b/>
                <w:highlight w:val="none"/>
              </w:rPr>
            </w:pPr>
          </w:p>
        </w:tc>
        <w:tc>
          <w:tcPr>
            <w:tcW w:w="1175" w:type="dxa"/>
            <w:vAlign w:val="center"/>
          </w:tcPr>
          <w:p w14:paraId="59D52F6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1"/>
                <w:szCs w:val="21"/>
                <w:highlight w:val="none"/>
                <w:vertAlign w:val="baseline"/>
                <w:lang w:val="en-US" w:eastAsia="zh-CN" w:bidi="ar-SA"/>
              </w:rPr>
            </w:pPr>
          </w:p>
        </w:tc>
        <w:tc>
          <w:tcPr>
            <w:tcW w:w="1723" w:type="dxa"/>
            <w:vAlign w:val="center"/>
          </w:tcPr>
          <w:p w14:paraId="63EBFCF7">
            <w:pPr>
              <w:spacing w:line="240" w:lineRule="exact"/>
              <w:jc w:val="center"/>
              <w:rPr>
                <w:color w:val="auto"/>
              </w:rPr>
            </w:pPr>
            <w:r>
              <w:rPr>
                <w:rFonts w:hint="eastAsia" w:ascii="宋体" w:hAnsi="宋体"/>
                <w:color w:val="auto"/>
              </w:rPr>
              <w:t>进度计划及其保证措施</w:t>
            </w:r>
            <w:r>
              <w:rPr>
                <w:color w:val="auto"/>
              </w:rPr>
              <w:t xml:space="preserve"> </w:t>
            </w:r>
          </w:p>
          <w:p w14:paraId="4DD81916">
            <w:pPr>
              <w:spacing w:line="240" w:lineRule="exact"/>
              <w:jc w:val="center"/>
              <w:rPr>
                <w:rFonts w:hint="eastAsia" w:ascii="宋体" w:hAnsi="宋体" w:eastAsia="宋体" w:cs="Times New Roman"/>
                <w:color w:val="auto"/>
                <w:kern w:val="2"/>
                <w:sz w:val="21"/>
                <w:szCs w:val="21"/>
                <w:highlight w:val="none"/>
                <w:u w:val="none"/>
                <w:lang w:val="en-US" w:eastAsia="zh-CN" w:bidi="ar-SA"/>
              </w:rPr>
            </w:pPr>
            <w:r>
              <w:rPr>
                <w:color w:val="auto"/>
              </w:rPr>
              <w:t xml:space="preserve"> (</w:t>
            </w:r>
            <w:r>
              <w:rPr>
                <w:rFonts w:hint="eastAsia"/>
                <w:color w:val="auto"/>
                <w:lang w:val="en-US" w:eastAsia="zh-CN"/>
              </w:rPr>
              <w:t>8</w:t>
            </w:r>
            <w:r>
              <w:rPr>
                <w:color w:val="auto"/>
              </w:rPr>
              <w:t>分)</w:t>
            </w:r>
          </w:p>
        </w:tc>
        <w:tc>
          <w:tcPr>
            <w:tcW w:w="7073" w:type="dxa"/>
            <w:vAlign w:val="center"/>
          </w:tcPr>
          <w:p w14:paraId="4FAF24C5">
            <w:pPr>
              <w:jc w:val="left"/>
              <w:rPr>
                <w:color w:val="auto"/>
              </w:rPr>
            </w:pPr>
            <w:r>
              <w:rPr>
                <w:rFonts w:hint="eastAsia" w:ascii="宋体" w:hAnsi="宋体"/>
                <w:color w:val="auto"/>
                <w:szCs w:val="21"/>
                <w:highlight w:val="none"/>
              </w:rPr>
              <w:t>（</w:t>
            </w:r>
            <w:r>
              <w:rPr>
                <w:rFonts w:hint="eastAsia" w:ascii="宋体" w:hAnsi="宋体"/>
                <w:color w:val="auto"/>
                <w:szCs w:val="21"/>
                <w:highlight w:val="none"/>
                <w:lang w:val="en-US" w:eastAsia="zh-CN"/>
              </w:rPr>
              <w:t>优）</w:t>
            </w:r>
            <w:r>
              <w:rPr>
                <w:rFonts w:hint="eastAsia" w:ascii="宋体" w:hAnsi="宋体" w:cs="SimSun-Identity-H"/>
                <w:color w:val="auto"/>
              </w:rPr>
              <w:t>进度安排完全合理、保证措施切实可行</w:t>
            </w:r>
            <w:r>
              <w:rPr>
                <w:color w:val="auto"/>
              </w:rPr>
              <w:t>，得</w:t>
            </w:r>
            <w:r>
              <w:rPr>
                <w:rFonts w:hint="eastAsia"/>
                <w:color w:val="auto"/>
                <w:lang w:val="en-US" w:eastAsia="zh-CN"/>
              </w:rPr>
              <w:t>8</w:t>
            </w:r>
            <w:r>
              <w:rPr>
                <w:color w:val="auto"/>
              </w:rPr>
              <w:t>分；</w:t>
            </w:r>
          </w:p>
          <w:p w14:paraId="1E81664B">
            <w:pPr>
              <w:jc w:val="left"/>
              <w:rPr>
                <w:rFonts w:hint="eastAsia" w:ascii="宋体" w:hAnsi="宋体"/>
                <w:color w:val="auto"/>
                <w:szCs w:val="21"/>
                <w:highlight w:val="none"/>
                <w:lang w:val="en-US"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良）</w:t>
            </w:r>
            <w:r>
              <w:rPr>
                <w:rFonts w:hint="eastAsia" w:ascii="宋体" w:hAnsi="宋体" w:cs="SimSun-Identity-H"/>
                <w:color w:val="auto"/>
              </w:rPr>
              <w:t>进度安排一般、保证措施</w:t>
            </w:r>
            <w:r>
              <w:rPr>
                <w:rFonts w:hint="eastAsia" w:ascii="宋体" w:hAnsi="宋体" w:cs="SimSun-Identity-H"/>
                <w:color w:val="auto"/>
                <w:lang w:val="en-US" w:eastAsia="zh-CN"/>
              </w:rPr>
              <w:t>较</w:t>
            </w:r>
            <w:r>
              <w:rPr>
                <w:rFonts w:hint="eastAsia" w:ascii="宋体" w:hAnsi="宋体" w:cs="SimSun-Identity-H"/>
                <w:color w:val="auto"/>
              </w:rPr>
              <w:t>可行</w:t>
            </w:r>
            <w:r>
              <w:rPr>
                <w:color w:val="auto"/>
              </w:rPr>
              <w:t>，得</w:t>
            </w:r>
            <w:r>
              <w:rPr>
                <w:rFonts w:hint="eastAsia"/>
                <w:color w:val="auto"/>
                <w:lang w:val="en-US" w:eastAsia="zh-CN"/>
              </w:rPr>
              <w:t>6</w:t>
            </w:r>
            <w:r>
              <w:rPr>
                <w:color w:val="auto"/>
              </w:rPr>
              <w:t>分；</w:t>
            </w:r>
          </w:p>
          <w:p w14:paraId="4032A7B0">
            <w:pPr>
              <w:jc w:val="left"/>
              <w:rPr>
                <w:color w:val="auto"/>
              </w:rPr>
            </w:pPr>
            <w:r>
              <w:rPr>
                <w:rFonts w:hint="eastAsia" w:ascii="宋体" w:hAnsi="宋体"/>
                <w:color w:val="auto"/>
                <w:szCs w:val="21"/>
                <w:highlight w:val="none"/>
              </w:rPr>
              <w:t>（中</w:t>
            </w:r>
            <w:r>
              <w:rPr>
                <w:rFonts w:hint="eastAsia" w:ascii="宋体" w:hAnsi="宋体"/>
                <w:color w:val="auto"/>
                <w:szCs w:val="21"/>
                <w:highlight w:val="none"/>
                <w:lang w:eastAsia="zh-CN"/>
              </w:rPr>
              <w:t>）</w:t>
            </w:r>
            <w:r>
              <w:rPr>
                <w:color w:val="auto"/>
              </w:rPr>
              <w:t xml:space="preserve"> </w:t>
            </w:r>
            <w:r>
              <w:rPr>
                <w:rFonts w:hint="eastAsia" w:ascii="宋体" w:hAnsi="宋体" w:cs="SimSun-Identity-H"/>
                <w:color w:val="auto"/>
              </w:rPr>
              <w:t>进度安排一般、保证措施基本可行</w:t>
            </w:r>
            <w:r>
              <w:rPr>
                <w:color w:val="auto"/>
              </w:rPr>
              <w:t>，得</w:t>
            </w:r>
            <w:r>
              <w:rPr>
                <w:rFonts w:hint="eastAsia"/>
                <w:color w:val="auto"/>
                <w:lang w:val="en-US" w:eastAsia="zh-CN"/>
              </w:rPr>
              <w:t>4</w:t>
            </w:r>
            <w:r>
              <w:rPr>
                <w:color w:val="auto"/>
              </w:rPr>
              <w:t>分；</w:t>
            </w:r>
          </w:p>
          <w:p w14:paraId="229D36BB">
            <w:pPr>
              <w:pStyle w:val="26"/>
              <w:ind w:left="0" w:leftChars="0"/>
              <w:rPr>
                <w:color w:val="auto"/>
              </w:rPr>
            </w:pPr>
            <w:r>
              <w:rPr>
                <w:rFonts w:hint="eastAsia" w:ascii="宋体" w:hAnsi="宋体"/>
                <w:color w:val="auto"/>
                <w:szCs w:val="21"/>
                <w:highlight w:val="none"/>
              </w:rPr>
              <w:t>（差）</w:t>
            </w:r>
            <w:r>
              <w:rPr>
                <w:rFonts w:hint="eastAsia" w:ascii="宋体" w:hAnsi="宋体" w:cs="SimSun-Identity-H"/>
                <w:color w:val="auto"/>
              </w:rPr>
              <w:t>进度安排不合理，保证措施不可行</w:t>
            </w:r>
            <w:r>
              <w:rPr>
                <w:color w:val="auto"/>
              </w:rPr>
              <w:t>，得</w:t>
            </w:r>
            <w:r>
              <w:rPr>
                <w:rFonts w:hint="eastAsia"/>
                <w:color w:val="auto"/>
                <w:lang w:val="en-US" w:eastAsia="zh-CN"/>
              </w:rPr>
              <w:t>2</w:t>
            </w:r>
            <w:r>
              <w:rPr>
                <w:color w:val="auto"/>
              </w:rPr>
              <w:t>分。</w:t>
            </w:r>
          </w:p>
          <w:p w14:paraId="026A51EF">
            <w:pPr>
              <w:rPr>
                <w:rFonts w:hint="eastAsia"/>
              </w:rPr>
            </w:pPr>
            <w:r>
              <w:rPr>
                <w:rFonts w:hint="eastAsia" w:ascii="宋体" w:hAnsi="宋体"/>
                <w:color w:val="auto"/>
                <w:szCs w:val="21"/>
                <w:highlight w:val="none"/>
              </w:rPr>
              <w:t>没提供不得分。</w:t>
            </w:r>
          </w:p>
        </w:tc>
      </w:tr>
      <w:tr w14:paraId="01320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776" w:type="dxa"/>
            <w:vAlign w:val="center"/>
          </w:tcPr>
          <w:p w14:paraId="0BFBA050">
            <w:pPr>
              <w:spacing w:after="180" w:line="360" w:lineRule="auto"/>
              <w:rPr>
                <w:rFonts w:ascii="宋体" w:hAnsi="宋体" w:cs="宋体"/>
                <w:szCs w:val="21"/>
                <w:highlight w:val="none"/>
              </w:rPr>
            </w:pPr>
            <w:r>
              <w:rPr>
                <w:rFonts w:hint="eastAsia" w:ascii="宋体" w:hAnsi="宋体" w:cs="宋体"/>
                <w:szCs w:val="21"/>
                <w:highlight w:val="none"/>
              </w:rPr>
              <w:t>2.2.4</w:t>
            </w:r>
          </w:p>
          <w:p w14:paraId="4F41D149">
            <w:pPr>
              <w:spacing w:after="180" w:line="360" w:lineRule="auto"/>
              <w:rPr>
                <w:rFonts w:ascii="宋体" w:hAnsi="宋体" w:cs="宋体"/>
                <w:szCs w:val="21"/>
                <w:highlight w:val="none"/>
              </w:rPr>
            </w:pPr>
            <w:r>
              <w:rPr>
                <w:rFonts w:hint="eastAsia" w:ascii="宋体" w:hAnsi="宋体" w:cs="宋体"/>
                <w:szCs w:val="21"/>
                <w:highlight w:val="none"/>
              </w:rPr>
              <w:t xml:space="preserve">（3） </w:t>
            </w:r>
          </w:p>
        </w:tc>
        <w:tc>
          <w:tcPr>
            <w:tcW w:w="1175" w:type="dxa"/>
            <w:vAlign w:val="center"/>
          </w:tcPr>
          <w:p w14:paraId="3F2D4E2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szCs w:val="21"/>
                <w:highlight w:val="none"/>
              </w:rPr>
            </w:pPr>
            <w:r>
              <w:rPr>
                <w:rFonts w:hint="eastAsia" w:ascii="宋体" w:hAnsi="宋体" w:cs="宋体"/>
                <w:szCs w:val="21"/>
                <w:highlight w:val="none"/>
              </w:rPr>
              <w:t>投标报价</w:t>
            </w:r>
            <w:r>
              <w:rPr>
                <w:rFonts w:hint="eastAsia" w:ascii="宋体" w:hAnsi="宋体" w:cs="宋体"/>
                <w:szCs w:val="21"/>
                <w:highlight w:val="none"/>
                <w:lang w:val="en-US" w:eastAsia="zh-CN"/>
              </w:rPr>
              <w:t>评分标准</w:t>
            </w:r>
            <w:r>
              <w:rPr>
                <w:rFonts w:hint="eastAsia" w:ascii="宋体" w:hAnsi="宋体" w:cs="宋体"/>
                <w:szCs w:val="21"/>
                <w:highlight w:val="none"/>
                <w:lang w:eastAsia="zh-CN"/>
              </w:rPr>
              <w:t>（</w:t>
            </w:r>
            <w:r>
              <w:rPr>
                <w:rFonts w:hint="eastAsia" w:ascii="宋体" w:hAnsi="宋体" w:cs="宋体"/>
                <w:szCs w:val="21"/>
                <w:highlight w:val="none"/>
                <w:lang w:val="en-US" w:eastAsia="zh-CN"/>
              </w:rPr>
              <w:t>10</w:t>
            </w:r>
            <w:r>
              <w:rPr>
                <w:rFonts w:hint="eastAsia" w:ascii="宋体" w:hAnsi="宋体" w:cs="宋体"/>
                <w:szCs w:val="21"/>
                <w:highlight w:val="none"/>
              </w:rPr>
              <w:t>分</w:t>
            </w:r>
            <w:r>
              <w:rPr>
                <w:rFonts w:hint="eastAsia" w:ascii="宋体" w:hAnsi="宋体" w:cs="宋体"/>
                <w:szCs w:val="21"/>
                <w:highlight w:val="none"/>
                <w:lang w:eastAsia="zh-CN"/>
              </w:rPr>
              <w:t>）</w:t>
            </w:r>
          </w:p>
        </w:tc>
        <w:tc>
          <w:tcPr>
            <w:tcW w:w="1723" w:type="dxa"/>
            <w:vAlign w:val="center"/>
          </w:tcPr>
          <w:p w14:paraId="481B405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szCs w:val="21"/>
                <w:highlight w:val="none"/>
              </w:rPr>
            </w:pPr>
            <w:r>
              <w:rPr>
                <w:rFonts w:hint="eastAsia" w:ascii="宋体" w:hAnsi="宋体" w:cs="宋体"/>
                <w:szCs w:val="21"/>
                <w:highlight w:val="none"/>
              </w:rPr>
              <w:t>投标报价</w:t>
            </w:r>
            <w:r>
              <w:rPr>
                <w:rFonts w:hint="eastAsia" w:ascii="宋体" w:hAnsi="宋体" w:cs="宋体"/>
                <w:szCs w:val="21"/>
                <w:highlight w:val="none"/>
                <w:lang w:val="en-US" w:eastAsia="zh-CN"/>
              </w:rPr>
              <w:t>评分标准</w:t>
            </w:r>
          </w:p>
        </w:tc>
        <w:tc>
          <w:tcPr>
            <w:tcW w:w="7073" w:type="dxa"/>
            <w:vAlign w:val="top"/>
          </w:tcPr>
          <w:p w14:paraId="12B9B404">
            <w:pPr>
              <w:pStyle w:val="62"/>
              <w:numPr>
                <w:ilvl w:val="0"/>
                <w:numId w:val="5"/>
              </w:numPr>
              <w:rPr>
                <w:rFonts w:ascii="宋体" w:hAnsi="宋体" w:cs="宋体"/>
                <w:bCs/>
                <w:color w:val="auto"/>
                <w:szCs w:val="21"/>
                <w:highlight w:val="none"/>
              </w:rPr>
            </w:pPr>
            <w:r>
              <w:rPr>
                <w:rFonts w:hint="eastAsia" w:ascii="宋体" w:hAnsi="宋体" w:cs="宋体"/>
                <w:bCs/>
                <w:color w:val="auto"/>
                <w:szCs w:val="21"/>
                <w:highlight w:val="none"/>
              </w:rPr>
              <w:t>评标基准价的确定（PC）</w:t>
            </w:r>
          </w:p>
          <w:p w14:paraId="30EEC71B">
            <w:pPr>
              <w:pStyle w:val="62"/>
              <w:numPr>
                <w:ilvl w:val="0"/>
                <w:numId w:val="6"/>
              </w:numPr>
              <w:rPr>
                <w:rFonts w:ascii="宋体" w:hAnsi="宋体" w:cs="宋体"/>
                <w:color w:val="auto"/>
                <w:szCs w:val="21"/>
                <w:highlight w:val="none"/>
              </w:rPr>
            </w:pPr>
            <w:r>
              <w:rPr>
                <w:rFonts w:hint="eastAsia" w:ascii="宋体" w:hAnsi="宋体"/>
                <w:color w:val="auto"/>
                <w:szCs w:val="21"/>
                <w:highlight w:val="none"/>
              </w:rPr>
              <w:t>通过初步评审的有效投标人的投标报价（投标报价是指算术复核后的投标报价）的算术平均值作为评标基准价（PC）。（评标基准价保留小数点后2位，第三位小数四舍五入，若角分均为零，则按阿拉伯数字0填写）</w:t>
            </w:r>
          </w:p>
          <w:p w14:paraId="4697C75C">
            <w:pPr>
              <w:pStyle w:val="62"/>
              <w:numPr>
                <w:ilvl w:val="0"/>
                <w:numId w:val="6"/>
              </w:numPr>
              <w:rPr>
                <w:rFonts w:ascii="宋体" w:hAnsi="宋体" w:cs="宋体"/>
                <w:color w:val="auto"/>
                <w:szCs w:val="21"/>
                <w:highlight w:val="none"/>
              </w:rPr>
            </w:pPr>
            <w:r>
              <w:rPr>
                <w:rFonts w:hint="eastAsia" w:ascii="宋体" w:hAnsi="宋体" w:cs="宋体"/>
                <w:color w:val="auto"/>
                <w:szCs w:val="21"/>
                <w:highlight w:val="none"/>
              </w:rPr>
              <w:t>投标报价得分计算：</w:t>
            </w:r>
          </w:p>
          <w:p w14:paraId="7DE64F03">
            <w:pPr>
              <w:jc w:val="left"/>
              <w:rPr>
                <w:rFonts w:ascii="宋体" w:hAnsi="宋体" w:cs="宋体"/>
                <w:color w:val="auto"/>
                <w:kern w:val="0"/>
                <w:szCs w:val="21"/>
                <w:highlight w:val="none"/>
              </w:rPr>
            </w:pPr>
            <w:r>
              <w:rPr>
                <w:rFonts w:hint="eastAsia" w:ascii="宋体" w:hAnsi="宋体"/>
                <w:color w:val="auto"/>
                <w:szCs w:val="21"/>
                <w:highlight w:val="none"/>
              </w:rPr>
              <w:t>以评标基准价作为计算各有效投标人的投标报价得分的基础。当有效投标人的投标报价（PT）等于评标基准价（PC）时，有效投标人的投标报价得分I=10分；有效投标人的投标报价（PT）比评标基准价（PC）每上偏1%扣</w:t>
            </w:r>
            <w:r>
              <w:rPr>
                <w:rFonts w:hint="eastAsia" w:ascii="宋体" w:hAnsi="宋体"/>
                <w:color w:val="auto"/>
                <w:szCs w:val="21"/>
                <w:highlight w:val="none"/>
                <w:lang w:val="en-US" w:eastAsia="zh-CN"/>
              </w:rPr>
              <w:t>0.4</w:t>
            </w:r>
            <w:r>
              <w:rPr>
                <w:rFonts w:hint="eastAsia" w:ascii="宋体" w:hAnsi="宋体"/>
                <w:color w:val="auto"/>
                <w:szCs w:val="21"/>
                <w:highlight w:val="none"/>
              </w:rPr>
              <w:t>分，每下偏1%扣0.</w:t>
            </w:r>
            <w:r>
              <w:rPr>
                <w:rFonts w:hint="eastAsia" w:ascii="宋体" w:hAnsi="宋体"/>
                <w:color w:val="auto"/>
                <w:szCs w:val="21"/>
                <w:highlight w:val="none"/>
                <w:lang w:val="en-US" w:eastAsia="zh-CN"/>
              </w:rPr>
              <w:t>1</w:t>
            </w:r>
            <w:r>
              <w:rPr>
                <w:rFonts w:hint="eastAsia" w:ascii="宋体" w:hAnsi="宋体"/>
                <w:color w:val="auto"/>
                <w:szCs w:val="21"/>
                <w:highlight w:val="none"/>
              </w:rPr>
              <w:t>分，最多扣至0分止。</w:t>
            </w:r>
          </w:p>
          <w:p w14:paraId="536DF758">
            <w:pPr>
              <w:jc w:val="left"/>
              <w:rPr>
                <w:rFonts w:ascii="宋体" w:hAnsi="宋体" w:cs="宋体"/>
                <w:color w:val="auto"/>
                <w:kern w:val="0"/>
                <w:szCs w:val="21"/>
                <w:highlight w:val="none"/>
              </w:rPr>
            </w:pPr>
            <w:r>
              <w:rPr>
                <w:rFonts w:hint="eastAsia" w:ascii="宋体" w:hAnsi="宋体" w:cs="宋体"/>
                <w:color w:val="auto"/>
                <w:kern w:val="0"/>
                <w:szCs w:val="21"/>
                <w:highlight w:val="none"/>
              </w:rPr>
              <w:t>计算公式为：</w:t>
            </w:r>
          </w:p>
          <w:p w14:paraId="13E4F554">
            <w:pPr>
              <w:pStyle w:val="9"/>
              <w:snapToGrid w:val="0"/>
              <w:ind w:firstLine="0" w:firstLineChars="0"/>
              <w:jc w:val="left"/>
              <w:rPr>
                <w:rFonts w:ascii="宋体" w:hAnsi="宋体" w:cs="宋体"/>
                <w:szCs w:val="21"/>
                <w:highlight w:val="none"/>
              </w:rPr>
            </w:pPr>
            <w:r>
              <w:rPr>
                <w:rFonts w:hint="eastAsia" w:ascii="宋体" w:hAnsi="宋体" w:cs="宋体"/>
                <w:color w:val="auto"/>
                <w:szCs w:val="21"/>
                <w:highlight w:val="none"/>
              </w:rPr>
              <w:t>投标报价得分=10-n*100*|PT-PC|/PC，当PT≥PC时，n=</w:t>
            </w:r>
            <w:r>
              <w:rPr>
                <w:rFonts w:hint="eastAsia" w:ascii="宋体" w:hAnsi="宋体" w:cs="宋体"/>
                <w:color w:val="auto"/>
                <w:szCs w:val="21"/>
                <w:highlight w:val="none"/>
                <w:lang w:val="en-US" w:eastAsia="zh-CN"/>
              </w:rPr>
              <w:t>0.4</w:t>
            </w:r>
            <w:r>
              <w:rPr>
                <w:rFonts w:hint="eastAsia" w:ascii="宋体" w:hAnsi="宋体" w:cs="宋体"/>
                <w:color w:val="auto"/>
                <w:szCs w:val="21"/>
                <w:highlight w:val="none"/>
              </w:rPr>
              <w:t>；当PT ＜PC时，n=0.</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w:t>
            </w:r>
            <w:r>
              <w:rPr>
                <w:rFonts w:hint="eastAsia" w:ascii="宋体" w:hAnsi="宋体"/>
                <w:color w:val="auto"/>
                <w:szCs w:val="21"/>
                <w:highlight w:val="none"/>
              </w:rPr>
              <w:t>（出现小数点时，保留小数点后二位，第三位小数四舍五入。）</w:t>
            </w:r>
          </w:p>
        </w:tc>
      </w:tr>
      <w:tr w14:paraId="68E16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776" w:type="dxa"/>
            <w:vAlign w:val="center"/>
          </w:tcPr>
          <w:p w14:paraId="7E8E7273">
            <w:pPr>
              <w:spacing w:after="180" w:line="360" w:lineRule="auto"/>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2.2.4（4）</w:t>
            </w:r>
          </w:p>
        </w:tc>
        <w:tc>
          <w:tcPr>
            <w:tcW w:w="1175" w:type="dxa"/>
            <w:vAlign w:val="center"/>
          </w:tcPr>
          <w:p w14:paraId="5BDF383D">
            <w:pPr>
              <w:spacing w:line="360" w:lineRule="auto"/>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信用得分</w:t>
            </w:r>
          </w:p>
          <w:p w14:paraId="56F296E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cs="宋体"/>
                <w:szCs w:val="21"/>
                <w:highlight w:val="none"/>
                <w:lang w:val="en-US"/>
              </w:rPr>
            </w:pP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10</w:t>
            </w:r>
            <w:r>
              <w:rPr>
                <w:rFonts w:hint="eastAsia" w:ascii="宋体" w:hAnsi="宋体" w:eastAsia="宋体" w:cs="Times New Roman"/>
                <w:color w:val="auto"/>
                <w:szCs w:val="21"/>
                <w:highlight w:val="none"/>
              </w:rPr>
              <w:t>分）</w:t>
            </w:r>
          </w:p>
        </w:tc>
        <w:tc>
          <w:tcPr>
            <w:tcW w:w="1723" w:type="dxa"/>
            <w:vAlign w:val="center"/>
          </w:tcPr>
          <w:p w14:paraId="3696C8D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cs="宋体"/>
                <w:szCs w:val="21"/>
                <w:highlight w:val="none"/>
                <w:lang w:val="en-US"/>
              </w:rPr>
            </w:pPr>
            <w:r>
              <w:rPr>
                <w:rFonts w:hint="eastAsia" w:ascii="宋体" w:hAnsi="宋体" w:eastAsia="宋体" w:cs="Times New Roman"/>
                <w:color w:val="auto"/>
                <w:szCs w:val="21"/>
                <w:highlight w:val="none"/>
              </w:rPr>
              <w:t>信用得分</w:t>
            </w:r>
            <w:r>
              <w:rPr>
                <w:rFonts w:hint="eastAsia" w:ascii="宋体" w:hAnsi="宋体" w:cs="宋体"/>
                <w:szCs w:val="21"/>
                <w:highlight w:val="none"/>
                <w:lang w:val="en-US" w:eastAsia="zh-CN"/>
              </w:rPr>
              <w:t>评分标准</w:t>
            </w:r>
          </w:p>
        </w:tc>
        <w:tc>
          <w:tcPr>
            <w:tcW w:w="7073" w:type="dxa"/>
            <w:vAlign w:val="top"/>
          </w:tcPr>
          <w:p w14:paraId="04691825">
            <w:pPr>
              <w:pStyle w:val="9"/>
              <w:snapToGrid w:val="0"/>
              <w:ind w:firstLine="0" w:firstLineChars="0"/>
              <w:jc w:val="left"/>
              <w:rPr>
                <w:rFonts w:hint="default" w:ascii="宋体" w:hAnsi="宋体" w:eastAsia="宋体" w:cs="Times New Roman"/>
                <w:color w:val="auto"/>
                <w:szCs w:val="21"/>
                <w:highlight w:val="none"/>
                <w:lang w:val="en-US" w:eastAsia="zh-CN"/>
              </w:rPr>
            </w:pPr>
            <w:r>
              <w:rPr>
                <w:rFonts w:hint="default" w:ascii="宋体" w:hAnsi="宋体" w:cs="宋体"/>
                <w:color w:val="auto"/>
                <w:szCs w:val="21"/>
                <w:highlight w:val="none"/>
                <w:lang w:val="en-US"/>
              </w:rPr>
              <w:t>投标人在广东省水利建设市场信用信息平台查询信用分数(超过100分的按 100分计算)×10%。</w:t>
            </w:r>
            <w:r>
              <w:rPr>
                <w:rFonts w:hint="eastAsia" w:ascii="宋体" w:hAnsi="宋体" w:cs="宋体"/>
                <w:color w:val="auto"/>
                <w:szCs w:val="21"/>
                <w:highlight w:val="none"/>
                <w:lang w:val="en-US" w:eastAsia="zh-CN"/>
              </w:rPr>
              <w:t>（</w:t>
            </w:r>
            <w:r>
              <w:rPr>
                <w:rFonts w:hint="default" w:ascii="宋体" w:hAnsi="宋体" w:cs="宋体"/>
                <w:color w:val="auto"/>
                <w:szCs w:val="21"/>
                <w:highlight w:val="none"/>
                <w:lang w:val="en-US"/>
              </w:rPr>
              <w:t>未入库企业或在广东省水利建设市场信用信息平台尚无</w:t>
            </w:r>
            <w:r>
              <w:rPr>
                <w:rFonts w:hint="eastAsia" w:ascii="宋体" w:hAnsi="宋体" w:cs="宋体"/>
                <w:color w:val="auto"/>
                <w:szCs w:val="21"/>
                <w:highlight w:val="none"/>
                <w:lang w:val="en-US" w:eastAsia="zh-CN"/>
              </w:rPr>
              <w:t>信用分数的投标人，其</w:t>
            </w:r>
            <w:r>
              <w:rPr>
                <w:rFonts w:hint="eastAsia" w:ascii="宋体" w:hAnsi="宋体" w:eastAsia="宋体" w:cs="Times New Roman"/>
                <w:color w:val="auto"/>
                <w:szCs w:val="21"/>
                <w:highlight w:val="none"/>
              </w:rPr>
              <w:t>信用得分</w:t>
            </w:r>
            <w:r>
              <w:rPr>
                <w:rFonts w:hint="eastAsia" w:ascii="宋体" w:hAnsi="宋体" w:cs="Times New Roman"/>
                <w:color w:val="auto"/>
                <w:szCs w:val="21"/>
                <w:highlight w:val="none"/>
                <w:lang w:val="en-US" w:eastAsia="zh-CN"/>
              </w:rPr>
              <w:t>按100分计算)。</w:t>
            </w:r>
          </w:p>
          <w:p w14:paraId="665CDA9C">
            <w:pPr>
              <w:pStyle w:val="9"/>
              <w:snapToGrid w:val="0"/>
              <w:ind w:firstLine="0" w:firstLineChars="0"/>
              <w:jc w:val="left"/>
              <w:rPr>
                <w:rFonts w:hint="default" w:ascii="宋体" w:hAnsi="宋体" w:cs="宋体"/>
                <w:color w:val="auto"/>
                <w:szCs w:val="21"/>
                <w:highlight w:val="none"/>
                <w:lang w:val="en-US"/>
              </w:rPr>
            </w:pPr>
            <w:r>
              <w:rPr>
                <w:rFonts w:hint="default" w:ascii="宋体" w:hAnsi="宋体" w:cs="宋体"/>
                <w:color w:val="auto"/>
                <w:szCs w:val="21"/>
                <w:highlight w:val="none"/>
                <w:lang w:val="en-US"/>
              </w:rPr>
              <w:t>注：投标人须提供在广东省水利建设市场信用信息平台的信用分截图加盖公章，最终信用分以评标委员会在现场实时查询为准。</w:t>
            </w:r>
          </w:p>
        </w:tc>
      </w:tr>
      <w:tr w14:paraId="5943D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0747" w:type="dxa"/>
            <w:gridSpan w:val="4"/>
            <w:vAlign w:val="center"/>
          </w:tcPr>
          <w:p w14:paraId="72DAF50C">
            <w:pPr>
              <w:jc w:val="left"/>
              <w:rPr>
                <w:rFonts w:hint="eastAsia"/>
                <w:highlight w:val="none"/>
              </w:rPr>
            </w:pPr>
            <w:r>
              <w:rPr>
                <w:rFonts w:hint="eastAsia"/>
                <w:highlight w:val="none"/>
              </w:rPr>
              <w:t>注：</w:t>
            </w:r>
          </w:p>
          <w:p w14:paraId="774D9FF4">
            <w:pPr>
              <w:numPr>
                <w:ilvl w:val="0"/>
                <w:numId w:val="7"/>
              </w:numPr>
              <w:jc w:val="left"/>
              <w:rPr>
                <w:rFonts w:hint="eastAsia"/>
                <w:color w:val="auto"/>
                <w:highlight w:val="none"/>
              </w:rPr>
            </w:pPr>
            <w:r>
              <w:rPr>
                <w:rFonts w:hint="eastAsia"/>
                <w:highlight w:val="none"/>
              </w:rPr>
              <w:t>投标人提供的人员社保证明</w:t>
            </w:r>
            <w:r>
              <w:rPr>
                <w:rFonts w:hint="eastAsia"/>
                <w:highlight w:val="none"/>
                <w:lang w:val="en-US" w:eastAsia="zh-CN"/>
              </w:rPr>
              <w:t>材料要求详见《投标人须知前附表》10.9项目要求，</w:t>
            </w:r>
            <w:r>
              <w:rPr>
                <w:rFonts w:hint="eastAsia"/>
                <w:highlight w:val="none"/>
              </w:rPr>
              <w:t>中标后需提供投标文件中人员</w:t>
            </w:r>
            <w:r>
              <w:rPr>
                <w:rFonts w:hint="eastAsia"/>
                <w:color w:val="auto"/>
                <w:highlight w:val="none"/>
              </w:rPr>
              <w:t>的社保补缴情况相关证明报招标人核实。</w:t>
            </w:r>
          </w:p>
          <w:p w14:paraId="1C76F29A">
            <w:pPr>
              <w:jc w:val="left"/>
              <w:rPr>
                <w:rFonts w:hint="default" w:ascii="宋体" w:hAnsi="宋体" w:cs="宋体"/>
                <w:color w:val="auto"/>
                <w:highlight w:val="none"/>
                <w:lang w:val="en-US" w:eastAsia="zh-CN"/>
              </w:rPr>
            </w:pPr>
            <w:r>
              <w:rPr>
                <w:rFonts w:hint="eastAsia" w:ascii="宋体" w:hAnsi="宋体" w:cs="宋体"/>
                <w:color w:val="auto"/>
                <w:highlight w:val="none"/>
                <w:lang w:val="en-US" w:eastAsia="zh-CN"/>
              </w:rPr>
              <w:t>2、水利工程规模等级参照《水利水电工程等级划分及洪水标准》（SL252-2017）进行确定。</w:t>
            </w:r>
          </w:p>
          <w:p w14:paraId="01BBFE59">
            <w:pPr>
              <w:jc w:val="left"/>
              <w:rPr>
                <w:rFonts w:hint="eastAsia"/>
                <w:highlight w:val="none"/>
              </w:rPr>
            </w:pP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如提供相关行业协会颁发的获奖证书，则须同时提供该行业协会在“全国社会组织信用信息公示平台（试运行）”的登记备案的网页查询截图（网址：https://xxgs.chinanpo.mca.gov.cn/gsxt/newList），证明其有登记备案，否则不得分。</w:t>
            </w:r>
          </w:p>
          <w:p w14:paraId="7317206C">
            <w:pPr>
              <w:jc w:val="left"/>
              <w:rPr>
                <w:highlight w:val="none"/>
              </w:rPr>
            </w:pPr>
            <w:r>
              <w:rPr>
                <w:rFonts w:hint="eastAsia"/>
                <w:highlight w:val="none"/>
                <w:lang w:val="en-US" w:eastAsia="zh-CN"/>
              </w:rPr>
              <w:t>4</w:t>
            </w:r>
            <w:r>
              <w:rPr>
                <w:rFonts w:hint="eastAsia"/>
                <w:highlight w:val="none"/>
              </w:rPr>
              <w:t>、投标人的综合得分为各评委的总评分去掉一个最高分和一个最低分后计取的算术平均分，评分如出现小数点，则保留小数点后两位，第三位四舍五入。</w:t>
            </w:r>
          </w:p>
        </w:tc>
      </w:tr>
    </w:tbl>
    <w:p w14:paraId="2CB22B29">
      <w:pPr>
        <w:pStyle w:val="31"/>
        <w:autoSpaceDE w:val="0"/>
        <w:spacing w:after="0"/>
        <w:ind w:left="-200" w:leftChars="0" w:right="-172" w:rightChars="-81" w:firstLine="217" w:firstLineChars="102"/>
        <w:rPr>
          <w:rFonts w:ascii="宋体" w:hAnsi="宋体"/>
          <w:highlight w:val="none"/>
        </w:rPr>
      </w:pPr>
    </w:p>
    <w:p w14:paraId="767FA7DF">
      <w:pPr>
        <w:pStyle w:val="4"/>
        <w:rPr>
          <w:rFonts w:ascii="宋体" w:hAnsi="宋体" w:eastAsia="宋体" w:cs="宋体"/>
        </w:rPr>
      </w:pPr>
      <w:r>
        <w:rPr>
          <w:rFonts w:hint="eastAsia" w:ascii="宋体" w:hAnsi="宋体" w:eastAsia="宋体" w:cs="宋体"/>
        </w:rPr>
        <w:br w:type="page"/>
      </w:r>
      <w:bookmarkStart w:id="265" w:name="_Toc5228"/>
      <w:bookmarkStart w:id="266" w:name="_Toc11131"/>
      <w:bookmarkStart w:id="267" w:name="_Toc24104589"/>
      <w:bookmarkStart w:id="268" w:name="_Toc21611"/>
      <w:r>
        <w:rPr>
          <w:rFonts w:hint="eastAsia" w:ascii="宋体" w:hAnsi="宋体" w:eastAsia="宋体" w:cs="宋体"/>
        </w:rPr>
        <w:t>1. 评标方法</w:t>
      </w:r>
      <w:bookmarkEnd w:id="265"/>
      <w:bookmarkEnd w:id="266"/>
      <w:bookmarkEnd w:id="267"/>
      <w:bookmarkEnd w:id="268"/>
    </w:p>
    <w:p w14:paraId="1A580894">
      <w:pPr>
        <w:spacing w:line="360" w:lineRule="auto"/>
        <w:ind w:firstLine="426" w:firstLineChars="200"/>
        <w:rPr>
          <w:rFonts w:ascii="宋体" w:hAnsi="宋体" w:cs="宋体"/>
          <w:u w:val="single"/>
        </w:rPr>
      </w:pPr>
      <w:r>
        <w:rPr>
          <w:rFonts w:hint="eastAsia" w:ascii="宋体" w:hAnsi="宋体" w:cs="宋体"/>
        </w:rPr>
        <w:t>本次评标采用综合评估法。评标委员会对满足招标文件实质性要求的投标文件，按照本章第 2.2 款规定的评分标准进行打分，并按</w:t>
      </w:r>
      <w:r>
        <w:rPr>
          <w:rFonts w:hint="eastAsia" w:ascii="宋体" w:hAnsi="宋体" w:cs="宋体"/>
          <w:lang w:val="en-US" w:eastAsia="zh-CN"/>
        </w:rPr>
        <w:t>总</w:t>
      </w:r>
      <w:r>
        <w:rPr>
          <w:rFonts w:hint="eastAsia" w:ascii="宋体" w:hAnsi="宋体" w:cs="宋体"/>
        </w:rPr>
        <w:t>得分由高到低顺序推荐中标候选人，</w:t>
      </w:r>
      <w:r>
        <w:rPr>
          <w:rFonts w:hint="eastAsia"/>
        </w:rPr>
        <w:t>投标人总得分由高到低排序前3名作为第一、第二、第三中标候选人，总得分相同时，则以投标报价得分高的排前；若投标报价得分也相同，则以</w:t>
      </w:r>
      <w:r>
        <w:rPr>
          <w:rFonts w:hint="eastAsia"/>
          <w:u w:val="single"/>
        </w:rPr>
        <w:t>施工图审查方案</w:t>
      </w:r>
      <w:r>
        <w:rPr>
          <w:rFonts w:hint="eastAsia"/>
        </w:rPr>
        <w:t>得分高的排前；若投标报价得分和</w:t>
      </w:r>
      <w:r>
        <w:rPr>
          <w:rFonts w:hint="eastAsia"/>
          <w:u w:val="single"/>
        </w:rPr>
        <w:t>施工图审查方案</w:t>
      </w:r>
      <w:r>
        <w:rPr>
          <w:rFonts w:hint="eastAsia"/>
        </w:rPr>
        <w:t>得分均相同，则对具有相同情况的投标人，按中标候选人数量规定，由评标委员会采用记名投票方式</w:t>
      </w:r>
      <w:r>
        <w:rPr>
          <w:rFonts w:hint="eastAsia"/>
          <w:lang w:eastAsia="zh-CN"/>
        </w:rPr>
        <w:t>（</w:t>
      </w:r>
      <w:r>
        <w:rPr>
          <w:rFonts w:hint="eastAsia"/>
          <w:lang w:val="en-US" w:eastAsia="zh-CN"/>
        </w:rPr>
        <w:t>不得弃权）</w:t>
      </w:r>
      <w:r>
        <w:rPr>
          <w:rFonts w:hint="eastAsia"/>
        </w:rPr>
        <w:t>，确定中标候选人的排序。</w:t>
      </w:r>
    </w:p>
    <w:p w14:paraId="3E4DE544">
      <w:pPr>
        <w:pStyle w:val="31"/>
        <w:spacing w:line="360" w:lineRule="auto"/>
        <w:ind w:left="0" w:leftChars="0"/>
        <w:rPr>
          <w:rFonts w:ascii="宋体" w:hAnsi="宋体" w:cs="宋体"/>
          <w:u w:val="single"/>
        </w:rPr>
      </w:pPr>
      <w:r>
        <w:rPr>
          <w:rFonts w:hint="eastAsia" w:ascii="宋体" w:hAnsi="宋体" w:cs="宋体"/>
          <w:u w:val="single"/>
        </w:rPr>
        <w:t>记名投票方式确定排序的具体步骤为：由评标委员会对出现该情况的的投标人采用记名投票的方式确定，按得票数高低进行排序，根据得票数高低确定中标候选人排序。</w:t>
      </w:r>
    </w:p>
    <w:p w14:paraId="4D6130D4">
      <w:pPr>
        <w:pStyle w:val="4"/>
        <w:rPr>
          <w:rFonts w:ascii="宋体" w:hAnsi="宋体" w:eastAsia="宋体" w:cs="宋体"/>
        </w:rPr>
      </w:pPr>
      <w:bookmarkStart w:id="269" w:name="_Toc24104590"/>
      <w:bookmarkStart w:id="270" w:name="_Toc31995"/>
      <w:bookmarkStart w:id="271" w:name="_Toc4785"/>
      <w:bookmarkStart w:id="272" w:name="_Toc1675"/>
      <w:r>
        <w:rPr>
          <w:rFonts w:hint="eastAsia" w:ascii="宋体" w:hAnsi="宋体" w:eastAsia="宋体" w:cs="宋体"/>
        </w:rPr>
        <w:t>2. 评审标准</w:t>
      </w:r>
      <w:bookmarkEnd w:id="269"/>
      <w:bookmarkEnd w:id="270"/>
      <w:bookmarkEnd w:id="271"/>
      <w:bookmarkEnd w:id="272"/>
    </w:p>
    <w:p w14:paraId="249B07AA">
      <w:pPr>
        <w:pStyle w:val="5"/>
        <w:spacing w:before="62" w:beforeLines="20" w:after="62" w:afterLines="20" w:line="360" w:lineRule="auto"/>
        <w:rPr>
          <w:rFonts w:ascii="宋体" w:hAnsi="宋体"/>
        </w:rPr>
      </w:pPr>
      <w:bookmarkStart w:id="273" w:name="_Toc24900"/>
      <w:bookmarkStart w:id="274" w:name="_Toc2567"/>
      <w:bookmarkStart w:id="275" w:name="_Toc23100"/>
      <w:bookmarkStart w:id="276" w:name="_Toc535834499"/>
      <w:bookmarkStart w:id="277" w:name="_Toc24104591"/>
      <w:r>
        <w:rPr>
          <w:rFonts w:hint="eastAsia" w:ascii="宋体" w:hAnsi="宋体"/>
        </w:rPr>
        <w:t>2.1 初步评审标准</w:t>
      </w:r>
      <w:bookmarkEnd w:id="273"/>
      <w:bookmarkEnd w:id="274"/>
      <w:bookmarkEnd w:id="275"/>
      <w:bookmarkEnd w:id="276"/>
      <w:bookmarkEnd w:id="277"/>
    </w:p>
    <w:p w14:paraId="6A81C5A5">
      <w:pPr>
        <w:spacing w:line="360" w:lineRule="auto"/>
        <w:ind w:firstLine="426" w:firstLineChars="200"/>
        <w:rPr>
          <w:rFonts w:ascii="宋体" w:hAnsi="宋体"/>
        </w:rPr>
      </w:pPr>
      <w:r>
        <w:rPr>
          <w:rFonts w:hint="eastAsia" w:ascii="宋体" w:hAnsi="宋体"/>
        </w:rPr>
        <w:t>2.1.1 形式评审标准：见评标办法前附表。</w:t>
      </w:r>
    </w:p>
    <w:p w14:paraId="0F883053">
      <w:pPr>
        <w:spacing w:line="360" w:lineRule="auto"/>
        <w:ind w:firstLine="426" w:firstLineChars="200"/>
        <w:rPr>
          <w:rFonts w:ascii="宋体" w:hAnsi="宋体"/>
        </w:rPr>
      </w:pPr>
      <w:r>
        <w:rPr>
          <w:rFonts w:hint="eastAsia" w:ascii="宋体" w:hAnsi="宋体"/>
        </w:rPr>
        <w:t>2.1.2 资格评审标准：见评标办法前附表。</w:t>
      </w:r>
    </w:p>
    <w:p w14:paraId="76B28A69">
      <w:pPr>
        <w:spacing w:line="360" w:lineRule="auto"/>
        <w:ind w:firstLine="426" w:firstLineChars="200"/>
        <w:rPr>
          <w:rFonts w:ascii="宋体" w:hAnsi="宋体"/>
        </w:rPr>
      </w:pPr>
      <w:r>
        <w:rPr>
          <w:rFonts w:hint="eastAsia" w:ascii="宋体" w:hAnsi="宋体"/>
        </w:rPr>
        <w:t>2.1.3 响应性评审标准：见评标办法前附表。</w:t>
      </w:r>
    </w:p>
    <w:p w14:paraId="3A74C911">
      <w:pPr>
        <w:pStyle w:val="5"/>
        <w:spacing w:before="62" w:beforeLines="20" w:after="62" w:afterLines="20" w:line="360" w:lineRule="auto"/>
        <w:rPr>
          <w:rFonts w:ascii="宋体" w:hAnsi="宋体"/>
        </w:rPr>
      </w:pPr>
      <w:bookmarkStart w:id="278" w:name="_Toc29693"/>
      <w:bookmarkStart w:id="279" w:name="_Toc30334"/>
      <w:bookmarkStart w:id="280" w:name="_Toc24104592"/>
      <w:bookmarkStart w:id="281" w:name="_Toc23097"/>
      <w:bookmarkStart w:id="282" w:name="_Toc535834500"/>
      <w:r>
        <w:rPr>
          <w:rFonts w:hint="eastAsia" w:ascii="宋体" w:hAnsi="宋体"/>
        </w:rPr>
        <w:t>2.2 分值构成与评分标准</w:t>
      </w:r>
      <w:bookmarkEnd w:id="278"/>
      <w:bookmarkEnd w:id="279"/>
      <w:bookmarkEnd w:id="280"/>
      <w:bookmarkEnd w:id="281"/>
      <w:bookmarkEnd w:id="282"/>
    </w:p>
    <w:p w14:paraId="2D5272CF">
      <w:pPr>
        <w:spacing w:line="360" w:lineRule="auto"/>
        <w:ind w:firstLine="426" w:firstLineChars="200"/>
        <w:rPr>
          <w:rFonts w:ascii="宋体" w:hAnsi="宋体"/>
        </w:rPr>
      </w:pPr>
      <w:r>
        <w:rPr>
          <w:rFonts w:hint="eastAsia" w:ascii="宋体" w:hAnsi="宋体"/>
        </w:rPr>
        <w:t>2.2.1 分值构成</w:t>
      </w:r>
    </w:p>
    <w:p w14:paraId="4F0B3CAD">
      <w:pPr>
        <w:spacing w:line="360" w:lineRule="auto"/>
        <w:ind w:firstLine="426" w:firstLineChars="200"/>
        <w:rPr>
          <w:rFonts w:ascii="宋体" w:hAnsi="宋体"/>
        </w:rPr>
      </w:pPr>
      <w:r>
        <w:rPr>
          <w:rFonts w:hint="eastAsia" w:ascii="宋体" w:hAnsi="宋体"/>
        </w:rPr>
        <w:t>（1）企业资信业绩：见评标办法前附表；</w:t>
      </w:r>
    </w:p>
    <w:p w14:paraId="7D238BA4">
      <w:pPr>
        <w:spacing w:line="360" w:lineRule="auto"/>
        <w:ind w:firstLine="426" w:firstLineChars="200"/>
        <w:rPr>
          <w:rFonts w:ascii="宋体" w:hAnsi="宋体"/>
        </w:rPr>
      </w:pPr>
      <w:r>
        <w:rPr>
          <w:rFonts w:hint="eastAsia" w:ascii="宋体" w:hAnsi="宋体"/>
        </w:rPr>
        <w:t>（2）</w:t>
      </w:r>
      <w:r>
        <w:rPr>
          <w:rFonts w:hint="eastAsia" w:ascii="宋体" w:hAnsi="宋体"/>
          <w:u w:val="single"/>
        </w:rPr>
        <w:t>施工图审查方案</w:t>
      </w:r>
      <w:r>
        <w:rPr>
          <w:rFonts w:hint="eastAsia" w:ascii="宋体" w:hAnsi="宋体"/>
        </w:rPr>
        <w:t>：见评标办法前附表；</w:t>
      </w:r>
    </w:p>
    <w:p w14:paraId="57B107C4">
      <w:pPr>
        <w:spacing w:line="360" w:lineRule="auto"/>
        <w:ind w:firstLine="426" w:firstLineChars="200"/>
        <w:rPr>
          <w:rFonts w:hint="eastAsia" w:ascii="宋体" w:hAnsi="宋体"/>
        </w:rPr>
      </w:pPr>
      <w:r>
        <w:rPr>
          <w:rFonts w:hint="eastAsia" w:ascii="宋体" w:hAnsi="宋体"/>
        </w:rPr>
        <w:t>（3）投标报价：见评标办法前附表；</w:t>
      </w:r>
    </w:p>
    <w:p w14:paraId="615CFCCB">
      <w:pPr>
        <w:spacing w:line="360" w:lineRule="auto"/>
        <w:ind w:firstLine="426" w:firstLineChars="200"/>
        <w:rPr>
          <w:rFonts w:hint="eastAsia" w:ascii="宋体" w:hAnsi="宋体" w:eastAsia="宋体"/>
          <w:u w:val="single"/>
          <w:lang w:val="en-US" w:eastAsia="zh-CN"/>
        </w:rPr>
      </w:pPr>
      <w:r>
        <w:rPr>
          <w:rFonts w:hint="eastAsia" w:ascii="宋体" w:hAnsi="宋体"/>
          <w:u w:val="single"/>
          <w:lang w:eastAsia="zh-CN"/>
        </w:rPr>
        <w:t>（</w:t>
      </w:r>
      <w:r>
        <w:rPr>
          <w:rFonts w:hint="eastAsia" w:ascii="宋体" w:hAnsi="宋体"/>
          <w:u w:val="single"/>
          <w:lang w:val="en-US" w:eastAsia="zh-CN"/>
        </w:rPr>
        <w:t>4）</w:t>
      </w:r>
      <w:r>
        <w:rPr>
          <w:rFonts w:hint="eastAsia" w:ascii="宋体" w:hAnsi="宋体" w:eastAsia="宋体" w:cs="Times New Roman"/>
          <w:color w:val="auto"/>
          <w:szCs w:val="21"/>
          <w:highlight w:val="none"/>
          <w:u w:val="single"/>
        </w:rPr>
        <w:t>信用得分</w:t>
      </w:r>
      <w:r>
        <w:rPr>
          <w:rFonts w:hint="eastAsia" w:ascii="宋体" w:hAnsi="宋体" w:cs="Times New Roman"/>
          <w:color w:val="auto"/>
          <w:szCs w:val="21"/>
          <w:highlight w:val="none"/>
          <w:u w:val="single"/>
          <w:lang w:eastAsia="zh-CN"/>
        </w:rPr>
        <w:t>：</w:t>
      </w:r>
      <w:r>
        <w:rPr>
          <w:rFonts w:hint="eastAsia" w:ascii="宋体" w:hAnsi="宋体"/>
          <w:u w:val="single"/>
        </w:rPr>
        <w:t>见评标办法前附表；</w:t>
      </w:r>
    </w:p>
    <w:p w14:paraId="3D83C757">
      <w:pPr>
        <w:spacing w:line="360" w:lineRule="auto"/>
        <w:ind w:firstLine="426" w:firstLineChars="200"/>
        <w:rPr>
          <w:rFonts w:ascii="宋体" w:hAnsi="宋体"/>
        </w:rPr>
      </w:pPr>
      <w:r>
        <w:rPr>
          <w:rFonts w:hint="eastAsia" w:ascii="宋体" w:hAnsi="宋体"/>
        </w:rPr>
        <w:t>2.2.2 评标基准价计算</w:t>
      </w:r>
    </w:p>
    <w:p w14:paraId="038325FB">
      <w:pPr>
        <w:spacing w:line="360" w:lineRule="auto"/>
        <w:ind w:firstLine="1065" w:firstLineChars="500"/>
        <w:rPr>
          <w:rFonts w:ascii="宋体" w:hAnsi="宋体"/>
        </w:rPr>
      </w:pPr>
      <w:r>
        <w:rPr>
          <w:rFonts w:hint="eastAsia" w:ascii="宋体" w:hAnsi="宋体"/>
        </w:rPr>
        <w:t>评标基准价计算方法：见评标办法前附表。</w:t>
      </w:r>
    </w:p>
    <w:p w14:paraId="5954CBB3">
      <w:pPr>
        <w:spacing w:line="360" w:lineRule="auto"/>
        <w:ind w:firstLine="426" w:firstLineChars="200"/>
        <w:rPr>
          <w:rFonts w:ascii="宋体" w:hAnsi="宋体"/>
        </w:rPr>
      </w:pPr>
      <w:r>
        <w:rPr>
          <w:rFonts w:hint="eastAsia" w:ascii="宋体" w:hAnsi="宋体"/>
        </w:rPr>
        <w:t>2.2.3 投标报价的偏差率计算</w:t>
      </w:r>
    </w:p>
    <w:p w14:paraId="251770BD">
      <w:pPr>
        <w:spacing w:line="360" w:lineRule="auto"/>
        <w:ind w:firstLine="1065" w:firstLineChars="500"/>
        <w:rPr>
          <w:rFonts w:ascii="宋体" w:hAnsi="宋体"/>
        </w:rPr>
      </w:pPr>
      <w:r>
        <w:rPr>
          <w:rFonts w:hint="eastAsia" w:ascii="宋体" w:hAnsi="宋体"/>
        </w:rPr>
        <w:t>投标报价的偏差率计算公式：见评标办法前附表。</w:t>
      </w:r>
    </w:p>
    <w:p w14:paraId="0F4CCCEB">
      <w:pPr>
        <w:spacing w:line="360" w:lineRule="auto"/>
        <w:ind w:firstLine="426" w:firstLineChars="200"/>
        <w:rPr>
          <w:rFonts w:ascii="宋体" w:hAnsi="宋体"/>
        </w:rPr>
      </w:pPr>
      <w:r>
        <w:rPr>
          <w:rFonts w:hint="eastAsia" w:ascii="宋体" w:hAnsi="宋体"/>
        </w:rPr>
        <w:t>2.2.4 评分标准</w:t>
      </w:r>
    </w:p>
    <w:p w14:paraId="105E0713">
      <w:pPr>
        <w:spacing w:line="360" w:lineRule="auto"/>
        <w:ind w:firstLine="426" w:firstLineChars="200"/>
        <w:rPr>
          <w:rFonts w:ascii="宋体" w:hAnsi="宋体"/>
        </w:rPr>
      </w:pPr>
      <w:r>
        <w:rPr>
          <w:rFonts w:hint="eastAsia" w:ascii="宋体" w:hAnsi="宋体"/>
        </w:rPr>
        <w:t>（1）企业资信业绩评分标准：见评标办法前附表；</w:t>
      </w:r>
    </w:p>
    <w:p w14:paraId="0242241F">
      <w:pPr>
        <w:spacing w:line="360" w:lineRule="auto"/>
        <w:ind w:firstLine="426" w:firstLineChars="200"/>
        <w:rPr>
          <w:rFonts w:ascii="宋体" w:hAnsi="宋体"/>
        </w:rPr>
      </w:pPr>
      <w:r>
        <w:rPr>
          <w:rFonts w:hint="eastAsia" w:ascii="宋体" w:hAnsi="宋体"/>
        </w:rPr>
        <w:t>（2）</w:t>
      </w:r>
      <w:r>
        <w:rPr>
          <w:rFonts w:hint="eastAsia" w:ascii="宋体" w:hAnsi="宋体"/>
          <w:u w:val="single"/>
        </w:rPr>
        <w:t>施工图审查方案</w:t>
      </w:r>
      <w:r>
        <w:rPr>
          <w:rFonts w:hint="eastAsia" w:ascii="宋体" w:hAnsi="宋体"/>
        </w:rPr>
        <w:t>评分标准：见评标办法前附表；</w:t>
      </w:r>
    </w:p>
    <w:p w14:paraId="3E705FED">
      <w:pPr>
        <w:spacing w:line="360" w:lineRule="auto"/>
        <w:ind w:firstLine="426" w:firstLineChars="200"/>
        <w:rPr>
          <w:rFonts w:hint="eastAsia" w:ascii="宋体" w:hAnsi="宋体"/>
        </w:rPr>
      </w:pPr>
      <w:r>
        <w:rPr>
          <w:rFonts w:hint="eastAsia" w:ascii="宋体" w:hAnsi="宋体"/>
        </w:rPr>
        <w:t>（3）投标报价评分标准：见评标办法前附表；</w:t>
      </w:r>
    </w:p>
    <w:p w14:paraId="3DD8252C">
      <w:pPr>
        <w:spacing w:line="360" w:lineRule="auto"/>
        <w:ind w:firstLine="426" w:firstLineChars="200"/>
        <w:rPr>
          <w:rFonts w:hint="eastAsia" w:ascii="宋体" w:hAnsi="宋体"/>
        </w:rPr>
      </w:pPr>
      <w:r>
        <w:rPr>
          <w:rFonts w:hint="eastAsia" w:ascii="宋体" w:hAnsi="宋体"/>
          <w:u w:val="none"/>
          <w:lang w:eastAsia="zh-CN"/>
        </w:rPr>
        <w:t>（</w:t>
      </w:r>
      <w:r>
        <w:rPr>
          <w:rFonts w:hint="eastAsia" w:ascii="宋体" w:hAnsi="宋体"/>
          <w:u w:val="none"/>
          <w:lang w:val="en-US" w:eastAsia="zh-CN"/>
        </w:rPr>
        <w:t>4）</w:t>
      </w:r>
      <w:r>
        <w:rPr>
          <w:rFonts w:hint="eastAsia" w:ascii="宋体" w:hAnsi="宋体" w:eastAsia="宋体" w:cs="Times New Roman"/>
          <w:color w:val="auto"/>
          <w:szCs w:val="21"/>
          <w:highlight w:val="none"/>
          <w:u w:val="none"/>
        </w:rPr>
        <w:t>信用</w:t>
      </w:r>
      <w:r>
        <w:rPr>
          <w:rFonts w:hint="eastAsia" w:ascii="宋体" w:hAnsi="宋体"/>
        </w:rPr>
        <w:t>评分标准</w:t>
      </w:r>
      <w:r>
        <w:rPr>
          <w:rFonts w:hint="eastAsia" w:ascii="宋体" w:hAnsi="宋体" w:cs="Times New Roman"/>
          <w:color w:val="auto"/>
          <w:szCs w:val="21"/>
          <w:highlight w:val="none"/>
          <w:u w:val="none"/>
          <w:lang w:eastAsia="zh-CN"/>
        </w:rPr>
        <w:t>：</w:t>
      </w:r>
      <w:r>
        <w:rPr>
          <w:rFonts w:hint="eastAsia" w:ascii="宋体" w:hAnsi="宋体"/>
          <w:u w:val="none"/>
        </w:rPr>
        <w:t>见评标办法前附表；</w:t>
      </w:r>
    </w:p>
    <w:p w14:paraId="781CD672">
      <w:pPr>
        <w:pStyle w:val="4"/>
        <w:rPr>
          <w:rFonts w:ascii="宋体" w:hAnsi="宋体" w:eastAsia="宋体"/>
        </w:rPr>
      </w:pPr>
      <w:bookmarkStart w:id="283" w:name="_Toc535834501"/>
      <w:bookmarkStart w:id="284" w:name="_Toc32091"/>
      <w:bookmarkStart w:id="285" w:name="_Toc19261"/>
      <w:bookmarkStart w:id="286" w:name="_Toc4880"/>
      <w:bookmarkStart w:id="287" w:name="_Toc24104593"/>
      <w:r>
        <w:rPr>
          <w:rFonts w:hint="eastAsia" w:ascii="宋体" w:hAnsi="宋体" w:eastAsia="宋体"/>
        </w:rPr>
        <w:t>3. 评标程序</w:t>
      </w:r>
      <w:bookmarkEnd w:id="283"/>
      <w:bookmarkEnd w:id="284"/>
      <w:bookmarkEnd w:id="285"/>
      <w:bookmarkEnd w:id="286"/>
      <w:bookmarkEnd w:id="287"/>
    </w:p>
    <w:p w14:paraId="055BD1F9">
      <w:pPr>
        <w:pStyle w:val="5"/>
        <w:spacing w:before="62" w:beforeLines="20" w:after="62" w:afterLines="20" w:line="360" w:lineRule="auto"/>
        <w:rPr>
          <w:rFonts w:ascii="宋体" w:hAnsi="宋体"/>
        </w:rPr>
      </w:pPr>
      <w:bookmarkStart w:id="288" w:name="_Toc24104594"/>
      <w:bookmarkStart w:id="289" w:name="_Toc535834502"/>
      <w:bookmarkStart w:id="290" w:name="_Toc16301"/>
      <w:bookmarkStart w:id="291" w:name="_Toc12390"/>
      <w:bookmarkStart w:id="292" w:name="_Toc30169"/>
      <w:r>
        <w:rPr>
          <w:rFonts w:hint="eastAsia" w:ascii="宋体" w:hAnsi="宋体"/>
        </w:rPr>
        <w:t>3.1 初步评审</w:t>
      </w:r>
      <w:bookmarkEnd w:id="288"/>
      <w:bookmarkEnd w:id="289"/>
      <w:bookmarkEnd w:id="290"/>
      <w:bookmarkEnd w:id="291"/>
      <w:bookmarkEnd w:id="292"/>
    </w:p>
    <w:p w14:paraId="2B6021E9">
      <w:pPr>
        <w:spacing w:line="360" w:lineRule="auto"/>
        <w:ind w:firstLine="426" w:firstLineChars="200"/>
        <w:rPr>
          <w:rFonts w:hint="eastAsia" w:ascii="宋体" w:hAnsi="宋体" w:eastAsia="宋体"/>
          <w:b/>
          <w:bCs/>
          <w:szCs w:val="21"/>
          <w:u w:val="single"/>
          <w:lang w:eastAsia="zh-CN"/>
        </w:rPr>
      </w:pPr>
      <w:r>
        <w:rPr>
          <w:rFonts w:hint="eastAsia" w:ascii="宋体" w:hAnsi="宋体"/>
          <w:szCs w:val="21"/>
        </w:rPr>
        <w:t>3.1.1 评标委员会可以要求投标人提交第二章“投标人须知”规定的有关证明和证件的原件，以便核验。评标委员会依据本章第 2.1 款规定的标准对投标文件进行初步评审。有一项不符合评审标准的，评标委员会应当否决其投标。</w:t>
      </w:r>
      <w:r>
        <w:rPr>
          <w:rFonts w:hint="eastAsia" w:ascii="宋体" w:hAnsi="宋体"/>
          <w:szCs w:val="21"/>
          <w:u w:val="single"/>
        </w:rPr>
        <w:t>若评委意见不一致时，则按少数服从多数的原则，作出评审结论。</w:t>
      </w:r>
      <w:r>
        <w:rPr>
          <w:rFonts w:hint="eastAsia" w:ascii="宋体" w:hAnsi="宋体"/>
          <w:szCs w:val="21"/>
          <w:u w:val="single"/>
          <w:lang w:eastAsia="zh-CN"/>
        </w:rPr>
        <w:t>（</w:t>
      </w:r>
      <w:r>
        <w:rPr>
          <w:rFonts w:hint="eastAsia" w:ascii="宋体" w:hAnsi="宋体"/>
          <w:b/>
          <w:bCs/>
          <w:szCs w:val="21"/>
          <w:u w:val="single"/>
        </w:rPr>
        <w:t>评委发现投标文件中含义不明确、对同类问题表述不一致、有明显文字和计算错误的，应当要求投标人作必要的澄清、说明后再判定投标人是否通过初步评审，不得直接认定其不通过初步评审。</w:t>
      </w:r>
      <w:r>
        <w:rPr>
          <w:rFonts w:hint="eastAsia" w:ascii="宋体" w:hAnsi="宋体"/>
          <w:b/>
          <w:bCs/>
          <w:szCs w:val="21"/>
          <w:u w:val="single"/>
          <w:lang w:eastAsia="zh-CN"/>
        </w:rPr>
        <w:t>）</w:t>
      </w:r>
    </w:p>
    <w:p w14:paraId="55012034">
      <w:pPr>
        <w:spacing w:line="360" w:lineRule="auto"/>
        <w:ind w:firstLine="426" w:firstLineChars="200"/>
        <w:rPr>
          <w:rFonts w:ascii="宋体" w:hAnsi="宋体"/>
          <w:szCs w:val="21"/>
        </w:rPr>
      </w:pPr>
      <w:r>
        <w:rPr>
          <w:rFonts w:hint="eastAsia" w:ascii="宋体" w:hAnsi="宋体"/>
          <w:szCs w:val="21"/>
        </w:rPr>
        <w:t>3.1.2 投标人有以下情形之一的，评标委员会应当否决其投标：</w:t>
      </w:r>
    </w:p>
    <w:p w14:paraId="273D531E">
      <w:pPr>
        <w:spacing w:line="360" w:lineRule="auto"/>
        <w:ind w:firstLine="426" w:firstLineChars="200"/>
        <w:rPr>
          <w:rFonts w:ascii="宋体" w:hAnsi="宋体"/>
          <w:szCs w:val="21"/>
        </w:rPr>
      </w:pPr>
      <w:r>
        <w:rPr>
          <w:rFonts w:hint="eastAsia" w:ascii="宋体" w:hAnsi="宋体"/>
          <w:szCs w:val="21"/>
        </w:rPr>
        <w:t>（1）投标文件没有对招标文件的实质性要求和条件做出响应，或者对招标文件的偏差超出招标文件规定的偏差范围或最高项数；</w:t>
      </w:r>
    </w:p>
    <w:p w14:paraId="76AA72C6">
      <w:pPr>
        <w:spacing w:line="360" w:lineRule="auto"/>
        <w:ind w:firstLine="426" w:firstLineChars="200"/>
        <w:rPr>
          <w:rFonts w:ascii="宋体" w:hAnsi="宋体"/>
          <w:szCs w:val="21"/>
        </w:rPr>
      </w:pPr>
      <w:r>
        <w:rPr>
          <w:rFonts w:hint="eastAsia" w:ascii="宋体" w:hAnsi="宋体"/>
          <w:szCs w:val="21"/>
        </w:rPr>
        <w:t>（2）有串通投标、弄虚作假、行贿等违法行为。</w:t>
      </w:r>
    </w:p>
    <w:p w14:paraId="0401FDB6">
      <w:pPr>
        <w:spacing w:line="360" w:lineRule="auto"/>
        <w:ind w:firstLine="426" w:firstLineChars="200"/>
        <w:rPr>
          <w:rFonts w:ascii="宋体" w:hAnsi="宋体"/>
          <w:szCs w:val="21"/>
        </w:rPr>
      </w:pPr>
      <w:r>
        <w:rPr>
          <w:rFonts w:hint="eastAsia" w:ascii="宋体" w:hAnsi="宋体"/>
          <w:szCs w:val="21"/>
        </w:rPr>
        <w:t>3.1.3 投标报价有算术错误及其他错误的，评标委员会按以下原则要求投标人对投标报价进行修正，并要求投标人书面澄清确认。投标人拒不澄清确认的，评标委员会应当否决其投标：</w:t>
      </w:r>
    </w:p>
    <w:p w14:paraId="5B6ED242">
      <w:pPr>
        <w:spacing w:line="360" w:lineRule="auto"/>
        <w:ind w:firstLine="426" w:firstLineChars="200"/>
        <w:rPr>
          <w:rFonts w:ascii="宋体" w:hAnsi="宋体"/>
          <w:szCs w:val="21"/>
        </w:rPr>
      </w:pPr>
      <w:r>
        <w:rPr>
          <w:rFonts w:hint="eastAsia" w:ascii="宋体" w:hAnsi="宋体"/>
          <w:szCs w:val="21"/>
        </w:rPr>
        <w:t>（1）投标文件中的大写金额与小写金额不一致的，以大写金额为准；</w:t>
      </w:r>
    </w:p>
    <w:p w14:paraId="1CA0820E">
      <w:pPr>
        <w:spacing w:line="360" w:lineRule="auto"/>
        <w:ind w:firstLine="426" w:firstLineChars="200"/>
        <w:rPr>
          <w:rFonts w:hint="eastAsia" w:ascii="宋体" w:hAnsi="宋体"/>
          <w:szCs w:val="21"/>
        </w:rPr>
      </w:pPr>
      <w:r>
        <w:rPr>
          <w:rFonts w:hint="eastAsia" w:ascii="宋体" w:hAnsi="宋体"/>
          <w:szCs w:val="21"/>
        </w:rPr>
        <w:t>（2）总价金额与单价金额不一致的，以单价金额为准，但单价金额小数点有明显错误的除外。</w:t>
      </w:r>
    </w:p>
    <w:p w14:paraId="070F1CB7">
      <w:pPr>
        <w:pStyle w:val="30"/>
      </w:pPr>
      <w:r>
        <w:rPr>
          <w:rFonts w:hint="eastAsia"/>
          <w:u w:val="single"/>
        </w:rPr>
        <w:t>（3）当本项目最高投标限价与投标下浮率的乘积与投标人报价不一致时，按本项目最高投标限价与投标下浮率的乘积为准，修正投标报价。</w:t>
      </w:r>
    </w:p>
    <w:p w14:paraId="54AA1C5D">
      <w:pPr>
        <w:spacing w:line="360" w:lineRule="auto"/>
        <w:ind w:firstLine="426" w:firstLineChars="200"/>
        <w:rPr>
          <w:u w:val="single"/>
        </w:rPr>
      </w:pPr>
      <w:r>
        <w:rPr>
          <w:rFonts w:hint="eastAsia" w:ascii="宋体" w:hAnsi="宋体"/>
          <w:szCs w:val="21"/>
          <w:u w:val="single"/>
        </w:rPr>
        <w:t>3.1.4 只有通过初步评审的投标人才能进入下一阶段详细评审。当通过初步评审的有效投标人不足三名时，招标失败。在进行形式评审、资格评审、响应性评审过程中，若评委意见不一致时，则按少数服从多数的原则，决定该投标人是否通过相应阶段的评审，进入下一阶段评审。</w:t>
      </w:r>
    </w:p>
    <w:p w14:paraId="1D0F0E5A">
      <w:pPr>
        <w:spacing w:line="360" w:lineRule="auto"/>
        <w:ind w:firstLine="426" w:firstLineChars="200"/>
        <w:rPr>
          <w:rFonts w:ascii="宋体" w:hAnsi="宋体"/>
          <w:szCs w:val="21"/>
        </w:rPr>
      </w:pPr>
    </w:p>
    <w:p w14:paraId="65A6621E">
      <w:pPr>
        <w:pStyle w:val="5"/>
        <w:spacing w:before="62" w:beforeLines="20" w:after="62" w:afterLines="20" w:line="360" w:lineRule="auto"/>
        <w:rPr>
          <w:rFonts w:ascii="宋体" w:hAnsi="宋体"/>
        </w:rPr>
      </w:pPr>
      <w:bookmarkStart w:id="293" w:name="_Toc29799"/>
      <w:bookmarkStart w:id="294" w:name="_Toc17695"/>
      <w:bookmarkStart w:id="295" w:name="_Toc24104595"/>
      <w:bookmarkStart w:id="296" w:name="_Toc535834503"/>
      <w:bookmarkStart w:id="297" w:name="_Toc14978"/>
      <w:r>
        <w:rPr>
          <w:rFonts w:hint="eastAsia" w:ascii="宋体" w:hAnsi="宋体"/>
        </w:rPr>
        <w:t>3.2 详细评审</w:t>
      </w:r>
      <w:bookmarkEnd w:id="293"/>
      <w:bookmarkEnd w:id="294"/>
      <w:bookmarkEnd w:id="295"/>
      <w:bookmarkEnd w:id="296"/>
      <w:bookmarkEnd w:id="297"/>
    </w:p>
    <w:p w14:paraId="3B0F076B">
      <w:pPr>
        <w:spacing w:line="360" w:lineRule="auto"/>
        <w:ind w:firstLine="426" w:firstLineChars="200"/>
        <w:rPr>
          <w:rFonts w:ascii="宋体" w:hAnsi="宋体"/>
        </w:rPr>
      </w:pPr>
      <w:r>
        <w:rPr>
          <w:rFonts w:hint="eastAsia" w:ascii="宋体" w:hAnsi="宋体"/>
        </w:rPr>
        <w:t>3.2.1 评标委员会按本章第 2.2 款规定的量化因素和分值进行打分，并计算出综合评估得分。</w:t>
      </w:r>
    </w:p>
    <w:p w14:paraId="4A9C6AA3">
      <w:pPr>
        <w:spacing w:line="360" w:lineRule="auto"/>
        <w:ind w:firstLine="426" w:firstLineChars="200"/>
        <w:rPr>
          <w:rFonts w:ascii="宋体" w:hAnsi="宋体"/>
          <w:b/>
          <w:bCs/>
        </w:rPr>
      </w:pPr>
      <w:r>
        <w:rPr>
          <w:rFonts w:hint="eastAsia" w:ascii="宋体" w:hAnsi="宋体"/>
          <w:b/>
          <w:bCs/>
        </w:rPr>
        <w:t>（1）按本章第 2.2.4（1）目规定的评审因素和分值对企业资信业绩计算出得分A；</w:t>
      </w:r>
    </w:p>
    <w:p w14:paraId="6DB3D617">
      <w:pPr>
        <w:spacing w:line="360" w:lineRule="auto"/>
        <w:ind w:firstLine="426" w:firstLineChars="200"/>
        <w:rPr>
          <w:rFonts w:ascii="宋体" w:hAnsi="宋体"/>
          <w:b/>
          <w:bCs/>
        </w:rPr>
      </w:pPr>
      <w:r>
        <w:rPr>
          <w:rFonts w:hint="eastAsia" w:ascii="宋体" w:hAnsi="宋体"/>
          <w:b/>
          <w:bCs/>
        </w:rPr>
        <w:t>（2）按本章第 2.2.4（2）目规定的评审因素和分值对</w:t>
      </w:r>
      <w:r>
        <w:rPr>
          <w:rFonts w:hint="eastAsia" w:ascii="宋体" w:hAnsi="宋体"/>
          <w:b/>
          <w:bCs/>
          <w:u w:val="single"/>
        </w:rPr>
        <w:t>施工图审查方案</w:t>
      </w:r>
      <w:r>
        <w:rPr>
          <w:rFonts w:hint="eastAsia" w:ascii="宋体" w:hAnsi="宋体"/>
          <w:b/>
          <w:bCs/>
        </w:rPr>
        <w:t>计算出得分B；</w:t>
      </w:r>
    </w:p>
    <w:p w14:paraId="27291942">
      <w:pPr>
        <w:spacing w:line="360" w:lineRule="auto"/>
        <w:ind w:firstLine="426" w:firstLineChars="200"/>
        <w:rPr>
          <w:rFonts w:hint="eastAsia" w:ascii="宋体" w:hAnsi="宋体"/>
          <w:b/>
          <w:bCs/>
        </w:rPr>
      </w:pPr>
      <w:r>
        <w:rPr>
          <w:rFonts w:hint="eastAsia" w:ascii="宋体" w:hAnsi="宋体"/>
          <w:b/>
          <w:bCs/>
        </w:rPr>
        <w:t>（3）按本章第 2.2.4（3）目规定的评审因素和分值对投标报价计算出得分C；</w:t>
      </w:r>
    </w:p>
    <w:p w14:paraId="7277A61C">
      <w:pPr>
        <w:spacing w:line="360" w:lineRule="auto"/>
        <w:ind w:firstLine="426" w:firstLineChars="200"/>
        <w:rPr>
          <w:rFonts w:hint="eastAsia" w:ascii="宋体" w:hAnsi="宋体"/>
          <w:b/>
          <w:bCs/>
          <w:u w:val="single"/>
        </w:rPr>
      </w:pPr>
      <w:r>
        <w:rPr>
          <w:rFonts w:hint="eastAsia" w:ascii="宋体" w:hAnsi="宋体"/>
          <w:b/>
          <w:bCs/>
          <w:u w:val="single"/>
        </w:rPr>
        <w:t>（</w:t>
      </w:r>
      <w:r>
        <w:rPr>
          <w:rFonts w:hint="eastAsia" w:ascii="宋体" w:hAnsi="宋体"/>
          <w:b/>
          <w:bCs/>
          <w:u w:val="single"/>
          <w:lang w:val="en-US" w:eastAsia="zh-CN"/>
        </w:rPr>
        <w:t>4）</w:t>
      </w:r>
      <w:r>
        <w:rPr>
          <w:rFonts w:hint="eastAsia" w:ascii="宋体" w:hAnsi="宋体"/>
          <w:b/>
          <w:bCs/>
          <w:u w:val="single"/>
        </w:rPr>
        <w:t>按本章第 2.2.4（</w:t>
      </w:r>
      <w:r>
        <w:rPr>
          <w:rFonts w:hint="eastAsia" w:ascii="宋体" w:hAnsi="宋体"/>
          <w:b/>
          <w:bCs/>
          <w:u w:val="single"/>
          <w:lang w:val="en-US" w:eastAsia="zh-CN"/>
        </w:rPr>
        <w:t>4</w:t>
      </w:r>
      <w:r>
        <w:rPr>
          <w:rFonts w:hint="eastAsia" w:ascii="宋体" w:hAnsi="宋体"/>
          <w:b/>
          <w:bCs/>
          <w:u w:val="single"/>
        </w:rPr>
        <w:t>）目规定的评审因素和分值对信用</w:t>
      </w:r>
      <w:r>
        <w:rPr>
          <w:rFonts w:hint="eastAsia" w:ascii="宋体" w:hAnsi="宋体"/>
          <w:b/>
          <w:bCs/>
          <w:u w:val="single"/>
          <w:lang w:val="en-US" w:eastAsia="zh-CN"/>
        </w:rPr>
        <w:t>部分得分</w:t>
      </w:r>
      <w:r>
        <w:rPr>
          <w:rFonts w:hint="eastAsia" w:ascii="宋体" w:hAnsi="宋体"/>
          <w:b/>
          <w:bCs/>
          <w:u w:val="single"/>
        </w:rPr>
        <w:t>计算出得分</w:t>
      </w:r>
      <w:r>
        <w:rPr>
          <w:rFonts w:hint="eastAsia" w:ascii="宋体" w:hAnsi="宋体"/>
          <w:b/>
          <w:bCs/>
          <w:u w:val="single"/>
          <w:lang w:val="en-US" w:eastAsia="zh-CN"/>
        </w:rPr>
        <w:t>D</w:t>
      </w:r>
      <w:r>
        <w:rPr>
          <w:rFonts w:hint="eastAsia" w:ascii="宋体" w:hAnsi="宋体"/>
          <w:b/>
          <w:bCs/>
          <w:u w:val="single"/>
        </w:rPr>
        <w:t>；</w:t>
      </w:r>
    </w:p>
    <w:p w14:paraId="6EBAB7D7">
      <w:pPr>
        <w:spacing w:line="360" w:lineRule="auto"/>
        <w:ind w:firstLine="426" w:firstLineChars="200"/>
        <w:rPr>
          <w:rFonts w:ascii="宋体" w:hAnsi="宋体"/>
        </w:rPr>
      </w:pPr>
      <w:r>
        <w:rPr>
          <w:rFonts w:hint="eastAsia" w:ascii="宋体" w:hAnsi="宋体"/>
        </w:rPr>
        <w:t>3.2.2 评分分值计算保留小数点后两位，小数点后第三位“四舍五入”。</w:t>
      </w:r>
    </w:p>
    <w:p w14:paraId="0C2B9C29">
      <w:pPr>
        <w:spacing w:line="360" w:lineRule="auto"/>
        <w:ind w:firstLine="426" w:firstLineChars="200"/>
        <w:rPr>
          <w:rFonts w:ascii="宋体" w:hAnsi="宋体"/>
        </w:rPr>
      </w:pPr>
      <w:r>
        <w:rPr>
          <w:rFonts w:hint="eastAsia" w:ascii="宋体" w:hAnsi="宋体"/>
        </w:rPr>
        <w:t>3.2.3 投标人总得分=A+B+C</w:t>
      </w:r>
      <w:r>
        <w:rPr>
          <w:rFonts w:hint="eastAsia" w:ascii="宋体" w:hAnsi="宋体"/>
          <w:u w:val="single"/>
          <w:lang w:val="en-US" w:eastAsia="zh-CN"/>
        </w:rPr>
        <w:t>+D</w:t>
      </w:r>
      <w:r>
        <w:rPr>
          <w:rFonts w:hint="eastAsia" w:ascii="宋体" w:hAnsi="宋体"/>
        </w:rPr>
        <w:t>。</w:t>
      </w:r>
    </w:p>
    <w:p w14:paraId="0012777D">
      <w:pPr>
        <w:spacing w:line="360" w:lineRule="auto"/>
        <w:ind w:firstLine="426" w:firstLineChars="200"/>
        <w:rPr>
          <w:rFonts w:ascii="宋体" w:hAnsi="宋体"/>
        </w:rPr>
      </w:pPr>
      <w:r>
        <w:rPr>
          <w:rFonts w:hint="eastAsia" w:ascii="宋体" w:hAnsi="宋体"/>
        </w:rPr>
        <w:t>3.2.4 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14:paraId="5F7E986D">
      <w:pPr>
        <w:pStyle w:val="5"/>
        <w:spacing w:before="62" w:beforeLines="20" w:after="62" w:afterLines="20" w:line="360" w:lineRule="auto"/>
        <w:rPr>
          <w:rFonts w:ascii="宋体" w:hAnsi="宋体"/>
        </w:rPr>
      </w:pPr>
      <w:bookmarkStart w:id="298" w:name="_Toc29004"/>
      <w:bookmarkStart w:id="299" w:name="_Toc535834504"/>
      <w:bookmarkStart w:id="300" w:name="_Toc24104596"/>
      <w:bookmarkStart w:id="301" w:name="_Toc20921"/>
      <w:bookmarkStart w:id="302" w:name="_Toc28933"/>
      <w:r>
        <w:rPr>
          <w:rFonts w:hint="eastAsia" w:ascii="宋体" w:hAnsi="宋体"/>
        </w:rPr>
        <w:t>3.3 投标文件的澄清</w:t>
      </w:r>
      <w:bookmarkEnd w:id="298"/>
      <w:bookmarkEnd w:id="299"/>
      <w:bookmarkEnd w:id="300"/>
      <w:bookmarkEnd w:id="301"/>
      <w:bookmarkEnd w:id="302"/>
    </w:p>
    <w:p w14:paraId="16AA7946">
      <w:pPr>
        <w:spacing w:line="360" w:lineRule="auto"/>
        <w:ind w:firstLine="426" w:firstLineChars="200"/>
        <w:rPr>
          <w:rFonts w:ascii="宋体" w:hAnsi="宋体"/>
        </w:rPr>
      </w:pPr>
      <w:r>
        <w:rPr>
          <w:rFonts w:hint="eastAsia" w:ascii="宋体" w:hAnsi="宋体"/>
        </w:rPr>
        <w:t>3.3.1 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14:paraId="24FB3438">
      <w:pPr>
        <w:spacing w:line="360" w:lineRule="auto"/>
        <w:ind w:firstLine="426" w:firstLineChars="200"/>
        <w:rPr>
          <w:rFonts w:ascii="宋体" w:hAnsi="宋体"/>
        </w:rPr>
      </w:pPr>
      <w:r>
        <w:rPr>
          <w:rFonts w:hint="eastAsia" w:ascii="宋体" w:hAnsi="宋体"/>
        </w:rPr>
        <w:t>3.3.2 澄清、说明或补正不得超出投标文件的范围且不得改变投标文件的实质性内容，并构成投标文件的组成部分。</w:t>
      </w:r>
    </w:p>
    <w:p w14:paraId="540F0E40">
      <w:pPr>
        <w:spacing w:line="360" w:lineRule="auto"/>
        <w:ind w:firstLine="426" w:firstLineChars="200"/>
        <w:rPr>
          <w:rFonts w:ascii="宋体" w:hAnsi="宋体"/>
        </w:rPr>
      </w:pPr>
      <w:r>
        <w:rPr>
          <w:rFonts w:hint="eastAsia" w:ascii="宋体" w:hAnsi="宋体"/>
        </w:rPr>
        <w:t>3.3.3 评标委员会对投标人提交的澄清、说明或补正有疑问的，可以要求投标人进一步澄清、说明或补正，直至满足评标委员会的要求。</w:t>
      </w:r>
    </w:p>
    <w:p w14:paraId="60A29925">
      <w:pPr>
        <w:pStyle w:val="5"/>
        <w:spacing w:before="62" w:beforeLines="20" w:after="62" w:afterLines="20" w:line="360" w:lineRule="auto"/>
        <w:rPr>
          <w:rFonts w:ascii="宋体" w:hAnsi="宋体" w:cs="宋体"/>
        </w:rPr>
      </w:pPr>
      <w:bookmarkStart w:id="303" w:name="_Toc3735"/>
      <w:bookmarkStart w:id="304" w:name="_Toc2602"/>
      <w:bookmarkStart w:id="305" w:name="_Toc24104597"/>
      <w:bookmarkStart w:id="306" w:name="_Toc2323"/>
      <w:r>
        <w:rPr>
          <w:rFonts w:hint="eastAsia" w:ascii="宋体" w:hAnsi="宋体" w:cs="宋体"/>
        </w:rPr>
        <w:t>3.4 评标结果</w:t>
      </w:r>
      <w:bookmarkEnd w:id="303"/>
      <w:bookmarkEnd w:id="304"/>
      <w:bookmarkEnd w:id="305"/>
      <w:bookmarkEnd w:id="306"/>
    </w:p>
    <w:p w14:paraId="58DA0FDC">
      <w:pPr>
        <w:spacing w:line="360" w:lineRule="auto"/>
        <w:ind w:firstLine="426" w:firstLineChars="200"/>
        <w:rPr>
          <w:rFonts w:ascii="宋体" w:hAnsi="宋体" w:cs="宋体"/>
        </w:rPr>
      </w:pPr>
      <w:r>
        <w:rPr>
          <w:rFonts w:hint="eastAsia" w:ascii="宋体" w:hAnsi="宋体" w:cs="宋体"/>
        </w:rPr>
        <w:t>3.4.1 除第二章“投标人须知”前附表授权直接确定中标人外，评标委员会按照得分由高到低的顺序推荐中标候选人，并标明排序。</w:t>
      </w:r>
    </w:p>
    <w:p w14:paraId="409F4895">
      <w:pPr>
        <w:spacing w:line="360" w:lineRule="auto"/>
        <w:ind w:firstLine="426" w:firstLineChars="200"/>
        <w:rPr>
          <w:rFonts w:ascii="宋体" w:hAnsi="宋体" w:cs="宋体"/>
        </w:rPr>
      </w:pPr>
      <w:r>
        <w:rPr>
          <w:rFonts w:hint="eastAsia" w:ascii="宋体" w:hAnsi="宋体" w:cs="宋体"/>
        </w:rPr>
        <w:t>3.4.2 评标委员会完成评标后，应当向招标人提交书面评标报告和中标候选人名单。</w:t>
      </w:r>
    </w:p>
    <w:p w14:paraId="39B057EB">
      <w:pPr>
        <w:spacing w:line="360" w:lineRule="auto"/>
        <w:ind w:firstLine="426" w:firstLineChars="200"/>
        <w:rPr>
          <w:rFonts w:ascii="宋体" w:hAnsi="宋体" w:cs="宋体"/>
        </w:rPr>
      </w:pPr>
    </w:p>
    <w:p w14:paraId="668BD1EC">
      <w:pPr>
        <w:pStyle w:val="22"/>
        <w:rPr>
          <w:rFonts w:ascii="宋体" w:hAnsi="宋体" w:cs="宋体"/>
        </w:rPr>
      </w:pPr>
    </w:p>
    <w:p w14:paraId="0E834432">
      <w:pPr>
        <w:pStyle w:val="22"/>
        <w:rPr>
          <w:rFonts w:ascii="宋体" w:hAnsi="宋体" w:cs="宋体"/>
        </w:rPr>
      </w:pPr>
    </w:p>
    <w:p w14:paraId="156F1D34">
      <w:pPr>
        <w:pStyle w:val="22"/>
        <w:rPr>
          <w:rFonts w:ascii="宋体" w:hAnsi="宋体" w:cs="宋体"/>
        </w:rPr>
      </w:pPr>
    </w:p>
    <w:p w14:paraId="4EFAC456">
      <w:pPr>
        <w:pStyle w:val="22"/>
        <w:rPr>
          <w:rFonts w:ascii="宋体" w:hAnsi="宋体" w:cs="宋体"/>
        </w:rPr>
      </w:pPr>
    </w:p>
    <w:p w14:paraId="586A4A6D">
      <w:pPr>
        <w:pStyle w:val="22"/>
        <w:rPr>
          <w:rFonts w:ascii="宋体" w:hAnsi="宋体" w:cs="宋体"/>
        </w:rPr>
      </w:pPr>
    </w:p>
    <w:p w14:paraId="1A8BE198">
      <w:pPr>
        <w:pStyle w:val="22"/>
        <w:rPr>
          <w:rFonts w:ascii="宋体" w:hAnsi="宋体" w:cs="宋体"/>
        </w:rPr>
      </w:pPr>
    </w:p>
    <w:p w14:paraId="48B75723">
      <w:pPr>
        <w:pStyle w:val="22"/>
        <w:rPr>
          <w:rFonts w:ascii="宋体" w:hAnsi="宋体" w:cs="宋体"/>
        </w:rPr>
      </w:pPr>
    </w:p>
    <w:p w14:paraId="0BCEE1A5">
      <w:pPr>
        <w:pStyle w:val="12"/>
        <w:jc w:val="center"/>
        <w:rPr>
          <w:rFonts w:hint="eastAsia"/>
          <w:sz w:val="28"/>
          <w:szCs w:val="32"/>
        </w:rPr>
      </w:pPr>
      <w:r>
        <w:rPr>
          <w:rFonts w:hint="eastAsia"/>
          <w:sz w:val="28"/>
          <w:szCs w:val="32"/>
        </w:rPr>
        <w:t>评标委员会成员声明</w:t>
      </w:r>
    </w:p>
    <w:p w14:paraId="4C1EE64D">
      <w:pPr>
        <w:pStyle w:val="12"/>
        <w:ind w:firstLine="0" w:firstLineChars="0"/>
        <w:rPr>
          <w:rFonts w:hint="eastAsia"/>
          <w:sz w:val="20"/>
        </w:rPr>
      </w:pPr>
      <w:r>
        <w:rPr>
          <w:rFonts w:hint="eastAsia"/>
          <w:sz w:val="20"/>
          <w:u w:val="single"/>
          <w:lang w:eastAsia="zh-CN"/>
        </w:rPr>
        <w:t>（</w:t>
      </w:r>
      <w:r>
        <w:rPr>
          <w:rFonts w:hint="eastAsia"/>
          <w:sz w:val="20"/>
          <w:u w:val="single"/>
          <w:lang w:val="en-US" w:eastAsia="zh-CN"/>
        </w:rPr>
        <w:t xml:space="preserve">  招标人）</w:t>
      </w:r>
      <w:r>
        <w:rPr>
          <w:rFonts w:hint="eastAsia"/>
          <w:sz w:val="20"/>
          <w:u w:val="single"/>
        </w:rPr>
        <w:t>：</w:t>
      </w:r>
    </w:p>
    <w:p w14:paraId="025CFA25">
      <w:pPr>
        <w:pStyle w:val="12"/>
        <w:spacing w:line="360" w:lineRule="auto"/>
        <w:rPr>
          <w:rFonts w:hint="eastAsia"/>
          <w:sz w:val="20"/>
        </w:rPr>
      </w:pPr>
      <w:r>
        <w:rPr>
          <w:rFonts w:hint="eastAsia"/>
          <w:sz w:val="20"/>
        </w:rPr>
        <w:t>本人就参与</w:t>
      </w:r>
      <w:r>
        <w:rPr>
          <w:rFonts w:hint="eastAsia"/>
          <w:sz w:val="20"/>
          <w:u w:val="single"/>
        </w:rPr>
        <w:t xml:space="preserve">  </w:t>
      </w:r>
      <w:r>
        <w:rPr>
          <w:rFonts w:hint="eastAsia"/>
          <w:sz w:val="20"/>
          <w:u w:val="single"/>
          <w:lang w:eastAsia="zh-CN"/>
        </w:rPr>
        <w:t>（</w:t>
      </w:r>
      <w:r>
        <w:rPr>
          <w:rFonts w:hint="eastAsia"/>
          <w:sz w:val="20"/>
          <w:u w:val="single"/>
          <w:lang w:val="en-US" w:eastAsia="zh-CN"/>
        </w:rPr>
        <w:t>项目名称）</w:t>
      </w:r>
      <w:r>
        <w:rPr>
          <w:rFonts w:hint="eastAsia"/>
          <w:sz w:val="20"/>
          <w:u w:val="single"/>
        </w:rPr>
        <w:t xml:space="preserve">   </w:t>
      </w:r>
      <w:r>
        <w:rPr>
          <w:rFonts w:hint="eastAsia"/>
          <w:sz w:val="20"/>
        </w:rPr>
        <w:t>项目的评标工作，作出郑重声明：</w:t>
      </w:r>
    </w:p>
    <w:p w14:paraId="41A97FBA">
      <w:pPr>
        <w:pStyle w:val="12"/>
        <w:spacing w:line="360" w:lineRule="auto"/>
        <w:ind w:firstLine="406" w:firstLineChars="200"/>
        <w:rPr>
          <w:rFonts w:hint="eastAsia"/>
          <w:sz w:val="20"/>
        </w:rPr>
      </w:pPr>
      <w:r>
        <w:rPr>
          <w:rFonts w:hint="eastAsia"/>
          <w:sz w:val="20"/>
        </w:rPr>
        <w:t>一、本人严格遵守评标场所管理规定，服从评标场所现场管理。本人完全知悉并自愿在评审过程中通过电子手写签名板产生电子形式的签名，并认同由此方式产生的签名与本人手写、电子签名具有同等效力；本人使用该签名所签署的评标（审）材料及内容均为本人充分理解并符合本人真实意思表示。</w:t>
      </w:r>
    </w:p>
    <w:p w14:paraId="5E4853E6">
      <w:pPr>
        <w:pStyle w:val="12"/>
        <w:spacing w:line="360" w:lineRule="auto"/>
        <w:ind w:firstLine="406" w:firstLineChars="200"/>
        <w:rPr>
          <w:rFonts w:hint="eastAsia"/>
          <w:sz w:val="20"/>
        </w:rPr>
      </w:pPr>
      <w:r>
        <w:rPr>
          <w:rFonts w:hint="eastAsia"/>
          <w:sz w:val="20"/>
        </w:rPr>
        <w:t>二、在本项目评标开始前，本人不存在以下需要向招标人提出回避的情形：（一）接收到任何单位或者个人授意本人倾向或者排斥本项目特定投标人的电话、短信、微信等；（二）私下接触本项目投标人；（三）收受本项目投标人、中介人、其他利害关系人的财物或者其他好处；（四）法律法规等规定的回避情形。</w:t>
      </w:r>
    </w:p>
    <w:p w14:paraId="05C1305D">
      <w:pPr>
        <w:pStyle w:val="12"/>
        <w:spacing w:line="360" w:lineRule="auto"/>
        <w:ind w:firstLine="406" w:firstLineChars="200"/>
        <w:rPr>
          <w:rFonts w:hint="eastAsia"/>
          <w:sz w:val="20"/>
        </w:rPr>
      </w:pPr>
      <w:r>
        <w:rPr>
          <w:rFonts w:hint="eastAsia"/>
          <w:sz w:val="20"/>
        </w:rPr>
        <w:t>三、本人将按照本项目招标文件规定的评标标准和方法，客观、公正地对投标文件提出评审意见，不故意拖延评标时间，或者敷衍塞责随意评标，不透露本项目评标委员会成员身份，不透露对本项目投标文件的评审和比较、中标候选人的推荐情况、在评标过程中知悉的国家秘密和商业秘密以及与评标有关的其他情况。在本项目评标过程中，本人不对评标委员会其他成员的独立评审施加不当影响；不接受任何单位或者个人明示或者暗示提出的倾向或者排斥本项目特定投标人的要求；不对评标委员会其他成员或者其他人员发表带有倾向性、误导性的言论或者暗示性的意见建议。</w:t>
      </w:r>
    </w:p>
    <w:p w14:paraId="097B9AD8">
      <w:pPr>
        <w:pStyle w:val="12"/>
        <w:spacing w:line="360" w:lineRule="auto"/>
        <w:ind w:firstLine="406" w:firstLineChars="200"/>
        <w:rPr>
          <w:rFonts w:hint="eastAsia"/>
          <w:sz w:val="20"/>
        </w:rPr>
      </w:pPr>
      <w:r>
        <w:rPr>
          <w:rFonts w:hint="eastAsia"/>
          <w:sz w:val="20"/>
        </w:rPr>
        <w:t>四、评标结束后，如果本项目需要复核或者存在异议的，本人理解招标人将暂缓支付评审酬劳。本人保证在招标人要求的时间内配合招标人进行复核或者异议处理工作，也保证在规定时间内配合招标监督机构依法对本项目评审情况进行的调查。如果本人存在评审错误的，本人将主动改正错误，配合招标人挽回损失。</w:t>
      </w:r>
    </w:p>
    <w:p w14:paraId="34EF16BF">
      <w:pPr>
        <w:pStyle w:val="12"/>
        <w:spacing w:line="360" w:lineRule="auto"/>
        <w:ind w:firstLine="406" w:firstLineChars="200"/>
        <w:rPr>
          <w:rFonts w:hint="eastAsia"/>
          <w:sz w:val="20"/>
        </w:rPr>
      </w:pPr>
      <w:r>
        <w:rPr>
          <w:rFonts w:hint="eastAsia"/>
          <w:sz w:val="20"/>
        </w:rPr>
        <w:t>五、招标监督机构依法处理本项目投诉、信访或者举报时，经调查后确认本人存在评审错误的，本人接受招标人不支付本项目评审酬劳、将本人列入招标人评标专家回避名单等相关处理措施，本人也接受本项目招标监督机构依法对本人进行的处理。</w:t>
      </w:r>
    </w:p>
    <w:p w14:paraId="61E28680">
      <w:pPr>
        <w:pStyle w:val="12"/>
        <w:spacing w:line="360" w:lineRule="auto"/>
        <w:ind w:firstLine="406" w:firstLineChars="200"/>
        <w:rPr>
          <w:rFonts w:hint="eastAsia"/>
          <w:sz w:val="20"/>
        </w:rPr>
      </w:pPr>
      <w:r>
        <w:rPr>
          <w:rFonts w:hint="eastAsia"/>
          <w:sz w:val="20"/>
        </w:rPr>
        <w:t>如果本人违反上述声明内容，造成的后果由本人自行承担。</w:t>
      </w:r>
    </w:p>
    <w:p w14:paraId="7D4C5B7F">
      <w:pPr>
        <w:pStyle w:val="12"/>
        <w:spacing w:line="360" w:lineRule="auto"/>
        <w:rPr>
          <w:rFonts w:hint="eastAsia"/>
          <w:sz w:val="20"/>
        </w:rPr>
      </w:pPr>
    </w:p>
    <w:p w14:paraId="6AE32693">
      <w:pPr>
        <w:pStyle w:val="12"/>
        <w:spacing w:line="360" w:lineRule="auto"/>
        <w:jc w:val="right"/>
        <w:rPr>
          <w:rFonts w:ascii="宋体" w:hAnsi="宋体" w:cs="宋体"/>
        </w:rPr>
      </w:pPr>
      <w:r>
        <w:rPr>
          <w:rFonts w:hint="eastAsia"/>
          <w:sz w:val="20"/>
        </w:rPr>
        <w:t xml:space="preserve">                             声明人：（签名）  </w:t>
      </w:r>
    </w:p>
    <w:p w14:paraId="3D299967">
      <w:pPr>
        <w:pStyle w:val="3"/>
        <w:spacing w:before="62" w:beforeLines="20" w:after="62" w:afterLines="20" w:line="360" w:lineRule="auto"/>
        <w:jc w:val="center"/>
        <w:rPr>
          <w:rFonts w:ascii="宋体" w:hAnsi="宋体" w:cs="宋体"/>
        </w:rPr>
      </w:pPr>
      <w:r>
        <w:rPr>
          <w:rFonts w:hint="eastAsia" w:ascii="宋体" w:hAnsi="宋体" w:cs="宋体"/>
        </w:rPr>
        <w:br w:type="page"/>
      </w:r>
      <w:bookmarkStart w:id="307" w:name="_Toc6858"/>
      <w:bookmarkStart w:id="308" w:name="_Toc13217"/>
      <w:bookmarkStart w:id="309" w:name="_Toc24104598"/>
      <w:bookmarkStart w:id="310" w:name="_Toc31271"/>
      <w:r>
        <w:rPr>
          <w:rFonts w:hint="eastAsia" w:ascii="宋体" w:hAnsi="宋体" w:cs="宋体"/>
        </w:rPr>
        <w:t>第四章 合同条款及格式</w:t>
      </w:r>
      <w:bookmarkEnd w:id="307"/>
      <w:bookmarkEnd w:id="308"/>
      <w:bookmarkEnd w:id="309"/>
      <w:bookmarkEnd w:id="310"/>
    </w:p>
    <w:p w14:paraId="7FEEE5BF">
      <w:pPr>
        <w:jc w:val="center"/>
        <w:rPr>
          <w:rFonts w:ascii="宋体" w:hAnsi="宋体" w:cs="宋体"/>
          <w:b/>
          <w:sz w:val="32"/>
          <w:szCs w:val="32"/>
        </w:rPr>
      </w:pPr>
      <w:r>
        <w:rPr>
          <w:rFonts w:hint="eastAsia" w:ascii="宋体" w:hAnsi="宋体" w:cs="宋体"/>
          <w:b/>
          <w:sz w:val="32"/>
          <w:szCs w:val="32"/>
        </w:rPr>
        <w:t>（另册）</w:t>
      </w:r>
    </w:p>
    <w:p w14:paraId="0AF0CEB8">
      <w:pPr>
        <w:rPr>
          <w:rFonts w:ascii="宋体" w:hAnsi="宋体" w:cs="宋体"/>
        </w:rPr>
      </w:pPr>
    </w:p>
    <w:p w14:paraId="533725E9">
      <w:pPr>
        <w:rPr>
          <w:rFonts w:ascii="宋体" w:hAnsi="宋体" w:cs="宋体"/>
        </w:rPr>
      </w:pPr>
    </w:p>
    <w:p w14:paraId="05B636E9">
      <w:pPr>
        <w:spacing w:line="360" w:lineRule="auto"/>
        <w:ind w:firstLine="426" w:firstLineChars="200"/>
        <w:rPr>
          <w:rFonts w:ascii="宋体" w:hAnsi="宋体" w:cs="宋体"/>
        </w:rPr>
      </w:pPr>
      <w:r>
        <w:rPr>
          <w:rFonts w:hint="eastAsia" w:ascii="宋体" w:hAnsi="宋体" w:cs="宋体"/>
        </w:rPr>
        <w:br w:type="page"/>
      </w:r>
    </w:p>
    <w:p w14:paraId="079E1E5D">
      <w:pPr>
        <w:pStyle w:val="3"/>
        <w:keepNext w:val="0"/>
        <w:keepLines w:val="0"/>
        <w:jc w:val="center"/>
        <w:rPr>
          <w:rFonts w:hint="eastAsia" w:ascii="宋体" w:hAnsi="宋体" w:cs="宋体"/>
          <w:color w:val="auto"/>
          <w:highlight w:val="none"/>
        </w:rPr>
      </w:pPr>
      <w:bookmarkStart w:id="311" w:name="_Toc533357324"/>
      <w:bookmarkStart w:id="312" w:name="_Toc26697"/>
      <w:bookmarkStart w:id="313" w:name="_Toc855840"/>
      <w:bookmarkStart w:id="314" w:name="_Toc28920"/>
      <w:bookmarkStart w:id="315" w:name="_Toc24104602"/>
      <w:bookmarkStart w:id="316" w:name="_Toc6074"/>
      <w:bookmarkStart w:id="317" w:name="_Toc677"/>
      <w:bookmarkStart w:id="318" w:name="_Toc20810"/>
      <w:r>
        <w:rPr>
          <w:rFonts w:hint="eastAsia" w:ascii="宋体" w:hAnsi="宋体" w:cs="宋体"/>
          <w:color w:val="auto"/>
          <w:highlight w:val="none"/>
        </w:rPr>
        <w:t>第二卷</w:t>
      </w:r>
      <w:bookmarkEnd w:id="311"/>
      <w:bookmarkEnd w:id="312"/>
      <w:bookmarkEnd w:id="313"/>
      <w:bookmarkEnd w:id="314"/>
    </w:p>
    <w:p w14:paraId="584CC0AF">
      <w:pPr>
        <w:rPr>
          <w:rFonts w:hint="eastAsia" w:ascii="宋体" w:hAnsi="宋体" w:cs="宋体"/>
          <w:color w:val="auto"/>
          <w:highlight w:val="none"/>
        </w:rPr>
      </w:pPr>
    </w:p>
    <w:p w14:paraId="062CFF80">
      <w:pPr>
        <w:pStyle w:val="3"/>
        <w:spacing w:before="240"/>
        <w:jc w:val="center"/>
        <w:rPr>
          <w:rFonts w:hint="eastAsia" w:ascii="宋体" w:hAnsi="宋体"/>
          <w:color w:val="auto"/>
          <w:highlight w:val="none"/>
        </w:rPr>
      </w:pPr>
      <w:bookmarkStart w:id="319" w:name="_Toc11992_WPSOffice_Level1"/>
      <w:bookmarkStart w:id="320" w:name="_Toc9029"/>
      <w:bookmarkStart w:id="321" w:name="_Toc2721"/>
      <w:bookmarkStart w:id="322" w:name="_Toc22886"/>
      <w:bookmarkStart w:id="323" w:name="_Toc532744166"/>
      <w:r>
        <w:rPr>
          <w:rFonts w:hint="eastAsia" w:ascii="宋体" w:hAnsi="宋体"/>
          <w:color w:val="auto"/>
          <w:highlight w:val="none"/>
        </w:rPr>
        <w:t>第五章</w:t>
      </w:r>
      <w:r>
        <w:rPr>
          <w:rFonts w:hint="eastAsia" w:ascii="宋体" w:hAnsi="宋体"/>
          <w:b w:val="0"/>
          <w:color w:val="auto"/>
          <w:highlight w:val="none"/>
        </w:rPr>
        <w:t xml:space="preserve"> </w:t>
      </w:r>
      <w:r>
        <w:rPr>
          <w:rFonts w:ascii="宋体" w:hAnsi="宋体"/>
          <w:color w:val="auto"/>
          <w:highlight w:val="none"/>
        </w:rPr>
        <w:t xml:space="preserve"> </w:t>
      </w:r>
      <w:r>
        <w:rPr>
          <w:rFonts w:hint="eastAsia" w:ascii="宋体" w:hAnsi="宋体"/>
          <w:color w:val="auto"/>
          <w:highlight w:val="none"/>
        </w:rPr>
        <w:t>施工图审查服务技术要求</w:t>
      </w:r>
      <w:bookmarkEnd w:id="319"/>
      <w:bookmarkEnd w:id="320"/>
      <w:bookmarkEnd w:id="321"/>
    </w:p>
    <w:p w14:paraId="5B17B486">
      <w:pPr>
        <w:spacing w:line="480" w:lineRule="auto"/>
        <w:rPr>
          <w:rFonts w:hint="eastAsia"/>
          <w:b/>
          <w:color w:val="auto"/>
          <w:szCs w:val="21"/>
          <w:highlight w:val="none"/>
        </w:rPr>
      </w:pPr>
    </w:p>
    <w:p w14:paraId="0F997F63">
      <w:pPr>
        <w:spacing w:line="480" w:lineRule="auto"/>
        <w:rPr>
          <w:rFonts w:hint="eastAsia" w:ascii="宋体" w:hAnsi="宋体"/>
          <w:color w:val="auto"/>
          <w:szCs w:val="21"/>
          <w:highlight w:val="none"/>
        </w:rPr>
      </w:pPr>
      <w:r>
        <w:rPr>
          <w:rFonts w:hint="eastAsia"/>
          <w:b/>
          <w:color w:val="auto"/>
          <w:szCs w:val="21"/>
          <w:highlight w:val="none"/>
        </w:rPr>
        <w:t>施工图审查服务技术要求</w:t>
      </w:r>
      <w:r>
        <w:rPr>
          <w:b/>
          <w:color w:val="auto"/>
          <w:szCs w:val="21"/>
          <w:highlight w:val="none"/>
        </w:rPr>
        <w:t>通常包括但不限于以下内容：</w:t>
      </w:r>
    </w:p>
    <w:p w14:paraId="7BDE8041">
      <w:pPr>
        <w:snapToGrid w:val="0"/>
        <w:spacing w:line="480" w:lineRule="auto"/>
        <w:ind w:firstLine="426" w:firstLineChars="200"/>
        <w:rPr>
          <w:rFonts w:ascii="宋体"/>
          <w:color w:val="auto"/>
          <w:szCs w:val="21"/>
          <w:highlight w:val="none"/>
        </w:rPr>
      </w:pPr>
      <w:r>
        <w:rPr>
          <w:rFonts w:hint="eastAsia" w:ascii="宋体" w:hAnsi="宋体"/>
          <w:color w:val="auto"/>
          <w:szCs w:val="21"/>
          <w:highlight w:val="none"/>
        </w:rPr>
        <w:t>从技术、工程、经济等方面对项目的可行性进行论证，对设计方案进行优化，提高投资效益；对结构设计进行复核，保障建设项目安全可靠，同时防止保守浪费。根据国家、广东省、广州市关于施工图审查的有关要求，出具符合要求的施工图设计文件审查报告</w:t>
      </w:r>
      <w:r>
        <w:rPr>
          <w:rFonts w:ascii="宋体"/>
          <w:color w:val="auto"/>
          <w:szCs w:val="21"/>
          <w:highlight w:val="none"/>
        </w:rPr>
        <w:t>,</w:t>
      </w:r>
      <w:r>
        <w:rPr>
          <w:rFonts w:ascii="宋体" w:hAnsi="宋体"/>
          <w:color w:val="auto"/>
          <w:szCs w:val="21"/>
          <w:highlight w:val="none"/>
        </w:rPr>
        <w:t xml:space="preserve"> </w:t>
      </w:r>
      <w:r>
        <w:rPr>
          <w:rFonts w:hint="eastAsia" w:ascii="宋体" w:hAnsi="宋体"/>
          <w:color w:val="auto"/>
          <w:szCs w:val="21"/>
          <w:highlight w:val="none"/>
        </w:rPr>
        <w:t>对项目的所有设计内容及概算造价等文件进行审查。</w:t>
      </w:r>
    </w:p>
    <w:p w14:paraId="0B37108E">
      <w:pPr>
        <w:spacing w:line="480" w:lineRule="auto"/>
        <w:ind w:firstLine="426" w:firstLineChars="200"/>
        <w:rPr>
          <w:rFonts w:ascii="宋体"/>
          <w:color w:val="auto"/>
          <w:szCs w:val="21"/>
          <w:highlight w:val="none"/>
        </w:rPr>
      </w:pPr>
      <w:r>
        <w:rPr>
          <w:rFonts w:hint="eastAsia" w:ascii="宋体" w:hAnsi="宋体"/>
          <w:color w:val="auto"/>
          <w:szCs w:val="21"/>
          <w:highlight w:val="none"/>
        </w:rPr>
        <w:t>1、施工图审查单位应按照国家技术规范、标准、规程、广东省、广州市关于施工图审查的有关要求以及招标人提供的有关部门的审批文件、资料、初步设计咨询、图纸进行审查，如在项目执行过程中政府部门有最新规定的，应按照最新规定执行。在规定的进度要求提交质量合格的审查报告，出具审查合格书，并对审查的图纸质量负相应的责任。</w:t>
      </w:r>
    </w:p>
    <w:p w14:paraId="021B3602">
      <w:pPr>
        <w:spacing w:line="480" w:lineRule="auto"/>
        <w:ind w:firstLine="426" w:firstLineChars="200"/>
        <w:rPr>
          <w:rFonts w:ascii="宋体"/>
          <w:color w:val="auto"/>
          <w:szCs w:val="21"/>
          <w:highlight w:val="none"/>
        </w:rPr>
      </w:pPr>
      <w:r>
        <w:rPr>
          <w:rFonts w:hint="eastAsia" w:ascii="宋体" w:hAnsi="宋体"/>
          <w:color w:val="auto"/>
          <w:szCs w:val="21"/>
          <w:highlight w:val="none"/>
        </w:rPr>
        <w:t>2、与勘察、设计单位有效沟通。审查时依据明确；确保审查质量，杜绝错审漏审的现象发生。</w:t>
      </w:r>
    </w:p>
    <w:p w14:paraId="0B85B692">
      <w:pPr>
        <w:spacing w:line="480" w:lineRule="auto"/>
        <w:ind w:firstLine="426" w:firstLineChars="200"/>
        <w:rPr>
          <w:rFonts w:ascii="宋体"/>
          <w:color w:val="auto"/>
          <w:szCs w:val="21"/>
          <w:highlight w:val="none"/>
        </w:rPr>
      </w:pPr>
      <w:r>
        <w:rPr>
          <w:rFonts w:hint="eastAsia" w:ascii="宋体" w:hAnsi="宋体"/>
          <w:color w:val="auto"/>
          <w:szCs w:val="21"/>
          <w:highlight w:val="none"/>
        </w:rPr>
        <w:t>3、按招标文件规定的内容、进度及份数向招标人交付技术审查意见和审查报告。并按招标人需要审核本工程的勘察大纲、预算、工程量清单、招标控制价等。</w:t>
      </w:r>
    </w:p>
    <w:p w14:paraId="51BB6B1E">
      <w:pPr>
        <w:snapToGrid w:val="0"/>
        <w:spacing w:line="480" w:lineRule="auto"/>
        <w:ind w:firstLine="426" w:firstLineChars="200"/>
        <w:rPr>
          <w:rFonts w:ascii="宋体"/>
          <w:color w:val="auto"/>
          <w:szCs w:val="21"/>
          <w:highlight w:val="none"/>
        </w:rPr>
      </w:pPr>
      <w:r>
        <w:rPr>
          <w:rFonts w:hint="eastAsia" w:ascii="宋体" w:hAnsi="宋体"/>
          <w:color w:val="auto"/>
          <w:szCs w:val="21"/>
          <w:highlight w:val="none"/>
        </w:rPr>
        <w:t>4、施工图审查主要内容（包括但不限于）：</w:t>
      </w:r>
    </w:p>
    <w:p w14:paraId="0E34DBF7">
      <w:pPr>
        <w:snapToGrid w:val="0"/>
        <w:spacing w:line="480" w:lineRule="auto"/>
        <w:ind w:firstLine="426" w:firstLineChars="200"/>
        <w:rPr>
          <w:rFonts w:asci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）有关施工图设计文件（包括目录、图纸、施工验收标准、签署、出图章等）完整性和深度的审核；</w:t>
      </w:r>
      <w:r>
        <w:rPr>
          <w:rFonts w:ascii="宋体" w:hAnsi="宋体"/>
          <w:color w:val="auto"/>
          <w:szCs w:val="21"/>
          <w:highlight w:val="none"/>
        </w:rPr>
        <w:t xml:space="preserve"> </w:t>
      </w:r>
    </w:p>
    <w:p w14:paraId="34A1F42A">
      <w:pPr>
        <w:snapToGrid w:val="0"/>
        <w:spacing w:line="480" w:lineRule="auto"/>
        <w:ind w:firstLine="426" w:firstLineChars="200"/>
        <w:rPr>
          <w:rFonts w:asci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）有关设计依据（包括工程地质补充勘察报告）、采用的设计规范、标准的完整性和准确性的审核；</w:t>
      </w:r>
    </w:p>
    <w:p w14:paraId="67B56EAF">
      <w:pPr>
        <w:snapToGrid w:val="0"/>
        <w:spacing w:line="480" w:lineRule="auto"/>
        <w:ind w:firstLine="426" w:firstLineChars="200"/>
        <w:rPr>
          <w:rFonts w:asci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）有关使用功能、安全可靠和质量要求是否得到满足，是否符合批准的初步设计，是否达到国家有关规定的设计深度的审核；</w:t>
      </w:r>
    </w:p>
    <w:p w14:paraId="0A6C7558">
      <w:pPr>
        <w:snapToGrid w:val="0"/>
        <w:spacing w:line="480" w:lineRule="auto"/>
        <w:ind w:firstLine="426" w:firstLineChars="200"/>
        <w:rPr>
          <w:rFonts w:asci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4</w:t>
      </w:r>
      <w:r>
        <w:rPr>
          <w:rFonts w:hint="eastAsia" w:ascii="宋体" w:hAnsi="宋体"/>
          <w:color w:val="auto"/>
          <w:szCs w:val="21"/>
          <w:highlight w:val="none"/>
        </w:rPr>
        <w:t>）应对计算书进行审核：主要是计算原则、模型、程序、公式、参数的选用是否合适，是否符合规范要求，输入数据是否准确；</w:t>
      </w:r>
    </w:p>
    <w:p w14:paraId="5AC1445B">
      <w:pPr>
        <w:snapToGrid w:val="0"/>
        <w:spacing w:line="480" w:lineRule="auto"/>
        <w:ind w:firstLine="426" w:firstLineChars="200"/>
        <w:rPr>
          <w:rFonts w:asci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5</w:t>
      </w:r>
      <w:r>
        <w:rPr>
          <w:rFonts w:hint="eastAsia" w:ascii="宋体" w:hAnsi="宋体"/>
          <w:color w:val="auto"/>
          <w:szCs w:val="21"/>
          <w:highlight w:val="none"/>
        </w:rPr>
        <w:t>）对设计的平面布置、主要尺寸、构造节点、设备选型和布置、管线直径确定、管线布置等作一定的审核；</w:t>
      </w:r>
    </w:p>
    <w:p w14:paraId="5C34403C">
      <w:pPr>
        <w:snapToGrid w:val="0"/>
        <w:spacing w:line="480" w:lineRule="auto"/>
        <w:ind w:firstLine="426" w:firstLineChars="200"/>
        <w:rPr>
          <w:rFonts w:asci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6</w:t>
      </w:r>
      <w:r>
        <w:rPr>
          <w:rFonts w:hint="eastAsia" w:ascii="宋体" w:hAnsi="宋体"/>
          <w:color w:val="auto"/>
          <w:szCs w:val="21"/>
          <w:highlight w:val="none"/>
        </w:rPr>
        <w:t>）施工图审查中需对勘察大纲、各专业设计图纸进行必要的会审，重点审查各专业设计之间的衔接和设计文件问题；</w:t>
      </w:r>
    </w:p>
    <w:p w14:paraId="50637A8B">
      <w:pPr>
        <w:snapToGrid w:val="0"/>
        <w:spacing w:line="480" w:lineRule="auto"/>
        <w:ind w:firstLine="426" w:firstLineChars="200"/>
        <w:rPr>
          <w:rFonts w:asci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7</w:t>
      </w:r>
      <w:r>
        <w:rPr>
          <w:rFonts w:hint="eastAsia" w:ascii="宋体" w:hAnsi="宋体"/>
          <w:color w:val="auto"/>
          <w:szCs w:val="21"/>
          <w:highlight w:val="none"/>
        </w:rPr>
        <w:t>）国家和地方有关法令、法规、规章所规定的施工图审查工作必须完成的工作内容。</w:t>
      </w:r>
    </w:p>
    <w:p w14:paraId="089FBCF6">
      <w:pPr>
        <w:snapToGrid w:val="0"/>
        <w:spacing w:line="480" w:lineRule="auto"/>
        <w:ind w:firstLine="426" w:firstLineChars="200"/>
        <w:rPr>
          <w:rFonts w:ascii="宋体"/>
          <w:color w:val="auto"/>
          <w:szCs w:val="21"/>
          <w:highlight w:val="none"/>
        </w:rPr>
      </w:pPr>
      <w:r>
        <w:rPr>
          <w:rFonts w:hint="eastAsia" w:ascii="宋体" w:hAnsi="宋体"/>
          <w:color w:val="auto"/>
          <w:szCs w:val="21"/>
          <w:highlight w:val="none"/>
        </w:rPr>
        <w:t>5、施工图审查单位应当在规定的时限内完成对上述内容的审查。对审查合格的，出具审查合格书，并按照有关规定向市建委办理施工图审查备案工作；对审查不合格的，应当提出书面审查意见。招标人在收到审查意见后将要求原勘察设计单位进行修改，并将修改后的施工图设计文件送原审查单位重新审查。经审查合格的施工图设计文件，不允许任何单位和个人擅自修改；确需修改的、凡修改的，须经招标人同意，并将修改后的施工图设计文件送原审查单位重新审查。</w:t>
      </w:r>
    </w:p>
    <w:p w14:paraId="552914AF">
      <w:pPr>
        <w:snapToGrid w:val="0"/>
        <w:spacing w:line="480" w:lineRule="auto"/>
        <w:ind w:firstLine="426" w:firstLineChars="200"/>
        <w:rPr>
          <w:rFonts w:ascii="宋体"/>
          <w:color w:val="auto"/>
          <w:szCs w:val="21"/>
          <w:highlight w:val="none"/>
        </w:rPr>
      </w:pPr>
      <w:r>
        <w:rPr>
          <w:rFonts w:hint="eastAsia" w:ascii="宋体" w:hAnsi="宋体"/>
          <w:color w:val="auto"/>
          <w:szCs w:val="21"/>
          <w:highlight w:val="none"/>
        </w:rPr>
        <w:t>6、根据招标人需要，施工图按项目进度计划提前或分阶段审查。</w:t>
      </w:r>
    </w:p>
    <w:p w14:paraId="356C9FA0">
      <w:pPr>
        <w:snapToGrid w:val="0"/>
        <w:spacing w:line="480" w:lineRule="auto"/>
        <w:ind w:firstLine="426" w:firstLineChars="200"/>
        <w:rPr>
          <w:rFonts w:ascii="宋体"/>
          <w:color w:val="auto"/>
          <w:szCs w:val="21"/>
          <w:highlight w:val="none"/>
        </w:rPr>
      </w:pPr>
      <w:r>
        <w:rPr>
          <w:rFonts w:hint="eastAsia" w:ascii="宋体" w:hAnsi="宋体"/>
          <w:color w:val="auto"/>
          <w:szCs w:val="21"/>
          <w:highlight w:val="none"/>
        </w:rPr>
        <w:t>7、保护招标人的知识产权，不得向第三方泄露、转让招标人提交的设计图纸等技术经济资料。审查工作完成后，应将招标人提供的资料及成果一并交回招标人。如发生以上情况并给招标人造成经济损失，招标人有权向中标人索赔。</w:t>
      </w:r>
    </w:p>
    <w:p w14:paraId="034CE7D1">
      <w:pPr>
        <w:snapToGrid w:val="0"/>
        <w:spacing w:line="480" w:lineRule="auto"/>
        <w:ind w:firstLine="426" w:firstLineChars="200"/>
        <w:rPr>
          <w:rFonts w:hint="eastAsia" w:ascii="宋体" w:hAnsi="宋体"/>
          <w:color w:val="auto"/>
          <w:szCs w:val="21"/>
          <w:highlight w:val="none"/>
        </w:rPr>
      </w:pPr>
      <w:r>
        <w:rPr>
          <w:rFonts w:hint="eastAsia" w:ascii="宋体" w:hAnsi="宋体"/>
          <w:color w:val="auto"/>
          <w:szCs w:val="21"/>
          <w:highlight w:val="none"/>
        </w:rPr>
        <w:t>8、施工图审查单位必须依时派出合适人员出席相关会议，必要时须去工作现场；负责具体跟踪向市建委办理施工图审查备案工作，必要时根据投标人需要分阶段备案；配合项目的行政许可申报工作；负责组织相关审查会议并承担相关费用。</w:t>
      </w:r>
    </w:p>
    <w:p w14:paraId="1B2FDEDC">
      <w:pPr>
        <w:snapToGrid w:val="0"/>
        <w:spacing w:line="480" w:lineRule="auto"/>
        <w:ind w:firstLine="426" w:firstLineChars="200"/>
        <w:rPr>
          <w:rFonts w:hint="eastAsia" w:ascii="宋体" w:hAnsi="宋体"/>
          <w:b/>
          <w:bCs/>
          <w:color w:val="auto"/>
          <w:kern w:val="44"/>
          <w:sz w:val="44"/>
          <w:szCs w:val="44"/>
          <w:highlight w:val="none"/>
        </w:rPr>
      </w:pPr>
      <w:r>
        <w:rPr>
          <w:rFonts w:hint="eastAsia" w:ascii="宋体" w:hAnsi="宋体"/>
          <w:color w:val="auto"/>
          <w:szCs w:val="21"/>
          <w:highlight w:val="none"/>
        </w:rPr>
        <w:t>9、</w:t>
      </w:r>
      <w:r>
        <w:rPr>
          <w:rFonts w:ascii="宋体" w:hAnsi="宋体"/>
          <w:color w:val="auto"/>
          <w:szCs w:val="21"/>
          <w:highlight w:val="none"/>
        </w:rPr>
        <w:t>在招标人规定的时间内保质保量地完成审查工作。</w:t>
      </w:r>
    </w:p>
    <w:p w14:paraId="6480D0B8">
      <w:pPr>
        <w:adjustRightInd w:val="0"/>
        <w:snapToGrid w:val="0"/>
        <w:spacing w:line="360" w:lineRule="auto"/>
        <w:jc w:val="center"/>
        <w:rPr>
          <w:rFonts w:hint="eastAsia" w:ascii="宋体" w:hAnsi="宋体" w:cs="宋体"/>
          <w:b/>
          <w:bCs/>
          <w:snapToGrid w:val="0"/>
          <w:color w:val="auto"/>
          <w:kern w:val="0"/>
          <w:sz w:val="48"/>
          <w:szCs w:val="48"/>
          <w:highlight w:val="none"/>
        </w:rPr>
      </w:pPr>
    </w:p>
    <w:p w14:paraId="58A13B21">
      <w:pPr>
        <w:pStyle w:val="30"/>
        <w:spacing w:line="360" w:lineRule="auto"/>
        <w:ind w:firstLine="0"/>
        <w:rPr>
          <w:rFonts w:hint="eastAsia" w:ascii="宋体" w:hAnsi="宋体"/>
          <w:b/>
          <w:bCs/>
          <w:color w:val="auto"/>
          <w:kern w:val="44"/>
          <w:sz w:val="44"/>
          <w:szCs w:val="44"/>
          <w:highlight w:val="none"/>
        </w:rPr>
        <w:sectPr>
          <w:footerReference r:id="rId3" w:type="default"/>
          <w:pgSz w:w="11906" w:h="16838"/>
          <w:pgMar w:top="1020" w:right="1134" w:bottom="1020" w:left="1417" w:header="851" w:footer="907" w:gutter="0"/>
          <w:cols w:space="720" w:num="1"/>
          <w:docGrid w:type="linesAndChars" w:linePitch="339" w:charSpace="709"/>
        </w:sectPr>
      </w:pPr>
    </w:p>
    <w:p w14:paraId="5818F225">
      <w:pPr>
        <w:rPr>
          <w:rFonts w:hint="eastAsia" w:ascii="宋体" w:hAnsi="宋体" w:cs="宋体"/>
          <w:color w:val="auto"/>
          <w:sz w:val="24"/>
          <w:szCs w:val="24"/>
          <w:highlight w:val="none"/>
        </w:rPr>
      </w:pPr>
      <w:bookmarkStart w:id="324" w:name="_Toc13689_WPSOffice_Level1"/>
      <w:bookmarkStart w:id="325" w:name="_Toc25331"/>
      <w:bookmarkStart w:id="326" w:name="_Toc15303"/>
    </w:p>
    <w:p w14:paraId="2030A514">
      <w:pPr>
        <w:pStyle w:val="30"/>
        <w:spacing w:line="360" w:lineRule="auto"/>
        <w:ind w:firstLine="2215" w:firstLineChars="500"/>
        <w:outlineLvl w:val="0"/>
        <w:rPr>
          <w:rFonts w:hint="eastAsia" w:ascii="宋体" w:hAnsi="宋体"/>
          <w:b/>
          <w:bCs/>
          <w:color w:val="auto"/>
          <w:kern w:val="44"/>
          <w:sz w:val="44"/>
          <w:szCs w:val="44"/>
          <w:highlight w:val="none"/>
        </w:rPr>
      </w:pPr>
      <w:r>
        <w:rPr>
          <w:rFonts w:hint="eastAsia" w:ascii="宋体" w:hAnsi="宋体"/>
          <w:b/>
          <w:bCs/>
          <w:color w:val="auto"/>
          <w:kern w:val="44"/>
          <w:sz w:val="44"/>
          <w:szCs w:val="44"/>
          <w:highlight w:val="none"/>
        </w:rPr>
        <w:t>第六章   投标文件格式</w:t>
      </w:r>
      <w:bookmarkEnd w:id="322"/>
      <w:bookmarkEnd w:id="323"/>
      <w:bookmarkEnd w:id="324"/>
      <w:bookmarkEnd w:id="325"/>
      <w:bookmarkEnd w:id="326"/>
    </w:p>
    <w:p w14:paraId="5A1EF328">
      <w:pPr>
        <w:spacing w:line="360" w:lineRule="auto"/>
        <w:ind w:firstLine="426" w:firstLineChars="200"/>
        <w:rPr>
          <w:rFonts w:ascii="宋体" w:hAnsi="宋体" w:cs="宋体"/>
        </w:rPr>
      </w:pPr>
      <w:r>
        <w:rPr>
          <w:rFonts w:hint="eastAsia"/>
          <w:b w:val="0"/>
          <w:bCs w:val="0"/>
          <w:color w:val="auto"/>
          <w:kern w:val="2"/>
          <w:sz w:val="21"/>
          <w:szCs w:val="22"/>
          <w:highlight w:val="none"/>
        </w:rPr>
        <w:t>（包括但不限于以下材料，投标需按招标公告及招标文件要求提交材料）</w:t>
      </w:r>
      <w:bookmarkEnd w:id="315"/>
      <w:bookmarkEnd w:id="316"/>
      <w:bookmarkEnd w:id="317"/>
      <w:bookmarkEnd w:id="318"/>
      <w:r>
        <w:rPr>
          <w:rFonts w:hint="eastAsia" w:ascii="宋体" w:hAnsi="宋体" w:cs="宋体"/>
        </w:rPr>
        <w:br w:type="page"/>
      </w:r>
    </w:p>
    <w:p w14:paraId="70631ADF">
      <w:pPr>
        <w:spacing w:line="360" w:lineRule="auto"/>
        <w:jc w:val="center"/>
        <w:rPr>
          <w:rFonts w:ascii="宋体" w:hAnsi="宋体" w:cs="宋体"/>
          <w:b/>
          <w:bCs/>
          <w:sz w:val="28"/>
          <w:szCs w:val="28"/>
        </w:rPr>
      </w:pPr>
    </w:p>
    <w:p w14:paraId="0E4B6BBF">
      <w:pPr>
        <w:jc w:val="center"/>
        <w:outlineLvl w:val="0"/>
        <w:rPr>
          <w:rStyle w:val="61"/>
          <w:rFonts w:ascii="宋体" w:hAnsi="宋体"/>
          <w:color w:val="auto"/>
          <w:sz w:val="28"/>
          <w:szCs w:val="28"/>
          <w:highlight w:val="none"/>
        </w:rPr>
      </w:pPr>
      <w:r>
        <w:rPr>
          <w:rStyle w:val="61"/>
          <w:rFonts w:ascii="宋体" w:hAnsi="宋体"/>
          <w:color w:val="auto"/>
          <w:sz w:val="36"/>
          <w:szCs w:val="28"/>
          <w:highlight w:val="none"/>
          <w:u w:val="single"/>
        </w:rPr>
        <w:t xml:space="preserve">         </w:t>
      </w:r>
      <w:bookmarkStart w:id="327" w:name="_Toc27126"/>
      <w:r>
        <w:rPr>
          <w:rStyle w:val="61"/>
          <w:rFonts w:ascii="宋体" w:hAnsi="宋体"/>
          <w:color w:val="auto"/>
          <w:sz w:val="36"/>
          <w:szCs w:val="28"/>
          <w:highlight w:val="none"/>
        </w:rPr>
        <w:t>（项目名称）</w:t>
      </w:r>
      <w:bookmarkEnd w:id="327"/>
    </w:p>
    <w:p w14:paraId="7DB44013">
      <w:pPr>
        <w:rPr>
          <w:rStyle w:val="61"/>
          <w:rFonts w:ascii="宋体" w:hAnsi="宋体"/>
          <w:color w:val="auto"/>
          <w:sz w:val="20"/>
          <w:highlight w:val="none"/>
        </w:rPr>
      </w:pPr>
    </w:p>
    <w:p w14:paraId="219F3D0D">
      <w:pPr>
        <w:rPr>
          <w:rStyle w:val="61"/>
          <w:rFonts w:ascii="宋体" w:hAnsi="宋体"/>
          <w:color w:val="auto"/>
          <w:sz w:val="20"/>
          <w:highlight w:val="none"/>
        </w:rPr>
      </w:pPr>
    </w:p>
    <w:p w14:paraId="4A372A51">
      <w:pPr>
        <w:rPr>
          <w:rStyle w:val="61"/>
          <w:rFonts w:ascii="宋体" w:hAnsi="宋体"/>
          <w:color w:val="auto"/>
          <w:sz w:val="20"/>
          <w:highlight w:val="none"/>
        </w:rPr>
      </w:pPr>
    </w:p>
    <w:p w14:paraId="6A942EBA">
      <w:pPr>
        <w:rPr>
          <w:rStyle w:val="61"/>
          <w:rFonts w:ascii="宋体" w:hAnsi="宋体"/>
          <w:color w:val="auto"/>
          <w:sz w:val="20"/>
          <w:highlight w:val="none"/>
        </w:rPr>
      </w:pPr>
    </w:p>
    <w:p w14:paraId="4B05E154">
      <w:pPr>
        <w:rPr>
          <w:rStyle w:val="61"/>
          <w:rFonts w:ascii="宋体" w:hAnsi="宋体"/>
          <w:color w:val="auto"/>
          <w:sz w:val="20"/>
          <w:highlight w:val="none"/>
        </w:rPr>
      </w:pPr>
    </w:p>
    <w:p w14:paraId="0DFA7E9E">
      <w:pPr>
        <w:rPr>
          <w:rStyle w:val="61"/>
          <w:rFonts w:ascii="宋体" w:hAnsi="宋体"/>
          <w:color w:val="auto"/>
          <w:sz w:val="20"/>
          <w:highlight w:val="none"/>
        </w:rPr>
      </w:pPr>
    </w:p>
    <w:p w14:paraId="142679EC">
      <w:pPr>
        <w:rPr>
          <w:rStyle w:val="61"/>
          <w:rFonts w:ascii="宋体" w:hAnsi="宋体"/>
          <w:color w:val="auto"/>
          <w:sz w:val="20"/>
          <w:highlight w:val="none"/>
        </w:rPr>
      </w:pPr>
    </w:p>
    <w:p w14:paraId="3CDA8942">
      <w:pPr>
        <w:rPr>
          <w:rStyle w:val="61"/>
          <w:rFonts w:ascii="宋体" w:hAnsi="宋体"/>
          <w:color w:val="auto"/>
          <w:sz w:val="20"/>
          <w:highlight w:val="none"/>
        </w:rPr>
      </w:pPr>
    </w:p>
    <w:p w14:paraId="3BBE836A">
      <w:pPr>
        <w:rPr>
          <w:rStyle w:val="61"/>
          <w:rFonts w:ascii="宋体" w:hAnsi="宋体"/>
          <w:color w:val="auto"/>
          <w:sz w:val="20"/>
          <w:highlight w:val="none"/>
        </w:rPr>
      </w:pPr>
    </w:p>
    <w:p w14:paraId="219256D1">
      <w:pPr>
        <w:rPr>
          <w:rStyle w:val="61"/>
          <w:rFonts w:ascii="宋体" w:hAnsi="宋体"/>
          <w:color w:val="auto"/>
          <w:sz w:val="20"/>
          <w:highlight w:val="none"/>
        </w:rPr>
      </w:pPr>
    </w:p>
    <w:p w14:paraId="53522349">
      <w:pPr>
        <w:jc w:val="center"/>
        <w:outlineLvl w:val="1"/>
        <w:rPr>
          <w:rStyle w:val="61"/>
          <w:rFonts w:ascii="宋体" w:hAnsi="宋体"/>
          <w:color w:val="auto"/>
          <w:sz w:val="44"/>
          <w:highlight w:val="none"/>
        </w:rPr>
      </w:pPr>
      <w:r>
        <w:rPr>
          <w:rStyle w:val="61"/>
          <w:rFonts w:ascii="宋体" w:hAnsi="宋体"/>
          <w:color w:val="auto"/>
          <w:sz w:val="44"/>
          <w:highlight w:val="none"/>
        </w:rPr>
        <w:t>投 标 文 件</w:t>
      </w:r>
    </w:p>
    <w:p w14:paraId="75C2653D">
      <w:pPr>
        <w:rPr>
          <w:rStyle w:val="61"/>
          <w:rFonts w:ascii="宋体" w:hAnsi="宋体"/>
          <w:color w:val="auto"/>
          <w:sz w:val="28"/>
          <w:highlight w:val="none"/>
        </w:rPr>
      </w:pPr>
    </w:p>
    <w:p w14:paraId="2F829D6E">
      <w:pPr>
        <w:rPr>
          <w:rStyle w:val="61"/>
          <w:rFonts w:ascii="宋体" w:hAnsi="宋体"/>
          <w:color w:val="auto"/>
          <w:sz w:val="28"/>
          <w:highlight w:val="none"/>
        </w:rPr>
      </w:pPr>
    </w:p>
    <w:p w14:paraId="7B76ADDF">
      <w:pPr>
        <w:rPr>
          <w:rStyle w:val="61"/>
          <w:rFonts w:ascii="宋体" w:hAnsi="宋体"/>
          <w:color w:val="auto"/>
          <w:sz w:val="28"/>
          <w:highlight w:val="none"/>
        </w:rPr>
      </w:pPr>
    </w:p>
    <w:p w14:paraId="52A300AC">
      <w:pPr>
        <w:rPr>
          <w:rStyle w:val="61"/>
          <w:rFonts w:ascii="宋体" w:hAnsi="宋体"/>
          <w:color w:val="auto"/>
          <w:sz w:val="28"/>
          <w:highlight w:val="none"/>
        </w:rPr>
      </w:pPr>
    </w:p>
    <w:p w14:paraId="26E121E2">
      <w:pPr>
        <w:rPr>
          <w:rStyle w:val="61"/>
          <w:rFonts w:ascii="宋体" w:hAnsi="宋体"/>
          <w:color w:val="auto"/>
          <w:sz w:val="28"/>
          <w:highlight w:val="none"/>
        </w:rPr>
      </w:pPr>
    </w:p>
    <w:p w14:paraId="101944A9">
      <w:pPr>
        <w:rPr>
          <w:rStyle w:val="61"/>
          <w:rFonts w:ascii="宋体" w:hAnsi="宋体"/>
          <w:color w:val="auto"/>
          <w:sz w:val="28"/>
          <w:highlight w:val="none"/>
        </w:rPr>
      </w:pPr>
    </w:p>
    <w:p w14:paraId="6BFBF7DD">
      <w:pPr>
        <w:rPr>
          <w:rStyle w:val="61"/>
          <w:rFonts w:ascii="宋体" w:hAnsi="宋体"/>
          <w:color w:val="auto"/>
          <w:sz w:val="28"/>
          <w:highlight w:val="none"/>
        </w:rPr>
      </w:pPr>
    </w:p>
    <w:p w14:paraId="1B6C6600">
      <w:pPr>
        <w:spacing w:line="360" w:lineRule="auto"/>
        <w:rPr>
          <w:rStyle w:val="61"/>
          <w:rFonts w:ascii="宋体" w:hAnsi="宋体"/>
          <w:color w:val="auto"/>
          <w:sz w:val="28"/>
          <w:highlight w:val="none"/>
        </w:rPr>
      </w:pPr>
    </w:p>
    <w:p w14:paraId="30817C56">
      <w:pPr>
        <w:spacing w:line="360" w:lineRule="auto"/>
        <w:ind w:firstLine="1292" w:firstLineChars="400"/>
        <w:outlineLvl w:val="1"/>
        <w:rPr>
          <w:rStyle w:val="61"/>
          <w:rFonts w:ascii="宋体" w:hAnsi="宋体"/>
          <w:color w:val="auto"/>
          <w:sz w:val="32"/>
          <w:highlight w:val="none"/>
          <w:u w:val="single"/>
        </w:rPr>
      </w:pPr>
      <w:r>
        <w:rPr>
          <w:rStyle w:val="61"/>
          <w:rFonts w:ascii="宋体" w:hAnsi="宋体"/>
          <w:color w:val="auto"/>
          <w:sz w:val="32"/>
          <w:highlight w:val="none"/>
        </w:rPr>
        <w:t>投标人：</w:t>
      </w:r>
      <w:r>
        <w:rPr>
          <w:rStyle w:val="61"/>
          <w:rFonts w:ascii="宋体" w:hAnsi="宋体"/>
          <w:color w:val="auto"/>
          <w:sz w:val="22"/>
          <w:highlight w:val="none"/>
          <w:u w:val="single"/>
        </w:rPr>
        <w:t xml:space="preserve">                                            </w:t>
      </w:r>
      <w:r>
        <w:rPr>
          <w:rStyle w:val="61"/>
          <w:rFonts w:ascii="宋体" w:hAnsi="宋体"/>
          <w:color w:val="auto"/>
          <w:sz w:val="32"/>
          <w:highlight w:val="none"/>
        </w:rPr>
        <w:t>（盖单位章）</w:t>
      </w:r>
    </w:p>
    <w:p w14:paraId="02E587AD">
      <w:pPr>
        <w:spacing w:line="360" w:lineRule="auto"/>
        <w:ind w:firstLine="1292" w:firstLineChars="400"/>
        <w:jc w:val="left"/>
        <w:outlineLvl w:val="1"/>
        <w:rPr>
          <w:rStyle w:val="61"/>
          <w:rFonts w:ascii="宋体" w:hAnsi="宋体"/>
          <w:color w:val="auto"/>
          <w:sz w:val="32"/>
          <w:highlight w:val="none"/>
        </w:rPr>
      </w:pPr>
      <w:r>
        <w:rPr>
          <w:rStyle w:val="61"/>
          <w:rFonts w:ascii="宋体" w:hAnsi="宋体"/>
          <w:color w:val="auto"/>
          <w:sz w:val="32"/>
          <w:highlight w:val="none"/>
        </w:rPr>
        <w:t>法定代表人或其委托代理人：</w:t>
      </w:r>
      <w:r>
        <w:rPr>
          <w:rStyle w:val="61"/>
          <w:rFonts w:ascii="宋体" w:hAnsi="宋体"/>
          <w:color w:val="auto"/>
          <w:sz w:val="22"/>
          <w:highlight w:val="none"/>
          <w:u w:val="single"/>
        </w:rPr>
        <w:t xml:space="preserve">       </w:t>
      </w:r>
      <w:r>
        <w:rPr>
          <w:rStyle w:val="61"/>
          <w:rFonts w:ascii="宋体" w:hAnsi="宋体"/>
          <w:color w:val="auto"/>
          <w:sz w:val="32"/>
          <w:highlight w:val="none"/>
        </w:rPr>
        <w:t>（签字）</w:t>
      </w:r>
    </w:p>
    <w:p w14:paraId="1A15D30B">
      <w:pPr>
        <w:jc w:val="center"/>
        <w:rPr>
          <w:rStyle w:val="61"/>
          <w:rFonts w:ascii="宋体" w:hAnsi="宋体"/>
          <w:color w:val="auto"/>
          <w:sz w:val="32"/>
          <w:highlight w:val="none"/>
        </w:rPr>
      </w:pPr>
    </w:p>
    <w:p w14:paraId="1A16DC8A">
      <w:pPr>
        <w:spacing w:line="400" w:lineRule="exact"/>
        <w:jc w:val="center"/>
        <w:outlineLvl w:val="0"/>
        <w:rPr>
          <w:rStyle w:val="61"/>
          <w:rFonts w:ascii="宋体" w:hAnsi="宋体"/>
          <w:color w:val="auto"/>
          <w:sz w:val="22"/>
          <w:highlight w:val="none"/>
        </w:rPr>
      </w:pPr>
      <w:r>
        <w:rPr>
          <w:rStyle w:val="61"/>
          <w:rFonts w:ascii="宋体" w:hAnsi="宋体"/>
          <w:color w:val="auto"/>
          <w:sz w:val="22"/>
          <w:highlight w:val="none"/>
          <w:u w:val="single"/>
        </w:rPr>
        <w:t xml:space="preserve">       </w:t>
      </w:r>
      <w:bookmarkStart w:id="328" w:name="_Toc9845"/>
      <w:r>
        <w:rPr>
          <w:rStyle w:val="61"/>
          <w:rFonts w:ascii="宋体" w:hAnsi="宋体"/>
          <w:color w:val="auto"/>
          <w:sz w:val="32"/>
          <w:highlight w:val="none"/>
        </w:rPr>
        <w:t>年</w:t>
      </w:r>
      <w:r>
        <w:rPr>
          <w:rStyle w:val="61"/>
          <w:rFonts w:ascii="宋体" w:hAnsi="宋体"/>
          <w:color w:val="auto"/>
          <w:sz w:val="22"/>
          <w:highlight w:val="none"/>
          <w:u w:val="single"/>
        </w:rPr>
        <w:t xml:space="preserve">     </w:t>
      </w:r>
      <w:r>
        <w:rPr>
          <w:rStyle w:val="61"/>
          <w:rFonts w:ascii="宋体" w:hAnsi="宋体"/>
          <w:color w:val="auto"/>
          <w:sz w:val="32"/>
          <w:highlight w:val="none"/>
        </w:rPr>
        <w:t>月</w:t>
      </w:r>
      <w:r>
        <w:rPr>
          <w:rStyle w:val="61"/>
          <w:rFonts w:ascii="宋体" w:hAnsi="宋体"/>
          <w:color w:val="auto"/>
          <w:sz w:val="22"/>
          <w:highlight w:val="none"/>
          <w:u w:val="single"/>
        </w:rPr>
        <w:t xml:space="preserve">     </w:t>
      </w:r>
      <w:r>
        <w:rPr>
          <w:rStyle w:val="61"/>
          <w:rFonts w:ascii="宋体" w:hAnsi="宋体"/>
          <w:color w:val="auto"/>
          <w:sz w:val="32"/>
          <w:highlight w:val="none"/>
        </w:rPr>
        <w:t>日</w:t>
      </w:r>
      <w:bookmarkEnd w:id="328"/>
    </w:p>
    <w:p w14:paraId="45F88DFE">
      <w:pPr>
        <w:pStyle w:val="30"/>
        <w:rPr>
          <w:rFonts w:hint="eastAsia"/>
          <w:color w:val="auto"/>
          <w:highlight w:val="none"/>
        </w:rPr>
        <w:sectPr>
          <w:pgSz w:w="11906" w:h="16838"/>
          <w:pgMar w:top="1134" w:right="1287" w:bottom="1020" w:left="1440" w:header="851" w:footer="907" w:gutter="0"/>
          <w:cols w:space="720" w:num="1"/>
          <w:docGrid w:type="linesAndChars" w:linePitch="339" w:charSpace="709"/>
        </w:sectPr>
      </w:pPr>
    </w:p>
    <w:p w14:paraId="05D235E1">
      <w:pPr>
        <w:pStyle w:val="4"/>
        <w:jc w:val="center"/>
        <w:rPr>
          <w:rFonts w:hint="eastAsia" w:ascii="宋体" w:hAnsi="宋体" w:eastAsia="宋体"/>
          <w:color w:val="auto"/>
          <w:highlight w:val="none"/>
        </w:rPr>
      </w:pPr>
      <w:bookmarkStart w:id="329" w:name="_Toc532778385"/>
      <w:r>
        <w:rPr>
          <w:rFonts w:hint="eastAsia" w:ascii="宋体" w:hAnsi="宋体" w:eastAsia="宋体"/>
          <w:color w:val="auto"/>
          <w:highlight w:val="none"/>
        </w:rPr>
        <w:t>目录</w:t>
      </w:r>
      <w:bookmarkEnd w:id="329"/>
    </w:p>
    <w:p w14:paraId="12C7D8A4">
      <w:pPr>
        <w:spacing w:line="360" w:lineRule="auto"/>
        <w:ind w:firstLine="486" w:firstLineChars="200"/>
        <w:rPr>
          <w:rFonts w:hint="eastAsia" w:ascii="宋体" w:hAnsi="宋体"/>
          <w:color w:val="auto"/>
          <w:sz w:val="24"/>
          <w:highlight w:val="none"/>
        </w:rPr>
      </w:pPr>
      <w:r>
        <w:rPr>
          <w:rFonts w:hint="eastAsia" w:ascii="宋体" w:hAnsi="宋体"/>
          <w:color w:val="auto"/>
          <w:sz w:val="24"/>
          <w:highlight w:val="none"/>
        </w:rPr>
        <w:t>一、投标函及投标函附录</w:t>
      </w:r>
    </w:p>
    <w:p w14:paraId="564BE645">
      <w:pPr>
        <w:spacing w:line="360" w:lineRule="auto"/>
        <w:ind w:firstLine="486" w:firstLineChars="200"/>
        <w:rPr>
          <w:rFonts w:hint="eastAsia" w:ascii="宋体" w:hAnsi="宋体"/>
          <w:color w:val="auto"/>
          <w:sz w:val="24"/>
          <w:highlight w:val="none"/>
        </w:rPr>
      </w:pPr>
      <w:r>
        <w:rPr>
          <w:rFonts w:hint="eastAsia" w:ascii="宋体" w:hAnsi="宋体"/>
          <w:color w:val="auto"/>
          <w:sz w:val="24"/>
          <w:highlight w:val="none"/>
        </w:rPr>
        <w:t>二、法定代表人证明书（适用于无委托代理人的情况）</w:t>
      </w:r>
    </w:p>
    <w:p w14:paraId="14681E6B">
      <w:pPr>
        <w:spacing w:line="360" w:lineRule="auto"/>
        <w:ind w:firstLine="486" w:firstLineChars="200"/>
        <w:rPr>
          <w:rFonts w:hint="eastAsia" w:ascii="宋体" w:hAnsi="宋体"/>
          <w:color w:val="auto"/>
          <w:sz w:val="24"/>
          <w:highlight w:val="none"/>
        </w:rPr>
      </w:pPr>
      <w:r>
        <w:rPr>
          <w:rFonts w:hint="eastAsia" w:ascii="宋体" w:hAnsi="宋体"/>
          <w:color w:val="auto"/>
          <w:sz w:val="24"/>
          <w:highlight w:val="none"/>
        </w:rPr>
        <w:t>三、法定代表人授权委托书（适用于有委托代理人的情况）</w:t>
      </w:r>
    </w:p>
    <w:p w14:paraId="3011D963">
      <w:pPr>
        <w:spacing w:line="360" w:lineRule="auto"/>
        <w:ind w:firstLine="486" w:firstLineChars="200"/>
        <w:rPr>
          <w:rFonts w:hint="eastAsia"/>
          <w:color w:val="auto"/>
          <w:highlight w:val="none"/>
        </w:rPr>
      </w:pPr>
      <w:r>
        <w:rPr>
          <w:rFonts w:hint="eastAsia" w:ascii="宋体" w:hAnsi="宋体"/>
          <w:color w:val="auto"/>
          <w:sz w:val="24"/>
          <w:highlight w:val="none"/>
        </w:rPr>
        <w:t>四、关于投标保证金的承诺</w:t>
      </w:r>
    </w:p>
    <w:p w14:paraId="01563834">
      <w:pPr>
        <w:spacing w:line="360" w:lineRule="auto"/>
        <w:ind w:firstLine="486" w:firstLineChars="200"/>
        <w:rPr>
          <w:rFonts w:hint="eastAsia" w:ascii="宋体" w:hAnsi="宋体"/>
          <w:color w:val="auto"/>
          <w:sz w:val="24"/>
          <w:highlight w:val="none"/>
        </w:rPr>
      </w:pPr>
      <w:r>
        <w:rPr>
          <w:rFonts w:hint="eastAsia" w:ascii="宋体" w:hAnsi="宋体"/>
          <w:color w:val="auto"/>
          <w:sz w:val="24"/>
          <w:highlight w:val="none"/>
        </w:rPr>
        <w:t>五、投标报价表</w:t>
      </w:r>
    </w:p>
    <w:p w14:paraId="4C6C89D0">
      <w:pPr>
        <w:spacing w:line="360" w:lineRule="auto"/>
        <w:ind w:firstLine="486" w:firstLineChars="200"/>
        <w:rPr>
          <w:rFonts w:hint="eastAsia" w:ascii="宋体" w:hAnsi="宋体"/>
          <w:color w:val="auto"/>
          <w:sz w:val="24"/>
          <w:highlight w:val="none"/>
        </w:rPr>
      </w:pPr>
      <w:r>
        <w:rPr>
          <w:rFonts w:hint="eastAsia" w:ascii="宋体" w:hAnsi="宋体"/>
          <w:color w:val="auto"/>
          <w:sz w:val="24"/>
          <w:highlight w:val="none"/>
        </w:rPr>
        <w:t>六、资格审查资料</w:t>
      </w:r>
    </w:p>
    <w:p w14:paraId="58FEA14D">
      <w:pPr>
        <w:spacing w:line="360" w:lineRule="auto"/>
        <w:ind w:firstLine="486" w:firstLineChars="200"/>
        <w:rPr>
          <w:rFonts w:hint="eastAsia" w:ascii="宋体" w:hAnsi="宋体"/>
          <w:color w:val="auto"/>
          <w:sz w:val="24"/>
          <w:highlight w:val="none"/>
        </w:rPr>
      </w:pPr>
      <w:r>
        <w:rPr>
          <w:rFonts w:hint="eastAsia" w:ascii="宋体" w:hAnsi="宋体"/>
          <w:color w:val="auto"/>
          <w:sz w:val="24"/>
          <w:highlight w:val="none"/>
        </w:rPr>
        <w:t>七、施工图审查工作方案</w:t>
      </w:r>
    </w:p>
    <w:p w14:paraId="6C0F3231">
      <w:pPr>
        <w:spacing w:line="360" w:lineRule="auto"/>
        <w:ind w:firstLine="486" w:firstLineChars="200"/>
        <w:rPr>
          <w:rFonts w:hint="eastAsia" w:ascii="宋体" w:hAnsi="宋体"/>
          <w:color w:val="auto"/>
          <w:sz w:val="24"/>
          <w:highlight w:val="none"/>
        </w:rPr>
      </w:pPr>
      <w:r>
        <w:rPr>
          <w:rFonts w:hint="eastAsia" w:ascii="宋体" w:hAnsi="宋体"/>
          <w:color w:val="auto"/>
          <w:sz w:val="24"/>
          <w:highlight w:val="none"/>
        </w:rPr>
        <w:t>八、其他资料</w:t>
      </w:r>
    </w:p>
    <w:p w14:paraId="5BC41954">
      <w:pPr>
        <w:spacing w:line="360" w:lineRule="auto"/>
        <w:ind w:firstLine="486" w:firstLineChars="200"/>
        <w:rPr>
          <w:rFonts w:hint="eastAsia" w:ascii="宋体" w:hAnsi="宋体"/>
          <w:color w:val="auto"/>
          <w:sz w:val="24"/>
          <w:highlight w:val="none"/>
        </w:rPr>
      </w:pPr>
      <w:r>
        <w:rPr>
          <w:rFonts w:hint="eastAsia" w:ascii="宋体" w:hAnsi="宋体"/>
          <w:color w:val="auto"/>
          <w:sz w:val="24"/>
          <w:highlight w:val="none"/>
        </w:rPr>
        <w:t>九、投标人认为有必要提交的其他资料</w:t>
      </w:r>
    </w:p>
    <w:p w14:paraId="25182E53">
      <w:pPr>
        <w:pStyle w:val="30"/>
        <w:spacing w:line="360" w:lineRule="auto"/>
        <w:ind w:firstLine="0"/>
        <w:jc w:val="left"/>
        <w:rPr>
          <w:rFonts w:hint="eastAsia" w:ascii="宋体" w:hAnsi="宋体"/>
          <w:b/>
          <w:color w:val="auto"/>
          <w:sz w:val="24"/>
          <w:highlight w:val="none"/>
        </w:rPr>
      </w:pPr>
      <w:r>
        <w:rPr>
          <w:rFonts w:ascii="宋体" w:hAnsi="宋体"/>
          <w:color w:val="auto"/>
          <w:sz w:val="36"/>
          <w:szCs w:val="36"/>
          <w:highlight w:val="none"/>
        </w:rPr>
        <w:br w:type="page"/>
      </w:r>
    </w:p>
    <w:p w14:paraId="4A5C89AC">
      <w:pPr>
        <w:pStyle w:val="4"/>
        <w:jc w:val="center"/>
        <w:rPr>
          <w:rFonts w:hint="eastAsia" w:ascii="宋体" w:hAnsi="宋体" w:eastAsia="宋体"/>
          <w:color w:val="auto"/>
          <w:highlight w:val="none"/>
        </w:rPr>
      </w:pPr>
      <w:bookmarkStart w:id="330" w:name="_Toc532778386"/>
      <w:r>
        <w:rPr>
          <w:rFonts w:hint="eastAsia" w:ascii="宋体" w:hAnsi="宋体" w:eastAsia="宋体"/>
          <w:color w:val="auto"/>
          <w:highlight w:val="none"/>
        </w:rPr>
        <w:t>一、投标函及投标函附录</w:t>
      </w:r>
      <w:bookmarkEnd w:id="330"/>
    </w:p>
    <w:p w14:paraId="7F79CBFA">
      <w:pPr>
        <w:pStyle w:val="5"/>
        <w:spacing w:before="67" w:beforeLines="20" w:after="67" w:afterLines="20" w:line="360" w:lineRule="auto"/>
        <w:ind w:firstLine="139"/>
        <w:jc w:val="center"/>
        <w:rPr>
          <w:rFonts w:hint="eastAsia" w:ascii="宋体" w:hAnsi="宋体"/>
          <w:color w:val="auto"/>
          <w:highlight w:val="none"/>
        </w:rPr>
      </w:pPr>
      <w:bookmarkStart w:id="331" w:name="_Toc532778387"/>
      <w:r>
        <w:rPr>
          <w:rFonts w:hint="eastAsia" w:ascii="宋体" w:hAnsi="宋体"/>
          <w:color w:val="auto"/>
          <w:highlight w:val="none"/>
        </w:rPr>
        <w:t>（一）投标函</w:t>
      </w:r>
      <w:bookmarkEnd w:id="331"/>
    </w:p>
    <w:p w14:paraId="20F16EBE">
      <w:pPr>
        <w:snapToGrid w:val="0"/>
        <w:spacing w:line="340" w:lineRule="exact"/>
        <w:rPr>
          <w:rFonts w:hint="eastAsia" w:ascii="宋体" w:hAnsi="宋体"/>
          <w:color w:val="auto"/>
          <w:highlight w:val="none"/>
        </w:rPr>
      </w:pPr>
      <w:r>
        <w:rPr>
          <w:rFonts w:hint="eastAsia" w:ascii="宋体" w:hAnsi="宋体"/>
          <w:color w:val="auto"/>
          <w:szCs w:val="21"/>
          <w:highlight w:val="none"/>
          <w:u w:val="single"/>
        </w:rPr>
        <w:t xml:space="preserve">                  </w:t>
      </w:r>
      <w:r>
        <w:rPr>
          <w:rFonts w:hint="eastAsia" w:ascii="宋体" w:hAnsi="宋体"/>
          <w:color w:val="auto"/>
          <w:highlight w:val="none"/>
        </w:rPr>
        <w:t>（招标人名称）：</w:t>
      </w:r>
    </w:p>
    <w:p w14:paraId="5D925F5B">
      <w:pPr>
        <w:snapToGrid w:val="0"/>
        <w:spacing w:line="340" w:lineRule="exact"/>
        <w:ind w:firstLine="426" w:firstLineChars="200"/>
        <w:rPr>
          <w:rFonts w:hint="eastAsia" w:ascii="宋体" w:hAnsi="宋体"/>
          <w:color w:val="auto"/>
          <w:highlight w:val="none"/>
        </w:rPr>
      </w:pPr>
      <w:r>
        <w:rPr>
          <w:rFonts w:hint="eastAsia" w:ascii="宋体" w:hAnsi="宋体"/>
          <w:color w:val="auto"/>
          <w:highlight w:val="none"/>
        </w:rPr>
        <w:t>1．我方已仔细研究了</w:t>
      </w:r>
      <w:r>
        <w:rPr>
          <w:rFonts w:hint="eastAsia" w:ascii="宋体" w:hAnsi="宋体"/>
          <w:color w:val="auto"/>
          <w:szCs w:val="21"/>
          <w:highlight w:val="none"/>
          <w:u w:val="single"/>
        </w:rPr>
        <w:t xml:space="preserve">                  </w:t>
      </w:r>
      <w:r>
        <w:rPr>
          <w:rFonts w:hint="eastAsia" w:ascii="宋体" w:hAnsi="宋体"/>
          <w:color w:val="auto"/>
          <w:highlight w:val="none"/>
        </w:rPr>
        <w:t>（项目名称）招标项目招标文件的全部内容，愿意以人民币（大写）</w:t>
      </w:r>
      <w:r>
        <w:rPr>
          <w:rFonts w:hint="eastAsia" w:ascii="宋体" w:hAnsi="宋体"/>
          <w:color w:val="auto"/>
          <w:szCs w:val="21"/>
          <w:highlight w:val="none"/>
          <w:u w:val="single"/>
        </w:rPr>
        <w:t xml:space="preserve">               </w:t>
      </w:r>
      <w:r>
        <w:rPr>
          <w:rFonts w:hint="eastAsia" w:ascii="宋体" w:hAnsi="宋体"/>
          <w:color w:val="auto"/>
          <w:highlight w:val="none"/>
        </w:rPr>
        <w:t>（¥</w:t>
      </w:r>
      <w:r>
        <w:rPr>
          <w:rFonts w:hint="eastAsia" w:ascii="宋体" w:hAnsi="宋体"/>
          <w:color w:val="auto"/>
          <w:szCs w:val="21"/>
          <w:highlight w:val="none"/>
          <w:u w:val="single"/>
        </w:rPr>
        <w:t xml:space="preserve">            元 </w:t>
      </w:r>
      <w:r>
        <w:rPr>
          <w:rFonts w:hint="eastAsia" w:ascii="宋体" w:hAnsi="宋体"/>
          <w:color w:val="auto"/>
          <w:highlight w:val="none"/>
        </w:rPr>
        <w:t>）的投标总报价</w:t>
      </w:r>
      <w:r>
        <w:rPr>
          <w:color w:val="auto"/>
          <w:szCs w:val="21"/>
          <w:highlight w:val="none"/>
        </w:rPr>
        <w:t>（</w:t>
      </w:r>
      <w:r>
        <w:rPr>
          <w:rFonts w:hint="eastAsia"/>
          <w:color w:val="auto"/>
          <w:szCs w:val="21"/>
          <w:highlight w:val="none"/>
        </w:rPr>
        <w:t>投标下浮率</w:t>
      </w:r>
      <w:r>
        <w:rPr>
          <w:color w:val="auto"/>
          <w:szCs w:val="21"/>
          <w:highlight w:val="none"/>
        </w:rPr>
        <w:t>为</w:t>
      </w:r>
      <w:r>
        <w:rPr>
          <w:rFonts w:hint="eastAsia"/>
          <w:color w:val="auto"/>
          <w:szCs w:val="21"/>
          <w:highlight w:val="none"/>
          <w:u w:val="single"/>
        </w:rPr>
        <w:t xml:space="preserve">       %</w:t>
      </w:r>
      <w:r>
        <w:rPr>
          <w:rFonts w:eastAsia="黑体"/>
          <w:color w:val="auto"/>
          <w:szCs w:val="21"/>
          <w:highlight w:val="none"/>
        </w:rPr>
        <w:t>）</w:t>
      </w:r>
      <w:r>
        <w:rPr>
          <w:rFonts w:hint="eastAsia" w:ascii="宋体" w:hAnsi="宋体"/>
          <w:color w:val="auto"/>
          <w:highlight w:val="none"/>
        </w:rPr>
        <w:t>，按合同约定完成</w:t>
      </w:r>
      <w:r>
        <w:rPr>
          <w:rFonts w:hint="eastAsia" w:ascii="宋体" w:hAnsi="宋体"/>
          <w:color w:val="auto"/>
          <w:highlight w:val="none"/>
          <w:u w:val="single"/>
        </w:rPr>
        <w:t>施工图审查</w:t>
      </w:r>
      <w:r>
        <w:rPr>
          <w:rFonts w:hint="eastAsia" w:ascii="宋体" w:hAnsi="宋体"/>
          <w:color w:val="auto"/>
          <w:highlight w:val="none"/>
        </w:rPr>
        <w:t>工作。</w:t>
      </w:r>
    </w:p>
    <w:p w14:paraId="0800D8DA">
      <w:pPr>
        <w:snapToGrid w:val="0"/>
        <w:spacing w:line="340" w:lineRule="exact"/>
        <w:ind w:firstLine="426" w:firstLineChars="200"/>
        <w:rPr>
          <w:rFonts w:hint="eastAsia" w:ascii="宋体" w:hAnsi="宋体"/>
          <w:color w:val="auto"/>
          <w:highlight w:val="none"/>
        </w:rPr>
      </w:pPr>
      <w:r>
        <w:rPr>
          <w:rFonts w:hint="eastAsia" w:ascii="宋体" w:hAnsi="宋体"/>
          <w:color w:val="auto"/>
          <w:highlight w:val="none"/>
        </w:rPr>
        <w:t>2. 我方的投标文件包括下列内容：</w:t>
      </w:r>
    </w:p>
    <w:p w14:paraId="794CE3DF">
      <w:pPr>
        <w:snapToGrid w:val="0"/>
        <w:spacing w:line="340" w:lineRule="exact"/>
        <w:ind w:firstLine="426" w:firstLineChars="200"/>
        <w:rPr>
          <w:rFonts w:hint="eastAsia" w:ascii="宋体" w:hAnsi="宋体"/>
          <w:color w:val="auto"/>
          <w:highlight w:val="none"/>
        </w:rPr>
      </w:pPr>
      <w:r>
        <w:rPr>
          <w:rFonts w:hint="eastAsia" w:ascii="宋体" w:hAnsi="宋体"/>
          <w:color w:val="auto"/>
          <w:highlight w:val="none"/>
        </w:rPr>
        <w:t>（1）投标函及投标函附录；</w:t>
      </w:r>
    </w:p>
    <w:p w14:paraId="2B199FE8">
      <w:pPr>
        <w:snapToGrid w:val="0"/>
        <w:spacing w:line="340" w:lineRule="exact"/>
        <w:ind w:firstLine="426" w:firstLineChars="200"/>
        <w:rPr>
          <w:rFonts w:hint="eastAsia" w:ascii="宋体" w:hAnsi="宋体"/>
          <w:color w:val="auto"/>
          <w:highlight w:val="none"/>
        </w:rPr>
      </w:pPr>
      <w:r>
        <w:rPr>
          <w:rFonts w:hint="eastAsia" w:ascii="宋体" w:hAnsi="宋体"/>
          <w:color w:val="auto"/>
          <w:highlight w:val="none"/>
        </w:rPr>
        <w:t>（2）法定代表人身份证明或授权委托书；</w:t>
      </w:r>
    </w:p>
    <w:p w14:paraId="2FDE558E">
      <w:pPr>
        <w:pStyle w:val="26"/>
        <w:rPr>
          <w:rFonts w:hint="default" w:eastAsia="宋体"/>
          <w:lang w:val="en-US" w:eastAsia="zh-CN"/>
        </w:rPr>
      </w:pPr>
      <w:r>
        <w:rPr>
          <w:rFonts w:hint="eastAsia" w:ascii="宋体" w:hAnsi="宋体"/>
          <w:color w:val="auto"/>
          <w:highlight w:val="none"/>
          <w:lang w:eastAsia="zh-CN"/>
        </w:rPr>
        <w:t>（</w:t>
      </w:r>
      <w:r>
        <w:rPr>
          <w:rFonts w:hint="eastAsia" w:ascii="宋体" w:hAnsi="宋体"/>
          <w:color w:val="auto"/>
          <w:highlight w:val="none"/>
          <w:lang w:val="en-US" w:eastAsia="zh-CN"/>
        </w:rPr>
        <w:t>3）关于投标保证金的承诺</w:t>
      </w:r>
    </w:p>
    <w:p w14:paraId="7F4BFACF">
      <w:pPr>
        <w:snapToGrid w:val="0"/>
        <w:spacing w:line="340" w:lineRule="exact"/>
        <w:ind w:firstLine="426" w:firstLineChars="200"/>
        <w:rPr>
          <w:rFonts w:hint="eastAsia" w:ascii="宋体" w:hAnsi="宋体"/>
          <w:color w:val="auto"/>
          <w:highlight w:val="none"/>
        </w:rPr>
      </w:pPr>
      <w:r>
        <w:rPr>
          <w:rFonts w:hint="eastAsia" w:ascii="宋体" w:hAnsi="宋体"/>
          <w:color w:val="auto"/>
          <w:highlight w:val="none"/>
        </w:rPr>
        <w:t>（</w:t>
      </w:r>
      <w:r>
        <w:rPr>
          <w:rFonts w:hint="eastAsia" w:ascii="宋体" w:hAnsi="宋体"/>
          <w:color w:val="auto"/>
          <w:highlight w:val="none"/>
          <w:lang w:val="en-US" w:eastAsia="zh-CN"/>
        </w:rPr>
        <w:t>4</w:t>
      </w:r>
      <w:r>
        <w:rPr>
          <w:rFonts w:hint="eastAsia" w:ascii="宋体" w:hAnsi="宋体"/>
          <w:color w:val="auto"/>
          <w:highlight w:val="none"/>
        </w:rPr>
        <w:t>）投标报价表；</w:t>
      </w:r>
    </w:p>
    <w:p w14:paraId="72C49CBE">
      <w:pPr>
        <w:snapToGrid w:val="0"/>
        <w:spacing w:line="340" w:lineRule="exact"/>
        <w:ind w:firstLine="426" w:firstLineChars="200"/>
        <w:rPr>
          <w:rFonts w:hint="eastAsia" w:ascii="宋体" w:hAnsi="宋体"/>
          <w:color w:val="auto"/>
          <w:highlight w:val="none"/>
        </w:rPr>
      </w:pPr>
      <w:r>
        <w:rPr>
          <w:rFonts w:hint="eastAsia" w:ascii="宋体" w:hAnsi="宋体"/>
          <w:color w:val="auto"/>
          <w:highlight w:val="none"/>
        </w:rPr>
        <w:t>（</w:t>
      </w:r>
      <w:r>
        <w:rPr>
          <w:rFonts w:hint="eastAsia" w:ascii="宋体" w:hAnsi="宋体"/>
          <w:color w:val="auto"/>
          <w:highlight w:val="none"/>
          <w:lang w:val="en-US" w:eastAsia="zh-CN"/>
        </w:rPr>
        <w:t>5</w:t>
      </w:r>
      <w:r>
        <w:rPr>
          <w:rFonts w:hint="eastAsia" w:ascii="宋体" w:hAnsi="宋体"/>
          <w:color w:val="auto"/>
          <w:highlight w:val="none"/>
        </w:rPr>
        <w:t>）资格审查资料；</w:t>
      </w:r>
    </w:p>
    <w:p w14:paraId="385F60CC">
      <w:pPr>
        <w:snapToGrid w:val="0"/>
        <w:spacing w:line="340" w:lineRule="exact"/>
        <w:ind w:firstLine="426" w:firstLineChars="200"/>
        <w:rPr>
          <w:rFonts w:hint="eastAsia" w:ascii="宋体" w:hAnsi="宋体"/>
          <w:color w:val="auto"/>
          <w:highlight w:val="none"/>
        </w:rPr>
      </w:pPr>
      <w:r>
        <w:rPr>
          <w:rFonts w:hint="eastAsia" w:ascii="宋体" w:hAnsi="宋体"/>
          <w:color w:val="auto"/>
          <w:highlight w:val="none"/>
        </w:rPr>
        <w:t>（</w:t>
      </w:r>
      <w:r>
        <w:rPr>
          <w:rFonts w:hint="eastAsia" w:ascii="宋体" w:hAnsi="宋体"/>
          <w:color w:val="auto"/>
          <w:highlight w:val="none"/>
          <w:lang w:val="en-US" w:eastAsia="zh-CN"/>
        </w:rPr>
        <w:t>6</w:t>
      </w:r>
      <w:r>
        <w:rPr>
          <w:rFonts w:hint="eastAsia" w:ascii="宋体" w:hAnsi="宋体"/>
          <w:color w:val="auto"/>
          <w:highlight w:val="none"/>
        </w:rPr>
        <w:t>）施工图审查工作方案；</w:t>
      </w:r>
    </w:p>
    <w:p w14:paraId="0801C2DF">
      <w:pPr>
        <w:snapToGrid w:val="0"/>
        <w:spacing w:line="340" w:lineRule="exact"/>
        <w:ind w:firstLine="426" w:firstLineChars="200"/>
        <w:rPr>
          <w:rFonts w:hint="eastAsia" w:ascii="宋体" w:hAnsi="宋体"/>
          <w:color w:val="auto"/>
          <w:highlight w:val="none"/>
          <w:lang w:val="en-US" w:eastAsia="zh-CN"/>
        </w:rPr>
      </w:pPr>
      <w:r>
        <w:rPr>
          <w:rFonts w:hint="eastAsia" w:ascii="宋体" w:hAnsi="宋体"/>
          <w:color w:val="auto"/>
          <w:highlight w:val="none"/>
        </w:rPr>
        <w:t>（</w:t>
      </w:r>
      <w:r>
        <w:rPr>
          <w:rFonts w:hint="eastAsia" w:ascii="宋体" w:hAnsi="宋体"/>
          <w:color w:val="auto"/>
          <w:highlight w:val="none"/>
          <w:lang w:val="en-US" w:eastAsia="zh-CN"/>
        </w:rPr>
        <w:t>7</w:t>
      </w:r>
      <w:r>
        <w:rPr>
          <w:rFonts w:hint="eastAsia" w:ascii="宋体" w:hAnsi="宋体"/>
          <w:color w:val="auto"/>
          <w:highlight w:val="none"/>
        </w:rPr>
        <w:t>）其他资料</w:t>
      </w:r>
      <w:r>
        <w:rPr>
          <w:rFonts w:hint="eastAsia" w:ascii="宋体" w:hAnsi="宋体"/>
          <w:color w:val="auto"/>
          <w:highlight w:val="none"/>
          <w:lang w:val="en-US" w:eastAsia="zh-CN"/>
        </w:rPr>
        <w:t>；</w:t>
      </w:r>
    </w:p>
    <w:p w14:paraId="7D5C4602">
      <w:pPr>
        <w:pStyle w:val="26"/>
        <w:ind w:left="0" w:leftChars="0" w:firstLine="426" w:firstLineChars="200"/>
        <w:rPr>
          <w:rFonts w:hint="eastAsia"/>
        </w:rPr>
      </w:pPr>
      <w:r>
        <w:rPr>
          <w:rFonts w:hint="eastAsia" w:ascii="宋体" w:hAnsi="宋体"/>
          <w:color w:val="auto"/>
          <w:highlight w:val="none"/>
          <w:lang w:val="en-US" w:eastAsia="zh-CN"/>
        </w:rPr>
        <w:t>（8）投标人认为有必要提交的其他资料。</w:t>
      </w:r>
    </w:p>
    <w:p w14:paraId="46593359">
      <w:pPr>
        <w:snapToGrid w:val="0"/>
        <w:spacing w:line="340" w:lineRule="exact"/>
        <w:ind w:firstLine="426" w:firstLineChars="200"/>
        <w:rPr>
          <w:rFonts w:hint="eastAsia" w:ascii="宋体" w:hAnsi="宋体"/>
          <w:color w:val="auto"/>
          <w:highlight w:val="none"/>
        </w:rPr>
      </w:pPr>
      <w:r>
        <w:rPr>
          <w:rFonts w:hint="eastAsia" w:ascii="宋体" w:hAnsi="宋体"/>
          <w:color w:val="auto"/>
          <w:highlight w:val="none"/>
        </w:rPr>
        <w:t>投标文件的上述组成部分如存在内容不一致的，以投标函为准。</w:t>
      </w:r>
    </w:p>
    <w:p w14:paraId="34CB66DB">
      <w:pPr>
        <w:snapToGrid w:val="0"/>
        <w:spacing w:line="340" w:lineRule="exact"/>
        <w:ind w:firstLine="426" w:firstLineChars="200"/>
        <w:rPr>
          <w:rFonts w:hint="eastAsia" w:ascii="宋体" w:hAnsi="宋体"/>
          <w:color w:val="auto"/>
          <w:highlight w:val="none"/>
        </w:rPr>
      </w:pPr>
      <w:r>
        <w:rPr>
          <w:rFonts w:hint="eastAsia" w:ascii="宋体" w:hAnsi="宋体"/>
          <w:color w:val="auto"/>
          <w:highlight w:val="none"/>
        </w:rPr>
        <w:t>3．我方承诺在招标文件规定的投标有效期内不撤销投标文件。</w:t>
      </w:r>
    </w:p>
    <w:p w14:paraId="07606012">
      <w:pPr>
        <w:snapToGrid w:val="0"/>
        <w:spacing w:line="340" w:lineRule="exact"/>
        <w:ind w:firstLine="426" w:firstLineChars="200"/>
        <w:rPr>
          <w:rFonts w:hint="eastAsia" w:ascii="宋体" w:hAnsi="宋体"/>
          <w:color w:val="auto"/>
          <w:highlight w:val="none"/>
        </w:rPr>
      </w:pPr>
      <w:r>
        <w:rPr>
          <w:rFonts w:hint="eastAsia" w:ascii="宋体" w:hAnsi="宋体"/>
          <w:color w:val="auto"/>
          <w:highlight w:val="none"/>
        </w:rPr>
        <w:t>4．如我方中标，我方承诺：</w:t>
      </w:r>
    </w:p>
    <w:p w14:paraId="6F81ECBE">
      <w:pPr>
        <w:snapToGrid w:val="0"/>
        <w:spacing w:line="340" w:lineRule="exact"/>
        <w:ind w:firstLine="852" w:firstLineChars="400"/>
        <w:rPr>
          <w:rFonts w:hint="eastAsia" w:ascii="宋体" w:hAnsi="宋体"/>
          <w:color w:val="auto"/>
          <w:highlight w:val="none"/>
        </w:rPr>
      </w:pPr>
      <w:r>
        <w:rPr>
          <w:rFonts w:hint="eastAsia" w:ascii="宋体" w:hAnsi="宋体"/>
          <w:color w:val="auto"/>
          <w:highlight w:val="none"/>
        </w:rPr>
        <w:t>（1）在收到中标通知书后，在中标通知书规定的期限内与你方签订合同；</w:t>
      </w:r>
    </w:p>
    <w:p w14:paraId="2A410D02">
      <w:pPr>
        <w:snapToGrid w:val="0"/>
        <w:spacing w:line="340" w:lineRule="exact"/>
        <w:ind w:firstLine="852" w:firstLineChars="400"/>
        <w:rPr>
          <w:rFonts w:hint="eastAsia" w:ascii="宋体" w:hAnsi="宋体"/>
          <w:color w:val="auto"/>
          <w:highlight w:val="none"/>
        </w:rPr>
      </w:pPr>
      <w:r>
        <w:rPr>
          <w:rFonts w:hint="eastAsia" w:ascii="宋体" w:hAnsi="宋体"/>
          <w:color w:val="auto"/>
          <w:highlight w:val="none"/>
        </w:rPr>
        <w:t>（2）在签订合同时不向你方提出附加条件；</w:t>
      </w:r>
    </w:p>
    <w:p w14:paraId="51771E0C">
      <w:pPr>
        <w:snapToGrid w:val="0"/>
        <w:spacing w:line="340" w:lineRule="exact"/>
        <w:ind w:firstLine="852" w:firstLineChars="400"/>
        <w:rPr>
          <w:rFonts w:hint="eastAsia" w:ascii="宋体" w:hAnsi="宋体"/>
          <w:color w:val="auto"/>
          <w:highlight w:val="none"/>
        </w:rPr>
      </w:pPr>
      <w:r>
        <w:rPr>
          <w:rFonts w:hint="eastAsia" w:ascii="宋体" w:hAnsi="宋体"/>
          <w:color w:val="auto"/>
          <w:highlight w:val="none"/>
        </w:rPr>
        <w:t>（3）在合同约定的期限内完成合同规定的全部义务。</w:t>
      </w:r>
    </w:p>
    <w:p w14:paraId="7EC1A5E8">
      <w:pPr>
        <w:pStyle w:val="26"/>
        <w:ind w:firstLine="426" w:firstLineChars="200"/>
        <w:rPr>
          <w:rFonts w:hint="eastAsia"/>
        </w:rPr>
      </w:pPr>
      <w:r>
        <w:rPr>
          <w:rFonts w:hint="eastAsia" w:ascii="宋体" w:hAnsi="宋体"/>
          <w:color w:val="auto"/>
          <w:highlight w:val="none"/>
          <w:lang w:val="en-US" w:eastAsia="zh-CN"/>
        </w:rPr>
        <w:t>（4）</w:t>
      </w:r>
      <w:r>
        <w:rPr>
          <w:rFonts w:ascii="宋体" w:hAnsi="宋体"/>
          <w:szCs w:val="21"/>
          <w:highlight w:val="none"/>
        </w:rPr>
        <w:t>按照招标文件规定向你方递交履约担保。</w:t>
      </w:r>
    </w:p>
    <w:p w14:paraId="299447B4">
      <w:pPr>
        <w:snapToGrid w:val="0"/>
        <w:spacing w:line="340" w:lineRule="exact"/>
        <w:ind w:firstLine="852" w:firstLineChars="400"/>
        <w:rPr>
          <w:rFonts w:hint="eastAsia"/>
          <w:color w:val="auto"/>
          <w:highlight w:val="none"/>
        </w:rPr>
      </w:pPr>
      <w:r>
        <w:rPr>
          <w:rFonts w:hint="eastAsia" w:ascii="宋体" w:hAnsi="宋体"/>
          <w:color w:val="auto"/>
          <w:highlight w:val="none"/>
        </w:rPr>
        <w:t>（</w:t>
      </w:r>
      <w:r>
        <w:rPr>
          <w:rFonts w:hint="eastAsia" w:ascii="宋体" w:hAnsi="宋体"/>
          <w:color w:val="auto"/>
          <w:highlight w:val="none"/>
          <w:lang w:val="en-US" w:eastAsia="zh-CN"/>
        </w:rPr>
        <w:t>5</w:t>
      </w:r>
      <w:r>
        <w:rPr>
          <w:rFonts w:hint="eastAsia" w:ascii="宋体" w:hAnsi="宋体"/>
          <w:color w:val="auto"/>
          <w:highlight w:val="none"/>
        </w:rPr>
        <w:t>）</w:t>
      </w:r>
      <w:r>
        <w:rPr>
          <w:rFonts w:hint="eastAsia" w:ascii="宋体" w:hAnsi="宋体"/>
          <w:color w:val="auto"/>
          <w:highlight w:val="none"/>
          <w:u w:val="single"/>
        </w:rPr>
        <w:t>按规定日期及金额（中标价的0.9‰）向广州公共资源交易中心交纳交易服务费。</w:t>
      </w:r>
    </w:p>
    <w:p w14:paraId="2BDBDCE8">
      <w:pPr>
        <w:snapToGrid w:val="0"/>
        <w:spacing w:line="340" w:lineRule="exact"/>
        <w:ind w:firstLine="426" w:firstLineChars="200"/>
        <w:rPr>
          <w:rFonts w:hint="eastAsia" w:ascii="宋体" w:hAnsi="宋体"/>
          <w:color w:val="auto"/>
          <w:highlight w:val="none"/>
        </w:rPr>
      </w:pPr>
      <w:r>
        <w:rPr>
          <w:rFonts w:hint="eastAsia" w:ascii="宋体" w:hAnsi="宋体"/>
          <w:color w:val="auto"/>
          <w:highlight w:val="none"/>
        </w:rPr>
        <w:t>5．我方在此声明，所递交的投标文件及有关资料内容完整、真实和准确，且不存在第二章“投标人须知”第 1.4.3 项规定的任何一种情形。</w:t>
      </w:r>
    </w:p>
    <w:p w14:paraId="34FC2A23">
      <w:pPr>
        <w:snapToGrid w:val="0"/>
        <w:spacing w:line="340" w:lineRule="exact"/>
        <w:ind w:firstLine="426" w:firstLineChars="200"/>
        <w:rPr>
          <w:rFonts w:hint="eastAsia" w:ascii="宋体" w:hAnsi="宋体"/>
          <w:color w:val="auto"/>
          <w:highlight w:val="none"/>
        </w:rPr>
      </w:pPr>
      <w:r>
        <w:rPr>
          <w:rFonts w:hint="eastAsia" w:ascii="宋体" w:hAnsi="宋体"/>
          <w:color w:val="auto"/>
          <w:highlight w:val="none"/>
        </w:rPr>
        <w:t>6．</w:t>
      </w:r>
      <w:r>
        <w:rPr>
          <w:rFonts w:hint="eastAsia" w:ascii="宋体" w:hAnsi="宋体"/>
          <w:color w:val="auto"/>
          <w:szCs w:val="21"/>
          <w:highlight w:val="none"/>
          <w:u w:val="single"/>
        </w:rPr>
        <w:t xml:space="preserve">                                     </w:t>
      </w:r>
      <w:r>
        <w:rPr>
          <w:rFonts w:hint="eastAsia" w:ascii="宋体" w:hAnsi="宋体"/>
          <w:color w:val="auto"/>
          <w:highlight w:val="none"/>
        </w:rPr>
        <w:t>（其他补充说明）。</w:t>
      </w:r>
    </w:p>
    <w:p w14:paraId="7AC34044">
      <w:pPr>
        <w:spacing w:line="340" w:lineRule="exact"/>
        <w:ind w:firstLine="2875" w:firstLineChars="1350"/>
        <w:rPr>
          <w:rFonts w:hint="eastAsia" w:ascii="宋体" w:hAnsi="宋体"/>
          <w:color w:val="auto"/>
          <w:highlight w:val="none"/>
        </w:rPr>
      </w:pPr>
      <w:r>
        <w:rPr>
          <w:rFonts w:hint="eastAsia" w:ascii="宋体" w:hAnsi="宋体"/>
          <w:color w:val="auto"/>
          <w:highlight w:val="none"/>
        </w:rPr>
        <w:t>投 标 人：</w:t>
      </w:r>
      <w:r>
        <w:rPr>
          <w:rFonts w:hint="eastAsia" w:ascii="宋体" w:hAnsi="宋体"/>
          <w:color w:val="auto"/>
          <w:szCs w:val="21"/>
          <w:highlight w:val="none"/>
          <w:u w:val="single"/>
        </w:rPr>
        <w:t xml:space="preserve">                            </w:t>
      </w:r>
      <w:r>
        <w:rPr>
          <w:rFonts w:hint="eastAsia" w:ascii="宋体" w:hAnsi="宋体"/>
          <w:color w:val="auto"/>
          <w:highlight w:val="none"/>
        </w:rPr>
        <w:t>（盖单位章）</w:t>
      </w:r>
    </w:p>
    <w:p w14:paraId="14E3A6A2">
      <w:pPr>
        <w:spacing w:line="340" w:lineRule="exact"/>
        <w:ind w:firstLine="2875" w:firstLineChars="1350"/>
        <w:rPr>
          <w:rFonts w:hint="eastAsia" w:ascii="宋体" w:hAnsi="宋体"/>
          <w:color w:val="auto"/>
          <w:highlight w:val="none"/>
        </w:rPr>
      </w:pPr>
      <w:r>
        <w:rPr>
          <w:rFonts w:hint="eastAsia" w:ascii="宋体" w:hAnsi="宋体"/>
          <w:color w:val="auto"/>
          <w:highlight w:val="none"/>
        </w:rPr>
        <w:t>法定代表人或其委托代理人：</w:t>
      </w:r>
      <w:r>
        <w:rPr>
          <w:rFonts w:hint="eastAsia" w:ascii="宋体" w:hAnsi="宋体"/>
          <w:color w:val="auto"/>
          <w:szCs w:val="21"/>
          <w:highlight w:val="none"/>
          <w:u w:val="single"/>
        </w:rPr>
        <w:t xml:space="preserve">                </w:t>
      </w:r>
      <w:r>
        <w:rPr>
          <w:rFonts w:hint="eastAsia" w:ascii="宋体" w:hAnsi="宋体"/>
          <w:color w:val="auto"/>
          <w:highlight w:val="none"/>
        </w:rPr>
        <w:t>（签字或盖章）</w:t>
      </w:r>
    </w:p>
    <w:p w14:paraId="7E049C24">
      <w:pPr>
        <w:spacing w:line="340" w:lineRule="exact"/>
        <w:ind w:firstLine="2875" w:firstLineChars="1350"/>
        <w:rPr>
          <w:rFonts w:hint="eastAsia" w:ascii="宋体" w:hAnsi="宋体"/>
          <w:color w:val="auto"/>
          <w:highlight w:val="none"/>
        </w:rPr>
      </w:pPr>
      <w:r>
        <w:rPr>
          <w:rFonts w:hint="eastAsia" w:ascii="宋体" w:hAnsi="宋体"/>
          <w:color w:val="auto"/>
          <w:highlight w:val="none"/>
        </w:rPr>
        <w:t>地    址：</w:t>
      </w:r>
      <w:r>
        <w:rPr>
          <w:rFonts w:hint="eastAsia" w:ascii="宋体" w:hAnsi="宋体"/>
          <w:color w:val="auto"/>
          <w:szCs w:val="21"/>
          <w:highlight w:val="none"/>
          <w:u w:val="single"/>
        </w:rPr>
        <w:t xml:space="preserve">                                        </w:t>
      </w:r>
    </w:p>
    <w:p w14:paraId="11EFBFDA">
      <w:pPr>
        <w:spacing w:line="340" w:lineRule="exact"/>
        <w:ind w:firstLine="2875" w:firstLineChars="1350"/>
        <w:rPr>
          <w:rFonts w:hint="eastAsia" w:ascii="宋体" w:hAnsi="宋体"/>
          <w:color w:val="auto"/>
          <w:highlight w:val="none"/>
        </w:rPr>
      </w:pPr>
      <w:r>
        <w:rPr>
          <w:rFonts w:hint="eastAsia" w:ascii="宋体" w:hAnsi="宋体"/>
          <w:color w:val="auto"/>
          <w:highlight w:val="none"/>
        </w:rPr>
        <w:t>网    址：</w:t>
      </w:r>
      <w:r>
        <w:rPr>
          <w:rFonts w:hint="eastAsia" w:ascii="宋体" w:hAnsi="宋体"/>
          <w:color w:val="auto"/>
          <w:szCs w:val="21"/>
          <w:highlight w:val="none"/>
          <w:u w:val="single"/>
        </w:rPr>
        <w:t xml:space="preserve">                                        </w:t>
      </w:r>
    </w:p>
    <w:p w14:paraId="11ED6866">
      <w:pPr>
        <w:spacing w:line="340" w:lineRule="exact"/>
        <w:ind w:firstLine="2875" w:firstLineChars="1350"/>
        <w:rPr>
          <w:rFonts w:hint="eastAsia" w:ascii="宋体" w:hAnsi="宋体"/>
          <w:color w:val="auto"/>
          <w:highlight w:val="none"/>
        </w:rPr>
      </w:pPr>
      <w:r>
        <w:rPr>
          <w:rFonts w:hint="eastAsia" w:ascii="宋体" w:hAnsi="宋体"/>
          <w:color w:val="auto"/>
          <w:highlight w:val="none"/>
        </w:rPr>
        <w:t>电    话：</w:t>
      </w:r>
      <w:r>
        <w:rPr>
          <w:rFonts w:hint="eastAsia" w:ascii="宋体" w:hAnsi="宋体"/>
          <w:color w:val="auto"/>
          <w:szCs w:val="21"/>
          <w:highlight w:val="none"/>
          <w:u w:val="single"/>
        </w:rPr>
        <w:t xml:space="preserve">                                        </w:t>
      </w:r>
    </w:p>
    <w:p w14:paraId="4F155260">
      <w:pPr>
        <w:spacing w:line="340" w:lineRule="exact"/>
        <w:ind w:firstLine="2875" w:firstLineChars="1350"/>
        <w:rPr>
          <w:rFonts w:hint="eastAsia" w:ascii="宋体" w:hAnsi="宋体"/>
          <w:color w:val="auto"/>
          <w:highlight w:val="none"/>
        </w:rPr>
      </w:pPr>
      <w:r>
        <w:rPr>
          <w:rFonts w:hint="eastAsia" w:ascii="宋体" w:hAnsi="宋体"/>
          <w:color w:val="auto"/>
          <w:highlight w:val="none"/>
        </w:rPr>
        <w:t>传    真：</w:t>
      </w:r>
      <w:r>
        <w:rPr>
          <w:rFonts w:hint="eastAsia" w:ascii="宋体" w:hAnsi="宋体"/>
          <w:color w:val="auto"/>
          <w:szCs w:val="21"/>
          <w:highlight w:val="none"/>
          <w:u w:val="single"/>
        </w:rPr>
        <w:t xml:space="preserve">                                        </w:t>
      </w:r>
    </w:p>
    <w:p w14:paraId="79592304">
      <w:pPr>
        <w:spacing w:line="340" w:lineRule="exact"/>
        <w:ind w:firstLine="2875" w:firstLineChars="1350"/>
        <w:rPr>
          <w:rFonts w:hint="eastAsia" w:ascii="宋体" w:hAnsi="宋体"/>
          <w:color w:val="auto"/>
          <w:highlight w:val="none"/>
        </w:rPr>
      </w:pPr>
      <w:r>
        <w:rPr>
          <w:rFonts w:hint="eastAsia" w:ascii="宋体" w:hAnsi="宋体"/>
          <w:color w:val="auto"/>
          <w:highlight w:val="none"/>
        </w:rPr>
        <w:t>邮政编码：</w:t>
      </w:r>
      <w:r>
        <w:rPr>
          <w:rFonts w:hint="eastAsia" w:ascii="宋体" w:hAnsi="宋体"/>
          <w:color w:val="auto"/>
          <w:szCs w:val="21"/>
          <w:highlight w:val="none"/>
          <w:u w:val="single"/>
        </w:rPr>
        <w:t xml:space="preserve">                                        </w:t>
      </w:r>
    </w:p>
    <w:p w14:paraId="2376333C">
      <w:pPr>
        <w:spacing w:line="340" w:lineRule="exact"/>
        <w:ind w:firstLine="5005" w:firstLineChars="2350"/>
        <w:rPr>
          <w:rFonts w:hint="eastAsia" w:ascii="宋体" w:hAnsi="宋体"/>
          <w:color w:val="auto"/>
          <w:highlight w:val="none"/>
        </w:rPr>
      </w:pPr>
      <w:r>
        <w:rPr>
          <w:rFonts w:hint="eastAsia" w:ascii="宋体" w:hAnsi="宋体"/>
          <w:color w:val="auto"/>
          <w:szCs w:val="21"/>
          <w:highlight w:val="none"/>
          <w:u w:val="single"/>
        </w:rPr>
        <w:t xml:space="preserve">        </w:t>
      </w:r>
      <w:r>
        <w:rPr>
          <w:rFonts w:hint="eastAsia" w:ascii="宋体" w:hAnsi="宋体"/>
          <w:color w:val="auto"/>
          <w:highlight w:val="none"/>
        </w:rPr>
        <w:t>年</w:t>
      </w:r>
      <w:r>
        <w:rPr>
          <w:rFonts w:hint="eastAsia" w:ascii="宋体" w:hAnsi="宋体"/>
          <w:color w:val="auto"/>
          <w:szCs w:val="21"/>
          <w:highlight w:val="none"/>
          <w:u w:val="single"/>
        </w:rPr>
        <w:t xml:space="preserve">        </w:t>
      </w:r>
      <w:r>
        <w:rPr>
          <w:rFonts w:hint="eastAsia" w:ascii="宋体" w:hAnsi="宋体"/>
          <w:color w:val="auto"/>
          <w:highlight w:val="none"/>
        </w:rPr>
        <w:t>月</w:t>
      </w:r>
      <w:r>
        <w:rPr>
          <w:rFonts w:hint="eastAsia" w:ascii="宋体" w:hAnsi="宋体"/>
          <w:color w:val="auto"/>
          <w:szCs w:val="21"/>
          <w:highlight w:val="none"/>
          <w:u w:val="single"/>
        </w:rPr>
        <w:t xml:space="preserve">        </w:t>
      </w:r>
      <w:r>
        <w:rPr>
          <w:rFonts w:hint="eastAsia" w:ascii="宋体" w:hAnsi="宋体"/>
          <w:color w:val="auto"/>
          <w:highlight w:val="none"/>
        </w:rPr>
        <w:t>日</w:t>
      </w:r>
    </w:p>
    <w:p w14:paraId="7301AE36">
      <w:pPr>
        <w:pStyle w:val="5"/>
        <w:spacing w:before="67" w:beforeLines="20" w:after="67" w:afterLines="20" w:line="360" w:lineRule="auto"/>
        <w:ind w:firstLine="139"/>
        <w:jc w:val="center"/>
        <w:rPr>
          <w:rFonts w:hint="eastAsia" w:ascii="宋体" w:hAnsi="宋体"/>
          <w:color w:val="auto"/>
          <w:highlight w:val="none"/>
        </w:rPr>
      </w:pPr>
      <w:r>
        <w:rPr>
          <w:rFonts w:ascii="宋体" w:hAnsi="宋体"/>
          <w:color w:val="auto"/>
          <w:highlight w:val="none"/>
        </w:rPr>
        <w:br w:type="page"/>
      </w:r>
      <w:bookmarkStart w:id="332" w:name="_Toc532778388"/>
      <w:r>
        <w:rPr>
          <w:rFonts w:hint="eastAsia" w:ascii="宋体" w:hAnsi="宋体"/>
          <w:color w:val="auto"/>
          <w:highlight w:val="none"/>
        </w:rPr>
        <w:t>（二）投标函附录</w:t>
      </w:r>
      <w:bookmarkEnd w:id="332"/>
    </w:p>
    <w:p w14:paraId="67D1048D">
      <w:pPr>
        <w:spacing w:line="360" w:lineRule="auto"/>
        <w:ind w:firstLine="426" w:firstLineChars="200"/>
        <w:rPr>
          <w:rFonts w:hint="eastAsia" w:ascii="宋体" w:hAnsi="宋体"/>
          <w:color w:val="auto"/>
          <w:highlight w:val="none"/>
        </w:rPr>
      </w:pP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980"/>
        <w:gridCol w:w="3420"/>
        <w:gridCol w:w="2160"/>
      </w:tblGrid>
      <w:tr w14:paraId="68430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28" w:type="dxa"/>
            <w:noWrap w:val="0"/>
            <w:vAlign w:val="center"/>
          </w:tcPr>
          <w:p w14:paraId="12A00B82">
            <w:pPr>
              <w:spacing w:line="360" w:lineRule="auto"/>
              <w:jc w:val="center"/>
              <w:rPr>
                <w:rFonts w:hint="eastAsia" w:ascii="宋体" w:hAnsi="宋体"/>
                <w:b/>
                <w:color w:val="auto"/>
                <w:highlight w:val="none"/>
              </w:rPr>
            </w:pPr>
            <w:r>
              <w:rPr>
                <w:rFonts w:hint="eastAsia" w:ascii="宋体" w:hAnsi="宋体"/>
                <w:b/>
                <w:color w:val="auto"/>
                <w:highlight w:val="none"/>
              </w:rPr>
              <w:t>序号</w:t>
            </w:r>
          </w:p>
        </w:tc>
        <w:tc>
          <w:tcPr>
            <w:tcW w:w="1980" w:type="dxa"/>
            <w:noWrap w:val="0"/>
            <w:vAlign w:val="center"/>
          </w:tcPr>
          <w:p w14:paraId="40DD46AC">
            <w:pPr>
              <w:spacing w:line="360" w:lineRule="auto"/>
              <w:jc w:val="center"/>
              <w:rPr>
                <w:rFonts w:hint="eastAsia" w:ascii="宋体" w:hAnsi="宋体"/>
                <w:b/>
                <w:color w:val="auto"/>
                <w:highlight w:val="none"/>
              </w:rPr>
            </w:pPr>
            <w:r>
              <w:rPr>
                <w:rFonts w:hint="eastAsia" w:ascii="宋体" w:hAnsi="宋体"/>
                <w:b/>
                <w:color w:val="auto"/>
                <w:highlight w:val="none"/>
              </w:rPr>
              <w:t>项目</w:t>
            </w:r>
          </w:p>
        </w:tc>
        <w:tc>
          <w:tcPr>
            <w:tcW w:w="3420" w:type="dxa"/>
            <w:noWrap w:val="0"/>
            <w:vAlign w:val="center"/>
          </w:tcPr>
          <w:p w14:paraId="305AE1C7">
            <w:pPr>
              <w:spacing w:line="360" w:lineRule="auto"/>
              <w:jc w:val="center"/>
              <w:rPr>
                <w:rFonts w:hint="eastAsia" w:ascii="宋体" w:hAnsi="宋体"/>
                <w:b/>
                <w:color w:val="auto"/>
                <w:highlight w:val="none"/>
              </w:rPr>
            </w:pPr>
            <w:r>
              <w:rPr>
                <w:rFonts w:hint="eastAsia" w:ascii="宋体" w:hAnsi="宋体"/>
                <w:b/>
                <w:color w:val="auto"/>
                <w:highlight w:val="none"/>
              </w:rPr>
              <w:t>内容</w:t>
            </w:r>
          </w:p>
        </w:tc>
        <w:tc>
          <w:tcPr>
            <w:tcW w:w="2160" w:type="dxa"/>
            <w:noWrap w:val="0"/>
            <w:vAlign w:val="center"/>
          </w:tcPr>
          <w:p w14:paraId="6AEFE5D3">
            <w:pPr>
              <w:spacing w:line="360" w:lineRule="auto"/>
              <w:jc w:val="center"/>
              <w:rPr>
                <w:rFonts w:hint="eastAsia" w:ascii="宋体" w:hAnsi="宋体"/>
                <w:b/>
                <w:color w:val="auto"/>
                <w:highlight w:val="none"/>
              </w:rPr>
            </w:pPr>
            <w:r>
              <w:rPr>
                <w:rFonts w:hint="eastAsia" w:ascii="宋体" w:hAnsi="宋体"/>
                <w:b/>
                <w:color w:val="auto"/>
                <w:highlight w:val="none"/>
              </w:rPr>
              <w:t>备注</w:t>
            </w:r>
          </w:p>
        </w:tc>
      </w:tr>
      <w:tr w14:paraId="7A821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14:paraId="5719BAA1">
            <w:pPr>
              <w:spacing w:line="360" w:lineRule="auto"/>
              <w:jc w:val="center"/>
              <w:rPr>
                <w:rFonts w:hint="eastAsia" w:ascii="宋体" w:hAnsi="宋体"/>
                <w:color w:val="auto"/>
                <w:highlight w:val="none"/>
              </w:rPr>
            </w:pPr>
            <w:r>
              <w:rPr>
                <w:rFonts w:hint="eastAsia" w:ascii="宋体" w:hAnsi="宋体"/>
                <w:color w:val="auto"/>
                <w:highlight w:val="none"/>
              </w:rPr>
              <w:t>1</w:t>
            </w:r>
          </w:p>
        </w:tc>
        <w:tc>
          <w:tcPr>
            <w:tcW w:w="1980" w:type="dxa"/>
            <w:noWrap w:val="0"/>
            <w:vAlign w:val="center"/>
          </w:tcPr>
          <w:p w14:paraId="537FEAEB">
            <w:pPr>
              <w:spacing w:line="360" w:lineRule="auto"/>
              <w:jc w:val="center"/>
              <w:rPr>
                <w:rFonts w:hint="eastAsia" w:ascii="宋体" w:hAnsi="宋体"/>
                <w:color w:val="auto"/>
                <w:highlight w:val="none"/>
              </w:rPr>
            </w:pPr>
            <w:r>
              <w:rPr>
                <w:rFonts w:hint="eastAsia" w:ascii="宋体" w:hAnsi="宋体"/>
                <w:color w:val="auto"/>
                <w:highlight w:val="none"/>
              </w:rPr>
              <w:t>项目负责人</w:t>
            </w:r>
          </w:p>
        </w:tc>
        <w:tc>
          <w:tcPr>
            <w:tcW w:w="3420" w:type="dxa"/>
            <w:noWrap w:val="0"/>
            <w:vAlign w:val="center"/>
          </w:tcPr>
          <w:p w14:paraId="4736D0FE">
            <w:pPr>
              <w:spacing w:line="360" w:lineRule="auto"/>
              <w:rPr>
                <w:rFonts w:hint="eastAsia" w:ascii="宋体" w:hAnsi="宋体"/>
                <w:color w:val="auto"/>
                <w:highlight w:val="none"/>
                <w:u w:val="single"/>
              </w:rPr>
            </w:pPr>
            <w:r>
              <w:rPr>
                <w:rFonts w:hint="eastAsia" w:ascii="宋体" w:hAnsi="宋体"/>
                <w:color w:val="auto"/>
                <w:highlight w:val="none"/>
              </w:rPr>
              <w:t>姓名：</w:t>
            </w:r>
            <w:r>
              <w:rPr>
                <w:rFonts w:hint="eastAsia" w:ascii="宋体" w:hAnsi="宋体"/>
                <w:color w:val="auto"/>
                <w:highlight w:val="none"/>
                <w:u w:val="single"/>
              </w:rPr>
              <w:t xml:space="preserve">                      </w:t>
            </w:r>
          </w:p>
          <w:p w14:paraId="28C1FB89">
            <w:pPr>
              <w:spacing w:line="360" w:lineRule="auto"/>
              <w:rPr>
                <w:rFonts w:hint="eastAsia" w:ascii="宋体" w:hAnsi="宋体"/>
                <w:color w:val="auto"/>
                <w:highlight w:val="none"/>
                <w:u w:val="single"/>
              </w:rPr>
            </w:pPr>
            <w:r>
              <w:rPr>
                <w:rFonts w:hint="eastAsia" w:ascii="宋体" w:hAnsi="宋体"/>
                <w:color w:val="auto"/>
                <w:highlight w:val="none"/>
              </w:rPr>
              <w:t>技术职称及证号：</w:t>
            </w:r>
            <w:r>
              <w:rPr>
                <w:rFonts w:hint="eastAsia" w:ascii="宋体" w:hAnsi="宋体"/>
                <w:color w:val="auto"/>
                <w:highlight w:val="none"/>
                <w:u w:val="single"/>
              </w:rPr>
              <w:t xml:space="preserve">            </w:t>
            </w:r>
          </w:p>
        </w:tc>
        <w:tc>
          <w:tcPr>
            <w:tcW w:w="2160" w:type="dxa"/>
            <w:noWrap w:val="0"/>
            <w:vAlign w:val="center"/>
          </w:tcPr>
          <w:p w14:paraId="6572B2A7">
            <w:pPr>
              <w:spacing w:line="360" w:lineRule="auto"/>
              <w:rPr>
                <w:rFonts w:hint="eastAsia" w:ascii="宋体" w:hAnsi="宋体"/>
                <w:color w:val="auto"/>
                <w:highlight w:val="none"/>
              </w:rPr>
            </w:pPr>
          </w:p>
        </w:tc>
      </w:tr>
      <w:tr w14:paraId="6B9DB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828" w:type="dxa"/>
            <w:noWrap w:val="0"/>
            <w:vAlign w:val="center"/>
          </w:tcPr>
          <w:p w14:paraId="1C48D25A">
            <w:pPr>
              <w:spacing w:line="360" w:lineRule="auto"/>
              <w:jc w:val="center"/>
              <w:rPr>
                <w:rFonts w:hint="eastAsia" w:ascii="宋体" w:hAnsi="宋体"/>
                <w:color w:val="auto"/>
                <w:highlight w:val="none"/>
              </w:rPr>
            </w:pPr>
            <w:r>
              <w:rPr>
                <w:rFonts w:hint="eastAsia" w:ascii="宋体" w:hAnsi="宋体"/>
                <w:color w:val="auto"/>
                <w:highlight w:val="none"/>
              </w:rPr>
              <w:t>2</w:t>
            </w:r>
          </w:p>
        </w:tc>
        <w:tc>
          <w:tcPr>
            <w:tcW w:w="1980" w:type="dxa"/>
            <w:noWrap w:val="0"/>
            <w:vAlign w:val="center"/>
          </w:tcPr>
          <w:p w14:paraId="51E572AA">
            <w:pPr>
              <w:spacing w:line="360" w:lineRule="auto"/>
              <w:jc w:val="center"/>
              <w:rPr>
                <w:rFonts w:hint="eastAsia" w:ascii="宋体" w:hAnsi="宋体"/>
                <w:color w:val="auto"/>
                <w:highlight w:val="none"/>
              </w:rPr>
            </w:pPr>
            <w:r>
              <w:rPr>
                <w:rFonts w:hint="eastAsia" w:ascii="宋体" w:hAnsi="宋体"/>
                <w:color w:val="auto"/>
                <w:highlight w:val="none"/>
              </w:rPr>
              <w:t>服务期限</w:t>
            </w:r>
          </w:p>
        </w:tc>
        <w:tc>
          <w:tcPr>
            <w:tcW w:w="3420" w:type="dxa"/>
            <w:noWrap w:val="0"/>
            <w:vAlign w:val="center"/>
          </w:tcPr>
          <w:p w14:paraId="38F9FC66">
            <w:pPr>
              <w:spacing w:line="360" w:lineRule="auto"/>
              <w:rPr>
                <w:rFonts w:hint="eastAsia" w:ascii="宋体" w:hAnsi="宋体"/>
                <w:color w:val="auto"/>
                <w:szCs w:val="21"/>
                <w:highlight w:val="none"/>
                <w:u w:val="single"/>
              </w:rPr>
            </w:pPr>
            <w:r>
              <w:rPr>
                <w:rFonts w:hint="eastAsia" w:ascii="宋体" w:hAnsi="宋体"/>
                <w:color w:val="auto"/>
                <w:szCs w:val="21"/>
                <w:highlight w:val="none"/>
                <w:u w:val="single"/>
              </w:rPr>
              <w:t>按招标文件要求</w:t>
            </w:r>
          </w:p>
        </w:tc>
        <w:tc>
          <w:tcPr>
            <w:tcW w:w="2160" w:type="dxa"/>
            <w:noWrap w:val="0"/>
            <w:vAlign w:val="center"/>
          </w:tcPr>
          <w:p w14:paraId="7936546E">
            <w:pPr>
              <w:spacing w:line="360" w:lineRule="auto"/>
              <w:rPr>
                <w:rFonts w:hint="eastAsia" w:ascii="宋体" w:hAnsi="宋体"/>
                <w:color w:val="auto"/>
                <w:highlight w:val="none"/>
              </w:rPr>
            </w:pPr>
          </w:p>
        </w:tc>
      </w:tr>
      <w:tr w14:paraId="2C9CA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828" w:type="dxa"/>
            <w:noWrap w:val="0"/>
            <w:vAlign w:val="center"/>
          </w:tcPr>
          <w:p w14:paraId="23438F3E">
            <w:pPr>
              <w:spacing w:line="360" w:lineRule="auto"/>
              <w:jc w:val="center"/>
              <w:rPr>
                <w:rFonts w:hint="eastAsia" w:ascii="宋体" w:hAnsi="宋体"/>
                <w:color w:val="auto"/>
                <w:highlight w:val="none"/>
              </w:rPr>
            </w:pPr>
            <w:r>
              <w:rPr>
                <w:rFonts w:hint="eastAsia" w:ascii="宋体" w:hAnsi="宋体"/>
                <w:color w:val="auto"/>
                <w:highlight w:val="none"/>
              </w:rPr>
              <w:t>3</w:t>
            </w:r>
          </w:p>
        </w:tc>
        <w:tc>
          <w:tcPr>
            <w:tcW w:w="1980" w:type="dxa"/>
            <w:noWrap w:val="0"/>
            <w:vAlign w:val="center"/>
          </w:tcPr>
          <w:p w14:paraId="1C2DF7EE">
            <w:pPr>
              <w:spacing w:line="360" w:lineRule="auto"/>
              <w:jc w:val="center"/>
              <w:rPr>
                <w:rFonts w:hint="eastAsia" w:ascii="宋体" w:hAnsi="宋体"/>
                <w:color w:val="auto"/>
                <w:highlight w:val="none"/>
              </w:rPr>
            </w:pPr>
            <w:r>
              <w:rPr>
                <w:rFonts w:hint="eastAsia" w:ascii="宋体" w:hAnsi="宋体"/>
                <w:color w:val="auto"/>
                <w:highlight w:val="none"/>
              </w:rPr>
              <w:t>合同价款确定方式</w:t>
            </w:r>
          </w:p>
        </w:tc>
        <w:tc>
          <w:tcPr>
            <w:tcW w:w="3420" w:type="dxa"/>
            <w:noWrap w:val="0"/>
            <w:vAlign w:val="center"/>
          </w:tcPr>
          <w:p w14:paraId="1FBD99B4">
            <w:pPr>
              <w:spacing w:line="360" w:lineRule="auto"/>
              <w:rPr>
                <w:rFonts w:hint="eastAsia" w:ascii="宋体" w:hAnsi="宋体"/>
                <w:color w:val="auto"/>
                <w:szCs w:val="21"/>
                <w:highlight w:val="none"/>
                <w:u w:val="single"/>
              </w:rPr>
            </w:pPr>
            <w:r>
              <w:rPr>
                <w:rFonts w:hint="eastAsia" w:ascii="宋体" w:hAnsi="宋体"/>
                <w:color w:val="auto"/>
                <w:szCs w:val="21"/>
                <w:highlight w:val="none"/>
                <w:u w:val="single"/>
              </w:rPr>
              <w:t>按招标文件要求</w:t>
            </w:r>
          </w:p>
        </w:tc>
        <w:tc>
          <w:tcPr>
            <w:tcW w:w="2160" w:type="dxa"/>
            <w:noWrap w:val="0"/>
            <w:vAlign w:val="center"/>
          </w:tcPr>
          <w:p w14:paraId="0F8AE6D3">
            <w:pPr>
              <w:spacing w:line="360" w:lineRule="auto"/>
              <w:rPr>
                <w:rFonts w:hint="eastAsia" w:ascii="宋体" w:hAnsi="宋体"/>
                <w:color w:val="auto"/>
                <w:highlight w:val="none"/>
              </w:rPr>
            </w:pPr>
          </w:p>
        </w:tc>
      </w:tr>
      <w:tr w14:paraId="0BA5F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828" w:type="dxa"/>
            <w:noWrap w:val="0"/>
            <w:vAlign w:val="center"/>
          </w:tcPr>
          <w:p w14:paraId="14C635E5">
            <w:pPr>
              <w:spacing w:line="360" w:lineRule="auto"/>
              <w:jc w:val="center"/>
              <w:rPr>
                <w:rFonts w:hint="eastAsia" w:ascii="宋体" w:hAnsi="宋体"/>
                <w:color w:val="auto"/>
                <w:highlight w:val="none"/>
              </w:rPr>
            </w:pPr>
            <w:r>
              <w:rPr>
                <w:rFonts w:hint="eastAsia" w:ascii="宋体" w:hAnsi="宋体"/>
                <w:color w:val="auto"/>
                <w:highlight w:val="none"/>
              </w:rPr>
              <w:t>4</w:t>
            </w:r>
          </w:p>
        </w:tc>
        <w:tc>
          <w:tcPr>
            <w:tcW w:w="1980" w:type="dxa"/>
            <w:noWrap w:val="0"/>
            <w:vAlign w:val="center"/>
          </w:tcPr>
          <w:p w14:paraId="5BE71191">
            <w:pPr>
              <w:spacing w:line="360" w:lineRule="auto"/>
              <w:jc w:val="center"/>
              <w:rPr>
                <w:rFonts w:hint="eastAsia" w:ascii="宋体" w:hAnsi="宋体"/>
                <w:color w:val="auto"/>
                <w:highlight w:val="none"/>
              </w:rPr>
            </w:pPr>
            <w:r>
              <w:rPr>
                <w:rFonts w:hint="eastAsia" w:ascii="宋体" w:hAnsi="宋体"/>
                <w:color w:val="auto"/>
                <w:highlight w:val="none"/>
              </w:rPr>
              <w:t>质量标准</w:t>
            </w:r>
          </w:p>
        </w:tc>
        <w:tc>
          <w:tcPr>
            <w:tcW w:w="3420" w:type="dxa"/>
            <w:noWrap w:val="0"/>
            <w:vAlign w:val="center"/>
          </w:tcPr>
          <w:p w14:paraId="64C86AD7">
            <w:pPr>
              <w:spacing w:line="360" w:lineRule="auto"/>
              <w:rPr>
                <w:rFonts w:hint="eastAsia" w:ascii="宋体" w:hAnsi="宋体"/>
                <w:color w:val="auto"/>
                <w:szCs w:val="21"/>
                <w:highlight w:val="none"/>
                <w:u w:val="single"/>
              </w:rPr>
            </w:pPr>
            <w:r>
              <w:rPr>
                <w:rFonts w:hint="eastAsia" w:ascii="宋体" w:hAnsi="宋体"/>
                <w:color w:val="auto"/>
                <w:szCs w:val="21"/>
                <w:highlight w:val="none"/>
                <w:u w:val="single"/>
              </w:rPr>
              <w:t>按招标文件要求</w:t>
            </w:r>
          </w:p>
        </w:tc>
        <w:tc>
          <w:tcPr>
            <w:tcW w:w="2160" w:type="dxa"/>
            <w:noWrap w:val="0"/>
            <w:vAlign w:val="center"/>
          </w:tcPr>
          <w:p w14:paraId="4BEAF35C">
            <w:pPr>
              <w:spacing w:line="360" w:lineRule="auto"/>
              <w:rPr>
                <w:rFonts w:hint="eastAsia" w:ascii="宋体" w:hAnsi="宋体"/>
                <w:color w:val="auto"/>
                <w:highlight w:val="none"/>
              </w:rPr>
            </w:pPr>
          </w:p>
        </w:tc>
      </w:tr>
      <w:tr w14:paraId="0DF42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828" w:type="dxa"/>
            <w:noWrap w:val="0"/>
            <w:vAlign w:val="center"/>
          </w:tcPr>
          <w:p w14:paraId="38EB93C2">
            <w:pPr>
              <w:spacing w:line="360" w:lineRule="auto"/>
              <w:jc w:val="center"/>
              <w:rPr>
                <w:rFonts w:hint="eastAsia" w:ascii="宋体" w:hAnsi="宋体"/>
                <w:color w:val="auto"/>
                <w:highlight w:val="none"/>
              </w:rPr>
            </w:pPr>
            <w:r>
              <w:rPr>
                <w:rFonts w:hint="eastAsia" w:ascii="宋体" w:hAnsi="宋体"/>
                <w:color w:val="auto"/>
                <w:highlight w:val="none"/>
              </w:rPr>
              <w:t>5</w:t>
            </w:r>
          </w:p>
        </w:tc>
        <w:tc>
          <w:tcPr>
            <w:tcW w:w="1980" w:type="dxa"/>
            <w:noWrap w:val="0"/>
            <w:vAlign w:val="center"/>
          </w:tcPr>
          <w:p w14:paraId="4EB51A90">
            <w:pPr>
              <w:spacing w:line="360" w:lineRule="auto"/>
              <w:jc w:val="center"/>
              <w:rPr>
                <w:rFonts w:hint="eastAsia" w:ascii="宋体" w:hAnsi="宋体"/>
                <w:color w:val="auto"/>
                <w:highlight w:val="none"/>
              </w:rPr>
            </w:pPr>
            <w:r>
              <w:rPr>
                <w:rFonts w:hint="eastAsia" w:ascii="宋体" w:hAnsi="宋体"/>
                <w:color w:val="auto"/>
                <w:highlight w:val="none"/>
              </w:rPr>
              <w:t>投标有效期</w:t>
            </w:r>
          </w:p>
        </w:tc>
        <w:tc>
          <w:tcPr>
            <w:tcW w:w="3420" w:type="dxa"/>
            <w:noWrap w:val="0"/>
            <w:vAlign w:val="center"/>
          </w:tcPr>
          <w:p w14:paraId="65AA6540">
            <w:pPr>
              <w:spacing w:line="360" w:lineRule="auto"/>
              <w:rPr>
                <w:rFonts w:hint="eastAsia" w:ascii="宋体" w:hAnsi="宋体"/>
                <w:color w:val="auto"/>
                <w:szCs w:val="21"/>
                <w:highlight w:val="none"/>
                <w:u w:val="single"/>
              </w:rPr>
            </w:pPr>
            <w:r>
              <w:rPr>
                <w:rFonts w:hint="eastAsia" w:ascii="宋体" w:hAnsi="宋体"/>
                <w:color w:val="auto"/>
                <w:szCs w:val="21"/>
                <w:highlight w:val="none"/>
                <w:u w:val="single"/>
              </w:rPr>
              <w:t>按招标文件要求</w:t>
            </w:r>
          </w:p>
        </w:tc>
        <w:tc>
          <w:tcPr>
            <w:tcW w:w="2160" w:type="dxa"/>
            <w:noWrap w:val="0"/>
            <w:vAlign w:val="center"/>
          </w:tcPr>
          <w:p w14:paraId="17D1F502">
            <w:pPr>
              <w:spacing w:line="360" w:lineRule="auto"/>
              <w:rPr>
                <w:rFonts w:hint="eastAsia" w:ascii="宋体" w:hAnsi="宋体"/>
                <w:color w:val="auto"/>
                <w:highlight w:val="none"/>
              </w:rPr>
            </w:pPr>
          </w:p>
        </w:tc>
      </w:tr>
    </w:tbl>
    <w:p w14:paraId="0CFDC500">
      <w:pPr>
        <w:spacing w:line="360" w:lineRule="auto"/>
        <w:ind w:firstLine="426" w:firstLineChars="200"/>
        <w:rPr>
          <w:rFonts w:hint="eastAsia" w:ascii="宋体" w:hAnsi="宋体"/>
          <w:color w:val="auto"/>
          <w:highlight w:val="none"/>
        </w:rPr>
      </w:pPr>
    </w:p>
    <w:p w14:paraId="25660B2B">
      <w:pPr>
        <w:spacing w:line="360" w:lineRule="auto"/>
        <w:ind w:firstLine="426" w:firstLineChars="200"/>
        <w:rPr>
          <w:rFonts w:hint="eastAsia" w:ascii="宋体" w:hAnsi="宋体"/>
          <w:color w:val="auto"/>
          <w:highlight w:val="none"/>
        </w:rPr>
      </w:pPr>
    </w:p>
    <w:p w14:paraId="1280BFEF">
      <w:pPr>
        <w:spacing w:line="360" w:lineRule="exact"/>
        <w:ind w:firstLine="2875" w:firstLineChars="1350"/>
        <w:rPr>
          <w:rFonts w:hint="eastAsia" w:ascii="宋体" w:hAnsi="宋体"/>
          <w:color w:val="auto"/>
          <w:highlight w:val="none"/>
        </w:rPr>
      </w:pPr>
      <w:r>
        <w:rPr>
          <w:rFonts w:hint="eastAsia" w:ascii="宋体" w:hAnsi="宋体"/>
          <w:color w:val="auto"/>
          <w:highlight w:val="none"/>
        </w:rPr>
        <w:t>投 标 人：</w:t>
      </w:r>
      <w:r>
        <w:rPr>
          <w:rFonts w:hint="eastAsia" w:ascii="宋体" w:hAnsi="宋体"/>
          <w:color w:val="auto"/>
          <w:szCs w:val="21"/>
          <w:highlight w:val="none"/>
          <w:u w:val="single"/>
        </w:rPr>
        <w:t xml:space="preserve">                            </w:t>
      </w:r>
      <w:r>
        <w:rPr>
          <w:rFonts w:hint="eastAsia" w:ascii="宋体" w:hAnsi="宋体"/>
          <w:color w:val="auto"/>
          <w:highlight w:val="none"/>
        </w:rPr>
        <w:t>（盖单位章）</w:t>
      </w:r>
    </w:p>
    <w:p w14:paraId="694E3F77">
      <w:pPr>
        <w:spacing w:line="360" w:lineRule="exact"/>
        <w:ind w:firstLine="2875" w:firstLineChars="1350"/>
        <w:rPr>
          <w:rFonts w:hint="eastAsia" w:ascii="宋体" w:hAnsi="宋体"/>
          <w:color w:val="auto"/>
          <w:highlight w:val="none"/>
        </w:rPr>
      </w:pPr>
      <w:r>
        <w:rPr>
          <w:rFonts w:hint="eastAsia" w:ascii="宋体" w:hAnsi="宋体"/>
          <w:color w:val="auto"/>
          <w:highlight w:val="none"/>
        </w:rPr>
        <w:t>法定代表人或其委托代理人：</w:t>
      </w:r>
      <w:r>
        <w:rPr>
          <w:rFonts w:hint="eastAsia" w:ascii="宋体" w:hAnsi="宋体"/>
          <w:color w:val="auto"/>
          <w:szCs w:val="21"/>
          <w:highlight w:val="none"/>
          <w:u w:val="single"/>
        </w:rPr>
        <w:t xml:space="preserve">                </w:t>
      </w:r>
      <w:r>
        <w:rPr>
          <w:rFonts w:hint="eastAsia" w:ascii="宋体" w:hAnsi="宋体"/>
          <w:color w:val="auto"/>
          <w:highlight w:val="none"/>
        </w:rPr>
        <w:t>（签字或盖章）</w:t>
      </w:r>
    </w:p>
    <w:p w14:paraId="10565EC0">
      <w:pPr>
        <w:spacing w:line="360" w:lineRule="exact"/>
        <w:ind w:firstLine="5005" w:firstLineChars="2350"/>
        <w:rPr>
          <w:rFonts w:hint="eastAsia" w:ascii="宋体" w:hAnsi="宋体"/>
          <w:color w:val="auto"/>
          <w:highlight w:val="none"/>
        </w:rPr>
      </w:pPr>
      <w:r>
        <w:rPr>
          <w:rFonts w:hint="eastAsia" w:ascii="宋体" w:hAnsi="宋体"/>
          <w:color w:val="auto"/>
          <w:szCs w:val="21"/>
          <w:highlight w:val="none"/>
          <w:u w:val="single"/>
        </w:rPr>
        <w:t xml:space="preserve">        </w:t>
      </w:r>
      <w:r>
        <w:rPr>
          <w:rFonts w:hint="eastAsia" w:ascii="宋体" w:hAnsi="宋体"/>
          <w:color w:val="auto"/>
          <w:highlight w:val="none"/>
        </w:rPr>
        <w:t>年</w:t>
      </w:r>
      <w:r>
        <w:rPr>
          <w:rFonts w:hint="eastAsia" w:ascii="宋体" w:hAnsi="宋体"/>
          <w:color w:val="auto"/>
          <w:szCs w:val="21"/>
          <w:highlight w:val="none"/>
          <w:u w:val="single"/>
        </w:rPr>
        <w:t xml:space="preserve">        </w:t>
      </w:r>
      <w:r>
        <w:rPr>
          <w:rFonts w:hint="eastAsia" w:ascii="宋体" w:hAnsi="宋体"/>
          <w:color w:val="auto"/>
          <w:highlight w:val="none"/>
        </w:rPr>
        <w:t>月</w:t>
      </w:r>
      <w:r>
        <w:rPr>
          <w:rFonts w:hint="eastAsia" w:ascii="宋体" w:hAnsi="宋体"/>
          <w:color w:val="auto"/>
          <w:szCs w:val="21"/>
          <w:highlight w:val="none"/>
          <w:u w:val="single"/>
        </w:rPr>
        <w:t xml:space="preserve">        </w:t>
      </w:r>
      <w:r>
        <w:rPr>
          <w:rFonts w:hint="eastAsia" w:ascii="宋体" w:hAnsi="宋体"/>
          <w:color w:val="auto"/>
          <w:highlight w:val="none"/>
        </w:rPr>
        <w:t>日</w:t>
      </w:r>
    </w:p>
    <w:p w14:paraId="0DF99589">
      <w:pPr>
        <w:pStyle w:val="18"/>
        <w:spacing w:line="360" w:lineRule="auto"/>
        <w:rPr>
          <w:rFonts w:hint="eastAsia" w:hAnsi="宋体"/>
          <w:b/>
          <w:color w:val="auto"/>
          <w:sz w:val="24"/>
          <w:szCs w:val="24"/>
          <w:highlight w:val="none"/>
        </w:rPr>
        <w:sectPr>
          <w:pgSz w:w="11906" w:h="16838"/>
          <w:pgMar w:top="1134" w:right="1287" w:bottom="1020" w:left="1440" w:header="851" w:footer="907" w:gutter="0"/>
          <w:cols w:space="720" w:num="1"/>
          <w:docGrid w:type="linesAndChars" w:linePitch="339" w:charSpace="709"/>
        </w:sectPr>
      </w:pPr>
    </w:p>
    <w:p w14:paraId="59291753">
      <w:pPr>
        <w:snapToGrid w:val="0"/>
        <w:spacing w:line="360" w:lineRule="auto"/>
        <w:jc w:val="center"/>
        <w:rPr>
          <w:color w:val="auto"/>
          <w:sz w:val="30"/>
          <w:highlight w:val="none"/>
        </w:rPr>
      </w:pPr>
      <w:bookmarkStart w:id="333" w:name="_Toc532778390"/>
      <w:r>
        <w:rPr>
          <w:rFonts w:hint="eastAsia" w:ascii="宋体" w:hAnsi="宋体" w:cs="宋体"/>
          <w:b/>
          <w:bCs/>
          <w:color w:val="auto"/>
          <w:kern w:val="0"/>
          <w:sz w:val="32"/>
          <w:szCs w:val="32"/>
          <w:highlight w:val="none"/>
        </w:rPr>
        <w:t>二、法定代表人证明书</w:t>
      </w:r>
    </w:p>
    <w:p w14:paraId="5F387A85">
      <w:pPr>
        <w:snapToGrid w:val="0"/>
        <w:spacing w:line="360" w:lineRule="auto"/>
        <w:rPr>
          <w:b/>
          <w:color w:val="auto"/>
          <w:sz w:val="30"/>
          <w:highlight w:val="none"/>
        </w:rPr>
      </w:pPr>
      <w:r>
        <w:rPr>
          <w:color w:val="auto"/>
          <w:sz w:val="30"/>
          <w:highlight w:val="none"/>
        </w:rPr>
        <w:t xml:space="preserve"> </w:t>
      </w:r>
      <w:r>
        <w:rPr>
          <w:rFonts w:hint="eastAsia"/>
          <w:color w:val="auto"/>
          <w:sz w:val="30"/>
          <w:highlight w:val="none"/>
        </w:rPr>
        <w:t xml:space="preserve">                                           </w:t>
      </w:r>
      <w:r>
        <w:rPr>
          <w:color w:val="auto"/>
          <w:sz w:val="30"/>
          <w:highlight w:val="none"/>
        </w:rPr>
        <w:t>（　 ）第　号</w:t>
      </w:r>
    </w:p>
    <w:p w14:paraId="750FC604">
      <w:pPr>
        <w:snapToGrid w:val="0"/>
        <w:spacing w:line="360" w:lineRule="auto"/>
        <w:ind w:right="-96"/>
        <w:rPr>
          <w:color w:val="auto"/>
          <w:sz w:val="30"/>
          <w:highlight w:val="none"/>
        </w:rPr>
      </w:pPr>
      <w:r>
        <w:rPr>
          <w:color w:val="auto"/>
          <w:highlight w:val="none"/>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31115</wp:posOffset>
                </wp:positionV>
                <wp:extent cx="5943600" cy="2773680"/>
                <wp:effectExtent l="5080" t="5080" r="13970" b="21590"/>
                <wp:wrapNone/>
                <wp:docPr id="4" name="文本框 4"/>
                <wp:cNvGraphicFramePr/>
                <a:graphic xmlns:a="http://schemas.openxmlformats.org/drawingml/2006/main">
                  <a:graphicData uri="http://schemas.microsoft.com/office/word/2010/wordprocessingShape">
                    <wps:wsp>
                      <wps:cNvSpPr txBox="1"/>
                      <wps:spPr>
                        <a:xfrm>
                          <a:off x="0" y="0"/>
                          <a:ext cx="5943600" cy="27736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721F15E">
                            <w:pPr>
                              <w:spacing w:before="120"/>
                              <w:rPr>
                                <w:sz w:val="28"/>
                              </w:rPr>
                            </w:pPr>
                            <w:r>
                              <w:rPr>
                                <w:sz w:val="28"/>
                                <w:u w:val="single"/>
                              </w:rPr>
                              <w:t xml:space="preserve">                </w:t>
                            </w:r>
                            <w:r>
                              <w:rPr>
                                <w:rFonts w:hint="eastAsia"/>
                                <w:sz w:val="28"/>
                              </w:rPr>
                              <w:t>现任我单位</w:t>
                            </w:r>
                            <w:r>
                              <w:rPr>
                                <w:sz w:val="28"/>
                                <w:u w:val="single"/>
                              </w:rPr>
                              <w:t xml:space="preserve">            </w:t>
                            </w:r>
                            <w:r>
                              <w:rPr>
                                <w:rFonts w:hint="eastAsia"/>
                                <w:sz w:val="28"/>
                              </w:rPr>
                              <w:t>职务，为法定代表人（负责人），</w:t>
                            </w:r>
                          </w:p>
                          <w:p w14:paraId="2AC9416E">
                            <w:pPr>
                              <w:snapToGrid w:val="0"/>
                              <w:spacing w:line="480" w:lineRule="atLeast"/>
                              <w:rPr>
                                <w:sz w:val="28"/>
                              </w:rPr>
                            </w:pPr>
                            <w:r>
                              <w:rPr>
                                <w:rFonts w:hint="eastAsia"/>
                                <w:sz w:val="28"/>
                              </w:rPr>
                              <w:t>特此证明。</w:t>
                            </w:r>
                          </w:p>
                          <w:p w14:paraId="5F0D78D8">
                            <w:pPr>
                              <w:snapToGrid w:val="0"/>
                              <w:spacing w:line="480" w:lineRule="atLeast"/>
                              <w:rPr>
                                <w:sz w:val="28"/>
                                <w:u w:val="single"/>
                              </w:rPr>
                            </w:pPr>
                            <w:r>
                              <w:rPr>
                                <w:rFonts w:hint="eastAsia"/>
                                <w:sz w:val="28"/>
                              </w:rPr>
                              <w:t>有效期限：</w:t>
                            </w:r>
                            <w:r>
                              <w:rPr>
                                <w:sz w:val="28"/>
                                <w:u w:val="single"/>
                              </w:rPr>
                              <w:t xml:space="preserve">                                </w:t>
                            </w:r>
                            <w:r>
                              <w:rPr>
                                <w:sz w:val="28"/>
                              </w:rPr>
                              <w:t xml:space="preserve">  </w:t>
                            </w:r>
                          </w:p>
                          <w:p w14:paraId="18768B61">
                            <w:pPr>
                              <w:snapToGrid w:val="0"/>
                              <w:spacing w:line="480" w:lineRule="atLeast"/>
                              <w:rPr>
                                <w:sz w:val="28"/>
                                <w:u w:val="single"/>
                              </w:rPr>
                            </w:pPr>
                            <w:r>
                              <w:rPr>
                                <w:rFonts w:hint="eastAsia"/>
                                <w:sz w:val="28"/>
                              </w:rPr>
                              <w:t>附：法定代表人（负责人）性别：</w:t>
                            </w:r>
                            <w:r>
                              <w:rPr>
                                <w:sz w:val="28"/>
                                <w:u w:val="single"/>
                              </w:rPr>
                              <w:t xml:space="preserve">    </w:t>
                            </w:r>
                            <w:r>
                              <w:rPr>
                                <w:rFonts w:hint="eastAsia"/>
                                <w:sz w:val="28"/>
                              </w:rPr>
                              <w:t>年龄：</w:t>
                            </w:r>
                            <w:r>
                              <w:rPr>
                                <w:sz w:val="28"/>
                                <w:u w:val="single"/>
                              </w:rPr>
                              <w:t xml:space="preserve">   </w:t>
                            </w:r>
                            <w:r>
                              <w:rPr>
                                <w:rFonts w:hint="eastAsia"/>
                                <w:sz w:val="28"/>
                              </w:rPr>
                              <w:t>身份证号码：</w:t>
                            </w:r>
                            <w:r>
                              <w:rPr>
                                <w:sz w:val="28"/>
                                <w:u w:val="single"/>
                              </w:rPr>
                              <w:t xml:space="preserve">         </w:t>
                            </w:r>
                          </w:p>
                          <w:p w14:paraId="3F120BE9">
                            <w:pPr>
                              <w:snapToGrid w:val="0"/>
                              <w:spacing w:line="480" w:lineRule="atLeast"/>
                              <w:ind w:firstLine="570"/>
                              <w:rPr>
                                <w:sz w:val="28"/>
                                <w:u w:val="single"/>
                              </w:rPr>
                            </w:pPr>
                            <w:r>
                              <w:rPr>
                                <w:rFonts w:hint="eastAsia"/>
                                <w:sz w:val="28"/>
                              </w:rPr>
                              <w:t>注册号码：</w:t>
                            </w:r>
                            <w:r>
                              <w:rPr>
                                <w:sz w:val="28"/>
                                <w:u w:val="single"/>
                              </w:rPr>
                              <w:t xml:space="preserve">                     </w:t>
                            </w:r>
                            <w:r>
                              <w:rPr>
                                <w:rFonts w:hint="eastAsia"/>
                                <w:sz w:val="28"/>
                              </w:rPr>
                              <w:t>企业类型：</w:t>
                            </w:r>
                            <w:r>
                              <w:rPr>
                                <w:sz w:val="28"/>
                                <w:u w:val="single"/>
                              </w:rPr>
                              <w:t xml:space="preserve">                   </w:t>
                            </w:r>
                          </w:p>
                          <w:p w14:paraId="78351FA6">
                            <w:pPr>
                              <w:snapToGrid w:val="0"/>
                              <w:spacing w:line="480" w:lineRule="atLeast"/>
                              <w:ind w:firstLine="570"/>
                              <w:rPr>
                                <w:sz w:val="28"/>
                                <w:u w:val="single"/>
                              </w:rPr>
                            </w:pPr>
                            <w:r>
                              <w:rPr>
                                <w:rFonts w:hint="eastAsia"/>
                                <w:sz w:val="28"/>
                              </w:rPr>
                              <w:t>经营范围：</w:t>
                            </w:r>
                            <w:r>
                              <w:rPr>
                                <w:sz w:val="28"/>
                                <w:u w:val="single"/>
                              </w:rPr>
                              <w:t xml:space="preserve">                       </w:t>
                            </w:r>
                          </w:p>
                          <w:p w14:paraId="058B30C5">
                            <w:pPr>
                              <w:snapToGrid w:val="0"/>
                              <w:spacing w:line="480" w:lineRule="atLeast"/>
                              <w:ind w:firstLine="570"/>
                              <w:rPr>
                                <w:sz w:val="28"/>
                              </w:rPr>
                            </w:pPr>
                            <w:r>
                              <w:rPr>
                                <w:sz w:val="28"/>
                                <w:u w:val="single"/>
                              </w:rPr>
                              <w:t xml:space="preserve">                               </w:t>
                            </w:r>
                            <w:r>
                              <w:rPr>
                                <w:rFonts w:hint="eastAsia"/>
                                <w:sz w:val="28"/>
                              </w:rPr>
                              <w:t>单位：</w:t>
                            </w:r>
                            <w:r>
                              <w:rPr>
                                <w:sz w:val="28"/>
                              </w:rPr>
                              <w:t xml:space="preserve">            </w:t>
                            </w:r>
                            <w:r>
                              <w:rPr>
                                <w:rFonts w:hint="eastAsia"/>
                                <w:sz w:val="28"/>
                              </w:rPr>
                              <w:t>（盖章）</w:t>
                            </w:r>
                          </w:p>
                          <w:p w14:paraId="520001C9">
                            <w:pPr>
                              <w:snapToGrid w:val="0"/>
                              <w:spacing w:line="480" w:lineRule="atLeast"/>
                              <w:ind w:firstLine="570"/>
                            </w:pPr>
                            <w:r>
                              <w:rPr>
                                <w:sz w:val="28"/>
                                <w:u w:val="single"/>
                              </w:rPr>
                              <w:t xml:space="preserve">                                  </w:t>
                            </w:r>
                            <w:r>
                              <w:rPr>
                                <w:sz w:val="28"/>
                              </w:rPr>
                              <w:t xml:space="preserve">       </w:t>
                            </w:r>
                            <w:r>
                              <w:rPr>
                                <w:rFonts w:hint="eastAsia"/>
                                <w:sz w:val="28"/>
                              </w:rPr>
                              <w:t xml:space="preserve">  年</w:t>
                            </w:r>
                            <w:r>
                              <w:rPr>
                                <w:sz w:val="28"/>
                              </w:rPr>
                              <w:t xml:space="preserve">   </w:t>
                            </w:r>
                            <w:r>
                              <w:rPr>
                                <w:rFonts w:hint="eastAsia"/>
                                <w:sz w:val="28"/>
                              </w:rPr>
                              <w:t>月</w:t>
                            </w:r>
                            <w:r>
                              <w:rPr>
                                <w:sz w:val="28"/>
                              </w:rPr>
                              <w:t xml:space="preserve">   </w:t>
                            </w:r>
                            <w:r>
                              <w:rPr>
                                <w:rFonts w:hint="eastAsia"/>
                                <w:sz w:val="28"/>
                              </w:rPr>
                              <w:t>日</w:t>
                            </w:r>
                          </w:p>
                        </w:txbxContent>
                      </wps:txbx>
                      <wps:bodyPr upright="1"/>
                    </wps:wsp>
                  </a:graphicData>
                </a:graphic>
              </wp:anchor>
            </w:drawing>
          </mc:Choice>
          <mc:Fallback>
            <w:pict>
              <v:shape id="_x0000_s1026" o:spid="_x0000_s1026" o:spt="202" type="#_x0000_t202" style="position:absolute;left:0pt;margin-left:0pt;margin-top:2.45pt;height:218.4pt;width:468pt;z-index:251659264;mso-width-relative:page;mso-height-relative:page;" fillcolor="#FFFFFF" filled="t" stroked="t" coordsize="21600,21600" o:allowincell="f" o:gfxdata="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s6Li1QAAAAYBAAAPAAAAAAAAAAEAIAAA&#10;ACIAAABkcnMvZG93bnJldi54bWxQSwECFAAUAAAACACHTuJARpY4Ig8CAAA3BAAADgAAAAAAAAAB&#10;ACAAAAAkAQAAZHJzL2Uyb0RvYy54bWxQSwUGAAAAAAYABgBZAQAApQUAAAAA&#10;">
                <v:fill on="t" focussize="0,0"/>
                <v:stroke color="#000000" joinstyle="miter"/>
                <v:imagedata o:title=""/>
                <o:lock v:ext="edit" aspectratio="f"/>
                <v:textbox>
                  <w:txbxContent>
                    <w:p w14:paraId="4721F15E">
                      <w:pPr>
                        <w:spacing w:before="120"/>
                        <w:rPr>
                          <w:sz w:val="28"/>
                        </w:rPr>
                      </w:pPr>
                      <w:r>
                        <w:rPr>
                          <w:sz w:val="28"/>
                          <w:u w:val="single"/>
                        </w:rPr>
                        <w:t xml:space="preserve">                </w:t>
                      </w:r>
                      <w:r>
                        <w:rPr>
                          <w:rFonts w:hint="eastAsia"/>
                          <w:sz w:val="28"/>
                        </w:rPr>
                        <w:t>现任我单位</w:t>
                      </w:r>
                      <w:r>
                        <w:rPr>
                          <w:sz w:val="28"/>
                          <w:u w:val="single"/>
                        </w:rPr>
                        <w:t xml:space="preserve">            </w:t>
                      </w:r>
                      <w:r>
                        <w:rPr>
                          <w:rFonts w:hint="eastAsia"/>
                          <w:sz w:val="28"/>
                        </w:rPr>
                        <w:t>职务，为法定代表人（负责人），</w:t>
                      </w:r>
                    </w:p>
                    <w:p w14:paraId="2AC9416E">
                      <w:pPr>
                        <w:snapToGrid w:val="0"/>
                        <w:spacing w:line="480" w:lineRule="atLeast"/>
                        <w:rPr>
                          <w:sz w:val="28"/>
                        </w:rPr>
                      </w:pPr>
                      <w:r>
                        <w:rPr>
                          <w:rFonts w:hint="eastAsia"/>
                          <w:sz w:val="28"/>
                        </w:rPr>
                        <w:t>特此证明。</w:t>
                      </w:r>
                    </w:p>
                    <w:p w14:paraId="5F0D78D8">
                      <w:pPr>
                        <w:snapToGrid w:val="0"/>
                        <w:spacing w:line="480" w:lineRule="atLeast"/>
                        <w:rPr>
                          <w:sz w:val="28"/>
                          <w:u w:val="single"/>
                        </w:rPr>
                      </w:pPr>
                      <w:r>
                        <w:rPr>
                          <w:rFonts w:hint="eastAsia"/>
                          <w:sz w:val="28"/>
                        </w:rPr>
                        <w:t>有效期限：</w:t>
                      </w:r>
                      <w:r>
                        <w:rPr>
                          <w:sz w:val="28"/>
                          <w:u w:val="single"/>
                        </w:rPr>
                        <w:t xml:space="preserve">                                </w:t>
                      </w:r>
                      <w:r>
                        <w:rPr>
                          <w:sz w:val="28"/>
                        </w:rPr>
                        <w:t xml:space="preserve">  </w:t>
                      </w:r>
                    </w:p>
                    <w:p w14:paraId="18768B61">
                      <w:pPr>
                        <w:snapToGrid w:val="0"/>
                        <w:spacing w:line="480" w:lineRule="atLeast"/>
                        <w:rPr>
                          <w:sz w:val="28"/>
                          <w:u w:val="single"/>
                        </w:rPr>
                      </w:pPr>
                      <w:r>
                        <w:rPr>
                          <w:rFonts w:hint="eastAsia"/>
                          <w:sz w:val="28"/>
                        </w:rPr>
                        <w:t>附：法定代表人（负责人）性别：</w:t>
                      </w:r>
                      <w:r>
                        <w:rPr>
                          <w:sz w:val="28"/>
                          <w:u w:val="single"/>
                        </w:rPr>
                        <w:t xml:space="preserve">    </w:t>
                      </w:r>
                      <w:r>
                        <w:rPr>
                          <w:rFonts w:hint="eastAsia"/>
                          <w:sz w:val="28"/>
                        </w:rPr>
                        <w:t>年龄：</w:t>
                      </w:r>
                      <w:r>
                        <w:rPr>
                          <w:sz w:val="28"/>
                          <w:u w:val="single"/>
                        </w:rPr>
                        <w:t xml:space="preserve">   </w:t>
                      </w:r>
                      <w:r>
                        <w:rPr>
                          <w:rFonts w:hint="eastAsia"/>
                          <w:sz w:val="28"/>
                        </w:rPr>
                        <w:t>身份证号码：</w:t>
                      </w:r>
                      <w:r>
                        <w:rPr>
                          <w:sz w:val="28"/>
                          <w:u w:val="single"/>
                        </w:rPr>
                        <w:t xml:space="preserve">         </w:t>
                      </w:r>
                    </w:p>
                    <w:p w14:paraId="3F120BE9">
                      <w:pPr>
                        <w:snapToGrid w:val="0"/>
                        <w:spacing w:line="480" w:lineRule="atLeast"/>
                        <w:ind w:firstLine="570"/>
                        <w:rPr>
                          <w:sz w:val="28"/>
                          <w:u w:val="single"/>
                        </w:rPr>
                      </w:pPr>
                      <w:r>
                        <w:rPr>
                          <w:rFonts w:hint="eastAsia"/>
                          <w:sz w:val="28"/>
                        </w:rPr>
                        <w:t>注册号码：</w:t>
                      </w:r>
                      <w:r>
                        <w:rPr>
                          <w:sz w:val="28"/>
                          <w:u w:val="single"/>
                        </w:rPr>
                        <w:t xml:space="preserve">                     </w:t>
                      </w:r>
                      <w:r>
                        <w:rPr>
                          <w:rFonts w:hint="eastAsia"/>
                          <w:sz w:val="28"/>
                        </w:rPr>
                        <w:t>企业类型：</w:t>
                      </w:r>
                      <w:r>
                        <w:rPr>
                          <w:sz w:val="28"/>
                          <w:u w:val="single"/>
                        </w:rPr>
                        <w:t xml:space="preserve">                   </w:t>
                      </w:r>
                    </w:p>
                    <w:p w14:paraId="78351FA6">
                      <w:pPr>
                        <w:snapToGrid w:val="0"/>
                        <w:spacing w:line="480" w:lineRule="atLeast"/>
                        <w:ind w:firstLine="570"/>
                        <w:rPr>
                          <w:sz w:val="28"/>
                          <w:u w:val="single"/>
                        </w:rPr>
                      </w:pPr>
                      <w:r>
                        <w:rPr>
                          <w:rFonts w:hint="eastAsia"/>
                          <w:sz w:val="28"/>
                        </w:rPr>
                        <w:t>经营范围：</w:t>
                      </w:r>
                      <w:r>
                        <w:rPr>
                          <w:sz w:val="28"/>
                          <w:u w:val="single"/>
                        </w:rPr>
                        <w:t xml:space="preserve">                       </w:t>
                      </w:r>
                    </w:p>
                    <w:p w14:paraId="058B30C5">
                      <w:pPr>
                        <w:snapToGrid w:val="0"/>
                        <w:spacing w:line="480" w:lineRule="atLeast"/>
                        <w:ind w:firstLine="570"/>
                        <w:rPr>
                          <w:sz w:val="28"/>
                        </w:rPr>
                      </w:pPr>
                      <w:r>
                        <w:rPr>
                          <w:sz w:val="28"/>
                          <w:u w:val="single"/>
                        </w:rPr>
                        <w:t xml:space="preserve">                               </w:t>
                      </w:r>
                      <w:r>
                        <w:rPr>
                          <w:rFonts w:hint="eastAsia"/>
                          <w:sz w:val="28"/>
                        </w:rPr>
                        <w:t>单位：</w:t>
                      </w:r>
                      <w:r>
                        <w:rPr>
                          <w:sz w:val="28"/>
                        </w:rPr>
                        <w:t xml:space="preserve">            </w:t>
                      </w:r>
                      <w:r>
                        <w:rPr>
                          <w:rFonts w:hint="eastAsia"/>
                          <w:sz w:val="28"/>
                        </w:rPr>
                        <w:t>（盖章）</w:t>
                      </w:r>
                    </w:p>
                    <w:p w14:paraId="520001C9">
                      <w:pPr>
                        <w:snapToGrid w:val="0"/>
                        <w:spacing w:line="480" w:lineRule="atLeast"/>
                        <w:ind w:firstLine="570"/>
                      </w:pPr>
                      <w:r>
                        <w:rPr>
                          <w:sz w:val="28"/>
                          <w:u w:val="single"/>
                        </w:rPr>
                        <w:t xml:space="preserve">                                  </w:t>
                      </w:r>
                      <w:r>
                        <w:rPr>
                          <w:sz w:val="28"/>
                        </w:rPr>
                        <w:t xml:space="preserve">       </w:t>
                      </w:r>
                      <w:r>
                        <w:rPr>
                          <w:rFonts w:hint="eastAsia"/>
                          <w:sz w:val="28"/>
                        </w:rPr>
                        <w:t xml:space="preserve">  年</w:t>
                      </w:r>
                      <w:r>
                        <w:rPr>
                          <w:sz w:val="28"/>
                        </w:rPr>
                        <w:t xml:space="preserve">   </w:t>
                      </w:r>
                      <w:r>
                        <w:rPr>
                          <w:rFonts w:hint="eastAsia"/>
                          <w:sz w:val="28"/>
                        </w:rPr>
                        <w:t>月</w:t>
                      </w:r>
                      <w:r>
                        <w:rPr>
                          <w:sz w:val="28"/>
                        </w:rPr>
                        <w:t xml:space="preserve">   </w:t>
                      </w:r>
                      <w:r>
                        <w:rPr>
                          <w:rFonts w:hint="eastAsia"/>
                          <w:sz w:val="28"/>
                        </w:rPr>
                        <w:t>日</w:t>
                      </w:r>
                    </w:p>
                  </w:txbxContent>
                </v:textbox>
              </v:shape>
            </w:pict>
          </mc:Fallback>
        </mc:AlternateContent>
      </w:r>
    </w:p>
    <w:p w14:paraId="6C0A148B">
      <w:pPr>
        <w:snapToGrid w:val="0"/>
        <w:spacing w:line="360" w:lineRule="auto"/>
        <w:ind w:right="-96"/>
        <w:rPr>
          <w:color w:val="auto"/>
          <w:sz w:val="30"/>
          <w:highlight w:val="none"/>
        </w:rPr>
      </w:pPr>
    </w:p>
    <w:p w14:paraId="6E992A3C">
      <w:pPr>
        <w:snapToGrid w:val="0"/>
        <w:spacing w:line="360" w:lineRule="auto"/>
        <w:ind w:right="-96"/>
        <w:rPr>
          <w:color w:val="auto"/>
          <w:sz w:val="30"/>
          <w:highlight w:val="none"/>
        </w:rPr>
      </w:pPr>
    </w:p>
    <w:p w14:paraId="341275F2">
      <w:pPr>
        <w:snapToGrid w:val="0"/>
        <w:spacing w:line="360" w:lineRule="auto"/>
        <w:ind w:right="-96"/>
        <w:rPr>
          <w:color w:val="auto"/>
          <w:sz w:val="30"/>
          <w:highlight w:val="none"/>
        </w:rPr>
      </w:pPr>
    </w:p>
    <w:p w14:paraId="5F8FD060">
      <w:pPr>
        <w:snapToGrid w:val="0"/>
        <w:spacing w:line="360" w:lineRule="auto"/>
        <w:ind w:right="-96"/>
        <w:rPr>
          <w:color w:val="auto"/>
          <w:sz w:val="30"/>
          <w:highlight w:val="none"/>
        </w:rPr>
      </w:pPr>
    </w:p>
    <w:p w14:paraId="099332C1">
      <w:pPr>
        <w:snapToGrid w:val="0"/>
        <w:spacing w:line="360" w:lineRule="auto"/>
        <w:ind w:right="-96"/>
        <w:rPr>
          <w:color w:val="auto"/>
          <w:sz w:val="30"/>
          <w:highlight w:val="none"/>
        </w:rPr>
      </w:pPr>
    </w:p>
    <w:p w14:paraId="00682C56">
      <w:pPr>
        <w:snapToGrid w:val="0"/>
        <w:spacing w:line="360" w:lineRule="auto"/>
        <w:ind w:right="-96"/>
        <w:rPr>
          <w:color w:val="auto"/>
          <w:sz w:val="30"/>
          <w:highlight w:val="none"/>
        </w:rPr>
      </w:pPr>
    </w:p>
    <w:p w14:paraId="4DE16C4B">
      <w:pPr>
        <w:snapToGrid w:val="0"/>
        <w:spacing w:line="360" w:lineRule="auto"/>
        <w:ind w:right="-96"/>
        <w:rPr>
          <w:color w:val="auto"/>
          <w:sz w:val="30"/>
          <w:highlight w:val="none"/>
        </w:rPr>
      </w:pPr>
      <w:r>
        <w:rPr>
          <w:b/>
          <w:color w:val="auto"/>
          <w:highlight w:val="none"/>
        </w:rPr>
        <w:t>备注：也可使用从工商管理部门购买的格式填写</w:t>
      </w:r>
    </w:p>
    <w:p w14:paraId="17EC8F85">
      <w:pPr>
        <w:snapToGrid w:val="0"/>
        <w:spacing w:line="360" w:lineRule="auto"/>
        <w:ind w:right="-96"/>
        <w:jc w:val="center"/>
        <w:rPr>
          <w:b/>
          <w:color w:val="auto"/>
          <w:sz w:val="30"/>
          <w:highlight w:val="none"/>
        </w:rPr>
      </w:pPr>
    </w:p>
    <w:p w14:paraId="311950EE">
      <w:pPr>
        <w:pStyle w:val="30"/>
        <w:numPr>
          <w:ilvl w:val="1"/>
          <w:numId w:val="8"/>
        </w:numPr>
        <w:tabs>
          <w:tab w:val="left" w:pos="0"/>
          <w:tab w:val="clear" w:pos="360"/>
        </w:tabs>
        <w:spacing w:line="360" w:lineRule="auto"/>
        <w:ind w:firstLine="0"/>
        <w:jc w:val="center"/>
        <w:outlineLvl w:val="1"/>
        <w:rPr>
          <w:rFonts w:hint="eastAsia"/>
          <w:bCs/>
          <w:color w:val="auto"/>
          <w:sz w:val="24"/>
          <w:highlight w:val="none"/>
        </w:rPr>
      </w:pPr>
      <w:r>
        <w:rPr>
          <w:rFonts w:hint="eastAsia"/>
          <w:bCs/>
          <w:color w:val="auto"/>
          <w:sz w:val="24"/>
          <w:highlight w:val="none"/>
        </w:rPr>
        <w:t>（附法定代表人身份证原件扫描件正反面）</w:t>
      </w:r>
    </w:p>
    <w:p w14:paraId="17CBC3D8">
      <w:pPr>
        <w:snapToGrid w:val="0"/>
        <w:spacing w:line="360" w:lineRule="auto"/>
        <w:ind w:right="-96"/>
        <w:jc w:val="center"/>
        <w:rPr>
          <w:rFonts w:hint="eastAsia"/>
          <w:b/>
          <w:color w:val="auto"/>
          <w:sz w:val="30"/>
          <w:highlight w:val="none"/>
        </w:rPr>
      </w:pPr>
    </w:p>
    <w:p w14:paraId="32503895">
      <w:pPr>
        <w:spacing w:line="360" w:lineRule="auto"/>
        <w:ind w:right="538" w:firstLine="480" w:firstLineChars="200"/>
        <w:rPr>
          <w:color w:val="auto"/>
          <w:sz w:val="24"/>
          <w:highlight w:val="none"/>
        </w:rPr>
      </w:pPr>
      <w:r>
        <w:rPr>
          <w:b/>
          <w:bCs/>
          <w:color w:val="auto"/>
          <w:sz w:val="24"/>
          <w:highlight w:val="none"/>
        </w:rPr>
        <w:t>注：本格式仅供参考，也可使用工商管理部门提供的格式。</w:t>
      </w:r>
    </w:p>
    <w:p w14:paraId="59AE6F73">
      <w:pPr>
        <w:snapToGrid w:val="0"/>
        <w:spacing w:line="360" w:lineRule="auto"/>
        <w:ind w:right="-96"/>
        <w:jc w:val="center"/>
        <w:rPr>
          <w:b/>
          <w:color w:val="auto"/>
          <w:sz w:val="30"/>
          <w:highlight w:val="none"/>
        </w:rPr>
      </w:pPr>
      <w:r>
        <w:rPr>
          <w:rFonts w:hint="eastAsia"/>
          <w:b/>
          <w:color w:val="auto"/>
          <w:sz w:val="30"/>
          <w:highlight w:val="none"/>
        </w:rPr>
        <w:br w:type="page"/>
      </w:r>
      <w:bookmarkEnd w:id="333"/>
      <w:r>
        <w:rPr>
          <w:rFonts w:hint="eastAsia" w:ascii="宋体" w:hAnsi="宋体" w:cs="宋体"/>
          <w:b/>
          <w:bCs/>
          <w:color w:val="auto"/>
          <w:kern w:val="0"/>
          <w:sz w:val="32"/>
          <w:szCs w:val="32"/>
          <w:highlight w:val="none"/>
        </w:rPr>
        <w:t>三、法定代表人授权委托书</w:t>
      </w:r>
    </w:p>
    <w:p w14:paraId="439DC977">
      <w:pPr>
        <w:snapToGrid w:val="0"/>
        <w:spacing w:line="360" w:lineRule="auto"/>
        <w:ind w:firstLine="4216"/>
        <w:jc w:val="center"/>
        <w:rPr>
          <w:color w:val="auto"/>
          <w:sz w:val="30"/>
          <w:highlight w:val="none"/>
        </w:rPr>
      </w:pPr>
      <w:r>
        <w:rPr>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2540</wp:posOffset>
                </wp:positionV>
                <wp:extent cx="5943600" cy="3021965"/>
                <wp:effectExtent l="5080" t="4445" r="13970" b="21590"/>
                <wp:wrapNone/>
                <wp:docPr id="5" name="文本框 5"/>
                <wp:cNvGraphicFramePr/>
                <a:graphic xmlns:a="http://schemas.openxmlformats.org/drawingml/2006/main">
                  <a:graphicData uri="http://schemas.microsoft.com/office/word/2010/wordprocessingShape">
                    <wps:wsp>
                      <wps:cNvSpPr txBox="1"/>
                      <wps:spPr>
                        <a:xfrm>
                          <a:off x="0" y="0"/>
                          <a:ext cx="5943600" cy="302196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263C6AE">
                            <w:pPr>
                              <w:spacing w:before="120"/>
                              <w:ind w:firstLine="560"/>
                              <w:rPr>
                                <w:sz w:val="28"/>
                              </w:rPr>
                            </w:pPr>
                            <w:r>
                              <w:rPr>
                                <w:rFonts w:hint="eastAsia"/>
                                <w:sz w:val="28"/>
                              </w:rPr>
                              <w:t>兹授权</w:t>
                            </w:r>
                            <w:r>
                              <w:rPr>
                                <w:sz w:val="28"/>
                                <w:u w:val="single"/>
                              </w:rPr>
                              <w:t xml:space="preserve">                </w:t>
                            </w:r>
                            <w:r>
                              <w:rPr>
                                <w:rFonts w:hint="eastAsia"/>
                                <w:sz w:val="28"/>
                              </w:rPr>
                              <w:t>为我方委托代理人，其权限是：</w:t>
                            </w:r>
                            <w:r>
                              <w:rPr>
                                <w:sz w:val="28"/>
                                <w:u w:val="single"/>
                              </w:rPr>
                              <w:t xml:space="preserve">          </w:t>
                            </w:r>
                          </w:p>
                          <w:p w14:paraId="72C2C019">
                            <w:pPr>
                              <w:snapToGrid w:val="0"/>
                              <w:spacing w:line="480" w:lineRule="atLeast"/>
                              <w:rPr>
                                <w:sz w:val="28"/>
                                <w:u w:val="single"/>
                              </w:rPr>
                            </w:pPr>
                            <w:r>
                              <w:rPr>
                                <w:sz w:val="28"/>
                                <w:u w:val="single"/>
                              </w:rPr>
                              <w:t xml:space="preserve">                                                                </w:t>
                            </w:r>
                          </w:p>
                          <w:p w14:paraId="47893DBA">
                            <w:pPr>
                              <w:snapToGrid w:val="0"/>
                              <w:spacing w:line="480" w:lineRule="atLeast"/>
                              <w:rPr>
                                <w:sz w:val="28"/>
                                <w:u w:val="single"/>
                              </w:rPr>
                            </w:pPr>
                            <w:r>
                              <w:rPr>
                                <w:rFonts w:hint="eastAsia"/>
                                <w:sz w:val="28"/>
                              </w:rPr>
                              <w:t>有效期限：</w:t>
                            </w:r>
                            <w:r>
                              <w:rPr>
                                <w:sz w:val="28"/>
                                <w:u w:val="single"/>
                              </w:rPr>
                              <w:t xml:space="preserve">                                                      </w:t>
                            </w:r>
                          </w:p>
                          <w:p w14:paraId="2CC6BEA9">
                            <w:pPr>
                              <w:snapToGrid w:val="0"/>
                              <w:spacing w:line="480" w:lineRule="atLeast"/>
                              <w:rPr>
                                <w:sz w:val="28"/>
                              </w:rPr>
                            </w:pPr>
                            <w:r>
                              <w:rPr>
                                <w:rFonts w:hint="eastAsia"/>
                                <w:sz w:val="28"/>
                              </w:rPr>
                              <w:t>附：代理人性别：</w:t>
                            </w:r>
                            <w:r>
                              <w:rPr>
                                <w:sz w:val="28"/>
                                <w:u w:val="single"/>
                              </w:rPr>
                              <w:t xml:space="preserve">     </w:t>
                            </w:r>
                            <w:r>
                              <w:rPr>
                                <w:rFonts w:hint="eastAsia"/>
                                <w:sz w:val="28"/>
                              </w:rPr>
                              <w:t>年龄：</w:t>
                            </w:r>
                            <w:r>
                              <w:rPr>
                                <w:sz w:val="28"/>
                                <w:u w:val="single"/>
                              </w:rPr>
                              <w:t xml:space="preserve">     </w:t>
                            </w:r>
                            <w:r>
                              <w:rPr>
                                <w:rFonts w:hint="eastAsia"/>
                                <w:sz w:val="28"/>
                              </w:rPr>
                              <w:t>身份证号码：</w:t>
                            </w:r>
                            <w:r>
                              <w:rPr>
                                <w:sz w:val="28"/>
                                <w:u w:val="single"/>
                              </w:rPr>
                              <w:t xml:space="preserve">                    </w:t>
                            </w:r>
                          </w:p>
                          <w:p w14:paraId="7646D7A8">
                            <w:pPr>
                              <w:snapToGrid w:val="0"/>
                              <w:spacing w:line="480" w:lineRule="atLeast"/>
                              <w:ind w:firstLine="560"/>
                              <w:rPr>
                                <w:sz w:val="28"/>
                                <w:u w:val="single"/>
                              </w:rPr>
                            </w:pPr>
                            <w:r>
                              <w:rPr>
                                <w:rFonts w:hint="eastAsia"/>
                                <w:sz w:val="28"/>
                              </w:rPr>
                              <w:t>注册号码：</w:t>
                            </w:r>
                            <w:r>
                              <w:rPr>
                                <w:sz w:val="28"/>
                                <w:u w:val="single"/>
                              </w:rPr>
                              <w:t xml:space="preserve">                  </w:t>
                            </w:r>
                            <w:r>
                              <w:rPr>
                                <w:rFonts w:hint="eastAsia"/>
                                <w:sz w:val="28"/>
                              </w:rPr>
                              <w:t>企业类型：</w:t>
                            </w:r>
                            <w:r>
                              <w:rPr>
                                <w:sz w:val="28"/>
                                <w:u w:val="single"/>
                              </w:rPr>
                              <w:t xml:space="preserve">                      </w:t>
                            </w:r>
                          </w:p>
                          <w:p w14:paraId="3390BCF3">
                            <w:pPr>
                              <w:snapToGrid w:val="0"/>
                              <w:spacing w:line="480" w:lineRule="atLeast"/>
                              <w:ind w:firstLine="560"/>
                              <w:rPr>
                                <w:sz w:val="28"/>
                                <w:u w:val="single"/>
                              </w:rPr>
                            </w:pPr>
                            <w:r>
                              <w:rPr>
                                <w:rFonts w:hint="eastAsia"/>
                                <w:sz w:val="28"/>
                              </w:rPr>
                              <w:t>经营范围：</w:t>
                            </w:r>
                            <w:r>
                              <w:rPr>
                                <w:sz w:val="28"/>
                                <w:u w:val="single"/>
                              </w:rPr>
                              <w:t xml:space="preserve">                                                  </w:t>
                            </w:r>
                          </w:p>
                          <w:p w14:paraId="7BD5AC2D">
                            <w:pPr>
                              <w:snapToGrid w:val="0"/>
                              <w:spacing w:line="480" w:lineRule="atLeast"/>
                              <w:ind w:firstLine="560"/>
                              <w:rPr>
                                <w:sz w:val="28"/>
                              </w:rPr>
                            </w:pPr>
                            <w:r>
                              <w:rPr>
                                <w:rFonts w:hint="eastAsia"/>
                                <w:sz w:val="28"/>
                              </w:rPr>
                              <w:t>法定代表人（负责人）：</w:t>
                            </w:r>
                            <w:r>
                              <w:rPr>
                                <w:sz w:val="28"/>
                                <w:u w:val="single"/>
                              </w:rPr>
                              <w:t xml:space="preserve">                 </w:t>
                            </w:r>
                            <w:r>
                              <w:rPr>
                                <w:rFonts w:hint="eastAsia"/>
                                <w:sz w:val="28"/>
                              </w:rPr>
                              <w:t>（签名或盖章）</w:t>
                            </w:r>
                          </w:p>
                          <w:p w14:paraId="701E8276">
                            <w:pPr>
                              <w:snapToGrid w:val="0"/>
                              <w:spacing w:line="480" w:lineRule="atLeast"/>
                              <w:ind w:firstLine="560"/>
                              <w:rPr>
                                <w:sz w:val="28"/>
                              </w:rPr>
                            </w:pPr>
                            <w:r>
                              <w:rPr>
                                <w:rFonts w:hint="eastAsia"/>
                                <w:sz w:val="28"/>
                              </w:rPr>
                              <w:t>授权单位：（盖章）</w:t>
                            </w:r>
                            <w:r>
                              <w:rPr>
                                <w:sz w:val="28"/>
                                <w:u w:val="single"/>
                              </w:rPr>
                              <w:t xml:space="preserve">                     </w:t>
                            </w:r>
                          </w:p>
                          <w:p w14:paraId="5234E970">
                            <w:pPr>
                              <w:ind w:firstLine="5880" w:firstLineChars="2100"/>
                            </w:pPr>
                            <w:r>
                              <w:rPr>
                                <w:rFonts w:hint="eastAsia"/>
                                <w:sz w:val="28"/>
                              </w:rPr>
                              <w:t xml:space="preserve">  年</w:t>
                            </w:r>
                            <w:r>
                              <w:rPr>
                                <w:sz w:val="28"/>
                              </w:rPr>
                              <w:t xml:space="preserve">  </w:t>
                            </w:r>
                            <w:r>
                              <w:rPr>
                                <w:rFonts w:hint="eastAsia"/>
                                <w:sz w:val="28"/>
                              </w:rPr>
                              <w:t>月</w:t>
                            </w:r>
                            <w:r>
                              <w:rPr>
                                <w:sz w:val="28"/>
                              </w:rPr>
                              <w:t xml:space="preserve">   </w:t>
                            </w:r>
                            <w:r>
                              <w:rPr>
                                <w:rFonts w:hint="eastAsia"/>
                                <w:sz w:val="28"/>
                              </w:rPr>
                              <w:t>日</w:t>
                            </w:r>
                          </w:p>
                        </w:txbxContent>
                      </wps:txbx>
                      <wps:bodyPr upright="1"/>
                    </wps:wsp>
                  </a:graphicData>
                </a:graphic>
              </wp:anchor>
            </w:drawing>
          </mc:Choice>
          <mc:Fallback>
            <w:pict>
              <v:shape id="_x0000_s1026" o:spid="_x0000_s1026" o:spt="202" type="#_x0000_t202" style="position:absolute;left:0pt;margin-left:-9pt;margin-top:0.2pt;height:237.95pt;width:468pt;z-index:251660288;mso-width-relative:page;mso-height-relative:page;" fillcolor="#FFFFFF" filled="t" stroked="t" coordsize="21600,21600" o:gfxdata="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gyNiJ1gAAAAgBAAAPAAAAAAAAAAEAIAAA&#10;ACIAAABkcnMvZG93bnJldi54bWxQSwECFAAUAAAACACHTuJA+JPYhg4CAAA3BAAADgAAAAAAAAAB&#10;ACAAAAAlAQAAZHJzL2Uyb0RvYy54bWxQSwUGAAAAAAYABgBZAQAApQUAAAAA&#10;">
                <v:fill on="t" focussize="0,0"/>
                <v:stroke color="#000000" joinstyle="miter"/>
                <v:imagedata o:title=""/>
                <o:lock v:ext="edit" aspectratio="f"/>
                <v:textbox>
                  <w:txbxContent>
                    <w:p w14:paraId="4263C6AE">
                      <w:pPr>
                        <w:spacing w:before="120"/>
                        <w:ind w:firstLine="560"/>
                        <w:rPr>
                          <w:sz w:val="28"/>
                        </w:rPr>
                      </w:pPr>
                      <w:r>
                        <w:rPr>
                          <w:rFonts w:hint="eastAsia"/>
                          <w:sz w:val="28"/>
                        </w:rPr>
                        <w:t>兹授权</w:t>
                      </w:r>
                      <w:r>
                        <w:rPr>
                          <w:sz w:val="28"/>
                          <w:u w:val="single"/>
                        </w:rPr>
                        <w:t xml:space="preserve">                </w:t>
                      </w:r>
                      <w:r>
                        <w:rPr>
                          <w:rFonts w:hint="eastAsia"/>
                          <w:sz w:val="28"/>
                        </w:rPr>
                        <w:t>为我方委托代理人，其权限是：</w:t>
                      </w:r>
                      <w:r>
                        <w:rPr>
                          <w:sz w:val="28"/>
                          <w:u w:val="single"/>
                        </w:rPr>
                        <w:t xml:space="preserve">          </w:t>
                      </w:r>
                    </w:p>
                    <w:p w14:paraId="72C2C019">
                      <w:pPr>
                        <w:snapToGrid w:val="0"/>
                        <w:spacing w:line="480" w:lineRule="atLeast"/>
                        <w:rPr>
                          <w:sz w:val="28"/>
                          <w:u w:val="single"/>
                        </w:rPr>
                      </w:pPr>
                      <w:r>
                        <w:rPr>
                          <w:sz w:val="28"/>
                          <w:u w:val="single"/>
                        </w:rPr>
                        <w:t xml:space="preserve">                                                                </w:t>
                      </w:r>
                    </w:p>
                    <w:p w14:paraId="47893DBA">
                      <w:pPr>
                        <w:snapToGrid w:val="0"/>
                        <w:spacing w:line="480" w:lineRule="atLeast"/>
                        <w:rPr>
                          <w:sz w:val="28"/>
                          <w:u w:val="single"/>
                        </w:rPr>
                      </w:pPr>
                      <w:r>
                        <w:rPr>
                          <w:rFonts w:hint="eastAsia"/>
                          <w:sz w:val="28"/>
                        </w:rPr>
                        <w:t>有效期限：</w:t>
                      </w:r>
                      <w:r>
                        <w:rPr>
                          <w:sz w:val="28"/>
                          <w:u w:val="single"/>
                        </w:rPr>
                        <w:t xml:space="preserve">                                                      </w:t>
                      </w:r>
                    </w:p>
                    <w:p w14:paraId="2CC6BEA9">
                      <w:pPr>
                        <w:snapToGrid w:val="0"/>
                        <w:spacing w:line="480" w:lineRule="atLeast"/>
                        <w:rPr>
                          <w:sz w:val="28"/>
                        </w:rPr>
                      </w:pPr>
                      <w:r>
                        <w:rPr>
                          <w:rFonts w:hint="eastAsia"/>
                          <w:sz w:val="28"/>
                        </w:rPr>
                        <w:t>附：代理人性别：</w:t>
                      </w:r>
                      <w:r>
                        <w:rPr>
                          <w:sz w:val="28"/>
                          <w:u w:val="single"/>
                        </w:rPr>
                        <w:t xml:space="preserve">     </w:t>
                      </w:r>
                      <w:r>
                        <w:rPr>
                          <w:rFonts w:hint="eastAsia"/>
                          <w:sz w:val="28"/>
                        </w:rPr>
                        <w:t>年龄：</w:t>
                      </w:r>
                      <w:r>
                        <w:rPr>
                          <w:sz w:val="28"/>
                          <w:u w:val="single"/>
                        </w:rPr>
                        <w:t xml:space="preserve">     </w:t>
                      </w:r>
                      <w:r>
                        <w:rPr>
                          <w:rFonts w:hint="eastAsia"/>
                          <w:sz w:val="28"/>
                        </w:rPr>
                        <w:t>身份证号码：</w:t>
                      </w:r>
                      <w:r>
                        <w:rPr>
                          <w:sz w:val="28"/>
                          <w:u w:val="single"/>
                        </w:rPr>
                        <w:t xml:space="preserve">                    </w:t>
                      </w:r>
                    </w:p>
                    <w:p w14:paraId="7646D7A8">
                      <w:pPr>
                        <w:snapToGrid w:val="0"/>
                        <w:spacing w:line="480" w:lineRule="atLeast"/>
                        <w:ind w:firstLine="560"/>
                        <w:rPr>
                          <w:sz w:val="28"/>
                          <w:u w:val="single"/>
                        </w:rPr>
                      </w:pPr>
                      <w:r>
                        <w:rPr>
                          <w:rFonts w:hint="eastAsia"/>
                          <w:sz w:val="28"/>
                        </w:rPr>
                        <w:t>注册号码：</w:t>
                      </w:r>
                      <w:r>
                        <w:rPr>
                          <w:sz w:val="28"/>
                          <w:u w:val="single"/>
                        </w:rPr>
                        <w:t xml:space="preserve">                  </w:t>
                      </w:r>
                      <w:r>
                        <w:rPr>
                          <w:rFonts w:hint="eastAsia"/>
                          <w:sz w:val="28"/>
                        </w:rPr>
                        <w:t>企业类型：</w:t>
                      </w:r>
                      <w:r>
                        <w:rPr>
                          <w:sz w:val="28"/>
                          <w:u w:val="single"/>
                        </w:rPr>
                        <w:t xml:space="preserve">                      </w:t>
                      </w:r>
                    </w:p>
                    <w:p w14:paraId="3390BCF3">
                      <w:pPr>
                        <w:snapToGrid w:val="0"/>
                        <w:spacing w:line="480" w:lineRule="atLeast"/>
                        <w:ind w:firstLine="560"/>
                        <w:rPr>
                          <w:sz w:val="28"/>
                          <w:u w:val="single"/>
                        </w:rPr>
                      </w:pPr>
                      <w:r>
                        <w:rPr>
                          <w:rFonts w:hint="eastAsia"/>
                          <w:sz w:val="28"/>
                        </w:rPr>
                        <w:t>经营范围：</w:t>
                      </w:r>
                      <w:r>
                        <w:rPr>
                          <w:sz w:val="28"/>
                          <w:u w:val="single"/>
                        </w:rPr>
                        <w:t xml:space="preserve">                                                  </w:t>
                      </w:r>
                    </w:p>
                    <w:p w14:paraId="7BD5AC2D">
                      <w:pPr>
                        <w:snapToGrid w:val="0"/>
                        <w:spacing w:line="480" w:lineRule="atLeast"/>
                        <w:ind w:firstLine="560"/>
                        <w:rPr>
                          <w:sz w:val="28"/>
                        </w:rPr>
                      </w:pPr>
                      <w:r>
                        <w:rPr>
                          <w:rFonts w:hint="eastAsia"/>
                          <w:sz w:val="28"/>
                        </w:rPr>
                        <w:t>法定代表人（负责人）：</w:t>
                      </w:r>
                      <w:r>
                        <w:rPr>
                          <w:sz w:val="28"/>
                          <w:u w:val="single"/>
                        </w:rPr>
                        <w:t xml:space="preserve">                 </w:t>
                      </w:r>
                      <w:r>
                        <w:rPr>
                          <w:rFonts w:hint="eastAsia"/>
                          <w:sz w:val="28"/>
                        </w:rPr>
                        <w:t>（签名或盖章）</w:t>
                      </w:r>
                    </w:p>
                    <w:p w14:paraId="701E8276">
                      <w:pPr>
                        <w:snapToGrid w:val="0"/>
                        <w:spacing w:line="480" w:lineRule="atLeast"/>
                        <w:ind w:firstLine="560"/>
                        <w:rPr>
                          <w:sz w:val="28"/>
                        </w:rPr>
                      </w:pPr>
                      <w:r>
                        <w:rPr>
                          <w:rFonts w:hint="eastAsia"/>
                          <w:sz w:val="28"/>
                        </w:rPr>
                        <w:t>授权单位：（盖章）</w:t>
                      </w:r>
                      <w:r>
                        <w:rPr>
                          <w:sz w:val="28"/>
                          <w:u w:val="single"/>
                        </w:rPr>
                        <w:t xml:space="preserve">                     </w:t>
                      </w:r>
                    </w:p>
                    <w:p w14:paraId="5234E970">
                      <w:pPr>
                        <w:ind w:firstLine="5880" w:firstLineChars="2100"/>
                      </w:pPr>
                      <w:r>
                        <w:rPr>
                          <w:rFonts w:hint="eastAsia"/>
                          <w:sz w:val="28"/>
                        </w:rPr>
                        <w:t xml:space="preserve">  年</w:t>
                      </w:r>
                      <w:r>
                        <w:rPr>
                          <w:sz w:val="28"/>
                        </w:rPr>
                        <w:t xml:space="preserve">  </w:t>
                      </w:r>
                      <w:r>
                        <w:rPr>
                          <w:rFonts w:hint="eastAsia"/>
                          <w:sz w:val="28"/>
                        </w:rPr>
                        <w:t>月</w:t>
                      </w:r>
                      <w:r>
                        <w:rPr>
                          <w:sz w:val="28"/>
                        </w:rPr>
                        <w:t xml:space="preserve">   </w:t>
                      </w:r>
                      <w:r>
                        <w:rPr>
                          <w:rFonts w:hint="eastAsia"/>
                          <w:sz w:val="28"/>
                        </w:rPr>
                        <w:t>日</w:t>
                      </w:r>
                    </w:p>
                  </w:txbxContent>
                </v:textbox>
              </v:shape>
            </w:pict>
          </mc:Fallback>
        </mc:AlternateContent>
      </w:r>
      <w:r>
        <w:rPr>
          <w:color w:val="auto"/>
          <w:sz w:val="30"/>
          <w:highlight w:val="none"/>
        </w:rPr>
        <w:t xml:space="preserve">         （　 ）第　号</w:t>
      </w:r>
    </w:p>
    <w:p w14:paraId="28851966">
      <w:pPr>
        <w:snapToGrid w:val="0"/>
        <w:spacing w:line="360" w:lineRule="auto"/>
        <w:ind w:firstLine="4427"/>
        <w:rPr>
          <w:b/>
          <w:color w:val="auto"/>
          <w:highlight w:val="none"/>
        </w:rPr>
      </w:pPr>
    </w:p>
    <w:p w14:paraId="13A2F262">
      <w:pPr>
        <w:snapToGrid w:val="0"/>
        <w:spacing w:line="360" w:lineRule="auto"/>
        <w:ind w:left="949" w:hanging="949"/>
        <w:rPr>
          <w:b/>
          <w:color w:val="auto"/>
          <w:highlight w:val="none"/>
        </w:rPr>
      </w:pPr>
    </w:p>
    <w:p w14:paraId="7E02F813">
      <w:pPr>
        <w:snapToGrid w:val="0"/>
        <w:spacing w:line="360" w:lineRule="auto"/>
        <w:ind w:left="949" w:hanging="949"/>
        <w:rPr>
          <w:b/>
          <w:color w:val="auto"/>
          <w:highlight w:val="none"/>
        </w:rPr>
      </w:pPr>
    </w:p>
    <w:p w14:paraId="6B0CE649">
      <w:pPr>
        <w:snapToGrid w:val="0"/>
        <w:spacing w:line="360" w:lineRule="auto"/>
        <w:ind w:left="949" w:hanging="949"/>
        <w:rPr>
          <w:b/>
          <w:color w:val="auto"/>
          <w:highlight w:val="none"/>
        </w:rPr>
      </w:pPr>
    </w:p>
    <w:p w14:paraId="61861F3A">
      <w:pPr>
        <w:snapToGrid w:val="0"/>
        <w:spacing w:line="360" w:lineRule="auto"/>
        <w:ind w:left="949" w:hanging="949"/>
        <w:rPr>
          <w:b/>
          <w:color w:val="auto"/>
          <w:highlight w:val="none"/>
        </w:rPr>
      </w:pPr>
    </w:p>
    <w:p w14:paraId="67828402">
      <w:pPr>
        <w:snapToGrid w:val="0"/>
        <w:spacing w:line="360" w:lineRule="auto"/>
        <w:ind w:left="949" w:hanging="949"/>
        <w:rPr>
          <w:b/>
          <w:color w:val="auto"/>
          <w:highlight w:val="none"/>
        </w:rPr>
      </w:pPr>
    </w:p>
    <w:p w14:paraId="64149FE7">
      <w:pPr>
        <w:snapToGrid w:val="0"/>
        <w:spacing w:line="360" w:lineRule="auto"/>
        <w:ind w:left="949" w:hanging="949"/>
        <w:rPr>
          <w:b/>
          <w:color w:val="auto"/>
          <w:highlight w:val="none"/>
        </w:rPr>
      </w:pPr>
    </w:p>
    <w:p w14:paraId="1BE1F531">
      <w:pPr>
        <w:snapToGrid w:val="0"/>
        <w:spacing w:line="360" w:lineRule="auto"/>
        <w:ind w:left="949" w:hanging="949"/>
        <w:rPr>
          <w:b/>
          <w:color w:val="auto"/>
          <w:highlight w:val="none"/>
        </w:rPr>
      </w:pPr>
    </w:p>
    <w:p w14:paraId="60118539">
      <w:pPr>
        <w:tabs>
          <w:tab w:val="left" w:pos="0"/>
        </w:tabs>
        <w:autoSpaceDE w:val="0"/>
        <w:autoSpaceDN w:val="0"/>
        <w:snapToGrid w:val="0"/>
        <w:spacing w:line="360" w:lineRule="auto"/>
        <w:rPr>
          <w:rFonts w:eastAsia="黑体"/>
          <w:b/>
          <w:color w:val="auto"/>
          <w:spacing w:val="20"/>
          <w:sz w:val="28"/>
          <w:szCs w:val="28"/>
          <w:highlight w:val="none"/>
        </w:rPr>
      </w:pPr>
      <w:r>
        <w:rPr>
          <w:b/>
          <w:color w:val="auto"/>
          <w:highlight w:val="none"/>
        </w:rPr>
        <w:t>备注：也可使用从工商管理部门购买的格式填写</w:t>
      </w:r>
    </w:p>
    <w:p w14:paraId="127877CE">
      <w:pPr>
        <w:snapToGrid w:val="0"/>
        <w:spacing w:line="360" w:lineRule="auto"/>
        <w:rPr>
          <w:color w:val="auto"/>
          <w:highlight w:val="none"/>
        </w:rPr>
      </w:pPr>
    </w:p>
    <w:p w14:paraId="01041A0F">
      <w:pPr>
        <w:spacing w:line="360" w:lineRule="auto"/>
        <w:ind w:right="538" w:firstLine="560" w:firstLineChars="200"/>
        <w:rPr>
          <w:b/>
          <w:bCs/>
          <w:color w:val="auto"/>
          <w:sz w:val="28"/>
          <w:highlight w:val="none"/>
        </w:rPr>
      </w:pPr>
    </w:p>
    <w:p w14:paraId="6961A507">
      <w:pPr>
        <w:tabs>
          <w:tab w:val="left" w:pos="5070"/>
        </w:tabs>
        <w:adjustRightInd w:val="0"/>
        <w:snapToGrid w:val="0"/>
        <w:spacing w:line="360" w:lineRule="auto"/>
        <w:ind w:firstLine="240" w:firstLineChars="100"/>
        <w:jc w:val="center"/>
        <w:rPr>
          <w:rFonts w:hint="eastAsia" w:ascii="宋体" w:hAnsi="宋体"/>
          <w:color w:val="auto"/>
          <w:sz w:val="24"/>
          <w:highlight w:val="none"/>
        </w:rPr>
      </w:pPr>
      <w:r>
        <w:rPr>
          <w:rFonts w:hint="eastAsia" w:ascii="宋体" w:hAnsi="宋体"/>
          <w:color w:val="auto"/>
          <w:sz w:val="24"/>
          <w:highlight w:val="none"/>
        </w:rPr>
        <w:t>（附授权委托人身份证原件扫描件正反面）</w:t>
      </w:r>
    </w:p>
    <w:p w14:paraId="35365866">
      <w:pPr>
        <w:spacing w:line="360" w:lineRule="auto"/>
        <w:ind w:right="538" w:firstLine="480" w:firstLineChars="200"/>
        <w:rPr>
          <w:b/>
          <w:bCs/>
          <w:color w:val="auto"/>
          <w:sz w:val="24"/>
          <w:highlight w:val="none"/>
        </w:rPr>
      </w:pPr>
      <w:r>
        <w:rPr>
          <w:b/>
          <w:bCs/>
          <w:color w:val="auto"/>
          <w:sz w:val="24"/>
          <w:highlight w:val="none"/>
        </w:rPr>
        <w:t>注：本格式仅供参考，也可使用工商管理部门提供的格式。</w:t>
      </w:r>
    </w:p>
    <w:p w14:paraId="610F41F9">
      <w:pPr>
        <w:spacing w:line="360" w:lineRule="auto"/>
        <w:ind w:right="538" w:firstLine="480" w:firstLineChars="200"/>
        <w:rPr>
          <w:color w:val="auto"/>
          <w:sz w:val="24"/>
          <w:highlight w:val="none"/>
        </w:rPr>
      </w:pPr>
      <w:r>
        <w:rPr>
          <w:b/>
          <w:bCs/>
          <w:color w:val="auto"/>
          <w:sz w:val="24"/>
          <w:highlight w:val="none"/>
        </w:rPr>
        <w:br w:type="page"/>
      </w:r>
    </w:p>
    <w:p w14:paraId="2F337A91">
      <w:pPr>
        <w:pStyle w:val="9"/>
        <w:spacing w:line="360" w:lineRule="auto"/>
        <w:ind w:firstLine="0"/>
        <w:jc w:val="center"/>
        <w:rPr>
          <w:rFonts w:hint="eastAsia" w:ascii="宋体" w:hAnsi="宋体" w:cs="宋体"/>
          <w:b/>
          <w:bCs/>
          <w:color w:val="auto"/>
          <w:kern w:val="0"/>
          <w:sz w:val="32"/>
          <w:szCs w:val="32"/>
          <w:highlight w:val="none"/>
        </w:rPr>
      </w:pPr>
      <w:bookmarkStart w:id="334" w:name="_Toc5216"/>
      <w:r>
        <w:rPr>
          <w:rFonts w:hint="eastAsia" w:ascii="宋体" w:hAnsi="宋体" w:cs="宋体"/>
          <w:b/>
          <w:bCs/>
          <w:color w:val="auto"/>
          <w:sz w:val="32"/>
          <w:szCs w:val="32"/>
          <w:highlight w:val="none"/>
        </w:rPr>
        <w:t>四、关于投标保证金</w:t>
      </w:r>
      <w:bookmarkEnd w:id="334"/>
      <w:r>
        <w:rPr>
          <w:rFonts w:hint="eastAsia" w:ascii="宋体" w:hAnsi="宋体" w:cs="宋体"/>
          <w:b/>
          <w:bCs/>
          <w:color w:val="auto"/>
          <w:sz w:val="32"/>
          <w:szCs w:val="32"/>
          <w:highlight w:val="none"/>
        </w:rPr>
        <w:t>的承诺</w:t>
      </w:r>
    </w:p>
    <w:p w14:paraId="46451A9E">
      <w:pPr>
        <w:spacing w:line="400" w:lineRule="exact"/>
        <w:jc w:val="center"/>
        <w:rPr>
          <w:rFonts w:hint="eastAsia" w:ascii="宋体" w:hAnsi="宋体" w:cs="宋体"/>
          <w:color w:val="auto"/>
          <w:sz w:val="24"/>
          <w:szCs w:val="24"/>
          <w:highlight w:val="none"/>
          <w:u w:val="single"/>
        </w:rPr>
      </w:pPr>
    </w:p>
    <w:p w14:paraId="27863A62">
      <w:pPr>
        <w:spacing w:line="360" w:lineRule="auto"/>
        <w:rPr>
          <w:rFonts w:hint="eastAsia" w:ascii="宋体" w:hAnsi="宋体"/>
          <w:color w:val="auto"/>
          <w:sz w:val="24"/>
          <w:highlight w:val="none"/>
          <w:u w:val="single"/>
        </w:rPr>
      </w:pPr>
      <w:r>
        <w:rPr>
          <w:rFonts w:hint="eastAsia" w:ascii="宋体" w:hAnsi="宋体"/>
          <w:color w:val="auto"/>
          <w:sz w:val="24"/>
          <w:highlight w:val="none"/>
          <w:u w:val="single"/>
        </w:rPr>
        <w:t>（招标人名称）：</w:t>
      </w:r>
    </w:p>
    <w:p w14:paraId="020B3071">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本公司就参加</w:t>
      </w:r>
      <w:r>
        <w:rPr>
          <w:rFonts w:hint="eastAsia" w:ascii="宋体" w:hAnsi="宋体"/>
          <w:color w:val="auto"/>
          <w:sz w:val="24"/>
          <w:highlight w:val="none"/>
          <w:u w:val="single"/>
        </w:rPr>
        <w:t xml:space="preserve">      （招标项目名称）     </w:t>
      </w:r>
      <w:r>
        <w:rPr>
          <w:rFonts w:hint="eastAsia" w:ascii="宋体" w:hAnsi="宋体"/>
          <w:color w:val="auto"/>
          <w:sz w:val="24"/>
          <w:highlight w:val="none"/>
        </w:rPr>
        <w:t>项目的投标工作，作出郑重声明：</w:t>
      </w:r>
    </w:p>
    <w:p w14:paraId="0B94F208">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本公司在投标时未提交投标保证金。我司理解在投标时免交投标保证金是为企业减负的举措，并未免除我司的投标义务，本公司一旦发生符合招标文件规定的不予退还投标保证金情形的，将按照招标人的要求，在规定的时间内向招标人足额补交投标保证金。</w:t>
      </w:r>
    </w:p>
    <w:p w14:paraId="29F7C96E">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本公司违反上述保证的，将被视为虚假承诺，按相关规定进行信用记录。本公司对失信行为产生的一切后果已知悉，并承担由此产生的相应责任。</w:t>
      </w:r>
    </w:p>
    <w:p w14:paraId="113E4545">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特此承诺。</w:t>
      </w:r>
    </w:p>
    <w:p w14:paraId="0405A6ED">
      <w:pPr>
        <w:spacing w:line="360" w:lineRule="auto"/>
        <w:ind w:firstLine="480" w:firstLineChars="200"/>
        <w:rPr>
          <w:rFonts w:ascii="宋体" w:hAnsi="宋体"/>
          <w:color w:val="auto"/>
          <w:sz w:val="24"/>
          <w:highlight w:val="none"/>
        </w:rPr>
      </w:pPr>
    </w:p>
    <w:p w14:paraId="24C641F1">
      <w:pPr>
        <w:spacing w:line="360" w:lineRule="auto"/>
        <w:ind w:firstLine="480" w:firstLineChars="200"/>
        <w:rPr>
          <w:rFonts w:ascii="宋体" w:hAnsi="宋体"/>
          <w:color w:val="auto"/>
          <w:sz w:val="24"/>
          <w:highlight w:val="none"/>
        </w:rPr>
      </w:pPr>
    </w:p>
    <w:p w14:paraId="0BB7B390">
      <w:pPr>
        <w:spacing w:line="360" w:lineRule="auto"/>
        <w:ind w:firstLine="480" w:firstLineChars="200"/>
        <w:rPr>
          <w:rFonts w:ascii="宋体" w:hAnsi="宋体"/>
          <w:color w:val="auto"/>
          <w:sz w:val="24"/>
          <w:highlight w:val="none"/>
        </w:rPr>
      </w:pPr>
    </w:p>
    <w:p w14:paraId="5E4D05E5">
      <w:pPr>
        <w:spacing w:line="360" w:lineRule="auto"/>
        <w:ind w:firstLine="480" w:firstLineChars="200"/>
        <w:rPr>
          <w:rFonts w:ascii="宋体" w:hAnsi="宋体"/>
          <w:color w:val="auto"/>
          <w:sz w:val="24"/>
          <w:highlight w:val="none"/>
        </w:rPr>
      </w:pPr>
    </w:p>
    <w:p w14:paraId="127FE009">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 xml:space="preserve">                                             投标人（盖公章）：           </w:t>
      </w:r>
    </w:p>
    <w:p w14:paraId="1C128EFF">
      <w:pPr>
        <w:spacing w:line="360" w:lineRule="auto"/>
        <w:ind w:firstLine="480" w:firstLineChars="200"/>
        <w:jc w:val="right"/>
        <w:rPr>
          <w:rFonts w:ascii="宋体" w:hAnsi="宋体"/>
          <w:color w:val="auto"/>
          <w:sz w:val="24"/>
          <w:highlight w:val="none"/>
        </w:rPr>
      </w:pPr>
      <w:r>
        <w:rPr>
          <w:rFonts w:hint="eastAsia" w:ascii="宋体" w:hAnsi="宋体"/>
          <w:color w:val="auto"/>
          <w:sz w:val="24"/>
          <w:highlight w:val="none"/>
        </w:rPr>
        <w:t>日  期：     年     月     日</w:t>
      </w:r>
      <w:r>
        <w:rPr>
          <w:rFonts w:hint="eastAsia" w:ascii="宋体" w:hAnsi="宋体"/>
          <w:color w:val="auto"/>
          <w:sz w:val="24"/>
          <w:highlight w:val="none"/>
        </w:rPr>
        <w:br w:type="page"/>
      </w:r>
      <w:bookmarkStart w:id="335" w:name="_Toc532778393"/>
    </w:p>
    <w:p w14:paraId="67B73EA6">
      <w:pPr>
        <w:spacing w:before="62" w:beforeLines="20" w:after="62" w:afterLines="20" w:line="60" w:lineRule="atLeast"/>
        <w:ind w:firstLine="3040" w:firstLineChars="950"/>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五、投标报价表</w:t>
      </w:r>
      <w:bookmarkEnd w:id="335"/>
    </w:p>
    <w:p w14:paraId="4F850DC7">
      <w:pPr>
        <w:rPr>
          <w:color w:val="auto"/>
          <w:highlight w:val="none"/>
        </w:rPr>
      </w:pPr>
    </w:p>
    <w:tbl>
      <w:tblPr>
        <w:tblStyle w:val="3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5"/>
        <w:gridCol w:w="7665"/>
      </w:tblGrid>
      <w:tr w14:paraId="49C56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trPr>
        <w:tc>
          <w:tcPr>
            <w:tcW w:w="1575" w:type="dxa"/>
            <w:noWrap w:val="0"/>
            <w:vAlign w:val="center"/>
          </w:tcPr>
          <w:p w14:paraId="6081D510">
            <w:pPr>
              <w:jc w:val="center"/>
              <w:rPr>
                <w:rFonts w:ascii="宋体" w:hAnsi="宋体"/>
                <w:bCs/>
                <w:color w:val="auto"/>
                <w:sz w:val="24"/>
                <w:highlight w:val="none"/>
              </w:rPr>
            </w:pPr>
            <w:r>
              <w:rPr>
                <w:rFonts w:hint="eastAsia" w:ascii="宋体" w:hAnsi="宋体"/>
                <w:bCs/>
                <w:color w:val="auto"/>
                <w:sz w:val="24"/>
                <w:highlight w:val="none"/>
              </w:rPr>
              <w:t>项目名称</w:t>
            </w:r>
          </w:p>
        </w:tc>
        <w:tc>
          <w:tcPr>
            <w:tcW w:w="7665" w:type="dxa"/>
            <w:noWrap w:val="0"/>
            <w:vAlign w:val="center"/>
          </w:tcPr>
          <w:p w14:paraId="12F04AEF">
            <w:pPr>
              <w:jc w:val="center"/>
              <w:rPr>
                <w:rFonts w:hint="eastAsia" w:ascii="宋体" w:hAnsi="宋体"/>
                <w:bCs/>
                <w:color w:val="auto"/>
                <w:sz w:val="24"/>
                <w:highlight w:val="none"/>
              </w:rPr>
            </w:pPr>
            <w:r>
              <w:rPr>
                <w:rFonts w:hint="eastAsia" w:ascii="宋体" w:hAnsi="宋体"/>
                <w:bCs/>
                <w:color w:val="auto"/>
                <w:sz w:val="24"/>
                <w:highlight w:val="none"/>
                <w:lang w:eastAsia="zh-CN"/>
              </w:rPr>
              <w:t>化龙镇防洪排涝设施改造工程</w:t>
            </w:r>
            <w:r>
              <w:rPr>
                <w:rFonts w:hint="eastAsia" w:ascii="宋体" w:hAnsi="宋体"/>
                <w:bCs/>
                <w:color w:val="auto"/>
                <w:sz w:val="24"/>
                <w:highlight w:val="none"/>
              </w:rPr>
              <w:t>施工图审查</w:t>
            </w:r>
          </w:p>
        </w:tc>
      </w:tr>
      <w:tr w14:paraId="6D169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1575" w:type="dxa"/>
            <w:noWrap w:val="0"/>
            <w:vAlign w:val="center"/>
          </w:tcPr>
          <w:p w14:paraId="25E608AD">
            <w:pPr>
              <w:jc w:val="center"/>
              <w:rPr>
                <w:rFonts w:ascii="宋体" w:hAnsi="宋体"/>
                <w:bCs/>
                <w:color w:val="auto"/>
                <w:sz w:val="24"/>
                <w:highlight w:val="none"/>
              </w:rPr>
            </w:pPr>
            <w:r>
              <w:rPr>
                <w:rFonts w:hint="eastAsia" w:ascii="宋体" w:hAnsi="宋体"/>
                <w:bCs/>
                <w:color w:val="auto"/>
                <w:sz w:val="24"/>
                <w:highlight w:val="none"/>
              </w:rPr>
              <w:t>最高投标限价（ 元）</w:t>
            </w:r>
          </w:p>
        </w:tc>
        <w:tc>
          <w:tcPr>
            <w:tcW w:w="7665" w:type="dxa"/>
            <w:noWrap w:val="0"/>
            <w:vAlign w:val="center"/>
          </w:tcPr>
          <w:p w14:paraId="507FED83">
            <w:pPr>
              <w:ind w:firstLine="960" w:firstLineChars="400"/>
              <w:jc w:val="center"/>
              <w:rPr>
                <w:rFonts w:ascii="宋体" w:hAnsi="宋体"/>
                <w:bCs/>
                <w:color w:val="auto"/>
                <w:sz w:val="24"/>
                <w:highlight w:val="none"/>
                <w:u w:val="single"/>
              </w:rPr>
            </w:pPr>
            <w:r>
              <w:rPr>
                <w:rFonts w:hint="eastAsia" w:ascii="宋体" w:hAnsi="宋体"/>
                <w:bCs/>
                <w:color w:val="auto"/>
                <w:sz w:val="24"/>
                <w:highlight w:val="none"/>
              </w:rPr>
              <w:t>元</w:t>
            </w:r>
          </w:p>
        </w:tc>
      </w:tr>
      <w:tr w14:paraId="27129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1575" w:type="dxa"/>
            <w:tcBorders>
              <w:bottom w:val="single" w:color="auto" w:sz="4" w:space="0"/>
            </w:tcBorders>
            <w:noWrap w:val="0"/>
            <w:vAlign w:val="center"/>
          </w:tcPr>
          <w:p w14:paraId="0063DB5D">
            <w:pPr>
              <w:jc w:val="center"/>
              <w:rPr>
                <w:rFonts w:ascii="宋体" w:hAnsi="宋体"/>
                <w:bCs/>
                <w:color w:val="auto"/>
                <w:sz w:val="24"/>
                <w:highlight w:val="none"/>
              </w:rPr>
            </w:pPr>
            <w:r>
              <w:rPr>
                <w:rFonts w:hint="eastAsia" w:ascii="宋体" w:hAnsi="宋体"/>
                <w:bCs/>
                <w:color w:val="auto"/>
                <w:sz w:val="24"/>
                <w:highlight w:val="none"/>
              </w:rPr>
              <w:t>投标下浮率</w:t>
            </w:r>
          </w:p>
        </w:tc>
        <w:tc>
          <w:tcPr>
            <w:tcW w:w="7665" w:type="dxa"/>
            <w:tcBorders>
              <w:bottom w:val="single" w:color="auto" w:sz="4" w:space="0"/>
            </w:tcBorders>
            <w:noWrap w:val="0"/>
            <w:vAlign w:val="center"/>
          </w:tcPr>
          <w:p w14:paraId="482F49D0">
            <w:pPr>
              <w:pStyle w:val="15"/>
              <w:spacing w:line="240" w:lineRule="auto"/>
              <w:ind w:left="0" w:leftChars="0" w:right="0" w:rightChars="0" w:firstLine="0"/>
              <w:jc w:val="center"/>
              <w:rPr>
                <w:bCs/>
                <w:strike/>
                <w:color w:val="auto"/>
                <w:highlight w:val="none"/>
              </w:rPr>
            </w:pPr>
            <w:r>
              <w:rPr>
                <w:rFonts w:hint="eastAsia" w:ascii="宋体" w:hAnsi="宋体"/>
                <w:bCs/>
                <w:color w:val="auto"/>
                <w:highlight w:val="none"/>
              </w:rPr>
              <w:t>下浮率：____%（由投标人自行填报）</w:t>
            </w:r>
          </w:p>
        </w:tc>
      </w:tr>
      <w:tr w14:paraId="372FA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7" w:hRule="atLeast"/>
        </w:trPr>
        <w:tc>
          <w:tcPr>
            <w:tcW w:w="1575" w:type="dxa"/>
            <w:tcBorders>
              <w:top w:val="single" w:color="auto" w:sz="4" w:space="0"/>
              <w:left w:val="single" w:color="auto" w:sz="4" w:space="0"/>
              <w:bottom w:val="single" w:color="auto" w:sz="4" w:space="0"/>
              <w:right w:val="single" w:color="auto" w:sz="4" w:space="0"/>
            </w:tcBorders>
            <w:noWrap w:val="0"/>
            <w:vAlign w:val="center"/>
          </w:tcPr>
          <w:p w14:paraId="199BBDAC">
            <w:pPr>
              <w:jc w:val="center"/>
              <w:rPr>
                <w:rFonts w:ascii="宋体" w:hAnsi="宋体"/>
                <w:bCs/>
                <w:color w:val="auto"/>
                <w:sz w:val="24"/>
                <w:highlight w:val="none"/>
              </w:rPr>
            </w:pPr>
            <w:r>
              <w:rPr>
                <w:rFonts w:hint="eastAsia" w:ascii="宋体" w:hAnsi="宋体"/>
                <w:bCs/>
                <w:color w:val="auto"/>
                <w:sz w:val="24"/>
                <w:highlight w:val="none"/>
              </w:rPr>
              <w:t>投标报价</w:t>
            </w:r>
          </w:p>
        </w:tc>
        <w:tc>
          <w:tcPr>
            <w:tcW w:w="7665" w:type="dxa"/>
            <w:tcBorders>
              <w:top w:val="single" w:color="auto" w:sz="4" w:space="0"/>
              <w:left w:val="single" w:color="auto" w:sz="4" w:space="0"/>
              <w:bottom w:val="single" w:color="auto" w:sz="4" w:space="0"/>
              <w:right w:val="single" w:color="auto" w:sz="4" w:space="0"/>
            </w:tcBorders>
            <w:noWrap w:val="0"/>
            <w:vAlign w:val="center"/>
          </w:tcPr>
          <w:p w14:paraId="69D9291B">
            <w:pPr>
              <w:pStyle w:val="15"/>
              <w:spacing w:line="480" w:lineRule="auto"/>
              <w:ind w:left="0" w:leftChars="0" w:right="0" w:rightChars="0" w:firstLine="0"/>
              <w:jc w:val="center"/>
              <w:rPr>
                <w:rFonts w:ascii="宋体" w:hAnsi="宋体"/>
                <w:bCs/>
                <w:color w:val="auto"/>
                <w:highlight w:val="none"/>
              </w:rPr>
            </w:pPr>
            <w:r>
              <w:rPr>
                <w:rFonts w:hint="eastAsia" w:ascii="宋体" w:hAnsi="宋体"/>
                <w:bCs/>
                <w:color w:val="auto"/>
                <w:highlight w:val="none"/>
              </w:rPr>
              <w:t>投标报价=最高投标限价×（1-投标下浮率的绝对值）</w:t>
            </w:r>
          </w:p>
          <w:p w14:paraId="6C1B87E6">
            <w:pPr>
              <w:pStyle w:val="15"/>
              <w:spacing w:line="480" w:lineRule="auto"/>
              <w:ind w:left="0" w:leftChars="0" w:right="0" w:rightChars="0" w:firstLine="0"/>
              <w:jc w:val="center"/>
              <w:rPr>
                <w:rFonts w:ascii="宋体" w:hAnsi="宋体"/>
                <w:bCs/>
                <w:strike/>
                <w:color w:val="auto"/>
                <w:highlight w:val="none"/>
              </w:rPr>
            </w:pPr>
            <w:r>
              <w:rPr>
                <w:rFonts w:hint="eastAsia" w:ascii="宋体" w:hAnsi="宋体"/>
                <w:bCs/>
                <w:color w:val="auto"/>
                <w:highlight w:val="none"/>
              </w:rPr>
              <w:t>大写：人民币</w:t>
            </w:r>
            <w:r>
              <w:rPr>
                <w:rFonts w:hint="eastAsia" w:ascii="宋体" w:hAnsi="宋体"/>
                <w:bCs/>
                <w:color w:val="auto"/>
                <w:highlight w:val="none"/>
                <w:u w:val="single"/>
              </w:rPr>
              <w:t xml:space="preserve">   </w:t>
            </w:r>
            <w:r>
              <w:rPr>
                <w:rFonts w:hint="eastAsia" w:ascii="宋体" w:hAnsi="宋体"/>
                <w:bCs/>
                <w:color w:val="auto"/>
                <w:highlight w:val="none"/>
                <w:u w:val="single"/>
                <w:lang w:val="en-US" w:eastAsia="zh-CN"/>
              </w:rPr>
              <w:t xml:space="preserve">    </w:t>
            </w:r>
            <w:r>
              <w:rPr>
                <w:rFonts w:hint="eastAsia" w:ascii="宋体" w:hAnsi="宋体"/>
                <w:bCs/>
                <w:color w:val="auto"/>
                <w:highlight w:val="none"/>
                <w:u w:val="single"/>
              </w:rPr>
              <w:t xml:space="preserve">      </w:t>
            </w:r>
            <w:r>
              <w:rPr>
                <w:rFonts w:hint="eastAsia" w:ascii="宋体" w:hAnsi="宋体"/>
                <w:bCs/>
                <w:color w:val="auto"/>
                <w:highlight w:val="none"/>
              </w:rPr>
              <w:t xml:space="preserve">        小写：￥</w:t>
            </w:r>
            <w:r>
              <w:rPr>
                <w:rFonts w:hint="eastAsia" w:ascii="宋体" w:hAnsi="宋体"/>
                <w:bCs/>
                <w:color w:val="auto"/>
                <w:highlight w:val="none"/>
                <w:u w:val="single"/>
              </w:rPr>
              <w:t xml:space="preserve">       </w:t>
            </w:r>
            <w:r>
              <w:rPr>
                <w:rFonts w:ascii="宋体" w:hAnsi="宋体"/>
                <w:bCs/>
                <w:color w:val="auto"/>
                <w:highlight w:val="none"/>
                <w:u w:val="single"/>
              </w:rPr>
              <w:t xml:space="preserve">  </w:t>
            </w:r>
            <w:r>
              <w:rPr>
                <w:rFonts w:hint="eastAsia" w:ascii="宋体" w:hAnsi="宋体"/>
                <w:bCs/>
                <w:color w:val="auto"/>
                <w:highlight w:val="none"/>
                <w:u w:val="single"/>
              </w:rPr>
              <w:t xml:space="preserve">    </w:t>
            </w:r>
            <w:r>
              <w:rPr>
                <w:rFonts w:hint="eastAsia" w:ascii="宋体" w:hAnsi="宋体"/>
                <w:bCs/>
                <w:color w:val="auto"/>
                <w:highlight w:val="none"/>
              </w:rPr>
              <w:t>元</w:t>
            </w:r>
          </w:p>
        </w:tc>
      </w:tr>
    </w:tbl>
    <w:p w14:paraId="238C977F">
      <w:pPr>
        <w:spacing w:line="360" w:lineRule="auto"/>
        <w:rPr>
          <w:rFonts w:hint="eastAsia" w:ascii="宋体" w:hAnsi="宋体"/>
          <w:color w:val="auto"/>
          <w:sz w:val="24"/>
          <w:highlight w:val="none"/>
        </w:rPr>
      </w:pPr>
      <w:bookmarkStart w:id="336" w:name="_Toc413933194"/>
      <w:bookmarkStart w:id="337" w:name="_Toc532744175"/>
      <w:bookmarkStart w:id="338" w:name="_Toc413933301"/>
      <w:bookmarkStart w:id="339" w:name="_Toc359572280"/>
      <w:r>
        <w:rPr>
          <w:rFonts w:hint="eastAsia" w:ascii="宋体" w:hAnsi="宋体"/>
          <w:color w:val="auto"/>
          <w:sz w:val="24"/>
          <w:highlight w:val="none"/>
        </w:rPr>
        <w:t>注：保留小数点后2位，第三位四舍五入。</w:t>
      </w:r>
    </w:p>
    <w:p w14:paraId="621517C5">
      <w:pPr>
        <w:spacing w:line="360" w:lineRule="auto"/>
        <w:rPr>
          <w:rFonts w:hint="eastAsia" w:ascii="宋体" w:hAnsi="宋体"/>
          <w:color w:val="auto"/>
          <w:sz w:val="24"/>
          <w:highlight w:val="none"/>
        </w:rPr>
      </w:pPr>
    </w:p>
    <w:p w14:paraId="1018B952">
      <w:pPr>
        <w:spacing w:line="360" w:lineRule="auto"/>
        <w:ind w:right="-108" w:firstLine="4320" w:firstLineChars="1800"/>
        <w:rPr>
          <w:rFonts w:hint="eastAsia" w:ascii="宋体" w:hAnsi="宋体"/>
          <w:color w:val="auto"/>
          <w:sz w:val="24"/>
          <w:highlight w:val="none"/>
        </w:rPr>
      </w:pPr>
    </w:p>
    <w:p w14:paraId="0DDAB6DF">
      <w:pPr>
        <w:spacing w:line="360" w:lineRule="auto"/>
        <w:ind w:right="-108" w:firstLine="4320" w:firstLineChars="1800"/>
        <w:rPr>
          <w:rFonts w:hint="eastAsia" w:ascii="宋体" w:hAnsi="宋体"/>
          <w:color w:val="auto"/>
          <w:sz w:val="24"/>
          <w:highlight w:val="none"/>
        </w:rPr>
      </w:pPr>
      <w:r>
        <w:rPr>
          <w:rFonts w:hint="eastAsia" w:ascii="宋体" w:hAnsi="宋体"/>
          <w:color w:val="auto"/>
          <w:sz w:val="24"/>
          <w:highlight w:val="none"/>
        </w:rPr>
        <w:t>投标单位（盖公章）：</w:t>
      </w:r>
    </w:p>
    <w:p w14:paraId="590A5B6D">
      <w:pPr>
        <w:spacing w:line="360" w:lineRule="auto"/>
        <w:ind w:right="-108" w:firstLine="480" w:firstLineChars="200"/>
        <w:rPr>
          <w:rFonts w:hint="eastAsia" w:ascii="宋体" w:hAnsi="宋体"/>
          <w:color w:val="auto"/>
          <w:sz w:val="24"/>
          <w:highlight w:val="none"/>
        </w:rPr>
      </w:pPr>
      <w:r>
        <w:rPr>
          <w:rFonts w:hint="eastAsia" w:ascii="宋体" w:hAnsi="宋体"/>
          <w:color w:val="auto"/>
          <w:sz w:val="24"/>
          <w:highlight w:val="none"/>
        </w:rPr>
        <w:t xml:space="preserve">                                法定代表人或授权委托人（签字或盖章）</w:t>
      </w:r>
      <w:r>
        <w:rPr>
          <w:rFonts w:ascii="宋体" w:hAnsi="宋体"/>
          <w:color w:val="auto"/>
          <w:sz w:val="24"/>
          <w:highlight w:val="none"/>
        </w:rPr>
        <w:t>:</w:t>
      </w:r>
    </w:p>
    <w:p w14:paraId="7E3B4D4C">
      <w:pPr>
        <w:spacing w:line="360" w:lineRule="auto"/>
        <w:ind w:right="538" w:firstLine="480" w:firstLineChars="200"/>
        <w:rPr>
          <w:rFonts w:ascii="宋体" w:hAnsi="宋体"/>
          <w:color w:val="auto"/>
          <w:sz w:val="24"/>
          <w:highlight w:val="none"/>
        </w:rPr>
      </w:pPr>
      <w:r>
        <w:rPr>
          <w:rFonts w:hint="eastAsia" w:ascii="宋体" w:hAnsi="宋体"/>
          <w:color w:val="auto"/>
          <w:sz w:val="24"/>
          <w:highlight w:val="none"/>
        </w:rPr>
        <w:t xml:space="preserve">                                日　　　期：　　　年　　月 　日</w:t>
      </w:r>
    </w:p>
    <w:p w14:paraId="5F5B7F44">
      <w:pPr>
        <w:rPr>
          <w:rFonts w:hint="eastAsia" w:ascii="宋体" w:hAnsi="宋体" w:cs="宋体"/>
          <w:b/>
          <w:color w:val="auto"/>
          <w:sz w:val="28"/>
          <w:szCs w:val="28"/>
          <w:highlight w:val="none"/>
        </w:rPr>
      </w:pPr>
    </w:p>
    <w:p w14:paraId="7F135AA3">
      <w:pPr>
        <w:pStyle w:val="30"/>
        <w:rPr>
          <w:rFonts w:hint="eastAsia" w:ascii="宋体" w:hAnsi="宋体" w:cs="宋体"/>
          <w:b/>
          <w:color w:val="auto"/>
          <w:sz w:val="28"/>
          <w:szCs w:val="28"/>
          <w:highlight w:val="none"/>
        </w:rPr>
      </w:pPr>
    </w:p>
    <w:p w14:paraId="1F88E07A">
      <w:pPr>
        <w:rPr>
          <w:color w:val="auto"/>
          <w:highlight w:val="none"/>
        </w:rPr>
      </w:pPr>
    </w:p>
    <w:bookmarkEnd w:id="336"/>
    <w:bookmarkEnd w:id="337"/>
    <w:bookmarkEnd w:id="338"/>
    <w:bookmarkEnd w:id="339"/>
    <w:p w14:paraId="672900B9">
      <w:pPr>
        <w:spacing w:before="62" w:beforeLines="20" w:after="62" w:afterLines="20" w:line="60" w:lineRule="atLeast"/>
        <w:jc w:val="center"/>
        <w:rPr>
          <w:rFonts w:hint="eastAsia" w:ascii="宋体" w:hAnsi="宋体"/>
          <w:color w:val="auto"/>
          <w:highlight w:val="none"/>
        </w:rPr>
      </w:pPr>
      <w:bookmarkStart w:id="340" w:name="_Toc520310883"/>
      <w:bookmarkStart w:id="341" w:name="_Toc492300738"/>
      <w:bookmarkStart w:id="342" w:name="_Toc532778396"/>
      <w:r>
        <w:rPr>
          <w:rFonts w:hint="eastAsia" w:ascii="宋体" w:hAnsi="宋体"/>
          <w:color w:val="auto"/>
          <w:highlight w:val="none"/>
        </w:rPr>
        <w:br w:type="page"/>
      </w:r>
      <w:r>
        <w:rPr>
          <w:rFonts w:hint="eastAsia" w:ascii="宋体" w:hAnsi="宋体" w:cs="宋体"/>
          <w:b/>
          <w:bCs/>
          <w:color w:val="auto"/>
          <w:sz w:val="32"/>
          <w:szCs w:val="32"/>
          <w:highlight w:val="none"/>
        </w:rPr>
        <w:t>六、资格审查资料</w:t>
      </w:r>
    </w:p>
    <w:p w14:paraId="58961982">
      <w:pPr>
        <w:pStyle w:val="5"/>
        <w:spacing w:before="20"/>
        <w:ind w:firstLine="138"/>
        <w:jc w:val="center"/>
        <w:rPr>
          <w:rFonts w:ascii="宋体" w:hAnsi="宋体" w:eastAsia="宋体"/>
          <w:b/>
          <w:color w:val="auto"/>
          <w:highlight w:val="none"/>
        </w:rPr>
      </w:pPr>
      <w:r>
        <w:rPr>
          <w:rFonts w:hint="eastAsia" w:ascii="宋体" w:hAnsi="宋体" w:eastAsia="宋体"/>
          <w:b/>
          <w:color w:val="auto"/>
          <w:highlight w:val="none"/>
        </w:rPr>
        <w:t>6</w:t>
      </w:r>
      <w:r>
        <w:rPr>
          <w:rFonts w:ascii="宋体" w:hAnsi="宋体" w:eastAsia="宋体"/>
          <w:b/>
          <w:color w:val="auto"/>
          <w:highlight w:val="none"/>
        </w:rPr>
        <w:t xml:space="preserve">.1 </w:t>
      </w:r>
      <w:r>
        <w:rPr>
          <w:rFonts w:hint="eastAsia" w:ascii="宋体" w:hAnsi="宋体" w:eastAsia="宋体"/>
          <w:b/>
          <w:color w:val="auto"/>
          <w:highlight w:val="none"/>
        </w:rPr>
        <w:t>投标人基本情况表</w:t>
      </w:r>
    </w:p>
    <w:tbl>
      <w:tblPr>
        <w:tblStyle w:val="33"/>
        <w:tblW w:w="88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03"/>
        <w:gridCol w:w="1065"/>
        <w:gridCol w:w="990"/>
        <w:gridCol w:w="1137"/>
        <w:gridCol w:w="444"/>
        <w:gridCol w:w="689"/>
        <w:gridCol w:w="817"/>
        <w:gridCol w:w="280"/>
        <w:gridCol w:w="1214"/>
      </w:tblGrid>
      <w:tr w14:paraId="597CA1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6" w:hRule="atLeast"/>
          <w:jc w:val="center"/>
        </w:trPr>
        <w:tc>
          <w:tcPr>
            <w:tcW w:w="2203" w:type="dxa"/>
            <w:tcBorders>
              <w:top w:val="single" w:color="auto" w:sz="4" w:space="0"/>
              <w:left w:val="single" w:color="auto" w:sz="4" w:space="0"/>
              <w:bottom w:val="single" w:color="auto" w:sz="4" w:space="0"/>
              <w:right w:val="single" w:color="auto" w:sz="4" w:space="0"/>
            </w:tcBorders>
            <w:noWrap w:val="0"/>
            <w:vAlign w:val="center"/>
          </w:tcPr>
          <w:p w14:paraId="1435FFF9">
            <w:pPr>
              <w:topLinePunct/>
              <w:jc w:val="center"/>
              <w:rPr>
                <w:rFonts w:ascii="宋体" w:hAnsi="宋体" w:cs="宋体"/>
                <w:color w:val="auto"/>
                <w:szCs w:val="21"/>
                <w:highlight w:val="none"/>
              </w:rPr>
            </w:pPr>
            <w:r>
              <w:rPr>
                <w:rFonts w:hint="eastAsia" w:ascii="宋体" w:hAnsi="宋体" w:cs="宋体"/>
                <w:color w:val="auto"/>
                <w:szCs w:val="21"/>
                <w:highlight w:val="none"/>
              </w:rPr>
              <w:t>投标人名称</w:t>
            </w:r>
          </w:p>
        </w:tc>
        <w:tc>
          <w:tcPr>
            <w:tcW w:w="6636" w:type="dxa"/>
            <w:gridSpan w:val="8"/>
            <w:tcBorders>
              <w:top w:val="single" w:color="auto" w:sz="4" w:space="0"/>
              <w:left w:val="single" w:color="auto" w:sz="4" w:space="0"/>
              <w:bottom w:val="single" w:color="auto" w:sz="4" w:space="0"/>
              <w:right w:val="single" w:color="auto" w:sz="4" w:space="0"/>
            </w:tcBorders>
            <w:noWrap w:val="0"/>
            <w:vAlign w:val="center"/>
          </w:tcPr>
          <w:p w14:paraId="1C28A997">
            <w:pPr>
              <w:topLinePunct/>
              <w:jc w:val="center"/>
              <w:rPr>
                <w:rFonts w:ascii="宋体" w:hAnsi="宋体" w:cs="宋体"/>
                <w:color w:val="auto"/>
                <w:szCs w:val="21"/>
                <w:highlight w:val="none"/>
              </w:rPr>
            </w:pPr>
          </w:p>
        </w:tc>
      </w:tr>
      <w:tr w14:paraId="7B6561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2" w:hRule="atLeast"/>
          <w:jc w:val="center"/>
        </w:trPr>
        <w:tc>
          <w:tcPr>
            <w:tcW w:w="2203" w:type="dxa"/>
            <w:tcBorders>
              <w:top w:val="single" w:color="auto" w:sz="4" w:space="0"/>
              <w:left w:val="single" w:color="auto" w:sz="4" w:space="0"/>
              <w:bottom w:val="single" w:color="auto" w:sz="4" w:space="0"/>
              <w:right w:val="single" w:color="auto" w:sz="4" w:space="0"/>
            </w:tcBorders>
            <w:noWrap w:val="0"/>
            <w:vAlign w:val="center"/>
          </w:tcPr>
          <w:p w14:paraId="72E0EACF">
            <w:pPr>
              <w:topLinePunct/>
              <w:jc w:val="center"/>
              <w:rPr>
                <w:rFonts w:ascii="宋体" w:hAnsi="宋体" w:cs="宋体"/>
                <w:color w:val="auto"/>
                <w:szCs w:val="21"/>
                <w:highlight w:val="none"/>
              </w:rPr>
            </w:pPr>
            <w:r>
              <w:rPr>
                <w:rFonts w:hint="eastAsia" w:ascii="宋体" w:hAnsi="宋体" w:cs="宋体"/>
                <w:color w:val="auto"/>
                <w:szCs w:val="21"/>
                <w:highlight w:val="none"/>
              </w:rPr>
              <w:t>注册地址</w:t>
            </w:r>
          </w:p>
        </w:tc>
        <w:tc>
          <w:tcPr>
            <w:tcW w:w="3192" w:type="dxa"/>
            <w:gridSpan w:val="3"/>
            <w:tcBorders>
              <w:top w:val="single" w:color="auto" w:sz="4" w:space="0"/>
              <w:left w:val="single" w:color="auto" w:sz="4" w:space="0"/>
              <w:bottom w:val="single" w:color="auto" w:sz="4" w:space="0"/>
              <w:right w:val="single" w:color="auto" w:sz="4" w:space="0"/>
            </w:tcBorders>
            <w:noWrap w:val="0"/>
            <w:vAlign w:val="center"/>
          </w:tcPr>
          <w:p w14:paraId="34E26A5A">
            <w:pPr>
              <w:topLinePunct/>
              <w:jc w:val="center"/>
              <w:rPr>
                <w:rFonts w:ascii="宋体" w:hAnsi="宋体" w:cs="宋体"/>
                <w:color w:val="auto"/>
                <w:szCs w:val="21"/>
                <w:highlight w:val="none"/>
              </w:rPr>
            </w:pPr>
          </w:p>
        </w:tc>
        <w:tc>
          <w:tcPr>
            <w:tcW w:w="1133" w:type="dxa"/>
            <w:gridSpan w:val="2"/>
            <w:tcBorders>
              <w:top w:val="single" w:color="auto" w:sz="4" w:space="0"/>
              <w:left w:val="single" w:color="auto" w:sz="4" w:space="0"/>
              <w:bottom w:val="single" w:color="auto" w:sz="4" w:space="0"/>
              <w:right w:val="single" w:color="auto" w:sz="4" w:space="0"/>
            </w:tcBorders>
            <w:noWrap w:val="0"/>
            <w:vAlign w:val="center"/>
          </w:tcPr>
          <w:p w14:paraId="267E4510">
            <w:pPr>
              <w:topLinePunct/>
              <w:spacing w:before="100" w:beforeAutospacing="1" w:after="100" w:afterAutospacing="1"/>
              <w:jc w:val="center"/>
              <w:rPr>
                <w:rFonts w:ascii="宋体" w:hAnsi="宋体" w:cs="宋体"/>
                <w:color w:val="auto"/>
                <w:szCs w:val="21"/>
                <w:highlight w:val="none"/>
              </w:rPr>
            </w:pPr>
            <w:r>
              <w:rPr>
                <w:rFonts w:hint="eastAsia" w:ascii="宋体" w:hAnsi="宋体" w:cs="宋体"/>
                <w:color w:val="auto"/>
                <w:szCs w:val="21"/>
                <w:highlight w:val="none"/>
              </w:rPr>
              <w:t>邮政编码</w:t>
            </w:r>
          </w:p>
        </w:tc>
        <w:tc>
          <w:tcPr>
            <w:tcW w:w="2311" w:type="dxa"/>
            <w:gridSpan w:val="3"/>
            <w:tcBorders>
              <w:top w:val="single" w:color="auto" w:sz="4" w:space="0"/>
              <w:left w:val="single" w:color="auto" w:sz="4" w:space="0"/>
              <w:bottom w:val="single" w:color="auto" w:sz="4" w:space="0"/>
              <w:right w:val="single" w:color="auto" w:sz="4" w:space="0"/>
            </w:tcBorders>
            <w:noWrap w:val="0"/>
            <w:vAlign w:val="center"/>
          </w:tcPr>
          <w:p w14:paraId="30730A41">
            <w:pPr>
              <w:topLinePunct/>
              <w:jc w:val="center"/>
              <w:rPr>
                <w:rFonts w:ascii="宋体" w:hAnsi="宋体" w:cs="宋体"/>
                <w:color w:val="auto"/>
                <w:szCs w:val="21"/>
                <w:highlight w:val="none"/>
              </w:rPr>
            </w:pPr>
          </w:p>
        </w:tc>
      </w:tr>
      <w:tr w14:paraId="7258CF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2203" w:type="dxa"/>
            <w:vMerge w:val="restart"/>
            <w:tcBorders>
              <w:top w:val="single" w:color="auto" w:sz="4" w:space="0"/>
              <w:left w:val="single" w:color="auto" w:sz="4" w:space="0"/>
              <w:bottom w:val="single" w:color="auto" w:sz="4" w:space="0"/>
              <w:right w:val="single" w:color="auto" w:sz="4" w:space="0"/>
            </w:tcBorders>
            <w:noWrap w:val="0"/>
            <w:vAlign w:val="center"/>
          </w:tcPr>
          <w:p w14:paraId="394CBBA9">
            <w:pPr>
              <w:topLinePunct/>
              <w:jc w:val="center"/>
              <w:rPr>
                <w:rFonts w:ascii="宋体" w:hAnsi="宋体" w:cs="宋体"/>
                <w:color w:val="auto"/>
                <w:szCs w:val="21"/>
                <w:highlight w:val="none"/>
              </w:rPr>
            </w:pPr>
            <w:r>
              <w:rPr>
                <w:rFonts w:hint="eastAsia" w:ascii="宋体" w:hAnsi="宋体" w:cs="宋体"/>
                <w:color w:val="auto"/>
                <w:szCs w:val="21"/>
                <w:highlight w:val="none"/>
              </w:rPr>
              <w:t>联系方式</w:t>
            </w:r>
          </w:p>
        </w:tc>
        <w:tc>
          <w:tcPr>
            <w:tcW w:w="1065" w:type="dxa"/>
            <w:tcBorders>
              <w:top w:val="single" w:color="auto" w:sz="4" w:space="0"/>
              <w:left w:val="single" w:color="auto" w:sz="4" w:space="0"/>
              <w:bottom w:val="single" w:color="auto" w:sz="4" w:space="0"/>
              <w:right w:val="single" w:color="auto" w:sz="4" w:space="0"/>
            </w:tcBorders>
            <w:noWrap w:val="0"/>
            <w:vAlign w:val="center"/>
          </w:tcPr>
          <w:p w14:paraId="5E82F521">
            <w:pPr>
              <w:topLinePunct/>
              <w:spacing w:before="100" w:beforeAutospacing="1" w:after="100" w:afterAutospacing="1"/>
              <w:jc w:val="center"/>
              <w:rPr>
                <w:rFonts w:ascii="宋体" w:hAnsi="宋体" w:cs="宋体"/>
                <w:color w:val="auto"/>
                <w:szCs w:val="21"/>
                <w:highlight w:val="none"/>
              </w:rPr>
            </w:pPr>
            <w:r>
              <w:rPr>
                <w:rFonts w:hint="eastAsia" w:ascii="宋体" w:hAnsi="宋体" w:cs="宋体"/>
                <w:color w:val="auto"/>
                <w:szCs w:val="21"/>
                <w:highlight w:val="none"/>
              </w:rPr>
              <w:t>联系人</w:t>
            </w:r>
          </w:p>
        </w:tc>
        <w:tc>
          <w:tcPr>
            <w:tcW w:w="2127" w:type="dxa"/>
            <w:gridSpan w:val="2"/>
            <w:tcBorders>
              <w:top w:val="single" w:color="auto" w:sz="4" w:space="0"/>
              <w:left w:val="single" w:color="auto" w:sz="4" w:space="0"/>
              <w:bottom w:val="single" w:color="auto" w:sz="4" w:space="0"/>
              <w:right w:val="single" w:color="auto" w:sz="4" w:space="0"/>
            </w:tcBorders>
            <w:noWrap w:val="0"/>
            <w:vAlign w:val="center"/>
          </w:tcPr>
          <w:p w14:paraId="4C7F436D">
            <w:pPr>
              <w:topLinePunct/>
              <w:jc w:val="center"/>
              <w:rPr>
                <w:rFonts w:ascii="宋体" w:hAnsi="宋体" w:cs="宋体"/>
                <w:color w:val="auto"/>
                <w:szCs w:val="21"/>
                <w:highlight w:val="none"/>
              </w:rPr>
            </w:pPr>
          </w:p>
        </w:tc>
        <w:tc>
          <w:tcPr>
            <w:tcW w:w="1133" w:type="dxa"/>
            <w:gridSpan w:val="2"/>
            <w:tcBorders>
              <w:top w:val="single" w:color="auto" w:sz="4" w:space="0"/>
              <w:left w:val="single" w:color="auto" w:sz="4" w:space="0"/>
              <w:bottom w:val="single" w:color="auto" w:sz="4" w:space="0"/>
              <w:right w:val="single" w:color="auto" w:sz="4" w:space="0"/>
            </w:tcBorders>
            <w:noWrap w:val="0"/>
            <w:vAlign w:val="center"/>
          </w:tcPr>
          <w:p w14:paraId="3594306A">
            <w:pPr>
              <w:topLinePunct/>
              <w:spacing w:before="100" w:beforeAutospacing="1" w:after="100" w:afterAutospacing="1"/>
              <w:jc w:val="center"/>
              <w:rPr>
                <w:rFonts w:ascii="宋体" w:hAnsi="宋体" w:cs="宋体"/>
                <w:color w:val="auto"/>
                <w:szCs w:val="21"/>
                <w:highlight w:val="none"/>
              </w:rPr>
            </w:pPr>
            <w:r>
              <w:rPr>
                <w:rFonts w:hint="eastAsia" w:ascii="宋体" w:hAnsi="宋体" w:cs="宋体"/>
                <w:color w:val="auto"/>
                <w:szCs w:val="21"/>
                <w:highlight w:val="none"/>
              </w:rPr>
              <w:t>电</w:t>
            </w:r>
            <w:r>
              <w:rPr>
                <w:rFonts w:ascii="宋体" w:hAnsi="宋体" w:cs="宋体"/>
                <w:color w:val="auto"/>
                <w:szCs w:val="21"/>
                <w:highlight w:val="none"/>
              </w:rPr>
              <w:t xml:space="preserve"> </w:t>
            </w:r>
            <w:r>
              <w:rPr>
                <w:rFonts w:hint="eastAsia" w:ascii="宋体" w:hAnsi="宋体" w:cs="宋体"/>
                <w:color w:val="auto"/>
                <w:szCs w:val="21"/>
                <w:highlight w:val="none"/>
              </w:rPr>
              <w:t>话</w:t>
            </w:r>
          </w:p>
        </w:tc>
        <w:tc>
          <w:tcPr>
            <w:tcW w:w="2311" w:type="dxa"/>
            <w:gridSpan w:val="3"/>
            <w:tcBorders>
              <w:top w:val="single" w:color="auto" w:sz="4" w:space="0"/>
              <w:left w:val="single" w:color="auto" w:sz="4" w:space="0"/>
              <w:bottom w:val="single" w:color="auto" w:sz="4" w:space="0"/>
              <w:right w:val="single" w:color="auto" w:sz="4" w:space="0"/>
            </w:tcBorders>
            <w:noWrap w:val="0"/>
            <w:vAlign w:val="center"/>
          </w:tcPr>
          <w:p w14:paraId="78136D09">
            <w:pPr>
              <w:topLinePunct/>
              <w:jc w:val="center"/>
              <w:rPr>
                <w:rFonts w:ascii="宋体" w:hAnsi="宋体" w:cs="宋体"/>
                <w:color w:val="auto"/>
                <w:szCs w:val="21"/>
                <w:highlight w:val="none"/>
              </w:rPr>
            </w:pPr>
          </w:p>
        </w:tc>
      </w:tr>
      <w:tr w14:paraId="197052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7" w:hRule="atLeast"/>
          <w:jc w:val="center"/>
        </w:trPr>
        <w:tc>
          <w:tcPr>
            <w:tcW w:w="2203" w:type="dxa"/>
            <w:vMerge w:val="continue"/>
            <w:tcBorders>
              <w:top w:val="single" w:color="auto" w:sz="4" w:space="0"/>
              <w:left w:val="single" w:color="auto" w:sz="4" w:space="0"/>
              <w:bottom w:val="single" w:color="auto" w:sz="4" w:space="0"/>
              <w:right w:val="single" w:color="auto" w:sz="4" w:space="0"/>
            </w:tcBorders>
            <w:noWrap w:val="0"/>
            <w:vAlign w:val="center"/>
          </w:tcPr>
          <w:p w14:paraId="6E53FC15">
            <w:pPr>
              <w:jc w:val="center"/>
              <w:rPr>
                <w:rFonts w:ascii="宋体" w:hAnsi="宋体" w:cs="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14:paraId="512403A1">
            <w:pPr>
              <w:topLinePunct/>
              <w:spacing w:before="100" w:beforeAutospacing="1" w:after="100" w:afterAutospacing="1"/>
              <w:jc w:val="center"/>
              <w:rPr>
                <w:rFonts w:ascii="宋体" w:hAnsi="宋体" w:cs="宋体"/>
                <w:color w:val="auto"/>
                <w:szCs w:val="21"/>
                <w:highlight w:val="none"/>
              </w:rPr>
            </w:pPr>
            <w:r>
              <w:rPr>
                <w:rFonts w:hint="eastAsia" w:ascii="宋体" w:hAnsi="宋体" w:cs="宋体"/>
                <w:color w:val="auto"/>
                <w:szCs w:val="21"/>
                <w:highlight w:val="none"/>
              </w:rPr>
              <w:t>传</w:t>
            </w:r>
            <w:r>
              <w:rPr>
                <w:rFonts w:ascii="宋体" w:hAnsi="宋体" w:cs="宋体"/>
                <w:color w:val="auto"/>
                <w:szCs w:val="21"/>
                <w:highlight w:val="none"/>
              </w:rPr>
              <w:t xml:space="preserve">  </w:t>
            </w:r>
            <w:r>
              <w:rPr>
                <w:rFonts w:hint="eastAsia" w:ascii="宋体" w:hAnsi="宋体" w:cs="宋体"/>
                <w:color w:val="auto"/>
                <w:szCs w:val="21"/>
                <w:highlight w:val="none"/>
              </w:rPr>
              <w:t>真</w:t>
            </w:r>
          </w:p>
        </w:tc>
        <w:tc>
          <w:tcPr>
            <w:tcW w:w="2127" w:type="dxa"/>
            <w:gridSpan w:val="2"/>
            <w:tcBorders>
              <w:top w:val="single" w:color="auto" w:sz="4" w:space="0"/>
              <w:left w:val="single" w:color="auto" w:sz="4" w:space="0"/>
              <w:bottom w:val="single" w:color="auto" w:sz="4" w:space="0"/>
              <w:right w:val="single" w:color="auto" w:sz="4" w:space="0"/>
            </w:tcBorders>
            <w:noWrap w:val="0"/>
            <w:vAlign w:val="center"/>
          </w:tcPr>
          <w:p w14:paraId="3521D0E0">
            <w:pPr>
              <w:topLinePunct/>
              <w:jc w:val="center"/>
              <w:rPr>
                <w:rFonts w:ascii="宋体" w:hAnsi="宋体" w:cs="宋体"/>
                <w:color w:val="auto"/>
                <w:szCs w:val="21"/>
                <w:highlight w:val="none"/>
              </w:rPr>
            </w:pPr>
          </w:p>
        </w:tc>
        <w:tc>
          <w:tcPr>
            <w:tcW w:w="1133" w:type="dxa"/>
            <w:gridSpan w:val="2"/>
            <w:tcBorders>
              <w:top w:val="single" w:color="auto" w:sz="4" w:space="0"/>
              <w:left w:val="single" w:color="auto" w:sz="4" w:space="0"/>
              <w:bottom w:val="single" w:color="auto" w:sz="4" w:space="0"/>
              <w:right w:val="single" w:color="auto" w:sz="4" w:space="0"/>
            </w:tcBorders>
            <w:noWrap w:val="0"/>
            <w:vAlign w:val="center"/>
          </w:tcPr>
          <w:p w14:paraId="3A4C8EB8">
            <w:pPr>
              <w:topLinePunct/>
              <w:spacing w:before="100" w:beforeAutospacing="1" w:after="100" w:afterAutospacing="1"/>
              <w:jc w:val="center"/>
              <w:rPr>
                <w:rFonts w:ascii="宋体" w:hAnsi="宋体" w:cs="宋体"/>
                <w:color w:val="auto"/>
                <w:szCs w:val="21"/>
                <w:highlight w:val="none"/>
              </w:rPr>
            </w:pPr>
            <w:r>
              <w:rPr>
                <w:rFonts w:hint="eastAsia" w:ascii="宋体" w:hAnsi="宋体" w:cs="宋体"/>
                <w:color w:val="auto"/>
                <w:szCs w:val="21"/>
                <w:highlight w:val="none"/>
              </w:rPr>
              <w:t>网</w:t>
            </w:r>
            <w:r>
              <w:rPr>
                <w:rFonts w:ascii="宋体" w:hAnsi="宋体" w:cs="宋体"/>
                <w:color w:val="auto"/>
                <w:szCs w:val="21"/>
                <w:highlight w:val="none"/>
              </w:rPr>
              <w:t xml:space="preserve"> </w:t>
            </w:r>
            <w:r>
              <w:rPr>
                <w:rFonts w:hint="eastAsia" w:ascii="宋体" w:hAnsi="宋体" w:cs="宋体"/>
                <w:color w:val="auto"/>
                <w:szCs w:val="21"/>
                <w:highlight w:val="none"/>
              </w:rPr>
              <w:t>址</w:t>
            </w:r>
          </w:p>
        </w:tc>
        <w:tc>
          <w:tcPr>
            <w:tcW w:w="2311" w:type="dxa"/>
            <w:gridSpan w:val="3"/>
            <w:tcBorders>
              <w:top w:val="single" w:color="auto" w:sz="4" w:space="0"/>
              <w:left w:val="single" w:color="auto" w:sz="4" w:space="0"/>
              <w:bottom w:val="single" w:color="auto" w:sz="4" w:space="0"/>
              <w:right w:val="single" w:color="auto" w:sz="4" w:space="0"/>
            </w:tcBorders>
            <w:noWrap w:val="0"/>
            <w:vAlign w:val="center"/>
          </w:tcPr>
          <w:p w14:paraId="39E446FB">
            <w:pPr>
              <w:topLinePunct/>
              <w:jc w:val="center"/>
              <w:rPr>
                <w:rFonts w:ascii="宋体" w:hAnsi="宋体" w:cs="宋体"/>
                <w:color w:val="auto"/>
                <w:szCs w:val="21"/>
                <w:highlight w:val="none"/>
              </w:rPr>
            </w:pPr>
          </w:p>
        </w:tc>
      </w:tr>
      <w:tr w14:paraId="7C05D0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2" w:hRule="atLeast"/>
          <w:jc w:val="center"/>
        </w:trPr>
        <w:tc>
          <w:tcPr>
            <w:tcW w:w="2203" w:type="dxa"/>
            <w:tcBorders>
              <w:top w:val="single" w:color="auto" w:sz="4" w:space="0"/>
              <w:left w:val="single" w:color="auto" w:sz="4" w:space="0"/>
              <w:bottom w:val="single" w:color="auto" w:sz="4" w:space="0"/>
              <w:right w:val="single" w:color="auto" w:sz="4" w:space="0"/>
            </w:tcBorders>
            <w:noWrap w:val="0"/>
            <w:vAlign w:val="center"/>
          </w:tcPr>
          <w:p w14:paraId="4889A152">
            <w:pPr>
              <w:topLinePunct/>
              <w:spacing w:before="100" w:beforeAutospacing="1" w:after="100" w:afterAutospacing="1"/>
              <w:jc w:val="center"/>
              <w:rPr>
                <w:rFonts w:ascii="宋体" w:hAnsi="宋体" w:cs="宋体"/>
                <w:color w:val="auto"/>
                <w:szCs w:val="21"/>
                <w:highlight w:val="none"/>
              </w:rPr>
            </w:pPr>
            <w:r>
              <w:rPr>
                <w:rFonts w:hint="eastAsia" w:ascii="宋体" w:hAnsi="宋体" w:cs="宋体"/>
                <w:color w:val="auto"/>
                <w:szCs w:val="21"/>
                <w:highlight w:val="none"/>
              </w:rPr>
              <w:t>法定代表人</w:t>
            </w:r>
          </w:p>
        </w:tc>
        <w:tc>
          <w:tcPr>
            <w:tcW w:w="1065" w:type="dxa"/>
            <w:tcBorders>
              <w:top w:val="single" w:color="auto" w:sz="4" w:space="0"/>
              <w:left w:val="single" w:color="auto" w:sz="4" w:space="0"/>
              <w:bottom w:val="single" w:color="auto" w:sz="4" w:space="0"/>
              <w:right w:val="single" w:color="auto" w:sz="4" w:space="0"/>
            </w:tcBorders>
            <w:noWrap w:val="0"/>
            <w:vAlign w:val="center"/>
          </w:tcPr>
          <w:p w14:paraId="61500B3B">
            <w:pPr>
              <w:topLinePunct/>
              <w:spacing w:before="100" w:beforeAutospacing="1" w:after="100" w:afterAutospacing="1"/>
              <w:jc w:val="center"/>
              <w:rPr>
                <w:rFonts w:ascii="宋体" w:hAnsi="宋体" w:cs="宋体"/>
                <w:color w:val="auto"/>
                <w:szCs w:val="21"/>
                <w:highlight w:val="none"/>
              </w:rPr>
            </w:pPr>
            <w:r>
              <w:rPr>
                <w:rFonts w:hint="eastAsia" w:ascii="宋体" w:hAnsi="宋体" w:cs="宋体"/>
                <w:color w:val="auto"/>
                <w:szCs w:val="21"/>
                <w:highlight w:val="none"/>
              </w:rPr>
              <w:t>姓名</w:t>
            </w:r>
          </w:p>
        </w:tc>
        <w:tc>
          <w:tcPr>
            <w:tcW w:w="990" w:type="dxa"/>
            <w:tcBorders>
              <w:top w:val="single" w:color="auto" w:sz="4" w:space="0"/>
              <w:left w:val="single" w:color="auto" w:sz="4" w:space="0"/>
              <w:bottom w:val="single" w:color="auto" w:sz="4" w:space="0"/>
              <w:right w:val="single" w:color="auto" w:sz="4" w:space="0"/>
            </w:tcBorders>
            <w:noWrap w:val="0"/>
            <w:vAlign w:val="center"/>
          </w:tcPr>
          <w:p w14:paraId="43D95F3C">
            <w:pPr>
              <w:topLinePunct/>
              <w:jc w:val="center"/>
              <w:rPr>
                <w:rFonts w:ascii="宋体" w:hAnsi="宋体" w:cs="宋体"/>
                <w:color w:val="auto"/>
                <w:szCs w:val="21"/>
                <w:highlight w:val="none"/>
              </w:rPr>
            </w:pPr>
          </w:p>
        </w:tc>
        <w:tc>
          <w:tcPr>
            <w:tcW w:w="1137" w:type="dxa"/>
            <w:tcBorders>
              <w:top w:val="single" w:color="auto" w:sz="4" w:space="0"/>
              <w:left w:val="single" w:color="auto" w:sz="4" w:space="0"/>
              <w:bottom w:val="single" w:color="auto" w:sz="4" w:space="0"/>
              <w:right w:val="single" w:color="auto" w:sz="4" w:space="0"/>
            </w:tcBorders>
            <w:noWrap w:val="0"/>
            <w:vAlign w:val="center"/>
          </w:tcPr>
          <w:p w14:paraId="3035B9AD">
            <w:pPr>
              <w:topLinePunct/>
              <w:spacing w:before="100" w:beforeAutospacing="1" w:after="100" w:afterAutospacing="1"/>
              <w:jc w:val="center"/>
              <w:rPr>
                <w:rFonts w:ascii="宋体" w:hAnsi="宋体" w:cs="宋体"/>
                <w:color w:val="auto"/>
                <w:szCs w:val="21"/>
                <w:highlight w:val="none"/>
              </w:rPr>
            </w:pPr>
            <w:r>
              <w:rPr>
                <w:rFonts w:hint="eastAsia" w:ascii="宋体" w:hAnsi="宋体" w:cs="宋体"/>
                <w:color w:val="auto"/>
                <w:szCs w:val="21"/>
                <w:highlight w:val="none"/>
              </w:rPr>
              <w:t>技术职称</w:t>
            </w:r>
          </w:p>
        </w:tc>
        <w:tc>
          <w:tcPr>
            <w:tcW w:w="1133" w:type="dxa"/>
            <w:gridSpan w:val="2"/>
            <w:tcBorders>
              <w:top w:val="single" w:color="auto" w:sz="4" w:space="0"/>
              <w:left w:val="single" w:color="auto" w:sz="4" w:space="0"/>
              <w:bottom w:val="single" w:color="auto" w:sz="4" w:space="0"/>
              <w:right w:val="single" w:color="auto" w:sz="4" w:space="0"/>
            </w:tcBorders>
            <w:noWrap w:val="0"/>
            <w:vAlign w:val="center"/>
          </w:tcPr>
          <w:p w14:paraId="7DCA4B0D">
            <w:pPr>
              <w:topLinePunct/>
              <w:jc w:val="center"/>
              <w:rPr>
                <w:rFonts w:ascii="宋体" w:hAnsi="宋体" w:cs="宋体"/>
                <w:color w:val="auto"/>
                <w:szCs w:val="21"/>
                <w:highlight w:val="none"/>
              </w:rPr>
            </w:pPr>
          </w:p>
        </w:tc>
        <w:tc>
          <w:tcPr>
            <w:tcW w:w="1097" w:type="dxa"/>
            <w:gridSpan w:val="2"/>
            <w:tcBorders>
              <w:top w:val="single" w:color="auto" w:sz="4" w:space="0"/>
              <w:left w:val="single" w:color="auto" w:sz="4" w:space="0"/>
              <w:bottom w:val="single" w:color="auto" w:sz="4" w:space="0"/>
              <w:right w:val="single" w:color="auto" w:sz="4" w:space="0"/>
            </w:tcBorders>
            <w:noWrap w:val="0"/>
            <w:vAlign w:val="center"/>
          </w:tcPr>
          <w:p w14:paraId="4990A14B">
            <w:pPr>
              <w:topLinePunct/>
              <w:spacing w:before="100" w:beforeAutospacing="1" w:after="100" w:afterAutospacing="1"/>
              <w:jc w:val="center"/>
              <w:rPr>
                <w:rFonts w:ascii="宋体" w:hAnsi="宋体" w:cs="宋体"/>
                <w:color w:val="auto"/>
                <w:szCs w:val="21"/>
                <w:highlight w:val="none"/>
              </w:rPr>
            </w:pPr>
            <w:r>
              <w:rPr>
                <w:rFonts w:hint="eastAsia" w:ascii="宋体" w:hAnsi="宋体" w:cs="宋体"/>
                <w:color w:val="auto"/>
                <w:szCs w:val="21"/>
                <w:highlight w:val="none"/>
              </w:rPr>
              <w:t>电话</w:t>
            </w:r>
          </w:p>
        </w:tc>
        <w:tc>
          <w:tcPr>
            <w:tcW w:w="1214" w:type="dxa"/>
            <w:tcBorders>
              <w:top w:val="single" w:color="auto" w:sz="4" w:space="0"/>
              <w:left w:val="single" w:color="auto" w:sz="4" w:space="0"/>
              <w:bottom w:val="single" w:color="auto" w:sz="4" w:space="0"/>
              <w:right w:val="single" w:color="auto" w:sz="4" w:space="0"/>
            </w:tcBorders>
            <w:noWrap w:val="0"/>
            <w:vAlign w:val="center"/>
          </w:tcPr>
          <w:p w14:paraId="1A6E82F7">
            <w:pPr>
              <w:topLinePunct/>
              <w:jc w:val="center"/>
              <w:rPr>
                <w:rFonts w:ascii="宋体" w:hAnsi="宋体" w:cs="宋体"/>
                <w:color w:val="auto"/>
                <w:szCs w:val="21"/>
                <w:highlight w:val="none"/>
              </w:rPr>
            </w:pPr>
          </w:p>
        </w:tc>
      </w:tr>
      <w:tr w14:paraId="41BA32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7" w:hRule="atLeast"/>
          <w:jc w:val="center"/>
        </w:trPr>
        <w:tc>
          <w:tcPr>
            <w:tcW w:w="2203" w:type="dxa"/>
            <w:tcBorders>
              <w:top w:val="single" w:color="auto" w:sz="4" w:space="0"/>
              <w:left w:val="single" w:color="auto" w:sz="4" w:space="0"/>
              <w:bottom w:val="single" w:color="auto" w:sz="4" w:space="0"/>
              <w:right w:val="single" w:color="auto" w:sz="4" w:space="0"/>
            </w:tcBorders>
            <w:noWrap w:val="0"/>
            <w:vAlign w:val="center"/>
          </w:tcPr>
          <w:p w14:paraId="761D9AFF">
            <w:pPr>
              <w:topLinePunct/>
              <w:jc w:val="center"/>
              <w:rPr>
                <w:rFonts w:ascii="宋体" w:hAnsi="宋体" w:cs="宋体"/>
                <w:color w:val="auto"/>
                <w:szCs w:val="21"/>
                <w:highlight w:val="none"/>
              </w:rPr>
            </w:pPr>
            <w:r>
              <w:rPr>
                <w:rFonts w:hint="eastAsia" w:ascii="宋体" w:hAnsi="宋体" w:cs="宋体"/>
                <w:color w:val="auto"/>
                <w:szCs w:val="21"/>
                <w:highlight w:val="none"/>
              </w:rPr>
              <w:t>技术负责人</w:t>
            </w:r>
          </w:p>
        </w:tc>
        <w:tc>
          <w:tcPr>
            <w:tcW w:w="1065" w:type="dxa"/>
            <w:tcBorders>
              <w:top w:val="single" w:color="auto" w:sz="4" w:space="0"/>
              <w:left w:val="single" w:color="auto" w:sz="4" w:space="0"/>
              <w:bottom w:val="single" w:color="auto" w:sz="4" w:space="0"/>
              <w:right w:val="single" w:color="auto" w:sz="4" w:space="0"/>
            </w:tcBorders>
            <w:noWrap w:val="0"/>
            <w:vAlign w:val="center"/>
          </w:tcPr>
          <w:p w14:paraId="0E9B91DD">
            <w:pPr>
              <w:topLinePunct/>
              <w:spacing w:before="100" w:beforeAutospacing="1" w:after="100" w:afterAutospacing="1"/>
              <w:jc w:val="center"/>
              <w:rPr>
                <w:rFonts w:ascii="宋体" w:hAnsi="宋体" w:cs="宋体"/>
                <w:color w:val="auto"/>
                <w:szCs w:val="21"/>
                <w:highlight w:val="none"/>
              </w:rPr>
            </w:pPr>
            <w:r>
              <w:rPr>
                <w:rFonts w:hint="eastAsia" w:ascii="宋体" w:hAnsi="宋体" w:cs="宋体"/>
                <w:color w:val="auto"/>
                <w:szCs w:val="21"/>
                <w:highlight w:val="none"/>
              </w:rPr>
              <w:t>姓名</w:t>
            </w:r>
          </w:p>
        </w:tc>
        <w:tc>
          <w:tcPr>
            <w:tcW w:w="990" w:type="dxa"/>
            <w:tcBorders>
              <w:top w:val="single" w:color="auto" w:sz="4" w:space="0"/>
              <w:left w:val="single" w:color="auto" w:sz="4" w:space="0"/>
              <w:bottom w:val="single" w:color="auto" w:sz="4" w:space="0"/>
              <w:right w:val="single" w:color="auto" w:sz="4" w:space="0"/>
            </w:tcBorders>
            <w:noWrap w:val="0"/>
            <w:vAlign w:val="center"/>
          </w:tcPr>
          <w:p w14:paraId="1FBB82AA">
            <w:pPr>
              <w:topLinePunct/>
              <w:jc w:val="center"/>
              <w:rPr>
                <w:rFonts w:ascii="宋体" w:hAnsi="宋体" w:cs="宋体"/>
                <w:color w:val="auto"/>
                <w:szCs w:val="21"/>
                <w:highlight w:val="none"/>
              </w:rPr>
            </w:pPr>
          </w:p>
        </w:tc>
        <w:tc>
          <w:tcPr>
            <w:tcW w:w="1137" w:type="dxa"/>
            <w:tcBorders>
              <w:top w:val="single" w:color="auto" w:sz="4" w:space="0"/>
              <w:left w:val="single" w:color="auto" w:sz="4" w:space="0"/>
              <w:bottom w:val="single" w:color="auto" w:sz="4" w:space="0"/>
              <w:right w:val="single" w:color="auto" w:sz="4" w:space="0"/>
            </w:tcBorders>
            <w:noWrap w:val="0"/>
            <w:vAlign w:val="center"/>
          </w:tcPr>
          <w:p w14:paraId="78FDEBD7">
            <w:pPr>
              <w:topLinePunct/>
              <w:spacing w:before="100" w:beforeAutospacing="1" w:after="100" w:afterAutospacing="1"/>
              <w:jc w:val="center"/>
              <w:rPr>
                <w:rFonts w:ascii="宋体" w:hAnsi="宋体" w:cs="宋体"/>
                <w:color w:val="auto"/>
                <w:szCs w:val="21"/>
                <w:highlight w:val="none"/>
              </w:rPr>
            </w:pPr>
            <w:r>
              <w:rPr>
                <w:rFonts w:hint="eastAsia" w:ascii="宋体" w:hAnsi="宋体" w:cs="宋体"/>
                <w:color w:val="auto"/>
                <w:szCs w:val="21"/>
                <w:highlight w:val="none"/>
              </w:rPr>
              <w:t>技术职称</w:t>
            </w:r>
          </w:p>
        </w:tc>
        <w:tc>
          <w:tcPr>
            <w:tcW w:w="1133" w:type="dxa"/>
            <w:gridSpan w:val="2"/>
            <w:tcBorders>
              <w:top w:val="single" w:color="auto" w:sz="4" w:space="0"/>
              <w:left w:val="single" w:color="auto" w:sz="4" w:space="0"/>
              <w:bottom w:val="single" w:color="auto" w:sz="4" w:space="0"/>
              <w:right w:val="single" w:color="auto" w:sz="4" w:space="0"/>
            </w:tcBorders>
            <w:noWrap w:val="0"/>
            <w:vAlign w:val="center"/>
          </w:tcPr>
          <w:p w14:paraId="3CAD2351">
            <w:pPr>
              <w:topLinePunct/>
              <w:jc w:val="center"/>
              <w:rPr>
                <w:rFonts w:ascii="宋体" w:hAnsi="宋体" w:cs="宋体"/>
                <w:color w:val="auto"/>
                <w:szCs w:val="21"/>
                <w:highlight w:val="none"/>
              </w:rPr>
            </w:pPr>
          </w:p>
        </w:tc>
        <w:tc>
          <w:tcPr>
            <w:tcW w:w="1097" w:type="dxa"/>
            <w:gridSpan w:val="2"/>
            <w:tcBorders>
              <w:top w:val="single" w:color="auto" w:sz="4" w:space="0"/>
              <w:left w:val="single" w:color="auto" w:sz="4" w:space="0"/>
              <w:bottom w:val="single" w:color="auto" w:sz="4" w:space="0"/>
              <w:right w:val="single" w:color="auto" w:sz="4" w:space="0"/>
            </w:tcBorders>
            <w:noWrap w:val="0"/>
            <w:vAlign w:val="center"/>
          </w:tcPr>
          <w:p w14:paraId="16651AF5">
            <w:pPr>
              <w:topLinePunct/>
              <w:spacing w:before="100" w:beforeAutospacing="1" w:after="100" w:afterAutospacing="1"/>
              <w:jc w:val="center"/>
              <w:rPr>
                <w:rFonts w:ascii="宋体" w:hAnsi="宋体" w:cs="宋体"/>
                <w:color w:val="auto"/>
                <w:szCs w:val="21"/>
                <w:highlight w:val="none"/>
              </w:rPr>
            </w:pPr>
            <w:r>
              <w:rPr>
                <w:rFonts w:hint="eastAsia" w:ascii="宋体" w:hAnsi="宋体" w:cs="宋体"/>
                <w:color w:val="auto"/>
                <w:szCs w:val="21"/>
                <w:highlight w:val="none"/>
              </w:rPr>
              <w:t>电话</w:t>
            </w:r>
          </w:p>
        </w:tc>
        <w:tc>
          <w:tcPr>
            <w:tcW w:w="1214" w:type="dxa"/>
            <w:tcBorders>
              <w:top w:val="single" w:color="auto" w:sz="4" w:space="0"/>
              <w:left w:val="single" w:color="auto" w:sz="4" w:space="0"/>
              <w:bottom w:val="single" w:color="auto" w:sz="4" w:space="0"/>
              <w:right w:val="single" w:color="auto" w:sz="4" w:space="0"/>
            </w:tcBorders>
            <w:noWrap w:val="0"/>
            <w:vAlign w:val="center"/>
          </w:tcPr>
          <w:p w14:paraId="2E233852">
            <w:pPr>
              <w:topLinePunct/>
              <w:jc w:val="center"/>
              <w:rPr>
                <w:rFonts w:ascii="宋体" w:hAnsi="宋体" w:cs="宋体"/>
                <w:color w:val="auto"/>
                <w:szCs w:val="21"/>
                <w:highlight w:val="none"/>
              </w:rPr>
            </w:pPr>
          </w:p>
        </w:tc>
      </w:tr>
      <w:tr w14:paraId="3FB0EB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7" w:hRule="atLeast"/>
          <w:jc w:val="center"/>
        </w:trPr>
        <w:tc>
          <w:tcPr>
            <w:tcW w:w="2203" w:type="dxa"/>
            <w:tcBorders>
              <w:top w:val="single" w:color="auto" w:sz="4" w:space="0"/>
              <w:left w:val="single" w:color="auto" w:sz="4" w:space="0"/>
              <w:bottom w:val="single" w:color="auto" w:sz="4" w:space="0"/>
              <w:right w:val="single" w:color="auto" w:sz="4" w:space="0"/>
            </w:tcBorders>
            <w:noWrap w:val="0"/>
            <w:vAlign w:val="center"/>
          </w:tcPr>
          <w:p w14:paraId="732B748F">
            <w:pPr>
              <w:topLinePunct/>
              <w:spacing w:before="100" w:beforeAutospacing="1" w:after="100" w:afterAutospacing="1"/>
              <w:jc w:val="center"/>
              <w:rPr>
                <w:rFonts w:ascii="宋体" w:hAnsi="宋体" w:cs="宋体"/>
                <w:color w:val="auto"/>
                <w:szCs w:val="21"/>
                <w:highlight w:val="none"/>
              </w:rPr>
            </w:pPr>
            <w:r>
              <w:rPr>
                <w:rFonts w:hint="eastAsia" w:ascii="宋体" w:hAnsi="宋体" w:cs="宋体"/>
                <w:color w:val="auto"/>
                <w:szCs w:val="21"/>
                <w:highlight w:val="none"/>
              </w:rPr>
              <w:t>资质证书</w:t>
            </w:r>
          </w:p>
        </w:tc>
        <w:tc>
          <w:tcPr>
            <w:tcW w:w="6636" w:type="dxa"/>
            <w:gridSpan w:val="8"/>
            <w:tcBorders>
              <w:top w:val="single" w:color="auto" w:sz="4" w:space="0"/>
              <w:left w:val="single" w:color="auto" w:sz="4" w:space="0"/>
              <w:bottom w:val="single" w:color="auto" w:sz="4" w:space="0"/>
              <w:right w:val="single" w:color="auto" w:sz="4" w:space="0"/>
            </w:tcBorders>
            <w:noWrap w:val="0"/>
            <w:vAlign w:val="center"/>
          </w:tcPr>
          <w:p w14:paraId="146CBF2B">
            <w:pPr>
              <w:topLinePunct/>
              <w:spacing w:before="100" w:beforeAutospacing="1" w:after="100" w:afterAutospacing="1"/>
              <w:ind w:firstLine="105" w:firstLineChars="50"/>
              <w:jc w:val="center"/>
              <w:rPr>
                <w:rFonts w:ascii="宋体" w:hAnsi="宋体" w:cs="宋体"/>
                <w:color w:val="auto"/>
                <w:szCs w:val="21"/>
                <w:highlight w:val="none"/>
              </w:rPr>
            </w:pPr>
            <w:r>
              <w:rPr>
                <w:rFonts w:hint="eastAsia" w:ascii="宋体" w:hAnsi="宋体" w:cs="宋体"/>
                <w:color w:val="auto"/>
                <w:szCs w:val="21"/>
                <w:highlight w:val="none"/>
              </w:rPr>
              <w:t>类型：</w:t>
            </w:r>
            <w:r>
              <w:rPr>
                <w:rFonts w:ascii="宋体" w:hAnsi="宋体" w:cs="宋体"/>
                <w:color w:val="auto"/>
                <w:szCs w:val="21"/>
                <w:highlight w:val="none"/>
              </w:rPr>
              <w:t xml:space="preserve">                    </w:t>
            </w:r>
            <w:r>
              <w:rPr>
                <w:rFonts w:hint="eastAsia" w:ascii="宋体" w:hAnsi="宋体" w:cs="宋体"/>
                <w:color w:val="auto"/>
                <w:szCs w:val="21"/>
                <w:highlight w:val="none"/>
              </w:rPr>
              <w:t>等级：</w:t>
            </w:r>
            <w:r>
              <w:rPr>
                <w:rFonts w:ascii="宋体" w:hAnsi="宋体" w:cs="宋体"/>
                <w:color w:val="auto"/>
                <w:szCs w:val="21"/>
                <w:highlight w:val="none"/>
              </w:rPr>
              <w:t xml:space="preserve">      </w:t>
            </w:r>
            <w:r>
              <w:rPr>
                <w:rFonts w:hint="eastAsia" w:ascii="宋体" w:hAnsi="宋体" w:cs="宋体"/>
                <w:color w:val="auto"/>
                <w:szCs w:val="21"/>
                <w:highlight w:val="none"/>
              </w:rPr>
              <w:t>证书号：</w:t>
            </w:r>
          </w:p>
        </w:tc>
      </w:tr>
      <w:tr w14:paraId="77B729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9" w:hRule="atLeast"/>
          <w:jc w:val="center"/>
        </w:trPr>
        <w:tc>
          <w:tcPr>
            <w:tcW w:w="2203" w:type="dxa"/>
            <w:tcBorders>
              <w:top w:val="single" w:color="auto" w:sz="4" w:space="0"/>
              <w:left w:val="single" w:color="auto" w:sz="4" w:space="0"/>
              <w:bottom w:val="single" w:color="auto" w:sz="4" w:space="0"/>
              <w:right w:val="single" w:color="auto" w:sz="4" w:space="0"/>
            </w:tcBorders>
            <w:noWrap w:val="0"/>
            <w:vAlign w:val="center"/>
          </w:tcPr>
          <w:p w14:paraId="3E824B75">
            <w:pPr>
              <w:topLinePunct/>
              <w:spacing w:before="100" w:beforeAutospacing="1" w:after="100" w:afterAutospacing="1"/>
              <w:jc w:val="center"/>
              <w:rPr>
                <w:rFonts w:ascii="宋体" w:hAnsi="宋体" w:cs="宋体"/>
                <w:color w:val="auto"/>
                <w:szCs w:val="21"/>
                <w:highlight w:val="none"/>
              </w:rPr>
            </w:pPr>
            <w:r>
              <w:rPr>
                <w:rFonts w:hint="eastAsia" w:ascii="宋体" w:hAnsi="宋体" w:cs="宋体"/>
                <w:color w:val="auto"/>
                <w:szCs w:val="21"/>
                <w:highlight w:val="none"/>
              </w:rPr>
              <w:t>质量管理体系证书（如有）</w:t>
            </w:r>
          </w:p>
        </w:tc>
        <w:tc>
          <w:tcPr>
            <w:tcW w:w="6636" w:type="dxa"/>
            <w:gridSpan w:val="8"/>
            <w:tcBorders>
              <w:top w:val="single" w:color="auto" w:sz="4" w:space="0"/>
              <w:left w:val="single" w:color="auto" w:sz="4" w:space="0"/>
              <w:bottom w:val="single" w:color="auto" w:sz="4" w:space="0"/>
              <w:right w:val="single" w:color="auto" w:sz="4" w:space="0"/>
            </w:tcBorders>
            <w:noWrap w:val="0"/>
            <w:vAlign w:val="center"/>
          </w:tcPr>
          <w:p w14:paraId="44ECE456">
            <w:pPr>
              <w:topLinePunct/>
              <w:spacing w:before="100" w:beforeAutospacing="1" w:after="100" w:afterAutospacing="1"/>
              <w:ind w:firstLine="105" w:firstLineChars="50"/>
              <w:jc w:val="center"/>
              <w:rPr>
                <w:rFonts w:ascii="宋体" w:hAnsi="宋体" w:cs="宋体"/>
                <w:color w:val="auto"/>
                <w:szCs w:val="21"/>
                <w:highlight w:val="none"/>
              </w:rPr>
            </w:pPr>
            <w:r>
              <w:rPr>
                <w:rFonts w:hint="eastAsia" w:ascii="宋体" w:hAnsi="宋体" w:cs="宋体"/>
                <w:color w:val="auto"/>
                <w:szCs w:val="21"/>
                <w:highlight w:val="none"/>
              </w:rPr>
              <w:t>类型：</w:t>
            </w:r>
            <w:r>
              <w:rPr>
                <w:rFonts w:ascii="宋体" w:hAnsi="宋体" w:cs="宋体"/>
                <w:color w:val="auto"/>
                <w:szCs w:val="21"/>
                <w:highlight w:val="none"/>
              </w:rPr>
              <w:t xml:space="preserve">                    </w:t>
            </w:r>
            <w:r>
              <w:rPr>
                <w:rFonts w:hint="eastAsia" w:ascii="宋体" w:hAnsi="宋体" w:cs="宋体"/>
                <w:color w:val="auto"/>
                <w:szCs w:val="21"/>
                <w:highlight w:val="none"/>
              </w:rPr>
              <w:t>等级：</w:t>
            </w:r>
            <w:r>
              <w:rPr>
                <w:rFonts w:ascii="宋体" w:hAnsi="宋体" w:cs="宋体"/>
                <w:color w:val="auto"/>
                <w:szCs w:val="21"/>
                <w:highlight w:val="none"/>
              </w:rPr>
              <w:t xml:space="preserve">      </w:t>
            </w:r>
            <w:r>
              <w:rPr>
                <w:rFonts w:hint="eastAsia" w:ascii="宋体" w:hAnsi="宋体" w:cs="宋体"/>
                <w:color w:val="auto"/>
                <w:szCs w:val="21"/>
                <w:highlight w:val="none"/>
              </w:rPr>
              <w:t>证书号：</w:t>
            </w:r>
          </w:p>
        </w:tc>
      </w:tr>
      <w:tr w14:paraId="211895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2" w:hRule="atLeast"/>
          <w:jc w:val="center"/>
        </w:trPr>
        <w:tc>
          <w:tcPr>
            <w:tcW w:w="2203" w:type="dxa"/>
            <w:tcBorders>
              <w:top w:val="single" w:color="auto" w:sz="4" w:space="0"/>
              <w:left w:val="single" w:color="auto" w:sz="4" w:space="0"/>
              <w:bottom w:val="single" w:color="auto" w:sz="4" w:space="0"/>
              <w:right w:val="single" w:color="auto" w:sz="4" w:space="0"/>
            </w:tcBorders>
            <w:noWrap w:val="0"/>
            <w:vAlign w:val="center"/>
          </w:tcPr>
          <w:p w14:paraId="7E72D2DE">
            <w:pPr>
              <w:topLinePunct/>
              <w:spacing w:before="100" w:beforeAutospacing="1" w:after="100" w:afterAutospacing="1"/>
              <w:jc w:val="center"/>
              <w:rPr>
                <w:rFonts w:ascii="宋体" w:hAnsi="宋体" w:cs="宋体"/>
                <w:color w:val="auto"/>
                <w:szCs w:val="21"/>
                <w:highlight w:val="none"/>
              </w:rPr>
            </w:pPr>
            <w:r>
              <w:rPr>
                <w:rFonts w:hint="eastAsia" w:ascii="宋体" w:hAnsi="宋体" w:cs="宋体"/>
                <w:color w:val="auto"/>
                <w:szCs w:val="21"/>
                <w:highlight w:val="none"/>
              </w:rPr>
              <w:t>营业执照号</w:t>
            </w:r>
          </w:p>
        </w:tc>
        <w:tc>
          <w:tcPr>
            <w:tcW w:w="3192" w:type="dxa"/>
            <w:gridSpan w:val="3"/>
            <w:tcBorders>
              <w:top w:val="single" w:color="auto" w:sz="4" w:space="0"/>
              <w:left w:val="single" w:color="auto" w:sz="4" w:space="0"/>
              <w:bottom w:val="single" w:color="auto" w:sz="4" w:space="0"/>
              <w:right w:val="single" w:color="auto" w:sz="4" w:space="0"/>
            </w:tcBorders>
            <w:noWrap w:val="0"/>
            <w:vAlign w:val="center"/>
          </w:tcPr>
          <w:p w14:paraId="208262A7">
            <w:pPr>
              <w:topLinePunct/>
              <w:jc w:val="center"/>
              <w:rPr>
                <w:rFonts w:ascii="宋体" w:hAnsi="宋体" w:cs="宋体"/>
                <w:color w:val="auto"/>
                <w:szCs w:val="21"/>
                <w:highlight w:val="none"/>
              </w:rPr>
            </w:pPr>
          </w:p>
        </w:tc>
        <w:tc>
          <w:tcPr>
            <w:tcW w:w="3444" w:type="dxa"/>
            <w:gridSpan w:val="5"/>
            <w:tcBorders>
              <w:top w:val="single" w:color="auto" w:sz="4" w:space="0"/>
              <w:left w:val="single" w:color="auto" w:sz="4" w:space="0"/>
              <w:bottom w:val="single" w:color="auto" w:sz="4" w:space="0"/>
              <w:right w:val="single" w:color="auto" w:sz="4" w:space="0"/>
            </w:tcBorders>
            <w:noWrap w:val="0"/>
            <w:vAlign w:val="center"/>
          </w:tcPr>
          <w:p w14:paraId="53F83D21">
            <w:pPr>
              <w:topLinePunct/>
              <w:spacing w:before="100" w:beforeAutospacing="1" w:after="100" w:afterAutospacing="1"/>
              <w:jc w:val="center"/>
              <w:rPr>
                <w:rFonts w:ascii="宋体" w:hAnsi="宋体" w:cs="宋体"/>
                <w:color w:val="auto"/>
                <w:szCs w:val="21"/>
                <w:highlight w:val="none"/>
              </w:rPr>
            </w:pPr>
            <w:r>
              <w:rPr>
                <w:rFonts w:hint="eastAsia" w:ascii="宋体" w:hAnsi="宋体" w:cs="宋体"/>
                <w:color w:val="auto"/>
                <w:szCs w:val="21"/>
                <w:highlight w:val="none"/>
              </w:rPr>
              <w:t>员工总人数：</w:t>
            </w:r>
          </w:p>
        </w:tc>
      </w:tr>
      <w:tr w14:paraId="47B3A3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2" w:hRule="atLeast"/>
          <w:jc w:val="center"/>
        </w:trPr>
        <w:tc>
          <w:tcPr>
            <w:tcW w:w="2203" w:type="dxa"/>
            <w:tcBorders>
              <w:top w:val="single" w:color="auto" w:sz="4" w:space="0"/>
              <w:left w:val="single" w:color="auto" w:sz="4" w:space="0"/>
              <w:bottom w:val="single" w:color="auto" w:sz="4" w:space="0"/>
              <w:right w:val="single" w:color="auto" w:sz="4" w:space="0"/>
            </w:tcBorders>
            <w:noWrap w:val="0"/>
            <w:vAlign w:val="center"/>
          </w:tcPr>
          <w:p w14:paraId="20FD4500">
            <w:pPr>
              <w:topLinePunct/>
              <w:spacing w:before="100" w:beforeAutospacing="1" w:after="100" w:afterAutospacing="1"/>
              <w:jc w:val="center"/>
              <w:rPr>
                <w:rFonts w:ascii="宋体" w:hAnsi="宋体" w:cs="宋体"/>
                <w:color w:val="auto"/>
                <w:szCs w:val="21"/>
                <w:highlight w:val="none"/>
              </w:rPr>
            </w:pPr>
            <w:r>
              <w:rPr>
                <w:rFonts w:hint="eastAsia" w:ascii="宋体" w:hAnsi="宋体" w:cs="宋体"/>
                <w:color w:val="auto"/>
                <w:szCs w:val="21"/>
                <w:highlight w:val="none"/>
              </w:rPr>
              <w:t>注册资本</w:t>
            </w:r>
          </w:p>
        </w:tc>
        <w:tc>
          <w:tcPr>
            <w:tcW w:w="3192" w:type="dxa"/>
            <w:gridSpan w:val="3"/>
            <w:tcBorders>
              <w:top w:val="single" w:color="auto" w:sz="4" w:space="0"/>
              <w:left w:val="single" w:color="auto" w:sz="4" w:space="0"/>
              <w:bottom w:val="single" w:color="auto" w:sz="4" w:space="0"/>
              <w:right w:val="single" w:color="auto" w:sz="4" w:space="0"/>
            </w:tcBorders>
            <w:noWrap w:val="0"/>
            <w:vAlign w:val="center"/>
          </w:tcPr>
          <w:p w14:paraId="449FA911">
            <w:pPr>
              <w:topLinePunct/>
              <w:jc w:val="center"/>
              <w:rPr>
                <w:rFonts w:ascii="宋体" w:hAnsi="宋体" w:cs="宋体"/>
                <w:color w:val="auto"/>
                <w:szCs w:val="21"/>
                <w:highlight w:val="none"/>
              </w:rPr>
            </w:pPr>
          </w:p>
        </w:tc>
        <w:tc>
          <w:tcPr>
            <w:tcW w:w="444" w:type="dxa"/>
            <w:vMerge w:val="restart"/>
            <w:tcBorders>
              <w:top w:val="single" w:color="auto" w:sz="4" w:space="0"/>
              <w:left w:val="single" w:color="auto" w:sz="4" w:space="0"/>
              <w:right w:val="single" w:color="auto" w:sz="4" w:space="0"/>
            </w:tcBorders>
            <w:noWrap w:val="0"/>
            <w:vAlign w:val="center"/>
          </w:tcPr>
          <w:p w14:paraId="53E7E1E5">
            <w:pPr>
              <w:topLinePunct/>
              <w:spacing w:before="100" w:beforeAutospacing="1" w:after="100" w:afterAutospacing="1"/>
              <w:jc w:val="center"/>
              <w:rPr>
                <w:rFonts w:ascii="宋体" w:hAnsi="宋体" w:cs="宋体"/>
                <w:color w:val="auto"/>
                <w:szCs w:val="21"/>
                <w:highlight w:val="none"/>
              </w:rPr>
            </w:pPr>
            <w:r>
              <w:rPr>
                <w:rFonts w:hint="eastAsia" w:ascii="宋体" w:hAnsi="宋体" w:cs="宋体"/>
                <w:color w:val="auto"/>
                <w:szCs w:val="21"/>
                <w:highlight w:val="none"/>
              </w:rPr>
              <w:t>其中</w:t>
            </w:r>
          </w:p>
        </w:tc>
        <w:tc>
          <w:tcPr>
            <w:tcW w:w="1506" w:type="dxa"/>
            <w:gridSpan w:val="2"/>
            <w:tcBorders>
              <w:top w:val="single" w:color="auto" w:sz="4" w:space="0"/>
              <w:left w:val="single" w:color="auto" w:sz="4" w:space="0"/>
              <w:bottom w:val="single" w:color="auto" w:sz="4" w:space="0"/>
              <w:right w:val="single" w:color="auto" w:sz="4" w:space="0"/>
            </w:tcBorders>
            <w:noWrap w:val="0"/>
            <w:vAlign w:val="center"/>
          </w:tcPr>
          <w:p w14:paraId="6E5387AC">
            <w:pPr>
              <w:topLinePunct/>
              <w:spacing w:before="100" w:beforeAutospacing="1" w:after="100" w:afterAutospacing="1"/>
              <w:jc w:val="center"/>
              <w:rPr>
                <w:rFonts w:ascii="宋体" w:hAnsi="宋体" w:cs="宋体"/>
                <w:color w:val="auto"/>
                <w:szCs w:val="21"/>
                <w:highlight w:val="none"/>
              </w:rPr>
            </w:pPr>
            <w:r>
              <w:rPr>
                <w:rFonts w:hint="eastAsia" w:ascii="宋体" w:hAnsi="宋体" w:cs="宋体"/>
                <w:color w:val="auto"/>
                <w:szCs w:val="21"/>
                <w:highlight w:val="none"/>
              </w:rPr>
              <w:t>高级职称人员</w:t>
            </w:r>
          </w:p>
        </w:tc>
        <w:tc>
          <w:tcPr>
            <w:tcW w:w="1494" w:type="dxa"/>
            <w:gridSpan w:val="2"/>
            <w:tcBorders>
              <w:top w:val="single" w:color="auto" w:sz="4" w:space="0"/>
              <w:left w:val="single" w:color="auto" w:sz="4" w:space="0"/>
              <w:bottom w:val="single" w:color="auto" w:sz="4" w:space="0"/>
              <w:right w:val="single" w:color="auto" w:sz="4" w:space="0"/>
            </w:tcBorders>
            <w:noWrap w:val="0"/>
            <w:vAlign w:val="center"/>
          </w:tcPr>
          <w:p w14:paraId="60144475">
            <w:pPr>
              <w:topLinePunct/>
              <w:jc w:val="center"/>
              <w:rPr>
                <w:rFonts w:ascii="宋体" w:hAnsi="宋体" w:cs="宋体"/>
                <w:color w:val="auto"/>
                <w:szCs w:val="21"/>
                <w:highlight w:val="none"/>
              </w:rPr>
            </w:pPr>
          </w:p>
        </w:tc>
      </w:tr>
      <w:tr w14:paraId="6372EB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jc w:val="center"/>
        </w:trPr>
        <w:tc>
          <w:tcPr>
            <w:tcW w:w="2203" w:type="dxa"/>
            <w:tcBorders>
              <w:top w:val="single" w:color="auto" w:sz="4" w:space="0"/>
              <w:left w:val="single" w:color="auto" w:sz="4" w:space="0"/>
              <w:bottom w:val="single" w:color="auto" w:sz="4" w:space="0"/>
              <w:right w:val="single" w:color="auto" w:sz="4" w:space="0"/>
            </w:tcBorders>
            <w:noWrap w:val="0"/>
            <w:vAlign w:val="center"/>
          </w:tcPr>
          <w:p w14:paraId="67AC891A">
            <w:pPr>
              <w:topLinePunct/>
              <w:spacing w:before="100" w:beforeAutospacing="1" w:after="100" w:afterAutospacing="1"/>
              <w:jc w:val="center"/>
              <w:rPr>
                <w:rFonts w:ascii="宋体" w:hAnsi="宋体" w:cs="宋体"/>
                <w:color w:val="auto"/>
                <w:szCs w:val="21"/>
                <w:highlight w:val="none"/>
              </w:rPr>
            </w:pPr>
            <w:r>
              <w:rPr>
                <w:rFonts w:hint="eastAsia" w:ascii="宋体" w:hAnsi="宋体" w:cs="宋体"/>
                <w:color w:val="auto"/>
                <w:szCs w:val="21"/>
                <w:highlight w:val="none"/>
              </w:rPr>
              <w:t>成立日期</w:t>
            </w:r>
          </w:p>
        </w:tc>
        <w:tc>
          <w:tcPr>
            <w:tcW w:w="3192" w:type="dxa"/>
            <w:gridSpan w:val="3"/>
            <w:tcBorders>
              <w:top w:val="single" w:color="auto" w:sz="4" w:space="0"/>
              <w:left w:val="single" w:color="auto" w:sz="4" w:space="0"/>
              <w:bottom w:val="single" w:color="auto" w:sz="4" w:space="0"/>
              <w:right w:val="single" w:color="auto" w:sz="4" w:space="0"/>
            </w:tcBorders>
            <w:noWrap w:val="0"/>
            <w:vAlign w:val="center"/>
          </w:tcPr>
          <w:p w14:paraId="23820422">
            <w:pPr>
              <w:topLinePunct/>
              <w:jc w:val="center"/>
              <w:rPr>
                <w:rFonts w:ascii="宋体" w:hAnsi="宋体" w:cs="宋体"/>
                <w:color w:val="auto"/>
                <w:szCs w:val="21"/>
                <w:highlight w:val="none"/>
              </w:rPr>
            </w:pPr>
          </w:p>
        </w:tc>
        <w:tc>
          <w:tcPr>
            <w:tcW w:w="444" w:type="dxa"/>
            <w:vMerge w:val="continue"/>
            <w:tcBorders>
              <w:left w:val="single" w:color="auto" w:sz="4" w:space="0"/>
              <w:right w:val="single" w:color="auto" w:sz="4" w:space="0"/>
            </w:tcBorders>
            <w:noWrap w:val="0"/>
            <w:vAlign w:val="center"/>
          </w:tcPr>
          <w:p w14:paraId="3C0E7B1E">
            <w:pPr>
              <w:jc w:val="center"/>
              <w:rPr>
                <w:rFonts w:ascii="宋体" w:hAnsi="宋体" w:cs="宋体"/>
                <w:color w:val="auto"/>
                <w:szCs w:val="21"/>
                <w:highlight w:val="none"/>
              </w:rPr>
            </w:pPr>
          </w:p>
        </w:tc>
        <w:tc>
          <w:tcPr>
            <w:tcW w:w="1506" w:type="dxa"/>
            <w:gridSpan w:val="2"/>
            <w:tcBorders>
              <w:top w:val="single" w:color="auto" w:sz="4" w:space="0"/>
              <w:left w:val="single" w:color="auto" w:sz="4" w:space="0"/>
              <w:bottom w:val="single" w:color="auto" w:sz="4" w:space="0"/>
              <w:right w:val="single" w:color="auto" w:sz="4" w:space="0"/>
            </w:tcBorders>
            <w:noWrap w:val="0"/>
            <w:vAlign w:val="center"/>
          </w:tcPr>
          <w:p w14:paraId="20379B39">
            <w:pPr>
              <w:topLinePunct/>
              <w:spacing w:before="100" w:beforeAutospacing="1" w:after="100" w:afterAutospacing="1"/>
              <w:jc w:val="center"/>
              <w:rPr>
                <w:rFonts w:ascii="宋体" w:hAnsi="宋体" w:cs="宋体"/>
                <w:color w:val="auto"/>
                <w:szCs w:val="21"/>
                <w:highlight w:val="none"/>
              </w:rPr>
            </w:pPr>
            <w:r>
              <w:rPr>
                <w:rFonts w:hint="eastAsia" w:ascii="宋体" w:hAnsi="宋体" w:cs="宋体"/>
                <w:color w:val="auto"/>
                <w:szCs w:val="21"/>
                <w:highlight w:val="none"/>
              </w:rPr>
              <w:t>中级职称人员</w:t>
            </w:r>
          </w:p>
        </w:tc>
        <w:tc>
          <w:tcPr>
            <w:tcW w:w="1494" w:type="dxa"/>
            <w:gridSpan w:val="2"/>
            <w:tcBorders>
              <w:top w:val="single" w:color="auto" w:sz="4" w:space="0"/>
              <w:left w:val="single" w:color="auto" w:sz="4" w:space="0"/>
              <w:bottom w:val="single" w:color="auto" w:sz="4" w:space="0"/>
              <w:right w:val="single" w:color="auto" w:sz="4" w:space="0"/>
            </w:tcBorders>
            <w:noWrap w:val="0"/>
            <w:vAlign w:val="center"/>
          </w:tcPr>
          <w:p w14:paraId="0EE4A9F6">
            <w:pPr>
              <w:topLinePunct/>
              <w:jc w:val="center"/>
              <w:rPr>
                <w:rFonts w:ascii="宋体" w:hAnsi="宋体" w:cs="宋体"/>
                <w:color w:val="auto"/>
                <w:szCs w:val="21"/>
                <w:highlight w:val="none"/>
              </w:rPr>
            </w:pPr>
          </w:p>
        </w:tc>
      </w:tr>
      <w:tr w14:paraId="588EF0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2" w:hRule="atLeast"/>
          <w:jc w:val="center"/>
        </w:trPr>
        <w:tc>
          <w:tcPr>
            <w:tcW w:w="2203" w:type="dxa"/>
            <w:tcBorders>
              <w:top w:val="single" w:color="auto" w:sz="4" w:space="0"/>
              <w:left w:val="single" w:color="auto" w:sz="4" w:space="0"/>
              <w:bottom w:val="single" w:color="auto" w:sz="4" w:space="0"/>
              <w:right w:val="single" w:color="auto" w:sz="4" w:space="0"/>
            </w:tcBorders>
            <w:noWrap w:val="0"/>
            <w:vAlign w:val="center"/>
          </w:tcPr>
          <w:p w14:paraId="3B1BA503">
            <w:pPr>
              <w:topLinePunct/>
              <w:spacing w:before="100" w:beforeAutospacing="1" w:after="100" w:afterAutospacing="1"/>
              <w:jc w:val="center"/>
              <w:rPr>
                <w:rFonts w:ascii="宋体" w:hAnsi="宋体" w:cs="宋体"/>
                <w:color w:val="auto"/>
                <w:szCs w:val="21"/>
                <w:highlight w:val="none"/>
              </w:rPr>
            </w:pPr>
            <w:r>
              <w:rPr>
                <w:rFonts w:hint="eastAsia" w:ascii="宋体" w:hAnsi="宋体" w:cs="宋体"/>
                <w:color w:val="auto"/>
                <w:szCs w:val="21"/>
                <w:highlight w:val="none"/>
              </w:rPr>
              <w:t>基本账户开户银行</w:t>
            </w:r>
          </w:p>
        </w:tc>
        <w:tc>
          <w:tcPr>
            <w:tcW w:w="3192" w:type="dxa"/>
            <w:gridSpan w:val="3"/>
            <w:tcBorders>
              <w:top w:val="single" w:color="auto" w:sz="4" w:space="0"/>
              <w:left w:val="single" w:color="auto" w:sz="4" w:space="0"/>
              <w:bottom w:val="single" w:color="auto" w:sz="4" w:space="0"/>
              <w:right w:val="single" w:color="auto" w:sz="4" w:space="0"/>
            </w:tcBorders>
            <w:noWrap w:val="0"/>
            <w:vAlign w:val="center"/>
          </w:tcPr>
          <w:p w14:paraId="06159D2B">
            <w:pPr>
              <w:topLinePunct/>
              <w:jc w:val="center"/>
              <w:rPr>
                <w:rFonts w:ascii="宋体" w:hAnsi="宋体" w:cs="宋体"/>
                <w:color w:val="auto"/>
                <w:szCs w:val="21"/>
                <w:highlight w:val="none"/>
              </w:rPr>
            </w:pPr>
          </w:p>
        </w:tc>
        <w:tc>
          <w:tcPr>
            <w:tcW w:w="444" w:type="dxa"/>
            <w:vMerge w:val="continue"/>
            <w:tcBorders>
              <w:left w:val="single" w:color="auto" w:sz="4" w:space="0"/>
              <w:right w:val="single" w:color="auto" w:sz="4" w:space="0"/>
            </w:tcBorders>
            <w:noWrap w:val="0"/>
            <w:vAlign w:val="center"/>
          </w:tcPr>
          <w:p w14:paraId="683E9D61">
            <w:pPr>
              <w:jc w:val="center"/>
              <w:rPr>
                <w:rFonts w:ascii="宋体" w:hAnsi="宋体" w:cs="宋体"/>
                <w:color w:val="auto"/>
                <w:szCs w:val="21"/>
                <w:highlight w:val="none"/>
              </w:rPr>
            </w:pPr>
          </w:p>
        </w:tc>
        <w:tc>
          <w:tcPr>
            <w:tcW w:w="1506" w:type="dxa"/>
            <w:gridSpan w:val="2"/>
            <w:tcBorders>
              <w:top w:val="single" w:color="auto" w:sz="4" w:space="0"/>
              <w:left w:val="single" w:color="auto" w:sz="4" w:space="0"/>
              <w:bottom w:val="single" w:color="auto" w:sz="4" w:space="0"/>
              <w:right w:val="single" w:color="auto" w:sz="4" w:space="0"/>
            </w:tcBorders>
            <w:noWrap w:val="0"/>
            <w:vAlign w:val="center"/>
          </w:tcPr>
          <w:p w14:paraId="0F3644C4">
            <w:pPr>
              <w:topLinePunct/>
              <w:spacing w:before="100" w:beforeAutospacing="1" w:after="100" w:afterAutospacing="1"/>
              <w:jc w:val="center"/>
              <w:rPr>
                <w:rFonts w:ascii="宋体" w:hAnsi="宋体" w:cs="宋体"/>
                <w:color w:val="auto"/>
                <w:szCs w:val="21"/>
                <w:highlight w:val="none"/>
              </w:rPr>
            </w:pPr>
            <w:r>
              <w:rPr>
                <w:rFonts w:hint="eastAsia" w:ascii="宋体" w:hAnsi="宋体" w:cs="宋体"/>
                <w:color w:val="auto"/>
                <w:szCs w:val="21"/>
                <w:highlight w:val="none"/>
              </w:rPr>
              <w:t>技术人员数量</w:t>
            </w:r>
          </w:p>
        </w:tc>
        <w:tc>
          <w:tcPr>
            <w:tcW w:w="1494" w:type="dxa"/>
            <w:gridSpan w:val="2"/>
            <w:tcBorders>
              <w:top w:val="single" w:color="auto" w:sz="4" w:space="0"/>
              <w:left w:val="single" w:color="auto" w:sz="4" w:space="0"/>
              <w:bottom w:val="single" w:color="auto" w:sz="4" w:space="0"/>
              <w:right w:val="single" w:color="auto" w:sz="4" w:space="0"/>
            </w:tcBorders>
            <w:noWrap w:val="0"/>
            <w:vAlign w:val="center"/>
          </w:tcPr>
          <w:p w14:paraId="26DC1E53">
            <w:pPr>
              <w:topLinePunct/>
              <w:jc w:val="center"/>
              <w:rPr>
                <w:rFonts w:ascii="宋体" w:hAnsi="宋体" w:cs="宋体"/>
                <w:color w:val="auto"/>
                <w:szCs w:val="21"/>
                <w:highlight w:val="none"/>
              </w:rPr>
            </w:pPr>
          </w:p>
        </w:tc>
      </w:tr>
      <w:tr w14:paraId="24D213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2" w:hRule="atLeast"/>
          <w:jc w:val="center"/>
        </w:trPr>
        <w:tc>
          <w:tcPr>
            <w:tcW w:w="2203" w:type="dxa"/>
            <w:tcBorders>
              <w:top w:val="single" w:color="auto" w:sz="4" w:space="0"/>
              <w:left w:val="single" w:color="auto" w:sz="4" w:space="0"/>
              <w:bottom w:val="single" w:color="auto" w:sz="4" w:space="0"/>
              <w:right w:val="single" w:color="auto" w:sz="4" w:space="0"/>
            </w:tcBorders>
            <w:noWrap w:val="0"/>
            <w:vAlign w:val="center"/>
          </w:tcPr>
          <w:p w14:paraId="4E9FD936">
            <w:pPr>
              <w:topLinePunct/>
              <w:spacing w:before="100" w:beforeAutospacing="1" w:after="100" w:afterAutospacing="1"/>
              <w:jc w:val="center"/>
              <w:rPr>
                <w:rFonts w:ascii="宋体" w:hAnsi="宋体" w:cs="宋体"/>
                <w:color w:val="auto"/>
                <w:szCs w:val="21"/>
                <w:highlight w:val="none"/>
              </w:rPr>
            </w:pPr>
            <w:r>
              <w:rPr>
                <w:rFonts w:hint="eastAsia" w:ascii="宋体" w:hAnsi="宋体" w:cs="宋体"/>
                <w:color w:val="auto"/>
                <w:szCs w:val="21"/>
                <w:highlight w:val="none"/>
              </w:rPr>
              <w:t>基本账户银行账号</w:t>
            </w:r>
          </w:p>
        </w:tc>
        <w:tc>
          <w:tcPr>
            <w:tcW w:w="3192" w:type="dxa"/>
            <w:gridSpan w:val="3"/>
            <w:tcBorders>
              <w:top w:val="single" w:color="auto" w:sz="4" w:space="0"/>
              <w:left w:val="single" w:color="auto" w:sz="4" w:space="0"/>
              <w:bottom w:val="single" w:color="auto" w:sz="4" w:space="0"/>
              <w:right w:val="single" w:color="auto" w:sz="4" w:space="0"/>
            </w:tcBorders>
            <w:noWrap w:val="0"/>
            <w:vAlign w:val="center"/>
          </w:tcPr>
          <w:p w14:paraId="0D48F3E7">
            <w:pPr>
              <w:topLinePunct/>
              <w:jc w:val="center"/>
              <w:rPr>
                <w:rFonts w:ascii="宋体" w:hAnsi="宋体" w:cs="宋体"/>
                <w:color w:val="auto"/>
                <w:szCs w:val="21"/>
                <w:highlight w:val="none"/>
              </w:rPr>
            </w:pPr>
          </w:p>
        </w:tc>
        <w:tc>
          <w:tcPr>
            <w:tcW w:w="444" w:type="dxa"/>
            <w:vMerge w:val="continue"/>
            <w:tcBorders>
              <w:left w:val="single" w:color="auto" w:sz="4" w:space="0"/>
              <w:right w:val="single" w:color="auto" w:sz="4" w:space="0"/>
            </w:tcBorders>
            <w:noWrap w:val="0"/>
            <w:vAlign w:val="center"/>
          </w:tcPr>
          <w:p w14:paraId="525DB056">
            <w:pPr>
              <w:jc w:val="center"/>
              <w:rPr>
                <w:rFonts w:ascii="宋体" w:hAnsi="宋体" w:cs="宋体"/>
                <w:color w:val="auto"/>
                <w:szCs w:val="21"/>
                <w:highlight w:val="none"/>
              </w:rPr>
            </w:pPr>
          </w:p>
        </w:tc>
        <w:tc>
          <w:tcPr>
            <w:tcW w:w="1506" w:type="dxa"/>
            <w:gridSpan w:val="2"/>
            <w:tcBorders>
              <w:top w:val="single" w:color="auto" w:sz="4" w:space="0"/>
              <w:left w:val="single" w:color="auto" w:sz="4" w:space="0"/>
              <w:bottom w:val="single" w:color="auto" w:sz="4" w:space="0"/>
              <w:right w:val="single" w:color="auto" w:sz="4" w:space="0"/>
            </w:tcBorders>
            <w:noWrap w:val="0"/>
            <w:vAlign w:val="center"/>
          </w:tcPr>
          <w:p w14:paraId="518A12AA">
            <w:pPr>
              <w:topLinePunct/>
              <w:spacing w:before="100" w:beforeAutospacing="1" w:after="100" w:afterAutospacing="1"/>
              <w:jc w:val="center"/>
              <w:rPr>
                <w:rFonts w:ascii="宋体" w:hAnsi="宋体" w:cs="宋体"/>
                <w:color w:val="auto"/>
                <w:szCs w:val="21"/>
                <w:highlight w:val="none"/>
              </w:rPr>
            </w:pPr>
            <w:r>
              <w:rPr>
                <w:rFonts w:hint="eastAsia" w:ascii="宋体" w:hAnsi="宋体" w:cs="宋体"/>
                <w:color w:val="auto"/>
                <w:szCs w:val="21"/>
                <w:highlight w:val="none"/>
              </w:rPr>
              <w:t>各类注册人员</w:t>
            </w:r>
          </w:p>
        </w:tc>
        <w:tc>
          <w:tcPr>
            <w:tcW w:w="1494" w:type="dxa"/>
            <w:gridSpan w:val="2"/>
            <w:tcBorders>
              <w:top w:val="single" w:color="auto" w:sz="4" w:space="0"/>
              <w:left w:val="single" w:color="auto" w:sz="4" w:space="0"/>
              <w:bottom w:val="single" w:color="auto" w:sz="4" w:space="0"/>
              <w:right w:val="single" w:color="auto" w:sz="4" w:space="0"/>
            </w:tcBorders>
            <w:noWrap w:val="0"/>
            <w:vAlign w:val="center"/>
          </w:tcPr>
          <w:p w14:paraId="761C731B">
            <w:pPr>
              <w:topLinePunct/>
              <w:jc w:val="center"/>
              <w:rPr>
                <w:rFonts w:ascii="宋体" w:hAnsi="宋体" w:cs="宋体"/>
                <w:color w:val="auto"/>
                <w:szCs w:val="21"/>
                <w:highlight w:val="none"/>
              </w:rPr>
            </w:pPr>
          </w:p>
        </w:tc>
      </w:tr>
      <w:tr w14:paraId="02E888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2" w:hRule="atLeast"/>
          <w:jc w:val="center"/>
        </w:trPr>
        <w:tc>
          <w:tcPr>
            <w:tcW w:w="2203" w:type="dxa"/>
            <w:tcBorders>
              <w:top w:val="single" w:color="auto" w:sz="4" w:space="0"/>
              <w:left w:val="single" w:color="auto" w:sz="4" w:space="0"/>
              <w:right w:val="single" w:color="auto" w:sz="4" w:space="0"/>
            </w:tcBorders>
            <w:noWrap w:val="0"/>
            <w:vAlign w:val="center"/>
          </w:tcPr>
          <w:p w14:paraId="30CD506C">
            <w:pPr>
              <w:topLinePunct/>
              <w:spacing w:before="100" w:beforeAutospacing="1" w:after="100" w:afterAutospacing="1"/>
              <w:ind w:firstLine="210" w:firstLineChars="100"/>
              <w:jc w:val="center"/>
              <w:rPr>
                <w:rFonts w:ascii="宋体" w:hAnsi="宋体" w:cs="宋体"/>
                <w:color w:val="auto"/>
                <w:szCs w:val="21"/>
                <w:highlight w:val="none"/>
              </w:rPr>
            </w:pPr>
            <w:r>
              <w:rPr>
                <w:rFonts w:hint="eastAsia" w:ascii="宋体" w:hAnsi="宋体" w:cs="宋体"/>
                <w:color w:val="auto"/>
                <w:szCs w:val="21"/>
                <w:highlight w:val="none"/>
              </w:rPr>
              <w:t>经营范围</w:t>
            </w:r>
          </w:p>
        </w:tc>
        <w:tc>
          <w:tcPr>
            <w:tcW w:w="6636" w:type="dxa"/>
            <w:gridSpan w:val="8"/>
            <w:tcBorders>
              <w:top w:val="single" w:color="auto" w:sz="4" w:space="0"/>
              <w:left w:val="single" w:color="auto" w:sz="4" w:space="0"/>
              <w:right w:val="single" w:color="auto" w:sz="4" w:space="0"/>
            </w:tcBorders>
            <w:noWrap w:val="0"/>
            <w:vAlign w:val="center"/>
          </w:tcPr>
          <w:p w14:paraId="60ECB6D2">
            <w:pPr>
              <w:topLinePunct/>
              <w:jc w:val="center"/>
              <w:rPr>
                <w:rFonts w:ascii="宋体" w:hAnsi="宋体" w:cs="宋体"/>
                <w:color w:val="auto"/>
                <w:szCs w:val="21"/>
                <w:highlight w:val="none"/>
              </w:rPr>
            </w:pPr>
          </w:p>
        </w:tc>
      </w:tr>
      <w:tr w14:paraId="4CDB67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59" w:hRule="atLeast"/>
          <w:jc w:val="center"/>
        </w:trPr>
        <w:tc>
          <w:tcPr>
            <w:tcW w:w="2203" w:type="dxa"/>
            <w:tcBorders>
              <w:top w:val="single" w:color="auto" w:sz="4" w:space="0"/>
              <w:left w:val="single" w:color="auto" w:sz="4" w:space="0"/>
              <w:right w:val="single" w:color="auto" w:sz="4" w:space="0"/>
            </w:tcBorders>
            <w:noWrap w:val="0"/>
            <w:vAlign w:val="center"/>
          </w:tcPr>
          <w:p w14:paraId="64556D73">
            <w:pPr>
              <w:topLinePunct/>
              <w:spacing w:before="100" w:beforeAutospacing="1" w:after="100" w:afterAutospacing="1"/>
              <w:jc w:val="center"/>
              <w:rPr>
                <w:rFonts w:ascii="宋体" w:hAnsi="宋体" w:cs="宋体"/>
                <w:color w:val="auto"/>
                <w:szCs w:val="21"/>
                <w:highlight w:val="none"/>
              </w:rPr>
            </w:pPr>
            <w:r>
              <w:rPr>
                <w:rFonts w:hint="eastAsia" w:ascii="宋体" w:hAnsi="宋体" w:cs="宋体"/>
                <w:color w:val="auto"/>
                <w:szCs w:val="21"/>
                <w:highlight w:val="none"/>
              </w:rPr>
              <w:t>投标人关联企业情况（包括但不限于与投标人法定代表人为同一人或者存在控股、管理关系的不同单位）</w:t>
            </w:r>
          </w:p>
        </w:tc>
        <w:tc>
          <w:tcPr>
            <w:tcW w:w="6636" w:type="dxa"/>
            <w:gridSpan w:val="8"/>
            <w:tcBorders>
              <w:top w:val="single" w:color="auto" w:sz="4" w:space="0"/>
              <w:left w:val="single" w:color="auto" w:sz="4" w:space="0"/>
              <w:right w:val="single" w:color="auto" w:sz="4" w:space="0"/>
            </w:tcBorders>
            <w:noWrap w:val="0"/>
            <w:vAlign w:val="center"/>
          </w:tcPr>
          <w:p w14:paraId="1F7677B6">
            <w:pPr>
              <w:topLinePunct/>
              <w:jc w:val="center"/>
              <w:rPr>
                <w:rFonts w:ascii="宋体" w:hAnsi="宋体" w:cs="宋体"/>
                <w:color w:val="auto"/>
                <w:szCs w:val="21"/>
                <w:highlight w:val="none"/>
              </w:rPr>
            </w:pPr>
          </w:p>
        </w:tc>
      </w:tr>
      <w:tr w14:paraId="17FEA6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0" w:hRule="atLeast"/>
          <w:jc w:val="center"/>
        </w:trPr>
        <w:tc>
          <w:tcPr>
            <w:tcW w:w="2203" w:type="dxa"/>
            <w:tcBorders>
              <w:top w:val="single" w:color="auto" w:sz="4" w:space="0"/>
              <w:left w:val="single" w:color="auto" w:sz="4" w:space="0"/>
              <w:bottom w:val="single" w:color="auto" w:sz="4" w:space="0"/>
              <w:right w:val="single" w:color="auto" w:sz="4" w:space="0"/>
            </w:tcBorders>
            <w:noWrap w:val="0"/>
            <w:vAlign w:val="center"/>
          </w:tcPr>
          <w:p w14:paraId="187933B5">
            <w:pPr>
              <w:topLinePunct/>
              <w:spacing w:before="100" w:beforeAutospacing="1" w:after="100" w:afterAutospacing="1"/>
              <w:jc w:val="center"/>
              <w:rPr>
                <w:rFonts w:ascii="宋体" w:hAnsi="宋体" w:cs="宋体"/>
                <w:color w:val="auto"/>
                <w:szCs w:val="21"/>
                <w:highlight w:val="none"/>
              </w:rPr>
            </w:pPr>
            <w:r>
              <w:rPr>
                <w:rFonts w:hint="eastAsia" w:ascii="宋体" w:hAnsi="宋体" w:cs="宋体"/>
                <w:color w:val="auto"/>
                <w:szCs w:val="21"/>
                <w:highlight w:val="none"/>
              </w:rPr>
              <w:t>备注</w:t>
            </w:r>
          </w:p>
        </w:tc>
        <w:tc>
          <w:tcPr>
            <w:tcW w:w="6636" w:type="dxa"/>
            <w:gridSpan w:val="8"/>
            <w:tcBorders>
              <w:top w:val="single" w:color="auto" w:sz="4" w:space="0"/>
              <w:left w:val="single" w:color="auto" w:sz="4" w:space="0"/>
              <w:bottom w:val="single" w:color="auto" w:sz="4" w:space="0"/>
              <w:right w:val="single" w:color="auto" w:sz="4" w:space="0"/>
            </w:tcBorders>
            <w:noWrap w:val="0"/>
            <w:vAlign w:val="center"/>
          </w:tcPr>
          <w:p w14:paraId="40CD53EE">
            <w:pPr>
              <w:topLinePunct/>
              <w:jc w:val="center"/>
              <w:rPr>
                <w:rFonts w:ascii="宋体" w:hAnsi="宋体" w:cs="宋体"/>
                <w:color w:val="auto"/>
                <w:szCs w:val="21"/>
                <w:highlight w:val="none"/>
              </w:rPr>
            </w:pPr>
          </w:p>
        </w:tc>
      </w:tr>
    </w:tbl>
    <w:p w14:paraId="68AC412D">
      <w:pPr>
        <w:spacing w:line="400" w:lineRule="exact"/>
        <w:rPr>
          <w:rFonts w:ascii="宋体" w:hAnsi="宋体"/>
          <w:color w:val="auto"/>
          <w:highlight w:val="none"/>
        </w:rPr>
      </w:pPr>
      <w:r>
        <w:rPr>
          <w:rFonts w:hint="eastAsia" w:ascii="宋体" w:hAnsi="宋体"/>
          <w:color w:val="auto"/>
          <w:highlight w:val="none"/>
        </w:rPr>
        <w:t>注：投标人应根据招标公告投标人资格要求及投标人须知第3.5.1项的要求在本表后附相关证明材料：</w:t>
      </w:r>
    </w:p>
    <w:p w14:paraId="3FE1EF4A">
      <w:pPr>
        <w:pStyle w:val="4"/>
        <w:jc w:val="center"/>
        <w:rPr>
          <w:rFonts w:hint="eastAsia" w:ascii="宋体" w:hAnsi="宋体" w:eastAsia="宋体"/>
          <w:color w:val="auto"/>
          <w:sz w:val="28"/>
          <w:szCs w:val="28"/>
          <w:highlight w:val="none"/>
        </w:rPr>
      </w:pPr>
      <w:r>
        <w:rPr>
          <w:rFonts w:ascii="宋体" w:hAnsi="宋体" w:eastAsia="宋体"/>
          <w:b w:val="0"/>
          <w:color w:val="auto"/>
          <w:sz w:val="24"/>
          <w:szCs w:val="22"/>
          <w:highlight w:val="none"/>
        </w:rPr>
        <w:br w:type="page"/>
      </w:r>
      <w:r>
        <w:rPr>
          <w:rFonts w:hint="eastAsia" w:ascii="宋体" w:hAnsi="宋体" w:eastAsia="宋体"/>
          <w:color w:val="auto"/>
          <w:sz w:val="28"/>
          <w:szCs w:val="28"/>
          <w:highlight w:val="none"/>
        </w:rPr>
        <w:t>6.2投标人声明</w:t>
      </w:r>
    </w:p>
    <w:p w14:paraId="5D3838FF">
      <w:pPr>
        <w:pStyle w:val="4"/>
        <w:jc w:val="center"/>
        <w:rPr>
          <w:rFonts w:hint="eastAsia" w:ascii="宋体" w:hAnsi="宋体" w:eastAsia="宋体"/>
          <w:color w:val="auto"/>
          <w:sz w:val="28"/>
          <w:szCs w:val="28"/>
          <w:highlight w:val="none"/>
        </w:rPr>
      </w:pPr>
      <w:r>
        <w:rPr>
          <w:rFonts w:hint="eastAsia" w:ascii="宋体" w:hAnsi="宋体" w:eastAsia="宋体"/>
          <w:color w:val="auto"/>
          <w:sz w:val="28"/>
          <w:szCs w:val="28"/>
          <w:highlight w:val="none"/>
        </w:rPr>
        <w:t>（格式内容详见招标公告附件一）</w:t>
      </w:r>
      <w:r>
        <w:rPr>
          <w:rFonts w:hint="eastAsia" w:ascii="宋体" w:hAnsi="宋体" w:eastAsia="宋体"/>
          <w:color w:val="auto"/>
          <w:sz w:val="28"/>
          <w:szCs w:val="28"/>
          <w:highlight w:val="none"/>
        </w:rPr>
        <w:br w:type="textWrapping"/>
      </w:r>
      <w:r>
        <w:rPr>
          <w:rFonts w:hint="eastAsia" w:ascii="宋体" w:hAnsi="宋体" w:eastAsia="宋体"/>
          <w:color w:val="auto"/>
          <w:sz w:val="28"/>
          <w:szCs w:val="28"/>
          <w:highlight w:val="none"/>
        </w:rPr>
        <w:br w:type="textWrapping"/>
      </w:r>
      <w:r>
        <w:rPr>
          <w:rFonts w:hint="eastAsia" w:ascii="宋体" w:hAnsi="宋体" w:eastAsia="宋体"/>
          <w:color w:val="auto"/>
          <w:sz w:val="28"/>
          <w:szCs w:val="28"/>
          <w:highlight w:val="none"/>
        </w:rPr>
        <w:br w:type="textWrapping"/>
      </w:r>
      <w:r>
        <w:rPr>
          <w:rFonts w:hint="eastAsia" w:ascii="宋体" w:hAnsi="宋体" w:eastAsia="宋体"/>
          <w:color w:val="auto"/>
          <w:sz w:val="28"/>
          <w:szCs w:val="28"/>
          <w:highlight w:val="none"/>
        </w:rPr>
        <w:br w:type="textWrapping"/>
      </w:r>
      <w:r>
        <w:rPr>
          <w:rFonts w:hint="eastAsia" w:ascii="宋体" w:hAnsi="宋体" w:eastAsia="宋体"/>
          <w:color w:val="auto"/>
          <w:sz w:val="28"/>
          <w:szCs w:val="28"/>
          <w:highlight w:val="none"/>
        </w:rPr>
        <w:br w:type="textWrapping"/>
      </w:r>
      <w:r>
        <w:rPr>
          <w:rFonts w:hint="eastAsia" w:ascii="宋体" w:hAnsi="宋体" w:eastAsia="宋体"/>
          <w:color w:val="auto"/>
          <w:sz w:val="28"/>
          <w:szCs w:val="28"/>
          <w:highlight w:val="none"/>
        </w:rPr>
        <w:br w:type="textWrapping"/>
      </w:r>
      <w:r>
        <w:rPr>
          <w:rFonts w:hint="eastAsia" w:ascii="宋体" w:hAnsi="宋体" w:eastAsia="宋体"/>
          <w:color w:val="auto"/>
          <w:sz w:val="28"/>
          <w:szCs w:val="28"/>
          <w:highlight w:val="none"/>
        </w:rPr>
        <w:br w:type="textWrapping"/>
      </w:r>
    </w:p>
    <w:p w14:paraId="6EBBE23D">
      <w:pPr>
        <w:rPr>
          <w:rFonts w:hint="eastAsia" w:ascii="宋体" w:hAnsi="宋体" w:eastAsia="宋体"/>
          <w:color w:val="auto"/>
          <w:sz w:val="28"/>
          <w:szCs w:val="28"/>
          <w:highlight w:val="none"/>
        </w:rPr>
      </w:pPr>
      <w:r>
        <w:rPr>
          <w:rFonts w:hint="eastAsia" w:ascii="宋体" w:hAnsi="宋体" w:eastAsia="宋体"/>
          <w:color w:val="auto"/>
          <w:sz w:val="28"/>
          <w:szCs w:val="28"/>
          <w:highlight w:val="none"/>
        </w:rPr>
        <w:br w:type="page"/>
      </w:r>
    </w:p>
    <w:p w14:paraId="5D86DAAB">
      <w:pPr>
        <w:widowControl/>
        <w:spacing w:line="360" w:lineRule="auto"/>
        <w:jc w:val="center"/>
        <w:rPr>
          <w:rFonts w:hint="eastAsia" w:ascii="宋体" w:hAnsi="宋体" w:cs="宋体"/>
          <w:b/>
          <w:color w:val="auto"/>
          <w:sz w:val="32"/>
          <w:szCs w:val="32"/>
          <w:highlight w:val="none"/>
          <w:shd w:val="clear" w:color="auto" w:fill="auto"/>
        </w:rPr>
      </w:pPr>
    </w:p>
    <w:p w14:paraId="393865A5">
      <w:pPr>
        <w:widowControl/>
        <w:spacing w:line="360" w:lineRule="auto"/>
        <w:jc w:val="center"/>
        <w:rPr>
          <w:rFonts w:hint="eastAsia" w:ascii="宋体" w:hAnsi="宋体" w:cs="宋体"/>
          <w:color w:val="auto"/>
          <w:kern w:val="0"/>
          <w:sz w:val="24"/>
          <w:highlight w:val="none"/>
          <w:shd w:val="clear" w:color="auto" w:fill="auto"/>
        </w:rPr>
      </w:pPr>
      <w:r>
        <w:rPr>
          <w:rFonts w:hint="eastAsia" w:ascii="宋体" w:hAnsi="宋体" w:cs="宋体"/>
          <w:b/>
          <w:color w:val="auto"/>
          <w:sz w:val="32"/>
          <w:szCs w:val="32"/>
          <w:highlight w:val="none"/>
          <w:shd w:val="clear" w:color="auto" w:fill="auto"/>
          <w:lang w:val="en-US" w:eastAsia="zh-CN"/>
        </w:rPr>
        <w:t>6.3</w:t>
      </w:r>
      <w:r>
        <w:rPr>
          <w:rFonts w:hint="eastAsia" w:ascii="宋体" w:hAnsi="宋体" w:cs="宋体"/>
          <w:b/>
          <w:color w:val="auto"/>
          <w:sz w:val="32"/>
          <w:szCs w:val="32"/>
          <w:highlight w:val="none"/>
          <w:shd w:val="clear" w:color="auto" w:fill="auto"/>
        </w:rPr>
        <w:t>投标申请公函</w:t>
      </w:r>
    </w:p>
    <w:p w14:paraId="3F7641C4">
      <w:pPr>
        <w:widowControl/>
        <w:spacing w:line="360" w:lineRule="auto"/>
        <w:jc w:val="left"/>
        <w:rPr>
          <w:rFonts w:hint="eastAsia" w:ascii="宋体" w:hAns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致：</w:t>
      </w:r>
      <w:r>
        <w:rPr>
          <w:rFonts w:hint="eastAsia" w:ascii="宋体" w:hAnsi="宋体" w:cs="宋体"/>
          <w:color w:val="auto"/>
          <w:kern w:val="0"/>
          <w:szCs w:val="21"/>
          <w:highlight w:val="none"/>
          <w:u w:val="single"/>
          <w:shd w:val="clear" w:color="auto" w:fill="auto"/>
        </w:rPr>
        <w:t xml:space="preserve">      （招标人）           </w:t>
      </w:r>
      <w:r>
        <w:rPr>
          <w:rFonts w:hint="eastAsia" w:ascii="宋体" w:hAnsi="宋体" w:cs="宋体"/>
          <w:color w:val="auto"/>
          <w:kern w:val="0"/>
          <w:szCs w:val="21"/>
          <w:highlight w:val="none"/>
          <w:shd w:val="clear" w:color="auto" w:fill="auto"/>
        </w:rPr>
        <w:t>：</w:t>
      </w:r>
    </w:p>
    <w:p w14:paraId="788AC2A6">
      <w:pPr>
        <w:widowControl/>
        <w:spacing w:line="360" w:lineRule="auto"/>
        <w:ind w:firstLine="540"/>
        <w:jc w:val="left"/>
        <w:rPr>
          <w:rFonts w:hint="eastAsia" w:ascii="宋体" w:hAns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按照《</w:t>
      </w:r>
      <w:r>
        <w:rPr>
          <w:rFonts w:hint="eastAsia" w:ascii="宋体" w:hAnsi="宋体" w:cs="宋体"/>
          <w:color w:val="auto"/>
          <w:kern w:val="0"/>
          <w:szCs w:val="21"/>
          <w:highlight w:val="none"/>
          <w:u w:val="single"/>
          <w:shd w:val="clear" w:color="auto" w:fill="auto"/>
        </w:rPr>
        <w:t xml:space="preserve">               （项目名称）招标公告</w:t>
      </w:r>
      <w:r>
        <w:rPr>
          <w:rFonts w:hint="eastAsia" w:ascii="宋体" w:hAnsi="宋体" w:cs="宋体"/>
          <w:color w:val="auto"/>
          <w:kern w:val="0"/>
          <w:szCs w:val="21"/>
          <w:highlight w:val="none"/>
          <w:shd w:val="clear" w:color="auto" w:fill="auto"/>
        </w:rPr>
        <w:t>》对资格审查文件的要求，我们递交有关资格审查的资料文件，以便贵单位审查我们参加</w:t>
      </w:r>
      <w:r>
        <w:rPr>
          <w:rFonts w:hint="eastAsia" w:ascii="宋体" w:hAnsi="宋体" w:cs="宋体"/>
          <w:color w:val="auto"/>
          <w:kern w:val="0"/>
          <w:szCs w:val="21"/>
          <w:highlight w:val="none"/>
          <w:u w:val="single"/>
          <w:shd w:val="clear" w:color="auto" w:fill="auto"/>
        </w:rPr>
        <w:t xml:space="preserve">         （项目名称）</w:t>
      </w:r>
      <w:r>
        <w:rPr>
          <w:rFonts w:hint="eastAsia" w:ascii="宋体" w:hAnsi="宋体" w:cs="宋体"/>
          <w:color w:val="auto"/>
          <w:kern w:val="0"/>
          <w:szCs w:val="21"/>
          <w:highlight w:val="none"/>
          <w:shd w:val="clear" w:color="auto" w:fill="auto"/>
        </w:rPr>
        <w:t>的投标资格。</w:t>
      </w:r>
    </w:p>
    <w:p w14:paraId="48A51587">
      <w:pPr>
        <w:widowControl/>
        <w:spacing w:line="360" w:lineRule="auto"/>
        <w:ind w:firstLine="540"/>
        <w:jc w:val="left"/>
        <w:rPr>
          <w:rFonts w:hint="eastAsia" w:ascii="宋体" w:hAns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此申请是</w:t>
      </w:r>
      <w:r>
        <w:rPr>
          <w:rFonts w:hint="eastAsia" w:ascii="宋体" w:hAnsi="宋体" w:cs="宋体"/>
          <w:color w:val="auto"/>
          <w:kern w:val="0"/>
          <w:szCs w:val="21"/>
          <w:highlight w:val="none"/>
          <w:u w:val="single"/>
          <w:shd w:val="clear" w:color="auto" w:fill="auto"/>
        </w:rPr>
        <w:t xml:space="preserve">                （</w:t>
      </w:r>
      <w:r>
        <w:rPr>
          <w:rFonts w:hint="eastAsia" w:ascii="宋体" w:hAnsi="宋体" w:cs="宋体"/>
          <w:color w:val="auto"/>
          <w:kern w:val="0"/>
          <w:szCs w:val="21"/>
          <w:highlight w:val="none"/>
          <w:shd w:val="clear" w:color="auto" w:fill="auto"/>
        </w:rPr>
        <w:t>单位名称）以</w:t>
      </w:r>
      <w:r>
        <w:rPr>
          <w:rFonts w:hint="eastAsia" w:ascii="宋体" w:hAnsi="宋体" w:cs="宋体"/>
          <w:color w:val="auto"/>
          <w:kern w:val="0"/>
          <w:szCs w:val="21"/>
          <w:highlight w:val="none"/>
          <w:u w:val="single"/>
          <w:shd w:val="clear" w:color="auto" w:fill="auto"/>
        </w:rPr>
        <w:t xml:space="preserve">         （</w:t>
      </w:r>
      <w:r>
        <w:rPr>
          <w:rFonts w:hint="eastAsia" w:ascii="宋体" w:hAnsi="宋体" w:cs="宋体"/>
          <w:color w:val="auto"/>
          <w:kern w:val="0"/>
          <w:szCs w:val="21"/>
          <w:highlight w:val="none"/>
          <w:shd w:val="clear" w:color="auto" w:fill="auto"/>
        </w:rPr>
        <w:t>人名）为全权代表身份递交的。</w:t>
      </w:r>
    </w:p>
    <w:p w14:paraId="2D99C3F8">
      <w:pPr>
        <w:widowControl/>
        <w:spacing w:line="360" w:lineRule="auto"/>
        <w:ind w:firstLine="420" w:firstLineChars="200"/>
        <w:jc w:val="left"/>
        <w:rPr>
          <w:rFonts w:hint="eastAsia" w:ascii="宋体" w:hAns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我们保证所有提交的资料是真实可靠的，并为提交资料的真实性负有相应的法律责任。</w:t>
      </w:r>
    </w:p>
    <w:p w14:paraId="00CBE2E8">
      <w:pPr>
        <w:widowControl/>
        <w:spacing w:line="360" w:lineRule="auto"/>
        <w:ind w:firstLine="420" w:firstLineChars="200"/>
        <w:jc w:val="left"/>
        <w:rPr>
          <w:rFonts w:hint="eastAsia" w:ascii="宋体" w:hAns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我们理解招标人有权拒绝任何申请，而无需由招标人承担任何责任。</w:t>
      </w:r>
    </w:p>
    <w:p w14:paraId="006F9A90">
      <w:pPr>
        <w:widowControl/>
        <w:spacing w:line="360" w:lineRule="auto"/>
        <w:ind w:firstLine="645"/>
        <w:jc w:val="left"/>
        <w:rPr>
          <w:rFonts w:hint="eastAsia" w:ascii="宋体" w:hAnsi="宋体" w:cs="宋体"/>
          <w:color w:val="auto"/>
          <w:kern w:val="0"/>
          <w:sz w:val="24"/>
          <w:highlight w:val="none"/>
          <w:shd w:val="clear" w:color="auto" w:fill="auto"/>
        </w:rPr>
      </w:pPr>
    </w:p>
    <w:p w14:paraId="20EBAA4D">
      <w:pPr>
        <w:widowControl/>
        <w:spacing w:line="360" w:lineRule="auto"/>
        <w:ind w:firstLine="645"/>
        <w:jc w:val="left"/>
        <w:rPr>
          <w:rFonts w:hint="eastAsia" w:ascii="宋体" w:hAnsi="宋体" w:cs="宋体"/>
          <w:color w:val="auto"/>
          <w:kern w:val="0"/>
          <w:sz w:val="24"/>
          <w:highlight w:val="none"/>
          <w:shd w:val="clear" w:color="auto" w:fill="auto"/>
        </w:rPr>
      </w:pPr>
    </w:p>
    <w:p w14:paraId="496E300D">
      <w:pPr>
        <w:widowControl/>
        <w:spacing w:line="360" w:lineRule="auto"/>
        <w:ind w:firstLine="645"/>
        <w:jc w:val="left"/>
        <w:rPr>
          <w:rFonts w:hint="eastAsia" w:ascii="宋体" w:hAnsi="宋体" w:cs="宋体"/>
          <w:color w:val="auto"/>
          <w:kern w:val="0"/>
          <w:sz w:val="24"/>
          <w:highlight w:val="none"/>
          <w:shd w:val="clear" w:color="auto" w:fill="auto"/>
        </w:rPr>
      </w:pPr>
    </w:p>
    <w:p w14:paraId="39C132F9">
      <w:pPr>
        <w:spacing w:line="360" w:lineRule="exact"/>
        <w:ind w:firstLine="2835" w:firstLineChars="1350"/>
        <w:rPr>
          <w:rFonts w:hint="eastAsia" w:ascii="宋体" w:hAnsi="宋体" w:cs="宋体"/>
          <w:color w:val="auto"/>
          <w:highlight w:val="none"/>
          <w:shd w:val="clear" w:color="auto" w:fill="auto"/>
        </w:rPr>
      </w:pPr>
      <w:r>
        <w:rPr>
          <w:rFonts w:hint="eastAsia" w:ascii="宋体" w:hAnsi="宋体" w:cs="宋体"/>
          <w:color w:val="auto"/>
          <w:highlight w:val="none"/>
          <w:shd w:val="clear" w:color="auto" w:fill="auto"/>
        </w:rPr>
        <w:t>投 标 人：</w:t>
      </w:r>
      <w:r>
        <w:rPr>
          <w:rFonts w:hint="eastAsia" w:ascii="宋体" w:hAnsi="宋体" w:cs="宋体"/>
          <w:color w:val="auto"/>
          <w:szCs w:val="21"/>
          <w:highlight w:val="none"/>
          <w:u w:val="single"/>
          <w:shd w:val="clear" w:color="auto" w:fill="auto"/>
        </w:rPr>
        <w:t xml:space="preserve">                            </w:t>
      </w:r>
      <w:r>
        <w:rPr>
          <w:rFonts w:hint="eastAsia" w:ascii="宋体" w:hAnsi="宋体" w:cs="宋体"/>
          <w:color w:val="auto"/>
          <w:highlight w:val="none"/>
          <w:shd w:val="clear" w:color="auto" w:fill="auto"/>
        </w:rPr>
        <w:t>（盖单位章）</w:t>
      </w:r>
    </w:p>
    <w:p w14:paraId="78B0D855">
      <w:pPr>
        <w:spacing w:line="360" w:lineRule="exact"/>
        <w:ind w:firstLine="2835" w:firstLineChars="1350"/>
        <w:rPr>
          <w:rFonts w:hint="eastAsia" w:ascii="宋体" w:hAnsi="宋体" w:cs="宋体"/>
          <w:color w:val="auto"/>
          <w:highlight w:val="none"/>
          <w:shd w:val="clear" w:color="auto" w:fill="auto"/>
        </w:rPr>
      </w:pPr>
      <w:r>
        <w:rPr>
          <w:rFonts w:hint="eastAsia" w:ascii="宋体" w:hAnsi="宋体" w:cs="宋体"/>
          <w:color w:val="auto"/>
          <w:highlight w:val="none"/>
          <w:shd w:val="clear" w:color="auto" w:fill="auto"/>
        </w:rPr>
        <w:t>法定代表人或其委托代理人：</w:t>
      </w:r>
      <w:r>
        <w:rPr>
          <w:rFonts w:hint="eastAsia" w:ascii="宋体" w:hAnsi="宋体" w:cs="宋体"/>
          <w:color w:val="auto"/>
          <w:szCs w:val="21"/>
          <w:highlight w:val="none"/>
          <w:u w:val="single"/>
          <w:shd w:val="clear" w:color="auto" w:fill="auto"/>
        </w:rPr>
        <w:t xml:space="preserve">                </w:t>
      </w:r>
      <w:r>
        <w:rPr>
          <w:rFonts w:hint="eastAsia" w:ascii="宋体" w:hAnsi="宋体" w:cs="宋体"/>
          <w:color w:val="auto"/>
          <w:highlight w:val="none"/>
          <w:shd w:val="clear" w:color="auto" w:fill="auto"/>
        </w:rPr>
        <w:t>（签字或盖章）</w:t>
      </w:r>
    </w:p>
    <w:p w14:paraId="559998D1">
      <w:pPr>
        <w:spacing w:line="360" w:lineRule="exact"/>
        <w:ind w:firstLine="4935" w:firstLineChars="2350"/>
        <w:rPr>
          <w:rFonts w:hint="eastAsia" w:ascii="宋体" w:hAnsi="宋体" w:cs="宋体"/>
          <w:color w:val="auto"/>
          <w:highlight w:val="none"/>
          <w:shd w:val="clear" w:color="auto" w:fill="auto"/>
        </w:rPr>
      </w:pPr>
      <w:r>
        <w:rPr>
          <w:rFonts w:hint="eastAsia" w:ascii="宋体" w:hAnsi="宋体" w:cs="宋体"/>
          <w:color w:val="auto"/>
          <w:szCs w:val="21"/>
          <w:highlight w:val="none"/>
          <w:u w:val="single"/>
          <w:shd w:val="clear" w:color="auto" w:fill="auto"/>
        </w:rPr>
        <w:t xml:space="preserve">        </w:t>
      </w:r>
      <w:r>
        <w:rPr>
          <w:rFonts w:hint="eastAsia" w:ascii="宋体" w:hAnsi="宋体" w:cs="宋体"/>
          <w:color w:val="auto"/>
          <w:highlight w:val="none"/>
          <w:shd w:val="clear" w:color="auto" w:fill="auto"/>
        </w:rPr>
        <w:t>年</w:t>
      </w:r>
      <w:r>
        <w:rPr>
          <w:rFonts w:hint="eastAsia" w:ascii="宋体" w:hAnsi="宋体" w:cs="宋体"/>
          <w:color w:val="auto"/>
          <w:szCs w:val="21"/>
          <w:highlight w:val="none"/>
          <w:u w:val="single"/>
          <w:shd w:val="clear" w:color="auto" w:fill="auto"/>
        </w:rPr>
        <w:t xml:space="preserve">        </w:t>
      </w:r>
      <w:r>
        <w:rPr>
          <w:rFonts w:hint="eastAsia" w:ascii="宋体" w:hAnsi="宋体" w:cs="宋体"/>
          <w:color w:val="auto"/>
          <w:highlight w:val="none"/>
          <w:shd w:val="clear" w:color="auto" w:fill="auto"/>
        </w:rPr>
        <w:t>月</w:t>
      </w:r>
      <w:r>
        <w:rPr>
          <w:rFonts w:hint="eastAsia" w:ascii="宋体" w:hAnsi="宋体" w:cs="宋体"/>
          <w:color w:val="auto"/>
          <w:szCs w:val="21"/>
          <w:highlight w:val="none"/>
          <w:u w:val="single"/>
          <w:shd w:val="clear" w:color="auto" w:fill="auto"/>
        </w:rPr>
        <w:t xml:space="preserve">        </w:t>
      </w:r>
      <w:r>
        <w:rPr>
          <w:rFonts w:hint="eastAsia" w:ascii="宋体" w:hAnsi="宋体" w:cs="宋体"/>
          <w:color w:val="auto"/>
          <w:highlight w:val="none"/>
          <w:shd w:val="clear" w:color="auto" w:fill="auto"/>
        </w:rPr>
        <w:t>日</w:t>
      </w:r>
    </w:p>
    <w:p w14:paraId="53DF38DA">
      <w:pPr>
        <w:widowControl/>
        <w:spacing w:line="360" w:lineRule="auto"/>
        <w:jc w:val="center"/>
        <w:rPr>
          <w:rFonts w:hint="eastAsia" w:ascii="宋体" w:hAnsi="宋体" w:eastAsia="宋体"/>
          <w:color w:val="auto"/>
          <w:highlight w:val="none"/>
        </w:rPr>
      </w:pPr>
      <w:r>
        <w:rPr>
          <w:rFonts w:hint="eastAsia" w:ascii="宋体" w:hAnsi="宋体" w:eastAsia="宋体"/>
          <w:color w:val="auto"/>
          <w:highlight w:val="none"/>
        </w:rPr>
        <w:br w:type="page"/>
      </w:r>
      <w:bookmarkStart w:id="343" w:name="_Toc532778395"/>
      <w:r>
        <w:rPr>
          <w:rFonts w:hint="eastAsia" w:ascii="宋体" w:hAnsi="宋体" w:eastAsia="宋体" w:cs="宋体"/>
          <w:b/>
          <w:color w:val="auto"/>
          <w:sz w:val="32"/>
          <w:szCs w:val="32"/>
          <w:highlight w:val="none"/>
          <w:shd w:val="clear" w:color="auto" w:fill="auto"/>
        </w:rPr>
        <w:t>七、施工图审查工作方案</w:t>
      </w:r>
      <w:bookmarkEnd w:id="343"/>
    </w:p>
    <w:p w14:paraId="5B13EB94">
      <w:pPr>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（格式自定）</w:t>
      </w:r>
    </w:p>
    <w:p w14:paraId="2639762A">
      <w:pPr>
        <w:spacing w:line="360" w:lineRule="auto"/>
        <w:ind w:firstLine="420" w:firstLineChars="200"/>
        <w:rPr>
          <w:rFonts w:hint="eastAsia" w:ascii="宋体" w:hAnsi="宋体"/>
          <w:color w:val="auto"/>
          <w:highlight w:val="none"/>
        </w:rPr>
      </w:pPr>
    </w:p>
    <w:p w14:paraId="3CFF7A8C">
      <w:pPr>
        <w:pStyle w:val="4"/>
        <w:jc w:val="center"/>
        <w:rPr>
          <w:rFonts w:hint="eastAsia" w:ascii="宋体" w:hAnsi="宋体" w:eastAsia="宋体"/>
          <w:color w:val="auto"/>
          <w:highlight w:val="none"/>
        </w:rPr>
        <w:sectPr>
          <w:pgSz w:w="11906" w:h="16838"/>
          <w:pgMar w:top="1134" w:right="1304" w:bottom="851" w:left="1304" w:header="851" w:footer="567" w:gutter="0"/>
          <w:cols w:space="720" w:num="1"/>
          <w:docGrid w:type="linesAndChars" w:linePitch="312" w:charSpace="0"/>
        </w:sectPr>
      </w:pPr>
    </w:p>
    <w:p w14:paraId="21612DEA">
      <w:pPr>
        <w:pStyle w:val="4"/>
        <w:jc w:val="center"/>
        <w:rPr>
          <w:rFonts w:hint="eastAsia" w:ascii="宋体" w:hAnsi="宋体" w:eastAsia="宋体"/>
          <w:color w:val="auto"/>
          <w:highlight w:val="none"/>
        </w:rPr>
      </w:pPr>
      <w:r>
        <w:rPr>
          <w:rFonts w:hint="eastAsia" w:ascii="宋体" w:hAnsi="宋体" w:eastAsia="宋体"/>
          <w:color w:val="auto"/>
          <w:highlight w:val="none"/>
        </w:rPr>
        <w:t>八、</w:t>
      </w:r>
      <w:r>
        <w:rPr>
          <w:rFonts w:ascii="宋体" w:hAnsi="宋体" w:eastAsia="宋体"/>
          <w:color w:val="auto"/>
          <w:highlight w:val="none"/>
        </w:rPr>
        <w:t>其他资料</w:t>
      </w:r>
      <w:bookmarkEnd w:id="340"/>
      <w:bookmarkEnd w:id="341"/>
      <w:bookmarkEnd w:id="342"/>
    </w:p>
    <w:p w14:paraId="5AFD6FB2">
      <w:pPr>
        <w:pStyle w:val="4"/>
        <w:spacing w:line="413" w:lineRule="auto"/>
        <w:jc w:val="center"/>
        <w:rPr>
          <w:rFonts w:hint="eastAsia" w:ascii="宋体" w:hAnsi="宋体" w:eastAsia="宋体" w:cs="宋体"/>
          <w:color w:val="auto"/>
          <w:highlight w:val="none"/>
        </w:rPr>
      </w:pPr>
      <w:bookmarkStart w:id="344" w:name="_Toc369880940"/>
      <w:bookmarkStart w:id="345" w:name="_Toc197843636"/>
      <w:bookmarkStart w:id="346" w:name="_Toc532778400"/>
      <w:r>
        <w:rPr>
          <w:rFonts w:hint="eastAsia" w:ascii="宋体" w:hAnsi="宋体" w:eastAsia="宋体" w:cs="宋体"/>
          <w:bCs/>
          <w:color w:val="auto"/>
          <w:sz w:val="28"/>
          <w:szCs w:val="28"/>
          <w:highlight w:val="none"/>
        </w:rPr>
        <w:t>8.1类似项目业绩</w:t>
      </w:r>
      <w:bookmarkEnd w:id="344"/>
      <w:bookmarkEnd w:id="345"/>
      <w:r>
        <w:rPr>
          <w:rFonts w:hint="eastAsia" w:ascii="宋体" w:hAnsi="宋体" w:eastAsia="宋体" w:cs="宋体"/>
          <w:bCs/>
          <w:color w:val="auto"/>
          <w:sz w:val="28"/>
          <w:szCs w:val="28"/>
          <w:highlight w:val="none"/>
        </w:rPr>
        <w:t>表</w:t>
      </w:r>
    </w:p>
    <w:tbl>
      <w:tblPr>
        <w:tblStyle w:val="3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23"/>
        <w:gridCol w:w="1850"/>
        <w:gridCol w:w="1229"/>
        <w:gridCol w:w="1072"/>
        <w:gridCol w:w="1307"/>
        <w:gridCol w:w="1800"/>
        <w:gridCol w:w="876"/>
      </w:tblGrid>
      <w:tr w14:paraId="695CD9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823" w:type="dxa"/>
            <w:noWrap w:val="0"/>
            <w:vAlign w:val="center"/>
          </w:tcPr>
          <w:p w14:paraId="306763EF">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1850" w:type="dxa"/>
            <w:noWrap w:val="0"/>
            <w:vAlign w:val="center"/>
          </w:tcPr>
          <w:p w14:paraId="4FB588D7">
            <w:pPr>
              <w:snapToGrid w:val="0"/>
              <w:jc w:val="center"/>
              <w:rPr>
                <w:rFonts w:hint="eastAsia" w:ascii="宋体" w:hAnsi="宋体" w:cs="宋体"/>
                <w:b/>
                <w:bCs/>
                <w:color w:val="auto"/>
                <w:highlight w:val="none"/>
              </w:rPr>
            </w:pPr>
            <w:r>
              <w:rPr>
                <w:rFonts w:hint="eastAsia" w:ascii="宋体" w:hAnsi="宋体" w:cs="宋体"/>
                <w:b/>
                <w:bCs/>
                <w:color w:val="auto"/>
                <w:highlight w:val="none"/>
              </w:rPr>
              <w:t>项目名称</w:t>
            </w:r>
          </w:p>
        </w:tc>
        <w:tc>
          <w:tcPr>
            <w:tcW w:w="1229" w:type="dxa"/>
            <w:noWrap w:val="0"/>
            <w:vAlign w:val="center"/>
          </w:tcPr>
          <w:p w14:paraId="084FE351">
            <w:pPr>
              <w:snapToGrid w:val="0"/>
              <w:jc w:val="center"/>
              <w:rPr>
                <w:rFonts w:hint="eastAsia" w:ascii="宋体" w:hAnsi="宋体" w:cs="宋体"/>
                <w:b/>
                <w:bCs/>
                <w:color w:val="auto"/>
                <w:highlight w:val="none"/>
              </w:rPr>
            </w:pPr>
            <w:r>
              <w:rPr>
                <w:rFonts w:hint="eastAsia" w:ascii="宋体" w:hAnsi="宋体" w:cs="宋体"/>
                <w:b/>
                <w:bCs/>
                <w:color w:val="auto"/>
                <w:highlight w:val="none"/>
              </w:rPr>
              <w:t>项目概况</w:t>
            </w:r>
          </w:p>
        </w:tc>
        <w:tc>
          <w:tcPr>
            <w:tcW w:w="1072" w:type="dxa"/>
            <w:noWrap w:val="0"/>
            <w:vAlign w:val="center"/>
          </w:tcPr>
          <w:p w14:paraId="1C3B59D9">
            <w:pPr>
              <w:snapToGrid w:val="0"/>
              <w:jc w:val="center"/>
              <w:rPr>
                <w:rFonts w:hint="eastAsia" w:ascii="宋体" w:hAnsi="宋体" w:cs="宋体"/>
                <w:b/>
                <w:bCs/>
                <w:color w:val="auto"/>
                <w:highlight w:val="none"/>
              </w:rPr>
            </w:pPr>
            <w:r>
              <w:rPr>
                <w:rFonts w:hint="eastAsia" w:ascii="宋体" w:hAnsi="宋体" w:cs="宋体"/>
                <w:b/>
                <w:bCs/>
                <w:color w:val="auto"/>
                <w:highlight w:val="none"/>
              </w:rPr>
              <w:t>项目内容</w:t>
            </w:r>
          </w:p>
        </w:tc>
        <w:tc>
          <w:tcPr>
            <w:tcW w:w="1307" w:type="dxa"/>
            <w:noWrap w:val="0"/>
            <w:vAlign w:val="center"/>
          </w:tcPr>
          <w:p w14:paraId="58E4810B">
            <w:pPr>
              <w:snapToGrid w:val="0"/>
              <w:jc w:val="center"/>
              <w:rPr>
                <w:rFonts w:hint="eastAsia" w:ascii="宋体" w:hAnsi="宋体" w:cs="宋体"/>
                <w:b/>
                <w:bCs/>
                <w:color w:val="auto"/>
                <w:highlight w:val="none"/>
              </w:rPr>
            </w:pPr>
            <w:r>
              <w:rPr>
                <w:rFonts w:hint="eastAsia" w:ascii="宋体" w:hAnsi="宋体" w:cs="宋体"/>
                <w:b/>
                <w:bCs/>
                <w:color w:val="auto"/>
                <w:highlight w:val="none"/>
              </w:rPr>
              <w:t>合同金额</w:t>
            </w:r>
          </w:p>
        </w:tc>
        <w:tc>
          <w:tcPr>
            <w:tcW w:w="1800" w:type="dxa"/>
            <w:noWrap w:val="0"/>
            <w:vAlign w:val="center"/>
          </w:tcPr>
          <w:p w14:paraId="602977A3">
            <w:pPr>
              <w:snapToGrid w:val="0"/>
              <w:jc w:val="center"/>
              <w:rPr>
                <w:rFonts w:hint="eastAsia" w:ascii="宋体" w:hAnsi="宋体" w:cs="宋体"/>
                <w:b/>
                <w:bCs/>
                <w:color w:val="auto"/>
                <w:highlight w:val="none"/>
              </w:rPr>
            </w:pPr>
            <w:r>
              <w:rPr>
                <w:rFonts w:hint="eastAsia" w:ascii="宋体" w:hAnsi="宋体" w:cs="宋体"/>
                <w:b/>
                <w:bCs/>
                <w:color w:val="auto"/>
                <w:highlight w:val="none"/>
              </w:rPr>
              <w:t>合同签订时间</w:t>
            </w:r>
          </w:p>
        </w:tc>
        <w:tc>
          <w:tcPr>
            <w:tcW w:w="876" w:type="dxa"/>
            <w:noWrap w:val="0"/>
            <w:vAlign w:val="center"/>
          </w:tcPr>
          <w:p w14:paraId="3D09AE1D">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备注</w:t>
            </w:r>
          </w:p>
        </w:tc>
      </w:tr>
      <w:tr w14:paraId="5EE0B4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823" w:type="dxa"/>
            <w:noWrap w:val="0"/>
            <w:vAlign w:val="center"/>
          </w:tcPr>
          <w:p w14:paraId="1EC29E12">
            <w:pPr>
              <w:spacing w:line="240" w:lineRule="atLeast"/>
              <w:jc w:val="center"/>
              <w:rPr>
                <w:rFonts w:hint="eastAsia" w:ascii="宋体" w:hAnsi="宋体" w:cs="宋体"/>
                <w:color w:val="auto"/>
                <w:sz w:val="24"/>
                <w:highlight w:val="none"/>
              </w:rPr>
            </w:pPr>
          </w:p>
        </w:tc>
        <w:tc>
          <w:tcPr>
            <w:tcW w:w="1850" w:type="dxa"/>
            <w:noWrap w:val="0"/>
            <w:vAlign w:val="center"/>
          </w:tcPr>
          <w:p w14:paraId="683886D9">
            <w:pPr>
              <w:spacing w:line="240" w:lineRule="atLeast"/>
              <w:jc w:val="center"/>
              <w:rPr>
                <w:rFonts w:hint="eastAsia" w:ascii="宋体" w:hAnsi="宋体" w:cs="宋体"/>
                <w:color w:val="auto"/>
                <w:sz w:val="24"/>
                <w:highlight w:val="none"/>
              </w:rPr>
            </w:pPr>
          </w:p>
        </w:tc>
        <w:tc>
          <w:tcPr>
            <w:tcW w:w="1229" w:type="dxa"/>
            <w:noWrap w:val="0"/>
            <w:vAlign w:val="center"/>
          </w:tcPr>
          <w:p w14:paraId="7BECCB06">
            <w:pPr>
              <w:spacing w:line="240" w:lineRule="atLeast"/>
              <w:jc w:val="center"/>
              <w:rPr>
                <w:rFonts w:hint="eastAsia" w:ascii="宋体" w:hAnsi="宋体" w:cs="宋体"/>
                <w:color w:val="auto"/>
                <w:sz w:val="24"/>
                <w:highlight w:val="none"/>
              </w:rPr>
            </w:pPr>
          </w:p>
        </w:tc>
        <w:tc>
          <w:tcPr>
            <w:tcW w:w="1072" w:type="dxa"/>
            <w:noWrap w:val="0"/>
            <w:vAlign w:val="center"/>
          </w:tcPr>
          <w:p w14:paraId="45360868">
            <w:pPr>
              <w:spacing w:line="240" w:lineRule="atLeast"/>
              <w:jc w:val="center"/>
              <w:rPr>
                <w:rFonts w:hint="eastAsia" w:ascii="宋体" w:hAnsi="宋体" w:cs="宋体"/>
                <w:color w:val="auto"/>
                <w:sz w:val="24"/>
                <w:highlight w:val="none"/>
              </w:rPr>
            </w:pPr>
          </w:p>
        </w:tc>
        <w:tc>
          <w:tcPr>
            <w:tcW w:w="1307" w:type="dxa"/>
            <w:noWrap w:val="0"/>
            <w:vAlign w:val="top"/>
          </w:tcPr>
          <w:p w14:paraId="40B3709C">
            <w:pPr>
              <w:spacing w:line="240" w:lineRule="atLeast"/>
              <w:jc w:val="center"/>
              <w:rPr>
                <w:rFonts w:hint="eastAsia" w:ascii="宋体" w:hAnsi="宋体" w:cs="宋体"/>
                <w:color w:val="auto"/>
                <w:sz w:val="24"/>
                <w:highlight w:val="none"/>
              </w:rPr>
            </w:pPr>
          </w:p>
        </w:tc>
        <w:tc>
          <w:tcPr>
            <w:tcW w:w="1800" w:type="dxa"/>
            <w:noWrap w:val="0"/>
            <w:vAlign w:val="center"/>
          </w:tcPr>
          <w:p w14:paraId="2E3DD376">
            <w:pPr>
              <w:spacing w:line="240" w:lineRule="atLeast"/>
              <w:jc w:val="center"/>
              <w:rPr>
                <w:rFonts w:hint="eastAsia" w:ascii="宋体" w:hAnsi="宋体" w:cs="宋体"/>
                <w:color w:val="auto"/>
                <w:sz w:val="24"/>
                <w:highlight w:val="none"/>
              </w:rPr>
            </w:pPr>
          </w:p>
        </w:tc>
        <w:tc>
          <w:tcPr>
            <w:tcW w:w="876" w:type="dxa"/>
            <w:noWrap w:val="0"/>
            <w:vAlign w:val="center"/>
          </w:tcPr>
          <w:p w14:paraId="3A3AB1DC">
            <w:pPr>
              <w:spacing w:line="240" w:lineRule="atLeast"/>
              <w:jc w:val="center"/>
              <w:rPr>
                <w:rFonts w:hint="eastAsia" w:ascii="宋体" w:hAnsi="宋体" w:cs="宋体"/>
                <w:color w:val="auto"/>
                <w:sz w:val="24"/>
                <w:highlight w:val="none"/>
              </w:rPr>
            </w:pPr>
          </w:p>
        </w:tc>
      </w:tr>
      <w:tr w14:paraId="054B30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823" w:type="dxa"/>
            <w:noWrap w:val="0"/>
            <w:vAlign w:val="center"/>
          </w:tcPr>
          <w:p w14:paraId="2A5B56F2">
            <w:pPr>
              <w:spacing w:line="240" w:lineRule="atLeast"/>
              <w:jc w:val="center"/>
              <w:rPr>
                <w:rFonts w:hint="eastAsia" w:ascii="宋体" w:hAnsi="宋体" w:cs="宋体"/>
                <w:color w:val="auto"/>
                <w:sz w:val="24"/>
                <w:highlight w:val="none"/>
              </w:rPr>
            </w:pPr>
          </w:p>
        </w:tc>
        <w:tc>
          <w:tcPr>
            <w:tcW w:w="1850" w:type="dxa"/>
            <w:noWrap w:val="0"/>
            <w:vAlign w:val="center"/>
          </w:tcPr>
          <w:p w14:paraId="032BAB0B">
            <w:pPr>
              <w:spacing w:line="240" w:lineRule="atLeast"/>
              <w:jc w:val="center"/>
              <w:rPr>
                <w:rFonts w:hint="eastAsia" w:ascii="宋体" w:hAnsi="宋体" w:cs="宋体"/>
                <w:color w:val="auto"/>
                <w:sz w:val="24"/>
                <w:highlight w:val="none"/>
              </w:rPr>
            </w:pPr>
          </w:p>
        </w:tc>
        <w:tc>
          <w:tcPr>
            <w:tcW w:w="1229" w:type="dxa"/>
            <w:noWrap w:val="0"/>
            <w:vAlign w:val="center"/>
          </w:tcPr>
          <w:p w14:paraId="7B4AE372">
            <w:pPr>
              <w:spacing w:line="240" w:lineRule="atLeast"/>
              <w:jc w:val="center"/>
              <w:rPr>
                <w:rFonts w:hint="eastAsia" w:ascii="宋体" w:hAnsi="宋体" w:cs="宋体"/>
                <w:color w:val="auto"/>
                <w:sz w:val="24"/>
                <w:highlight w:val="none"/>
              </w:rPr>
            </w:pPr>
          </w:p>
        </w:tc>
        <w:tc>
          <w:tcPr>
            <w:tcW w:w="1072" w:type="dxa"/>
            <w:noWrap w:val="0"/>
            <w:vAlign w:val="center"/>
          </w:tcPr>
          <w:p w14:paraId="5A857A37">
            <w:pPr>
              <w:spacing w:line="240" w:lineRule="atLeast"/>
              <w:jc w:val="center"/>
              <w:rPr>
                <w:rFonts w:hint="eastAsia" w:ascii="宋体" w:hAnsi="宋体" w:cs="宋体"/>
                <w:color w:val="auto"/>
                <w:sz w:val="24"/>
                <w:highlight w:val="none"/>
              </w:rPr>
            </w:pPr>
          </w:p>
        </w:tc>
        <w:tc>
          <w:tcPr>
            <w:tcW w:w="1307" w:type="dxa"/>
            <w:noWrap w:val="0"/>
            <w:vAlign w:val="top"/>
          </w:tcPr>
          <w:p w14:paraId="519C0C66">
            <w:pPr>
              <w:spacing w:line="240" w:lineRule="atLeast"/>
              <w:jc w:val="center"/>
              <w:rPr>
                <w:rFonts w:hint="eastAsia" w:ascii="宋体" w:hAnsi="宋体" w:cs="宋体"/>
                <w:color w:val="auto"/>
                <w:sz w:val="24"/>
                <w:highlight w:val="none"/>
              </w:rPr>
            </w:pPr>
          </w:p>
        </w:tc>
        <w:tc>
          <w:tcPr>
            <w:tcW w:w="1800" w:type="dxa"/>
            <w:noWrap w:val="0"/>
            <w:vAlign w:val="center"/>
          </w:tcPr>
          <w:p w14:paraId="514FB966">
            <w:pPr>
              <w:spacing w:line="240" w:lineRule="atLeast"/>
              <w:jc w:val="center"/>
              <w:rPr>
                <w:rFonts w:hint="eastAsia" w:ascii="宋体" w:hAnsi="宋体" w:cs="宋体"/>
                <w:color w:val="auto"/>
                <w:sz w:val="24"/>
                <w:highlight w:val="none"/>
              </w:rPr>
            </w:pPr>
          </w:p>
        </w:tc>
        <w:tc>
          <w:tcPr>
            <w:tcW w:w="876" w:type="dxa"/>
            <w:noWrap w:val="0"/>
            <w:vAlign w:val="center"/>
          </w:tcPr>
          <w:p w14:paraId="7E70F17E">
            <w:pPr>
              <w:spacing w:line="240" w:lineRule="atLeast"/>
              <w:jc w:val="center"/>
              <w:rPr>
                <w:rFonts w:hint="eastAsia" w:ascii="宋体" w:hAnsi="宋体" w:cs="宋体"/>
                <w:color w:val="auto"/>
                <w:sz w:val="24"/>
                <w:highlight w:val="none"/>
              </w:rPr>
            </w:pPr>
          </w:p>
        </w:tc>
      </w:tr>
      <w:tr w14:paraId="0CC4C4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823" w:type="dxa"/>
            <w:noWrap w:val="0"/>
            <w:vAlign w:val="center"/>
          </w:tcPr>
          <w:p w14:paraId="7C194CC0">
            <w:pPr>
              <w:spacing w:line="240" w:lineRule="atLeast"/>
              <w:jc w:val="center"/>
              <w:rPr>
                <w:rFonts w:hint="eastAsia" w:ascii="宋体" w:hAnsi="宋体" w:cs="宋体"/>
                <w:color w:val="auto"/>
                <w:sz w:val="24"/>
                <w:highlight w:val="none"/>
              </w:rPr>
            </w:pPr>
          </w:p>
        </w:tc>
        <w:tc>
          <w:tcPr>
            <w:tcW w:w="1850" w:type="dxa"/>
            <w:noWrap w:val="0"/>
            <w:vAlign w:val="center"/>
          </w:tcPr>
          <w:p w14:paraId="5EF8AD5B">
            <w:pPr>
              <w:spacing w:line="240" w:lineRule="atLeast"/>
              <w:jc w:val="center"/>
              <w:rPr>
                <w:rFonts w:hint="eastAsia" w:ascii="宋体" w:hAnsi="宋体" w:cs="宋体"/>
                <w:color w:val="auto"/>
                <w:sz w:val="24"/>
                <w:highlight w:val="none"/>
              </w:rPr>
            </w:pPr>
          </w:p>
        </w:tc>
        <w:tc>
          <w:tcPr>
            <w:tcW w:w="1229" w:type="dxa"/>
            <w:noWrap w:val="0"/>
            <w:vAlign w:val="center"/>
          </w:tcPr>
          <w:p w14:paraId="24739B79">
            <w:pPr>
              <w:spacing w:line="240" w:lineRule="atLeast"/>
              <w:jc w:val="center"/>
              <w:rPr>
                <w:rFonts w:hint="eastAsia" w:ascii="宋体" w:hAnsi="宋体" w:cs="宋体"/>
                <w:color w:val="auto"/>
                <w:sz w:val="24"/>
                <w:highlight w:val="none"/>
              </w:rPr>
            </w:pPr>
          </w:p>
        </w:tc>
        <w:tc>
          <w:tcPr>
            <w:tcW w:w="1072" w:type="dxa"/>
            <w:noWrap w:val="0"/>
            <w:vAlign w:val="center"/>
          </w:tcPr>
          <w:p w14:paraId="5B5D8BE9">
            <w:pPr>
              <w:spacing w:line="240" w:lineRule="atLeast"/>
              <w:jc w:val="center"/>
              <w:rPr>
                <w:rFonts w:hint="eastAsia" w:ascii="宋体" w:hAnsi="宋体" w:cs="宋体"/>
                <w:color w:val="auto"/>
                <w:sz w:val="24"/>
                <w:highlight w:val="none"/>
              </w:rPr>
            </w:pPr>
          </w:p>
        </w:tc>
        <w:tc>
          <w:tcPr>
            <w:tcW w:w="1307" w:type="dxa"/>
            <w:noWrap w:val="0"/>
            <w:vAlign w:val="top"/>
          </w:tcPr>
          <w:p w14:paraId="7A523E9F">
            <w:pPr>
              <w:spacing w:line="240" w:lineRule="atLeast"/>
              <w:jc w:val="center"/>
              <w:rPr>
                <w:rFonts w:hint="eastAsia" w:ascii="宋体" w:hAnsi="宋体" w:cs="宋体"/>
                <w:color w:val="auto"/>
                <w:sz w:val="24"/>
                <w:highlight w:val="none"/>
              </w:rPr>
            </w:pPr>
          </w:p>
        </w:tc>
        <w:tc>
          <w:tcPr>
            <w:tcW w:w="1800" w:type="dxa"/>
            <w:noWrap w:val="0"/>
            <w:vAlign w:val="center"/>
          </w:tcPr>
          <w:p w14:paraId="16B512BC">
            <w:pPr>
              <w:spacing w:line="240" w:lineRule="atLeast"/>
              <w:jc w:val="center"/>
              <w:rPr>
                <w:rFonts w:hint="eastAsia" w:ascii="宋体" w:hAnsi="宋体" w:cs="宋体"/>
                <w:color w:val="auto"/>
                <w:sz w:val="24"/>
                <w:highlight w:val="none"/>
              </w:rPr>
            </w:pPr>
          </w:p>
        </w:tc>
        <w:tc>
          <w:tcPr>
            <w:tcW w:w="876" w:type="dxa"/>
            <w:noWrap w:val="0"/>
            <w:vAlign w:val="center"/>
          </w:tcPr>
          <w:p w14:paraId="26711D13">
            <w:pPr>
              <w:spacing w:line="240" w:lineRule="atLeast"/>
              <w:jc w:val="center"/>
              <w:rPr>
                <w:rFonts w:hint="eastAsia" w:ascii="宋体" w:hAnsi="宋体" w:cs="宋体"/>
                <w:color w:val="auto"/>
                <w:sz w:val="24"/>
                <w:highlight w:val="none"/>
              </w:rPr>
            </w:pPr>
          </w:p>
        </w:tc>
      </w:tr>
      <w:tr w14:paraId="7362E2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823" w:type="dxa"/>
            <w:noWrap w:val="0"/>
            <w:vAlign w:val="center"/>
          </w:tcPr>
          <w:p w14:paraId="186BF3D1">
            <w:pPr>
              <w:spacing w:line="240" w:lineRule="atLeast"/>
              <w:jc w:val="center"/>
              <w:rPr>
                <w:rFonts w:hint="eastAsia" w:ascii="宋体" w:hAnsi="宋体" w:cs="宋体"/>
                <w:color w:val="auto"/>
                <w:sz w:val="24"/>
                <w:highlight w:val="none"/>
              </w:rPr>
            </w:pPr>
          </w:p>
        </w:tc>
        <w:tc>
          <w:tcPr>
            <w:tcW w:w="1850" w:type="dxa"/>
            <w:noWrap w:val="0"/>
            <w:vAlign w:val="center"/>
          </w:tcPr>
          <w:p w14:paraId="069A7BBB">
            <w:pPr>
              <w:spacing w:line="240" w:lineRule="atLeast"/>
              <w:jc w:val="center"/>
              <w:rPr>
                <w:rFonts w:hint="eastAsia" w:ascii="宋体" w:hAnsi="宋体" w:cs="宋体"/>
                <w:color w:val="auto"/>
                <w:sz w:val="24"/>
                <w:highlight w:val="none"/>
              </w:rPr>
            </w:pPr>
          </w:p>
        </w:tc>
        <w:tc>
          <w:tcPr>
            <w:tcW w:w="1229" w:type="dxa"/>
            <w:noWrap w:val="0"/>
            <w:vAlign w:val="center"/>
          </w:tcPr>
          <w:p w14:paraId="6A30D8B6">
            <w:pPr>
              <w:spacing w:line="240" w:lineRule="atLeast"/>
              <w:jc w:val="center"/>
              <w:rPr>
                <w:rFonts w:hint="eastAsia" w:ascii="宋体" w:hAnsi="宋体" w:cs="宋体"/>
                <w:color w:val="auto"/>
                <w:sz w:val="24"/>
                <w:highlight w:val="none"/>
              </w:rPr>
            </w:pPr>
          </w:p>
        </w:tc>
        <w:tc>
          <w:tcPr>
            <w:tcW w:w="1072" w:type="dxa"/>
            <w:noWrap w:val="0"/>
            <w:vAlign w:val="center"/>
          </w:tcPr>
          <w:p w14:paraId="3241E522">
            <w:pPr>
              <w:spacing w:line="240" w:lineRule="atLeast"/>
              <w:jc w:val="center"/>
              <w:rPr>
                <w:rFonts w:hint="eastAsia" w:ascii="宋体" w:hAnsi="宋体" w:cs="宋体"/>
                <w:color w:val="auto"/>
                <w:sz w:val="24"/>
                <w:highlight w:val="none"/>
              </w:rPr>
            </w:pPr>
          </w:p>
        </w:tc>
        <w:tc>
          <w:tcPr>
            <w:tcW w:w="1307" w:type="dxa"/>
            <w:noWrap w:val="0"/>
            <w:vAlign w:val="top"/>
          </w:tcPr>
          <w:p w14:paraId="6E745AC0">
            <w:pPr>
              <w:spacing w:line="240" w:lineRule="atLeast"/>
              <w:jc w:val="center"/>
              <w:rPr>
                <w:rFonts w:hint="eastAsia" w:ascii="宋体" w:hAnsi="宋体" w:cs="宋体"/>
                <w:color w:val="auto"/>
                <w:sz w:val="24"/>
                <w:highlight w:val="none"/>
              </w:rPr>
            </w:pPr>
          </w:p>
        </w:tc>
        <w:tc>
          <w:tcPr>
            <w:tcW w:w="1800" w:type="dxa"/>
            <w:noWrap w:val="0"/>
            <w:vAlign w:val="center"/>
          </w:tcPr>
          <w:p w14:paraId="0E2AB478">
            <w:pPr>
              <w:spacing w:line="240" w:lineRule="atLeast"/>
              <w:jc w:val="center"/>
              <w:rPr>
                <w:rFonts w:hint="eastAsia" w:ascii="宋体" w:hAnsi="宋体" w:cs="宋体"/>
                <w:color w:val="auto"/>
                <w:sz w:val="24"/>
                <w:highlight w:val="none"/>
              </w:rPr>
            </w:pPr>
          </w:p>
        </w:tc>
        <w:tc>
          <w:tcPr>
            <w:tcW w:w="876" w:type="dxa"/>
            <w:noWrap w:val="0"/>
            <w:vAlign w:val="center"/>
          </w:tcPr>
          <w:p w14:paraId="20B387D3">
            <w:pPr>
              <w:spacing w:line="240" w:lineRule="atLeast"/>
              <w:jc w:val="center"/>
              <w:rPr>
                <w:rFonts w:hint="eastAsia" w:ascii="宋体" w:hAnsi="宋体" w:cs="宋体"/>
                <w:color w:val="auto"/>
                <w:sz w:val="24"/>
                <w:highlight w:val="none"/>
              </w:rPr>
            </w:pPr>
          </w:p>
        </w:tc>
      </w:tr>
      <w:tr w14:paraId="702D65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823" w:type="dxa"/>
            <w:noWrap w:val="0"/>
            <w:vAlign w:val="center"/>
          </w:tcPr>
          <w:p w14:paraId="363FC0AF">
            <w:pPr>
              <w:spacing w:line="240" w:lineRule="atLeast"/>
              <w:jc w:val="center"/>
              <w:rPr>
                <w:rFonts w:hint="eastAsia" w:ascii="宋体" w:hAnsi="宋体" w:cs="宋体"/>
                <w:color w:val="auto"/>
                <w:sz w:val="24"/>
                <w:highlight w:val="none"/>
              </w:rPr>
            </w:pPr>
          </w:p>
        </w:tc>
        <w:tc>
          <w:tcPr>
            <w:tcW w:w="1850" w:type="dxa"/>
            <w:noWrap w:val="0"/>
            <w:vAlign w:val="center"/>
          </w:tcPr>
          <w:p w14:paraId="4644A18C">
            <w:pPr>
              <w:spacing w:line="240" w:lineRule="atLeast"/>
              <w:jc w:val="center"/>
              <w:rPr>
                <w:rFonts w:hint="eastAsia" w:ascii="宋体" w:hAnsi="宋体" w:cs="宋体"/>
                <w:color w:val="auto"/>
                <w:sz w:val="24"/>
                <w:highlight w:val="none"/>
              </w:rPr>
            </w:pPr>
          </w:p>
        </w:tc>
        <w:tc>
          <w:tcPr>
            <w:tcW w:w="1229" w:type="dxa"/>
            <w:noWrap w:val="0"/>
            <w:vAlign w:val="center"/>
          </w:tcPr>
          <w:p w14:paraId="35B2C4BF">
            <w:pPr>
              <w:spacing w:line="240" w:lineRule="atLeast"/>
              <w:jc w:val="center"/>
              <w:rPr>
                <w:rFonts w:hint="eastAsia" w:ascii="宋体" w:hAnsi="宋体" w:cs="宋体"/>
                <w:color w:val="auto"/>
                <w:sz w:val="24"/>
                <w:highlight w:val="none"/>
              </w:rPr>
            </w:pPr>
          </w:p>
        </w:tc>
        <w:tc>
          <w:tcPr>
            <w:tcW w:w="1072" w:type="dxa"/>
            <w:noWrap w:val="0"/>
            <w:vAlign w:val="center"/>
          </w:tcPr>
          <w:p w14:paraId="60ED8430">
            <w:pPr>
              <w:spacing w:line="240" w:lineRule="atLeast"/>
              <w:jc w:val="center"/>
              <w:rPr>
                <w:rFonts w:hint="eastAsia" w:ascii="宋体" w:hAnsi="宋体" w:cs="宋体"/>
                <w:color w:val="auto"/>
                <w:sz w:val="24"/>
                <w:highlight w:val="none"/>
              </w:rPr>
            </w:pPr>
          </w:p>
        </w:tc>
        <w:tc>
          <w:tcPr>
            <w:tcW w:w="1307" w:type="dxa"/>
            <w:noWrap w:val="0"/>
            <w:vAlign w:val="top"/>
          </w:tcPr>
          <w:p w14:paraId="1206B275">
            <w:pPr>
              <w:spacing w:line="240" w:lineRule="atLeast"/>
              <w:jc w:val="center"/>
              <w:rPr>
                <w:rFonts w:hint="eastAsia" w:ascii="宋体" w:hAnsi="宋体" w:cs="宋体"/>
                <w:color w:val="auto"/>
                <w:sz w:val="24"/>
                <w:highlight w:val="none"/>
              </w:rPr>
            </w:pPr>
          </w:p>
        </w:tc>
        <w:tc>
          <w:tcPr>
            <w:tcW w:w="1800" w:type="dxa"/>
            <w:noWrap w:val="0"/>
            <w:vAlign w:val="center"/>
          </w:tcPr>
          <w:p w14:paraId="00826D36">
            <w:pPr>
              <w:spacing w:line="240" w:lineRule="atLeast"/>
              <w:jc w:val="center"/>
              <w:rPr>
                <w:rFonts w:hint="eastAsia" w:ascii="宋体" w:hAnsi="宋体" w:cs="宋体"/>
                <w:color w:val="auto"/>
                <w:sz w:val="24"/>
                <w:highlight w:val="none"/>
              </w:rPr>
            </w:pPr>
          </w:p>
        </w:tc>
        <w:tc>
          <w:tcPr>
            <w:tcW w:w="876" w:type="dxa"/>
            <w:noWrap w:val="0"/>
            <w:vAlign w:val="center"/>
          </w:tcPr>
          <w:p w14:paraId="1CD2909D">
            <w:pPr>
              <w:spacing w:line="240" w:lineRule="atLeast"/>
              <w:jc w:val="center"/>
              <w:rPr>
                <w:rFonts w:hint="eastAsia" w:ascii="宋体" w:hAnsi="宋体" w:cs="宋体"/>
                <w:color w:val="auto"/>
                <w:sz w:val="24"/>
                <w:highlight w:val="none"/>
              </w:rPr>
            </w:pPr>
          </w:p>
        </w:tc>
      </w:tr>
      <w:tr w14:paraId="312964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823" w:type="dxa"/>
            <w:noWrap w:val="0"/>
            <w:vAlign w:val="center"/>
          </w:tcPr>
          <w:p w14:paraId="49D7B61F">
            <w:pPr>
              <w:spacing w:line="240" w:lineRule="atLeast"/>
              <w:jc w:val="center"/>
              <w:rPr>
                <w:rFonts w:hint="eastAsia" w:ascii="宋体" w:hAnsi="宋体" w:cs="宋体"/>
                <w:color w:val="auto"/>
                <w:sz w:val="24"/>
                <w:highlight w:val="none"/>
              </w:rPr>
            </w:pPr>
          </w:p>
        </w:tc>
        <w:tc>
          <w:tcPr>
            <w:tcW w:w="1850" w:type="dxa"/>
            <w:noWrap w:val="0"/>
            <w:vAlign w:val="center"/>
          </w:tcPr>
          <w:p w14:paraId="33FABCF7">
            <w:pPr>
              <w:spacing w:line="240" w:lineRule="atLeast"/>
              <w:jc w:val="center"/>
              <w:rPr>
                <w:rFonts w:hint="eastAsia" w:ascii="宋体" w:hAnsi="宋体" w:cs="宋体"/>
                <w:color w:val="auto"/>
                <w:sz w:val="24"/>
                <w:highlight w:val="none"/>
              </w:rPr>
            </w:pPr>
          </w:p>
        </w:tc>
        <w:tc>
          <w:tcPr>
            <w:tcW w:w="1229" w:type="dxa"/>
            <w:noWrap w:val="0"/>
            <w:vAlign w:val="center"/>
          </w:tcPr>
          <w:p w14:paraId="7E5E81CA">
            <w:pPr>
              <w:spacing w:line="240" w:lineRule="atLeast"/>
              <w:jc w:val="center"/>
              <w:rPr>
                <w:rFonts w:hint="eastAsia" w:ascii="宋体" w:hAnsi="宋体" w:cs="宋体"/>
                <w:color w:val="auto"/>
                <w:sz w:val="24"/>
                <w:highlight w:val="none"/>
              </w:rPr>
            </w:pPr>
          </w:p>
        </w:tc>
        <w:tc>
          <w:tcPr>
            <w:tcW w:w="1072" w:type="dxa"/>
            <w:noWrap w:val="0"/>
            <w:vAlign w:val="center"/>
          </w:tcPr>
          <w:p w14:paraId="04854CFB">
            <w:pPr>
              <w:spacing w:line="240" w:lineRule="atLeast"/>
              <w:jc w:val="center"/>
              <w:rPr>
                <w:rFonts w:hint="eastAsia" w:ascii="宋体" w:hAnsi="宋体" w:cs="宋体"/>
                <w:color w:val="auto"/>
                <w:sz w:val="24"/>
                <w:highlight w:val="none"/>
              </w:rPr>
            </w:pPr>
          </w:p>
        </w:tc>
        <w:tc>
          <w:tcPr>
            <w:tcW w:w="1307" w:type="dxa"/>
            <w:noWrap w:val="0"/>
            <w:vAlign w:val="top"/>
          </w:tcPr>
          <w:p w14:paraId="7D053B96">
            <w:pPr>
              <w:spacing w:line="240" w:lineRule="atLeast"/>
              <w:jc w:val="center"/>
              <w:rPr>
                <w:rFonts w:hint="eastAsia" w:ascii="宋体" w:hAnsi="宋体" w:cs="宋体"/>
                <w:color w:val="auto"/>
                <w:sz w:val="24"/>
                <w:highlight w:val="none"/>
              </w:rPr>
            </w:pPr>
          </w:p>
        </w:tc>
        <w:tc>
          <w:tcPr>
            <w:tcW w:w="1800" w:type="dxa"/>
            <w:noWrap w:val="0"/>
            <w:vAlign w:val="center"/>
          </w:tcPr>
          <w:p w14:paraId="1054F277">
            <w:pPr>
              <w:spacing w:line="240" w:lineRule="atLeast"/>
              <w:jc w:val="center"/>
              <w:rPr>
                <w:rFonts w:hint="eastAsia" w:ascii="宋体" w:hAnsi="宋体" w:cs="宋体"/>
                <w:color w:val="auto"/>
                <w:sz w:val="24"/>
                <w:highlight w:val="none"/>
              </w:rPr>
            </w:pPr>
          </w:p>
        </w:tc>
        <w:tc>
          <w:tcPr>
            <w:tcW w:w="876" w:type="dxa"/>
            <w:noWrap w:val="0"/>
            <w:vAlign w:val="center"/>
          </w:tcPr>
          <w:p w14:paraId="014F8988">
            <w:pPr>
              <w:spacing w:line="240" w:lineRule="atLeast"/>
              <w:jc w:val="center"/>
              <w:rPr>
                <w:rFonts w:hint="eastAsia" w:ascii="宋体" w:hAnsi="宋体" w:cs="宋体"/>
                <w:color w:val="auto"/>
                <w:sz w:val="24"/>
                <w:highlight w:val="none"/>
              </w:rPr>
            </w:pPr>
          </w:p>
        </w:tc>
      </w:tr>
      <w:tr w14:paraId="24560C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823" w:type="dxa"/>
            <w:noWrap w:val="0"/>
            <w:vAlign w:val="center"/>
          </w:tcPr>
          <w:p w14:paraId="1791587B">
            <w:pPr>
              <w:spacing w:line="240" w:lineRule="atLeast"/>
              <w:jc w:val="center"/>
              <w:rPr>
                <w:rFonts w:hint="eastAsia" w:ascii="宋体" w:hAnsi="宋体" w:cs="宋体"/>
                <w:color w:val="auto"/>
                <w:sz w:val="24"/>
                <w:highlight w:val="none"/>
              </w:rPr>
            </w:pPr>
          </w:p>
        </w:tc>
        <w:tc>
          <w:tcPr>
            <w:tcW w:w="1850" w:type="dxa"/>
            <w:noWrap w:val="0"/>
            <w:vAlign w:val="center"/>
          </w:tcPr>
          <w:p w14:paraId="044A5D9D">
            <w:pPr>
              <w:spacing w:line="240" w:lineRule="atLeast"/>
              <w:jc w:val="center"/>
              <w:rPr>
                <w:rFonts w:hint="eastAsia" w:ascii="宋体" w:hAnsi="宋体" w:cs="宋体"/>
                <w:color w:val="auto"/>
                <w:sz w:val="24"/>
                <w:highlight w:val="none"/>
              </w:rPr>
            </w:pPr>
          </w:p>
        </w:tc>
        <w:tc>
          <w:tcPr>
            <w:tcW w:w="1229" w:type="dxa"/>
            <w:noWrap w:val="0"/>
            <w:vAlign w:val="center"/>
          </w:tcPr>
          <w:p w14:paraId="4BCD696C">
            <w:pPr>
              <w:spacing w:line="240" w:lineRule="atLeast"/>
              <w:jc w:val="center"/>
              <w:rPr>
                <w:rFonts w:hint="eastAsia" w:ascii="宋体" w:hAnsi="宋体" w:cs="宋体"/>
                <w:color w:val="auto"/>
                <w:sz w:val="24"/>
                <w:highlight w:val="none"/>
              </w:rPr>
            </w:pPr>
          </w:p>
        </w:tc>
        <w:tc>
          <w:tcPr>
            <w:tcW w:w="1072" w:type="dxa"/>
            <w:noWrap w:val="0"/>
            <w:vAlign w:val="center"/>
          </w:tcPr>
          <w:p w14:paraId="629A6997">
            <w:pPr>
              <w:spacing w:line="240" w:lineRule="atLeast"/>
              <w:jc w:val="center"/>
              <w:rPr>
                <w:rFonts w:hint="eastAsia" w:ascii="宋体" w:hAnsi="宋体" w:cs="宋体"/>
                <w:color w:val="auto"/>
                <w:sz w:val="24"/>
                <w:highlight w:val="none"/>
              </w:rPr>
            </w:pPr>
          </w:p>
        </w:tc>
        <w:tc>
          <w:tcPr>
            <w:tcW w:w="1307" w:type="dxa"/>
            <w:noWrap w:val="0"/>
            <w:vAlign w:val="top"/>
          </w:tcPr>
          <w:p w14:paraId="506AFD0D">
            <w:pPr>
              <w:spacing w:line="240" w:lineRule="atLeast"/>
              <w:jc w:val="center"/>
              <w:rPr>
                <w:rFonts w:hint="eastAsia" w:ascii="宋体" w:hAnsi="宋体" w:cs="宋体"/>
                <w:color w:val="auto"/>
                <w:sz w:val="24"/>
                <w:highlight w:val="none"/>
              </w:rPr>
            </w:pPr>
          </w:p>
        </w:tc>
        <w:tc>
          <w:tcPr>
            <w:tcW w:w="1800" w:type="dxa"/>
            <w:noWrap w:val="0"/>
            <w:vAlign w:val="center"/>
          </w:tcPr>
          <w:p w14:paraId="2133E00D">
            <w:pPr>
              <w:spacing w:line="240" w:lineRule="atLeast"/>
              <w:jc w:val="center"/>
              <w:rPr>
                <w:rFonts w:hint="eastAsia" w:ascii="宋体" w:hAnsi="宋体" w:cs="宋体"/>
                <w:color w:val="auto"/>
                <w:sz w:val="24"/>
                <w:highlight w:val="none"/>
              </w:rPr>
            </w:pPr>
          </w:p>
        </w:tc>
        <w:tc>
          <w:tcPr>
            <w:tcW w:w="876" w:type="dxa"/>
            <w:noWrap w:val="0"/>
            <w:vAlign w:val="center"/>
          </w:tcPr>
          <w:p w14:paraId="5A43D6BC">
            <w:pPr>
              <w:spacing w:line="240" w:lineRule="atLeast"/>
              <w:jc w:val="center"/>
              <w:rPr>
                <w:rFonts w:hint="eastAsia" w:ascii="宋体" w:hAnsi="宋体" w:cs="宋体"/>
                <w:color w:val="auto"/>
                <w:sz w:val="24"/>
                <w:highlight w:val="none"/>
              </w:rPr>
            </w:pPr>
          </w:p>
        </w:tc>
      </w:tr>
      <w:tr w14:paraId="4BB70F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823" w:type="dxa"/>
            <w:noWrap w:val="0"/>
            <w:vAlign w:val="center"/>
          </w:tcPr>
          <w:p w14:paraId="1E2A37D8">
            <w:pPr>
              <w:spacing w:line="240" w:lineRule="atLeast"/>
              <w:jc w:val="center"/>
              <w:rPr>
                <w:rFonts w:hint="eastAsia" w:ascii="宋体" w:hAnsi="宋体" w:cs="宋体"/>
                <w:color w:val="auto"/>
                <w:sz w:val="24"/>
                <w:highlight w:val="none"/>
              </w:rPr>
            </w:pPr>
          </w:p>
        </w:tc>
        <w:tc>
          <w:tcPr>
            <w:tcW w:w="1850" w:type="dxa"/>
            <w:noWrap w:val="0"/>
            <w:vAlign w:val="center"/>
          </w:tcPr>
          <w:p w14:paraId="5E388CCC">
            <w:pPr>
              <w:spacing w:line="240" w:lineRule="atLeast"/>
              <w:jc w:val="center"/>
              <w:rPr>
                <w:rFonts w:hint="eastAsia" w:ascii="宋体" w:hAnsi="宋体" w:cs="宋体"/>
                <w:color w:val="auto"/>
                <w:sz w:val="24"/>
                <w:highlight w:val="none"/>
              </w:rPr>
            </w:pPr>
          </w:p>
        </w:tc>
        <w:tc>
          <w:tcPr>
            <w:tcW w:w="1229" w:type="dxa"/>
            <w:noWrap w:val="0"/>
            <w:vAlign w:val="center"/>
          </w:tcPr>
          <w:p w14:paraId="7438E76A">
            <w:pPr>
              <w:spacing w:line="240" w:lineRule="atLeast"/>
              <w:jc w:val="center"/>
              <w:rPr>
                <w:rFonts w:hint="eastAsia" w:ascii="宋体" w:hAnsi="宋体" w:cs="宋体"/>
                <w:color w:val="auto"/>
                <w:sz w:val="24"/>
                <w:highlight w:val="none"/>
              </w:rPr>
            </w:pPr>
          </w:p>
        </w:tc>
        <w:tc>
          <w:tcPr>
            <w:tcW w:w="1072" w:type="dxa"/>
            <w:noWrap w:val="0"/>
            <w:vAlign w:val="center"/>
          </w:tcPr>
          <w:p w14:paraId="799B59A8">
            <w:pPr>
              <w:spacing w:line="240" w:lineRule="atLeast"/>
              <w:jc w:val="center"/>
              <w:rPr>
                <w:rFonts w:hint="eastAsia" w:ascii="宋体" w:hAnsi="宋体" w:cs="宋体"/>
                <w:color w:val="auto"/>
                <w:sz w:val="24"/>
                <w:highlight w:val="none"/>
              </w:rPr>
            </w:pPr>
          </w:p>
        </w:tc>
        <w:tc>
          <w:tcPr>
            <w:tcW w:w="1307" w:type="dxa"/>
            <w:noWrap w:val="0"/>
            <w:vAlign w:val="top"/>
          </w:tcPr>
          <w:p w14:paraId="2ACD619B">
            <w:pPr>
              <w:spacing w:line="240" w:lineRule="atLeast"/>
              <w:jc w:val="center"/>
              <w:rPr>
                <w:rFonts w:hint="eastAsia" w:ascii="宋体" w:hAnsi="宋体" w:cs="宋体"/>
                <w:color w:val="auto"/>
                <w:sz w:val="24"/>
                <w:highlight w:val="none"/>
              </w:rPr>
            </w:pPr>
          </w:p>
        </w:tc>
        <w:tc>
          <w:tcPr>
            <w:tcW w:w="1800" w:type="dxa"/>
            <w:noWrap w:val="0"/>
            <w:vAlign w:val="center"/>
          </w:tcPr>
          <w:p w14:paraId="6AB48F0F">
            <w:pPr>
              <w:spacing w:line="240" w:lineRule="atLeast"/>
              <w:jc w:val="center"/>
              <w:rPr>
                <w:rFonts w:hint="eastAsia" w:ascii="宋体" w:hAnsi="宋体" w:cs="宋体"/>
                <w:color w:val="auto"/>
                <w:sz w:val="24"/>
                <w:highlight w:val="none"/>
              </w:rPr>
            </w:pPr>
          </w:p>
        </w:tc>
        <w:tc>
          <w:tcPr>
            <w:tcW w:w="876" w:type="dxa"/>
            <w:noWrap w:val="0"/>
            <w:vAlign w:val="center"/>
          </w:tcPr>
          <w:p w14:paraId="33FDC165">
            <w:pPr>
              <w:spacing w:line="240" w:lineRule="atLeast"/>
              <w:jc w:val="center"/>
              <w:rPr>
                <w:rFonts w:hint="eastAsia" w:ascii="宋体" w:hAnsi="宋体" w:cs="宋体"/>
                <w:color w:val="auto"/>
                <w:sz w:val="24"/>
                <w:highlight w:val="none"/>
              </w:rPr>
            </w:pPr>
          </w:p>
        </w:tc>
      </w:tr>
      <w:tr w14:paraId="105A14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823" w:type="dxa"/>
            <w:noWrap w:val="0"/>
            <w:vAlign w:val="center"/>
          </w:tcPr>
          <w:p w14:paraId="02CB8509">
            <w:pPr>
              <w:spacing w:line="240" w:lineRule="atLeast"/>
              <w:jc w:val="center"/>
              <w:rPr>
                <w:rFonts w:hint="eastAsia" w:ascii="宋体" w:hAnsi="宋体" w:cs="宋体"/>
                <w:color w:val="auto"/>
                <w:sz w:val="24"/>
                <w:highlight w:val="none"/>
              </w:rPr>
            </w:pPr>
          </w:p>
        </w:tc>
        <w:tc>
          <w:tcPr>
            <w:tcW w:w="1850" w:type="dxa"/>
            <w:noWrap w:val="0"/>
            <w:vAlign w:val="center"/>
          </w:tcPr>
          <w:p w14:paraId="131D882F">
            <w:pPr>
              <w:spacing w:line="240" w:lineRule="atLeast"/>
              <w:jc w:val="center"/>
              <w:rPr>
                <w:rFonts w:hint="eastAsia" w:ascii="宋体" w:hAnsi="宋体" w:cs="宋体"/>
                <w:color w:val="auto"/>
                <w:sz w:val="24"/>
                <w:highlight w:val="none"/>
              </w:rPr>
            </w:pPr>
          </w:p>
        </w:tc>
        <w:tc>
          <w:tcPr>
            <w:tcW w:w="1229" w:type="dxa"/>
            <w:noWrap w:val="0"/>
            <w:vAlign w:val="center"/>
          </w:tcPr>
          <w:p w14:paraId="3ECB1309">
            <w:pPr>
              <w:spacing w:line="240" w:lineRule="atLeast"/>
              <w:jc w:val="center"/>
              <w:rPr>
                <w:rFonts w:hint="eastAsia" w:ascii="宋体" w:hAnsi="宋体" w:cs="宋体"/>
                <w:color w:val="auto"/>
                <w:sz w:val="24"/>
                <w:highlight w:val="none"/>
              </w:rPr>
            </w:pPr>
          </w:p>
        </w:tc>
        <w:tc>
          <w:tcPr>
            <w:tcW w:w="1072" w:type="dxa"/>
            <w:noWrap w:val="0"/>
            <w:vAlign w:val="center"/>
          </w:tcPr>
          <w:p w14:paraId="55A7C58F">
            <w:pPr>
              <w:spacing w:line="240" w:lineRule="atLeast"/>
              <w:jc w:val="center"/>
              <w:rPr>
                <w:rFonts w:hint="eastAsia" w:ascii="宋体" w:hAnsi="宋体" w:cs="宋体"/>
                <w:color w:val="auto"/>
                <w:sz w:val="24"/>
                <w:highlight w:val="none"/>
              </w:rPr>
            </w:pPr>
          </w:p>
        </w:tc>
        <w:tc>
          <w:tcPr>
            <w:tcW w:w="1307" w:type="dxa"/>
            <w:noWrap w:val="0"/>
            <w:vAlign w:val="top"/>
          </w:tcPr>
          <w:p w14:paraId="6E7C50CD">
            <w:pPr>
              <w:spacing w:line="240" w:lineRule="atLeast"/>
              <w:jc w:val="center"/>
              <w:rPr>
                <w:rFonts w:hint="eastAsia" w:ascii="宋体" w:hAnsi="宋体" w:cs="宋体"/>
                <w:color w:val="auto"/>
                <w:sz w:val="24"/>
                <w:highlight w:val="none"/>
              </w:rPr>
            </w:pPr>
          </w:p>
        </w:tc>
        <w:tc>
          <w:tcPr>
            <w:tcW w:w="1800" w:type="dxa"/>
            <w:noWrap w:val="0"/>
            <w:vAlign w:val="center"/>
          </w:tcPr>
          <w:p w14:paraId="68C8AA81">
            <w:pPr>
              <w:spacing w:line="240" w:lineRule="atLeast"/>
              <w:jc w:val="center"/>
              <w:rPr>
                <w:rFonts w:hint="eastAsia" w:ascii="宋体" w:hAnsi="宋体" w:cs="宋体"/>
                <w:color w:val="auto"/>
                <w:sz w:val="24"/>
                <w:highlight w:val="none"/>
              </w:rPr>
            </w:pPr>
          </w:p>
        </w:tc>
        <w:tc>
          <w:tcPr>
            <w:tcW w:w="876" w:type="dxa"/>
            <w:noWrap w:val="0"/>
            <w:vAlign w:val="center"/>
          </w:tcPr>
          <w:p w14:paraId="26BDB29F">
            <w:pPr>
              <w:spacing w:line="240" w:lineRule="atLeast"/>
              <w:jc w:val="center"/>
              <w:rPr>
                <w:rFonts w:hint="eastAsia" w:ascii="宋体" w:hAnsi="宋体" w:cs="宋体"/>
                <w:color w:val="auto"/>
                <w:sz w:val="24"/>
                <w:highlight w:val="none"/>
              </w:rPr>
            </w:pPr>
          </w:p>
        </w:tc>
      </w:tr>
      <w:tr w14:paraId="435100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823" w:type="dxa"/>
            <w:noWrap w:val="0"/>
            <w:vAlign w:val="center"/>
          </w:tcPr>
          <w:p w14:paraId="058025B3">
            <w:pPr>
              <w:spacing w:line="240" w:lineRule="atLeast"/>
              <w:jc w:val="center"/>
              <w:rPr>
                <w:rFonts w:hint="eastAsia" w:ascii="宋体" w:hAnsi="宋体" w:cs="宋体"/>
                <w:color w:val="auto"/>
                <w:sz w:val="24"/>
                <w:highlight w:val="none"/>
              </w:rPr>
            </w:pPr>
          </w:p>
        </w:tc>
        <w:tc>
          <w:tcPr>
            <w:tcW w:w="1850" w:type="dxa"/>
            <w:noWrap w:val="0"/>
            <w:vAlign w:val="center"/>
          </w:tcPr>
          <w:p w14:paraId="3AA73F07">
            <w:pPr>
              <w:spacing w:line="240" w:lineRule="atLeast"/>
              <w:jc w:val="center"/>
              <w:rPr>
                <w:rFonts w:hint="eastAsia" w:ascii="宋体" w:hAnsi="宋体" w:cs="宋体"/>
                <w:color w:val="auto"/>
                <w:sz w:val="24"/>
                <w:highlight w:val="none"/>
              </w:rPr>
            </w:pPr>
          </w:p>
        </w:tc>
        <w:tc>
          <w:tcPr>
            <w:tcW w:w="1229" w:type="dxa"/>
            <w:noWrap w:val="0"/>
            <w:vAlign w:val="center"/>
          </w:tcPr>
          <w:p w14:paraId="37A43C7F">
            <w:pPr>
              <w:spacing w:line="240" w:lineRule="atLeast"/>
              <w:jc w:val="center"/>
              <w:rPr>
                <w:rFonts w:hint="eastAsia" w:ascii="宋体" w:hAnsi="宋体" w:cs="宋体"/>
                <w:color w:val="auto"/>
                <w:sz w:val="24"/>
                <w:highlight w:val="none"/>
              </w:rPr>
            </w:pPr>
          </w:p>
        </w:tc>
        <w:tc>
          <w:tcPr>
            <w:tcW w:w="1072" w:type="dxa"/>
            <w:noWrap w:val="0"/>
            <w:vAlign w:val="center"/>
          </w:tcPr>
          <w:p w14:paraId="68846B7E">
            <w:pPr>
              <w:spacing w:line="240" w:lineRule="atLeast"/>
              <w:jc w:val="center"/>
              <w:rPr>
                <w:rFonts w:hint="eastAsia" w:ascii="宋体" w:hAnsi="宋体" w:cs="宋体"/>
                <w:color w:val="auto"/>
                <w:sz w:val="24"/>
                <w:highlight w:val="none"/>
              </w:rPr>
            </w:pPr>
          </w:p>
        </w:tc>
        <w:tc>
          <w:tcPr>
            <w:tcW w:w="1307" w:type="dxa"/>
            <w:noWrap w:val="0"/>
            <w:vAlign w:val="top"/>
          </w:tcPr>
          <w:p w14:paraId="73E523B4">
            <w:pPr>
              <w:spacing w:line="240" w:lineRule="atLeast"/>
              <w:jc w:val="center"/>
              <w:rPr>
                <w:rFonts w:hint="eastAsia" w:ascii="宋体" w:hAnsi="宋体" w:cs="宋体"/>
                <w:color w:val="auto"/>
                <w:sz w:val="24"/>
                <w:highlight w:val="none"/>
              </w:rPr>
            </w:pPr>
          </w:p>
        </w:tc>
        <w:tc>
          <w:tcPr>
            <w:tcW w:w="1800" w:type="dxa"/>
            <w:noWrap w:val="0"/>
            <w:vAlign w:val="center"/>
          </w:tcPr>
          <w:p w14:paraId="353DC265">
            <w:pPr>
              <w:spacing w:line="240" w:lineRule="atLeast"/>
              <w:jc w:val="center"/>
              <w:rPr>
                <w:rFonts w:hint="eastAsia" w:ascii="宋体" w:hAnsi="宋体" w:cs="宋体"/>
                <w:color w:val="auto"/>
                <w:sz w:val="24"/>
                <w:highlight w:val="none"/>
              </w:rPr>
            </w:pPr>
          </w:p>
        </w:tc>
        <w:tc>
          <w:tcPr>
            <w:tcW w:w="876" w:type="dxa"/>
            <w:noWrap w:val="0"/>
            <w:vAlign w:val="center"/>
          </w:tcPr>
          <w:p w14:paraId="5257D9ED">
            <w:pPr>
              <w:spacing w:line="240" w:lineRule="atLeast"/>
              <w:jc w:val="center"/>
              <w:rPr>
                <w:rFonts w:hint="eastAsia" w:ascii="宋体" w:hAnsi="宋体" w:cs="宋体"/>
                <w:color w:val="auto"/>
                <w:sz w:val="24"/>
                <w:highlight w:val="none"/>
              </w:rPr>
            </w:pPr>
          </w:p>
        </w:tc>
      </w:tr>
      <w:tr w14:paraId="5B90A0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823" w:type="dxa"/>
            <w:noWrap w:val="0"/>
            <w:vAlign w:val="center"/>
          </w:tcPr>
          <w:p w14:paraId="176292C2">
            <w:pPr>
              <w:spacing w:line="240" w:lineRule="atLeast"/>
              <w:jc w:val="center"/>
              <w:rPr>
                <w:rFonts w:hint="eastAsia" w:ascii="宋体" w:hAnsi="宋体" w:cs="宋体"/>
                <w:color w:val="auto"/>
                <w:sz w:val="24"/>
                <w:highlight w:val="none"/>
              </w:rPr>
            </w:pPr>
          </w:p>
        </w:tc>
        <w:tc>
          <w:tcPr>
            <w:tcW w:w="1850" w:type="dxa"/>
            <w:noWrap w:val="0"/>
            <w:vAlign w:val="center"/>
          </w:tcPr>
          <w:p w14:paraId="20A439BD">
            <w:pPr>
              <w:spacing w:line="240" w:lineRule="atLeast"/>
              <w:jc w:val="center"/>
              <w:rPr>
                <w:rFonts w:hint="eastAsia" w:ascii="宋体" w:hAnsi="宋体" w:cs="宋体"/>
                <w:color w:val="auto"/>
                <w:sz w:val="24"/>
                <w:highlight w:val="none"/>
              </w:rPr>
            </w:pPr>
          </w:p>
        </w:tc>
        <w:tc>
          <w:tcPr>
            <w:tcW w:w="1229" w:type="dxa"/>
            <w:noWrap w:val="0"/>
            <w:vAlign w:val="center"/>
          </w:tcPr>
          <w:p w14:paraId="1F38DA11">
            <w:pPr>
              <w:spacing w:line="240" w:lineRule="atLeast"/>
              <w:jc w:val="center"/>
              <w:rPr>
                <w:rFonts w:hint="eastAsia" w:ascii="宋体" w:hAnsi="宋体" w:cs="宋体"/>
                <w:color w:val="auto"/>
                <w:sz w:val="24"/>
                <w:highlight w:val="none"/>
              </w:rPr>
            </w:pPr>
          </w:p>
        </w:tc>
        <w:tc>
          <w:tcPr>
            <w:tcW w:w="1072" w:type="dxa"/>
            <w:noWrap w:val="0"/>
            <w:vAlign w:val="center"/>
          </w:tcPr>
          <w:p w14:paraId="2BB85F9B">
            <w:pPr>
              <w:spacing w:line="240" w:lineRule="atLeast"/>
              <w:jc w:val="center"/>
              <w:rPr>
                <w:rFonts w:hint="eastAsia" w:ascii="宋体" w:hAnsi="宋体" w:cs="宋体"/>
                <w:color w:val="auto"/>
                <w:sz w:val="24"/>
                <w:highlight w:val="none"/>
              </w:rPr>
            </w:pPr>
          </w:p>
        </w:tc>
        <w:tc>
          <w:tcPr>
            <w:tcW w:w="1307" w:type="dxa"/>
            <w:noWrap w:val="0"/>
            <w:vAlign w:val="top"/>
          </w:tcPr>
          <w:p w14:paraId="7C98472A">
            <w:pPr>
              <w:spacing w:line="240" w:lineRule="atLeast"/>
              <w:jc w:val="center"/>
              <w:rPr>
                <w:rFonts w:hint="eastAsia" w:ascii="宋体" w:hAnsi="宋体" w:cs="宋体"/>
                <w:color w:val="auto"/>
                <w:sz w:val="24"/>
                <w:highlight w:val="none"/>
              </w:rPr>
            </w:pPr>
          </w:p>
        </w:tc>
        <w:tc>
          <w:tcPr>
            <w:tcW w:w="1800" w:type="dxa"/>
            <w:noWrap w:val="0"/>
            <w:vAlign w:val="center"/>
          </w:tcPr>
          <w:p w14:paraId="2184E135">
            <w:pPr>
              <w:spacing w:line="240" w:lineRule="atLeast"/>
              <w:jc w:val="center"/>
              <w:rPr>
                <w:rFonts w:hint="eastAsia" w:ascii="宋体" w:hAnsi="宋体" w:cs="宋体"/>
                <w:color w:val="auto"/>
                <w:sz w:val="24"/>
                <w:highlight w:val="none"/>
              </w:rPr>
            </w:pPr>
          </w:p>
        </w:tc>
        <w:tc>
          <w:tcPr>
            <w:tcW w:w="876" w:type="dxa"/>
            <w:noWrap w:val="0"/>
            <w:vAlign w:val="center"/>
          </w:tcPr>
          <w:p w14:paraId="0760B5D8">
            <w:pPr>
              <w:spacing w:line="240" w:lineRule="atLeast"/>
              <w:jc w:val="center"/>
              <w:rPr>
                <w:rFonts w:hint="eastAsia" w:ascii="宋体" w:hAnsi="宋体" w:cs="宋体"/>
                <w:color w:val="auto"/>
                <w:sz w:val="24"/>
                <w:highlight w:val="none"/>
              </w:rPr>
            </w:pPr>
          </w:p>
        </w:tc>
      </w:tr>
      <w:tr w14:paraId="58221C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823" w:type="dxa"/>
            <w:noWrap w:val="0"/>
            <w:vAlign w:val="center"/>
          </w:tcPr>
          <w:p w14:paraId="0776D140">
            <w:pPr>
              <w:spacing w:line="240" w:lineRule="atLeast"/>
              <w:jc w:val="center"/>
              <w:rPr>
                <w:rFonts w:hint="eastAsia" w:ascii="宋体" w:hAnsi="宋体" w:cs="宋体"/>
                <w:color w:val="auto"/>
                <w:sz w:val="24"/>
                <w:highlight w:val="none"/>
              </w:rPr>
            </w:pPr>
          </w:p>
        </w:tc>
        <w:tc>
          <w:tcPr>
            <w:tcW w:w="1850" w:type="dxa"/>
            <w:noWrap w:val="0"/>
            <w:vAlign w:val="center"/>
          </w:tcPr>
          <w:p w14:paraId="38F8BB97">
            <w:pPr>
              <w:spacing w:line="240" w:lineRule="atLeast"/>
              <w:jc w:val="center"/>
              <w:rPr>
                <w:rFonts w:hint="eastAsia" w:ascii="宋体" w:hAnsi="宋体" w:cs="宋体"/>
                <w:color w:val="auto"/>
                <w:sz w:val="24"/>
                <w:highlight w:val="none"/>
              </w:rPr>
            </w:pPr>
          </w:p>
        </w:tc>
        <w:tc>
          <w:tcPr>
            <w:tcW w:w="1229" w:type="dxa"/>
            <w:noWrap w:val="0"/>
            <w:vAlign w:val="center"/>
          </w:tcPr>
          <w:p w14:paraId="013BCB34">
            <w:pPr>
              <w:spacing w:line="240" w:lineRule="atLeast"/>
              <w:jc w:val="center"/>
              <w:rPr>
                <w:rFonts w:hint="eastAsia" w:ascii="宋体" w:hAnsi="宋体" w:cs="宋体"/>
                <w:color w:val="auto"/>
                <w:sz w:val="24"/>
                <w:highlight w:val="none"/>
              </w:rPr>
            </w:pPr>
          </w:p>
        </w:tc>
        <w:tc>
          <w:tcPr>
            <w:tcW w:w="1072" w:type="dxa"/>
            <w:noWrap w:val="0"/>
            <w:vAlign w:val="center"/>
          </w:tcPr>
          <w:p w14:paraId="7DCA2500">
            <w:pPr>
              <w:spacing w:line="240" w:lineRule="atLeast"/>
              <w:jc w:val="center"/>
              <w:rPr>
                <w:rFonts w:hint="eastAsia" w:ascii="宋体" w:hAnsi="宋体" w:cs="宋体"/>
                <w:color w:val="auto"/>
                <w:sz w:val="24"/>
                <w:highlight w:val="none"/>
              </w:rPr>
            </w:pPr>
          </w:p>
        </w:tc>
        <w:tc>
          <w:tcPr>
            <w:tcW w:w="1307" w:type="dxa"/>
            <w:noWrap w:val="0"/>
            <w:vAlign w:val="top"/>
          </w:tcPr>
          <w:p w14:paraId="3CED5F32">
            <w:pPr>
              <w:spacing w:line="240" w:lineRule="atLeast"/>
              <w:jc w:val="center"/>
              <w:rPr>
                <w:rFonts w:hint="eastAsia" w:ascii="宋体" w:hAnsi="宋体" w:cs="宋体"/>
                <w:color w:val="auto"/>
                <w:sz w:val="24"/>
                <w:highlight w:val="none"/>
              </w:rPr>
            </w:pPr>
          </w:p>
        </w:tc>
        <w:tc>
          <w:tcPr>
            <w:tcW w:w="1800" w:type="dxa"/>
            <w:noWrap w:val="0"/>
            <w:vAlign w:val="center"/>
          </w:tcPr>
          <w:p w14:paraId="7B20766D">
            <w:pPr>
              <w:spacing w:line="240" w:lineRule="atLeast"/>
              <w:jc w:val="center"/>
              <w:rPr>
                <w:rFonts w:hint="eastAsia" w:ascii="宋体" w:hAnsi="宋体" w:cs="宋体"/>
                <w:color w:val="auto"/>
                <w:sz w:val="24"/>
                <w:highlight w:val="none"/>
              </w:rPr>
            </w:pPr>
          </w:p>
        </w:tc>
        <w:tc>
          <w:tcPr>
            <w:tcW w:w="876" w:type="dxa"/>
            <w:noWrap w:val="0"/>
            <w:vAlign w:val="center"/>
          </w:tcPr>
          <w:p w14:paraId="51E2D831">
            <w:pPr>
              <w:spacing w:line="240" w:lineRule="atLeast"/>
              <w:jc w:val="center"/>
              <w:rPr>
                <w:rFonts w:hint="eastAsia" w:ascii="宋体" w:hAnsi="宋体" w:cs="宋体"/>
                <w:color w:val="auto"/>
                <w:sz w:val="24"/>
                <w:highlight w:val="none"/>
              </w:rPr>
            </w:pPr>
          </w:p>
        </w:tc>
      </w:tr>
    </w:tbl>
    <w:p w14:paraId="3930E3C6">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注：填写表格后</w:t>
      </w:r>
      <w:r>
        <w:rPr>
          <w:rFonts w:hint="eastAsia"/>
          <w:color w:val="auto"/>
          <w:sz w:val="24"/>
          <w:szCs w:val="24"/>
          <w:highlight w:val="none"/>
        </w:rPr>
        <w:t>须按照评分标准中要求提供证明资料。</w:t>
      </w:r>
    </w:p>
    <w:p w14:paraId="3233A565">
      <w:pPr>
        <w:spacing w:before="240" w:after="240" w:line="360" w:lineRule="auto"/>
        <w:jc w:val="center"/>
        <w:rPr>
          <w:rFonts w:ascii="宋体" w:hAnsi="宋体"/>
          <w:b/>
          <w:bCs/>
          <w:color w:val="auto"/>
          <w:sz w:val="32"/>
          <w:szCs w:val="32"/>
          <w:highlight w:val="none"/>
        </w:rPr>
      </w:pPr>
      <w:r>
        <w:rPr>
          <w:rFonts w:hint="eastAsia" w:ascii="宋体" w:hAnsi="宋体"/>
          <w:b/>
          <w:color w:val="auto"/>
          <w:position w:val="12"/>
          <w:sz w:val="28"/>
          <w:szCs w:val="28"/>
          <w:highlight w:val="none"/>
        </w:rPr>
        <w:br w:type="page"/>
      </w:r>
      <w:bookmarkEnd w:id="346"/>
      <w:r>
        <w:rPr>
          <w:rFonts w:hint="eastAsia" w:ascii="宋体" w:hAnsi="宋体" w:eastAsia="宋体" w:cs="Times New Roman"/>
          <w:b/>
          <w:color w:val="auto"/>
          <w:position w:val="0"/>
          <w:sz w:val="32"/>
          <w:szCs w:val="32"/>
          <w:highlight w:val="none"/>
          <w:lang w:val="en-US" w:eastAsia="zh-CN"/>
        </w:rPr>
        <w:t>8.2</w:t>
      </w:r>
      <w:r>
        <w:rPr>
          <w:rFonts w:hint="eastAsia" w:ascii="宋体" w:hAnsi="宋体"/>
          <w:b/>
          <w:bCs/>
          <w:color w:val="auto"/>
          <w:sz w:val="32"/>
          <w:szCs w:val="32"/>
          <w:highlight w:val="none"/>
        </w:rPr>
        <w:t>拟在本项目任职的主要人员一览表</w:t>
      </w:r>
    </w:p>
    <w:tbl>
      <w:tblPr>
        <w:tblStyle w:val="33"/>
        <w:tblW w:w="924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0" w:type="dxa"/>
        </w:tblCellMar>
      </w:tblPr>
      <w:tblGrid>
        <w:gridCol w:w="2013"/>
        <w:gridCol w:w="1843"/>
        <w:gridCol w:w="2126"/>
        <w:gridCol w:w="1559"/>
        <w:gridCol w:w="1701"/>
      </w:tblGrid>
      <w:tr w14:paraId="15FEB4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0" w:type="dxa"/>
          </w:tblCellMar>
        </w:tblPrEx>
        <w:trPr>
          <w:cantSplit/>
          <w:trHeight w:val="787" w:hRule="atLeast"/>
        </w:trPr>
        <w:tc>
          <w:tcPr>
            <w:tcW w:w="2013" w:type="dxa"/>
            <w:noWrap w:val="0"/>
            <w:vAlign w:val="center"/>
          </w:tcPr>
          <w:p w14:paraId="7D660CA5">
            <w:pPr>
              <w:spacing w:line="320" w:lineRule="exact"/>
              <w:jc w:val="center"/>
              <w:rPr>
                <w:rFonts w:ascii="宋体" w:hAnsi="宋体"/>
                <w:color w:val="auto"/>
                <w:szCs w:val="21"/>
                <w:highlight w:val="none"/>
              </w:rPr>
            </w:pPr>
            <w:r>
              <w:rPr>
                <w:rFonts w:hint="eastAsia" w:ascii="宋体" w:hAnsi="宋体"/>
                <w:color w:val="auto"/>
                <w:szCs w:val="21"/>
                <w:highlight w:val="none"/>
              </w:rPr>
              <w:t>项目人员</w:t>
            </w:r>
          </w:p>
        </w:tc>
        <w:tc>
          <w:tcPr>
            <w:tcW w:w="1843" w:type="dxa"/>
            <w:noWrap w:val="0"/>
            <w:vAlign w:val="center"/>
          </w:tcPr>
          <w:p w14:paraId="0A32C56E">
            <w:pPr>
              <w:spacing w:line="320" w:lineRule="exact"/>
              <w:jc w:val="center"/>
              <w:rPr>
                <w:rFonts w:ascii="宋体" w:hAnsi="宋体"/>
                <w:color w:val="auto"/>
                <w:szCs w:val="21"/>
                <w:highlight w:val="none"/>
              </w:rPr>
            </w:pPr>
            <w:r>
              <w:rPr>
                <w:rFonts w:hint="eastAsia" w:ascii="宋体" w:hAnsi="宋体"/>
                <w:color w:val="auto"/>
                <w:szCs w:val="21"/>
                <w:highlight w:val="none"/>
              </w:rPr>
              <w:t>姓名</w:t>
            </w:r>
          </w:p>
        </w:tc>
        <w:tc>
          <w:tcPr>
            <w:tcW w:w="2126" w:type="dxa"/>
            <w:tcBorders>
              <w:right w:val="single" w:color="auto" w:sz="4" w:space="0"/>
            </w:tcBorders>
            <w:noWrap w:val="0"/>
            <w:vAlign w:val="center"/>
          </w:tcPr>
          <w:p w14:paraId="074EDFBA">
            <w:pPr>
              <w:spacing w:line="320" w:lineRule="exact"/>
              <w:jc w:val="center"/>
              <w:rPr>
                <w:rFonts w:ascii="宋体" w:hAnsi="宋体"/>
                <w:color w:val="auto"/>
                <w:szCs w:val="21"/>
                <w:highlight w:val="none"/>
              </w:rPr>
            </w:pPr>
            <w:r>
              <w:rPr>
                <w:rFonts w:hint="eastAsia" w:ascii="宋体" w:hAnsi="宋体"/>
                <w:color w:val="auto"/>
                <w:szCs w:val="21"/>
                <w:highlight w:val="none"/>
              </w:rPr>
              <w:t>注册资格或技术职称</w:t>
            </w:r>
          </w:p>
        </w:tc>
        <w:tc>
          <w:tcPr>
            <w:tcW w:w="1559" w:type="dxa"/>
            <w:tcBorders>
              <w:left w:val="single" w:color="auto" w:sz="4" w:space="0"/>
              <w:right w:val="single" w:color="auto" w:sz="4" w:space="0"/>
            </w:tcBorders>
            <w:noWrap w:val="0"/>
            <w:vAlign w:val="center"/>
          </w:tcPr>
          <w:p w14:paraId="3E3AD6EF">
            <w:pPr>
              <w:spacing w:line="320" w:lineRule="exact"/>
              <w:jc w:val="center"/>
              <w:rPr>
                <w:rFonts w:ascii="宋体" w:hAnsi="宋体"/>
                <w:color w:val="auto"/>
                <w:szCs w:val="21"/>
                <w:highlight w:val="none"/>
              </w:rPr>
            </w:pPr>
            <w:r>
              <w:rPr>
                <w:rFonts w:hint="eastAsia" w:ascii="宋体" w:hAnsi="宋体"/>
                <w:color w:val="auto"/>
                <w:szCs w:val="21"/>
                <w:highlight w:val="none"/>
              </w:rPr>
              <w:t>拟任职岗位</w:t>
            </w:r>
          </w:p>
        </w:tc>
        <w:tc>
          <w:tcPr>
            <w:tcW w:w="1701" w:type="dxa"/>
            <w:tcBorders>
              <w:left w:val="single" w:color="auto" w:sz="4" w:space="0"/>
            </w:tcBorders>
            <w:noWrap w:val="0"/>
            <w:vAlign w:val="center"/>
          </w:tcPr>
          <w:p w14:paraId="75995DA1">
            <w:pPr>
              <w:spacing w:line="320" w:lineRule="exact"/>
              <w:jc w:val="center"/>
              <w:rPr>
                <w:rFonts w:ascii="宋体" w:hAnsi="宋体"/>
                <w:color w:val="auto"/>
                <w:szCs w:val="21"/>
                <w:highlight w:val="none"/>
              </w:rPr>
            </w:pPr>
            <w:r>
              <w:rPr>
                <w:rFonts w:hint="eastAsia" w:ascii="宋体" w:hAnsi="宋体"/>
                <w:color w:val="auto"/>
                <w:szCs w:val="21"/>
                <w:highlight w:val="none"/>
              </w:rPr>
              <w:t>备注</w:t>
            </w:r>
          </w:p>
        </w:tc>
      </w:tr>
      <w:tr w14:paraId="2049F3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0" w:type="dxa"/>
          </w:tblCellMar>
        </w:tblPrEx>
        <w:trPr>
          <w:cantSplit/>
          <w:trHeight w:val="698" w:hRule="atLeast"/>
        </w:trPr>
        <w:tc>
          <w:tcPr>
            <w:tcW w:w="2013" w:type="dxa"/>
            <w:noWrap w:val="0"/>
            <w:vAlign w:val="center"/>
          </w:tcPr>
          <w:p w14:paraId="27BD071B">
            <w:pPr>
              <w:spacing w:line="320" w:lineRule="exact"/>
              <w:jc w:val="center"/>
              <w:rPr>
                <w:rFonts w:ascii="宋体" w:hAnsi="宋体"/>
                <w:color w:val="auto"/>
                <w:szCs w:val="21"/>
                <w:highlight w:val="none"/>
              </w:rPr>
            </w:pPr>
            <w:r>
              <w:rPr>
                <w:rFonts w:hint="eastAsia" w:ascii="宋体" w:hAnsi="宋体"/>
                <w:color w:val="auto"/>
                <w:szCs w:val="21"/>
                <w:highlight w:val="none"/>
              </w:rPr>
              <w:t>项目负责人</w:t>
            </w:r>
          </w:p>
        </w:tc>
        <w:tc>
          <w:tcPr>
            <w:tcW w:w="1843" w:type="dxa"/>
            <w:noWrap w:val="0"/>
            <w:vAlign w:val="center"/>
          </w:tcPr>
          <w:p w14:paraId="0D9CBBB0">
            <w:pPr>
              <w:spacing w:line="320" w:lineRule="exact"/>
              <w:ind w:right="105" w:rightChars="50" w:firstLine="315" w:firstLineChars="150"/>
              <w:rPr>
                <w:rFonts w:hint="eastAsia" w:ascii="宋体" w:hAnsi="宋体"/>
                <w:color w:val="auto"/>
                <w:szCs w:val="21"/>
                <w:highlight w:val="none"/>
              </w:rPr>
            </w:pPr>
            <w:r>
              <w:rPr>
                <w:rFonts w:hint="eastAsia" w:ascii="宋体" w:hAnsi="宋体"/>
                <w:color w:val="auto"/>
                <w:szCs w:val="21"/>
                <w:highlight w:val="none"/>
              </w:rPr>
              <w:t xml:space="preserve"> </w:t>
            </w:r>
            <w:r>
              <w:rPr>
                <w:rFonts w:ascii="宋体" w:hAnsi="宋体"/>
                <w:color w:val="auto"/>
                <w:szCs w:val="21"/>
                <w:highlight w:val="none"/>
              </w:rPr>
              <w:t xml:space="preserve">     </w:t>
            </w:r>
          </w:p>
        </w:tc>
        <w:tc>
          <w:tcPr>
            <w:tcW w:w="2126" w:type="dxa"/>
            <w:tcBorders>
              <w:right w:val="single" w:color="auto" w:sz="4" w:space="0"/>
            </w:tcBorders>
            <w:noWrap w:val="0"/>
            <w:vAlign w:val="center"/>
          </w:tcPr>
          <w:p w14:paraId="6C1648FB">
            <w:pPr>
              <w:spacing w:line="320" w:lineRule="exact"/>
              <w:jc w:val="center"/>
              <w:rPr>
                <w:rFonts w:ascii="宋体" w:hAnsi="宋体"/>
                <w:color w:val="auto"/>
                <w:szCs w:val="21"/>
                <w:highlight w:val="none"/>
              </w:rPr>
            </w:pPr>
          </w:p>
        </w:tc>
        <w:tc>
          <w:tcPr>
            <w:tcW w:w="1559" w:type="dxa"/>
            <w:tcBorders>
              <w:left w:val="single" w:color="auto" w:sz="4" w:space="0"/>
              <w:right w:val="single" w:color="auto" w:sz="4" w:space="0"/>
            </w:tcBorders>
            <w:noWrap w:val="0"/>
            <w:vAlign w:val="center"/>
          </w:tcPr>
          <w:p w14:paraId="67FB8318">
            <w:pPr>
              <w:spacing w:line="320" w:lineRule="exact"/>
              <w:jc w:val="center"/>
              <w:rPr>
                <w:rFonts w:ascii="宋体" w:hAnsi="宋体"/>
                <w:color w:val="auto"/>
                <w:szCs w:val="21"/>
                <w:highlight w:val="none"/>
              </w:rPr>
            </w:pPr>
          </w:p>
        </w:tc>
        <w:tc>
          <w:tcPr>
            <w:tcW w:w="1701" w:type="dxa"/>
            <w:tcBorders>
              <w:left w:val="single" w:color="auto" w:sz="4" w:space="0"/>
            </w:tcBorders>
            <w:noWrap w:val="0"/>
            <w:vAlign w:val="center"/>
          </w:tcPr>
          <w:p w14:paraId="27E6F4D5">
            <w:pPr>
              <w:spacing w:line="320" w:lineRule="exact"/>
              <w:jc w:val="center"/>
              <w:rPr>
                <w:rFonts w:ascii="宋体" w:hAnsi="宋体"/>
                <w:color w:val="auto"/>
                <w:szCs w:val="21"/>
                <w:highlight w:val="none"/>
              </w:rPr>
            </w:pPr>
          </w:p>
        </w:tc>
      </w:tr>
      <w:tr w14:paraId="18AFC0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0" w:type="dxa"/>
          </w:tblCellMar>
        </w:tblPrEx>
        <w:trPr>
          <w:cantSplit/>
          <w:trHeight w:val="567" w:hRule="atLeast"/>
        </w:trPr>
        <w:tc>
          <w:tcPr>
            <w:tcW w:w="2013" w:type="dxa"/>
            <w:vMerge w:val="restart"/>
            <w:noWrap w:val="0"/>
            <w:vAlign w:val="center"/>
          </w:tcPr>
          <w:p w14:paraId="7C45A830">
            <w:pPr>
              <w:spacing w:line="320" w:lineRule="exact"/>
              <w:jc w:val="center"/>
              <w:rPr>
                <w:rFonts w:ascii="宋体" w:hAnsi="宋体"/>
                <w:color w:val="auto"/>
                <w:szCs w:val="21"/>
                <w:highlight w:val="none"/>
              </w:rPr>
            </w:pPr>
            <w:r>
              <w:rPr>
                <w:rFonts w:hint="eastAsia" w:hAnsi="宋体"/>
                <w:color w:val="auto"/>
                <w:szCs w:val="21"/>
                <w:highlight w:val="none"/>
              </w:rPr>
              <w:t>各专业人员</w:t>
            </w:r>
          </w:p>
        </w:tc>
        <w:tc>
          <w:tcPr>
            <w:tcW w:w="1843" w:type="dxa"/>
            <w:noWrap w:val="0"/>
            <w:vAlign w:val="center"/>
          </w:tcPr>
          <w:p w14:paraId="76CC4119">
            <w:pPr>
              <w:spacing w:line="320" w:lineRule="exact"/>
              <w:ind w:right="105" w:rightChars="50"/>
              <w:jc w:val="left"/>
              <w:rPr>
                <w:rFonts w:ascii="宋体" w:hAnsi="宋体"/>
                <w:color w:val="auto"/>
                <w:szCs w:val="21"/>
                <w:highlight w:val="none"/>
              </w:rPr>
            </w:pPr>
          </w:p>
        </w:tc>
        <w:tc>
          <w:tcPr>
            <w:tcW w:w="2126" w:type="dxa"/>
            <w:tcBorders>
              <w:right w:val="single" w:color="auto" w:sz="4" w:space="0"/>
            </w:tcBorders>
            <w:noWrap w:val="0"/>
            <w:vAlign w:val="center"/>
          </w:tcPr>
          <w:p w14:paraId="6139D3ED">
            <w:pPr>
              <w:spacing w:line="320" w:lineRule="exact"/>
              <w:jc w:val="center"/>
              <w:rPr>
                <w:rFonts w:ascii="宋体" w:hAnsi="宋体"/>
                <w:color w:val="auto"/>
                <w:szCs w:val="21"/>
                <w:highlight w:val="none"/>
              </w:rPr>
            </w:pPr>
          </w:p>
        </w:tc>
        <w:tc>
          <w:tcPr>
            <w:tcW w:w="1559" w:type="dxa"/>
            <w:tcBorders>
              <w:left w:val="single" w:color="auto" w:sz="4" w:space="0"/>
              <w:right w:val="single" w:color="auto" w:sz="4" w:space="0"/>
            </w:tcBorders>
            <w:noWrap w:val="0"/>
            <w:vAlign w:val="center"/>
          </w:tcPr>
          <w:p w14:paraId="68B61E5A">
            <w:pPr>
              <w:spacing w:line="320" w:lineRule="exact"/>
              <w:jc w:val="center"/>
              <w:rPr>
                <w:rFonts w:ascii="宋体" w:hAnsi="宋体"/>
                <w:color w:val="auto"/>
                <w:szCs w:val="21"/>
                <w:highlight w:val="none"/>
              </w:rPr>
            </w:pPr>
          </w:p>
        </w:tc>
        <w:tc>
          <w:tcPr>
            <w:tcW w:w="1701" w:type="dxa"/>
            <w:tcBorders>
              <w:left w:val="single" w:color="auto" w:sz="4" w:space="0"/>
            </w:tcBorders>
            <w:noWrap w:val="0"/>
            <w:vAlign w:val="center"/>
          </w:tcPr>
          <w:p w14:paraId="282F374F">
            <w:pPr>
              <w:spacing w:line="320" w:lineRule="exact"/>
              <w:jc w:val="center"/>
              <w:rPr>
                <w:rFonts w:ascii="宋体" w:hAnsi="宋体"/>
                <w:color w:val="auto"/>
                <w:szCs w:val="21"/>
                <w:highlight w:val="none"/>
              </w:rPr>
            </w:pPr>
          </w:p>
        </w:tc>
      </w:tr>
      <w:tr w14:paraId="300F05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0" w:type="dxa"/>
          </w:tblCellMar>
        </w:tblPrEx>
        <w:trPr>
          <w:cantSplit/>
          <w:trHeight w:val="567" w:hRule="atLeast"/>
        </w:trPr>
        <w:tc>
          <w:tcPr>
            <w:tcW w:w="2013" w:type="dxa"/>
            <w:vMerge w:val="continue"/>
            <w:noWrap w:val="0"/>
            <w:vAlign w:val="center"/>
          </w:tcPr>
          <w:p w14:paraId="59C006CF">
            <w:pPr>
              <w:spacing w:line="320" w:lineRule="exact"/>
              <w:jc w:val="center"/>
              <w:rPr>
                <w:rFonts w:hint="eastAsia" w:ascii="宋体" w:hAnsi="宋体"/>
                <w:color w:val="auto"/>
                <w:szCs w:val="21"/>
                <w:highlight w:val="none"/>
              </w:rPr>
            </w:pPr>
          </w:p>
        </w:tc>
        <w:tc>
          <w:tcPr>
            <w:tcW w:w="1843" w:type="dxa"/>
            <w:noWrap w:val="0"/>
            <w:vAlign w:val="center"/>
          </w:tcPr>
          <w:p w14:paraId="6C041F1F">
            <w:pPr>
              <w:spacing w:line="320" w:lineRule="exact"/>
              <w:ind w:right="105" w:rightChars="50"/>
              <w:jc w:val="left"/>
              <w:rPr>
                <w:rFonts w:hint="eastAsia" w:ascii="宋体" w:hAnsi="宋体"/>
                <w:color w:val="auto"/>
                <w:szCs w:val="21"/>
                <w:highlight w:val="none"/>
              </w:rPr>
            </w:pPr>
          </w:p>
        </w:tc>
        <w:tc>
          <w:tcPr>
            <w:tcW w:w="2126" w:type="dxa"/>
            <w:tcBorders>
              <w:right w:val="single" w:color="auto" w:sz="4" w:space="0"/>
            </w:tcBorders>
            <w:noWrap w:val="0"/>
            <w:vAlign w:val="center"/>
          </w:tcPr>
          <w:p w14:paraId="120073E7">
            <w:pPr>
              <w:spacing w:line="320" w:lineRule="exact"/>
              <w:jc w:val="center"/>
              <w:rPr>
                <w:rFonts w:ascii="宋体" w:hAnsi="宋体"/>
                <w:color w:val="auto"/>
                <w:szCs w:val="21"/>
                <w:highlight w:val="none"/>
              </w:rPr>
            </w:pPr>
          </w:p>
        </w:tc>
        <w:tc>
          <w:tcPr>
            <w:tcW w:w="1559" w:type="dxa"/>
            <w:tcBorders>
              <w:left w:val="single" w:color="auto" w:sz="4" w:space="0"/>
              <w:right w:val="single" w:color="auto" w:sz="4" w:space="0"/>
            </w:tcBorders>
            <w:noWrap w:val="0"/>
            <w:vAlign w:val="center"/>
          </w:tcPr>
          <w:p w14:paraId="3D801EE4">
            <w:pPr>
              <w:spacing w:line="320" w:lineRule="exact"/>
              <w:jc w:val="center"/>
              <w:rPr>
                <w:rFonts w:ascii="宋体" w:hAnsi="宋体"/>
                <w:color w:val="auto"/>
                <w:szCs w:val="21"/>
                <w:highlight w:val="none"/>
              </w:rPr>
            </w:pPr>
          </w:p>
        </w:tc>
        <w:tc>
          <w:tcPr>
            <w:tcW w:w="1701" w:type="dxa"/>
            <w:tcBorders>
              <w:left w:val="single" w:color="auto" w:sz="4" w:space="0"/>
            </w:tcBorders>
            <w:noWrap w:val="0"/>
            <w:vAlign w:val="center"/>
          </w:tcPr>
          <w:p w14:paraId="2A3443BF">
            <w:pPr>
              <w:spacing w:line="320" w:lineRule="exact"/>
              <w:jc w:val="center"/>
              <w:rPr>
                <w:rFonts w:ascii="宋体" w:hAnsi="宋体"/>
                <w:color w:val="auto"/>
                <w:szCs w:val="21"/>
                <w:highlight w:val="none"/>
              </w:rPr>
            </w:pPr>
          </w:p>
        </w:tc>
      </w:tr>
      <w:tr w14:paraId="7146D4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0" w:type="dxa"/>
          </w:tblCellMar>
        </w:tblPrEx>
        <w:trPr>
          <w:cantSplit/>
          <w:trHeight w:val="567" w:hRule="atLeast"/>
        </w:trPr>
        <w:tc>
          <w:tcPr>
            <w:tcW w:w="2013" w:type="dxa"/>
            <w:vMerge w:val="continue"/>
            <w:noWrap w:val="0"/>
            <w:vAlign w:val="center"/>
          </w:tcPr>
          <w:p w14:paraId="1D7A5CF7">
            <w:pPr>
              <w:spacing w:line="320" w:lineRule="exact"/>
              <w:jc w:val="center"/>
              <w:rPr>
                <w:rFonts w:hint="eastAsia" w:hAnsi="宋体"/>
                <w:color w:val="auto"/>
                <w:szCs w:val="21"/>
                <w:highlight w:val="none"/>
              </w:rPr>
            </w:pPr>
          </w:p>
        </w:tc>
        <w:tc>
          <w:tcPr>
            <w:tcW w:w="1843" w:type="dxa"/>
            <w:noWrap w:val="0"/>
            <w:vAlign w:val="center"/>
          </w:tcPr>
          <w:p w14:paraId="3524CFCC">
            <w:pPr>
              <w:spacing w:line="320" w:lineRule="exact"/>
              <w:ind w:right="105" w:rightChars="50"/>
              <w:jc w:val="left"/>
              <w:rPr>
                <w:rFonts w:hint="eastAsia" w:ascii="宋体" w:hAnsi="宋体"/>
                <w:color w:val="auto"/>
                <w:szCs w:val="21"/>
                <w:highlight w:val="none"/>
              </w:rPr>
            </w:pPr>
          </w:p>
        </w:tc>
        <w:tc>
          <w:tcPr>
            <w:tcW w:w="2126" w:type="dxa"/>
            <w:tcBorders>
              <w:right w:val="single" w:color="auto" w:sz="4" w:space="0"/>
            </w:tcBorders>
            <w:noWrap w:val="0"/>
            <w:vAlign w:val="center"/>
          </w:tcPr>
          <w:p w14:paraId="658B6367">
            <w:pPr>
              <w:spacing w:line="320" w:lineRule="exact"/>
              <w:jc w:val="center"/>
              <w:rPr>
                <w:rFonts w:ascii="宋体" w:hAnsi="宋体"/>
                <w:color w:val="auto"/>
                <w:szCs w:val="21"/>
                <w:highlight w:val="none"/>
              </w:rPr>
            </w:pPr>
          </w:p>
        </w:tc>
        <w:tc>
          <w:tcPr>
            <w:tcW w:w="1559" w:type="dxa"/>
            <w:tcBorders>
              <w:left w:val="single" w:color="auto" w:sz="4" w:space="0"/>
              <w:right w:val="single" w:color="auto" w:sz="4" w:space="0"/>
            </w:tcBorders>
            <w:noWrap w:val="0"/>
            <w:vAlign w:val="center"/>
          </w:tcPr>
          <w:p w14:paraId="59A87C33">
            <w:pPr>
              <w:spacing w:line="320" w:lineRule="exact"/>
              <w:jc w:val="center"/>
              <w:rPr>
                <w:rFonts w:ascii="宋体" w:hAnsi="宋体"/>
                <w:color w:val="auto"/>
                <w:szCs w:val="21"/>
                <w:highlight w:val="none"/>
              </w:rPr>
            </w:pPr>
          </w:p>
        </w:tc>
        <w:tc>
          <w:tcPr>
            <w:tcW w:w="1701" w:type="dxa"/>
            <w:tcBorders>
              <w:left w:val="single" w:color="auto" w:sz="4" w:space="0"/>
            </w:tcBorders>
            <w:noWrap w:val="0"/>
            <w:vAlign w:val="center"/>
          </w:tcPr>
          <w:p w14:paraId="136354B1">
            <w:pPr>
              <w:spacing w:line="320" w:lineRule="exact"/>
              <w:jc w:val="center"/>
              <w:rPr>
                <w:rFonts w:ascii="宋体" w:hAnsi="宋体"/>
                <w:color w:val="auto"/>
                <w:szCs w:val="21"/>
                <w:highlight w:val="none"/>
              </w:rPr>
            </w:pPr>
          </w:p>
        </w:tc>
      </w:tr>
      <w:tr w14:paraId="17C1AE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0" w:type="dxa"/>
          </w:tblCellMar>
        </w:tblPrEx>
        <w:trPr>
          <w:cantSplit/>
          <w:trHeight w:val="567" w:hRule="atLeast"/>
        </w:trPr>
        <w:tc>
          <w:tcPr>
            <w:tcW w:w="2013" w:type="dxa"/>
            <w:vMerge w:val="continue"/>
            <w:noWrap w:val="0"/>
            <w:vAlign w:val="center"/>
          </w:tcPr>
          <w:p w14:paraId="0BFC8A4E">
            <w:pPr>
              <w:spacing w:line="320" w:lineRule="exact"/>
              <w:jc w:val="center"/>
              <w:rPr>
                <w:rFonts w:hint="eastAsia" w:ascii="宋体" w:hAnsi="宋体"/>
                <w:color w:val="auto"/>
                <w:szCs w:val="21"/>
                <w:highlight w:val="none"/>
              </w:rPr>
            </w:pPr>
          </w:p>
        </w:tc>
        <w:tc>
          <w:tcPr>
            <w:tcW w:w="1843" w:type="dxa"/>
            <w:noWrap w:val="0"/>
            <w:vAlign w:val="center"/>
          </w:tcPr>
          <w:p w14:paraId="5D6C07A0">
            <w:pPr>
              <w:spacing w:line="320" w:lineRule="exact"/>
              <w:ind w:right="105" w:rightChars="50"/>
              <w:jc w:val="left"/>
              <w:rPr>
                <w:rFonts w:hint="eastAsia" w:ascii="宋体" w:hAnsi="宋体"/>
                <w:color w:val="auto"/>
                <w:szCs w:val="21"/>
                <w:highlight w:val="none"/>
              </w:rPr>
            </w:pPr>
          </w:p>
        </w:tc>
        <w:tc>
          <w:tcPr>
            <w:tcW w:w="2126" w:type="dxa"/>
            <w:tcBorders>
              <w:right w:val="single" w:color="auto" w:sz="4" w:space="0"/>
            </w:tcBorders>
            <w:noWrap w:val="0"/>
            <w:vAlign w:val="center"/>
          </w:tcPr>
          <w:p w14:paraId="5A796A9F">
            <w:pPr>
              <w:spacing w:line="320" w:lineRule="exact"/>
              <w:jc w:val="center"/>
              <w:rPr>
                <w:rFonts w:ascii="宋体" w:hAnsi="宋体"/>
                <w:color w:val="auto"/>
                <w:szCs w:val="21"/>
                <w:highlight w:val="none"/>
              </w:rPr>
            </w:pPr>
          </w:p>
        </w:tc>
        <w:tc>
          <w:tcPr>
            <w:tcW w:w="1559" w:type="dxa"/>
            <w:tcBorders>
              <w:left w:val="single" w:color="auto" w:sz="4" w:space="0"/>
              <w:right w:val="single" w:color="auto" w:sz="4" w:space="0"/>
            </w:tcBorders>
            <w:noWrap w:val="0"/>
            <w:vAlign w:val="center"/>
          </w:tcPr>
          <w:p w14:paraId="60544DC9">
            <w:pPr>
              <w:spacing w:line="320" w:lineRule="exact"/>
              <w:jc w:val="center"/>
              <w:rPr>
                <w:rFonts w:ascii="宋体" w:hAnsi="宋体"/>
                <w:color w:val="auto"/>
                <w:szCs w:val="21"/>
                <w:highlight w:val="none"/>
              </w:rPr>
            </w:pPr>
          </w:p>
        </w:tc>
        <w:tc>
          <w:tcPr>
            <w:tcW w:w="1701" w:type="dxa"/>
            <w:tcBorders>
              <w:left w:val="single" w:color="auto" w:sz="4" w:space="0"/>
            </w:tcBorders>
            <w:noWrap w:val="0"/>
            <w:vAlign w:val="center"/>
          </w:tcPr>
          <w:p w14:paraId="633D2AFC">
            <w:pPr>
              <w:spacing w:line="320" w:lineRule="exact"/>
              <w:jc w:val="center"/>
              <w:rPr>
                <w:rFonts w:ascii="宋体" w:hAnsi="宋体"/>
                <w:color w:val="auto"/>
                <w:szCs w:val="21"/>
                <w:highlight w:val="none"/>
              </w:rPr>
            </w:pPr>
          </w:p>
        </w:tc>
      </w:tr>
      <w:tr w14:paraId="43CF26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0" w:type="dxa"/>
          </w:tblCellMar>
        </w:tblPrEx>
        <w:trPr>
          <w:cantSplit/>
          <w:trHeight w:val="567" w:hRule="atLeast"/>
        </w:trPr>
        <w:tc>
          <w:tcPr>
            <w:tcW w:w="2013" w:type="dxa"/>
            <w:vMerge w:val="continue"/>
            <w:noWrap w:val="0"/>
            <w:vAlign w:val="center"/>
          </w:tcPr>
          <w:p w14:paraId="0BC61AA3">
            <w:pPr>
              <w:spacing w:line="320" w:lineRule="exact"/>
              <w:jc w:val="center"/>
              <w:rPr>
                <w:rFonts w:hint="eastAsia" w:ascii="宋体" w:hAnsi="宋体"/>
                <w:color w:val="auto"/>
                <w:szCs w:val="21"/>
                <w:highlight w:val="none"/>
              </w:rPr>
            </w:pPr>
          </w:p>
        </w:tc>
        <w:tc>
          <w:tcPr>
            <w:tcW w:w="1843" w:type="dxa"/>
            <w:noWrap w:val="0"/>
            <w:vAlign w:val="center"/>
          </w:tcPr>
          <w:p w14:paraId="2F81805E">
            <w:pPr>
              <w:spacing w:line="320" w:lineRule="exact"/>
              <w:ind w:right="105" w:rightChars="50"/>
              <w:jc w:val="left"/>
              <w:rPr>
                <w:rFonts w:hint="eastAsia" w:ascii="宋体" w:hAnsi="宋体"/>
                <w:color w:val="auto"/>
                <w:szCs w:val="21"/>
                <w:highlight w:val="none"/>
              </w:rPr>
            </w:pPr>
          </w:p>
        </w:tc>
        <w:tc>
          <w:tcPr>
            <w:tcW w:w="2126" w:type="dxa"/>
            <w:tcBorders>
              <w:right w:val="single" w:color="auto" w:sz="4" w:space="0"/>
            </w:tcBorders>
            <w:noWrap w:val="0"/>
            <w:vAlign w:val="center"/>
          </w:tcPr>
          <w:p w14:paraId="00D23181">
            <w:pPr>
              <w:spacing w:line="320" w:lineRule="exact"/>
              <w:jc w:val="center"/>
              <w:rPr>
                <w:rFonts w:ascii="宋体" w:hAnsi="宋体"/>
                <w:color w:val="auto"/>
                <w:szCs w:val="21"/>
                <w:highlight w:val="none"/>
              </w:rPr>
            </w:pPr>
          </w:p>
        </w:tc>
        <w:tc>
          <w:tcPr>
            <w:tcW w:w="1559" w:type="dxa"/>
            <w:tcBorders>
              <w:left w:val="single" w:color="auto" w:sz="4" w:space="0"/>
              <w:right w:val="single" w:color="auto" w:sz="4" w:space="0"/>
            </w:tcBorders>
            <w:noWrap w:val="0"/>
            <w:vAlign w:val="center"/>
          </w:tcPr>
          <w:p w14:paraId="6440CE7C">
            <w:pPr>
              <w:spacing w:line="320" w:lineRule="exact"/>
              <w:jc w:val="center"/>
              <w:rPr>
                <w:rFonts w:ascii="宋体" w:hAnsi="宋体"/>
                <w:color w:val="auto"/>
                <w:szCs w:val="21"/>
                <w:highlight w:val="none"/>
              </w:rPr>
            </w:pPr>
          </w:p>
        </w:tc>
        <w:tc>
          <w:tcPr>
            <w:tcW w:w="1701" w:type="dxa"/>
            <w:tcBorders>
              <w:left w:val="single" w:color="auto" w:sz="4" w:space="0"/>
            </w:tcBorders>
            <w:noWrap w:val="0"/>
            <w:vAlign w:val="center"/>
          </w:tcPr>
          <w:p w14:paraId="58A01704">
            <w:pPr>
              <w:spacing w:line="320" w:lineRule="exact"/>
              <w:jc w:val="center"/>
              <w:rPr>
                <w:rFonts w:ascii="宋体" w:hAnsi="宋体"/>
                <w:color w:val="auto"/>
                <w:szCs w:val="21"/>
                <w:highlight w:val="none"/>
              </w:rPr>
            </w:pPr>
          </w:p>
        </w:tc>
      </w:tr>
      <w:tr w14:paraId="25F0A9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0" w:type="dxa"/>
          </w:tblCellMar>
        </w:tblPrEx>
        <w:trPr>
          <w:cantSplit/>
          <w:trHeight w:val="567" w:hRule="atLeast"/>
        </w:trPr>
        <w:tc>
          <w:tcPr>
            <w:tcW w:w="2013" w:type="dxa"/>
            <w:vMerge w:val="continue"/>
            <w:noWrap w:val="0"/>
            <w:vAlign w:val="center"/>
          </w:tcPr>
          <w:p w14:paraId="246CE95F">
            <w:pPr>
              <w:spacing w:line="320" w:lineRule="exact"/>
              <w:jc w:val="center"/>
              <w:rPr>
                <w:rFonts w:hint="eastAsia" w:hAnsi="宋体"/>
                <w:color w:val="auto"/>
                <w:szCs w:val="21"/>
                <w:highlight w:val="none"/>
              </w:rPr>
            </w:pPr>
          </w:p>
        </w:tc>
        <w:tc>
          <w:tcPr>
            <w:tcW w:w="1843" w:type="dxa"/>
            <w:noWrap w:val="0"/>
            <w:vAlign w:val="center"/>
          </w:tcPr>
          <w:p w14:paraId="0EA16F03">
            <w:pPr>
              <w:spacing w:line="320" w:lineRule="exact"/>
              <w:ind w:right="105" w:rightChars="50"/>
              <w:jc w:val="left"/>
              <w:rPr>
                <w:rFonts w:hint="eastAsia" w:ascii="宋体" w:hAnsi="宋体"/>
                <w:color w:val="auto"/>
                <w:szCs w:val="21"/>
                <w:highlight w:val="none"/>
              </w:rPr>
            </w:pPr>
          </w:p>
        </w:tc>
        <w:tc>
          <w:tcPr>
            <w:tcW w:w="2126" w:type="dxa"/>
            <w:tcBorders>
              <w:right w:val="single" w:color="auto" w:sz="4" w:space="0"/>
            </w:tcBorders>
            <w:noWrap w:val="0"/>
            <w:vAlign w:val="center"/>
          </w:tcPr>
          <w:p w14:paraId="6D5446E7">
            <w:pPr>
              <w:spacing w:line="320" w:lineRule="exact"/>
              <w:jc w:val="center"/>
              <w:rPr>
                <w:rFonts w:ascii="宋体" w:hAnsi="宋体"/>
                <w:color w:val="auto"/>
                <w:szCs w:val="21"/>
                <w:highlight w:val="none"/>
              </w:rPr>
            </w:pPr>
          </w:p>
        </w:tc>
        <w:tc>
          <w:tcPr>
            <w:tcW w:w="1559" w:type="dxa"/>
            <w:tcBorders>
              <w:left w:val="single" w:color="auto" w:sz="4" w:space="0"/>
              <w:right w:val="single" w:color="auto" w:sz="4" w:space="0"/>
            </w:tcBorders>
            <w:noWrap w:val="0"/>
            <w:vAlign w:val="center"/>
          </w:tcPr>
          <w:p w14:paraId="4154DF74">
            <w:pPr>
              <w:spacing w:line="320" w:lineRule="exact"/>
              <w:jc w:val="center"/>
              <w:rPr>
                <w:rFonts w:ascii="宋体" w:hAnsi="宋体"/>
                <w:color w:val="auto"/>
                <w:szCs w:val="21"/>
                <w:highlight w:val="none"/>
              </w:rPr>
            </w:pPr>
          </w:p>
        </w:tc>
        <w:tc>
          <w:tcPr>
            <w:tcW w:w="1701" w:type="dxa"/>
            <w:tcBorders>
              <w:left w:val="single" w:color="auto" w:sz="4" w:space="0"/>
            </w:tcBorders>
            <w:noWrap w:val="0"/>
            <w:vAlign w:val="center"/>
          </w:tcPr>
          <w:p w14:paraId="5D86B66A">
            <w:pPr>
              <w:spacing w:line="320" w:lineRule="exact"/>
              <w:jc w:val="center"/>
              <w:rPr>
                <w:rFonts w:ascii="宋体" w:hAnsi="宋体"/>
                <w:color w:val="auto"/>
                <w:szCs w:val="21"/>
                <w:highlight w:val="none"/>
              </w:rPr>
            </w:pPr>
          </w:p>
        </w:tc>
      </w:tr>
      <w:tr w14:paraId="391B78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0" w:type="dxa"/>
          </w:tblCellMar>
        </w:tblPrEx>
        <w:trPr>
          <w:cantSplit/>
          <w:trHeight w:val="567" w:hRule="atLeast"/>
        </w:trPr>
        <w:tc>
          <w:tcPr>
            <w:tcW w:w="2013" w:type="dxa"/>
            <w:vMerge w:val="continue"/>
            <w:noWrap w:val="0"/>
            <w:vAlign w:val="center"/>
          </w:tcPr>
          <w:p w14:paraId="4B059984">
            <w:pPr>
              <w:spacing w:line="320" w:lineRule="exact"/>
              <w:jc w:val="center"/>
              <w:rPr>
                <w:rFonts w:hint="eastAsia" w:ascii="宋体" w:hAnsi="宋体"/>
                <w:color w:val="auto"/>
                <w:szCs w:val="21"/>
                <w:highlight w:val="none"/>
              </w:rPr>
            </w:pPr>
          </w:p>
        </w:tc>
        <w:tc>
          <w:tcPr>
            <w:tcW w:w="1843" w:type="dxa"/>
            <w:noWrap w:val="0"/>
            <w:vAlign w:val="center"/>
          </w:tcPr>
          <w:p w14:paraId="3033BB91">
            <w:pPr>
              <w:spacing w:line="320" w:lineRule="exact"/>
              <w:ind w:right="105" w:rightChars="50"/>
              <w:jc w:val="left"/>
              <w:rPr>
                <w:rFonts w:hint="eastAsia" w:ascii="宋体" w:hAnsi="宋体"/>
                <w:color w:val="auto"/>
                <w:szCs w:val="21"/>
                <w:highlight w:val="none"/>
              </w:rPr>
            </w:pPr>
          </w:p>
        </w:tc>
        <w:tc>
          <w:tcPr>
            <w:tcW w:w="2126" w:type="dxa"/>
            <w:tcBorders>
              <w:right w:val="single" w:color="auto" w:sz="4" w:space="0"/>
            </w:tcBorders>
            <w:noWrap w:val="0"/>
            <w:vAlign w:val="center"/>
          </w:tcPr>
          <w:p w14:paraId="3DD6AE6C">
            <w:pPr>
              <w:spacing w:line="320" w:lineRule="exact"/>
              <w:jc w:val="center"/>
              <w:rPr>
                <w:rFonts w:ascii="宋体" w:hAnsi="宋体"/>
                <w:color w:val="auto"/>
                <w:szCs w:val="21"/>
                <w:highlight w:val="none"/>
              </w:rPr>
            </w:pPr>
          </w:p>
        </w:tc>
        <w:tc>
          <w:tcPr>
            <w:tcW w:w="1559" w:type="dxa"/>
            <w:tcBorders>
              <w:left w:val="single" w:color="auto" w:sz="4" w:space="0"/>
              <w:right w:val="single" w:color="auto" w:sz="4" w:space="0"/>
            </w:tcBorders>
            <w:noWrap w:val="0"/>
            <w:vAlign w:val="center"/>
          </w:tcPr>
          <w:p w14:paraId="4AABA1CB">
            <w:pPr>
              <w:spacing w:line="320" w:lineRule="exact"/>
              <w:jc w:val="center"/>
              <w:rPr>
                <w:rFonts w:ascii="宋体" w:hAnsi="宋体"/>
                <w:color w:val="auto"/>
                <w:szCs w:val="21"/>
                <w:highlight w:val="none"/>
              </w:rPr>
            </w:pPr>
          </w:p>
        </w:tc>
        <w:tc>
          <w:tcPr>
            <w:tcW w:w="1701" w:type="dxa"/>
            <w:tcBorders>
              <w:left w:val="single" w:color="auto" w:sz="4" w:space="0"/>
            </w:tcBorders>
            <w:noWrap w:val="0"/>
            <w:vAlign w:val="center"/>
          </w:tcPr>
          <w:p w14:paraId="1E3B1165">
            <w:pPr>
              <w:spacing w:line="320" w:lineRule="exact"/>
              <w:jc w:val="center"/>
              <w:rPr>
                <w:rFonts w:ascii="宋体" w:hAnsi="宋体"/>
                <w:color w:val="auto"/>
                <w:szCs w:val="21"/>
                <w:highlight w:val="none"/>
              </w:rPr>
            </w:pPr>
          </w:p>
        </w:tc>
      </w:tr>
      <w:tr w14:paraId="52B76D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0" w:type="dxa"/>
          </w:tblCellMar>
        </w:tblPrEx>
        <w:trPr>
          <w:cantSplit/>
          <w:trHeight w:val="567" w:hRule="atLeast"/>
        </w:trPr>
        <w:tc>
          <w:tcPr>
            <w:tcW w:w="2013" w:type="dxa"/>
            <w:vMerge w:val="continue"/>
            <w:noWrap w:val="0"/>
            <w:vAlign w:val="center"/>
          </w:tcPr>
          <w:p w14:paraId="40A111CB">
            <w:pPr>
              <w:spacing w:line="320" w:lineRule="exact"/>
              <w:jc w:val="center"/>
              <w:rPr>
                <w:rFonts w:hint="eastAsia" w:ascii="宋体" w:hAnsi="宋体"/>
                <w:color w:val="auto"/>
                <w:szCs w:val="21"/>
                <w:highlight w:val="none"/>
              </w:rPr>
            </w:pPr>
          </w:p>
        </w:tc>
        <w:tc>
          <w:tcPr>
            <w:tcW w:w="1843" w:type="dxa"/>
            <w:noWrap w:val="0"/>
            <w:vAlign w:val="center"/>
          </w:tcPr>
          <w:p w14:paraId="1F089AF9">
            <w:pPr>
              <w:spacing w:line="320" w:lineRule="exact"/>
              <w:ind w:right="105" w:rightChars="50"/>
              <w:jc w:val="left"/>
              <w:rPr>
                <w:rFonts w:hint="eastAsia" w:ascii="宋体" w:hAnsi="宋体"/>
                <w:color w:val="auto"/>
                <w:szCs w:val="21"/>
                <w:highlight w:val="none"/>
              </w:rPr>
            </w:pPr>
          </w:p>
        </w:tc>
        <w:tc>
          <w:tcPr>
            <w:tcW w:w="2126" w:type="dxa"/>
            <w:tcBorders>
              <w:right w:val="single" w:color="auto" w:sz="4" w:space="0"/>
            </w:tcBorders>
            <w:noWrap w:val="0"/>
            <w:vAlign w:val="center"/>
          </w:tcPr>
          <w:p w14:paraId="46F2449C">
            <w:pPr>
              <w:spacing w:line="320" w:lineRule="exact"/>
              <w:jc w:val="center"/>
              <w:rPr>
                <w:rFonts w:ascii="宋体" w:hAnsi="宋体"/>
                <w:color w:val="auto"/>
                <w:szCs w:val="21"/>
                <w:highlight w:val="none"/>
              </w:rPr>
            </w:pPr>
          </w:p>
        </w:tc>
        <w:tc>
          <w:tcPr>
            <w:tcW w:w="1559" w:type="dxa"/>
            <w:tcBorders>
              <w:left w:val="single" w:color="auto" w:sz="4" w:space="0"/>
              <w:right w:val="single" w:color="auto" w:sz="4" w:space="0"/>
            </w:tcBorders>
            <w:noWrap w:val="0"/>
            <w:vAlign w:val="center"/>
          </w:tcPr>
          <w:p w14:paraId="0EACD136">
            <w:pPr>
              <w:spacing w:line="320" w:lineRule="exact"/>
              <w:jc w:val="center"/>
              <w:rPr>
                <w:rFonts w:ascii="宋体" w:hAnsi="宋体"/>
                <w:color w:val="auto"/>
                <w:szCs w:val="21"/>
                <w:highlight w:val="none"/>
              </w:rPr>
            </w:pPr>
          </w:p>
        </w:tc>
        <w:tc>
          <w:tcPr>
            <w:tcW w:w="1701" w:type="dxa"/>
            <w:tcBorders>
              <w:left w:val="single" w:color="auto" w:sz="4" w:space="0"/>
            </w:tcBorders>
            <w:noWrap w:val="0"/>
            <w:vAlign w:val="center"/>
          </w:tcPr>
          <w:p w14:paraId="702BF8D5">
            <w:pPr>
              <w:spacing w:line="320" w:lineRule="exact"/>
              <w:jc w:val="center"/>
              <w:rPr>
                <w:rFonts w:ascii="宋体" w:hAnsi="宋体"/>
                <w:color w:val="auto"/>
                <w:szCs w:val="21"/>
                <w:highlight w:val="none"/>
              </w:rPr>
            </w:pPr>
          </w:p>
        </w:tc>
      </w:tr>
      <w:tr w14:paraId="2C98C4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0" w:type="dxa"/>
          </w:tblCellMar>
        </w:tblPrEx>
        <w:trPr>
          <w:cantSplit/>
          <w:trHeight w:val="567" w:hRule="atLeast"/>
        </w:trPr>
        <w:tc>
          <w:tcPr>
            <w:tcW w:w="2013" w:type="dxa"/>
            <w:vMerge w:val="continue"/>
            <w:noWrap w:val="0"/>
            <w:vAlign w:val="center"/>
          </w:tcPr>
          <w:p w14:paraId="364532B3">
            <w:pPr>
              <w:spacing w:line="320" w:lineRule="exact"/>
              <w:jc w:val="center"/>
              <w:rPr>
                <w:rFonts w:ascii="宋体" w:hAnsi="宋体"/>
                <w:color w:val="auto"/>
                <w:szCs w:val="21"/>
                <w:highlight w:val="none"/>
              </w:rPr>
            </w:pPr>
          </w:p>
        </w:tc>
        <w:tc>
          <w:tcPr>
            <w:tcW w:w="1843" w:type="dxa"/>
            <w:noWrap w:val="0"/>
            <w:vAlign w:val="center"/>
          </w:tcPr>
          <w:p w14:paraId="6FE92295">
            <w:pPr>
              <w:spacing w:line="320" w:lineRule="exact"/>
              <w:jc w:val="left"/>
              <w:rPr>
                <w:rFonts w:ascii="宋体" w:hAnsi="宋体"/>
                <w:color w:val="auto"/>
                <w:szCs w:val="21"/>
                <w:highlight w:val="none"/>
              </w:rPr>
            </w:pPr>
          </w:p>
        </w:tc>
        <w:tc>
          <w:tcPr>
            <w:tcW w:w="2126" w:type="dxa"/>
            <w:tcBorders>
              <w:right w:val="single" w:color="auto" w:sz="4" w:space="0"/>
            </w:tcBorders>
            <w:noWrap w:val="0"/>
            <w:vAlign w:val="center"/>
          </w:tcPr>
          <w:p w14:paraId="6B74B745">
            <w:pPr>
              <w:spacing w:line="320" w:lineRule="exact"/>
              <w:jc w:val="center"/>
              <w:rPr>
                <w:rFonts w:ascii="宋体" w:hAnsi="宋体"/>
                <w:color w:val="auto"/>
                <w:szCs w:val="21"/>
                <w:highlight w:val="none"/>
              </w:rPr>
            </w:pPr>
          </w:p>
        </w:tc>
        <w:tc>
          <w:tcPr>
            <w:tcW w:w="1559" w:type="dxa"/>
            <w:tcBorders>
              <w:left w:val="single" w:color="auto" w:sz="4" w:space="0"/>
              <w:right w:val="single" w:color="auto" w:sz="4" w:space="0"/>
            </w:tcBorders>
            <w:noWrap w:val="0"/>
            <w:vAlign w:val="center"/>
          </w:tcPr>
          <w:p w14:paraId="0784701F">
            <w:pPr>
              <w:spacing w:line="320" w:lineRule="exact"/>
              <w:jc w:val="center"/>
              <w:rPr>
                <w:rFonts w:ascii="宋体" w:hAnsi="宋体"/>
                <w:color w:val="auto"/>
                <w:szCs w:val="21"/>
                <w:highlight w:val="none"/>
              </w:rPr>
            </w:pPr>
          </w:p>
        </w:tc>
        <w:tc>
          <w:tcPr>
            <w:tcW w:w="1701" w:type="dxa"/>
            <w:tcBorders>
              <w:left w:val="single" w:color="auto" w:sz="4" w:space="0"/>
            </w:tcBorders>
            <w:noWrap w:val="0"/>
            <w:vAlign w:val="center"/>
          </w:tcPr>
          <w:p w14:paraId="31630BB3">
            <w:pPr>
              <w:spacing w:line="320" w:lineRule="exact"/>
              <w:jc w:val="center"/>
              <w:rPr>
                <w:rFonts w:ascii="宋体" w:hAnsi="宋体"/>
                <w:color w:val="auto"/>
                <w:szCs w:val="21"/>
                <w:highlight w:val="none"/>
              </w:rPr>
            </w:pPr>
          </w:p>
        </w:tc>
      </w:tr>
      <w:tr w14:paraId="0496AD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0" w:type="dxa"/>
          </w:tblCellMar>
        </w:tblPrEx>
        <w:trPr>
          <w:cantSplit/>
          <w:trHeight w:val="567" w:hRule="atLeast"/>
        </w:trPr>
        <w:tc>
          <w:tcPr>
            <w:tcW w:w="2013" w:type="dxa"/>
            <w:vMerge w:val="continue"/>
            <w:noWrap w:val="0"/>
            <w:vAlign w:val="center"/>
          </w:tcPr>
          <w:p w14:paraId="4BCEFC82">
            <w:pPr>
              <w:spacing w:line="320" w:lineRule="exact"/>
              <w:jc w:val="center"/>
              <w:rPr>
                <w:rFonts w:ascii="宋体" w:hAnsi="宋体"/>
                <w:color w:val="auto"/>
                <w:szCs w:val="21"/>
                <w:highlight w:val="none"/>
              </w:rPr>
            </w:pPr>
          </w:p>
        </w:tc>
        <w:tc>
          <w:tcPr>
            <w:tcW w:w="1843" w:type="dxa"/>
            <w:noWrap w:val="0"/>
            <w:vAlign w:val="center"/>
          </w:tcPr>
          <w:p w14:paraId="54E6EA08">
            <w:pPr>
              <w:spacing w:line="320" w:lineRule="exact"/>
              <w:jc w:val="left"/>
              <w:rPr>
                <w:rFonts w:ascii="宋体" w:hAnsi="宋体"/>
                <w:color w:val="auto"/>
                <w:szCs w:val="21"/>
                <w:highlight w:val="none"/>
              </w:rPr>
            </w:pPr>
          </w:p>
        </w:tc>
        <w:tc>
          <w:tcPr>
            <w:tcW w:w="2126" w:type="dxa"/>
            <w:tcBorders>
              <w:right w:val="single" w:color="auto" w:sz="4" w:space="0"/>
            </w:tcBorders>
            <w:noWrap w:val="0"/>
            <w:vAlign w:val="center"/>
          </w:tcPr>
          <w:p w14:paraId="1E310A99">
            <w:pPr>
              <w:spacing w:line="320" w:lineRule="exact"/>
              <w:jc w:val="center"/>
              <w:rPr>
                <w:rFonts w:ascii="宋体" w:hAnsi="宋体"/>
                <w:color w:val="auto"/>
                <w:szCs w:val="21"/>
                <w:highlight w:val="none"/>
              </w:rPr>
            </w:pPr>
          </w:p>
        </w:tc>
        <w:tc>
          <w:tcPr>
            <w:tcW w:w="1559" w:type="dxa"/>
            <w:tcBorders>
              <w:left w:val="single" w:color="auto" w:sz="4" w:space="0"/>
              <w:right w:val="single" w:color="auto" w:sz="4" w:space="0"/>
            </w:tcBorders>
            <w:noWrap w:val="0"/>
            <w:vAlign w:val="center"/>
          </w:tcPr>
          <w:p w14:paraId="3E69C23E">
            <w:pPr>
              <w:spacing w:line="320" w:lineRule="exact"/>
              <w:jc w:val="center"/>
              <w:rPr>
                <w:rFonts w:ascii="宋体" w:hAnsi="宋体"/>
                <w:color w:val="auto"/>
                <w:szCs w:val="21"/>
                <w:highlight w:val="none"/>
              </w:rPr>
            </w:pPr>
          </w:p>
        </w:tc>
        <w:tc>
          <w:tcPr>
            <w:tcW w:w="1701" w:type="dxa"/>
            <w:tcBorders>
              <w:left w:val="single" w:color="auto" w:sz="4" w:space="0"/>
            </w:tcBorders>
            <w:noWrap w:val="0"/>
            <w:vAlign w:val="center"/>
          </w:tcPr>
          <w:p w14:paraId="41B5B6AD">
            <w:pPr>
              <w:spacing w:line="320" w:lineRule="exact"/>
              <w:jc w:val="center"/>
              <w:rPr>
                <w:rFonts w:ascii="宋体" w:hAnsi="宋体"/>
                <w:color w:val="auto"/>
                <w:szCs w:val="21"/>
                <w:highlight w:val="none"/>
              </w:rPr>
            </w:pPr>
          </w:p>
        </w:tc>
      </w:tr>
      <w:tr w14:paraId="257570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0" w:type="dxa"/>
          </w:tblCellMar>
        </w:tblPrEx>
        <w:trPr>
          <w:cantSplit/>
          <w:trHeight w:val="567" w:hRule="atLeast"/>
        </w:trPr>
        <w:tc>
          <w:tcPr>
            <w:tcW w:w="2013" w:type="dxa"/>
            <w:vMerge w:val="continue"/>
            <w:noWrap w:val="0"/>
            <w:vAlign w:val="center"/>
          </w:tcPr>
          <w:p w14:paraId="1AF2495F">
            <w:pPr>
              <w:spacing w:line="320" w:lineRule="exact"/>
              <w:jc w:val="center"/>
              <w:rPr>
                <w:rFonts w:ascii="宋体" w:hAnsi="宋体"/>
                <w:color w:val="auto"/>
                <w:szCs w:val="21"/>
                <w:highlight w:val="none"/>
              </w:rPr>
            </w:pPr>
          </w:p>
        </w:tc>
        <w:tc>
          <w:tcPr>
            <w:tcW w:w="1843" w:type="dxa"/>
            <w:noWrap w:val="0"/>
            <w:vAlign w:val="center"/>
          </w:tcPr>
          <w:p w14:paraId="2AF1D029">
            <w:pPr>
              <w:spacing w:line="320" w:lineRule="exact"/>
              <w:jc w:val="left"/>
              <w:rPr>
                <w:rFonts w:ascii="宋体" w:hAnsi="宋体"/>
                <w:color w:val="auto"/>
                <w:szCs w:val="21"/>
                <w:highlight w:val="none"/>
              </w:rPr>
            </w:pPr>
          </w:p>
        </w:tc>
        <w:tc>
          <w:tcPr>
            <w:tcW w:w="2126" w:type="dxa"/>
            <w:tcBorders>
              <w:right w:val="single" w:color="auto" w:sz="4" w:space="0"/>
            </w:tcBorders>
            <w:noWrap w:val="0"/>
            <w:vAlign w:val="center"/>
          </w:tcPr>
          <w:p w14:paraId="758AF761">
            <w:pPr>
              <w:spacing w:line="320" w:lineRule="exact"/>
              <w:jc w:val="center"/>
              <w:rPr>
                <w:rFonts w:ascii="宋体" w:hAnsi="宋体"/>
                <w:color w:val="auto"/>
                <w:sz w:val="18"/>
                <w:szCs w:val="18"/>
                <w:highlight w:val="none"/>
              </w:rPr>
            </w:pPr>
          </w:p>
        </w:tc>
        <w:tc>
          <w:tcPr>
            <w:tcW w:w="1559" w:type="dxa"/>
            <w:tcBorders>
              <w:left w:val="single" w:color="auto" w:sz="4" w:space="0"/>
              <w:right w:val="single" w:color="auto" w:sz="4" w:space="0"/>
            </w:tcBorders>
            <w:noWrap w:val="0"/>
            <w:vAlign w:val="center"/>
          </w:tcPr>
          <w:p w14:paraId="3C474462">
            <w:pPr>
              <w:spacing w:line="320" w:lineRule="exact"/>
              <w:jc w:val="center"/>
              <w:rPr>
                <w:rFonts w:ascii="宋体" w:hAnsi="宋体"/>
                <w:color w:val="auto"/>
                <w:sz w:val="18"/>
                <w:szCs w:val="18"/>
                <w:highlight w:val="none"/>
              </w:rPr>
            </w:pPr>
          </w:p>
        </w:tc>
        <w:tc>
          <w:tcPr>
            <w:tcW w:w="1701" w:type="dxa"/>
            <w:tcBorders>
              <w:left w:val="single" w:color="auto" w:sz="4" w:space="0"/>
            </w:tcBorders>
            <w:noWrap w:val="0"/>
            <w:vAlign w:val="center"/>
          </w:tcPr>
          <w:p w14:paraId="12A1A191">
            <w:pPr>
              <w:spacing w:line="320" w:lineRule="exact"/>
              <w:jc w:val="center"/>
              <w:rPr>
                <w:rFonts w:ascii="宋体" w:hAnsi="宋体"/>
                <w:color w:val="auto"/>
                <w:sz w:val="18"/>
                <w:szCs w:val="18"/>
                <w:highlight w:val="none"/>
              </w:rPr>
            </w:pPr>
          </w:p>
        </w:tc>
      </w:tr>
      <w:tr w14:paraId="1CCC74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0" w:type="dxa"/>
          </w:tblCellMar>
        </w:tblPrEx>
        <w:trPr>
          <w:cantSplit/>
          <w:trHeight w:val="567" w:hRule="atLeast"/>
        </w:trPr>
        <w:tc>
          <w:tcPr>
            <w:tcW w:w="2013" w:type="dxa"/>
            <w:vMerge w:val="continue"/>
            <w:noWrap w:val="0"/>
            <w:vAlign w:val="center"/>
          </w:tcPr>
          <w:p w14:paraId="3C8E8BFE">
            <w:pPr>
              <w:spacing w:line="320" w:lineRule="exact"/>
              <w:jc w:val="center"/>
              <w:rPr>
                <w:rFonts w:ascii="宋体" w:hAnsi="宋体"/>
                <w:color w:val="auto"/>
                <w:szCs w:val="21"/>
                <w:highlight w:val="none"/>
              </w:rPr>
            </w:pPr>
          </w:p>
        </w:tc>
        <w:tc>
          <w:tcPr>
            <w:tcW w:w="1843" w:type="dxa"/>
            <w:noWrap w:val="0"/>
            <w:vAlign w:val="center"/>
          </w:tcPr>
          <w:p w14:paraId="2F04F016">
            <w:pPr>
              <w:spacing w:line="320" w:lineRule="exact"/>
              <w:jc w:val="left"/>
              <w:rPr>
                <w:rFonts w:ascii="宋体" w:hAnsi="宋体"/>
                <w:color w:val="auto"/>
                <w:szCs w:val="21"/>
                <w:highlight w:val="none"/>
              </w:rPr>
            </w:pPr>
          </w:p>
        </w:tc>
        <w:tc>
          <w:tcPr>
            <w:tcW w:w="2126" w:type="dxa"/>
            <w:tcBorders>
              <w:right w:val="single" w:color="auto" w:sz="4" w:space="0"/>
            </w:tcBorders>
            <w:noWrap w:val="0"/>
            <w:vAlign w:val="center"/>
          </w:tcPr>
          <w:p w14:paraId="1952AE5A">
            <w:pPr>
              <w:spacing w:line="320" w:lineRule="exact"/>
              <w:jc w:val="center"/>
              <w:rPr>
                <w:rFonts w:ascii="宋体" w:hAnsi="宋体"/>
                <w:color w:val="auto"/>
                <w:sz w:val="18"/>
                <w:szCs w:val="18"/>
                <w:highlight w:val="none"/>
              </w:rPr>
            </w:pPr>
          </w:p>
        </w:tc>
        <w:tc>
          <w:tcPr>
            <w:tcW w:w="1559" w:type="dxa"/>
            <w:tcBorders>
              <w:left w:val="single" w:color="auto" w:sz="4" w:space="0"/>
              <w:right w:val="single" w:color="auto" w:sz="4" w:space="0"/>
            </w:tcBorders>
            <w:noWrap w:val="0"/>
            <w:vAlign w:val="center"/>
          </w:tcPr>
          <w:p w14:paraId="2EFC4C65">
            <w:pPr>
              <w:spacing w:line="320" w:lineRule="exact"/>
              <w:jc w:val="center"/>
              <w:rPr>
                <w:rFonts w:ascii="宋体" w:hAnsi="宋体"/>
                <w:color w:val="auto"/>
                <w:sz w:val="18"/>
                <w:szCs w:val="18"/>
                <w:highlight w:val="none"/>
              </w:rPr>
            </w:pPr>
          </w:p>
        </w:tc>
        <w:tc>
          <w:tcPr>
            <w:tcW w:w="1701" w:type="dxa"/>
            <w:tcBorders>
              <w:left w:val="single" w:color="auto" w:sz="4" w:space="0"/>
            </w:tcBorders>
            <w:noWrap w:val="0"/>
            <w:vAlign w:val="center"/>
          </w:tcPr>
          <w:p w14:paraId="7ED9D661">
            <w:pPr>
              <w:spacing w:line="320" w:lineRule="exact"/>
              <w:jc w:val="center"/>
              <w:rPr>
                <w:rFonts w:ascii="宋体" w:hAnsi="宋体"/>
                <w:color w:val="auto"/>
                <w:sz w:val="18"/>
                <w:szCs w:val="18"/>
                <w:highlight w:val="none"/>
              </w:rPr>
            </w:pPr>
          </w:p>
        </w:tc>
      </w:tr>
    </w:tbl>
    <w:p w14:paraId="6D2B624D">
      <w:pPr>
        <w:pStyle w:val="30"/>
        <w:ind w:firstLine="200"/>
        <w:rPr>
          <w:rFonts w:hint="eastAsia" w:eastAsia="宋体"/>
          <w:color w:val="auto"/>
          <w:highlight w:val="none"/>
          <w:lang w:eastAsia="zh-CN"/>
        </w:rPr>
      </w:pPr>
    </w:p>
    <w:p w14:paraId="4CE02F07">
      <w:pPr>
        <w:spacing w:line="360" w:lineRule="auto"/>
        <w:ind w:right="-108" w:firstLine="480" w:firstLineChars="200"/>
        <w:rPr>
          <w:rFonts w:hint="eastAsia" w:ascii="宋体" w:hAnsi="宋体"/>
          <w:color w:val="auto"/>
          <w:sz w:val="24"/>
          <w:highlight w:val="none"/>
        </w:rPr>
      </w:pPr>
    </w:p>
    <w:p w14:paraId="7901AB86">
      <w:pPr>
        <w:spacing w:line="360" w:lineRule="auto"/>
        <w:ind w:right="-108" w:firstLine="480" w:firstLineChars="200"/>
        <w:rPr>
          <w:rFonts w:ascii="宋体" w:hAnsi="宋体"/>
          <w:color w:val="auto"/>
          <w:sz w:val="24"/>
          <w:highlight w:val="none"/>
        </w:rPr>
      </w:pPr>
      <w:r>
        <w:rPr>
          <w:rFonts w:hint="eastAsia" w:ascii="宋体" w:hAnsi="宋体"/>
          <w:color w:val="auto"/>
          <w:sz w:val="24"/>
          <w:highlight w:val="none"/>
        </w:rPr>
        <w:t xml:space="preserve">                                       投标单位（盖公章）：</w:t>
      </w:r>
    </w:p>
    <w:p w14:paraId="2CAA07E7">
      <w:pPr>
        <w:spacing w:line="360" w:lineRule="auto"/>
        <w:ind w:right="-108" w:firstLine="480" w:firstLineChars="200"/>
        <w:jc w:val="right"/>
        <w:rPr>
          <w:rFonts w:ascii="宋体" w:hAnsi="宋体"/>
          <w:color w:val="auto"/>
          <w:sz w:val="24"/>
          <w:highlight w:val="none"/>
        </w:rPr>
      </w:pPr>
      <w:r>
        <w:rPr>
          <w:rFonts w:hint="eastAsia" w:ascii="宋体" w:hAnsi="宋体"/>
          <w:color w:val="auto"/>
          <w:sz w:val="24"/>
          <w:highlight w:val="none"/>
        </w:rPr>
        <w:t xml:space="preserve">       法定代表人或授权委托人（签字或盖章） </w:t>
      </w:r>
    </w:p>
    <w:p w14:paraId="66CFA9DA">
      <w:pPr>
        <w:spacing w:line="360" w:lineRule="auto"/>
        <w:ind w:right="538"/>
        <w:jc w:val="right"/>
        <w:rPr>
          <w:rFonts w:ascii="宋体" w:hAnsi="宋体"/>
          <w:color w:val="auto"/>
          <w:sz w:val="24"/>
          <w:highlight w:val="none"/>
        </w:rPr>
        <w:sectPr>
          <w:headerReference r:id="rId4" w:type="default"/>
          <w:footerReference r:id="rId5" w:type="default"/>
          <w:pgSz w:w="11906" w:h="16838"/>
          <w:pgMar w:top="1134" w:right="1304" w:bottom="851" w:left="1304" w:header="851" w:footer="567" w:gutter="0"/>
          <w:cols w:space="720" w:num="1"/>
          <w:docGrid w:type="linesAndChars" w:linePitch="312" w:charSpace="0"/>
        </w:sectPr>
      </w:pPr>
      <w:r>
        <w:rPr>
          <w:rFonts w:hint="eastAsia" w:ascii="宋体" w:hAnsi="宋体"/>
          <w:color w:val="auto"/>
          <w:sz w:val="24"/>
          <w:highlight w:val="none"/>
        </w:rPr>
        <w:t>日　　期：　　　 年　　月 　日</w:t>
      </w:r>
    </w:p>
    <w:p w14:paraId="285E5C00">
      <w:pPr>
        <w:spacing w:line="360" w:lineRule="auto"/>
        <w:jc w:val="center"/>
        <w:rPr>
          <w:rFonts w:ascii="宋体" w:hAnsi="宋体"/>
          <w:b/>
          <w:bCs/>
          <w:color w:val="auto"/>
          <w:sz w:val="32"/>
          <w:szCs w:val="32"/>
          <w:highlight w:val="none"/>
        </w:rPr>
      </w:pPr>
      <w:r>
        <w:rPr>
          <w:rFonts w:hint="eastAsia" w:ascii="宋体" w:hAnsi="宋体"/>
          <w:b/>
          <w:bCs/>
          <w:color w:val="auto"/>
          <w:sz w:val="32"/>
          <w:szCs w:val="32"/>
          <w:highlight w:val="none"/>
        </w:rPr>
        <w:t>8.</w:t>
      </w:r>
      <w:r>
        <w:rPr>
          <w:rFonts w:hint="eastAsia" w:ascii="宋体" w:hAnsi="宋体"/>
          <w:b/>
          <w:bCs/>
          <w:color w:val="auto"/>
          <w:sz w:val="32"/>
          <w:szCs w:val="32"/>
          <w:highlight w:val="none"/>
          <w:lang w:val="en-US" w:eastAsia="zh-CN"/>
        </w:rPr>
        <w:t>3</w:t>
      </w:r>
      <w:r>
        <w:rPr>
          <w:rFonts w:hint="eastAsia" w:ascii="宋体" w:hAnsi="宋体"/>
          <w:b/>
          <w:bCs/>
          <w:color w:val="auto"/>
          <w:sz w:val="32"/>
          <w:szCs w:val="32"/>
          <w:highlight w:val="none"/>
        </w:rPr>
        <w:t>主要技术人员简历表</w:t>
      </w:r>
    </w:p>
    <w:tbl>
      <w:tblPr>
        <w:tblStyle w:val="3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1"/>
        <w:gridCol w:w="716"/>
        <w:gridCol w:w="392"/>
        <w:gridCol w:w="677"/>
        <w:gridCol w:w="902"/>
        <w:gridCol w:w="641"/>
        <w:gridCol w:w="709"/>
        <w:gridCol w:w="1306"/>
        <w:gridCol w:w="5"/>
        <w:gridCol w:w="1084"/>
        <w:gridCol w:w="866"/>
      </w:tblGrid>
      <w:tr w14:paraId="7BCFF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pct"/>
            <w:noWrap w:val="0"/>
            <w:vAlign w:val="center"/>
          </w:tcPr>
          <w:p w14:paraId="417D0DFC">
            <w:pPr>
              <w:pStyle w:val="18"/>
              <w:spacing w:line="300" w:lineRule="auto"/>
              <w:jc w:val="center"/>
              <w:rPr>
                <w:rFonts w:hAnsi="宋体"/>
                <w:color w:val="auto"/>
                <w:szCs w:val="21"/>
                <w:highlight w:val="none"/>
                <w:lang w:val="en-US" w:eastAsia="zh-CN"/>
              </w:rPr>
            </w:pPr>
            <w:r>
              <w:rPr>
                <w:rFonts w:hint="eastAsia" w:hAnsi="宋体"/>
                <w:color w:val="auto"/>
                <w:szCs w:val="21"/>
                <w:highlight w:val="none"/>
                <w:lang w:val="en-US" w:eastAsia="zh-CN"/>
              </w:rPr>
              <w:t>姓名</w:t>
            </w:r>
          </w:p>
        </w:tc>
        <w:tc>
          <w:tcPr>
            <w:tcW w:w="650" w:type="pct"/>
            <w:gridSpan w:val="2"/>
            <w:noWrap w:val="0"/>
            <w:vAlign w:val="center"/>
          </w:tcPr>
          <w:p w14:paraId="44182F25">
            <w:pPr>
              <w:pStyle w:val="18"/>
              <w:spacing w:line="300" w:lineRule="auto"/>
              <w:jc w:val="center"/>
              <w:rPr>
                <w:rFonts w:hAnsi="宋体"/>
                <w:color w:val="auto"/>
                <w:szCs w:val="21"/>
                <w:highlight w:val="none"/>
                <w:lang w:val="en-US" w:eastAsia="zh-CN"/>
              </w:rPr>
            </w:pPr>
          </w:p>
        </w:tc>
        <w:tc>
          <w:tcPr>
            <w:tcW w:w="397" w:type="pct"/>
            <w:noWrap w:val="0"/>
            <w:vAlign w:val="center"/>
          </w:tcPr>
          <w:p w14:paraId="36114380">
            <w:pPr>
              <w:pStyle w:val="18"/>
              <w:spacing w:line="300" w:lineRule="auto"/>
              <w:jc w:val="center"/>
              <w:rPr>
                <w:rFonts w:hAnsi="宋体"/>
                <w:color w:val="auto"/>
                <w:szCs w:val="21"/>
                <w:highlight w:val="none"/>
                <w:lang w:val="en-US" w:eastAsia="zh-CN"/>
              </w:rPr>
            </w:pPr>
            <w:r>
              <w:rPr>
                <w:rFonts w:hint="eastAsia" w:hAnsi="宋体"/>
                <w:color w:val="auto"/>
                <w:szCs w:val="21"/>
                <w:highlight w:val="none"/>
                <w:lang w:val="en-US" w:eastAsia="zh-CN"/>
              </w:rPr>
              <w:t>性别</w:t>
            </w:r>
          </w:p>
        </w:tc>
        <w:tc>
          <w:tcPr>
            <w:tcW w:w="529" w:type="pct"/>
            <w:noWrap w:val="0"/>
            <w:vAlign w:val="center"/>
          </w:tcPr>
          <w:p w14:paraId="2B014651">
            <w:pPr>
              <w:pStyle w:val="18"/>
              <w:spacing w:line="300" w:lineRule="auto"/>
              <w:jc w:val="center"/>
              <w:rPr>
                <w:rFonts w:hAnsi="宋体"/>
                <w:color w:val="auto"/>
                <w:szCs w:val="21"/>
                <w:highlight w:val="none"/>
                <w:lang w:val="en-US" w:eastAsia="zh-CN"/>
              </w:rPr>
            </w:pPr>
          </w:p>
        </w:tc>
        <w:tc>
          <w:tcPr>
            <w:tcW w:w="376" w:type="pct"/>
            <w:noWrap w:val="0"/>
            <w:vAlign w:val="center"/>
          </w:tcPr>
          <w:p w14:paraId="73C2E1F3">
            <w:pPr>
              <w:pStyle w:val="18"/>
              <w:spacing w:line="300" w:lineRule="auto"/>
              <w:jc w:val="center"/>
              <w:rPr>
                <w:rFonts w:hAnsi="宋体"/>
                <w:color w:val="auto"/>
                <w:szCs w:val="21"/>
                <w:highlight w:val="none"/>
                <w:lang w:val="en-US" w:eastAsia="zh-CN"/>
              </w:rPr>
            </w:pPr>
            <w:r>
              <w:rPr>
                <w:rFonts w:hint="eastAsia" w:hAnsi="宋体"/>
                <w:color w:val="auto"/>
                <w:szCs w:val="21"/>
                <w:highlight w:val="none"/>
                <w:lang w:val="en-US" w:eastAsia="zh-CN"/>
              </w:rPr>
              <w:t>出生</w:t>
            </w:r>
          </w:p>
          <w:p w14:paraId="4CAF33ED">
            <w:pPr>
              <w:pStyle w:val="18"/>
              <w:spacing w:line="300" w:lineRule="auto"/>
              <w:jc w:val="center"/>
              <w:rPr>
                <w:rFonts w:hAnsi="宋体"/>
                <w:color w:val="auto"/>
                <w:szCs w:val="21"/>
                <w:highlight w:val="none"/>
                <w:lang w:val="en-US" w:eastAsia="zh-CN"/>
              </w:rPr>
            </w:pPr>
            <w:r>
              <w:rPr>
                <w:rFonts w:hint="eastAsia" w:hAnsi="宋体"/>
                <w:color w:val="auto"/>
                <w:szCs w:val="21"/>
                <w:highlight w:val="none"/>
                <w:lang w:val="en-US" w:eastAsia="zh-CN"/>
              </w:rPr>
              <w:t>年月</w:t>
            </w:r>
          </w:p>
        </w:tc>
        <w:tc>
          <w:tcPr>
            <w:tcW w:w="1182" w:type="pct"/>
            <w:gridSpan w:val="2"/>
            <w:noWrap w:val="0"/>
            <w:vAlign w:val="center"/>
          </w:tcPr>
          <w:p w14:paraId="27CEB706">
            <w:pPr>
              <w:pStyle w:val="18"/>
              <w:spacing w:line="300" w:lineRule="auto"/>
              <w:jc w:val="center"/>
              <w:rPr>
                <w:rFonts w:hAnsi="宋体"/>
                <w:color w:val="auto"/>
                <w:szCs w:val="21"/>
                <w:highlight w:val="none"/>
                <w:lang w:val="en-US" w:eastAsia="zh-CN"/>
              </w:rPr>
            </w:pPr>
          </w:p>
        </w:tc>
        <w:tc>
          <w:tcPr>
            <w:tcW w:w="639" w:type="pct"/>
            <w:gridSpan w:val="2"/>
            <w:noWrap w:val="0"/>
            <w:vAlign w:val="center"/>
          </w:tcPr>
          <w:p w14:paraId="15F61A78">
            <w:pPr>
              <w:pStyle w:val="18"/>
              <w:spacing w:line="300" w:lineRule="auto"/>
              <w:jc w:val="center"/>
              <w:rPr>
                <w:rFonts w:hAnsi="宋体"/>
                <w:color w:val="auto"/>
                <w:szCs w:val="21"/>
                <w:highlight w:val="none"/>
                <w:lang w:val="en-US" w:eastAsia="zh-CN"/>
              </w:rPr>
            </w:pPr>
            <w:r>
              <w:rPr>
                <w:rFonts w:hint="eastAsia" w:hAnsi="宋体"/>
                <w:color w:val="auto"/>
                <w:szCs w:val="21"/>
                <w:highlight w:val="none"/>
                <w:lang w:val="en-US" w:eastAsia="zh-CN"/>
              </w:rPr>
              <w:t>文化</w:t>
            </w:r>
          </w:p>
          <w:p w14:paraId="352E14F7">
            <w:pPr>
              <w:pStyle w:val="18"/>
              <w:spacing w:line="300" w:lineRule="auto"/>
              <w:jc w:val="center"/>
              <w:rPr>
                <w:rFonts w:hAnsi="宋体"/>
                <w:color w:val="auto"/>
                <w:szCs w:val="21"/>
                <w:highlight w:val="none"/>
                <w:lang w:val="en-US" w:eastAsia="zh-CN"/>
              </w:rPr>
            </w:pPr>
            <w:r>
              <w:rPr>
                <w:rFonts w:hint="eastAsia" w:hAnsi="宋体"/>
                <w:color w:val="auto"/>
                <w:szCs w:val="21"/>
                <w:highlight w:val="none"/>
                <w:lang w:val="en-US" w:eastAsia="zh-CN"/>
              </w:rPr>
              <w:t>程度</w:t>
            </w:r>
          </w:p>
        </w:tc>
        <w:tc>
          <w:tcPr>
            <w:tcW w:w="508" w:type="pct"/>
            <w:noWrap w:val="0"/>
            <w:vAlign w:val="center"/>
          </w:tcPr>
          <w:p w14:paraId="10BFE704">
            <w:pPr>
              <w:pStyle w:val="18"/>
              <w:spacing w:line="300" w:lineRule="auto"/>
              <w:rPr>
                <w:rFonts w:hAnsi="宋体"/>
                <w:color w:val="auto"/>
                <w:szCs w:val="21"/>
                <w:highlight w:val="none"/>
                <w:lang w:val="en-US" w:eastAsia="zh-CN"/>
              </w:rPr>
            </w:pPr>
          </w:p>
        </w:tc>
      </w:tr>
      <w:tr w14:paraId="35563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pct"/>
            <w:noWrap w:val="0"/>
            <w:vAlign w:val="center"/>
          </w:tcPr>
          <w:p w14:paraId="4F04BBE4">
            <w:pPr>
              <w:pStyle w:val="18"/>
              <w:spacing w:line="300" w:lineRule="auto"/>
              <w:jc w:val="center"/>
              <w:rPr>
                <w:rFonts w:hAnsi="宋体"/>
                <w:color w:val="auto"/>
                <w:szCs w:val="21"/>
                <w:highlight w:val="none"/>
                <w:lang w:val="en-US" w:eastAsia="zh-CN"/>
              </w:rPr>
            </w:pPr>
            <w:r>
              <w:rPr>
                <w:rFonts w:hint="eastAsia" w:hAnsi="宋体"/>
                <w:color w:val="auto"/>
                <w:szCs w:val="21"/>
                <w:highlight w:val="none"/>
                <w:lang w:val="en-US" w:eastAsia="zh-CN"/>
              </w:rPr>
              <w:t>毕业院校</w:t>
            </w:r>
          </w:p>
        </w:tc>
        <w:tc>
          <w:tcPr>
            <w:tcW w:w="650" w:type="pct"/>
            <w:gridSpan w:val="2"/>
            <w:noWrap w:val="0"/>
            <w:vAlign w:val="center"/>
          </w:tcPr>
          <w:p w14:paraId="58694EC7">
            <w:pPr>
              <w:pStyle w:val="18"/>
              <w:spacing w:line="300" w:lineRule="auto"/>
              <w:jc w:val="center"/>
              <w:rPr>
                <w:rFonts w:hAnsi="宋体"/>
                <w:color w:val="auto"/>
                <w:szCs w:val="21"/>
                <w:highlight w:val="none"/>
                <w:lang w:val="en-US" w:eastAsia="zh-CN"/>
              </w:rPr>
            </w:pPr>
          </w:p>
        </w:tc>
        <w:tc>
          <w:tcPr>
            <w:tcW w:w="397" w:type="pct"/>
            <w:noWrap w:val="0"/>
            <w:vAlign w:val="center"/>
          </w:tcPr>
          <w:p w14:paraId="501C06B3">
            <w:pPr>
              <w:pStyle w:val="18"/>
              <w:spacing w:line="300" w:lineRule="auto"/>
              <w:jc w:val="center"/>
              <w:rPr>
                <w:rFonts w:hAnsi="宋体"/>
                <w:color w:val="auto"/>
                <w:szCs w:val="21"/>
                <w:highlight w:val="none"/>
                <w:lang w:val="en-US" w:eastAsia="zh-CN"/>
              </w:rPr>
            </w:pPr>
            <w:r>
              <w:rPr>
                <w:rFonts w:hint="eastAsia" w:hAnsi="宋体"/>
                <w:color w:val="auto"/>
                <w:szCs w:val="21"/>
                <w:highlight w:val="none"/>
                <w:lang w:val="en-US" w:eastAsia="zh-CN"/>
              </w:rPr>
              <w:t>专业</w:t>
            </w:r>
          </w:p>
        </w:tc>
        <w:tc>
          <w:tcPr>
            <w:tcW w:w="905" w:type="pct"/>
            <w:gridSpan w:val="2"/>
            <w:noWrap w:val="0"/>
            <w:vAlign w:val="center"/>
          </w:tcPr>
          <w:p w14:paraId="2AF289DD">
            <w:pPr>
              <w:pStyle w:val="18"/>
              <w:spacing w:line="300" w:lineRule="auto"/>
              <w:jc w:val="center"/>
              <w:rPr>
                <w:rFonts w:hAnsi="宋体"/>
                <w:color w:val="auto"/>
                <w:szCs w:val="21"/>
                <w:highlight w:val="none"/>
                <w:lang w:val="en-US" w:eastAsia="zh-CN"/>
              </w:rPr>
            </w:pPr>
          </w:p>
        </w:tc>
        <w:tc>
          <w:tcPr>
            <w:tcW w:w="416" w:type="pct"/>
            <w:noWrap w:val="0"/>
            <w:vAlign w:val="center"/>
          </w:tcPr>
          <w:p w14:paraId="4F251AFA">
            <w:pPr>
              <w:pStyle w:val="18"/>
              <w:spacing w:line="300" w:lineRule="auto"/>
              <w:jc w:val="center"/>
              <w:rPr>
                <w:rFonts w:hAnsi="宋体"/>
                <w:color w:val="auto"/>
                <w:szCs w:val="21"/>
                <w:highlight w:val="none"/>
                <w:lang w:val="en-US" w:eastAsia="zh-CN"/>
              </w:rPr>
            </w:pPr>
            <w:r>
              <w:rPr>
                <w:rFonts w:hint="eastAsia" w:hAnsi="宋体"/>
                <w:color w:val="auto"/>
                <w:szCs w:val="21"/>
                <w:highlight w:val="none"/>
                <w:lang w:val="en-US" w:eastAsia="zh-CN"/>
              </w:rPr>
              <w:t>毕业</w:t>
            </w:r>
          </w:p>
          <w:p w14:paraId="28BD105D">
            <w:pPr>
              <w:pStyle w:val="18"/>
              <w:spacing w:line="300" w:lineRule="auto"/>
              <w:jc w:val="center"/>
              <w:rPr>
                <w:rFonts w:hAnsi="宋体"/>
                <w:color w:val="auto"/>
                <w:szCs w:val="21"/>
                <w:highlight w:val="none"/>
                <w:lang w:val="en-US" w:eastAsia="zh-CN"/>
              </w:rPr>
            </w:pPr>
            <w:r>
              <w:rPr>
                <w:rFonts w:hint="eastAsia" w:hAnsi="宋体"/>
                <w:color w:val="auto"/>
                <w:szCs w:val="21"/>
                <w:highlight w:val="none"/>
                <w:lang w:val="en-US" w:eastAsia="zh-CN"/>
              </w:rPr>
              <w:t>时间</w:t>
            </w:r>
          </w:p>
        </w:tc>
        <w:tc>
          <w:tcPr>
            <w:tcW w:w="766" w:type="pct"/>
            <w:noWrap w:val="0"/>
            <w:vAlign w:val="center"/>
          </w:tcPr>
          <w:p w14:paraId="3A5DCD65">
            <w:pPr>
              <w:pStyle w:val="18"/>
              <w:spacing w:line="300" w:lineRule="auto"/>
              <w:jc w:val="center"/>
              <w:rPr>
                <w:rFonts w:hAnsi="宋体"/>
                <w:color w:val="auto"/>
                <w:szCs w:val="21"/>
                <w:highlight w:val="none"/>
                <w:lang w:val="en-US" w:eastAsia="zh-CN"/>
              </w:rPr>
            </w:pPr>
          </w:p>
        </w:tc>
        <w:tc>
          <w:tcPr>
            <w:tcW w:w="639" w:type="pct"/>
            <w:gridSpan w:val="2"/>
            <w:noWrap w:val="0"/>
            <w:vAlign w:val="center"/>
          </w:tcPr>
          <w:p w14:paraId="2CC1886C">
            <w:pPr>
              <w:pStyle w:val="18"/>
              <w:spacing w:line="300" w:lineRule="auto"/>
              <w:jc w:val="center"/>
              <w:rPr>
                <w:rFonts w:hAnsi="宋体"/>
                <w:color w:val="auto"/>
                <w:szCs w:val="21"/>
                <w:highlight w:val="none"/>
                <w:lang w:val="en-US" w:eastAsia="zh-CN"/>
              </w:rPr>
            </w:pPr>
            <w:r>
              <w:rPr>
                <w:rFonts w:hint="eastAsia" w:hAnsi="宋体"/>
                <w:color w:val="auto"/>
                <w:szCs w:val="21"/>
                <w:highlight w:val="none"/>
                <w:lang w:val="en-US" w:eastAsia="zh-CN"/>
              </w:rPr>
              <w:t>技术</w:t>
            </w:r>
          </w:p>
          <w:p w14:paraId="3A344215">
            <w:pPr>
              <w:pStyle w:val="18"/>
              <w:spacing w:line="300" w:lineRule="auto"/>
              <w:jc w:val="center"/>
              <w:rPr>
                <w:rFonts w:hAnsi="宋体"/>
                <w:color w:val="auto"/>
                <w:szCs w:val="21"/>
                <w:highlight w:val="none"/>
                <w:lang w:val="en-US" w:eastAsia="zh-CN"/>
              </w:rPr>
            </w:pPr>
            <w:r>
              <w:rPr>
                <w:rFonts w:hint="eastAsia" w:hAnsi="宋体"/>
                <w:color w:val="auto"/>
                <w:szCs w:val="21"/>
                <w:highlight w:val="none"/>
                <w:lang w:val="en-US" w:eastAsia="zh-CN"/>
              </w:rPr>
              <w:t>职称</w:t>
            </w:r>
          </w:p>
        </w:tc>
        <w:tc>
          <w:tcPr>
            <w:tcW w:w="508" w:type="pct"/>
            <w:noWrap w:val="0"/>
            <w:vAlign w:val="center"/>
          </w:tcPr>
          <w:p w14:paraId="73EB96F2">
            <w:pPr>
              <w:pStyle w:val="18"/>
              <w:spacing w:line="300" w:lineRule="auto"/>
              <w:rPr>
                <w:rFonts w:hAnsi="宋体"/>
                <w:color w:val="auto"/>
                <w:szCs w:val="21"/>
                <w:highlight w:val="none"/>
                <w:lang w:val="en-US" w:eastAsia="zh-CN"/>
              </w:rPr>
            </w:pPr>
          </w:p>
        </w:tc>
      </w:tr>
      <w:tr w14:paraId="780A2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16" w:type="pct"/>
            <w:noWrap w:val="0"/>
            <w:vAlign w:val="center"/>
          </w:tcPr>
          <w:p w14:paraId="5DA08C6D">
            <w:pPr>
              <w:pStyle w:val="18"/>
              <w:spacing w:line="300" w:lineRule="auto"/>
              <w:jc w:val="center"/>
              <w:rPr>
                <w:rFonts w:hAnsi="宋体"/>
                <w:color w:val="auto"/>
                <w:szCs w:val="21"/>
                <w:highlight w:val="none"/>
                <w:lang w:val="en-US" w:eastAsia="zh-CN"/>
              </w:rPr>
            </w:pPr>
            <w:r>
              <w:rPr>
                <w:rFonts w:hint="eastAsia" w:hAnsi="宋体"/>
                <w:color w:val="auto"/>
                <w:szCs w:val="21"/>
                <w:highlight w:val="none"/>
                <w:lang w:val="en-US" w:eastAsia="zh-CN"/>
              </w:rPr>
              <w:t>拟在本项目担任职务</w:t>
            </w:r>
          </w:p>
        </w:tc>
        <w:tc>
          <w:tcPr>
            <w:tcW w:w="420" w:type="pct"/>
            <w:noWrap w:val="0"/>
            <w:vAlign w:val="center"/>
          </w:tcPr>
          <w:p w14:paraId="3405C551">
            <w:pPr>
              <w:pStyle w:val="18"/>
              <w:spacing w:line="300" w:lineRule="auto"/>
              <w:jc w:val="center"/>
              <w:rPr>
                <w:rFonts w:hAnsi="宋体"/>
                <w:color w:val="auto"/>
                <w:szCs w:val="21"/>
                <w:highlight w:val="none"/>
                <w:lang w:val="en-US" w:eastAsia="zh-CN"/>
              </w:rPr>
            </w:pPr>
          </w:p>
        </w:tc>
        <w:tc>
          <w:tcPr>
            <w:tcW w:w="627" w:type="pct"/>
            <w:gridSpan w:val="2"/>
            <w:noWrap w:val="0"/>
            <w:vAlign w:val="center"/>
          </w:tcPr>
          <w:p w14:paraId="2F049D1A">
            <w:pPr>
              <w:pStyle w:val="18"/>
              <w:spacing w:line="300" w:lineRule="auto"/>
              <w:jc w:val="center"/>
              <w:rPr>
                <w:rFonts w:hAnsi="宋体"/>
                <w:color w:val="auto"/>
                <w:szCs w:val="21"/>
                <w:highlight w:val="none"/>
                <w:lang w:val="en-US" w:eastAsia="zh-CN"/>
              </w:rPr>
            </w:pPr>
            <w:r>
              <w:rPr>
                <w:rFonts w:hint="eastAsia" w:hAnsi="宋体"/>
                <w:color w:val="auto"/>
                <w:szCs w:val="21"/>
                <w:highlight w:val="none"/>
                <w:lang w:val="en-US" w:eastAsia="zh-CN"/>
              </w:rPr>
              <w:t>从事</w:t>
            </w:r>
            <w:r>
              <w:rPr>
                <w:rFonts w:hint="default" w:hAnsi="宋体"/>
                <w:color w:val="auto"/>
                <w:szCs w:val="21"/>
                <w:highlight w:val="none"/>
                <w:lang w:val="en-US" w:eastAsia="zh-CN"/>
              </w:rPr>
              <w:t>设计</w:t>
            </w:r>
            <w:r>
              <w:rPr>
                <w:rFonts w:hint="eastAsia" w:hAnsi="宋体"/>
                <w:color w:val="auto"/>
                <w:szCs w:val="21"/>
                <w:highlight w:val="none"/>
                <w:lang w:val="en-US" w:eastAsia="zh-CN"/>
              </w:rPr>
              <w:t>年限</w:t>
            </w:r>
          </w:p>
        </w:tc>
        <w:tc>
          <w:tcPr>
            <w:tcW w:w="905" w:type="pct"/>
            <w:gridSpan w:val="2"/>
            <w:noWrap w:val="0"/>
            <w:vAlign w:val="center"/>
          </w:tcPr>
          <w:p w14:paraId="3813AA61">
            <w:pPr>
              <w:pStyle w:val="18"/>
              <w:spacing w:line="300" w:lineRule="auto"/>
              <w:jc w:val="center"/>
              <w:rPr>
                <w:rFonts w:hAnsi="宋体"/>
                <w:color w:val="auto"/>
                <w:szCs w:val="21"/>
                <w:highlight w:val="none"/>
                <w:lang w:val="en-US" w:eastAsia="zh-CN"/>
              </w:rPr>
            </w:pPr>
          </w:p>
        </w:tc>
        <w:tc>
          <w:tcPr>
            <w:tcW w:w="416" w:type="pct"/>
            <w:noWrap w:val="0"/>
            <w:vAlign w:val="center"/>
          </w:tcPr>
          <w:p w14:paraId="7D4A4DD6">
            <w:pPr>
              <w:pStyle w:val="18"/>
              <w:spacing w:line="300" w:lineRule="auto"/>
              <w:jc w:val="center"/>
              <w:rPr>
                <w:rFonts w:hAnsi="宋体"/>
                <w:color w:val="auto"/>
                <w:szCs w:val="21"/>
                <w:highlight w:val="none"/>
                <w:lang w:val="en-US" w:eastAsia="zh-CN"/>
              </w:rPr>
            </w:pPr>
            <w:r>
              <w:rPr>
                <w:rFonts w:hint="eastAsia" w:hAnsi="宋体"/>
                <w:color w:val="auto"/>
                <w:szCs w:val="21"/>
                <w:highlight w:val="none"/>
                <w:lang w:val="en-US" w:eastAsia="zh-CN"/>
              </w:rPr>
              <w:t>现任</w:t>
            </w:r>
          </w:p>
          <w:p w14:paraId="62A88ECB">
            <w:pPr>
              <w:pStyle w:val="18"/>
              <w:spacing w:line="300" w:lineRule="auto"/>
              <w:jc w:val="center"/>
              <w:rPr>
                <w:rFonts w:hAnsi="宋体"/>
                <w:color w:val="auto"/>
                <w:szCs w:val="21"/>
                <w:highlight w:val="none"/>
                <w:lang w:val="en-US" w:eastAsia="zh-CN"/>
              </w:rPr>
            </w:pPr>
            <w:r>
              <w:rPr>
                <w:rFonts w:hint="eastAsia" w:hAnsi="宋体"/>
                <w:color w:val="auto"/>
                <w:szCs w:val="21"/>
                <w:highlight w:val="none"/>
                <w:lang w:val="en-US" w:eastAsia="zh-CN"/>
              </w:rPr>
              <w:t>职务</w:t>
            </w:r>
          </w:p>
        </w:tc>
        <w:tc>
          <w:tcPr>
            <w:tcW w:w="769" w:type="pct"/>
            <w:gridSpan w:val="2"/>
            <w:noWrap w:val="0"/>
            <w:vAlign w:val="center"/>
          </w:tcPr>
          <w:p w14:paraId="487155A6">
            <w:pPr>
              <w:pStyle w:val="18"/>
              <w:spacing w:line="300" w:lineRule="auto"/>
              <w:jc w:val="center"/>
              <w:rPr>
                <w:rFonts w:hAnsi="宋体"/>
                <w:color w:val="auto"/>
                <w:szCs w:val="21"/>
                <w:highlight w:val="none"/>
                <w:lang w:val="en-US" w:eastAsia="zh-CN"/>
              </w:rPr>
            </w:pPr>
          </w:p>
        </w:tc>
        <w:tc>
          <w:tcPr>
            <w:tcW w:w="636" w:type="pct"/>
            <w:noWrap w:val="0"/>
            <w:vAlign w:val="center"/>
          </w:tcPr>
          <w:p w14:paraId="55956F09">
            <w:pPr>
              <w:pStyle w:val="18"/>
              <w:spacing w:line="300" w:lineRule="auto"/>
              <w:jc w:val="center"/>
              <w:rPr>
                <w:rFonts w:hint="eastAsia" w:hAnsi="宋体" w:eastAsia="宋体"/>
                <w:color w:val="auto"/>
                <w:szCs w:val="21"/>
                <w:highlight w:val="none"/>
                <w:lang w:val="en-US" w:eastAsia="zh-CN"/>
              </w:rPr>
            </w:pPr>
            <w:r>
              <w:rPr>
                <w:rFonts w:hint="eastAsia" w:ascii="宋体" w:hAnsi="宋体"/>
                <w:color w:val="auto"/>
                <w:szCs w:val="21"/>
                <w:highlight w:val="none"/>
              </w:rPr>
              <w:t>注册证书</w:t>
            </w:r>
            <w:r>
              <w:rPr>
                <w:rFonts w:hint="eastAsia" w:hAnsi="宋体"/>
                <w:color w:val="auto"/>
                <w:szCs w:val="21"/>
                <w:highlight w:val="none"/>
                <w:lang w:val="en-US" w:eastAsia="zh-CN"/>
              </w:rPr>
              <w:t>及</w:t>
            </w:r>
            <w:r>
              <w:rPr>
                <w:rFonts w:hint="eastAsia" w:ascii="宋体" w:hAnsi="宋体"/>
                <w:color w:val="auto"/>
                <w:szCs w:val="21"/>
                <w:highlight w:val="none"/>
              </w:rPr>
              <w:t>注册证号</w:t>
            </w:r>
            <w:r>
              <w:rPr>
                <w:rFonts w:hint="eastAsia" w:hAnsi="宋体"/>
                <w:color w:val="auto"/>
                <w:szCs w:val="21"/>
                <w:highlight w:val="none"/>
                <w:lang w:eastAsia="zh-CN"/>
              </w:rPr>
              <w:t>（</w:t>
            </w:r>
            <w:r>
              <w:rPr>
                <w:rFonts w:hint="eastAsia" w:hAnsi="宋体"/>
                <w:color w:val="auto"/>
                <w:szCs w:val="21"/>
                <w:highlight w:val="none"/>
                <w:lang w:val="en-US" w:eastAsia="zh-CN"/>
              </w:rPr>
              <w:t>如有</w:t>
            </w:r>
            <w:r>
              <w:rPr>
                <w:rFonts w:hint="eastAsia" w:hAnsi="宋体"/>
                <w:color w:val="auto"/>
                <w:szCs w:val="21"/>
                <w:highlight w:val="none"/>
                <w:lang w:eastAsia="zh-CN"/>
              </w:rPr>
              <w:t>）</w:t>
            </w:r>
          </w:p>
        </w:tc>
        <w:tc>
          <w:tcPr>
            <w:tcW w:w="508" w:type="pct"/>
            <w:noWrap w:val="0"/>
            <w:vAlign w:val="center"/>
          </w:tcPr>
          <w:p w14:paraId="0BF66787">
            <w:pPr>
              <w:pStyle w:val="18"/>
              <w:spacing w:line="300" w:lineRule="auto"/>
              <w:jc w:val="center"/>
              <w:rPr>
                <w:rFonts w:hAnsi="宋体"/>
                <w:color w:val="auto"/>
                <w:szCs w:val="21"/>
                <w:highlight w:val="none"/>
                <w:lang w:val="en-US" w:eastAsia="zh-CN"/>
              </w:rPr>
            </w:pPr>
          </w:p>
        </w:tc>
      </w:tr>
      <w:tr w14:paraId="4F0C4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atLeast"/>
          <w:jc w:val="center"/>
        </w:trPr>
        <w:tc>
          <w:tcPr>
            <w:tcW w:w="716" w:type="pct"/>
            <w:vMerge w:val="restart"/>
            <w:noWrap w:val="0"/>
            <w:vAlign w:val="center"/>
          </w:tcPr>
          <w:p w14:paraId="694D677F">
            <w:pPr>
              <w:pStyle w:val="18"/>
              <w:spacing w:line="300" w:lineRule="auto"/>
              <w:jc w:val="center"/>
              <w:rPr>
                <w:rFonts w:hAnsi="宋体"/>
                <w:color w:val="auto"/>
                <w:szCs w:val="21"/>
                <w:highlight w:val="none"/>
                <w:lang w:val="en-US" w:eastAsia="zh-CN"/>
              </w:rPr>
            </w:pPr>
            <w:r>
              <w:rPr>
                <w:rFonts w:hint="eastAsia" w:hAnsi="宋体"/>
                <w:color w:val="auto"/>
                <w:szCs w:val="21"/>
                <w:highlight w:val="none"/>
                <w:lang w:val="en-US" w:eastAsia="zh-CN"/>
              </w:rPr>
              <w:t>类似项目设计或施工图审查项目业绩</w:t>
            </w:r>
          </w:p>
        </w:tc>
        <w:tc>
          <w:tcPr>
            <w:tcW w:w="1047" w:type="pct"/>
            <w:gridSpan w:val="3"/>
            <w:noWrap w:val="0"/>
            <w:vAlign w:val="center"/>
          </w:tcPr>
          <w:p w14:paraId="06FD6887">
            <w:pPr>
              <w:pStyle w:val="18"/>
              <w:spacing w:line="300" w:lineRule="auto"/>
              <w:jc w:val="center"/>
              <w:rPr>
                <w:rFonts w:hAnsi="宋体"/>
                <w:color w:val="auto"/>
                <w:szCs w:val="21"/>
                <w:highlight w:val="none"/>
                <w:lang w:val="en-US" w:eastAsia="zh-CN"/>
              </w:rPr>
            </w:pPr>
            <w:r>
              <w:rPr>
                <w:rFonts w:hint="eastAsia" w:hAnsi="宋体"/>
                <w:color w:val="auto"/>
                <w:szCs w:val="21"/>
                <w:highlight w:val="none"/>
                <w:lang w:val="en-US" w:eastAsia="zh-CN"/>
              </w:rPr>
              <w:t>时间</w:t>
            </w:r>
          </w:p>
        </w:tc>
        <w:tc>
          <w:tcPr>
            <w:tcW w:w="1321" w:type="pct"/>
            <w:gridSpan w:val="3"/>
            <w:noWrap w:val="0"/>
            <w:vAlign w:val="center"/>
          </w:tcPr>
          <w:p w14:paraId="150529AA">
            <w:pPr>
              <w:pStyle w:val="18"/>
              <w:spacing w:line="300" w:lineRule="auto"/>
              <w:jc w:val="center"/>
              <w:rPr>
                <w:rFonts w:hAnsi="宋体"/>
                <w:color w:val="auto"/>
                <w:szCs w:val="21"/>
                <w:highlight w:val="none"/>
                <w:lang w:val="en-US" w:eastAsia="zh-CN"/>
              </w:rPr>
            </w:pPr>
            <w:r>
              <w:rPr>
                <w:rFonts w:hint="eastAsia" w:hAnsi="宋体"/>
                <w:color w:val="auto"/>
                <w:szCs w:val="21"/>
                <w:highlight w:val="none"/>
                <w:lang w:val="en-US" w:eastAsia="zh-CN"/>
              </w:rPr>
              <w:t>工程名称</w:t>
            </w:r>
          </w:p>
        </w:tc>
        <w:tc>
          <w:tcPr>
            <w:tcW w:w="766" w:type="pct"/>
            <w:noWrap w:val="0"/>
            <w:vAlign w:val="center"/>
          </w:tcPr>
          <w:p w14:paraId="6DF8DB80">
            <w:pPr>
              <w:pStyle w:val="18"/>
              <w:spacing w:line="300" w:lineRule="auto"/>
              <w:jc w:val="center"/>
              <w:rPr>
                <w:rFonts w:hAnsi="宋体"/>
                <w:color w:val="auto"/>
                <w:szCs w:val="21"/>
                <w:highlight w:val="none"/>
                <w:lang w:val="en-US" w:eastAsia="zh-CN"/>
              </w:rPr>
            </w:pPr>
            <w:r>
              <w:rPr>
                <w:rFonts w:hint="eastAsia" w:hAnsi="宋体"/>
                <w:color w:val="auto"/>
                <w:szCs w:val="21"/>
                <w:highlight w:val="none"/>
                <w:lang w:val="en-US" w:eastAsia="zh-CN"/>
              </w:rPr>
              <w:t>任职</w:t>
            </w:r>
          </w:p>
        </w:tc>
        <w:tc>
          <w:tcPr>
            <w:tcW w:w="1147" w:type="pct"/>
            <w:gridSpan w:val="3"/>
            <w:noWrap w:val="0"/>
            <w:vAlign w:val="center"/>
          </w:tcPr>
          <w:p w14:paraId="5EDD50E0">
            <w:pPr>
              <w:pStyle w:val="18"/>
              <w:spacing w:line="300" w:lineRule="auto"/>
              <w:jc w:val="center"/>
              <w:rPr>
                <w:rFonts w:hAnsi="宋体"/>
                <w:color w:val="auto"/>
                <w:szCs w:val="21"/>
                <w:highlight w:val="none"/>
                <w:lang w:val="en-US" w:eastAsia="zh-CN"/>
              </w:rPr>
            </w:pPr>
            <w:r>
              <w:rPr>
                <w:rFonts w:hint="eastAsia" w:hAnsi="宋体"/>
                <w:color w:val="auto"/>
                <w:szCs w:val="21"/>
                <w:highlight w:val="none"/>
                <w:lang w:val="en-US" w:eastAsia="zh-CN"/>
              </w:rPr>
              <w:t>工作单位</w:t>
            </w:r>
          </w:p>
        </w:tc>
      </w:tr>
      <w:tr w14:paraId="1D2BB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99" w:hRule="atLeast"/>
          <w:jc w:val="center"/>
        </w:trPr>
        <w:tc>
          <w:tcPr>
            <w:tcW w:w="716" w:type="pct"/>
            <w:vMerge w:val="continue"/>
            <w:noWrap w:val="0"/>
            <w:vAlign w:val="top"/>
          </w:tcPr>
          <w:p w14:paraId="0675DA76">
            <w:pPr>
              <w:pStyle w:val="18"/>
              <w:spacing w:line="300" w:lineRule="auto"/>
              <w:jc w:val="center"/>
              <w:rPr>
                <w:rFonts w:hAnsi="宋体"/>
                <w:color w:val="auto"/>
                <w:szCs w:val="21"/>
                <w:highlight w:val="none"/>
                <w:lang w:val="en-US" w:eastAsia="zh-CN"/>
              </w:rPr>
            </w:pPr>
          </w:p>
        </w:tc>
        <w:tc>
          <w:tcPr>
            <w:tcW w:w="1047" w:type="pct"/>
            <w:gridSpan w:val="3"/>
            <w:noWrap w:val="0"/>
            <w:vAlign w:val="center"/>
          </w:tcPr>
          <w:p w14:paraId="19F726CB">
            <w:pPr>
              <w:pStyle w:val="18"/>
              <w:spacing w:line="300" w:lineRule="auto"/>
              <w:jc w:val="center"/>
              <w:rPr>
                <w:rFonts w:hAnsi="宋体"/>
                <w:color w:val="auto"/>
                <w:szCs w:val="21"/>
                <w:highlight w:val="none"/>
                <w:lang w:val="en-US" w:eastAsia="zh-CN"/>
              </w:rPr>
            </w:pPr>
          </w:p>
        </w:tc>
        <w:tc>
          <w:tcPr>
            <w:tcW w:w="1321" w:type="pct"/>
            <w:gridSpan w:val="3"/>
            <w:noWrap w:val="0"/>
            <w:vAlign w:val="center"/>
          </w:tcPr>
          <w:p w14:paraId="777AD8FE">
            <w:pPr>
              <w:pStyle w:val="18"/>
              <w:spacing w:line="300" w:lineRule="auto"/>
              <w:jc w:val="center"/>
              <w:rPr>
                <w:rFonts w:hAnsi="宋体"/>
                <w:color w:val="auto"/>
                <w:szCs w:val="21"/>
                <w:highlight w:val="none"/>
                <w:lang w:val="en-US" w:eastAsia="zh-CN"/>
              </w:rPr>
            </w:pPr>
          </w:p>
        </w:tc>
        <w:tc>
          <w:tcPr>
            <w:tcW w:w="766" w:type="pct"/>
            <w:noWrap w:val="0"/>
            <w:vAlign w:val="center"/>
          </w:tcPr>
          <w:p w14:paraId="24138A22">
            <w:pPr>
              <w:pStyle w:val="18"/>
              <w:spacing w:line="300" w:lineRule="auto"/>
              <w:jc w:val="center"/>
              <w:rPr>
                <w:rFonts w:hAnsi="宋体"/>
                <w:color w:val="auto"/>
                <w:szCs w:val="21"/>
                <w:highlight w:val="none"/>
                <w:lang w:val="en-US" w:eastAsia="zh-CN"/>
              </w:rPr>
            </w:pPr>
          </w:p>
        </w:tc>
        <w:tc>
          <w:tcPr>
            <w:tcW w:w="1147" w:type="pct"/>
            <w:gridSpan w:val="3"/>
            <w:noWrap w:val="0"/>
            <w:vAlign w:val="center"/>
          </w:tcPr>
          <w:p w14:paraId="0BF233B2">
            <w:pPr>
              <w:pStyle w:val="18"/>
              <w:spacing w:line="300" w:lineRule="auto"/>
              <w:jc w:val="center"/>
              <w:rPr>
                <w:rFonts w:hAnsi="宋体"/>
                <w:color w:val="auto"/>
                <w:szCs w:val="21"/>
                <w:highlight w:val="none"/>
                <w:lang w:val="en-US" w:eastAsia="zh-CN"/>
              </w:rPr>
            </w:pPr>
          </w:p>
        </w:tc>
      </w:tr>
    </w:tbl>
    <w:p w14:paraId="721E74F5">
      <w:pPr>
        <w:spacing w:line="360" w:lineRule="auto"/>
        <w:rPr>
          <w:rFonts w:hint="eastAsia" w:ascii="宋体" w:hAnsi="宋体"/>
          <w:color w:val="auto"/>
          <w:sz w:val="24"/>
          <w:szCs w:val="24"/>
          <w:highlight w:val="none"/>
        </w:rPr>
      </w:pPr>
      <w:r>
        <w:rPr>
          <w:rFonts w:hint="eastAsia" w:ascii="宋体" w:hAnsi="宋体" w:cs="宋体"/>
          <w:color w:val="auto"/>
          <w:sz w:val="24"/>
          <w:szCs w:val="24"/>
          <w:highlight w:val="none"/>
        </w:rPr>
        <w:t>注：</w:t>
      </w:r>
      <w:r>
        <w:rPr>
          <w:rFonts w:hint="eastAsia" w:ascii="宋体" w:hAnsi="宋体"/>
          <w:color w:val="auto"/>
          <w:szCs w:val="21"/>
          <w:highlight w:val="none"/>
        </w:rPr>
        <w:t>填写表格后须提供注册证或职称证扫描件、身份证原件扫描件和有效的社保证明材料</w:t>
      </w:r>
      <w:r>
        <w:rPr>
          <w:rFonts w:hint="eastAsia"/>
          <w:color w:val="auto"/>
          <w:szCs w:val="21"/>
          <w:highlight w:val="none"/>
        </w:rPr>
        <w:t>（</w:t>
      </w:r>
      <w:r>
        <w:rPr>
          <w:color w:val="auto"/>
          <w:szCs w:val="21"/>
          <w:highlight w:val="none"/>
          <w:u w:val="single"/>
        </w:rPr>
        <w:t>社保要求详见招标文件《投标人须知前附表》10.9</w:t>
      </w:r>
      <w:r>
        <w:rPr>
          <w:rFonts w:hint="eastAsia"/>
          <w:color w:val="auto"/>
          <w:szCs w:val="21"/>
          <w:highlight w:val="none"/>
        </w:rPr>
        <w:t>）。项目负责人需附业绩证明材料（需能反映人员姓名的委托合同、施工图审查报告或业主证明等有效证明文件）。</w:t>
      </w:r>
    </w:p>
    <w:p w14:paraId="2983BFCE">
      <w:pPr>
        <w:pStyle w:val="30"/>
        <w:rPr>
          <w:color w:val="auto"/>
          <w:highlight w:val="none"/>
        </w:rPr>
      </w:pPr>
    </w:p>
    <w:p w14:paraId="145FE01F">
      <w:pPr>
        <w:spacing w:line="360" w:lineRule="auto"/>
        <w:ind w:right="-108" w:firstLine="480" w:firstLineChars="200"/>
        <w:rPr>
          <w:rFonts w:hint="eastAsia" w:ascii="宋体" w:hAnsi="宋体"/>
          <w:color w:val="auto"/>
          <w:sz w:val="24"/>
          <w:highlight w:val="none"/>
        </w:rPr>
      </w:pPr>
    </w:p>
    <w:p w14:paraId="65896930">
      <w:pPr>
        <w:spacing w:line="360" w:lineRule="auto"/>
        <w:ind w:right="-108" w:firstLine="480" w:firstLineChars="200"/>
        <w:rPr>
          <w:rFonts w:ascii="宋体" w:hAnsi="宋体"/>
          <w:color w:val="auto"/>
          <w:sz w:val="24"/>
          <w:highlight w:val="none"/>
        </w:rPr>
      </w:pPr>
      <w:r>
        <w:rPr>
          <w:rFonts w:hint="eastAsia" w:ascii="宋体" w:hAnsi="宋体"/>
          <w:color w:val="auto"/>
          <w:sz w:val="24"/>
          <w:highlight w:val="none"/>
        </w:rPr>
        <w:t xml:space="preserve">                              投标单位（盖公章）：</w:t>
      </w:r>
    </w:p>
    <w:p w14:paraId="3C865BC6">
      <w:pPr>
        <w:spacing w:line="360" w:lineRule="auto"/>
        <w:ind w:right="-108"/>
        <w:jc w:val="left"/>
        <w:rPr>
          <w:rFonts w:ascii="宋体" w:hAnsi="宋体"/>
          <w:color w:val="auto"/>
          <w:sz w:val="24"/>
          <w:highlight w:val="none"/>
        </w:rPr>
      </w:pPr>
      <w:r>
        <w:rPr>
          <w:rFonts w:hint="eastAsia" w:ascii="宋体" w:hAnsi="宋体"/>
          <w:color w:val="auto"/>
          <w:sz w:val="24"/>
          <w:highlight w:val="none"/>
        </w:rPr>
        <w:t xml:space="preserve">                                  法定代表人或授权委托人（签字或盖章） </w:t>
      </w:r>
    </w:p>
    <w:p w14:paraId="0D581DFA">
      <w:pPr>
        <w:spacing w:line="360" w:lineRule="auto"/>
        <w:ind w:right="538" w:firstLine="480" w:firstLineChars="200"/>
        <w:jc w:val="right"/>
        <w:rPr>
          <w:rFonts w:ascii="宋体" w:hAnsi="宋体"/>
          <w:color w:val="auto"/>
          <w:sz w:val="24"/>
          <w:highlight w:val="none"/>
        </w:rPr>
      </w:pPr>
      <w:r>
        <w:rPr>
          <w:rFonts w:hint="eastAsia" w:ascii="宋体" w:hAnsi="宋体"/>
          <w:color w:val="auto"/>
          <w:sz w:val="24"/>
          <w:highlight w:val="none"/>
        </w:rPr>
        <w:t>日　　　期：　　　年　　月 　日</w:t>
      </w:r>
    </w:p>
    <w:p w14:paraId="6C530170">
      <w:pPr>
        <w:rPr>
          <w:color w:val="auto"/>
          <w:highlight w:val="none"/>
        </w:rPr>
      </w:pPr>
      <w:r>
        <w:rPr>
          <w:color w:val="auto"/>
          <w:highlight w:val="none"/>
        </w:rPr>
        <w:br w:type="page"/>
      </w:r>
    </w:p>
    <w:p w14:paraId="773F9160">
      <w:pPr>
        <w:jc w:val="center"/>
        <w:rPr>
          <w:rFonts w:hint="eastAsia"/>
          <w:b/>
          <w:bCs/>
          <w:color w:val="auto"/>
          <w:sz w:val="32"/>
          <w:szCs w:val="40"/>
          <w:highlight w:val="none"/>
        </w:rPr>
      </w:pPr>
      <w:r>
        <w:rPr>
          <w:rFonts w:hint="eastAsia"/>
          <w:b/>
          <w:bCs/>
          <w:color w:val="auto"/>
          <w:sz w:val="32"/>
          <w:szCs w:val="40"/>
          <w:highlight w:val="none"/>
        </w:rPr>
        <w:t>中小企业声明函（工程、服务）</w:t>
      </w:r>
    </w:p>
    <w:p w14:paraId="344BEC6B">
      <w:pPr>
        <w:ind w:firstLine="1470" w:firstLineChars="700"/>
        <w:rPr>
          <w:rFonts w:hint="eastAsia"/>
          <w:color w:val="auto"/>
          <w:highlight w:val="none"/>
        </w:rPr>
      </w:pPr>
      <w:r>
        <w:rPr>
          <w:rFonts w:hint="eastAsia"/>
          <w:color w:val="auto"/>
          <w:highlight w:val="none"/>
        </w:rPr>
        <w:t>（以下格式文件由投标人根据需要选用，不作为废标条款）</w:t>
      </w:r>
    </w:p>
    <w:p w14:paraId="74A3125A">
      <w:pPr>
        <w:spacing w:line="360" w:lineRule="auto"/>
        <w:rPr>
          <w:rFonts w:hint="eastAsia"/>
          <w:color w:val="auto"/>
          <w:highlight w:val="none"/>
          <w:u w:val="single"/>
        </w:rPr>
      </w:pPr>
      <w:r>
        <w:rPr>
          <w:rFonts w:hint="eastAsia"/>
          <w:color w:val="auto"/>
          <w:highlight w:val="none"/>
        </w:rPr>
        <w:t>致：</w:t>
      </w:r>
      <w:r>
        <w:rPr>
          <w:rFonts w:hint="eastAsia"/>
          <w:color w:val="auto"/>
          <w:highlight w:val="none"/>
          <w:u w:val="single"/>
        </w:rPr>
        <w:t xml:space="preserve">     （招标人）  </w:t>
      </w:r>
    </w:p>
    <w:p w14:paraId="143E4311">
      <w:pPr>
        <w:spacing w:line="360" w:lineRule="auto"/>
        <w:ind w:firstLine="210" w:firstLineChars="100"/>
        <w:rPr>
          <w:rFonts w:hint="eastAsia"/>
          <w:color w:val="auto"/>
          <w:highlight w:val="none"/>
        </w:rPr>
      </w:pPr>
      <w:r>
        <w:rPr>
          <w:rFonts w:hint="eastAsia"/>
          <w:color w:val="auto"/>
          <w:highlight w:val="none"/>
        </w:rPr>
        <w:t>本公司郑重声明，根据《政府采购促进中小企业发展管理办法》（财库﹝2020﹞46号）的规定，本公司参加</w:t>
      </w:r>
      <w:r>
        <w:rPr>
          <w:rFonts w:hint="eastAsia"/>
          <w:color w:val="auto"/>
          <w:highlight w:val="none"/>
          <w:u w:val="single"/>
        </w:rPr>
        <w:t xml:space="preserve">   （招标人）   </w:t>
      </w:r>
      <w:r>
        <w:rPr>
          <w:rFonts w:hint="eastAsia"/>
          <w:color w:val="auto"/>
          <w:highlight w:val="none"/>
        </w:rPr>
        <w:t>的</w:t>
      </w:r>
      <w:r>
        <w:rPr>
          <w:rFonts w:hint="eastAsia"/>
          <w:color w:val="auto"/>
          <w:highlight w:val="none"/>
          <w:u w:val="single"/>
          <w:lang w:val="en-US" w:eastAsia="zh-CN"/>
        </w:rPr>
        <w:t xml:space="preserve">    （项目名称）   </w:t>
      </w:r>
      <w:r>
        <w:rPr>
          <w:rFonts w:hint="eastAsia"/>
          <w:color w:val="auto"/>
          <w:highlight w:val="none"/>
        </w:rPr>
        <w:t>招标活动，工程的服务单位全部为符合政策要求的中小企业。具体情况如下：</w:t>
      </w:r>
    </w:p>
    <w:p w14:paraId="1BCBB07C">
      <w:pPr>
        <w:spacing w:line="360" w:lineRule="auto"/>
        <w:ind w:firstLine="210" w:firstLineChars="100"/>
        <w:rPr>
          <w:rFonts w:hint="eastAsia"/>
          <w:color w:val="auto"/>
          <w:highlight w:val="none"/>
        </w:rPr>
      </w:pPr>
      <w:r>
        <w:rPr>
          <w:rFonts w:hint="eastAsia"/>
          <w:color w:val="auto"/>
          <w:highlight w:val="none"/>
        </w:rPr>
        <w:t xml:space="preserve">1. </w:t>
      </w:r>
      <w:r>
        <w:rPr>
          <w:rFonts w:hint="eastAsia"/>
          <w:color w:val="auto"/>
          <w:highlight w:val="none"/>
          <w:u w:val="single"/>
        </w:rPr>
        <w:t xml:space="preserve">   </w:t>
      </w:r>
      <w:r>
        <w:rPr>
          <w:rFonts w:hint="eastAsia"/>
          <w:color w:val="auto"/>
          <w:highlight w:val="none"/>
          <w:u w:val="single"/>
          <w:lang w:val="en-US" w:eastAsia="zh-CN"/>
        </w:rPr>
        <w:t xml:space="preserve">        </w:t>
      </w:r>
      <w:r>
        <w:rPr>
          <w:rFonts w:hint="eastAsia"/>
          <w:color w:val="auto"/>
          <w:highlight w:val="none"/>
          <w:u w:val="single"/>
        </w:rPr>
        <w:t>（项目名称）</w:t>
      </w:r>
      <w:r>
        <w:rPr>
          <w:rFonts w:hint="eastAsia"/>
          <w:color w:val="auto"/>
          <w:highlight w:val="none"/>
          <w:u w:val="single"/>
          <w:lang w:val="en-US" w:eastAsia="zh-CN"/>
        </w:rPr>
        <w:t xml:space="preserve">     </w:t>
      </w:r>
      <w:r>
        <w:rPr>
          <w:rFonts w:hint="eastAsia"/>
          <w:color w:val="auto"/>
          <w:highlight w:val="none"/>
          <w:u w:val="single"/>
        </w:rPr>
        <w:t xml:space="preserve">   </w:t>
      </w:r>
      <w:r>
        <w:rPr>
          <w:rFonts w:hint="eastAsia"/>
          <w:color w:val="auto"/>
          <w:highlight w:val="none"/>
        </w:rPr>
        <w:t xml:space="preserve">，属于 </w:t>
      </w:r>
      <w:r>
        <w:rPr>
          <w:rFonts w:hint="eastAsia"/>
          <w:color w:val="auto"/>
          <w:highlight w:val="none"/>
          <w:u w:val="single"/>
        </w:rPr>
        <w:t xml:space="preserve">其他未列明行业 </w:t>
      </w:r>
      <w:r>
        <w:rPr>
          <w:rFonts w:hint="eastAsia"/>
          <w:color w:val="auto"/>
          <w:highlight w:val="none"/>
        </w:rPr>
        <w:t xml:space="preserve"> ；承建（承接）企业为</w:t>
      </w:r>
      <w:r>
        <w:rPr>
          <w:rFonts w:hint="eastAsia"/>
          <w:color w:val="auto"/>
          <w:highlight w:val="none"/>
          <w:u w:val="single"/>
        </w:rPr>
        <w:t xml:space="preserve">    （企业名称）     </w:t>
      </w:r>
      <w:r>
        <w:rPr>
          <w:rFonts w:hint="eastAsia"/>
          <w:color w:val="auto"/>
          <w:highlight w:val="none"/>
        </w:rPr>
        <w:t>，从业人员</w:t>
      </w:r>
      <w:r>
        <w:rPr>
          <w:rFonts w:hint="eastAsia"/>
          <w:color w:val="auto"/>
          <w:highlight w:val="none"/>
          <w:u w:val="single"/>
        </w:rPr>
        <w:t xml:space="preserve">    </w:t>
      </w:r>
      <w:r>
        <w:rPr>
          <w:rFonts w:hint="eastAsia"/>
          <w:color w:val="auto"/>
          <w:highlight w:val="none"/>
        </w:rPr>
        <w:t>人，营业收入为</w:t>
      </w:r>
      <w:r>
        <w:rPr>
          <w:rFonts w:hint="eastAsia"/>
          <w:color w:val="auto"/>
          <w:highlight w:val="none"/>
          <w:u w:val="single"/>
        </w:rPr>
        <w:t xml:space="preserve">    </w:t>
      </w:r>
      <w:r>
        <w:rPr>
          <w:rFonts w:hint="eastAsia"/>
          <w:color w:val="auto"/>
          <w:highlight w:val="none"/>
        </w:rPr>
        <w:t>万元，资产总额为</w:t>
      </w:r>
      <w:r>
        <w:rPr>
          <w:rFonts w:hint="eastAsia"/>
          <w:color w:val="auto"/>
          <w:highlight w:val="none"/>
          <w:u w:val="single"/>
        </w:rPr>
        <w:t xml:space="preserve">    </w:t>
      </w:r>
      <w:r>
        <w:rPr>
          <w:rFonts w:hint="eastAsia"/>
          <w:color w:val="auto"/>
          <w:highlight w:val="none"/>
        </w:rPr>
        <w:t>万元，属于（□中型企业、□小型企业、□微型企业）。</w:t>
      </w:r>
    </w:p>
    <w:p w14:paraId="4B8CF0CC">
      <w:pPr>
        <w:spacing w:line="360" w:lineRule="auto"/>
        <w:rPr>
          <w:rFonts w:hint="eastAsia"/>
          <w:color w:val="auto"/>
          <w:highlight w:val="none"/>
        </w:rPr>
      </w:pPr>
      <w:r>
        <w:rPr>
          <w:rFonts w:hint="eastAsia"/>
          <w:color w:val="auto"/>
          <w:highlight w:val="none"/>
        </w:rPr>
        <w:t>本企业，不属于大企业的分支机构，不存在控股股东为大企业的情形，也不存在与大企业的负责人为同一人的情形。</w:t>
      </w:r>
    </w:p>
    <w:p w14:paraId="0710B5C1">
      <w:pPr>
        <w:spacing w:line="360" w:lineRule="auto"/>
        <w:rPr>
          <w:rFonts w:hint="eastAsia"/>
          <w:color w:val="auto"/>
          <w:highlight w:val="none"/>
        </w:rPr>
      </w:pPr>
      <w:r>
        <w:rPr>
          <w:rFonts w:hint="eastAsia"/>
          <w:color w:val="auto"/>
          <w:highlight w:val="none"/>
        </w:rPr>
        <w:t>本企业对上述声明内容的真实性负责。如有虚假，将依法承担相应责任。</w:t>
      </w:r>
    </w:p>
    <w:p w14:paraId="7263DA0A">
      <w:pPr>
        <w:rPr>
          <w:rFonts w:hint="eastAsia"/>
          <w:color w:val="auto"/>
          <w:highlight w:val="none"/>
        </w:rPr>
      </w:pPr>
    </w:p>
    <w:p w14:paraId="22CBF6A0">
      <w:pPr>
        <w:rPr>
          <w:rFonts w:hint="eastAsia"/>
          <w:color w:val="auto"/>
          <w:highlight w:val="none"/>
        </w:rPr>
      </w:pPr>
    </w:p>
    <w:p w14:paraId="45159088">
      <w:pPr>
        <w:jc w:val="right"/>
        <w:rPr>
          <w:rFonts w:hint="eastAsia"/>
          <w:color w:val="auto"/>
          <w:highlight w:val="none"/>
        </w:rPr>
      </w:pPr>
      <w:r>
        <w:rPr>
          <w:rFonts w:hint="eastAsia"/>
          <w:color w:val="auto"/>
          <w:highlight w:val="none"/>
        </w:rPr>
        <w:t>投标人名称（盖章）：</w:t>
      </w:r>
    </w:p>
    <w:p w14:paraId="39A67CEB">
      <w:pPr>
        <w:jc w:val="right"/>
        <w:rPr>
          <w:rFonts w:hint="eastAsia"/>
          <w:color w:val="auto"/>
          <w:highlight w:val="none"/>
        </w:rPr>
      </w:pPr>
      <w:r>
        <w:rPr>
          <w:rFonts w:hint="eastAsia"/>
          <w:color w:val="auto"/>
          <w:highlight w:val="none"/>
        </w:rPr>
        <w:t>日   期：     年   月   日</w:t>
      </w:r>
    </w:p>
    <w:p w14:paraId="2BEE8812">
      <w:pPr>
        <w:jc w:val="right"/>
        <w:rPr>
          <w:rFonts w:hint="eastAsia"/>
          <w:color w:val="auto"/>
          <w:highlight w:val="none"/>
        </w:rPr>
      </w:pPr>
    </w:p>
    <w:p w14:paraId="659037F5">
      <w:pPr>
        <w:rPr>
          <w:rFonts w:hint="eastAsia"/>
          <w:color w:val="auto"/>
          <w:highlight w:val="none"/>
        </w:rPr>
      </w:pPr>
    </w:p>
    <w:p w14:paraId="733DC56F">
      <w:pPr>
        <w:rPr>
          <w:rFonts w:hint="eastAsia"/>
          <w:color w:val="auto"/>
          <w:highlight w:val="none"/>
        </w:rPr>
      </w:pPr>
    </w:p>
    <w:p w14:paraId="374ED164">
      <w:pPr>
        <w:rPr>
          <w:rFonts w:hint="eastAsia"/>
          <w:color w:val="auto"/>
          <w:highlight w:val="none"/>
        </w:rPr>
      </w:pPr>
    </w:p>
    <w:p w14:paraId="68E9EF77">
      <w:pPr>
        <w:rPr>
          <w:rFonts w:hint="eastAsia"/>
          <w:color w:val="auto"/>
          <w:highlight w:val="none"/>
        </w:rPr>
      </w:pPr>
    </w:p>
    <w:p w14:paraId="248D2004">
      <w:pPr>
        <w:rPr>
          <w:rFonts w:hint="eastAsia"/>
          <w:color w:val="auto"/>
          <w:highlight w:val="none"/>
        </w:rPr>
      </w:pPr>
    </w:p>
    <w:p w14:paraId="1E38F06B">
      <w:pPr>
        <w:rPr>
          <w:rFonts w:hint="eastAsia"/>
          <w:color w:val="auto"/>
          <w:highlight w:val="none"/>
        </w:rPr>
      </w:pPr>
    </w:p>
    <w:p w14:paraId="543196D8">
      <w:pPr>
        <w:rPr>
          <w:rFonts w:hint="eastAsia"/>
          <w:color w:val="auto"/>
          <w:highlight w:val="none"/>
        </w:rPr>
      </w:pPr>
    </w:p>
    <w:p w14:paraId="29F24312">
      <w:pPr>
        <w:rPr>
          <w:rFonts w:hint="eastAsia"/>
          <w:color w:val="auto"/>
          <w:highlight w:val="none"/>
        </w:rPr>
      </w:pPr>
    </w:p>
    <w:p w14:paraId="6F1FE0FE">
      <w:pPr>
        <w:rPr>
          <w:rFonts w:hint="eastAsia"/>
          <w:color w:val="auto"/>
          <w:highlight w:val="none"/>
        </w:rPr>
      </w:pPr>
    </w:p>
    <w:p w14:paraId="1A5AEC92">
      <w:pPr>
        <w:rPr>
          <w:rFonts w:hint="eastAsia"/>
          <w:color w:val="auto"/>
          <w:highlight w:val="none"/>
        </w:rPr>
      </w:pPr>
    </w:p>
    <w:p w14:paraId="395DA5B3">
      <w:pPr>
        <w:rPr>
          <w:rFonts w:hint="eastAsia"/>
          <w:color w:val="auto"/>
          <w:highlight w:val="none"/>
        </w:rPr>
      </w:pPr>
    </w:p>
    <w:p w14:paraId="3940520B">
      <w:pPr>
        <w:rPr>
          <w:rFonts w:hint="eastAsia"/>
          <w:color w:val="auto"/>
          <w:highlight w:val="none"/>
        </w:rPr>
      </w:pPr>
    </w:p>
    <w:p w14:paraId="24A661D6">
      <w:pPr>
        <w:rPr>
          <w:rFonts w:hint="eastAsia"/>
          <w:color w:val="auto"/>
          <w:highlight w:val="none"/>
        </w:rPr>
      </w:pPr>
    </w:p>
    <w:p w14:paraId="59498F9E">
      <w:pPr>
        <w:rPr>
          <w:rFonts w:hint="eastAsia"/>
          <w:color w:val="auto"/>
          <w:highlight w:val="none"/>
        </w:rPr>
      </w:pPr>
    </w:p>
    <w:p w14:paraId="3F7F9A11">
      <w:pPr>
        <w:rPr>
          <w:rFonts w:hint="eastAsia"/>
          <w:color w:val="auto"/>
          <w:highlight w:val="none"/>
        </w:rPr>
      </w:pPr>
    </w:p>
    <w:p w14:paraId="5387B30E">
      <w:pPr>
        <w:rPr>
          <w:rFonts w:hint="eastAsia"/>
          <w:color w:val="auto"/>
          <w:highlight w:val="none"/>
        </w:rPr>
      </w:pPr>
    </w:p>
    <w:p w14:paraId="22263CE5">
      <w:pPr>
        <w:rPr>
          <w:rFonts w:hint="eastAsia"/>
          <w:color w:val="auto"/>
          <w:highlight w:val="none"/>
        </w:rPr>
      </w:pPr>
    </w:p>
    <w:p w14:paraId="48E28CDC">
      <w:pPr>
        <w:rPr>
          <w:rFonts w:hint="eastAsia"/>
          <w:color w:val="auto"/>
          <w:highlight w:val="none"/>
        </w:rPr>
      </w:pPr>
    </w:p>
    <w:p w14:paraId="609C672C">
      <w:pPr>
        <w:rPr>
          <w:rFonts w:hint="eastAsia"/>
          <w:color w:val="auto"/>
          <w:highlight w:val="none"/>
        </w:rPr>
      </w:pPr>
    </w:p>
    <w:p w14:paraId="3D8B1C64">
      <w:pPr>
        <w:rPr>
          <w:rFonts w:hint="eastAsia"/>
          <w:color w:val="auto"/>
          <w:highlight w:val="none"/>
        </w:rPr>
      </w:pPr>
      <w:r>
        <w:rPr>
          <w:rFonts w:hint="eastAsia"/>
          <w:color w:val="auto"/>
          <w:highlight w:val="none"/>
        </w:rPr>
        <w:t>注：从业人员、营业收入、资产总额填报上一年度数据，无上一年度数据的新成立企业可不填报。</w:t>
      </w:r>
    </w:p>
    <w:p w14:paraId="4E16667D">
      <w:pPr>
        <w:rPr>
          <w:rFonts w:hint="eastAsia"/>
          <w:color w:val="auto"/>
          <w:highlight w:val="none"/>
        </w:rPr>
      </w:pPr>
    </w:p>
    <w:p w14:paraId="1DB37E4E">
      <w:pPr>
        <w:rPr>
          <w:rFonts w:hint="eastAsia"/>
          <w:color w:val="auto"/>
          <w:highlight w:val="none"/>
        </w:rPr>
      </w:pPr>
    </w:p>
    <w:p w14:paraId="20274030">
      <w:pPr>
        <w:jc w:val="center"/>
        <w:rPr>
          <w:rFonts w:hint="eastAsia" w:ascii="Times New Roman" w:hAnsi="Times New Roman" w:eastAsia="宋体" w:cs="Times New Roman"/>
          <w:b/>
          <w:bCs/>
          <w:color w:val="auto"/>
          <w:sz w:val="32"/>
          <w:szCs w:val="40"/>
          <w:highlight w:val="none"/>
        </w:rPr>
      </w:pPr>
      <w:r>
        <w:rPr>
          <w:rFonts w:hint="eastAsia" w:ascii="Times New Roman" w:hAnsi="Times New Roman" w:eastAsia="宋体" w:cs="Times New Roman"/>
          <w:b/>
          <w:bCs/>
          <w:color w:val="auto"/>
          <w:sz w:val="32"/>
          <w:szCs w:val="40"/>
          <w:highlight w:val="none"/>
        </w:rPr>
        <w:t>监狱企业证明文件</w:t>
      </w:r>
    </w:p>
    <w:p w14:paraId="1D7D1458">
      <w:pPr>
        <w:ind w:firstLine="1050" w:firstLineChars="500"/>
        <w:rPr>
          <w:rFonts w:hint="eastAsia"/>
          <w:color w:val="auto"/>
          <w:highlight w:val="none"/>
        </w:rPr>
      </w:pPr>
      <w:r>
        <w:rPr>
          <w:rFonts w:hint="eastAsia"/>
          <w:color w:val="auto"/>
          <w:highlight w:val="none"/>
        </w:rPr>
        <w:t>（以下格式文件由投标人根据需要选用，不作为废标条款）</w:t>
      </w:r>
    </w:p>
    <w:p w14:paraId="26285A96">
      <w:pPr>
        <w:rPr>
          <w:rFonts w:hint="eastAsia"/>
          <w:color w:val="auto"/>
          <w:highlight w:val="none"/>
        </w:rPr>
      </w:pPr>
    </w:p>
    <w:p w14:paraId="7FE0095A">
      <w:pPr>
        <w:rPr>
          <w:rFonts w:hint="eastAsia"/>
          <w:color w:val="auto"/>
          <w:highlight w:val="none"/>
        </w:rPr>
      </w:pPr>
    </w:p>
    <w:p w14:paraId="196D6276">
      <w:pPr>
        <w:rPr>
          <w:rFonts w:hint="eastAsia"/>
          <w:color w:val="auto"/>
          <w:highlight w:val="none"/>
        </w:rPr>
      </w:pPr>
    </w:p>
    <w:p w14:paraId="5E7A3093">
      <w:pPr>
        <w:rPr>
          <w:rFonts w:hint="eastAsia"/>
          <w:color w:val="auto"/>
          <w:highlight w:val="none"/>
        </w:rPr>
      </w:pPr>
    </w:p>
    <w:p w14:paraId="7C746E7F">
      <w:pPr>
        <w:rPr>
          <w:rFonts w:hint="eastAsia"/>
          <w:color w:val="auto"/>
          <w:highlight w:val="none"/>
        </w:rPr>
      </w:pPr>
    </w:p>
    <w:p w14:paraId="57573925">
      <w:pPr>
        <w:rPr>
          <w:rFonts w:hint="eastAsia"/>
          <w:color w:val="auto"/>
          <w:highlight w:val="none"/>
        </w:rPr>
      </w:pPr>
    </w:p>
    <w:p w14:paraId="26121C28">
      <w:pPr>
        <w:rPr>
          <w:rFonts w:hint="eastAsia"/>
          <w:color w:val="auto"/>
          <w:highlight w:val="none"/>
        </w:rPr>
      </w:pPr>
    </w:p>
    <w:p w14:paraId="321B2FA0">
      <w:pPr>
        <w:rPr>
          <w:rFonts w:hint="eastAsia"/>
          <w:color w:val="auto"/>
          <w:highlight w:val="none"/>
        </w:rPr>
      </w:pPr>
    </w:p>
    <w:p w14:paraId="5780527D">
      <w:pPr>
        <w:rPr>
          <w:rFonts w:hint="eastAsia"/>
          <w:color w:val="auto"/>
          <w:highlight w:val="none"/>
        </w:rPr>
      </w:pPr>
    </w:p>
    <w:p w14:paraId="62560C8C">
      <w:pPr>
        <w:rPr>
          <w:rFonts w:hint="eastAsia"/>
          <w:color w:val="auto"/>
          <w:highlight w:val="none"/>
        </w:rPr>
      </w:pPr>
    </w:p>
    <w:p w14:paraId="53F9696A">
      <w:pPr>
        <w:rPr>
          <w:rFonts w:hint="eastAsia"/>
          <w:color w:val="auto"/>
          <w:highlight w:val="none"/>
        </w:rPr>
      </w:pPr>
    </w:p>
    <w:p w14:paraId="36139FA3">
      <w:pPr>
        <w:rPr>
          <w:rFonts w:hint="eastAsia"/>
          <w:color w:val="auto"/>
          <w:highlight w:val="none"/>
        </w:rPr>
      </w:pPr>
    </w:p>
    <w:p w14:paraId="79127B25">
      <w:pPr>
        <w:rPr>
          <w:rFonts w:hint="eastAsia"/>
          <w:color w:val="auto"/>
          <w:highlight w:val="none"/>
        </w:rPr>
      </w:pPr>
    </w:p>
    <w:p w14:paraId="0E87E41A">
      <w:pPr>
        <w:rPr>
          <w:rFonts w:hint="eastAsia"/>
          <w:color w:val="auto"/>
          <w:highlight w:val="none"/>
        </w:rPr>
      </w:pPr>
    </w:p>
    <w:p w14:paraId="7BBB4D12">
      <w:pPr>
        <w:rPr>
          <w:rFonts w:hint="eastAsia"/>
          <w:color w:val="auto"/>
          <w:highlight w:val="none"/>
        </w:rPr>
      </w:pPr>
    </w:p>
    <w:p w14:paraId="5F791D31">
      <w:pPr>
        <w:rPr>
          <w:rFonts w:hint="eastAsia"/>
          <w:color w:val="auto"/>
          <w:highlight w:val="none"/>
        </w:rPr>
      </w:pPr>
    </w:p>
    <w:p w14:paraId="18E4321B">
      <w:pPr>
        <w:rPr>
          <w:rFonts w:hint="eastAsia"/>
          <w:color w:val="auto"/>
          <w:highlight w:val="none"/>
        </w:rPr>
      </w:pPr>
    </w:p>
    <w:p w14:paraId="7AD887B5">
      <w:pPr>
        <w:rPr>
          <w:rFonts w:hint="eastAsia"/>
          <w:color w:val="auto"/>
          <w:highlight w:val="none"/>
        </w:rPr>
      </w:pPr>
    </w:p>
    <w:p w14:paraId="1C9884B7">
      <w:pPr>
        <w:rPr>
          <w:rFonts w:hint="eastAsia"/>
          <w:color w:val="auto"/>
          <w:highlight w:val="none"/>
        </w:rPr>
      </w:pPr>
    </w:p>
    <w:p w14:paraId="671A5452">
      <w:pPr>
        <w:rPr>
          <w:rFonts w:hint="eastAsia"/>
          <w:color w:val="auto"/>
          <w:highlight w:val="none"/>
        </w:rPr>
      </w:pPr>
    </w:p>
    <w:p w14:paraId="5F9D8251">
      <w:pPr>
        <w:rPr>
          <w:rFonts w:hint="eastAsia"/>
          <w:color w:val="auto"/>
          <w:highlight w:val="none"/>
        </w:rPr>
      </w:pPr>
    </w:p>
    <w:p w14:paraId="3BF66271">
      <w:pPr>
        <w:rPr>
          <w:rFonts w:hint="eastAsia"/>
          <w:color w:val="auto"/>
          <w:highlight w:val="none"/>
        </w:rPr>
      </w:pPr>
    </w:p>
    <w:p w14:paraId="6B42984C">
      <w:pPr>
        <w:rPr>
          <w:rFonts w:hint="eastAsia"/>
          <w:color w:val="auto"/>
          <w:highlight w:val="none"/>
        </w:rPr>
      </w:pPr>
    </w:p>
    <w:p w14:paraId="366FA265">
      <w:pPr>
        <w:rPr>
          <w:rFonts w:hint="eastAsia"/>
          <w:color w:val="auto"/>
          <w:highlight w:val="none"/>
        </w:rPr>
      </w:pPr>
    </w:p>
    <w:p w14:paraId="4EC00A2E">
      <w:pPr>
        <w:rPr>
          <w:rFonts w:hint="eastAsia"/>
          <w:color w:val="auto"/>
          <w:highlight w:val="none"/>
        </w:rPr>
      </w:pPr>
    </w:p>
    <w:p w14:paraId="70132F58">
      <w:pPr>
        <w:rPr>
          <w:rFonts w:hint="eastAsia"/>
          <w:color w:val="auto"/>
          <w:highlight w:val="none"/>
        </w:rPr>
      </w:pPr>
    </w:p>
    <w:p w14:paraId="682DA12A">
      <w:pPr>
        <w:rPr>
          <w:rFonts w:hint="eastAsia"/>
          <w:color w:val="auto"/>
          <w:highlight w:val="none"/>
        </w:rPr>
      </w:pPr>
    </w:p>
    <w:p w14:paraId="1938728B">
      <w:pPr>
        <w:rPr>
          <w:rFonts w:hint="eastAsia"/>
          <w:color w:val="auto"/>
          <w:highlight w:val="none"/>
        </w:rPr>
      </w:pPr>
    </w:p>
    <w:p w14:paraId="2AB2A1B6">
      <w:pPr>
        <w:rPr>
          <w:rFonts w:hint="eastAsia"/>
          <w:color w:val="auto"/>
          <w:highlight w:val="none"/>
        </w:rPr>
      </w:pPr>
    </w:p>
    <w:p w14:paraId="7A206BB6">
      <w:pPr>
        <w:rPr>
          <w:rFonts w:hint="eastAsia"/>
          <w:color w:val="auto"/>
          <w:highlight w:val="none"/>
        </w:rPr>
      </w:pPr>
    </w:p>
    <w:p w14:paraId="0FC49632">
      <w:pPr>
        <w:rPr>
          <w:rFonts w:hint="eastAsia"/>
          <w:color w:val="auto"/>
          <w:highlight w:val="none"/>
        </w:rPr>
      </w:pPr>
    </w:p>
    <w:p w14:paraId="560E8921">
      <w:pPr>
        <w:rPr>
          <w:rFonts w:hint="eastAsia"/>
          <w:color w:val="auto"/>
          <w:highlight w:val="none"/>
        </w:rPr>
      </w:pPr>
    </w:p>
    <w:p w14:paraId="37F7EDD5">
      <w:pPr>
        <w:rPr>
          <w:rFonts w:hint="eastAsia"/>
          <w:color w:val="auto"/>
          <w:highlight w:val="none"/>
        </w:rPr>
      </w:pPr>
      <w:r>
        <w:rPr>
          <w:rFonts w:hint="eastAsia"/>
          <w:color w:val="auto"/>
          <w:highlight w:val="none"/>
        </w:rPr>
        <w:t>注：1、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4CD67770">
      <w:pPr>
        <w:rPr>
          <w:rFonts w:hint="eastAsia"/>
          <w:color w:val="auto"/>
          <w:highlight w:val="none"/>
        </w:rPr>
      </w:pPr>
      <w:r>
        <w:rPr>
          <w:rFonts w:hint="eastAsia"/>
          <w:color w:val="auto"/>
          <w:highlight w:val="none"/>
        </w:rPr>
        <w:t>2、监狱企业参与投标的，需提供由省级以上监狱管理局、戒毒管理局（含新疆生产建设兵团）出具的属于监狱企业的证明文件。监狱企业视同小微企业，无需再提供《中小企业声明函》。</w:t>
      </w:r>
    </w:p>
    <w:p w14:paraId="7B134249">
      <w:pPr>
        <w:rPr>
          <w:rFonts w:hint="eastAsia"/>
          <w:color w:val="auto"/>
          <w:highlight w:val="none"/>
        </w:rPr>
      </w:pPr>
    </w:p>
    <w:p w14:paraId="15FF4B30">
      <w:pPr>
        <w:jc w:val="center"/>
        <w:rPr>
          <w:rFonts w:hint="eastAsia" w:ascii="Times New Roman" w:hAnsi="Times New Roman" w:eastAsia="宋体" w:cs="Times New Roman"/>
          <w:b/>
          <w:bCs/>
          <w:color w:val="auto"/>
          <w:sz w:val="32"/>
          <w:szCs w:val="40"/>
          <w:highlight w:val="none"/>
        </w:rPr>
      </w:pPr>
      <w:r>
        <w:rPr>
          <w:rFonts w:hint="eastAsia" w:ascii="Times New Roman" w:hAnsi="Times New Roman" w:eastAsia="宋体" w:cs="Times New Roman"/>
          <w:b/>
          <w:bCs/>
          <w:color w:val="auto"/>
          <w:sz w:val="32"/>
          <w:szCs w:val="40"/>
          <w:highlight w:val="none"/>
        </w:rPr>
        <w:t>残疾人福利性单位声明函</w:t>
      </w:r>
    </w:p>
    <w:p w14:paraId="54824609">
      <w:pPr>
        <w:jc w:val="center"/>
        <w:rPr>
          <w:rFonts w:hint="eastAsia"/>
          <w:color w:val="auto"/>
          <w:highlight w:val="none"/>
        </w:rPr>
      </w:pPr>
      <w:r>
        <w:rPr>
          <w:rFonts w:hint="eastAsia"/>
          <w:color w:val="auto"/>
          <w:highlight w:val="none"/>
        </w:rPr>
        <w:t>（以下格式文件由投标人根据需要选用，不作为废标条款）</w:t>
      </w:r>
    </w:p>
    <w:p w14:paraId="459CFCA1">
      <w:pPr>
        <w:rPr>
          <w:rFonts w:hint="eastAsia"/>
          <w:color w:val="auto"/>
          <w:highlight w:val="none"/>
        </w:rPr>
      </w:pPr>
    </w:p>
    <w:p w14:paraId="137DB5C9">
      <w:pPr>
        <w:spacing w:line="360" w:lineRule="auto"/>
        <w:ind w:firstLine="420" w:firstLineChars="200"/>
        <w:rPr>
          <w:rFonts w:hint="eastAsia"/>
          <w:color w:val="auto"/>
          <w:highlight w:val="none"/>
        </w:rPr>
      </w:pPr>
      <w:r>
        <w:rPr>
          <w:rFonts w:hint="eastAsia"/>
          <w:color w:val="auto"/>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color w:val="auto"/>
          <w:highlight w:val="none"/>
          <w:u w:val="single"/>
          <w:lang w:val="en-US" w:eastAsia="zh-CN"/>
        </w:rPr>
        <w:t xml:space="preserve">   （招标人）   </w:t>
      </w:r>
      <w:r>
        <w:rPr>
          <w:rFonts w:hint="eastAsia"/>
          <w:color w:val="auto"/>
          <w:highlight w:val="none"/>
        </w:rPr>
        <w:t>的</w:t>
      </w:r>
      <w:r>
        <w:rPr>
          <w:rFonts w:hint="eastAsia"/>
          <w:color w:val="auto"/>
          <w:highlight w:val="none"/>
          <w:u w:val="single"/>
          <w:lang w:val="en-US" w:eastAsia="zh-CN"/>
        </w:rPr>
        <w:t xml:space="preserve">     （项目名称 ）       </w:t>
      </w:r>
      <w:r>
        <w:rPr>
          <w:rFonts w:hint="eastAsia"/>
          <w:color w:val="auto"/>
          <w:highlight w:val="none"/>
        </w:rPr>
        <w:t>项目招标活动，由本单位承担服务工作。</w:t>
      </w:r>
    </w:p>
    <w:p w14:paraId="79F9BC1A">
      <w:pPr>
        <w:spacing w:line="360" w:lineRule="auto"/>
        <w:rPr>
          <w:rFonts w:hint="eastAsia"/>
          <w:color w:val="auto"/>
          <w:highlight w:val="none"/>
        </w:rPr>
      </w:pPr>
      <w:r>
        <w:rPr>
          <w:rFonts w:hint="eastAsia"/>
          <w:color w:val="auto"/>
          <w:highlight w:val="none"/>
        </w:rPr>
        <w:t>本单位对上述声明的真实性负责。如有虚假，将依法承担相应责任。</w:t>
      </w:r>
    </w:p>
    <w:p w14:paraId="5E662192">
      <w:pPr>
        <w:rPr>
          <w:rFonts w:hint="eastAsia"/>
          <w:color w:val="auto"/>
          <w:highlight w:val="none"/>
        </w:rPr>
      </w:pPr>
    </w:p>
    <w:p w14:paraId="144018A3">
      <w:pPr>
        <w:rPr>
          <w:rFonts w:hint="eastAsia"/>
          <w:color w:val="auto"/>
          <w:highlight w:val="none"/>
        </w:rPr>
      </w:pPr>
      <w:r>
        <w:rPr>
          <w:rFonts w:hint="eastAsia"/>
          <w:color w:val="auto"/>
          <w:highlight w:val="none"/>
        </w:rPr>
        <w:t xml:space="preserve">                                   投标人名称（盖章）：</w:t>
      </w:r>
    </w:p>
    <w:p w14:paraId="169E132E">
      <w:pPr>
        <w:rPr>
          <w:rFonts w:hint="eastAsia"/>
          <w:color w:val="auto"/>
          <w:highlight w:val="none"/>
        </w:rPr>
      </w:pPr>
      <w:r>
        <w:rPr>
          <w:rFonts w:hint="eastAsia"/>
          <w:color w:val="auto"/>
          <w:highlight w:val="none"/>
        </w:rPr>
        <w:t xml:space="preserve">                                </w:t>
      </w:r>
      <w:r>
        <w:rPr>
          <w:rFonts w:hint="eastAsia"/>
          <w:color w:val="auto"/>
          <w:highlight w:val="none"/>
          <w:lang w:val="en-US" w:eastAsia="zh-CN"/>
        </w:rPr>
        <w:t xml:space="preserve">   </w:t>
      </w:r>
      <w:r>
        <w:rPr>
          <w:rFonts w:hint="eastAsia"/>
          <w:color w:val="auto"/>
          <w:highlight w:val="none"/>
        </w:rPr>
        <w:t>日  期：</w:t>
      </w:r>
    </w:p>
    <w:p w14:paraId="30E3B100">
      <w:pPr>
        <w:rPr>
          <w:rFonts w:hint="eastAsia"/>
          <w:color w:val="auto"/>
          <w:highlight w:val="none"/>
        </w:rPr>
      </w:pPr>
    </w:p>
    <w:p w14:paraId="623E4A94">
      <w:pPr>
        <w:rPr>
          <w:rFonts w:hint="eastAsia"/>
          <w:color w:val="auto"/>
          <w:highlight w:val="none"/>
        </w:rPr>
      </w:pPr>
    </w:p>
    <w:p w14:paraId="486CF709">
      <w:pPr>
        <w:rPr>
          <w:rFonts w:hint="eastAsia"/>
          <w:color w:val="auto"/>
          <w:highlight w:val="none"/>
        </w:rPr>
      </w:pPr>
    </w:p>
    <w:p w14:paraId="4201A505">
      <w:pPr>
        <w:rPr>
          <w:rFonts w:hint="eastAsia"/>
          <w:color w:val="auto"/>
          <w:highlight w:val="none"/>
        </w:rPr>
      </w:pPr>
    </w:p>
    <w:p w14:paraId="45ED682F">
      <w:pPr>
        <w:rPr>
          <w:rFonts w:hint="eastAsia"/>
          <w:color w:val="auto"/>
          <w:highlight w:val="none"/>
        </w:rPr>
      </w:pPr>
    </w:p>
    <w:p w14:paraId="2F1AA1FD">
      <w:pPr>
        <w:rPr>
          <w:rFonts w:hint="eastAsia"/>
          <w:color w:val="auto"/>
          <w:highlight w:val="none"/>
        </w:rPr>
      </w:pPr>
    </w:p>
    <w:p w14:paraId="00E1C275">
      <w:pPr>
        <w:rPr>
          <w:rFonts w:hint="eastAsia"/>
          <w:color w:val="auto"/>
          <w:highlight w:val="none"/>
        </w:rPr>
      </w:pPr>
    </w:p>
    <w:p w14:paraId="27A2FA91">
      <w:pPr>
        <w:rPr>
          <w:rFonts w:hint="eastAsia"/>
          <w:color w:val="auto"/>
          <w:highlight w:val="none"/>
        </w:rPr>
      </w:pPr>
    </w:p>
    <w:p w14:paraId="60CDDCE1">
      <w:pPr>
        <w:rPr>
          <w:rFonts w:hint="eastAsia"/>
          <w:color w:val="auto"/>
          <w:highlight w:val="none"/>
        </w:rPr>
      </w:pPr>
    </w:p>
    <w:p w14:paraId="2C573502">
      <w:pPr>
        <w:rPr>
          <w:rFonts w:hint="eastAsia"/>
          <w:color w:val="auto"/>
          <w:highlight w:val="none"/>
        </w:rPr>
      </w:pPr>
    </w:p>
    <w:p w14:paraId="23E6B139">
      <w:pPr>
        <w:rPr>
          <w:rFonts w:hint="eastAsia"/>
          <w:color w:val="auto"/>
          <w:highlight w:val="none"/>
        </w:rPr>
      </w:pPr>
    </w:p>
    <w:p w14:paraId="6EDA1833">
      <w:pPr>
        <w:rPr>
          <w:rFonts w:hint="eastAsia"/>
          <w:color w:val="auto"/>
          <w:highlight w:val="none"/>
        </w:rPr>
      </w:pPr>
    </w:p>
    <w:p w14:paraId="76BAF092">
      <w:pPr>
        <w:rPr>
          <w:rFonts w:hint="eastAsia"/>
          <w:color w:val="auto"/>
          <w:highlight w:val="none"/>
        </w:rPr>
      </w:pPr>
    </w:p>
    <w:p w14:paraId="6671F920">
      <w:pPr>
        <w:rPr>
          <w:rFonts w:hint="eastAsia"/>
          <w:color w:val="auto"/>
          <w:highlight w:val="none"/>
        </w:rPr>
      </w:pPr>
    </w:p>
    <w:p w14:paraId="77937DC6">
      <w:pPr>
        <w:rPr>
          <w:rFonts w:hint="eastAsia"/>
          <w:color w:val="auto"/>
          <w:highlight w:val="none"/>
        </w:rPr>
      </w:pPr>
    </w:p>
    <w:p w14:paraId="58A7780D">
      <w:pPr>
        <w:rPr>
          <w:rFonts w:hint="eastAsia"/>
          <w:color w:val="auto"/>
          <w:highlight w:val="none"/>
        </w:rPr>
      </w:pPr>
    </w:p>
    <w:p w14:paraId="708CDC37">
      <w:pPr>
        <w:rPr>
          <w:rFonts w:hint="eastAsia"/>
          <w:color w:val="auto"/>
          <w:highlight w:val="none"/>
        </w:rPr>
      </w:pPr>
    </w:p>
    <w:p w14:paraId="59BE3333">
      <w:pPr>
        <w:rPr>
          <w:rFonts w:hint="eastAsia"/>
          <w:color w:val="auto"/>
          <w:highlight w:val="none"/>
        </w:rPr>
      </w:pPr>
    </w:p>
    <w:p w14:paraId="1D8141F1">
      <w:pPr>
        <w:rPr>
          <w:rFonts w:hint="eastAsia"/>
          <w:color w:val="auto"/>
          <w:szCs w:val="32"/>
          <w:highlight w:val="none"/>
        </w:rPr>
      </w:pPr>
      <w:r>
        <w:rPr>
          <w:color w:val="auto"/>
          <w:highlight w:val="none"/>
        </w:rPr>
        <w:br w:type="page"/>
      </w:r>
      <w:r>
        <w:rPr>
          <w:rFonts w:hint="eastAsia" w:ascii="Times New Roman" w:hAnsi="Times New Roman" w:eastAsia="宋体" w:cs="Times New Roman"/>
          <w:b/>
          <w:bCs/>
          <w:color w:val="auto"/>
          <w:sz w:val="32"/>
          <w:szCs w:val="40"/>
          <w:highlight w:val="none"/>
        </w:rPr>
        <w:t>九、投标人认为有必要提交的其他资料</w:t>
      </w:r>
    </w:p>
    <w:p w14:paraId="78B13319"/>
    <w:sectPr>
      <w:footerReference r:id="rId6"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sto MT">
    <w:altName w:val="Segoe Print"/>
    <w:panose1 w:val="02040603050505030304"/>
    <w:charset w:val="00"/>
    <w:family w:val="roman"/>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Wingdings 2">
    <w:altName w:val="Wingdings"/>
    <w:panose1 w:val="05020102010507070707"/>
    <w:charset w:val="02"/>
    <w:family w:val="roman"/>
    <w:pitch w:val="default"/>
    <w:sig w:usb0="00000000" w:usb1="00000000" w:usb2="00000000" w:usb3="00000000" w:csb0="80000000" w:csb1="00000000"/>
  </w:font>
  <w:font w:name="SimSun-Identity-H">
    <w:altName w:val="黑体"/>
    <w:panose1 w:val="00000000000000000000"/>
    <w:charset w:val="86"/>
    <w:family w:val="auto"/>
    <w:pitch w:val="default"/>
    <w:sig w:usb0="00000000" w:usb1="00000000" w:usb2="00000010" w:usb3="00000000" w:csb0="00040000" w:csb1="00000000"/>
  </w:font>
  <w:font w:name="Kingsoft UE">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173FA5">
    <w:pPr>
      <w:pStyle w:val="22"/>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999CC7">
                          <w:pPr>
                            <w:pStyle w:val="2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8999CC7">
                    <w:pPr>
                      <w:pStyle w:val="2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797110">
    <w:pPr>
      <w:pStyle w:val="22"/>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0E54B03">
                          <w:pPr>
                            <w:pStyle w:val="22"/>
                            <w:rPr>
                              <w:rFonts w:hint="eastAsia"/>
                            </w:rPr>
                          </w:pPr>
                          <w:r>
                            <w:rPr>
                              <w:rFonts w:hint="eastAsia"/>
                            </w:rPr>
                            <w:fldChar w:fldCharType="begin"/>
                          </w:r>
                          <w:r>
                            <w:rPr>
                              <w:rFonts w:hint="eastAsia"/>
                            </w:rPr>
                            <w:instrText xml:space="preserve"> PAGE  \* MERGEFORMAT </w:instrText>
                          </w:r>
                          <w:r>
                            <w:rPr>
                              <w:rFonts w:hint="eastAsia"/>
                            </w:rPr>
                            <w:fldChar w:fldCharType="separate"/>
                          </w:r>
                          <w:r>
                            <w:t>33</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20E54B03">
                    <w:pPr>
                      <w:pStyle w:val="22"/>
                      <w:rPr>
                        <w:rFonts w:hint="eastAsia"/>
                      </w:rPr>
                    </w:pPr>
                    <w:r>
                      <w:rPr>
                        <w:rFonts w:hint="eastAsia"/>
                      </w:rPr>
                      <w:fldChar w:fldCharType="begin"/>
                    </w:r>
                    <w:r>
                      <w:rPr>
                        <w:rFonts w:hint="eastAsia"/>
                      </w:rPr>
                      <w:instrText xml:space="preserve"> PAGE  \* MERGEFORMAT </w:instrText>
                    </w:r>
                    <w:r>
                      <w:rPr>
                        <w:rFonts w:hint="eastAsia"/>
                      </w:rPr>
                      <w:fldChar w:fldCharType="separate"/>
                    </w:r>
                    <w:r>
                      <w:t>33</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BB7442">
    <w:pPr>
      <w:pStyle w:val="22"/>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C64CCB">
                          <w:pPr>
                            <w:pStyle w:val="22"/>
                            <w:jc w:val="center"/>
                          </w:pP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kern w:val="0"/>
                              <w:szCs w:val="21"/>
                            </w:rPr>
                            <w:t>28</w:t>
                          </w:r>
                          <w:r>
                            <w:rPr>
                              <w:kern w:val="0"/>
                              <w:szCs w:val="21"/>
                            </w:rPr>
                            <w:fldChar w:fldCharType="end"/>
                          </w:r>
                          <w:r>
                            <w:rPr>
                              <w:kern w:val="0"/>
                              <w:szCs w:val="21"/>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BC64CCB">
                    <w:pPr>
                      <w:pStyle w:val="22"/>
                      <w:jc w:val="center"/>
                    </w:pP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kern w:val="0"/>
                        <w:szCs w:val="21"/>
                      </w:rPr>
                      <w:t>28</w:t>
                    </w:r>
                    <w:r>
                      <w:rPr>
                        <w:kern w:val="0"/>
                        <w:szCs w:val="21"/>
                      </w:rPr>
                      <w:fldChar w:fldCharType="end"/>
                    </w:r>
                    <w:r>
                      <w:rPr>
                        <w:kern w:val="0"/>
                        <w:szCs w:val="21"/>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B7C0C4">
    <w:pPr>
      <w:pStyle w:val="2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306BF1"/>
    <w:multiLevelType w:val="singleLevel"/>
    <w:tmpl w:val="D2306BF1"/>
    <w:lvl w:ilvl="0" w:tentative="0">
      <w:start w:val="1"/>
      <w:numFmt w:val="decimal"/>
      <w:suff w:val="nothing"/>
      <w:lvlText w:val="（%1）"/>
      <w:lvlJc w:val="left"/>
    </w:lvl>
  </w:abstractNum>
  <w:abstractNum w:abstractNumId="1">
    <w:nsid w:val="E9282F99"/>
    <w:multiLevelType w:val="singleLevel"/>
    <w:tmpl w:val="E9282F99"/>
    <w:lvl w:ilvl="0" w:tentative="0">
      <w:start w:val="1"/>
      <w:numFmt w:val="decimal"/>
      <w:suff w:val="nothing"/>
      <w:lvlText w:val="%1、"/>
      <w:lvlJc w:val="left"/>
    </w:lvl>
  </w:abstractNum>
  <w:abstractNum w:abstractNumId="2">
    <w:nsid w:val="F878BA4C"/>
    <w:multiLevelType w:val="singleLevel"/>
    <w:tmpl w:val="F878BA4C"/>
    <w:lvl w:ilvl="0" w:tentative="0">
      <w:start w:val="1"/>
      <w:numFmt w:val="decimal"/>
      <w:suff w:val="nothing"/>
      <w:lvlText w:val="%1、"/>
      <w:lvlJc w:val="left"/>
      <w:rPr>
        <w:u w:val="single"/>
      </w:rPr>
    </w:lvl>
  </w:abstractNum>
  <w:abstractNum w:abstractNumId="3">
    <w:nsid w:val="FFA303C0"/>
    <w:multiLevelType w:val="singleLevel"/>
    <w:tmpl w:val="FFA303C0"/>
    <w:lvl w:ilvl="0" w:tentative="0">
      <w:start w:val="1"/>
      <w:numFmt w:val="decimal"/>
      <w:suff w:val="nothing"/>
      <w:lvlText w:val="%1）"/>
      <w:lvlJc w:val="left"/>
    </w:lvl>
  </w:abstractNum>
  <w:abstractNum w:abstractNumId="4">
    <w:nsid w:val="0000000F"/>
    <w:multiLevelType w:val="multilevel"/>
    <w:tmpl w:val="0000000F"/>
    <w:lvl w:ilvl="0" w:tentative="0">
      <w:start w:val="1"/>
      <w:numFmt w:val="decimal"/>
      <w:lvlText w:val="%1."/>
      <w:lvlJc w:val="left"/>
      <w:pPr>
        <w:tabs>
          <w:tab w:val="left" w:pos="840"/>
        </w:tabs>
        <w:ind w:left="840" w:hanging="360"/>
      </w:pPr>
      <w:rPr>
        <w:rFonts w:hint="eastAsia"/>
      </w:rPr>
    </w:lvl>
    <w:lvl w:ilvl="1" w:tentative="0">
      <w:start w:val="0"/>
      <w:numFmt w:val="none"/>
      <w:lvlText w:val=""/>
      <w:lvlJc w:val="left"/>
      <w:pPr>
        <w:tabs>
          <w:tab w:val="left" w:pos="360"/>
        </w:tabs>
      </w:pPr>
      <w:rPr>
        <w:rFonts w:hint="eastAsia"/>
      </w:r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5">
    <w:nsid w:val="0400808F"/>
    <w:multiLevelType w:val="singleLevel"/>
    <w:tmpl w:val="0400808F"/>
    <w:lvl w:ilvl="0" w:tentative="0">
      <w:start w:val="3"/>
      <w:numFmt w:val="chineseCounting"/>
      <w:suff w:val="nothing"/>
      <w:lvlText w:val="%1、"/>
      <w:lvlJc w:val="left"/>
      <w:rPr>
        <w:rFonts w:hint="eastAsia"/>
      </w:rPr>
    </w:lvl>
  </w:abstractNum>
  <w:abstractNum w:abstractNumId="6">
    <w:nsid w:val="093E7772"/>
    <w:multiLevelType w:val="singleLevel"/>
    <w:tmpl w:val="093E7772"/>
    <w:lvl w:ilvl="0" w:tentative="0">
      <w:start w:val="1"/>
      <w:numFmt w:val="decimal"/>
      <w:suff w:val="nothing"/>
      <w:lvlText w:val="%1、"/>
      <w:lvlJc w:val="left"/>
    </w:lvl>
  </w:abstractNum>
  <w:abstractNum w:abstractNumId="7">
    <w:nsid w:val="47409500"/>
    <w:multiLevelType w:val="singleLevel"/>
    <w:tmpl w:val="47409500"/>
    <w:lvl w:ilvl="0" w:tentative="0">
      <w:start w:val="2"/>
      <w:numFmt w:val="decimal"/>
      <w:lvlText w:val="%1)"/>
      <w:lvlJc w:val="left"/>
      <w:pPr>
        <w:tabs>
          <w:tab w:val="left" w:pos="312"/>
        </w:tabs>
      </w:pPr>
    </w:lvl>
  </w:abstractNum>
  <w:num w:numId="1">
    <w:abstractNumId w:val="6"/>
  </w:num>
  <w:num w:numId="2">
    <w:abstractNumId w:val="2"/>
  </w:num>
  <w:num w:numId="3">
    <w:abstractNumId w:val="5"/>
  </w:num>
  <w:num w:numId="4">
    <w:abstractNumId w:val="0"/>
  </w:num>
  <w:num w:numId="5">
    <w:abstractNumId w:val="3"/>
  </w:num>
  <w:num w:numId="6">
    <w:abstractNumId w:val="7"/>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E2MzlkOGRkYTg3MTE4Yjg2NDBiYjk1NjMwNGI4ZjQifQ=="/>
  </w:docVars>
  <w:rsids>
    <w:rsidRoot w:val="00172A27"/>
    <w:rsid w:val="00001D61"/>
    <w:rsid w:val="00002BA1"/>
    <w:rsid w:val="000037D9"/>
    <w:rsid w:val="00007477"/>
    <w:rsid w:val="00014329"/>
    <w:rsid w:val="00014646"/>
    <w:rsid w:val="000151DA"/>
    <w:rsid w:val="00016B16"/>
    <w:rsid w:val="00017FF8"/>
    <w:rsid w:val="000204D4"/>
    <w:rsid w:val="0002291F"/>
    <w:rsid w:val="00023448"/>
    <w:rsid w:val="000246F5"/>
    <w:rsid w:val="00025A06"/>
    <w:rsid w:val="00026650"/>
    <w:rsid w:val="00031321"/>
    <w:rsid w:val="00031AA6"/>
    <w:rsid w:val="0003223F"/>
    <w:rsid w:val="00032524"/>
    <w:rsid w:val="0003711C"/>
    <w:rsid w:val="000477ED"/>
    <w:rsid w:val="0005014E"/>
    <w:rsid w:val="0005794A"/>
    <w:rsid w:val="00066724"/>
    <w:rsid w:val="00073233"/>
    <w:rsid w:val="000740BC"/>
    <w:rsid w:val="00081477"/>
    <w:rsid w:val="00083D79"/>
    <w:rsid w:val="000845E6"/>
    <w:rsid w:val="00096D34"/>
    <w:rsid w:val="000A176E"/>
    <w:rsid w:val="000A20F3"/>
    <w:rsid w:val="000A289A"/>
    <w:rsid w:val="000A34BD"/>
    <w:rsid w:val="000A5397"/>
    <w:rsid w:val="000B16EB"/>
    <w:rsid w:val="000B7EC2"/>
    <w:rsid w:val="000C1627"/>
    <w:rsid w:val="000C21F9"/>
    <w:rsid w:val="000C4210"/>
    <w:rsid w:val="000D73C1"/>
    <w:rsid w:val="000E00AF"/>
    <w:rsid w:val="000E7F06"/>
    <w:rsid w:val="000F3FA0"/>
    <w:rsid w:val="000F47FC"/>
    <w:rsid w:val="000F48FB"/>
    <w:rsid w:val="000F5919"/>
    <w:rsid w:val="000F7DDE"/>
    <w:rsid w:val="00100626"/>
    <w:rsid w:val="0010117B"/>
    <w:rsid w:val="001020BB"/>
    <w:rsid w:val="00103863"/>
    <w:rsid w:val="00104661"/>
    <w:rsid w:val="001059F7"/>
    <w:rsid w:val="001102DD"/>
    <w:rsid w:val="0011126D"/>
    <w:rsid w:val="00113352"/>
    <w:rsid w:val="001169DC"/>
    <w:rsid w:val="00122E30"/>
    <w:rsid w:val="001238FC"/>
    <w:rsid w:val="00130897"/>
    <w:rsid w:val="00133834"/>
    <w:rsid w:val="001350AC"/>
    <w:rsid w:val="00141720"/>
    <w:rsid w:val="00141FE7"/>
    <w:rsid w:val="00144AA8"/>
    <w:rsid w:val="00145BFF"/>
    <w:rsid w:val="00151715"/>
    <w:rsid w:val="0015173D"/>
    <w:rsid w:val="001624D4"/>
    <w:rsid w:val="00165009"/>
    <w:rsid w:val="00165A93"/>
    <w:rsid w:val="0017211F"/>
    <w:rsid w:val="001747A7"/>
    <w:rsid w:val="00176FE3"/>
    <w:rsid w:val="00180D9C"/>
    <w:rsid w:val="00181945"/>
    <w:rsid w:val="00182920"/>
    <w:rsid w:val="0018542A"/>
    <w:rsid w:val="00186300"/>
    <w:rsid w:val="0019256A"/>
    <w:rsid w:val="001936F7"/>
    <w:rsid w:val="00193C64"/>
    <w:rsid w:val="00197F49"/>
    <w:rsid w:val="001A558C"/>
    <w:rsid w:val="001B423E"/>
    <w:rsid w:val="001B590E"/>
    <w:rsid w:val="001D2F93"/>
    <w:rsid w:val="001D62B5"/>
    <w:rsid w:val="001D6D0E"/>
    <w:rsid w:val="001F510F"/>
    <w:rsid w:val="001F624A"/>
    <w:rsid w:val="001F76E3"/>
    <w:rsid w:val="00207D2F"/>
    <w:rsid w:val="002104CE"/>
    <w:rsid w:val="00211607"/>
    <w:rsid w:val="00214A74"/>
    <w:rsid w:val="00223ECA"/>
    <w:rsid w:val="002275E6"/>
    <w:rsid w:val="002301FD"/>
    <w:rsid w:val="00232836"/>
    <w:rsid w:val="00235319"/>
    <w:rsid w:val="0024030C"/>
    <w:rsid w:val="00247387"/>
    <w:rsid w:val="00253633"/>
    <w:rsid w:val="002546E2"/>
    <w:rsid w:val="002546F6"/>
    <w:rsid w:val="0026336E"/>
    <w:rsid w:val="00266201"/>
    <w:rsid w:val="00274A98"/>
    <w:rsid w:val="00275F30"/>
    <w:rsid w:val="00282C14"/>
    <w:rsid w:val="002876AE"/>
    <w:rsid w:val="002A18D9"/>
    <w:rsid w:val="002A285B"/>
    <w:rsid w:val="002A6481"/>
    <w:rsid w:val="002A6610"/>
    <w:rsid w:val="002B4074"/>
    <w:rsid w:val="002C000A"/>
    <w:rsid w:val="002C15BE"/>
    <w:rsid w:val="002D1128"/>
    <w:rsid w:val="002D261F"/>
    <w:rsid w:val="002D2B10"/>
    <w:rsid w:val="002D3F91"/>
    <w:rsid w:val="002D52E7"/>
    <w:rsid w:val="002D67DC"/>
    <w:rsid w:val="002F05F2"/>
    <w:rsid w:val="002F10FB"/>
    <w:rsid w:val="002F4914"/>
    <w:rsid w:val="002F4CB3"/>
    <w:rsid w:val="003005A0"/>
    <w:rsid w:val="0030160B"/>
    <w:rsid w:val="003048DA"/>
    <w:rsid w:val="00307663"/>
    <w:rsid w:val="0031188D"/>
    <w:rsid w:val="00322199"/>
    <w:rsid w:val="00327A2E"/>
    <w:rsid w:val="00330BA0"/>
    <w:rsid w:val="00332750"/>
    <w:rsid w:val="0034167C"/>
    <w:rsid w:val="0034348D"/>
    <w:rsid w:val="0034399D"/>
    <w:rsid w:val="00352A3C"/>
    <w:rsid w:val="00356CF0"/>
    <w:rsid w:val="00361428"/>
    <w:rsid w:val="003632ED"/>
    <w:rsid w:val="00364357"/>
    <w:rsid w:val="003648D8"/>
    <w:rsid w:val="00366BC7"/>
    <w:rsid w:val="0037069F"/>
    <w:rsid w:val="00370D31"/>
    <w:rsid w:val="00374149"/>
    <w:rsid w:val="003759DF"/>
    <w:rsid w:val="0038737A"/>
    <w:rsid w:val="003904EF"/>
    <w:rsid w:val="00390847"/>
    <w:rsid w:val="00390D39"/>
    <w:rsid w:val="00395198"/>
    <w:rsid w:val="003B3683"/>
    <w:rsid w:val="003B3937"/>
    <w:rsid w:val="003C7DEF"/>
    <w:rsid w:val="003D0D40"/>
    <w:rsid w:val="003D3C4E"/>
    <w:rsid w:val="003D3EFB"/>
    <w:rsid w:val="003E0D97"/>
    <w:rsid w:val="003E1D0B"/>
    <w:rsid w:val="003E48B9"/>
    <w:rsid w:val="003E518D"/>
    <w:rsid w:val="003E5193"/>
    <w:rsid w:val="003F3832"/>
    <w:rsid w:val="003F664F"/>
    <w:rsid w:val="003F6854"/>
    <w:rsid w:val="004014BD"/>
    <w:rsid w:val="004063F6"/>
    <w:rsid w:val="00407066"/>
    <w:rsid w:val="00412058"/>
    <w:rsid w:val="00417527"/>
    <w:rsid w:val="00430EE6"/>
    <w:rsid w:val="00432AAA"/>
    <w:rsid w:val="00432B23"/>
    <w:rsid w:val="004334BC"/>
    <w:rsid w:val="00435151"/>
    <w:rsid w:val="004356B3"/>
    <w:rsid w:val="00437D85"/>
    <w:rsid w:val="00443240"/>
    <w:rsid w:val="004437FF"/>
    <w:rsid w:val="00443F5C"/>
    <w:rsid w:val="00446CB0"/>
    <w:rsid w:val="004477F2"/>
    <w:rsid w:val="00465A48"/>
    <w:rsid w:val="00466FC4"/>
    <w:rsid w:val="00467E15"/>
    <w:rsid w:val="00481930"/>
    <w:rsid w:val="0048314D"/>
    <w:rsid w:val="00490D9C"/>
    <w:rsid w:val="004930B5"/>
    <w:rsid w:val="00493204"/>
    <w:rsid w:val="004935D6"/>
    <w:rsid w:val="00493FC2"/>
    <w:rsid w:val="00495321"/>
    <w:rsid w:val="00497E07"/>
    <w:rsid w:val="004A23DD"/>
    <w:rsid w:val="004A2676"/>
    <w:rsid w:val="004A5D10"/>
    <w:rsid w:val="004B0738"/>
    <w:rsid w:val="004B518E"/>
    <w:rsid w:val="004B5E84"/>
    <w:rsid w:val="004B6F17"/>
    <w:rsid w:val="004C3CEA"/>
    <w:rsid w:val="004D0247"/>
    <w:rsid w:val="004D12A7"/>
    <w:rsid w:val="004D3A08"/>
    <w:rsid w:val="004D7F52"/>
    <w:rsid w:val="004E3686"/>
    <w:rsid w:val="004E4709"/>
    <w:rsid w:val="004F702E"/>
    <w:rsid w:val="004F7B97"/>
    <w:rsid w:val="005008E4"/>
    <w:rsid w:val="00504617"/>
    <w:rsid w:val="00512821"/>
    <w:rsid w:val="00514347"/>
    <w:rsid w:val="00517E2C"/>
    <w:rsid w:val="0052084A"/>
    <w:rsid w:val="00520B28"/>
    <w:rsid w:val="005249B2"/>
    <w:rsid w:val="00525BA3"/>
    <w:rsid w:val="00525EBD"/>
    <w:rsid w:val="00531967"/>
    <w:rsid w:val="00535A15"/>
    <w:rsid w:val="00540117"/>
    <w:rsid w:val="00542539"/>
    <w:rsid w:val="005436D1"/>
    <w:rsid w:val="00551F19"/>
    <w:rsid w:val="00554C69"/>
    <w:rsid w:val="00557D71"/>
    <w:rsid w:val="00562F87"/>
    <w:rsid w:val="00563C51"/>
    <w:rsid w:val="005644C6"/>
    <w:rsid w:val="00564D7C"/>
    <w:rsid w:val="00565F9D"/>
    <w:rsid w:val="00574C92"/>
    <w:rsid w:val="00583073"/>
    <w:rsid w:val="005836A1"/>
    <w:rsid w:val="00585396"/>
    <w:rsid w:val="005861CD"/>
    <w:rsid w:val="00587881"/>
    <w:rsid w:val="005878AD"/>
    <w:rsid w:val="00591CA5"/>
    <w:rsid w:val="00594901"/>
    <w:rsid w:val="00594D31"/>
    <w:rsid w:val="00595661"/>
    <w:rsid w:val="00595CF0"/>
    <w:rsid w:val="00596E4F"/>
    <w:rsid w:val="00597736"/>
    <w:rsid w:val="00597900"/>
    <w:rsid w:val="005B29B3"/>
    <w:rsid w:val="005B4663"/>
    <w:rsid w:val="005B5D01"/>
    <w:rsid w:val="005B7A95"/>
    <w:rsid w:val="005C61CE"/>
    <w:rsid w:val="005D15B4"/>
    <w:rsid w:val="005D27D3"/>
    <w:rsid w:val="005D7964"/>
    <w:rsid w:val="005D7C5D"/>
    <w:rsid w:val="005E16F0"/>
    <w:rsid w:val="005E25A2"/>
    <w:rsid w:val="005E2BE2"/>
    <w:rsid w:val="005E4F64"/>
    <w:rsid w:val="005F3510"/>
    <w:rsid w:val="005F6692"/>
    <w:rsid w:val="00602469"/>
    <w:rsid w:val="0060264C"/>
    <w:rsid w:val="00605467"/>
    <w:rsid w:val="00606156"/>
    <w:rsid w:val="00610EF4"/>
    <w:rsid w:val="006127D6"/>
    <w:rsid w:val="006137C1"/>
    <w:rsid w:val="006163A4"/>
    <w:rsid w:val="00622D51"/>
    <w:rsid w:val="00622F26"/>
    <w:rsid w:val="0062481C"/>
    <w:rsid w:val="00627192"/>
    <w:rsid w:val="006271C5"/>
    <w:rsid w:val="00627BD6"/>
    <w:rsid w:val="0063156A"/>
    <w:rsid w:val="00632D3E"/>
    <w:rsid w:val="00636B42"/>
    <w:rsid w:val="00643706"/>
    <w:rsid w:val="00644DB3"/>
    <w:rsid w:val="0065283B"/>
    <w:rsid w:val="006543E5"/>
    <w:rsid w:val="00654DDE"/>
    <w:rsid w:val="0065514D"/>
    <w:rsid w:val="00655A78"/>
    <w:rsid w:val="00660B7A"/>
    <w:rsid w:val="006655FE"/>
    <w:rsid w:val="0066611C"/>
    <w:rsid w:val="00671DBB"/>
    <w:rsid w:val="00673881"/>
    <w:rsid w:val="00674649"/>
    <w:rsid w:val="00675638"/>
    <w:rsid w:val="006763E5"/>
    <w:rsid w:val="0067732C"/>
    <w:rsid w:val="006854F1"/>
    <w:rsid w:val="00694922"/>
    <w:rsid w:val="00696AD4"/>
    <w:rsid w:val="006A444E"/>
    <w:rsid w:val="006A49AF"/>
    <w:rsid w:val="006A4C4A"/>
    <w:rsid w:val="006B21EA"/>
    <w:rsid w:val="006B372C"/>
    <w:rsid w:val="006C02E6"/>
    <w:rsid w:val="006C0C6B"/>
    <w:rsid w:val="006C218E"/>
    <w:rsid w:val="006C795D"/>
    <w:rsid w:val="006D0779"/>
    <w:rsid w:val="006D32A0"/>
    <w:rsid w:val="006D350F"/>
    <w:rsid w:val="006D6654"/>
    <w:rsid w:val="006D74BA"/>
    <w:rsid w:val="006D7B7A"/>
    <w:rsid w:val="006E302C"/>
    <w:rsid w:val="006E36D3"/>
    <w:rsid w:val="006E3DFF"/>
    <w:rsid w:val="006E43DA"/>
    <w:rsid w:val="006E52DA"/>
    <w:rsid w:val="006E5BAB"/>
    <w:rsid w:val="006E6D7D"/>
    <w:rsid w:val="006F2000"/>
    <w:rsid w:val="006F6DB7"/>
    <w:rsid w:val="007000E1"/>
    <w:rsid w:val="00700E6B"/>
    <w:rsid w:val="00701520"/>
    <w:rsid w:val="007017C5"/>
    <w:rsid w:val="00711A1F"/>
    <w:rsid w:val="00712A34"/>
    <w:rsid w:val="00722969"/>
    <w:rsid w:val="0072435E"/>
    <w:rsid w:val="00726A04"/>
    <w:rsid w:val="00732CF7"/>
    <w:rsid w:val="00733FC2"/>
    <w:rsid w:val="00750B3E"/>
    <w:rsid w:val="00753E67"/>
    <w:rsid w:val="0076125E"/>
    <w:rsid w:val="00761E5D"/>
    <w:rsid w:val="007643BF"/>
    <w:rsid w:val="007701BF"/>
    <w:rsid w:val="00790501"/>
    <w:rsid w:val="007919CC"/>
    <w:rsid w:val="00793C46"/>
    <w:rsid w:val="007A1B08"/>
    <w:rsid w:val="007A276D"/>
    <w:rsid w:val="007A2CCA"/>
    <w:rsid w:val="007A4696"/>
    <w:rsid w:val="007A766A"/>
    <w:rsid w:val="007B0296"/>
    <w:rsid w:val="007B18B7"/>
    <w:rsid w:val="007B2CCF"/>
    <w:rsid w:val="007C3DA5"/>
    <w:rsid w:val="007C5295"/>
    <w:rsid w:val="007C7910"/>
    <w:rsid w:val="007D0059"/>
    <w:rsid w:val="007D071E"/>
    <w:rsid w:val="007D07C0"/>
    <w:rsid w:val="007D09BC"/>
    <w:rsid w:val="007D37AD"/>
    <w:rsid w:val="007E0649"/>
    <w:rsid w:val="007E072E"/>
    <w:rsid w:val="007E46BD"/>
    <w:rsid w:val="007E6906"/>
    <w:rsid w:val="007E7AC2"/>
    <w:rsid w:val="007F3640"/>
    <w:rsid w:val="007F5BDD"/>
    <w:rsid w:val="00803EA2"/>
    <w:rsid w:val="008044D7"/>
    <w:rsid w:val="00804802"/>
    <w:rsid w:val="00804A4F"/>
    <w:rsid w:val="00806CD9"/>
    <w:rsid w:val="00811F3C"/>
    <w:rsid w:val="00812E53"/>
    <w:rsid w:val="00822D9E"/>
    <w:rsid w:val="00823259"/>
    <w:rsid w:val="0082539D"/>
    <w:rsid w:val="0082544F"/>
    <w:rsid w:val="00827B66"/>
    <w:rsid w:val="00833540"/>
    <w:rsid w:val="008346C7"/>
    <w:rsid w:val="00837D9E"/>
    <w:rsid w:val="00840A09"/>
    <w:rsid w:val="008412D1"/>
    <w:rsid w:val="008430BA"/>
    <w:rsid w:val="00843BF6"/>
    <w:rsid w:val="00847A16"/>
    <w:rsid w:val="00847E07"/>
    <w:rsid w:val="00850B18"/>
    <w:rsid w:val="00852572"/>
    <w:rsid w:val="00853774"/>
    <w:rsid w:val="008546FC"/>
    <w:rsid w:val="0085661F"/>
    <w:rsid w:val="0085676A"/>
    <w:rsid w:val="00857DAE"/>
    <w:rsid w:val="00860A09"/>
    <w:rsid w:val="008622EA"/>
    <w:rsid w:val="00862A3B"/>
    <w:rsid w:val="00863EA1"/>
    <w:rsid w:val="00865C91"/>
    <w:rsid w:val="0088409B"/>
    <w:rsid w:val="008845DC"/>
    <w:rsid w:val="00884DD9"/>
    <w:rsid w:val="0088585B"/>
    <w:rsid w:val="008867D6"/>
    <w:rsid w:val="00886BC0"/>
    <w:rsid w:val="00891697"/>
    <w:rsid w:val="0089703E"/>
    <w:rsid w:val="008A455A"/>
    <w:rsid w:val="008B09A3"/>
    <w:rsid w:val="008B1567"/>
    <w:rsid w:val="008B3A3F"/>
    <w:rsid w:val="008B430D"/>
    <w:rsid w:val="008C043D"/>
    <w:rsid w:val="008C1134"/>
    <w:rsid w:val="008C1761"/>
    <w:rsid w:val="008C17C5"/>
    <w:rsid w:val="008C4AB3"/>
    <w:rsid w:val="008D1A7E"/>
    <w:rsid w:val="008D26F9"/>
    <w:rsid w:val="008D64C3"/>
    <w:rsid w:val="008D675B"/>
    <w:rsid w:val="008E1E3C"/>
    <w:rsid w:val="008F20B9"/>
    <w:rsid w:val="00902615"/>
    <w:rsid w:val="009042A4"/>
    <w:rsid w:val="0091191F"/>
    <w:rsid w:val="00912A34"/>
    <w:rsid w:val="00913B58"/>
    <w:rsid w:val="00914956"/>
    <w:rsid w:val="00914D86"/>
    <w:rsid w:val="00925BC6"/>
    <w:rsid w:val="009307D7"/>
    <w:rsid w:val="0093186C"/>
    <w:rsid w:val="00942C19"/>
    <w:rsid w:val="00943019"/>
    <w:rsid w:val="00946CCE"/>
    <w:rsid w:val="00947920"/>
    <w:rsid w:val="00957918"/>
    <w:rsid w:val="009617B4"/>
    <w:rsid w:val="0096427F"/>
    <w:rsid w:val="009648CA"/>
    <w:rsid w:val="0096598F"/>
    <w:rsid w:val="0096738F"/>
    <w:rsid w:val="00967C31"/>
    <w:rsid w:val="00967FC0"/>
    <w:rsid w:val="00972094"/>
    <w:rsid w:val="00975664"/>
    <w:rsid w:val="009809CD"/>
    <w:rsid w:val="009809FB"/>
    <w:rsid w:val="00980DF1"/>
    <w:rsid w:val="0098538A"/>
    <w:rsid w:val="00985C33"/>
    <w:rsid w:val="00985E36"/>
    <w:rsid w:val="00986087"/>
    <w:rsid w:val="00995CBE"/>
    <w:rsid w:val="00996975"/>
    <w:rsid w:val="00997F04"/>
    <w:rsid w:val="009A0471"/>
    <w:rsid w:val="009A263C"/>
    <w:rsid w:val="009A36E4"/>
    <w:rsid w:val="009A4000"/>
    <w:rsid w:val="009B15BF"/>
    <w:rsid w:val="009B5084"/>
    <w:rsid w:val="009B5D3B"/>
    <w:rsid w:val="009C7575"/>
    <w:rsid w:val="009D04C0"/>
    <w:rsid w:val="009D6866"/>
    <w:rsid w:val="009E10BB"/>
    <w:rsid w:val="009E2E1E"/>
    <w:rsid w:val="009E51CA"/>
    <w:rsid w:val="009F0B8B"/>
    <w:rsid w:val="009F1C17"/>
    <w:rsid w:val="009F2F58"/>
    <w:rsid w:val="009F469D"/>
    <w:rsid w:val="009F4E4E"/>
    <w:rsid w:val="009F5FF6"/>
    <w:rsid w:val="009F62EB"/>
    <w:rsid w:val="00A01E0B"/>
    <w:rsid w:val="00A067D4"/>
    <w:rsid w:val="00A072D6"/>
    <w:rsid w:val="00A116EC"/>
    <w:rsid w:val="00A13DF1"/>
    <w:rsid w:val="00A16F4A"/>
    <w:rsid w:val="00A20D8C"/>
    <w:rsid w:val="00A25E2F"/>
    <w:rsid w:val="00A31FB1"/>
    <w:rsid w:val="00A33A3E"/>
    <w:rsid w:val="00A36486"/>
    <w:rsid w:val="00A44040"/>
    <w:rsid w:val="00A44E85"/>
    <w:rsid w:val="00A4557C"/>
    <w:rsid w:val="00A519F1"/>
    <w:rsid w:val="00A51B80"/>
    <w:rsid w:val="00A534DB"/>
    <w:rsid w:val="00A627AC"/>
    <w:rsid w:val="00A62A7B"/>
    <w:rsid w:val="00A64EED"/>
    <w:rsid w:val="00A66436"/>
    <w:rsid w:val="00A6644F"/>
    <w:rsid w:val="00A67371"/>
    <w:rsid w:val="00A67A02"/>
    <w:rsid w:val="00A7099D"/>
    <w:rsid w:val="00A72661"/>
    <w:rsid w:val="00A773C0"/>
    <w:rsid w:val="00A828B7"/>
    <w:rsid w:val="00A82922"/>
    <w:rsid w:val="00A844BE"/>
    <w:rsid w:val="00A87B8B"/>
    <w:rsid w:val="00A90116"/>
    <w:rsid w:val="00A91EB0"/>
    <w:rsid w:val="00A93B13"/>
    <w:rsid w:val="00A94BED"/>
    <w:rsid w:val="00A94C09"/>
    <w:rsid w:val="00A95AD6"/>
    <w:rsid w:val="00AA3733"/>
    <w:rsid w:val="00AA3994"/>
    <w:rsid w:val="00AA5D53"/>
    <w:rsid w:val="00AB3D16"/>
    <w:rsid w:val="00AB601B"/>
    <w:rsid w:val="00AC1D5C"/>
    <w:rsid w:val="00AC40A1"/>
    <w:rsid w:val="00AD29B4"/>
    <w:rsid w:val="00AD30CF"/>
    <w:rsid w:val="00AD6BA7"/>
    <w:rsid w:val="00AE02E8"/>
    <w:rsid w:val="00AE1E67"/>
    <w:rsid w:val="00AE2670"/>
    <w:rsid w:val="00AE2794"/>
    <w:rsid w:val="00AE2DD2"/>
    <w:rsid w:val="00AE34AD"/>
    <w:rsid w:val="00AF28ED"/>
    <w:rsid w:val="00AF46C4"/>
    <w:rsid w:val="00AF4A97"/>
    <w:rsid w:val="00AF4E15"/>
    <w:rsid w:val="00AF72C3"/>
    <w:rsid w:val="00AF761D"/>
    <w:rsid w:val="00B056DE"/>
    <w:rsid w:val="00B05946"/>
    <w:rsid w:val="00B1197E"/>
    <w:rsid w:val="00B13E6D"/>
    <w:rsid w:val="00B1672C"/>
    <w:rsid w:val="00B169EE"/>
    <w:rsid w:val="00B17128"/>
    <w:rsid w:val="00B174A9"/>
    <w:rsid w:val="00B21B21"/>
    <w:rsid w:val="00B246C6"/>
    <w:rsid w:val="00B24BA2"/>
    <w:rsid w:val="00B359CE"/>
    <w:rsid w:val="00B36472"/>
    <w:rsid w:val="00B368E0"/>
    <w:rsid w:val="00B3695F"/>
    <w:rsid w:val="00B37EAC"/>
    <w:rsid w:val="00B401A2"/>
    <w:rsid w:val="00B404FB"/>
    <w:rsid w:val="00B44F44"/>
    <w:rsid w:val="00B51113"/>
    <w:rsid w:val="00B51A5A"/>
    <w:rsid w:val="00B529FB"/>
    <w:rsid w:val="00B60E03"/>
    <w:rsid w:val="00B63E0B"/>
    <w:rsid w:val="00B652B5"/>
    <w:rsid w:val="00B67390"/>
    <w:rsid w:val="00B7253B"/>
    <w:rsid w:val="00B72B25"/>
    <w:rsid w:val="00B7394E"/>
    <w:rsid w:val="00B77FE4"/>
    <w:rsid w:val="00B83C6F"/>
    <w:rsid w:val="00B901D5"/>
    <w:rsid w:val="00B90B99"/>
    <w:rsid w:val="00BA34C9"/>
    <w:rsid w:val="00BA40CB"/>
    <w:rsid w:val="00BA73AD"/>
    <w:rsid w:val="00BA7A76"/>
    <w:rsid w:val="00BA7CC1"/>
    <w:rsid w:val="00BB3E0F"/>
    <w:rsid w:val="00BB4DC8"/>
    <w:rsid w:val="00BB624E"/>
    <w:rsid w:val="00BB7349"/>
    <w:rsid w:val="00BC1047"/>
    <w:rsid w:val="00BC388F"/>
    <w:rsid w:val="00BC476F"/>
    <w:rsid w:val="00BC7234"/>
    <w:rsid w:val="00BC77E6"/>
    <w:rsid w:val="00BD45C1"/>
    <w:rsid w:val="00BD4697"/>
    <w:rsid w:val="00BE42EA"/>
    <w:rsid w:val="00BE674E"/>
    <w:rsid w:val="00BE753A"/>
    <w:rsid w:val="00BF0604"/>
    <w:rsid w:val="00BF2EC1"/>
    <w:rsid w:val="00BF3454"/>
    <w:rsid w:val="00BF6180"/>
    <w:rsid w:val="00BF631D"/>
    <w:rsid w:val="00C0653E"/>
    <w:rsid w:val="00C07EF7"/>
    <w:rsid w:val="00C1110A"/>
    <w:rsid w:val="00C1432D"/>
    <w:rsid w:val="00C203A6"/>
    <w:rsid w:val="00C20C07"/>
    <w:rsid w:val="00C25AD2"/>
    <w:rsid w:val="00C2670E"/>
    <w:rsid w:val="00C26BB8"/>
    <w:rsid w:val="00C400A4"/>
    <w:rsid w:val="00C44FAF"/>
    <w:rsid w:val="00C45ECF"/>
    <w:rsid w:val="00C53CC5"/>
    <w:rsid w:val="00C55B16"/>
    <w:rsid w:val="00C56D97"/>
    <w:rsid w:val="00C609F5"/>
    <w:rsid w:val="00C70827"/>
    <w:rsid w:val="00C71ED0"/>
    <w:rsid w:val="00C727DB"/>
    <w:rsid w:val="00C728C2"/>
    <w:rsid w:val="00C74DA6"/>
    <w:rsid w:val="00C75BC7"/>
    <w:rsid w:val="00C84C45"/>
    <w:rsid w:val="00C9626F"/>
    <w:rsid w:val="00CA648C"/>
    <w:rsid w:val="00CA6A5F"/>
    <w:rsid w:val="00CB006F"/>
    <w:rsid w:val="00CB2E85"/>
    <w:rsid w:val="00CB4AFB"/>
    <w:rsid w:val="00CB6223"/>
    <w:rsid w:val="00CC41DC"/>
    <w:rsid w:val="00CC7971"/>
    <w:rsid w:val="00CD3026"/>
    <w:rsid w:val="00CD48AF"/>
    <w:rsid w:val="00CD5069"/>
    <w:rsid w:val="00CD73C8"/>
    <w:rsid w:val="00CE429C"/>
    <w:rsid w:val="00CE488B"/>
    <w:rsid w:val="00CE59F0"/>
    <w:rsid w:val="00CF00C5"/>
    <w:rsid w:val="00CF1ABF"/>
    <w:rsid w:val="00CF6B5D"/>
    <w:rsid w:val="00D064F9"/>
    <w:rsid w:val="00D14F68"/>
    <w:rsid w:val="00D16323"/>
    <w:rsid w:val="00D164EC"/>
    <w:rsid w:val="00D22848"/>
    <w:rsid w:val="00D252A6"/>
    <w:rsid w:val="00D25F19"/>
    <w:rsid w:val="00D26146"/>
    <w:rsid w:val="00D267EF"/>
    <w:rsid w:val="00D27E47"/>
    <w:rsid w:val="00D34656"/>
    <w:rsid w:val="00D354F9"/>
    <w:rsid w:val="00D35FA7"/>
    <w:rsid w:val="00D37E51"/>
    <w:rsid w:val="00D434DC"/>
    <w:rsid w:val="00D437B2"/>
    <w:rsid w:val="00D519FD"/>
    <w:rsid w:val="00D56CAF"/>
    <w:rsid w:val="00D601C2"/>
    <w:rsid w:val="00D63D22"/>
    <w:rsid w:val="00D67EEA"/>
    <w:rsid w:val="00D738FE"/>
    <w:rsid w:val="00D75BC6"/>
    <w:rsid w:val="00D7610B"/>
    <w:rsid w:val="00D77840"/>
    <w:rsid w:val="00D85BB1"/>
    <w:rsid w:val="00D9258F"/>
    <w:rsid w:val="00D930E0"/>
    <w:rsid w:val="00D959AF"/>
    <w:rsid w:val="00D95F9A"/>
    <w:rsid w:val="00DA0B2E"/>
    <w:rsid w:val="00DA1EED"/>
    <w:rsid w:val="00DA4B81"/>
    <w:rsid w:val="00DB1D46"/>
    <w:rsid w:val="00DC26EB"/>
    <w:rsid w:val="00DD21BB"/>
    <w:rsid w:val="00DD2D73"/>
    <w:rsid w:val="00DD36F2"/>
    <w:rsid w:val="00DD3ACD"/>
    <w:rsid w:val="00DD63FF"/>
    <w:rsid w:val="00DE4CD5"/>
    <w:rsid w:val="00DF0762"/>
    <w:rsid w:val="00DF3019"/>
    <w:rsid w:val="00DF3FA8"/>
    <w:rsid w:val="00DF43FF"/>
    <w:rsid w:val="00DF5A42"/>
    <w:rsid w:val="00E03282"/>
    <w:rsid w:val="00E06C2E"/>
    <w:rsid w:val="00E13281"/>
    <w:rsid w:val="00E13873"/>
    <w:rsid w:val="00E14D3B"/>
    <w:rsid w:val="00E17821"/>
    <w:rsid w:val="00E275A8"/>
    <w:rsid w:val="00E27BB7"/>
    <w:rsid w:val="00E312FE"/>
    <w:rsid w:val="00E32E89"/>
    <w:rsid w:val="00E35205"/>
    <w:rsid w:val="00E42307"/>
    <w:rsid w:val="00E50A72"/>
    <w:rsid w:val="00E5214E"/>
    <w:rsid w:val="00E61D40"/>
    <w:rsid w:val="00E63EEB"/>
    <w:rsid w:val="00E70DF9"/>
    <w:rsid w:val="00E77259"/>
    <w:rsid w:val="00E8485C"/>
    <w:rsid w:val="00E86C4D"/>
    <w:rsid w:val="00E9223A"/>
    <w:rsid w:val="00E92692"/>
    <w:rsid w:val="00EA07CE"/>
    <w:rsid w:val="00EB05EC"/>
    <w:rsid w:val="00EB0F82"/>
    <w:rsid w:val="00EB435E"/>
    <w:rsid w:val="00EB6444"/>
    <w:rsid w:val="00EC0A5C"/>
    <w:rsid w:val="00EC1BF8"/>
    <w:rsid w:val="00EC36E2"/>
    <w:rsid w:val="00EC5844"/>
    <w:rsid w:val="00EC7F57"/>
    <w:rsid w:val="00ED1905"/>
    <w:rsid w:val="00ED2C3D"/>
    <w:rsid w:val="00ED6536"/>
    <w:rsid w:val="00EE0044"/>
    <w:rsid w:val="00EE48DF"/>
    <w:rsid w:val="00EE6376"/>
    <w:rsid w:val="00EF354B"/>
    <w:rsid w:val="00EF38B3"/>
    <w:rsid w:val="00EF7E7D"/>
    <w:rsid w:val="00F00F6E"/>
    <w:rsid w:val="00F05AFE"/>
    <w:rsid w:val="00F06F08"/>
    <w:rsid w:val="00F13ACE"/>
    <w:rsid w:val="00F23681"/>
    <w:rsid w:val="00F24369"/>
    <w:rsid w:val="00F35233"/>
    <w:rsid w:val="00F35439"/>
    <w:rsid w:val="00F357D9"/>
    <w:rsid w:val="00F44435"/>
    <w:rsid w:val="00F538F6"/>
    <w:rsid w:val="00F55AC6"/>
    <w:rsid w:val="00F60647"/>
    <w:rsid w:val="00F618AE"/>
    <w:rsid w:val="00F65A2B"/>
    <w:rsid w:val="00F72FA9"/>
    <w:rsid w:val="00F74811"/>
    <w:rsid w:val="00F82CD0"/>
    <w:rsid w:val="00F84CE1"/>
    <w:rsid w:val="00F87190"/>
    <w:rsid w:val="00F96A64"/>
    <w:rsid w:val="00FA1EF1"/>
    <w:rsid w:val="00FA6475"/>
    <w:rsid w:val="00FA6AC9"/>
    <w:rsid w:val="00FA7DBD"/>
    <w:rsid w:val="00FB044C"/>
    <w:rsid w:val="00FB0D16"/>
    <w:rsid w:val="00FB388D"/>
    <w:rsid w:val="00FB4512"/>
    <w:rsid w:val="00FC5659"/>
    <w:rsid w:val="00FC599B"/>
    <w:rsid w:val="00FC6252"/>
    <w:rsid w:val="00FD50EF"/>
    <w:rsid w:val="00FE101B"/>
    <w:rsid w:val="00FE4872"/>
    <w:rsid w:val="00FE7F3F"/>
    <w:rsid w:val="00FF11F5"/>
    <w:rsid w:val="00FF6FD3"/>
    <w:rsid w:val="013E77C3"/>
    <w:rsid w:val="01514167"/>
    <w:rsid w:val="01536131"/>
    <w:rsid w:val="0167398B"/>
    <w:rsid w:val="01C26E13"/>
    <w:rsid w:val="01F069CE"/>
    <w:rsid w:val="01F733EB"/>
    <w:rsid w:val="020629BD"/>
    <w:rsid w:val="02161A83"/>
    <w:rsid w:val="026C297B"/>
    <w:rsid w:val="02857418"/>
    <w:rsid w:val="02D17C29"/>
    <w:rsid w:val="03416810"/>
    <w:rsid w:val="03441B64"/>
    <w:rsid w:val="034E0D3B"/>
    <w:rsid w:val="03C7674E"/>
    <w:rsid w:val="041B280B"/>
    <w:rsid w:val="04C85E88"/>
    <w:rsid w:val="053C307B"/>
    <w:rsid w:val="054560AD"/>
    <w:rsid w:val="05926F82"/>
    <w:rsid w:val="05AD3227"/>
    <w:rsid w:val="060C3947"/>
    <w:rsid w:val="061F57B1"/>
    <w:rsid w:val="06495F26"/>
    <w:rsid w:val="0716000C"/>
    <w:rsid w:val="07226AC9"/>
    <w:rsid w:val="073B2475"/>
    <w:rsid w:val="075B2AF6"/>
    <w:rsid w:val="077209BA"/>
    <w:rsid w:val="079E2271"/>
    <w:rsid w:val="07A30A0A"/>
    <w:rsid w:val="08685F4B"/>
    <w:rsid w:val="088E3EF3"/>
    <w:rsid w:val="08D01A92"/>
    <w:rsid w:val="091B6929"/>
    <w:rsid w:val="091C00BE"/>
    <w:rsid w:val="09646A02"/>
    <w:rsid w:val="09933EE8"/>
    <w:rsid w:val="0A015458"/>
    <w:rsid w:val="0AC75DE0"/>
    <w:rsid w:val="0ADD2810"/>
    <w:rsid w:val="0AEC592C"/>
    <w:rsid w:val="0B440899"/>
    <w:rsid w:val="0B6B725C"/>
    <w:rsid w:val="0B946B92"/>
    <w:rsid w:val="0BDB2646"/>
    <w:rsid w:val="0BFF7C89"/>
    <w:rsid w:val="0C330954"/>
    <w:rsid w:val="0CAD038C"/>
    <w:rsid w:val="0D1E0797"/>
    <w:rsid w:val="0D1F3322"/>
    <w:rsid w:val="0D34487C"/>
    <w:rsid w:val="0D481196"/>
    <w:rsid w:val="0D5D70D7"/>
    <w:rsid w:val="0DB81A96"/>
    <w:rsid w:val="0E0C745E"/>
    <w:rsid w:val="0E135665"/>
    <w:rsid w:val="0E593682"/>
    <w:rsid w:val="0E686F94"/>
    <w:rsid w:val="0E84403F"/>
    <w:rsid w:val="0EAD31D7"/>
    <w:rsid w:val="0EAE0E4B"/>
    <w:rsid w:val="0F307653"/>
    <w:rsid w:val="0F73318B"/>
    <w:rsid w:val="0FB51D4D"/>
    <w:rsid w:val="10022AD1"/>
    <w:rsid w:val="10613A0A"/>
    <w:rsid w:val="108005C5"/>
    <w:rsid w:val="10841B04"/>
    <w:rsid w:val="10A32E74"/>
    <w:rsid w:val="10B71B0D"/>
    <w:rsid w:val="10DB3434"/>
    <w:rsid w:val="10E80AC3"/>
    <w:rsid w:val="10F221A7"/>
    <w:rsid w:val="110971D4"/>
    <w:rsid w:val="11251C83"/>
    <w:rsid w:val="114F2865"/>
    <w:rsid w:val="11517207"/>
    <w:rsid w:val="116655F0"/>
    <w:rsid w:val="118147A3"/>
    <w:rsid w:val="1185333C"/>
    <w:rsid w:val="11AE1162"/>
    <w:rsid w:val="12077F9B"/>
    <w:rsid w:val="12141BCA"/>
    <w:rsid w:val="12285F13"/>
    <w:rsid w:val="140F3E4E"/>
    <w:rsid w:val="1464081A"/>
    <w:rsid w:val="147E306D"/>
    <w:rsid w:val="14AE0305"/>
    <w:rsid w:val="15522961"/>
    <w:rsid w:val="15796E3D"/>
    <w:rsid w:val="15BC6886"/>
    <w:rsid w:val="15C95BF0"/>
    <w:rsid w:val="15D66ED9"/>
    <w:rsid w:val="15E72E1A"/>
    <w:rsid w:val="15FD0F00"/>
    <w:rsid w:val="16747D39"/>
    <w:rsid w:val="16C25E5D"/>
    <w:rsid w:val="16C87A3E"/>
    <w:rsid w:val="16EA7873"/>
    <w:rsid w:val="17123FA8"/>
    <w:rsid w:val="174B2160"/>
    <w:rsid w:val="17503021"/>
    <w:rsid w:val="17E75B39"/>
    <w:rsid w:val="18111B82"/>
    <w:rsid w:val="18752B2C"/>
    <w:rsid w:val="187C2132"/>
    <w:rsid w:val="18876269"/>
    <w:rsid w:val="18D86AC4"/>
    <w:rsid w:val="19033B41"/>
    <w:rsid w:val="190873AA"/>
    <w:rsid w:val="1912281A"/>
    <w:rsid w:val="1937128F"/>
    <w:rsid w:val="1975635A"/>
    <w:rsid w:val="1A45071C"/>
    <w:rsid w:val="1B0C4237"/>
    <w:rsid w:val="1B3B4748"/>
    <w:rsid w:val="1B43118A"/>
    <w:rsid w:val="1B674733"/>
    <w:rsid w:val="1BDC0F37"/>
    <w:rsid w:val="1C073948"/>
    <w:rsid w:val="1C132DCD"/>
    <w:rsid w:val="1C1C6B30"/>
    <w:rsid w:val="1C4F046E"/>
    <w:rsid w:val="1CE858C6"/>
    <w:rsid w:val="1D0C6237"/>
    <w:rsid w:val="1D17360B"/>
    <w:rsid w:val="1D5F7707"/>
    <w:rsid w:val="1D772880"/>
    <w:rsid w:val="1D916C98"/>
    <w:rsid w:val="1D917409"/>
    <w:rsid w:val="1D963CA3"/>
    <w:rsid w:val="1DB775F0"/>
    <w:rsid w:val="1DCA0266"/>
    <w:rsid w:val="1E185CF2"/>
    <w:rsid w:val="1E930BB9"/>
    <w:rsid w:val="1EAF608B"/>
    <w:rsid w:val="1EC954B5"/>
    <w:rsid w:val="1F0C2434"/>
    <w:rsid w:val="1F2B2EC5"/>
    <w:rsid w:val="1F751511"/>
    <w:rsid w:val="1F830FE6"/>
    <w:rsid w:val="1FD30EDB"/>
    <w:rsid w:val="2031368A"/>
    <w:rsid w:val="203B1E13"/>
    <w:rsid w:val="20AD5BB6"/>
    <w:rsid w:val="20D56E5C"/>
    <w:rsid w:val="20ED4746"/>
    <w:rsid w:val="211D59BC"/>
    <w:rsid w:val="213D0B5D"/>
    <w:rsid w:val="213D2B1F"/>
    <w:rsid w:val="2148258B"/>
    <w:rsid w:val="21504C10"/>
    <w:rsid w:val="215C0301"/>
    <w:rsid w:val="215D070C"/>
    <w:rsid w:val="21807CBC"/>
    <w:rsid w:val="21B00E93"/>
    <w:rsid w:val="21CC19EE"/>
    <w:rsid w:val="21D36D31"/>
    <w:rsid w:val="21DF78C6"/>
    <w:rsid w:val="21EB161C"/>
    <w:rsid w:val="2234331B"/>
    <w:rsid w:val="227C76F3"/>
    <w:rsid w:val="22934188"/>
    <w:rsid w:val="22CC58EC"/>
    <w:rsid w:val="22CC6291"/>
    <w:rsid w:val="22F62F57"/>
    <w:rsid w:val="245E09A9"/>
    <w:rsid w:val="25475895"/>
    <w:rsid w:val="25C57D27"/>
    <w:rsid w:val="260C6206"/>
    <w:rsid w:val="262220F8"/>
    <w:rsid w:val="26555AAA"/>
    <w:rsid w:val="269D5FB9"/>
    <w:rsid w:val="26EA445A"/>
    <w:rsid w:val="27134362"/>
    <w:rsid w:val="272F01F7"/>
    <w:rsid w:val="273C438C"/>
    <w:rsid w:val="27DE3507"/>
    <w:rsid w:val="285035F7"/>
    <w:rsid w:val="28517AE5"/>
    <w:rsid w:val="286D6ADA"/>
    <w:rsid w:val="292435A0"/>
    <w:rsid w:val="29283150"/>
    <w:rsid w:val="29396854"/>
    <w:rsid w:val="29514D36"/>
    <w:rsid w:val="29527B54"/>
    <w:rsid w:val="295C0B1E"/>
    <w:rsid w:val="29B13146"/>
    <w:rsid w:val="29B83E00"/>
    <w:rsid w:val="2A1114D3"/>
    <w:rsid w:val="2A1D4C90"/>
    <w:rsid w:val="2AC041F0"/>
    <w:rsid w:val="2ADD7239"/>
    <w:rsid w:val="2AE57664"/>
    <w:rsid w:val="2B0D1629"/>
    <w:rsid w:val="2B5F5FA5"/>
    <w:rsid w:val="2B791F6E"/>
    <w:rsid w:val="2C01143B"/>
    <w:rsid w:val="2C0D6314"/>
    <w:rsid w:val="2C2A3B67"/>
    <w:rsid w:val="2C4B5C53"/>
    <w:rsid w:val="2C7F4B02"/>
    <w:rsid w:val="2CB453EF"/>
    <w:rsid w:val="2CB5612A"/>
    <w:rsid w:val="2D0E4F03"/>
    <w:rsid w:val="2D1C7470"/>
    <w:rsid w:val="2D55109F"/>
    <w:rsid w:val="2DAF7102"/>
    <w:rsid w:val="2DB930F6"/>
    <w:rsid w:val="2E7E481A"/>
    <w:rsid w:val="2ED35B8B"/>
    <w:rsid w:val="2F2C0A13"/>
    <w:rsid w:val="2F3C1B3B"/>
    <w:rsid w:val="2F601896"/>
    <w:rsid w:val="2FBC55C7"/>
    <w:rsid w:val="2FC13C64"/>
    <w:rsid w:val="2FE778C1"/>
    <w:rsid w:val="30110977"/>
    <w:rsid w:val="304545E8"/>
    <w:rsid w:val="30610AA9"/>
    <w:rsid w:val="3061119A"/>
    <w:rsid w:val="306A22A0"/>
    <w:rsid w:val="307922D8"/>
    <w:rsid w:val="308471F9"/>
    <w:rsid w:val="31374878"/>
    <w:rsid w:val="317D6B5C"/>
    <w:rsid w:val="3183186B"/>
    <w:rsid w:val="319C532E"/>
    <w:rsid w:val="31DC00A9"/>
    <w:rsid w:val="31EF3394"/>
    <w:rsid w:val="31FE7C0B"/>
    <w:rsid w:val="32464991"/>
    <w:rsid w:val="326C0551"/>
    <w:rsid w:val="32D06D32"/>
    <w:rsid w:val="33064FB5"/>
    <w:rsid w:val="33155FD7"/>
    <w:rsid w:val="33451DC2"/>
    <w:rsid w:val="336D60E3"/>
    <w:rsid w:val="33876508"/>
    <w:rsid w:val="33896EE1"/>
    <w:rsid w:val="33C60259"/>
    <w:rsid w:val="33D463AE"/>
    <w:rsid w:val="33DC54DB"/>
    <w:rsid w:val="33DC5738"/>
    <w:rsid w:val="3401282F"/>
    <w:rsid w:val="34231F16"/>
    <w:rsid w:val="344E2157"/>
    <w:rsid w:val="349B2A17"/>
    <w:rsid w:val="35101762"/>
    <w:rsid w:val="35144C7C"/>
    <w:rsid w:val="351647A5"/>
    <w:rsid w:val="35207985"/>
    <w:rsid w:val="35A95619"/>
    <w:rsid w:val="35D77067"/>
    <w:rsid w:val="35DF5E2C"/>
    <w:rsid w:val="36723C5D"/>
    <w:rsid w:val="368270E9"/>
    <w:rsid w:val="36AD2EE7"/>
    <w:rsid w:val="36C26992"/>
    <w:rsid w:val="36CF7208"/>
    <w:rsid w:val="37645C9B"/>
    <w:rsid w:val="379806D7"/>
    <w:rsid w:val="3814321D"/>
    <w:rsid w:val="3837515E"/>
    <w:rsid w:val="38B22A88"/>
    <w:rsid w:val="38E2156D"/>
    <w:rsid w:val="393B0C7E"/>
    <w:rsid w:val="39C22159"/>
    <w:rsid w:val="39DE1F09"/>
    <w:rsid w:val="39F57598"/>
    <w:rsid w:val="3A154F16"/>
    <w:rsid w:val="3A3271EB"/>
    <w:rsid w:val="3A6211C1"/>
    <w:rsid w:val="3A6C6948"/>
    <w:rsid w:val="3A7830A8"/>
    <w:rsid w:val="3A797CAF"/>
    <w:rsid w:val="3A852BA4"/>
    <w:rsid w:val="3A991494"/>
    <w:rsid w:val="3A9A7854"/>
    <w:rsid w:val="3AF869D4"/>
    <w:rsid w:val="3B003FB0"/>
    <w:rsid w:val="3B153C89"/>
    <w:rsid w:val="3B1E4267"/>
    <w:rsid w:val="3B640692"/>
    <w:rsid w:val="3B811CEB"/>
    <w:rsid w:val="3B9238D5"/>
    <w:rsid w:val="3BC94089"/>
    <w:rsid w:val="3BD57167"/>
    <w:rsid w:val="3CAD10B8"/>
    <w:rsid w:val="3CAE7437"/>
    <w:rsid w:val="3CCA4E21"/>
    <w:rsid w:val="3CCD7CC2"/>
    <w:rsid w:val="3CE60EAE"/>
    <w:rsid w:val="3CFF1645"/>
    <w:rsid w:val="3D311A21"/>
    <w:rsid w:val="3D6A31AC"/>
    <w:rsid w:val="3D733954"/>
    <w:rsid w:val="3DC63F3C"/>
    <w:rsid w:val="3DDA0A65"/>
    <w:rsid w:val="3E3402D5"/>
    <w:rsid w:val="3E9272D2"/>
    <w:rsid w:val="3ED10DB0"/>
    <w:rsid w:val="3EE427D9"/>
    <w:rsid w:val="3EEB5E0E"/>
    <w:rsid w:val="3F6F2DB7"/>
    <w:rsid w:val="3F8049A0"/>
    <w:rsid w:val="3FA84653"/>
    <w:rsid w:val="3FDC3062"/>
    <w:rsid w:val="3FE179E2"/>
    <w:rsid w:val="3FE67B95"/>
    <w:rsid w:val="40151EBB"/>
    <w:rsid w:val="40C02FD4"/>
    <w:rsid w:val="40CC3857"/>
    <w:rsid w:val="40F2256A"/>
    <w:rsid w:val="413A36FE"/>
    <w:rsid w:val="413C125F"/>
    <w:rsid w:val="4146356D"/>
    <w:rsid w:val="41AF268F"/>
    <w:rsid w:val="41C537DA"/>
    <w:rsid w:val="420A04AF"/>
    <w:rsid w:val="421A703C"/>
    <w:rsid w:val="424B706B"/>
    <w:rsid w:val="429951C9"/>
    <w:rsid w:val="434735D4"/>
    <w:rsid w:val="43694FC5"/>
    <w:rsid w:val="43827494"/>
    <w:rsid w:val="43D95D01"/>
    <w:rsid w:val="43DD57D9"/>
    <w:rsid w:val="43FF490C"/>
    <w:rsid w:val="440F78AB"/>
    <w:rsid w:val="44307631"/>
    <w:rsid w:val="44484C18"/>
    <w:rsid w:val="4454435C"/>
    <w:rsid w:val="44796AD5"/>
    <w:rsid w:val="449C220A"/>
    <w:rsid w:val="44F85C75"/>
    <w:rsid w:val="452423D3"/>
    <w:rsid w:val="4553683C"/>
    <w:rsid w:val="455A055B"/>
    <w:rsid w:val="45AA51C5"/>
    <w:rsid w:val="45B748BD"/>
    <w:rsid w:val="45BE5E52"/>
    <w:rsid w:val="45DE34DA"/>
    <w:rsid w:val="469323FE"/>
    <w:rsid w:val="47721D0E"/>
    <w:rsid w:val="47860CF3"/>
    <w:rsid w:val="48090EA2"/>
    <w:rsid w:val="48327E3A"/>
    <w:rsid w:val="484740F9"/>
    <w:rsid w:val="48580F04"/>
    <w:rsid w:val="486362B1"/>
    <w:rsid w:val="48AE1753"/>
    <w:rsid w:val="49832DC8"/>
    <w:rsid w:val="49CD1053"/>
    <w:rsid w:val="49F23E6D"/>
    <w:rsid w:val="4A3B66FC"/>
    <w:rsid w:val="4A9D4B13"/>
    <w:rsid w:val="4ABF7A2B"/>
    <w:rsid w:val="4ACF51F2"/>
    <w:rsid w:val="4AD63F3E"/>
    <w:rsid w:val="4B11183E"/>
    <w:rsid w:val="4B4078D6"/>
    <w:rsid w:val="4B8B43BC"/>
    <w:rsid w:val="4BB33236"/>
    <w:rsid w:val="4C2762DE"/>
    <w:rsid w:val="4C2B0CC6"/>
    <w:rsid w:val="4C2F00EC"/>
    <w:rsid w:val="4C695CDA"/>
    <w:rsid w:val="4C8504D4"/>
    <w:rsid w:val="4D226A51"/>
    <w:rsid w:val="4D4C4590"/>
    <w:rsid w:val="4D665E71"/>
    <w:rsid w:val="4D6E1127"/>
    <w:rsid w:val="4D9203BD"/>
    <w:rsid w:val="4D94591E"/>
    <w:rsid w:val="4DB26547"/>
    <w:rsid w:val="4DEE2AE4"/>
    <w:rsid w:val="4E36529F"/>
    <w:rsid w:val="4E88697F"/>
    <w:rsid w:val="4E99104D"/>
    <w:rsid w:val="4EC878C6"/>
    <w:rsid w:val="4F2F3285"/>
    <w:rsid w:val="4F320167"/>
    <w:rsid w:val="4F477F24"/>
    <w:rsid w:val="4F820D24"/>
    <w:rsid w:val="505C355C"/>
    <w:rsid w:val="505E72D4"/>
    <w:rsid w:val="50632B3C"/>
    <w:rsid w:val="50650662"/>
    <w:rsid w:val="507831CB"/>
    <w:rsid w:val="50CA1440"/>
    <w:rsid w:val="513904C9"/>
    <w:rsid w:val="513E788B"/>
    <w:rsid w:val="51606E98"/>
    <w:rsid w:val="51742085"/>
    <w:rsid w:val="51CC3A37"/>
    <w:rsid w:val="51D524D5"/>
    <w:rsid w:val="521902EE"/>
    <w:rsid w:val="523452B1"/>
    <w:rsid w:val="5281374D"/>
    <w:rsid w:val="52B00DDB"/>
    <w:rsid w:val="52B12D79"/>
    <w:rsid w:val="52FC2DD4"/>
    <w:rsid w:val="530F2B07"/>
    <w:rsid w:val="53734044"/>
    <w:rsid w:val="53B107B9"/>
    <w:rsid w:val="546B0B9C"/>
    <w:rsid w:val="54AC7FFE"/>
    <w:rsid w:val="54DB601C"/>
    <w:rsid w:val="55237168"/>
    <w:rsid w:val="552B7BD4"/>
    <w:rsid w:val="55675113"/>
    <w:rsid w:val="55E51F1B"/>
    <w:rsid w:val="55E57861"/>
    <w:rsid w:val="564231F4"/>
    <w:rsid w:val="56A7407F"/>
    <w:rsid w:val="56D226F9"/>
    <w:rsid w:val="5714072F"/>
    <w:rsid w:val="573D4981"/>
    <w:rsid w:val="57863169"/>
    <w:rsid w:val="579738B4"/>
    <w:rsid w:val="57DC710D"/>
    <w:rsid w:val="58201A8F"/>
    <w:rsid w:val="58445001"/>
    <w:rsid w:val="58B61CEA"/>
    <w:rsid w:val="58BB5A18"/>
    <w:rsid w:val="591C016F"/>
    <w:rsid w:val="594A0CAC"/>
    <w:rsid w:val="5956630D"/>
    <w:rsid w:val="596C49D0"/>
    <w:rsid w:val="596F4029"/>
    <w:rsid w:val="59B1748D"/>
    <w:rsid w:val="59DF3FE0"/>
    <w:rsid w:val="5A177392"/>
    <w:rsid w:val="5A3A419A"/>
    <w:rsid w:val="5A3B3289"/>
    <w:rsid w:val="5A4E0E37"/>
    <w:rsid w:val="5A557A06"/>
    <w:rsid w:val="5A5B4884"/>
    <w:rsid w:val="5A6965A3"/>
    <w:rsid w:val="5A717838"/>
    <w:rsid w:val="5A991A29"/>
    <w:rsid w:val="5AB52CFC"/>
    <w:rsid w:val="5ACD7689"/>
    <w:rsid w:val="5B6634E0"/>
    <w:rsid w:val="5B90598C"/>
    <w:rsid w:val="5BD963A8"/>
    <w:rsid w:val="5C231121"/>
    <w:rsid w:val="5C53111F"/>
    <w:rsid w:val="5C7B12A5"/>
    <w:rsid w:val="5C9F2A65"/>
    <w:rsid w:val="5CA877D2"/>
    <w:rsid w:val="5CB0530D"/>
    <w:rsid w:val="5CC53A2C"/>
    <w:rsid w:val="5CCE57E1"/>
    <w:rsid w:val="5CD10E2D"/>
    <w:rsid w:val="5D070BA5"/>
    <w:rsid w:val="5D075B6F"/>
    <w:rsid w:val="5D3E506B"/>
    <w:rsid w:val="5D59394D"/>
    <w:rsid w:val="5D731DB2"/>
    <w:rsid w:val="5DA90C92"/>
    <w:rsid w:val="5DCB1951"/>
    <w:rsid w:val="5DD54BFB"/>
    <w:rsid w:val="5E126452"/>
    <w:rsid w:val="5E370F97"/>
    <w:rsid w:val="5E3D49CC"/>
    <w:rsid w:val="5E6E769C"/>
    <w:rsid w:val="5E8879C1"/>
    <w:rsid w:val="5E8A0B26"/>
    <w:rsid w:val="5EE5310E"/>
    <w:rsid w:val="5F0B4ACB"/>
    <w:rsid w:val="5F473629"/>
    <w:rsid w:val="5F4F3D71"/>
    <w:rsid w:val="5F6046EE"/>
    <w:rsid w:val="5F7356FD"/>
    <w:rsid w:val="5F8A4654"/>
    <w:rsid w:val="5FF6569E"/>
    <w:rsid w:val="5FFE0D8E"/>
    <w:rsid w:val="602D0A71"/>
    <w:rsid w:val="607F6F3D"/>
    <w:rsid w:val="60D847A8"/>
    <w:rsid w:val="60F509D3"/>
    <w:rsid w:val="60F77C04"/>
    <w:rsid w:val="61203587"/>
    <w:rsid w:val="61224E7A"/>
    <w:rsid w:val="61457983"/>
    <w:rsid w:val="61722BDF"/>
    <w:rsid w:val="61CB676A"/>
    <w:rsid w:val="61D01368"/>
    <w:rsid w:val="61F14394"/>
    <w:rsid w:val="61F47A98"/>
    <w:rsid w:val="62135374"/>
    <w:rsid w:val="62235B3B"/>
    <w:rsid w:val="623E4639"/>
    <w:rsid w:val="624E47A4"/>
    <w:rsid w:val="629B43A1"/>
    <w:rsid w:val="62BC3EA2"/>
    <w:rsid w:val="6341504A"/>
    <w:rsid w:val="637A221F"/>
    <w:rsid w:val="63E23618"/>
    <w:rsid w:val="63F024E1"/>
    <w:rsid w:val="642121E5"/>
    <w:rsid w:val="64DE659A"/>
    <w:rsid w:val="650630D8"/>
    <w:rsid w:val="65371000"/>
    <w:rsid w:val="65E9231B"/>
    <w:rsid w:val="661F1299"/>
    <w:rsid w:val="66970382"/>
    <w:rsid w:val="66C33920"/>
    <w:rsid w:val="66F1387A"/>
    <w:rsid w:val="66F33E26"/>
    <w:rsid w:val="6780588C"/>
    <w:rsid w:val="67D8653C"/>
    <w:rsid w:val="67EA6E4A"/>
    <w:rsid w:val="683E7826"/>
    <w:rsid w:val="688212DC"/>
    <w:rsid w:val="68830542"/>
    <w:rsid w:val="68897A31"/>
    <w:rsid w:val="689B1C26"/>
    <w:rsid w:val="68C161FA"/>
    <w:rsid w:val="69126FBB"/>
    <w:rsid w:val="691D5301"/>
    <w:rsid w:val="6969647C"/>
    <w:rsid w:val="69961435"/>
    <w:rsid w:val="69CB127D"/>
    <w:rsid w:val="69DD411C"/>
    <w:rsid w:val="69DD7064"/>
    <w:rsid w:val="6AA9734A"/>
    <w:rsid w:val="6ACF38BE"/>
    <w:rsid w:val="6AEC66CB"/>
    <w:rsid w:val="6B2F5212"/>
    <w:rsid w:val="6BE27BA1"/>
    <w:rsid w:val="6BFB6066"/>
    <w:rsid w:val="6C540F9B"/>
    <w:rsid w:val="6C5F50C1"/>
    <w:rsid w:val="6C9E637F"/>
    <w:rsid w:val="6D064B23"/>
    <w:rsid w:val="6D1B16C4"/>
    <w:rsid w:val="6D9C5C5B"/>
    <w:rsid w:val="6DB707DA"/>
    <w:rsid w:val="6DCE3B16"/>
    <w:rsid w:val="6DD46F86"/>
    <w:rsid w:val="6DE015CD"/>
    <w:rsid w:val="6E7F0715"/>
    <w:rsid w:val="6E8E4DD0"/>
    <w:rsid w:val="6E9D3265"/>
    <w:rsid w:val="6EA14158"/>
    <w:rsid w:val="6EA91C0A"/>
    <w:rsid w:val="6EB522CB"/>
    <w:rsid w:val="6EBC7231"/>
    <w:rsid w:val="6EEA6497"/>
    <w:rsid w:val="6F0C4BE9"/>
    <w:rsid w:val="6F1E2F5B"/>
    <w:rsid w:val="6F2F44F2"/>
    <w:rsid w:val="6FC860C0"/>
    <w:rsid w:val="6FD51667"/>
    <w:rsid w:val="6FD73146"/>
    <w:rsid w:val="702D244A"/>
    <w:rsid w:val="706241C5"/>
    <w:rsid w:val="708C1436"/>
    <w:rsid w:val="70BE5C9D"/>
    <w:rsid w:val="70D32F6E"/>
    <w:rsid w:val="70D416DF"/>
    <w:rsid w:val="70F51AD3"/>
    <w:rsid w:val="71063D7E"/>
    <w:rsid w:val="710B2146"/>
    <w:rsid w:val="71126F2A"/>
    <w:rsid w:val="71403085"/>
    <w:rsid w:val="71551BD5"/>
    <w:rsid w:val="716A5A4C"/>
    <w:rsid w:val="71FE7E88"/>
    <w:rsid w:val="72102E98"/>
    <w:rsid w:val="7283095E"/>
    <w:rsid w:val="72A9271E"/>
    <w:rsid w:val="72B56DCF"/>
    <w:rsid w:val="72C75D75"/>
    <w:rsid w:val="72CF6C83"/>
    <w:rsid w:val="73144946"/>
    <w:rsid w:val="7315786E"/>
    <w:rsid w:val="73306456"/>
    <w:rsid w:val="73A166EB"/>
    <w:rsid w:val="741B2818"/>
    <w:rsid w:val="74244F8E"/>
    <w:rsid w:val="744F17E9"/>
    <w:rsid w:val="74F457CA"/>
    <w:rsid w:val="75023E22"/>
    <w:rsid w:val="755172CC"/>
    <w:rsid w:val="75883BEA"/>
    <w:rsid w:val="75E072E4"/>
    <w:rsid w:val="75FC3383"/>
    <w:rsid w:val="76096800"/>
    <w:rsid w:val="76415CBD"/>
    <w:rsid w:val="767C3758"/>
    <w:rsid w:val="76CE2093"/>
    <w:rsid w:val="77667263"/>
    <w:rsid w:val="77A15916"/>
    <w:rsid w:val="77FD2E64"/>
    <w:rsid w:val="780939C8"/>
    <w:rsid w:val="783F1E07"/>
    <w:rsid w:val="78B12492"/>
    <w:rsid w:val="78B34341"/>
    <w:rsid w:val="78B41256"/>
    <w:rsid w:val="78EC72C3"/>
    <w:rsid w:val="79120C36"/>
    <w:rsid w:val="79141BF9"/>
    <w:rsid w:val="793676B2"/>
    <w:rsid w:val="79751067"/>
    <w:rsid w:val="79D077BF"/>
    <w:rsid w:val="79D7256E"/>
    <w:rsid w:val="7A0143D6"/>
    <w:rsid w:val="7A381C4E"/>
    <w:rsid w:val="7AF82684"/>
    <w:rsid w:val="7B85524E"/>
    <w:rsid w:val="7B895D18"/>
    <w:rsid w:val="7C467E0B"/>
    <w:rsid w:val="7C4E4AEA"/>
    <w:rsid w:val="7CD019C7"/>
    <w:rsid w:val="7D465A7E"/>
    <w:rsid w:val="7D470616"/>
    <w:rsid w:val="7D4B207F"/>
    <w:rsid w:val="7D66043F"/>
    <w:rsid w:val="7D7E1968"/>
    <w:rsid w:val="7DAA3C71"/>
    <w:rsid w:val="7E525E96"/>
    <w:rsid w:val="7E9C74F6"/>
    <w:rsid w:val="7EC7690F"/>
    <w:rsid w:val="7EF23159"/>
    <w:rsid w:val="7EFB0593"/>
    <w:rsid w:val="7F3124E8"/>
    <w:rsid w:val="7F920BAE"/>
    <w:rsid w:val="7F9E09E1"/>
    <w:rsid w:val="7FA2692E"/>
    <w:rsid w:val="7FEF76A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nhideWhenUsed="0"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99" w:semiHidden="0" w:name="Normal Indent"/>
    <w:lsdException w:unhideWhenUsed="0" w:uiPriority="0" w:semiHidden="0" w:name="footnote text"/>
    <w:lsdException w:qFormat="1" w:unhideWhenUsed="0" w:uiPriority="99"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qFormat="1"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7"/>
    <w:basedOn w:val="1"/>
    <w:next w:val="1"/>
    <w:link w:val="42"/>
    <w:qFormat/>
    <w:uiPriority w:val="0"/>
    <w:pPr>
      <w:keepNext/>
      <w:keepLines/>
      <w:spacing w:before="240" w:after="64" w:line="320" w:lineRule="auto"/>
      <w:outlineLvl w:val="6"/>
    </w:pPr>
    <w:rPr>
      <w:b/>
      <w:bCs/>
      <w:sz w:val="24"/>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39"/>
  </w:style>
  <w:style w:type="paragraph" w:styleId="7">
    <w:name w:val="toc 7"/>
    <w:basedOn w:val="1"/>
    <w:next w:val="1"/>
    <w:unhideWhenUsed/>
    <w:qFormat/>
    <w:uiPriority w:val="39"/>
    <w:pPr>
      <w:ind w:left="2520" w:leftChars="1200"/>
    </w:pPr>
    <w:rPr>
      <w:rFonts w:ascii="Calibri" w:hAnsi="Calibri"/>
      <w:szCs w:val="22"/>
    </w:rPr>
  </w:style>
  <w:style w:type="paragraph" w:styleId="8">
    <w:name w:val="Note Heading"/>
    <w:basedOn w:val="1"/>
    <w:next w:val="1"/>
    <w:qFormat/>
    <w:uiPriority w:val="0"/>
    <w:pPr>
      <w:snapToGrid w:val="0"/>
      <w:spacing w:line="320" w:lineRule="exact"/>
      <w:ind w:firstLine="413" w:firstLineChars="200"/>
    </w:pPr>
    <w:rPr>
      <w:rFonts w:ascii="宋体" w:hAnsi="宋体"/>
      <w:b/>
      <w:color w:val="000000"/>
    </w:rPr>
  </w:style>
  <w:style w:type="paragraph" w:styleId="9">
    <w:name w:val="Normal Indent"/>
    <w:basedOn w:val="1"/>
    <w:qFormat/>
    <w:uiPriority w:val="99"/>
    <w:pPr>
      <w:ind w:firstLine="420"/>
    </w:pPr>
  </w:style>
  <w:style w:type="paragraph" w:styleId="10">
    <w:name w:val="annotation text"/>
    <w:basedOn w:val="1"/>
    <w:link w:val="43"/>
    <w:semiHidden/>
    <w:qFormat/>
    <w:uiPriority w:val="99"/>
    <w:pPr>
      <w:jc w:val="left"/>
    </w:pPr>
  </w:style>
  <w:style w:type="paragraph" w:styleId="11">
    <w:name w:val="Body Text 3"/>
    <w:basedOn w:val="1"/>
    <w:qFormat/>
    <w:uiPriority w:val="0"/>
    <w:pPr>
      <w:spacing w:after="120"/>
    </w:pPr>
    <w:rPr>
      <w:sz w:val="16"/>
      <w:szCs w:val="16"/>
    </w:rPr>
  </w:style>
  <w:style w:type="paragraph" w:styleId="12">
    <w:name w:val="Body Text"/>
    <w:basedOn w:val="1"/>
    <w:next w:val="1"/>
    <w:qFormat/>
    <w:uiPriority w:val="0"/>
    <w:pPr>
      <w:spacing w:after="120"/>
    </w:pPr>
  </w:style>
  <w:style w:type="paragraph" w:styleId="13">
    <w:name w:val="Body Text Indent"/>
    <w:basedOn w:val="1"/>
    <w:next w:val="14"/>
    <w:unhideWhenUsed/>
    <w:qFormat/>
    <w:uiPriority w:val="0"/>
    <w:pPr>
      <w:spacing w:after="120"/>
      <w:ind w:left="420" w:leftChars="200"/>
    </w:pPr>
  </w:style>
  <w:style w:type="paragraph" w:styleId="14">
    <w:name w:val="envelope return"/>
    <w:basedOn w:val="1"/>
    <w:qFormat/>
    <w:uiPriority w:val="0"/>
    <w:pPr>
      <w:snapToGrid w:val="0"/>
    </w:pPr>
    <w:rPr>
      <w:rFonts w:ascii="Arial" w:hAnsi="Arial"/>
    </w:rPr>
  </w:style>
  <w:style w:type="paragraph" w:styleId="15">
    <w:name w:val="Block Text"/>
    <w:basedOn w:val="1"/>
    <w:qFormat/>
    <w:uiPriority w:val="0"/>
    <w:pPr>
      <w:spacing w:line="440" w:lineRule="exact"/>
      <w:ind w:left="-540" w:leftChars="-257" w:right="-334" w:rightChars="-159" w:firstLine="1140"/>
    </w:pPr>
    <w:rPr>
      <w:sz w:val="24"/>
    </w:rPr>
  </w:style>
  <w:style w:type="paragraph" w:styleId="16">
    <w:name w:val="toc 5"/>
    <w:basedOn w:val="1"/>
    <w:next w:val="1"/>
    <w:unhideWhenUsed/>
    <w:qFormat/>
    <w:uiPriority w:val="39"/>
    <w:pPr>
      <w:ind w:left="1680" w:leftChars="800"/>
    </w:pPr>
    <w:rPr>
      <w:rFonts w:ascii="Calibri" w:hAnsi="Calibri"/>
      <w:szCs w:val="22"/>
    </w:rPr>
  </w:style>
  <w:style w:type="paragraph" w:styleId="17">
    <w:name w:val="toc 3"/>
    <w:basedOn w:val="1"/>
    <w:next w:val="1"/>
    <w:qFormat/>
    <w:uiPriority w:val="39"/>
    <w:pPr>
      <w:ind w:left="840" w:leftChars="400"/>
    </w:pPr>
  </w:style>
  <w:style w:type="paragraph" w:styleId="18">
    <w:name w:val="Plain Text"/>
    <w:basedOn w:val="1"/>
    <w:link w:val="44"/>
    <w:qFormat/>
    <w:uiPriority w:val="0"/>
    <w:rPr>
      <w:rFonts w:ascii="宋体" w:hAnsi="Courier New"/>
      <w:szCs w:val="20"/>
    </w:rPr>
  </w:style>
  <w:style w:type="paragraph" w:styleId="19">
    <w:name w:val="toc 8"/>
    <w:basedOn w:val="1"/>
    <w:next w:val="1"/>
    <w:unhideWhenUsed/>
    <w:qFormat/>
    <w:uiPriority w:val="39"/>
    <w:pPr>
      <w:ind w:left="2940" w:leftChars="1400"/>
    </w:pPr>
    <w:rPr>
      <w:rFonts w:ascii="Calibri" w:hAnsi="Calibri"/>
      <w:szCs w:val="22"/>
    </w:rPr>
  </w:style>
  <w:style w:type="paragraph" w:styleId="20">
    <w:name w:val="Date"/>
    <w:basedOn w:val="1"/>
    <w:next w:val="1"/>
    <w:qFormat/>
    <w:uiPriority w:val="0"/>
    <w:pPr>
      <w:ind w:left="100" w:leftChars="2500"/>
    </w:pPr>
  </w:style>
  <w:style w:type="paragraph" w:styleId="21">
    <w:name w:val="Balloon Text"/>
    <w:basedOn w:val="1"/>
    <w:semiHidden/>
    <w:qFormat/>
    <w:uiPriority w:val="0"/>
    <w:rPr>
      <w:sz w:val="18"/>
      <w:szCs w:val="18"/>
    </w:rPr>
  </w:style>
  <w:style w:type="paragraph" w:styleId="22">
    <w:name w:val="footer"/>
    <w:basedOn w:val="1"/>
    <w:qFormat/>
    <w:uiPriority w:val="0"/>
    <w:pPr>
      <w:tabs>
        <w:tab w:val="center" w:pos="4153"/>
        <w:tab w:val="right" w:pos="8306"/>
      </w:tabs>
      <w:snapToGrid w:val="0"/>
      <w:jc w:val="left"/>
    </w:pPr>
    <w:rPr>
      <w:sz w:val="18"/>
      <w:szCs w:val="18"/>
    </w:rPr>
  </w:style>
  <w:style w:type="paragraph" w:styleId="2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4">
    <w:name w:val="toc 4"/>
    <w:basedOn w:val="1"/>
    <w:next w:val="1"/>
    <w:unhideWhenUsed/>
    <w:qFormat/>
    <w:uiPriority w:val="39"/>
    <w:pPr>
      <w:ind w:left="1260" w:leftChars="600"/>
    </w:pPr>
    <w:rPr>
      <w:rFonts w:ascii="Calibri" w:hAnsi="Calibri"/>
      <w:szCs w:val="22"/>
    </w:rPr>
  </w:style>
  <w:style w:type="paragraph" w:styleId="25">
    <w:name w:val="toc 6"/>
    <w:basedOn w:val="1"/>
    <w:next w:val="1"/>
    <w:unhideWhenUsed/>
    <w:qFormat/>
    <w:uiPriority w:val="39"/>
    <w:pPr>
      <w:ind w:left="2100" w:leftChars="1000"/>
    </w:pPr>
    <w:rPr>
      <w:rFonts w:ascii="Calibri" w:hAnsi="Calibri"/>
      <w:szCs w:val="22"/>
    </w:rPr>
  </w:style>
  <w:style w:type="paragraph" w:styleId="26">
    <w:name w:val="toc 2"/>
    <w:basedOn w:val="1"/>
    <w:next w:val="1"/>
    <w:qFormat/>
    <w:uiPriority w:val="39"/>
    <w:pPr>
      <w:ind w:left="420" w:leftChars="200"/>
    </w:pPr>
  </w:style>
  <w:style w:type="paragraph" w:styleId="27">
    <w:name w:val="toc 9"/>
    <w:basedOn w:val="1"/>
    <w:next w:val="1"/>
    <w:unhideWhenUsed/>
    <w:qFormat/>
    <w:uiPriority w:val="39"/>
    <w:pPr>
      <w:ind w:left="3360" w:leftChars="1600"/>
    </w:pPr>
    <w:rPr>
      <w:rFonts w:ascii="Calibri" w:hAnsi="Calibri"/>
      <w:szCs w:val="22"/>
    </w:rPr>
  </w:style>
  <w:style w:type="paragraph" w:styleId="28">
    <w:name w:val="Normal (Web)"/>
    <w:basedOn w:val="1"/>
    <w:qFormat/>
    <w:uiPriority w:val="0"/>
    <w:pPr>
      <w:spacing w:after="113" w:line="225" w:lineRule="atLeast"/>
    </w:pPr>
    <w:rPr>
      <w:rFonts w:ascii="Helvetica" w:hAnsi="Helvetica" w:cs="宋体"/>
      <w:kern w:val="0"/>
      <w:sz w:val="16"/>
      <w:szCs w:val="16"/>
    </w:rPr>
  </w:style>
  <w:style w:type="paragraph" w:styleId="29">
    <w:name w:val="annotation subject"/>
    <w:basedOn w:val="10"/>
    <w:next w:val="10"/>
    <w:semiHidden/>
    <w:qFormat/>
    <w:uiPriority w:val="0"/>
    <w:rPr>
      <w:b/>
      <w:bCs/>
    </w:rPr>
  </w:style>
  <w:style w:type="paragraph" w:styleId="30">
    <w:name w:val="Body Text First Indent"/>
    <w:basedOn w:val="12"/>
    <w:link w:val="45"/>
    <w:qFormat/>
    <w:uiPriority w:val="0"/>
    <w:pPr>
      <w:spacing w:line="312" w:lineRule="auto"/>
      <w:ind w:firstLine="420"/>
    </w:pPr>
  </w:style>
  <w:style w:type="paragraph" w:styleId="31">
    <w:name w:val="Body Text First Indent 2"/>
    <w:basedOn w:val="13"/>
    <w:next w:val="32"/>
    <w:unhideWhenUsed/>
    <w:qFormat/>
    <w:uiPriority w:val="0"/>
    <w:pPr>
      <w:spacing w:line="256" w:lineRule="auto"/>
      <w:ind w:firstLine="420" w:firstLineChars="200"/>
    </w:pPr>
  </w:style>
  <w:style w:type="paragraph" w:customStyle="1" w:styleId="32">
    <w:name w:val="样式 正文首行缩进 2 + Arial"/>
    <w:basedOn w:val="1"/>
    <w:next w:val="1"/>
    <w:qFormat/>
    <w:uiPriority w:val="0"/>
    <w:pPr>
      <w:spacing w:before="100" w:beforeAutospacing="1" w:after="120" w:line="320" w:lineRule="atLeast"/>
      <w:ind w:firstLine="200" w:firstLineChars="200"/>
    </w:pPr>
    <w:rPr>
      <w:rFonts w:ascii="Arial" w:hAnsi="Arial" w:cs="Arial"/>
    </w:rPr>
  </w:style>
  <w:style w:type="table" w:styleId="34">
    <w:name w:val="Table Grid"/>
    <w:basedOn w:val="3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page number"/>
    <w:qFormat/>
    <w:uiPriority w:val="0"/>
  </w:style>
  <w:style w:type="character" w:styleId="37">
    <w:name w:val="FollowedHyperlink"/>
    <w:qFormat/>
    <w:uiPriority w:val="0"/>
    <w:rPr>
      <w:color w:val="800080"/>
      <w:u w:val="single"/>
    </w:rPr>
  </w:style>
  <w:style w:type="character" w:styleId="38">
    <w:name w:val="Hyperlink"/>
    <w:qFormat/>
    <w:uiPriority w:val="99"/>
    <w:rPr>
      <w:color w:val="0000FF"/>
      <w:u w:val="single"/>
    </w:rPr>
  </w:style>
  <w:style w:type="character" w:styleId="39">
    <w:name w:val="annotation reference"/>
    <w:semiHidden/>
    <w:qFormat/>
    <w:uiPriority w:val="99"/>
    <w:rPr>
      <w:sz w:val="21"/>
      <w:szCs w:val="21"/>
    </w:rPr>
  </w:style>
  <w:style w:type="paragraph" w:customStyle="1" w:styleId="40">
    <w:name w:val="正文段落"/>
    <w:qFormat/>
    <w:uiPriority w:val="0"/>
    <w:pPr>
      <w:spacing w:beforeLines="50"/>
      <w:ind w:firstLine="505" w:firstLineChars="200"/>
    </w:pPr>
    <w:rPr>
      <w:rFonts w:ascii="Times New Roman" w:hAnsi="Times New Roman" w:eastAsia="宋体" w:cs="Times New Roman"/>
      <w:bCs/>
      <w:kern w:val="2"/>
      <w:sz w:val="24"/>
      <w:szCs w:val="24"/>
      <w:lang w:val="en-US" w:eastAsia="zh-CN" w:bidi="ar-SA"/>
    </w:rPr>
  </w:style>
  <w:style w:type="paragraph" w:customStyle="1" w:styleId="41">
    <w:name w:val="样式 宋体 行距: 1.5 倍行距"/>
    <w:basedOn w:val="1"/>
    <w:qFormat/>
    <w:uiPriority w:val="0"/>
    <w:pPr>
      <w:jc w:val="center"/>
    </w:pPr>
    <w:rPr>
      <w:rFonts w:ascii="Calibri" w:hAnsi="Calibri"/>
      <w:b/>
    </w:rPr>
  </w:style>
  <w:style w:type="character" w:customStyle="1" w:styleId="42">
    <w:name w:val="标题 7 字符"/>
    <w:link w:val="6"/>
    <w:semiHidden/>
    <w:qFormat/>
    <w:uiPriority w:val="0"/>
    <w:rPr>
      <w:b/>
      <w:bCs/>
      <w:kern w:val="2"/>
      <w:sz w:val="24"/>
      <w:szCs w:val="24"/>
    </w:rPr>
  </w:style>
  <w:style w:type="character" w:customStyle="1" w:styleId="43">
    <w:name w:val="批注文字 字符"/>
    <w:link w:val="10"/>
    <w:semiHidden/>
    <w:qFormat/>
    <w:uiPriority w:val="99"/>
    <w:rPr>
      <w:kern w:val="2"/>
      <w:sz w:val="21"/>
      <w:szCs w:val="24"/>
    </w:rPr>
  </w:style>
  <w:style w:type="character" w:customStyle="1" w:styleId="44">
    <w:name w:val="纯文本 字符"/>
    <w:link w:val="18"/>
    <w:qFormat/>
    <w:uiPriority w:val="0"/>
    <w:rPr>
      <w:rFonts w:ascii="宋体" w:hAnsi="Courier New"/>
      <w:kern w:val="2"/>
      <w:sz w:val="21"/>
      <w:lang w:bidi="ar-SA"/>
    </w:rPr>
  </w:style>
  <w:style w:type="character" w:customStyle="1" w:styleId="45">
    <w:name w:val="正文首行缩进 字符"/>
    <w:link w:val="30"/>
    <w:qFormat/>
    <w:uiPriority w:val="0"/>
    <w:rPr>
      <w:kern w:val="2"/>
      <w:sz w:val="21"/>
      <w:szCs w:val="24"/>
    </w:rPr>
  </w:style>
  <w:style w:type="paragraph" w:customStyle="1" w:styleId="46">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47">
    <w:name w:val="正文缩进1"/>
    <w:basedOn w:val="48"/>
    <w:qFormat/>
    <w:uiPriority w:val="0"/>
    <w:pPr>
      <w:spacing w:line="360" w:lineRule="auto"/>
      <w:ind w:firstLine="200" w:firstLineChars="200"/>
      <w:jc w:val="both"/>
    </w:pPr>
    <w:rPr>
      <w:rFonts w:ascii="Times New Roman" w:hAnsi="Times New Roman"/>
      <w:szCs w:val="22"/>
    </w:rPr>
  </w:style>
  <w:style w:type="paragraph" w:customStyle="1" w:styleId="48">
    <w:name w:val="正文1"/>
    <w:basedOn w:val="1"/>
    <w:qFormat/>
    <w:uiPriority w:val="0"/>
    <w:pPr>
      <w:adjustRightInd w:val="0"/>
      <w:spacing w:line="240" w:lineRule="atLeast"/>
      <w:jc w:val="center"/>
      <w:textAlignment w:val="baseline"/>
    </w:pPr>
    <w:rPr>
      <w:rFonts w:ascii="Tahoma" w:hAnsi="Tahoma"/>
      <w:sz w:val="24"/>
    </w:rPr>
  </w:style>
  <w:style w:type="paragraph" w:customStyle="1" w:styleId="49">
    <w:name w:val="_Style 11"/>
    <w:basedOn w:val="1"/>
    <w:qFormat/>
    <w:uiPriority w:val="0"/>
    <w:rPr>
      <w:sz w:val="30"/>
    </w:rPr>
  </w:style>
  <w:style w:type="paragraph" w:styleId="50">
    <w:name w:val="List Paragraph"/>
    <w:basedOn w:val="1"/>
    <w:qFormat/>
    <w:uiPriority w:val="99"/>
    <w:pPr>
      <w:ind w:firstLine="420" w:firstLineChars="200"/>
    </w:pPr>
  </w:style>
  <w:style w:type="paragraph" w:customStyle="1" w:styleId="51">
    <w:name w:val="_Style 50"/>
    <w:basedOn w:val="1"/>
    <w:qFormat/>
    <w:uiPriority w:val="0"/>
    <w:rPr>
      <w:sz w:val="30"/>
    </w:rPr>
  </w:style>
  <w:style w:type="paragraph" w:customStyle="1" w:styleId="52">
    <w:name w:val="_Style 44"/>
    <w:unhideWhenUsed/>
    <w:qFormat/>
    <w:uiPriority w:val="99"/>
    <w:rPr>
      <w:rFonts w:ascii="Times New Roman" w:hAnsi="Times New Roman" w:eastAsia="宋体" w:cs="Times New Roman"/>
      <w:kern w:val="2"/>
      <w:sz w:val="21"/>
      <w:szCs w:val="24"/>
      <w:lang w:val="en-US" w:eastAsia="zh-CN" w:bidi="ar-SA"/>
    </w:rPr>
  </w:style>
  <w:style w:type="paragraph" w:customStyle="1" w:styleId="53">
    <w:name w:val="正文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4">
    <w:name w:val="样式 宋体 小四 行距: 1.5 倍行距"/>
    <w:basedOn w:val="1"/>
    <w:qFormat/>
    <w:uiPriority w:val="0"/>
    <w:rPr>
      <w:rFonts w:ascii="宋体" w:hAnsi="宋体" w:cs="宋体"/>
      <w:sz w:val="28"/>
    </w:rPr>
  </w:style>
  <w:style w:type="paragraph" w:customStyle="1" w:styleId="55">
    <w:name w:val="_Style 21"/>
    <w:basedOn w:val="1"/>
    <w:next w:val="30"/>
    <w:qFormat/>
    <w:uiPriority w:val="0"/>
    <w:pPr>
      <w:spacing w:line="312" w:lineRule="auto"/>
      <w:ind w:firstLine="420"/>
    </w:pPr>
  </w:style>
  <w:style w:type="character" w:customStyle="1" w:styleId="56">
    <w:name w:val="NormalCharacter"/>
    <w:qFormat/>
    <w:uiPriority w:val="0"/>
    <w:rPr>
      <w:kern w:val="2"/>
      <w:sz w:val="21"/>
      <w:szCs w:val="22"/>
      <w:lang w:val="en-US" w:eastAsia="zh-CN" w:bidi="ar-SA"/>
    </w:rPr>
  </w:style>
  <w:style w:type="paragraph" w:customStyle="1" w:styleId="57">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58">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59">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60">
    <w:name w:val="Revision"/>
    <w:hidden/>
    <w:unhideWhenUsed/>
    <w:qFormat/>
    <w:uiPriority w:val="99"/>
    <w:rPr>
      <w:rFonts w:ascii="Times New Roman" w:hAnsi="Times New Roman" w:eastAsia="宋体" w:cs="Times New Roman"/>
      <w:kern w:val="2"/>
      <w:sz w:val="21"/>
      <w:szCs w:val="24"/>
      <w:lang w:val="en-US" w:eastAsia="zh-CN" w:bidi="ar-SA"/>
    </w:rPr>
  </w:style>
  <w:style w:type="character" w:customStyle="1" w:styleId="61">
    <w:name w:val="UserStyle_12"/>
    <w:qFormat/>
    <w:uiPriority w:val="0"/>
    <w:rPr>
      <w:rFonts w:ascii="Calibri" w:hAnsi="Calibri" w:eastAsia="宋体" w:cs="Times New Roman"/>
      <w:kern w:val="2"/>
      <w:sz w:val="21"/>
      <w:szCs w:val="22"/>
      <w:lang w:val="en-US" w:eastAsia="zh-CN" w:bidi="ar-SA"/>
    </w:rPr>
  </w:style>
  <w:style w:type="paragraph" w:customStyle="1" w:styleId="62">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68</Pages>
  <Words>2079</Words>
  <Characters>2275</Characters>
  <Lines>225</Lines>
  <Paragraphs>63</Paragraphs>
  <TotalTime>12</TotalTime>
  <ScaleCrop>false</ScaleCrop>
  <LinksUpToDate>false</LinksUpToDate>
  <CharactersWithSpaces>2429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2023-09-27T04:31:00Z</dcterms:created>
  <dc:creator>JF</dc:creator>
  <cp:lastModifiedBy>S.</cp:lastModifiedBy>
  <cp:lastPrinted>2025-03-21T09:23:12Z</cp:lastPrinted>
  <dcterms:modified xsi:type="dcterms:W3CDTF">2025-03-21T09:23:16Z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4A3AD2627A2A49658E1599DECD637DBA_13</vt:lpwstr>
  </property>
  <property fmtid="{D5CDD505-2E9C-101B-9397-08002B2CF9AE}" pid="4" name="KSOTemplateDocerSaveRecord">
    <vt:lpwstr>eyJoZGlkIjoiYTliMGUyYzdhZTQ4YTEyZTRkYjBjOTJhZjk0ODA4OGEiLCJ1c2VySWQiOiIxMzEyNDAwMzI1In0=</vt:lpwstr>
  </property>
</Properties>
</file>