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cs="宋体" w:asciiTheme="majorEastAsia" w:hAnsiTheme="majorEastAsia" w:eastAsiaTheme="majorEastAsia"/>
          <w:bCs/>
          <w:snapToGrid w:val="0"/>
          <w:color w:val="auto"/>
          <w:kern w:val="0"/>
          <w:sz w:val="24"/>
          <w:highlight w:val="none"/>
        </w:rPr>
      </w:pPr>
      <w:bookmarkStart w:id="0" w:name="_Toc396662259"/>
      <w:bookmarkStart w:id="1" w:name="_Toc397364808"/>
      <w:r>
        <w:rPr>
          <w:rFonts w:hint="eastAsia" w:cs="宋体" w:asciiTheme="majorEastAsia" w:hAnsiTheme="majorEastAsia" w:eastAsiaTheme="majorEastAsia"/>
          <w:bCs/>
          <w:snapToGrid w:val="0"/>
          <w:color w:val="auto"/>
          <w:kern w:val="0"/>
          <w:sz w:val="30"/>
          <w:szCs w:val="30"/>
          <w:highlight w:val="none"/>
        </w:rPr>
        <w:t>合同编号：</w:t>
      </w:r>
    </w:p>
    <w:p>
      <w:pPr>
        <w:adjustRightInd w:val="0"/>
        <w:snapToGrid w:val="0"/>
        <w:spacing w:line="360" w:lineRule="auto"/>
        <w:rPr>
          <w:rFonts w:cs="宋体" w:asciiTheme="majorEastAsia" w:hAnsiTheme="majorEastAsia" w:eastAsiaTheme="majorEastAsia"/>
          <w:bCs/>
          <w:snapToGrid w:val="0"/>
          <w:color w:val="auto"/>
          <w:kern w:val="0"/>
          <w:sz w:val="24"/>
          <w:highlight w:val="none"/>
        </w:rPr>
      </w:pPr>
    </w:p>
    <w:p>
      <w:pPr>
        <w:adjustRightInd w:val="0"/>
        <w:snapToGrid w:val="0"/>
        <w:spacing w:line="360" w:lineRule="auto"/>
        <w:rPr>
          <w:rFonts w:cs="宋体" w:asciiTheme="majorEastAsia" w:hAnsiTheme="majorEastAsia" w:eastAsiaTheme="majorEastAsia"/>
          <w:bCs/>
          <w:snapToGrid w:val="0"/>
          <w:color w:val="auto"/>
          <w:kern w:val="0"/>
          <w:sz w:val="24"/>
          <w:highlight w:val="none"/>
        </w:rPr>
      </w:pPr>
    </w:p>
    <w:p>
      <w:pPr>
        <w:adjustRightInd w:val="0"/>
        <w:snapToGrid w:val="0"/>
        <w:spacing w:line="360" w:lineRule="auto"/>
        <w:rPr>
          <w:rFonts w:cs="宋体" w:asciiTheme="majorEastAsia" w:hAnsiTheme="majorEastAsia" w:eastAsiaTheme="majorEastAsia"/>
          <w:bCs/>
          <w:snapToGrid w:val="0"/>
          <w:color w:val="auto"/>
          <w:kern w:val="0"/>
          <w:sz w:val="24"/>
          <w:highlight w:val="none"/>
        </w:rPr>
      </w:pPr>
    </w:p>
    <w:p>
      <w:pPr>
        <w:adjustRightInd w:val="0"/>
        <w:snapToGrid w:val="0"/>
        <w:spacing w:line="360" w:lineRule="auto"/>
        <w:rPr>
          <w:rFonts w:cs="宋体" w:asciiTheme="majorEastAsia" w:hAnsiTheme="majorEastAsia" w:eastAsiaTheme="majorEastAsia"/>
          <w:bCs/>
          <w:snapToGrid w:val="0"/>
          <w:color w:val="auto"/>
          <w:kern w:val="0"/>
          <w:sz w:val="24"/>
          <w:highlight w:val="none"/>
        </w:rPr>
      </w:pPr>
    </w:p>
    <w:p>
      <w:pPr>
        <w:adjustRightInd w:val="0"/>
        <w:snapToGrid w:val="0"/>
        <w:spacing w:line="360" w:lineRule="auto"/>
        <w:rPr>
          <w:rFonts w:cs="宋体" w:asciiTheme="majorEastAsia" w:hAnsiTheme="majorEastAsia" w:eastAsiaTheme="majorEastAsia"/>
          <w:bCs/>
          <w:snapToGrid w:val="0"/>
          <w:color w:val="auto"/>
          <w:kern w:val="0"/>
          <w:sz w:val="24"/>
          <w:highlight w:val="none"/>
        </w:rPr>
      </w:pPr>
    </w:p>
    <w:p>
      <w:pPr>
        <w:adjustRightInd w:val="0"/>
        <w:snapToGrid w:val="0"/>
        <w:spacing w:line="360" w:lineRule="auto"/>
        <w:rPr>
          <w:rFonts w:cs="宋体" w:asciiTheme="majorEastAsia" w:hAnsiTheme="majorEastAsia" w:eastAsiaTheme="majorEastAsia"/>
          <w:bCs/>
          <w:snapToGrid w:val="0"/>
          <w:color w:val="auto"/>
          <w:kern w:val="0"/>
          <w:sz w:val="24"/>
          <w:highlight w:val="none"/>
        </w:rPr>
      </w:pPr>
    </w:p>
    <w:bookmarkEnd w:id="0"/>
    <w:bookmarkEnd w:id="1"/>
    <w:p>
      <w:pPr>
        <w:adjustRightInd w:val="0"/>
        <w:snapToGrid w:val="0"/>
        <w:spacing w:line="360" w:lineRule="auto"/>
        <w:rPr>
          <w:rFonts w:cs="宋体" w:asciiTheme="majorEastAsia" w:hAnsiTheme="majorEastAsia" w:eastAsiaTheme="majorEastAsia"/>
          <w:bCs/>
          <w:snapToGrid w:val="0"/>
          <w:color w:val="auto"/>
          <w:kern w:val="0"/>
          <w:sz w:val="24"/>
          <w:highlight w:val="none"/>
        </w:rPr>
      </w:pPr>
    </w:p>
    <w:p>
      <w:pPr>
        <w:adjustRightInd w:val="0"/>
        <w:snapToGrid w:val="0"/>
        <w:spacing w:line="360" w:lineRule="auto"/>
        <w:jc w:val="center"/>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
          <w:snapToGrid w:val="0"/>
          <w:color w:val="auto"/>
          <w:kern w:val="0"/>
          <w:sz w:val="48"/>
          <w:szCs w:val="48"/>
          <w:highlight w:val="none"/>
        </w:rPr>
        <w:t>天河智慧城AT0307028地块永久用电工程施工合同</w:t>
      </w:r>
    </w:p>
    <w:p>
      <w:pPr>
        <w:adjustRightInd w:val="0"/>
        <w:snapToGrid w:val="0"/>
        <w:spacing w:line="360" w:lineRule="auto"/>
        <w:rPr>
          <w:rFonts w:cs="宋体" w:asciiTheme="majorEastAsia" w:hAnsiTheme="majorEastAsia" w:eastAsiaTheme="majorEastAsia"/>
          <w:bCs/>
          <w:snapToGrid w:val="0"/>
          <w:color w:val="auto"/>
          <w:kern w:val="0"/>
          <w:sz w:val="24"/>
          <w:highlight w:val="none"/>
        </w:rPr>
      </w:pPr>
    </w:p>
    <w:p>
      <w:pPr>
        <w:adjustRightInd w:val="0"/>
        <w:snapToGrid w:val="0"/>
        <w:spacing w:line="360" w:lineRule="auto"/>
        <w:rPr>
          <w:rFonts w:cs="宋体" w:asciiTheme="majorEastAsia" w:hAnsiTheme="majorEastAsia" w:eastAsiaTheme="majorEastAsia"/>
          <w:bCs/>
          <w:snapToGrid w:val="0"/>
          <w:color w:val="auto"/>
          <w:kern w:val="0"/>
          <w:sz w:val="24"/>
          <w:highlight w:val="none"/>
        </w:rPr>
      </w:pPr>
    </w:p>
    <w:p>
      <w:pPr>
        <w:adjustRightInd w:val="0"/>
        <w:snapToGrid w:val="0"/>
        <w:spacing w:line="360" w:lineRule="auto"/>
        <w:rPr>
          <w:rFonts w:cs="宋体" w:asciiTheme="majorEastAsia" w:hAnsiTheme="majorEastAsia" w:eastAsiaTheme="majorEastAsia"/>
          <w:bCs/>
          <w:snapToGrid w:val="0"/>
          <w:color w:val="auto"/>
          <w:kern w:val="0"/>
          <w:sz w:val="24"/>
          <w:highlight w:val="none"/>
        </w:rPr>
      </w:pPr>
      <w:bookmarkStart w:id="721" w:name="_GoBack"/>
      <w:bookmarkEnd w:id="721"/>
    </w:p>
    <w:p>
      <w:pPr>
        <w:adjustRightInd w:val="0"/>
        <w:snapToGrid w:val="0"/>
        <w:spacing w:line="360" w:lineRule="auto"/>
        <w:rPr>
          <w:rFonts w:cs="宋体" w:asciiTheme="majorEastAsia" w:hAnsiTheme="majorEastAsia" w:eastAsiaTheme="majorEastAsia"/>
          <w:bCs/>
          <w:snapToGrid w:val="0"/>
          <w:color w:val="auto"/>
          <w:kern w:val="0"/>
          <w:sz w:val="24"/>
          <w:highlight w:val="none"/>
        </w:rPr>
      </w:pPr>
    </w:p>
    <w:p>
      <w:pPr>
        <w:adjustRightInd w:val="0"/>
        <w:snapToGrid w:val="0"/>
        <w:spacing w:line="360" w:lineRule="auto"/>
        <w:rPr>
          <w:rFonts w:cs="宋体" w:asciiTheme="majorEastAsia" w:hAnsiTheme="majorEastAsia" w:eastAsiaTheme="majorEastAsia"/>
          <w:bCs/>
          <w:snapToGrid w:val="0"/>
          <w:color w:val="auto"/>
          <w:kern w:val="0"/>
          <w:sz w:val="24"/>
          <w:highlight w:val="none"/>
        </w:rPr>
      </w:pPr>
    </w:p>
    <w:p>
      <w:pPr>
        <w:adjustRightInd w:val="0"/>
        <w:snapToGrid w:val="0"/>
        <w:spacing w:line="360" w:lineRule="auto"/>
        <w:ind w:firstLine="1267" w:firstLineChars="396"/>
        <w:rPr>
          <w:rFonts w:cs="宋体" w:asciiTheme="majorEastAsia" w:hAnsiTheme="majorEastAsia" w:eastAsiaTheme="majorEastAsia"/>
          <w:bCs/>
          <w:snapToGrid w:val="0"/>
          <w:color w:val="auto"/>
          <w:kern w:val="0"/>
          <w:sz w:val="32"/>
          <w:szCs w:val="32"/>
          <w:highlight w:val="none"/>
        </w:rPr>
      </w:pPr>
      <w:r>
        <w:rPr>
          <w:rFonts w:hint="eastAsia" w:cs="宋体" w:asciiTheme="majorEastAsia" w:hAnsiTheme="majorEastAsia" w:eastAsiaTheme="majorEastAsia"/>
          <w:bCs/>
          <w:snapToGrid w:val="0"/>
          <w:color w:val="auto"/>
          <w:kern w:val="0"/>
          <w:sz w:val="32"/>
          <w:szCs w:val="32"/>
          <w:highlight w:val="none"/>
        </w:rPr>
        <w:t>发包人（甲方）：广州城慧投资发展有限公司</w:t>
      </w:r>
    </w:p>
    <w:p>
      <w:pPr>
        <w:adjustRightInd w:val="0"/>
        <w:snapToGrid w:val="0"/>
        <w:spacing w:line="360" w:lineRule="auto"/>
        <w:ind w:firstLine="1267" w:firstLineChars="396"/>
        <w:rPr>
          <w:rFonts w:cs="宋体" w:asciiTheme="majorEastAsia" w:hAnsiTheme="majorEastAsia" w:eastAsiaTheme="majorEastAsia"/>
          <w:bCs/>
          <w:snapToGrid w:val="0"/>
          <w:color w:val="auto"/>
          <w:kern w:val="0"/>
          <w:sz w:val="32"/>
          <w:szCs w:val="32"/>
          <w:highlight w:val="none"/>
        </w:rPr>
      </w:pPr>
      <w:r>
        <w:rPr>
          <w:rFonts w:hint="eastAsia" w:cs="宋体" w:asciiTheme="majorEastAsia" w:hAnsiTheme="majorEastAsia" w:eastAsiaTheme="majorEastAsia"/>
          <w:bCs/>
          <w:snapToGrid w:val="0"/>
          <w:color w:val="auto"/>
          <w:kern w:val="0"/>
          <w:sz w:val="32"/>
          <w:szCs w:val="32"/>
          <w:highlight w:val="none"/>
        </w:rPr>
        <w:t>承包人（乙方）：【乙方单位名称】</w:t>
      </w:r>
    </w:p>
    <w:p>
      <w:pPr>
        <w:adjustRightInd w:val="0"/>
        <w:snapToGrid w:val="0"/>
        <w:spacing w:line="360" w:lineRule="auto"/>
        <w:ind w:firstLine="1267" w:firstLineChars="396"/>
        <w:rPr>
          <w:rFonts w:cs="宋体" w:asciiTheme="majorEastAsia" w:hAnsiTheme="majorEastAsia" w:eastAsiaTheme="majorEastAsia"/>
          <w:bCs/>
          <w:snapToGrid w:val="0"/>
          <w:color w:val="auto"/>
          <w:kern w:val="0"/>
          <w:sz w:val="32"/>
          <w:szCs w:val="32"/>
          <w:highlight w:val="none"/>
        </w:rPr>
      </w:pPr>
      <w:r>
        <w:rPr>
          <w:rFonts w:hint="eastAsia" w:cs="宋体" w:asciiTheme="majorEastAsia" w:hAnsiTheme="majorEastAsia" w:eastAsiaTheme="majorEastAsia"/>
          <w:bCs/>
          <w:snapToGrid w:val="0"/>
          <w:color w:val="auto"/>
          <w:kern w:val="0"/>
          <w:sz w:val="32"/>
          <w:szCs w:val="32"/>
          <w:highlight w:val="none"/>
        </w:rPr>
        <w:t xml:space="preserve">签 </w:t>
      </w:r>
      <w:r>
        <w:rPr>
          <w:rFonts w:cs="宋体" w:asciiTheme="majorEastAsia" w:hAnsiTheme="majorEastAsia" w:eastAsiaTheme="majorEastAsia"/>
          <w:bCs/>
          <w:snapToGrid w:val="0"/>
          <w:color w:val="auto"/>
          <w:kern w:val="0"/>
          <w:sz w:val="32"/>
          <w:szCs w:val="32"/>
          <w:highlight w:val="none"/>
        </w:rPr>
        <w:t xml:space="preserve"> </w:t>
      </w:r>
      <w:r>
        <w:rPr>
          <w:rFonts w:hint="eastAsia" w:cs="宋体" w:asciiTheme="majorEastAsia" w:hAnsiTheme="majorEastAsia" w:eastAsiaTheme="majorEastAsia"/>
          <w:bCs/>
          <w:snapToGrid w:val="0"/>
          <w:color w:val="auto"/>
          <w:kern w:val="0"/>
          <w:sz w:val="32"/>
          <w:szCs w:val="32"/>
          <w:highlight w:val="none"/>
        </w:rPr>
        <w:t>订  日  期：</w:t>
      </w:r>
      <w:r>
        <w:rPr>
          <w:rFonts w:cs="宋体" w:asciiTheme="majorEastAsia" w:hAnsiTheme="majorEastAsia" w:eastAsiaTheme="majorEastAsia"/>
          <w:bCs/>
          <w:snapToGrid w:val="0"/>
          <w:color w:val="auto"/>
          <w:kern w:val="0"/>
          <w:sz w:val="32"/>
          <w:szCs w:val="32"/>
          <w:highlight w:val="none"/>
        </w:rPr>
        <w:t xml:space="preserve">     </w:t>
      </w:r>
      <w:r>
        <w:rPr>
          <w:rFonts w:hint="eastAsia" w:cs="宋体" w:asciiTheme="majorEastAsia" w:hAnsiTheme="majorEastAsia" w:eastAsiaTheme="majorEastAsia"/>
          <w:bCs/>
          <w:snapToGrid w:val="0"/>
          <w:color w:val="auto"/>
          <w:kern w:val="0"/>
          <w:sz w:val="32"/>
          <w:szCs w:val="32"/>
          <w:highlight w:val="none"/>
        </w:rPr>
        <w:t>年   月   日</w:t>
      </w:r>
    </w:p>
    <w:p>
      <w:pPr>
        <w:adjustRightInd w:val="0"/>
        <w:snapToGrid w:val="0"/>
        <w:spacing w:line="360" w:lineRule="auto"/>
        <w:ind w:firstLine="630" w:firstLineChars="196"/>
        <w:rPr>
          <w:rFonts w:cs="宋体" w:asciiTheme="majorEastAsia" w:hAnsiTheme="majorEastAsia" w:eastAsiaTheme="majorEastAsia"/>
          <w:b/>
          <w:bCs/>
          <w:snapToGrid w:val="0"/>
          <w:color w:val="auto"/>
          <w:kern w:val="0"/>
          <w:sz w:val="32"/>
          <w:szCs w:val="32"/>
          <w:highlight w:val="none"/>
        </w:rPr>
      </w:pPr>
    </w:p>
    <w:p>
      <w:pPr>
        <w:adjustRightInd w:val="0"/>
        <w:snapToGrid w:val="0"/>
        <w:spacing w:line="360" w:lineRule="auto"/>
        <w:jc w:val="center"/>
        <w:outlineLvl w:val="0"/>
        <w:rPr>
          <w:rFonts w:cs="宋体" w:asciiTheme="majorEastAsia" w:hAnsiTheme="majorEastAsia" w:eastAsiaTheme="majorEastAsia"/>
          <w:b/>
          <w:bCs/>
          <w:snapToGrid w:val="0"/>
          <w:color w:val="auto"/>
          <w:kern w:val="0"/>
          <w:sz w:val="44"/>
          <w:szCs w:val="44"/>
          <w:highlight w:val="none"/>
        </w:rPr>
        <w:sectPr>
          <w:footerReference r:id="rId3" w:type="even"/>
          <w:pgSz w:w="11907" w:h="16840"/>
          <w:pgMar w:top="1440" w:right="1797" w:bottom="1440" w:left="1797" w:header="851" w:footer="992" w:gutter="0"/>
          <w:cols w:space="720" w:num="1"/>
          <w:titlePg/>
          <w:docGrid w:type="lines" w:linePitch="312" w:charSpace="0"/>
        </w:sectPr>
      </w:pPr>
      <w:bookmarkStart w:id="2" w:name="_Toc8653"/>
      <w:bookmarkStart w:id="3" w:name="_Toc396662260"/>
      <w:bookmarkStart w:id="4" w:name="_Toc397364809"/>
    </w:p>
    <w:p>
      <w:pPr>
        <w:adjustRightInd w:val="0"/>
        <w:snapToGrid w:val="0"/>
        <w:spacing w:line="360" w:lineRule="auto"/>
        <w:jc w:val="center"/>
        <w:outlineLvl w:val="0"/>
        <w:rPr>
          <w:rFonts w:cs="宋体" w:asciiTheme="majorEastAsia" w:hAnsiTheme="majorEastAsia" w:eastAsiaTheme="majorEastAsia"/>
          <w:b/>
          <w:bCs/>
          <w:snapToGrid w:val="0"/>
          <w:color w:val="auto"/>
          <w:kern w:val="0"/>
          <w:sz w:val="44"/>
          <w:szCs w:val="44"/>
          <w:highlight w:val="none"/>
        </w:rPr>
      </w:pPr>
      <w:bookmarkStart w:id="5" w:name="_Toc140476827"/>
      <w:bookmarkStart w:id="6" w:name="_Toc8491"/>
      <w:bookmarkStart w:id="7" w:name="_Toc27895"/>
      <w:bookmarkStart w:id="8" w:name="_Toc63329362"/>
      <w:r>
        <w:rPr>
          <w:rFonts w:hint="eastAsia" w:cs="宋体" w:asciiTheme="majorEastAsia" w:hAnsiTheme="majorEastAsia" w:eastAsiaTheme="majorEastAsia"/>
          <w:b/>
          <w:bCs/>
          <w:snapToGrid w:val="0"/>
          <w:color w:val="auto"/>
          <w:kern w:val="0"/>
          <w:sz w:val="44"/>
          <w:szCs w:val="44"/>
          <w:highlight w:val="none"/>
        </w:rPr>
        <w:t>目  录</w:t>
      </w:r>
      <w:bookmarkEnd w:id="5"/>
      <w:bookmarkEnd w:id="6"/>
      <w:bookmarkEnd w:id="7"/>
      <w:bookmarkEnd w:id="8"/>
    </w:p>
    <w:p>
      <w:pPr>
        <w:pStyle w:val="28"/>
        <w:tabs>
          <w:tab w:val="right" w:leader="dot" w:pos="8303"/>
        </w:tabs>
        <w:spacing w:line="360" w:lineRule="auto"/>
        <w:rPr>
          <w:rFonts w:asciiTheme="majorEastAsia" w:hAnsiTheme="majorEastAsia" w:eastAsiaTheme="majorEastAsia"/>
          <w:color w:val="auto"/>
          <w:szCs w:val="22"/>
          <w:highlight w:val="none"/>
        </w:rPr>
      </w:pPr>
      <w:r>
        <w:rPr>
          <w:rFonts w:hint="eastAsia" w:cs="宋体" w:asciiTheme="majorEastAsia" w:hAnsiTheme="majorEastAsia" w:eastAsiaTheme="majorEastAsia"/>
          <w:bCs/>
          <w:snapToGrid w:val="0"/>
          <w:color w:val="auto"/>
          <w:kern w:val="0"/>
          <w:sz w:val="24"/>
          <w:highlight w:val="none"/>
        </w:rPr>
        <w:fldChar w:fldCharType="begin"/>
      </w:r>
      <w:r>
        <w:rPr>
          <w:rFonts w:hint="eastAsia" w:cs="宋体" w:asciiTheme="majorEastAsia" w:hAnsiTheme="majorEastAsia" w:eastAsiaTheme="majorEastAsia"/>
          <w:bCs/>
          <w:snapToGrid w:val="0"/>
          <w:color w:val="auto"/>
          <w:kern w:val="0"/>
          <w:sz w:val="24"/>
          <w:highlight w:val="none"/>
        </w:rPr>
        <w:instrText xml:space="preserve">TOC \o "1-3" \h \u </w:instrText>
      </w:r>
      <w:r>
        <w:rPr>
          <w:rFonts w:hint="eastAsia" w:cs="宋体" w:asciiTheme="majorEastAsia" w:hAnsiTheme="majorEastAsia" w:eastAsiaTheme="majorEastAsia"/>
          <w:bCs/>
          <w:snapToGrid w:val="0"/>
          <w:color w:val="auto"/>
          <w:kern w:val="0"/>
          <w:sz w:val="24"/>
          <w:highlight w:val="none"/>
        </w:rPr>
        <w:fldChar w:fldCharType="separate"/>
      </w:r>
      <w:r>
        <w:rPr>
          <w:color w:val="auto"/>
          <w:highlight w:val="none"/>
        </w:rPr>
        <w:fldChar w:fldCharType="begin"/>
      </w:r>
      <w:r>
        <w:rPr>
          <w:color w:val="auto"/>
          <w:highlight w:val="none"/>
        </w:rPr>
        <w:instrText xml:space="preserve"> HYPERLINK \l "_Toc140476827"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目  录</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_Toc140476827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2</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28"/>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"_Toc140476828"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第一部分  合同协议书</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_Toc140476828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6</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"_Toc140476829"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1、项目概况</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_Toc140476829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6</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"_Toc140476830"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2、承包范围、方式</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_Toc140476830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6</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"_Toc140476831"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3、合同工期</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_Toc140476831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9</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"_Toc140476832"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4、质量标准、目标、技术条件要求</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_Toc140476832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10</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"_Toc140476833"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5、职业健康安全管理目标和环境管理目标</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_Toc140476833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10</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"_Toc140476834"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6、合同价款</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_Toc140476834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11</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"_Toc140476835"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7、组成合同的文件</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_Toc140476835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11</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"_Toc140476836"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8、词语含义</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_Toc140476836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12</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"_Toc140476837"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9、承诺</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_Toc140476837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12</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"_Toc140476838"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10、争议解决</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_Toc140476838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12</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"_Toc140476839"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11、合同生效</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_Toc140476839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12</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"_Toc140476840"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12、合同份数</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_Toc140476840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12</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28"/>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"_Toc140476841"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第二部分  通用条款</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_Toc140476841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14</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"_Toc140476842"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一、词语定义及合同文件</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_Toc140476842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14</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"_Toc140476843"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1、词语定义</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_Toc140476843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14</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"_Toc140476844"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2、合同文件及解释顺序</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_Toc140476844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15</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"_Toc140476845"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3、语言文字和适用法律、标准及规范</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_Toc140476845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16</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"_Toc140476846"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4、图纸</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_Toc140476846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16</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"_Toc140476847"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二、双方一般权利和义务</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_Toc140476847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17</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"_Toc140476848"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5、工程师</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_Toc140476848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17</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"_Toc140476849"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6、工程师的委派和指令</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_Toc140476849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17</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"_Toc140476850"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7、项目经理</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_Toc140476850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18</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"_Toc140476851"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8、发包人工作</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_Toc140476851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18</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"_Toc140476852"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9、承包人工作</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_Toc140476852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19</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"_Toc140476853"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三、施工组织设计和工期</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_Toc140476853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20</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"_Toc140476854"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10、进度计划</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_Toc140476854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20</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"_Toc140476855"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11、开工及延期开工</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_Toc140476855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20</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"_Toc140476856"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12、暂停施工</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_Toc140476856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21</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"_Toc140476857"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13、工期延误</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_Toc140476857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21</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"_Toc140476858"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14、工程竣工</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_Toc140476858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21</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"_Toc140476859"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四、质量与检验</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_Toc140476859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22</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"_Toc140476860"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15、工程质量</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_Toc140476860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22</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"_Toc140476861"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16、检查和返工</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_Toc140476861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22</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"_Toc140476862"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17、隐蔽工程和中间验收</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_Toc140476862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22</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"_Toc140476863"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18、重新检验</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_Toc140476863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23</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"_Toc140476864"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19、工程试车</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_Toc140476864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23</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"_Toc140476865"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五、安全文明施工</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_Toc140476865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24</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"_Toc140476866"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20、施工场地的占用和管理</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_Toc140476866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24</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"_Toc140476867"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21、安全施工与检查</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_Toc140476867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24</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"_Toc140476868"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22、安全防护</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_Toc140476868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24</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"_Toc140476869"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23、事故处理</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_Toc140476869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25</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"_Toc140476870"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24、文明施工与环境保护</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_Toc140476870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25</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"_Toc140476871"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六、合同价款与支付</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_Toc140476871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25</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"_Toc140476872"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25、合同价款及调整</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_Toc140476872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25</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"_Toc140476873"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26、工程预付款</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_Toc140476873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26</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"_Toc140476874"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27、工程量的确认</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_Toc140476874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26</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"_Toc140476875"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28、工程款（进度款）支付</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_Toc140476875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26</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"_Toc140476876"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七、材料设备供应</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_Toc140476876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27</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"_Toc140476877"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29、发包人供应材料设备</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_Toc140476877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27</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"_Toc140476878"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30、承包人采购材料设备</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_Toc140476878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28</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"_Toc140476879"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八、工程变更</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_Toc140476879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28</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"_Toc140476880"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31、工程设计变更</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_Toc140476880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28</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"_Toc140476881"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32、其他变更</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_Toc140476881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29</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"_Toc140476882"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33、确定变更价款</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_Toc140476882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29</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"_Toc140476883"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九、竣工验收与结算</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_Toc140476883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30</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"_Toc140476884"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34、竣工验收</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_Toc140476884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30</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"_Toc140476885"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35、工程移交</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_Toc140476885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30</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"_Toc140476886"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36、竣工结算</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_Toc140476886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30</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"_Toc140476887"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37、质量保修</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_Toc140476887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31</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"_Toc140476888"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十、违约、索赔和争议</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_Toc140476888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31</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"_Toc140476889"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38、违约</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_Toc140476889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31</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"_Toc140476890"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39、索赔</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_Toc140476890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32</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"_Toc140476891"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40、争议</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_Toc140476891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33</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"_Toc140476892"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十一、其他</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_Toc140476892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33</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"_Toc140476893"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41、工程分包</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_Toc140476893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33</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"_Toc140476894"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42、不可抗力</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_Toc140476894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33</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"_Toc140476895"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43、保险</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_Toc140476895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34</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"_Toc140476896"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44、担保</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_Toc140476896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34</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"_Toc140476897"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45、专利技术及特殊工艺</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_Toc140476897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35</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"_Toc140476898"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46、文物和地下障碍物</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_Toc140476898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35</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"_Toc140476899"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47、合同解除</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_Toc140476899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35</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"_Toc140476900"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48、合同生效与终止</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_Toc140476900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36</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"_Toc140476901"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49、合同份数</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_Toc140476901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36</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"_Toc140476902"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50、补充条款</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_Toc140476902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36</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28"/>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"_Toc140476903"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 xml:space="preserve">第三部分 </w:t>
      </w:r>
      <w:r>
        <w:rPr>
          <w:rStyle w:val="46"/>
          <w:rFonts w:cs="宋体" w:asciiTheme="majorEastAsia" w:hAnsiTheme="majorEastAsia" w:eastAsiaTheme="majorEastAsia"/>
          <w:snapToGrid w:val="0"/>
          <w:color w:val="auto"/>
          <w:kern w:val="0"/>
          <w:highlight w:val="none"/>
        </w:rPr>
        <w:t xml:space="preserve"> </w:t>
      </w:r>
      <w:r>
        <w:rPr>
          <w:rStyle w:val="46"/>
          <w:rFonts w:cs="宋体" w:asciiTheme="majorEastAsia" w:hAnsiTheme="majorEastAsia" w:eastAsiaTheme="majorEastAsia"/>
          <w:b/>
          <w:bCs/>
          <w:snapToGrid w:val="0"/>
          <w:color w:val="auto"/>
          <w:kern w:val="0"/>
          <w:highlight w:val="none"/>
        </w:rPr>
        <w:t>专用条款</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_Toc140476903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37</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"_Toc140476904"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总  则</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_Toc140476904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37</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"_Toc140476905" </w:instrText>
      </w:r>
      <w:r>
        <w:rPr>
          <w:color w:val="auto"/>
          <w:highlight w:val="none"/>
        </w:rPr>
        <w:fldChar w:fldCharType="separate"/>
      </w:r>
      <w:r>
        <w:rPr>
          <w:rStyle w:val="46"/>
          <w:rFonts w:cs="宋体" w:asciiTheme="majorEastAsia" w:hAnsiTheme="majorEastAsia" w:eastAsiaTheme="majorEastAsia"/>
          <w:b/>
          <w:color w:val="auto"/>
          <w:highlight w:val="none"/>
        </w:rPr>
        <w:t>一、词语定义及合同文件</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_Toc140476905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37</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"_Toc140476906"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1、词语定义</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_Toc140476906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37</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"_Toc140476907"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2、合同文件及解释顺序</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_Toc140476907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40</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"_Toc140476908"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3、语言文字和适用法律、标准及规范</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_Toc140476908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40</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"_Toc140476909"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4、图纸</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_Toc140476909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40</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"_Toc140476910"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二、双方一般权利和义务</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_Toc140476910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40</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"_Toc140476911"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5、工程师</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_Toc140476911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41</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"_Toc140476912"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6、工程师的委派和指令</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_Toc140476912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41</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"_Toc140476913"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7、项目经理</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_Toc140476913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41</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"_Toc140476914"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8、发包人工作</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_Toc140476914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43</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"_Toc140476915"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9、承包人工作</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_Toc140476915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44</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"_Toc140476916"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三、施工组织设计和工期</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_Toc140476916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49</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"_Toc140476917"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10、进度计划</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_Toc140476917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49</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"_Toc140476918"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11、开工及延期开工</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_Toc140476918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50</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"_Toc140476919"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12、暂停施工</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_Toc140476919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51</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"_Toc140476920"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13、工期延误</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_Toc140476920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51</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"_Toc140476921"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14、工程竣工</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_Toc140476921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53</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"_Toc140476922"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四、质量与检验</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_Toc140476922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53</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"_Toc140476923"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15、工程质量</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_Toc140476923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53</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"_Toc140476924"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16、检查和返工</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_Toc140476924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54</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"_Toc140476925"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17、隐蔽工程和中间验收</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_Toc140476925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57</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"_Toc140476926"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19、工程试车</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_Toc140476926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57</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"_Toc140476927"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五、安全文明施工</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_Toc140476927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57</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"_Toc140476928"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20、施工场地的占用与管理</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_Toc140476928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57</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"_Toc140476929"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21、安全施工与检查</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_Toc140476929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58</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"_Toc140476930"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22、安全防护</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_Toc140476930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58</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"_Toc140476931"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23、事故处理</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_Toc140476931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59</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"_Toc140476932"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24、文明施工与环境保护</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_Toc140476932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59</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"_Toc140476933"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六、合同价款与支付</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_Toc140476933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60</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"_Toc140476934"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25、合同价款及调整</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_Toc140476934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60</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"_Toc140476935"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26、工程预付款</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_Toc140476935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62</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"_Toc140476936"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27、工程量的确认</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_Toc140476936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63</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"_Toc140476937"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28、工程款（进度款）支付</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_Toc140476937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64</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"_Toc140476938"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七、材料设备供应</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_Toc140476938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66</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"_Toc140476939"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29、发包人供应材料设备</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_Toc140476939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66</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"_Toc140476940"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30、承包人采购材料设备</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_Toc140476940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66</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"_Toc140476941"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八、工程变更</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_Toc140476941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68</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"_Toc140476942"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31、工程设计变更</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_Toc140476942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68</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"_Toc140476943"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32、其他变更</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_Toc140476943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69</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"_Toc140476944"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33、确定变更价款</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_Toc140476944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69</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"_Toc140476945"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九、竣工验收与结算</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_Toc140476945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71</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"_Toc140476946"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34、竣工验收</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_Toc140476946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71</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"_Toc140476947"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35、工程移交</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_Toc140476947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72</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"_Toc140476948"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36、竣工结算</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_Toc140476948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74</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"_Toc140476949"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十、违约、索赔和争议</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_Toc140476949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77</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"_Toc140476950"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38、违约</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_Toc140476950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77</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"_Toc140476951"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39、索赔</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_Toc140476951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85</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"_Toc140476952"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40、争议</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_Toc140476952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86</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"_Toc140476953" </w:instrText>
      </w:r>
      <w:r>
        <w:rPr>
          <w:color w:val="auto"/>
          <w:highlight w:val="none"/>
        </w:rPr>
        <w:fldChar w:fldCharType="separate"/>
      </w:r>
      <w:r>
        <w:rPr>
          <w:rStyle w:val="46"/>
          <w:rFonts w:cs="宋体" w:asciiTheme="majorEastAsia" w:hAnsiTheme="majorEastAsia" w:eastAsiaTheme="majorEastAsia"/>
          <w:b/>
          <w:snapToGrid w:val="0"/>
          <w:color w:val="auto"/>
          <w:kern w:val="0"/>
          <w:highlight w:val="none"/>
        </w:rPr>
        <w:t>十一、其他</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_Toc140476953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86</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"_Toc140476954"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41、工程分包</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_Toc140476954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86</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"_Toc140476955"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42、不可抗力</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_Toc140476955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87</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"_Toc140476956"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43、保险</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_Toc140476956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88</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"_Toc140476957"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44、担保</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_Toc140476957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89</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"_Toc140476958"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47、合同解除</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_Toc140476958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90</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19"/>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"_Toc140476959"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50、补充条款</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_Toc140476959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91</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28"/>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"_Toc140476960"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第四部分  合同附件</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_Toc140476960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94</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"_Toc140476961"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1、中标通知书</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_Toc140476961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94</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"_Toc140476962"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2、施工组织架构图及投入主要人员汇总表</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_Toc140476962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95</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"_Toc140476963"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3、投入主要施工机械设备表</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_Toc140476963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96</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"_Toc140476964"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4、</w:t>
      </w:r>
      <w:r>
        <w:rPr>
          <w:rStyle w:val="46"/>
          <w:rFonts w:hint="eastAsia" w:cs="宋体" w:asciiTheme="majorEastAsia" w:hAnsiTheme="majorEastAsia" w:eastAsiaTheme="majorEastAsia"/>
          <w:b/>
          <w:bCs/>
          <w:snapToGrid w:val="0"/>
          <w:color w:val="auto"/>
          <w:kern w:val="0"/>
          <w:highlight w:val="none"/>
        </w:rPr>
        <w:t>工程建设项目廉政责任书</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_Toc140476964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97</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"_Toc140476965"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5、保密协议</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_Toc140476965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99</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"_Toc140476966"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6、安全生产协议书</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_Toc140476966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100</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"_Toc140476967"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7、工程质量保修书</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_Toc140476967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102</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"_Toc140476968"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8、招标文件的修改、答疑或澄清（如有）</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_Toc140476968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104</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"_Toc140476969"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9、营业执照及资质证书</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_Toc140476969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105</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"_Toc140476970"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10、承包人项目经理联系方式</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_Toc140476970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106</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"_Toc140476971"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11、投标报价清单</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_Toc140476971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107</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 w:val="19"/>
          <w:szCs w:val="19"/>
          <w:highlight w:val="none"/>
        </w:rPr>
      </w:pPr>
      <w:r>
        <w:rPr>
          <w:color w:val="auto"/>
          <w:highlight w:val="none"/>
        </w:rPr>
        <w:fldChar w:fldCharType="begin"/>
      </w:r>
      <w:r>
        <w:rPr>
          <w:color w:val="auto"/>
          <w:highlight w:val="none"/>
        </w:rPr>
        <w:instrText xml:space="preserve"> HYPERLINK \l "_Toc140476972" </w:instrText>
      </w:r>
      <w:r>
        <w:rPr>
          <w:color w:val="auto"/>
          <w:highlight w:val="none"/>
        </w:rPr>
        <w:fldChar w:fldCharType="separate"/>
      </w:r>
      <w:r>
        <w:rPr>
          <w:rStyle w:val="46"/>
          <w:rFonts w:cs="宋体" w:asciiTheme="majorEastAsia" w:hAnsiTheme="majorEastAsia" w:eastAsiaTheme="majorEastAsia"/>
          <w:b/>
          <w:bCs/>
          <w:snapToGrid w:val="0"/>
          <w:color w:val="auto"/>
          <w:kern w:val="0"/>
          <w:sz w:val="19"/>
          <w:szCs w:val="19"/>
          <w:highlight w:val="none"/>
        </w:rPr>
        <w:t>12、危险性较大的分部分项工程清单及超过一定规模的危险性较大的分部分项工程清单</w:t>
      </w:r>
      <w:r>
        <w:rPr>
          <w:rFonts w:asciiTheme="majorEastAsia" w:hAnsiTheme="majorEastAsia" w:eastAsiaTheme="majorEastAsia"/>
          <w:color w:val="auto"/>
          <w:sz w:val="19"/>
          <w:szCs w:val="19"/>
          <w:highlight w:val="none"/>
        </w:rPr>
        <w:tab/>
      </w:r>
      <w:r>
        <w:rPr>
          <w:rFonts w:asciiTheme="majorEastAsia" w:hAnsiTheme="majorEastAsia" w:eastAsiaTheme="majorEastAsia"/>
          <w:color w:val="auto"/>
          <w:sz w:val="19"/>
          <w:szCs w:val="19"/>
          <w:highlight w:val="none"/>
        </w:rPr>
        <w:fldChar w:fldCharType="begin"/>
      </w:r>
      <w:r>
        <w:rPr>
          <w:rFonts w:asciiTheme="majorEastAsia" w:hAnsiTheme="majorEastAsia" w:eastAsiaTheme="majorEastAsia"/>
          <w:color w:val="auto"/>
          <w:sz w:val="19"/>
          <w:szCs w:val="19"/>
          <w:highlight w:val="none"/>
        </w:rPr>
        <w:instrText xml:space="preserve"> PAGEREF _Toc140476972 \h </w:instrText>
      </w:r>
      <w:r>
        <w:rPr>
          <w:rFonts w:asciiTheme="majorEastAsia" w:hAnsiTheme="majorEastAsia" w:eastAsiaTheme="majorEastAsia"/>
          <w:color w:val="auto"/>
          <w:sz w:val="19"/>
          <w:szCs w:val="19"/>
          <w:highlight w:val="none"/>
        </w:rPr>
        <w:fldChar w:fldCharType="separate"/>
      </w:r>
      <w:r>
        <w:rPr>
          <w:rFonts w:asciiTheme="majorEastAsia" w:hAnsiTheme="majorEastAsia" w:eastAsiaTheme="majorEastAsia"/>
          <w:color w:val="auto"/>
          <w:sz w:val="19"/>
          <w:szCs w:val="19"/>
          <w:highlight w:val="none"/>
        </w:rPr>
        <w:t>108</w:t>
      </w:r>
      <w:r>
        <w:rPr>
          <w:rFonts w:asciiTheme="majorEastAsia" w:hAnsiTheme="majorEastAsia" w:eastAsiaTheme="majorEastAsia"/>
          <w:color w:val="auto"/>
          <w:sz w:val="19"/>
          <w:szCs w:val="19"/>
          <w:highlight w:val="none"/>
        </w:rPr>
        <w:fldChar w:fldCharType="end"/>
      </w:r>
      <w:r>
        <w:rPr>
          <w:rFonts w:asciiTheme="majorEastAsia" w:hAnsiTheme="majorEastAsia" w:eastAsiaTheme="majorEastAsia"/>
          <w:color w:val="auto"/>
          <w:sz w:val="19"/>
          <w:szCs w:val="19"/>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"_Toc140476973"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13、技术条件（工程建设标准）</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_Toc140476973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109</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"_Toc140476974"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14、品牌清单</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_Toc140476974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110</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03"/>
        </w:tabs>
        <w:spacing w:line="360" w:lineRule="auto"/>
        <w:rPr>
          <w:rFonts w:asciiTheme="majorEastAsia" w:hAnsiTheme="majorEastAsia" w:eastAsiaTheme="majorEastAsia"/>
          <w:color w:val="auto"/>
          <w:szCs w:val="22"/>
          <w:highlight w:val="none"/>
        </w:rPr>
      </w:pPr>
      <w:r>
        <w:rPr>
          <w:color w:val="auto"/>
          <w:highlight w:val="none"/>
        </w:rPr>
        <w:fldChar w:fldCharType="begin"/>
      </w:r>
      <w:r>
        <w:rPr>
          <w:color w:val="auto"/>
          <w:highlight w:val="none"/>
        </w:rPr>
        <w:instrText xml:space="preserve"> HYPERLINK \l "_Toc140476975" </w:instrText>
      </w:r>
      <w:r>
        <w:rPr>
          <w:color w:val="auto"/>
          <w:highlight w:val="none"/>
        </w:rPr>
        <w:fldChar w:fldCharType="separate"/>
      </w:r>
      <w:r>
        <w:rPr>
          <w:rStyle w:val="46"/>
          <w:rFonts w:cs="宋体" w:asciiTheme="majorEastAsia" w:hAnsiTheme="majorEastAsia" w:eastAsiaTheme="majorEastAsia"/>
          <w:b/>
          <w:bCs/>
          <w:snapToGrid w:val="0"/>
          <w:color w:val="auto"/>
          <w:kern w:val="0"/>
          <w:highlight w:val="none"/>
        </w:rPr>
        <w:t>15、</w:t>
      </w:r>
      <w:r>
        <w:rPr>
          <w:rStyle w:val="46"/>
          <w:rFonts w:hint="eastAsia" w:cs="宋体" w:asciiTheme="majorEastAsia" w:hAnsiTheme="majorEastAsia" w:eastAsiaTheme="majorEastAsia"/>
          <w:b/>
          <w:bCs/>
          <w:snapToGrid w:val="0"/>
          <w:color w:val="auto"/>
          <w:kern w:val="0"/>
          <w:highlight w:val="none"/>
        </w:rPr>
        <w:t>履约保函（格式）</w:t>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PAGEREF _Toc140476975 \h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t>111</w:t>
      </w:r>
      <w:r>
        <w:rPr>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fldChar w:fldCharType="end"/>
      </w:r>
    </w:p>
    <w:p>
      <w:pPr>
        <w:pStyle w:val="31"/>
        <w:tabs>
          <w:tab w:val="right" w:leader="dot" w:pos="8313"/>
        </w:tabs>
        <w:spacing w:line="360" w:lineRule="auto"/>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highlight w:val="none"/>
        </w:rPr>
        <w:fldChar w:fldCharType="end"/>
      </w:r>
    </w:p>
    <w:p>
      <w:pPr>
        <w:adjustRightInd w:val="0"/>
        <w:snapToGrid w:val="0"/>
        <w:spacing w:after="156" w:afterLines="50" w:line="360" w:lineRule="auto"/>
        <w:jc w:val="center"/>
        <w:outlineLvl w:val="0"/>
        <w:rPr>
          <w:rFonts w:cs="宋体" w:asciiTheme="majorEastAsia" w:hAnsiTheme="majorEastAsia" w:eastAsiaTheme="majorEastAsia"/>
          <w:b/>
          <w:bCs/>
          <w:snapToGrid w:val="0"/>
          <w:color w:val="auto"/>
          <w:kern w:val="0"/>
          <w:sz w:val="44"/>
          <w:szCs w:val="44"/>
          <w:highlight w:val="none"/>
        </w:rPr>
      </w:pPr>
      <w:r>
        <w:rPr>
          <w:rFonts w:hint="eastAsia" w:cs="宋体" w:asciiTheme="majorEastAsia" w:hAnsiTheme="majorEastAsia" w:eastAsiaTheme="majorEastAsia"/>
          <w:b/>
          <w:bCs/>
          <w:snapToGrid w:val="0"/>
          <w:color w:val="auto"/>
          <w:kern w:val="0"/>
          <w:sz w:val="30"/>
          <w:szCs w:val="30"/>
          <w:highlight w:val="none"/>
        </w:rPr>
        <w:br w:type="page"/>
      </w:r>
      <w:bookmarkEnd w:id="2"/>
      <w:bookmarkEnd w:id="3"/>
      <w:bookmarkEnd w:id="4"/>
      <w:bookmarkStart w:id="9" w:name="_Toc140476828"/>
      <w:bookmarkStart w:id="10" w:name="_Toc396662261"/>
      <w:bookmarkStart w:id="11" w:name="_Toc397364810"/>
      <w:bookmarkStart w:id="12" w:name="_Toc27875"/>
      <w:bookmarkStart w:id="13" w:name="_Toc26004"/>
      <w:bookmarkStart w:id="14" w:name="_Toc29811"/>
      <w:r>
        <w:rPr>
          <w:rFonts w:hint="eastAsia" w:cs="宋体" w:asciiTheme="majorEastAsia" w:hAnsiTheme="majorEastAsia" w:eastAsiaTheme="majorEastAsia"/>
          <w:b/>
          <w:bCs/>
          <w:snapToGrid w:val="0"/>
          <w:color w:val="auto"/>
          <w:kern w:val="0"/>
          <w:sz w:val="44"/>
          <w:szCs w:val="44"/>
          <w:highlight w:val="none"/>
        </w:rPr>
        <w:t>第一部分  合同协议书</w:t>
      </w:r>
      <w:bookmarkEnd w:id="9"/>
      <w:bookmarkEnd w:id="10"/>
      <w:bookmarkEnd w:id="11"/>
      <w:bookmarkEnd w:id="12"/>
      <w:bookmarkEnd w:id="13"/>
      <w:bookmarkEnd w:id="14"/>
    </w:p>
    <w:p>
      <w:pPr>
        <w:tabs>
          <w:tab w:val="left" w:pos="9100"/>
        </w:tabs>
        <w:autoSpaceDE w:val="0"/>
        <w:autoSpaceDN w:val="0"/>
        <w:adjustRightInd w:val="0"/>
        <w:spacing w:line="360" w:lineRule="auto"/>
        <w:ind w:right="910"/>
        <w:jc w:val="left"/>
        <w:rPr>
          <w:rFonts w:cs="宋体" w:asciiTheme="majorEastAsia" w:hAnsiTheme="majorEastAsia" w:eastAsiaTheme="majorEastAsia"/>
          <w:b/>
          <w:color w:val="auto"/>
          <w:kern w:val="0"/>
          <w:sz w:val="24"/>
          <w:highlight w:val="none"/>
        </w:rPr>
      </w:pPr>
    </w:p>
    <w:p>
      <w:pPr>
        <w:tabs>
          <w:tab w:val="left" w:pos="9100"/>
        </w:tabs>
        <w:autoSpaceDE w:val="0"/>
        <w:autoSpaceDN w:val="0"/>
        <w:adjustRightInd w:val="0"/>
        <w:spacing w:line="360" w:lineRule="auto"/>
        <w:ind w:right="910"/>
        <w:jc w:val="left"/>
        <w:rPr>
          <w:rFonts w:cs="宋体" w:asciiTheme="majorEastAsia" w:hAnsiTheme="majorEastAsia" w:eastAsiaTheme="majorEastAsia"/>
          <w:b/>
          <w:color w:val="auto"/>
          <w:kern w:val="0"/>
          <w:sz w:val="24"/>
          <w:highlight w:val="none"/>
        </w:rPr>
      </w:pPr>
      <w:r>
        <w:rPr>
          <w:rFonts w:hint="eastAsia" w:cs="宋体" w:asciiTheme="majorEastAsia" w:hAnsiTheme="majorEastAsia" w:eastAsiaTheme="majorEastAsia"/>
          <w:b/>
          <w:color w:val="auto"/>
          <w:kern w:val="0"/>
          <w:sz w:val="24"/>
          <w:highlight w:val="none"/>
        </w:rPr>
        <w:t>发包人（甲方）：广州城慧投资发展有限公司</w:t>
      </w:r>
    </w:p>
    <w:p>
      <w:pPr>
        <w:tabs>
          <w:tab w:val="left" w:pos="9100"/>
        </w:tabs>
        <w:autoSpaceDE w:val="0"/>
        <w:autoSpaceDN w:val="0"/>
        <w:adjustRightInd w:val="0"/>
        <w:spacing w:after="156" w:afterLines="50" w:line="360" w:lineRule="auto"/>
        <w:ind w:right="913"/>
        <w:jc w:val="left"/>
        <w:rPr>
          <w:rFonts w:cs="宋体" w:asciiTheme="majorEastAsia" w:hAnsiTheme="majorEastAsia" w:eastAsiaTheme="majorEastAsia"/>
          <w:color w:val="auto"/>
          <w:spacing w:val="1"/>
          <w:kern w:val="0"/>
          <w:position w:val="-3"/>
          <w:sz w:val="24"/>
          <w:highlight w:val="none"/>
          <w:u w:val="single"/>
        </w:rPr>
      </w:pPr>
      <w:r>
        <w:rPr>
          <w:rFonts w:hint="eastAsia" w:cs="宋体" w:asciiTheme="majorEastAsia" w:hAnsiTheme="majorEastAsia" w:eastAsiaTheme="majorEastAsia"/>
          <w:b/>
          <w:color w:val="auto"/>
          <w:kern w:val="0"/>
          <w:sz w:val="24"/>
          <w:highlight w:val="none"/>
        </w:rPr>
        <w:t>承包人（乙方）：【乙方单位名称】</w:t>
      </w:r>
    </w:p>
    <w:p>
      <w:pPr>
        <w:adjustRightInd w:val="0"/>
        <w:spacing w:line="360" w:lineRule="auto"/>
        <w:ind w:right="11" w:firstLine="480" w:firstLineChars="200"/>
        <w:rPr>
          <w:rFonts w:cs="宋体" w:asciiTheme="majorEastAsia" w:hAnsiTheme="majorEastAsia" w:eastAsiaTheme="majorEastAsia"/>
          <w:color w:val="auto"/>
          <w:sz w:val="24"/>
          <w:highlight w:val="none"/>
        </w:rPr>
      </w:pPr>
      <w:bookmarkStart w:id="15" w:name="_Toc298413074"/>
      <w:bookmarkStart w:id="16" w:name="_Toc298406487"/>
      <w:bookmarkStart w:id="17" w:name="_Toc307908844"/>
    </w:p>
    <w:p>
      <w:pPr>
        <w:adjustRightInd w:val="0"/>
        <w:spacing w:line="360" w:lineRule="auto"/>
        <w:ind w:right="11"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color w:val="auto"/>
          <w:sz w:val="24"/>
          <w:highlight w:val="none"/>
        </w:rPr>
        <w:t>依照《中华人民共和国民法典》、《中华人民共和国建筑法》、《中华人民共和国招投标法》及其他有关法律、行政法规、部门规章、地方性法规和规章，遵循平等、自愿、公平和诚实信用的原则，发包人、承包人双方就天河智慧城AT0307028地块项目（以下简称“本项目”）永久用电工程施工专业承包（以下简称“本工程”）协商一致，订立本合同。</w:t>
      </w:r>
    </w:p>
    <w:p>
      <w:pPr>
        <w:autoSpaceDE w:val="0"/>
        <w:autoSpaceDN w:val="0"/>
        <w:adjustRightInd w:val="0"/>
        <w:spacing w:line="360" w:lineRule="auto"/>
        <w:ind w:left="102" w:right="-873" w:firstLine="482" w:firstLineChars="200"/>
        <w:jc w:val="left"/>
        <w:outlineLvl w:val="1"/>
        <w:rPr>
          <w:rFonts w:cs="宋体" w:asciiTheme="majorEastAsia" w:hAnsiTheme="majorEastAsia" w:eastAsiaTheme="majorEastAsia"/>
          <w:color w:val="auto"/>
          <w:kern w:val="0"/>
          <w:sz w:val="24"/>
          <w:highlight w:val="none"/>
        </w:rPr>
      </w:pPr>
      <w:bookmarkStart w:id="18" w:name="_Toc24580"/>
      <w:bookmarkStart w:id="19" w:name="_Toc16464"/>
      <w:bookmarkStart w:id="20" w:name="_Toc397364811"/>
      <w:bookmarkStart w:id="21" w:name="_Toc140476829"/>
      <w:bookmarkStart w:id="22" w:name="_Toc396662262"/>
      <w:r>
        <w:rPr>
          <w:rFonts w:hint="eastAsia" w:cs="宋体" w:asciiTheme="majorEastAsia" w:hAnsiTheme="majorEastAsia" w:eastAsiaTheme="majorEastAsia"/>
          <w:b/>
          <w:bCs/>
          <w:snapToGrid w:val="0"/>
          <w:color w:val="auto"/>
          <w:kern w:val="0"/>
          <w:sz w:val="24"/>
          <w:highlight w:val="none"/>
        </w:rPr>
        <w:t>一、项目概况</w:t>
      </w:r>
      <w:bookmarkEnd w:id="15"/>
      <w:bookmarkEnd w:id="16"/>
      <w:bookmarkEnd w:id="17"/>
      <w:bookmarkEnd w:id="18"/>
      <w:bookmarkEnd w:id="19"/>
      <w:bookmarkEnd w:id="20"/>
      <w:bookmarkEnd w:id="21"/>
      <w:bookmarkEnd w:id="22"/>
    </w:p>
    <w:p>
      <w:pPr>
        <w:spacing w:line="360" w:lineRule="auto"/>
        <w:ind w:firstLine="480" w:firstLineChars="200"/>
        <w:rPr>
          <w:rFonts w:cs="宋体" w:asciiTheme="majorEastAsia" w:hAnsiTheme="majorEastAsia" w:eastAsiaTheme="majorEastAsia"/>
          <w:color w:val="auto"/>
          <w:sz w:val="24"/>
          <w:highlight w:val="none"/>
          <w:u w:val="single"/>
        </w:rPr>
      </w:pPr>
      <w:r>
        <w:rPr>
          <w:rFonts w:hint="eastAsia" w:cs="宋体" w:asciiTheme="majorEastAsia" w:hAnsiTheme="majorEastAsia" w:eastAsiaTheme="majorEastAsia"/>
          <w:color w:val="auto"/>
          <w:sz w:val="24"/>
          <w:highlight w:val="none"/>
        </w:rPr>
        <w:t>本项目总用地面积34514.6平方米，总建筑面积约为267499平方米，计容建筑面积为193284平方米，地下室面积约为73246.95平方米。本次招标为该项目的永久用电工程。</w:t>
      </w:r>
    </w:p>
    <w:p>
      <w:pPr>
        <w:autoSpaceDE w:val="0"/>
        <w:autoSpaceDN w:val="0"/>
        <w:adjustRightInd w:val="0"/>
        <w:spacing w:line="360" w:lineRule="auto"/>
        <w:ind w:left="102" w:right="-873" w:firstLine="482" w:firstLineChars="200"/>
        <w:jc w:val="left"/>
        <w:outlineLvl w:val="1"/>
        <w:rPr>
          <w:rFonts w:cs="宋体" w:asciiTheme="majorEastAsia" w:hAnsiTheme="majorEastAsia" w:eastAsiaTheme="majorEastAsia"/>
          <w:b/>
          <w:bCs/>
          <w:snapToGrid w:val="0"/>
          <w:color w:val="auto"/>
          <w:kern w:val="0"/>
          <w:sz w:val="24"/>
          <w:highlight w:val="none"/>
        </w:rPr>
      </w:pPr>
      <w:bookmarkStart w:id="23" w:name="_Toc307908845"/>
      <w:bookmarkStart w:id="24" w:name="_Toc298406488"/>
      <w:bookmarkStart w:id="25" w:name="_Toc20877"/>
      <w:bookmarkStart w:id="26" w:name="_Toc23495"/>
      <w:bookmarkStart w:id="27" w:name="_Toc396662263"/>
      <w:bookmarkStart w:id="28" w:name="_Toc140476830"/>
      <w:bookmarkStart w:id="29" w:name="_Toc397364812"/>
      <w:bookmarkStart w:id="30" w:name="_Toc298413075"/>
      <w:r>
        <w:rPr>
          <w:rFonts w:hint="eastAsia" w:cs="宋体" w:asciiTheme="majorEastAsia" w:hAnsiTheme="majorEastAsia" w:eastAsiaTheme="majorEastAsia"/>
          <w:b/>
          <w:bCs/>
          <w:snapToGrid w:val="0"/>
          <w:color w:val="auto"/>
          <w:kern w:val="0"/>
          <w:sz w:val="24"/>
          <w:highlight w:val="none"/>
        </w:rPr>
        <w:t>二、承包范围、内容及方式</w:t>
      </w:r>
      <w:bookmarkEnd w:id="23"/>
      <w:bookmarkEnd w:id="24"/>
      <w:bookmarkEnd w:id="25"/>
      <w:bookmarkEnd w:id="26"/>
      <w:bookmarkEnd w:id="27"/>
      <w:bookmarkEnd w:id="28"/>
      <w:bookmarkEnd w:id="29"/>
      <w:bookmarkEnd w:id="30"/>
    </w:p>
    <w:p>
      <w:pPr>
        <w:spacing w:line="360" w:lineRule="auto"/>
        <w:ind w:firstLine="480" w:firstLineChars="200"/>
        <w:rPr>
          <w:rFonts w:cs="宋体" w:asciiTheme="majorEastAsia" w:hAnsiTheme="majorEastAsia" w:eastAsiaTheme="majorEastAsia"/>
          <w:bCs/>
          <w:color w:val="auto"/>
          <w:sz w:val="24"/>
          <w:highlight w:val="none"/>
        </w:rPr>
      </w:pPr>
      <w:bookmarkStart w:id="31" w:name="_Toc396662264"/>
      <w:r>
        <w:rPr>
          <w:rFonts w:hint="eastAsia" w:cs="宋体" w:asciiTheme="majorEastAsia" w:hAnsiTheme="majorEastAsia" w:eastAsiaTheme="majorEastAsia"/>
          <w:bCs/>
          <w:color w:val="auto"/>
          <w:sz w:val="24"/>
          <w:highlight w:val="none"/>
        </w:rPr>
        <w:t>（一）承包范围、内容</w:t>
      </w:r>
    </w:p>
    <w:p>
      <w:pPr>
        <w:spacing w:line="360" w:lineRule="auto"/>
        <w:ind w:firstLine="480" w:firstLineChars="200"/>
        <w:rPr>
          <w:rFonts w:cs="宋体" w:asciiTheme="majorEastAsia" w:hAnsiTheme="majorEastAsia" w:eastAsiaTheme="majorEastAsia"/>
          <w:bCs/>
          <w:color w:val="auto"/>
          <w:sz w:val="24"/>
          <w:highlight w:val="none"/>
        </w:rPr>
      </w:pPr>
      <w:r>
        <w:rPr>
          <w:rFonts w:hint="eastAsia" w:cs="宋体" w:asciiTheme="majorEastAsia" w:hAnsiTheme="majorEastAsia" w:eastAsiaTheme="majorEastAsia"/>
          <w:bCs/>
          <w:color w:val="auto"/>
          <w:sz w:val="24"/>
          <w:highlight w:val="none"/>
        </w:rPr>
        <w:t>依据招标文件、</w:t>
      </w:r>
      <w:r>
        <w:rPr>
          <w:rFonts w:hint="eastAsia" w:cs="宋体" w:asciiTheme="majorEastAsia" w:hAnsiTheme="majorEastAsia" w:eastAsiaTheme="majorEastAsia"/>
          <w:bCs/>
          <w:color w:val="auto"/>
          <w:sz w:val="24"/>
          <w:highlight w:val="none"/>
        </w:rPr>
        <w:t>招标</w:t>
      </w:r>
      <w:r>
        <w:rPr>
          <w:rFonts w:hint="eastAsia" w:cs="宋体" w:asciiTheme="majorEastAsia" w:hAnsiTheme="majorEastAsia" w:eastAsiaTheme="majorEastAsia"/>
          <w:bCs/>
          <w:color w:val="auto"/>
          <w:sz w:val="24"/>
          <w:highlight w:val="none"/>
        </w:rPr>
        <w:t>施工图纸（包括技术要求）、招标范围界面（图纸、工程量清单及现场现状条件）及相关资料和说明等，对广州市天河智慧城AT0307028地块（含公交站）永久用电工程承包施工，</w:t>
      </w:r>
      <w:r>
        <w:rPr>
          <w:rFonts w:hint="eastAsia" w:cs="宋体" w:asciiTheme="majorEastAsia" w:hAnsiTheme="majorEastAsia" w:eastAsiaTheme="majorEastAsia"/>
          <w:bCs/>
          <w:color w:val="auto"/>
          <w:sz w:val="24"/>
          <w:highlight w:val="none"/>
        </w:rPr>
        <w:t>并按施工图纸和当地供电局验收标准在本合同工程承包范围内包图纸深化并通过供电局审核通过、包工包料(含设备)、包质量、包工期、包施工安全、包竣工验收送电等相关内容。具体施工界面主要包括但不限于：</w:t>
      </w:r>
    </w:p>
    <w:p>
      <w:pPr>
        <w:spacing w:line="360" w:lineRule="auto"/>
        <w:ind w:firstLine="480" w:firstLineChars="200"/>
        <w:rPr>
          <w:rFonts w:cs="宋体" w:asciiTheme="majorEastAsia" w:hAnsiTheme="majorEastAsia" w:eastAsiaTheme="majorEastAsia"/>
          <w:bCs/>
          <w:color w:val="auto"/>
          <w:sz w:val="24"/>
          <w:highlight w:val="none"/>
        </w:rPr>
      </w:pPr>
      <w:r>
        <w:rPr>
          <w:rFonts w:hint="eastAsia" w:cs="宋体" w:asciiTheme="majorEastAsia" w:hAnsiTheme="majorEastAsia" w:eastAsiaTheme="majorEastAsia"/>
          <w:bCs/>
          <w:color w:val="auto"/>
          <w:sz w:val="24"/>
          <w:highlight w:val="none"/>
        </w:rPr>
        <w:t>A、新装3×630kVA+8×800kVA公变永久用电工程</w:t>
      </w:r>
    </w:p>
    <w:p>
      <w:pPr>
        <w:spacing w:line="360" w:lineRule="auto"/>
        <w:ind w:firstLine="480" w:firstLineChars="200"/>
        <w:rPr>
          <w:rFonts w:cs="宋体" w:asciiTheme="majorEastAsia" w:hAnsiTheme="majorEastAsia" w:eastAsiaTheme="majorEastAsia"/>
          <w:bCs/>
          <w:color w:val="auto"/>
          <w:sz w:val="24"/>
          <w:highlight w:val="none"/>
        </w:rPr>
      </w:pPr>
      <w:r>
        <w:rPr>
          <w:rFonts w:hint="eastAsia" w:cs="宋体" w:asciiTheme="majorEastAsia" w:hAnsiTheme="majorEastAsia" w:eastAsiaTheme="majorEastAsia"/>
          <w:bCs/>
          <w:color w:val="auto"/>
          <w:sz w:val="24"/>
          <w:highlight w:val="none"/>
        </w:rPr>
        <w:t>1.供电电压等级：10kV单回路电源供电。</w:t>
      </w:r>
    </w:p>
    <w:p>
      <w:pPr>
        <w:spacing w:line="360" w:lineRule="auto"/>
        <w:ind w:firstLine="480" w:firstLineChars="200"/>
        <w:rPr>
          <w:rFonts w:cs="宋体" w:asciiTheme="majorEastAsia" w:hAnsiTheme="majorEastAsia" w:eastAsiaTheme="majorEastAsia"/>
          <w:bCs/>
          <w:color w:val="auto"/>
          <w:sz w:val="24"/>
          <w:highlight w:val="none"/>
        </w:rPr>
      </w:pPr>
      <w:r>
        <w:rPr>
          <w:rFonts w:hint="eastAsia" w:cs="宋体" w:asciiTheme="majorEastAsia" w:hAnsiTheme="majorEastAsia" w:eastAsiaTheme="majorEastAsia"/>
          <w:bCs/>
          <w:color w:val="auto"/>
          <w:sz w:val="24"/>
          <w:highlight w:val="none"/>
        </w:rPr>
        <w:t>2.电源接入方式：拟由沐村F10供电。用户新建#1开关房新增5面断路器柜(全绝缘)组成新一路母线。用户新建#2开关房新增5面断路器柜(全绝缘)组成新一路母线。用户新建#3开关房新增6面断路器柜(全绝缘)组成新一路母线。</w:t>
      </w:r>
    </w:p>
    <w:p>
      <w:pPr>
        <w:spacing w:line="360" w:lineRule="auto"/>
        <w:ind w:firstLine="480" w:firstLineChars="200"/>
        <w:rPr>
          <w:rFonts w:cs="宋体" w:asciiTheme="majorEastAsia" w:hAnsiTheme="majorEastAsia" w:eastAsiaTheme="majorEastAsia"/>
          <w:bCs/>
          <w:color w:val="auto"/>
          <w:sz w:val="24"/>
          <w:highlight w:val="none"/>
        </w:rPr>
      </w:pPr>
      <w:r>
        <w:rPr>
          <w:rFonts w:hint="eastAsia" w:cs="宋体" w:asciiTheme="majorEastAsia" w:hAnsiTheme="majorEastAsia" w:eastAsiaTheme="majorEastAsia"/>
          <w:bCs/>
          <w:color w:val="auto"/>
          <w:sz w:val="24"/>
          <w:highlight w:val="none"/>
        </w:rPr>
        <w:t>用户新建#1-1栋综合房、用户新建#1-2栋综合房、用户新建#1-3栋综合房、用户新建#7-1栋综合房、用户新建#7-2栋综合房、用户新建#7-3栋综合房、用户新建#8-1栋综合房、用户新建#8-2栋综合房、用户新建#9-2栋综合房、用户新建#9-3栋综合房按单母线配置，每一路母线分别新增4面断路器柜(全绝缘)。用户新建#2-1栋双公变综合房、用户新建#9-1栋双公变综合房按双母线配置，每一路母线分别新增4面断路器柜(全绝缘),并新增母线 联络电缆。</w:t>
      </w:r>
    </w:p>
    <w:p>
      <w:pPr>
        <w:spacing w:line="360" w:lineRule="auto"/>
        <w:ind w:firstLine="480" w:firstLineChars="200"/>
        <w:rPr>
          <w:rFonts w:cs="宋体" w:asciiTheme="majorEastAsia" w:hAnsiTheme="majorEastAsia" w:eastAsiaTheme="majorEastAsia"/>
          <w:bCs/>
          <w:color w:val="auto"/>
          <w:sz w:val="24"/>
          <w:highlight w:val="none"/>
        </w:rPr>
      </w:pPr>
      <w:r>
        <w:rPr>
          <w:rFonts w:hint="eastAsia" w:cs="宋体" w:asciiTheme="majorEastAsia" w:hAnsiTheme="majorEastAsia" w:eastAsiaTheme="majorEastAsia"/>
          <w:bCs/>
          <w:color w:val="auto"/>
          <w:sz w:val="24"/>
          <w:highlight w:val="none"/>
        </w:rPr>
        <w:t>由用户新建#1-1栋综合房敷设10kV电缆至本房内变压器(1×630kVA)。由用户新建#1-2栋综合房敷设10kV电缆至本房内变压器(1×630kVA)。由用户新建#1-3栋综合房敷设10kV电缆至本房内变压器(1×630kVA)。由用户新建#2-1栋双公变综合房1M母线、2M母线分别敷设10kV电缆至本房内变压器(2×800kVA)。由用户新建#7-1栋合房敷设10kV电缆至本房内变压器(1×800kVA)。由用户新建#7-2栋综合房敷设10kV电缆至本房内变压器(1×800kVA)。由用户新建#9-1栋双公变综合房1M母线敷设10kV电缆至本房内变压器(1×800kVA)。由用户新建#9-2栋综合房敷设10kV电缆至本房内变压器(1×800kVA)。由用户新建#8-1栋综合房-2敷设10kV电缆至本房内变压器(1×800kVA)。由用户新建#8-2栋综合房敷设10kV电缆至本房内变压器(1×800kVA)。</w:t>
      </w:r>
    </w:p>
    <w:p>
      <w:pPr>
        <w:spacing w:line="360" w:lineRule="auto"/>
        <w:ind w:firstLine="480" w:firstLineChars="200"/>
        <w:rPr>
          <w:rFonts w:cs="宋体" w:asciiTheme="majorEastAsia" w:hAnsiTheme="majorEastAsia" w:eastAsiaTheme="majorEastAsia"/>
          <w:bCs/>
          <w:color w:val="auto"/>
          <w:sz w:val="24"/>
          <w:highlight w:val="none"/>
        </w:rPr>
      </w:pPr>
      <w:r>
        <w:rPr>
          <w:rFonts w:hint="eastAsia" w:cs="宋体" w:asciiTheme="majorEastAsia" w:hAnsiTheme="majorEastAsia" w:eastAsiaTheme="majorEastAsia"/>
          <w:bCs/>
          <w:color w:val="auto"/>
          <w:sz w:val="24"/>
          <w:highlight w:val="none"/>
        </w:rPr>
        <w:t>由110kV沐村变电站敷设10kV电缆(沐村F10)至用户新建#1开关房。由用户新建#1开关房敷设10kV电缆依次串接用户新建#1-1栋综合房、用户新建#1-2栋综合房、用户新建#1-3栋综合房、用户新建#2-1栋双公变综合房、用户新建#7-1栋合房、用户新建#7-2栋综合房、用户新建#7-3栋综合房、用户新建#9-1栋双公变综合房、用户新建#9-2栋综合房、用户新建#9-3栋综合房、用户新建#8-1栋综合房、用户新建#8-2栋综合房、用户新建#2开关房各段母线。</w:t>
      </w:r>
    </w:p>
    <w:p>
      <w:pPr>
        <w:spacing w:line="360" w:lineRule="auto"/>
        <w:ind w:firstLine="480" w:firstLineChars="200"/>
        <w:rPr>
          <w:rFonts w:cs="宋体" w:asciiTheme="majorEastAsia" w:hAnsiTheme="majorEastAsia" w:eastAsiaTheme="majorEastAsia"/>
          <w:bCs/>
          <w:color w:val="auto"/>
          <w:sz w:val="24"/>
          <w:highlight w:val="none"/>
        </w:rPr>
      </w:pPr>
      <w:r>
        <w:rPr>
          <w:rFonts w:hint="eastAsia" w:cs="宋体" w:asciiTheme="majorEastAsia" w:hAnsiTheme="majorEastAsia" w:eastAsiaTheme="majorEastAsia"/>
          <w:bCs/>
          <w:color w:val="auto"/>
          <w:sz w:val="24"/>
          <w:highlight w:val="none"/>
        </w:rPr>
        <w:t>由110kV沐村变电站敷设10kV电缆(沐村F31)至用户新建#3开关房。由用户新建#3开关房敷设10kV电缆至用户新建#2开关房，并拉开电缆02头用作联络。</w:t>
      </w:r>
    </w:p>
    <w:p>
      <w:pPr>
        <w:spacing w:line="360" w:lineRule="auto"/>
        <w:ind w:firstLine="480" w:firstLineChars="200"/>
        <w:rPr>
          <w:rFonts w:cs="宋体" w:asciiTheme="majorEastAsia" w:hAnsiTheme="majorEastAsia" w:eastAsiaTheme="majorEastAsia"/>
          <w:bCs/>
          <w:color w:val="auto"/>
          <w:sz w:val="24"/>
          <w:highlight w:val="none"/>
        </w:rPr>
      </w:pPr>
      <w:r>
        <w:rPr>
          <w:rFonts w:hint="eastAsia" w:cs="宋体" w:asciiTheme="majorEastAsia" w:hAnsiTheme="majorEastAsia" w:eastAsiaTheme="majorEastAsia"/>
          <w:bCs/>
          <w:color w:val="auto"/>
          <w:sz w:val="24"/>
          <w:highlight w:val="none"/>
        </w:rPr>
        <w:t>配电站(房)设置：新建开关房3间、新建双公变综合房2间、新建综合房10间。</w:t>
      </w:r>
    </w:p>
    <w:p>
      <w:pPr>
        <w:spacing w:line="360" w:lineRule="auto"/>
        <w:ind w:firstLine="480" w:firstLineChars="200"/>
        <w:rPr>
          <w:rFonts w:cs="宋体" w:asciiTheme="majorEastAsia" w:hAnsiTheme="majorEastAsia" w:eastAsiaTheme="majorEastAsia"/>
          <w:bCs/>
          <w:color w:val="auto"/>
          <w:sz w:val="24"/>
          <w:highlight w:val="none"/>
        </w:rPr>
      </w:pPr>
      <w:r>
        <w:rPr>
          <w:rFonts w:hint="eastAsia" w:cs="宋体" w:asciiTheme="majorEastAsia" w:hAnsiTheme="majorEastAsia" w:eastAsiaTheme="majorEastAsia"/>
          <w:bCs/>
          <w:color w:val="auto"/>
          <w:sz w:val="24"/>
          <w:highlight w:val="none"/>
        </w:rPr>
        <w:t>B、新装2×2000kVA+2×1600kVA+2×1250kVA+2×1000kVA+800kVA专变永久用电工程</w:t>
      </w:r>
    </w:p>
    <w:p>
      <w:pPr>
        <w:spacing w:line="360" w:lineRule="auto"/>
        <w:ind w:firstLine="480" w:firstLineChars="200"/>
        <w:rPr>
          <w:rFonts w:cs="宋体" w:asciiTheme="majorEastAsia" w:hAnsiTheme="majorEastAsia" w:eastAsiaTheme="majorEastAsia"/>
          <w:bCs/>
          <w:color w:val="auto"/>
          <w:sz w:val="24"/>
          <w:highlight w:val="none"/>
        </w:rPr>
      </w:pPr>
      <w:r>
        <w:rPr>
          <w:rFonts w:hint="eastAsia" w:cs="宋体" w:asciiTheme="majorEastAsia" w:hAnsiTheme="majorEastAsia" w:eastAsiaTheme="majorEastAsia"/>
          <w:bCs/>
          <w:color w:val="auto"/>
          <w:sz w:val="24"/>
          <w:highlight w:val="none"/>
        </w:rPr>
        <w:t>1.供电电压等级：10kV单回路电源供电。</w:t>
      </w:r>
    </w:p>
    <w:p>
      <w:pPr>
        <w:spacing w:line="360" w:lineRule="auto"/>
        <w:ind w:firstLine="480" w:firstLineChars="200"/>
        <w:rPr>
          <w:rFonts w:cs="宋体" w:asciiTheme="majorEastAsia" w:hAnsiTheme="majorEastAsia" w:eastAsiaTheme="majorEastAsia"/>
          <w:bCs/>
          <w:color w:val="auto"/>
          <w:sz w:val="24"/>
          <w:highlight w:val="none"/>
        </w:rPr>
      </w:pPr>
      <w:r>
        <w:rPr>
          <w:rFonts w:hint="eastAsia" w:cs="宋体" w:asciiTheme="majorEastAsia" w:hAnsiTheme="majorEastAsia" w:eastAsiaTheme="majorEastAsia"/>
          <w:bCs/>
          <w:color w:val="auto"/>
          <w:sz w:val="24"/>
          <w:highlight w:val="none"/>
        </w:rPr>
        <w:t>2.电源接入方式：拟由沐村F31供电。由广州城慧投资发展有限公司(08000080000057545939)用户新建#3开关房备用断路器柜敷设10kV电缆至用户新建总高压室。由用户新建总高压室分别敷设10kV电缆至用户新建#1、#2栋配套二级高压室、新建#3栋配套二级高压室、新建#6栋配套二级高压室、新建充电桩专用二级高压室及#5栋各新建专变房(2×2000kVA)。由用户新建#1、#2栋配套二级高压室敷设10kV电缆至新建专变(800kVA)。由用户新建#3栋配套二级高压室分别敷设10kV电缆至各新建专变(2×1600kVA)。由用户新建#6栋配套二级高压室分别敷设10kV电缆至各新建专变(2×1000kVA)。由用户新建充电桩专用二级高压室分别敷设10kV电缆至各新建专变(2×1250kVA)。</w:t>
      </w:r>
    </w:p>
    <w:p>
      <w:pPr>
        <w:spacing w:line="360" w:lineRule="auto"/>
        <w:ind w:firstLine="480" w:firstLineChars="200"/>
        <w:rPr>
          <w:rFonts w:cs="宋体" w:asciiTheme="majorEastAsia" w:hAnsiTheme="majorEastAsia" w:eastAsiaTheme="majorEastAsia"/>
          <w:bCs/>
          <w:color w:val="auto"/>
          <w:sz w:val="24"/>
          <w:highlight w:val="none"/>
        </w:rPr>
      </w:pPr>
      <w:r>
        <w:rPr>
          <w:rFonts w:hint="eastAsia" w:cs="宋体" w:asciiTheme="majorEastAsia" w:hAnsiTheme="majorEastAsia" w:eastAsiaTheme="majorEastAsia"/>
          <w:bCs/>
          <w:color w:val="auto"/>
          <w:sz w:val="24"/>
          <w:highlight w:val="none"/>
        </w:rPr>
        <w:t>3.配电房设置：新建用户总高压室、新建用户二级高压室、新建用户专变房。</w:t>
      </w:r>
    </w:p>
    <w:p>
      <w:pPr>
        <w:spacing w:line="360" w:lineRule="auto"/>
        <w:ind w:firstLine="480" w:firstLineChars="200"/>
        <w:rPr>
          <w:rFonts w:cs="宋体" w:asciiTheme="majorEastAsia" w:hAnsiTheme="majorEastAsia" w:eastAsiaTheme="majorEastAsia"/>
          <w:bCs/>
          <w:color w:val="auto"/>
          <w:sz w:val="24"/>
          <w:highlight w:val="none"/>
        </w:rPr>
      </w:pPr>
      <w:r>
        <w:rPr>
          <w:rFonts w:hint="eastAsia" w:cs="宋体" w:asciiTheme="majorEastAsia" w:hAnsiTheme="majorEastAsia" w:eastAsiaTheme="majorEastAsia"/>
          <w:bCs/>
          <w:color w:val="auto"/>
          <w:sz w:val="24"/>
          <w:highlight w:val="none"/>
        </w:rPr>
        <w:t>C、公交站新装1×1000kVA专变工程</w:t>
      </w:r>
    </w:p>
    <w:p>
      <w:pPr>
        <w:spacing w:line="360" w:lineRule="auto"/>
        <w:ind w:firstLine="480" w:firstLineChars="200"/>
        <w:rPr>
          <w:rFonts w:cs="宋体" w:asciiTheme="majorEastAsia" w:hAnsiTheme="majorEastAsia" w:eastAsiaTheme="majorEastAsia"/>
          <w:bCs/>
          <w:color w:val="auto"/>
          <w:sz w:val="24"/>
          <w:highlight w:val="none"/>
        </w:rPr>
      </w:pPr>
      <w:r>
        <w:rPr>
          <w:rFonts w:hint="eastAsia" w:cs="宋体" w:asciiTheme="majorEastAsia" w:hAnsiTheme="majorEastAsia" w:eastAsiaTheme="majorEastAsia"/>
          <w:bCs/>
          <w:color w:val="auto"/>
          <w:sz w:val="24"/>
          <w:highlight w:val="none"/>
        </w:rPr>
        <w:t>1.供电电压等级：10kV单回路电源供电。</w:t>
      </w:r>
    </w:p>
    <w:p>
      <w:pPr>
        <w:spacing w:line="360" w:lineRule="auto"/>
        <w:ind w:firstLine="480" w:firstLineChars="200"/>
        <w:rPr>
          <w:rFonts w:cs="宋体" w:asciiTheme="majorEastAsia" w:hAnsiTheme="majorEastAsia" w:eastAsiaTheme="majorEastAsia"/>
          <w:bCs/>
          <w:color w:val="auto"/>
          <w:sz w:val="24"/>
          <w:highlight w:val="none"/>
        </w:rPr>
      </w:pPr>
      <w:r>
        <w:rPr>
          <w:rFonts w:hint="eastAsia" w:cs="宋体" w:asciiTheme="majorEastAsia" w:hAnsiTheme="majorEastAsia" w:eastAsiaTheme="majorEastAsia"/>
          <w:bCs/>
          <w:color w:val="auto"/>
          <w:sz w:val="24"/>
          <w:highlight w:val="none"/>
        </w:rPr>
        <w:t>2.电源接入方式：拟由沐村F10供电由广州城慧投资发展有限公司(08000080000057545939)用户新建#8-2栋综合房备用断路器柜敷设10kV电缆至用户新建高压室，由用户新建高压室敷设10kV电缆至用户新建专变房(1×1000kVA)。</w:t>
      </w:r>
    </w:p>
    <w:p>
      <w:pPr>
        <w:spacing w:line="360" w:lineRule="auto"/>
        <w:ind w:firstLine="480" w:firstLineChars="200"/>
        <w:rPr>
          <w:rFonts w:cs="宋体" w:asciiTheme="majorEastAsia" w:hAnsiTheme="majorEastAsia" w:eastAsiaTheme="majorEastAsia"/>
          <w:bCs/>
          <w:color w:val="auto"/>
          <w:sz w:val="24"/>
          <w:highlight w:val="none"/>
        </w:rPr>
      </w:pPr>
      <w:r>
        <w:rPr>
          <w:rFonts w:hint="eastAsia" w:cs="宋体" w:asciiTheme="majorEastAsia" w:hAnsiTheme="majorEastAsia" w:eastAsiaTheme="majorEastAsia"/>
          <w:bCs/>
          <w:color w:val="auto"/>
          <w:sz w:val="24"/>
          <w:highlight w:val="none"/>
        </w:rPr>
        <w:t>3.配电房设置：新建高压室、新建专变房。</w:t>
      </w:r>
    </w:p>
    <w:p>
      <w:pPr>
        <w:spacing w:line="360" w:lineRule="auto"/>
        <w:ind w:firstLine="480" w:firstLineChars="200"/>
        <w:rPr>
          <w:rFonts w:cs="宋体" w:asciiTheme="majorEastAsia" w:hAnsiTheme="majorEastAsia" w:eastAsiaTheme="majorEastAsia"/>
          <w:bCs/>
          <w:color w:val="auto"/>
          <w:sz w:val="24"/>
          <w:highlight w:val="none"/>
        </w:rPr>
      </w:pPr>
      <w:r>
        <w:rPr>
          <w:rFonts w:hint="eastAsia" w:cs="宋体" w:asciiTheme="majorEastAsia" w:hAnsiTheme="majorEastAsia" w:eastAsiaTheme="majorEastAsia"/>
          <w:bCs/>
          <w:color w:val="auto"/>
          <w:sz w:val="24"/>
          <w:highlight w:val="none"/>
        </w:rPr>
        <w:t>4.变压器配置：装用户专用变压器((1×1000kVA)。</w:t>
      </w:r>
    </w:p>
    <w:p>
      <w:pPr>
        <w:spacing w:line="360" w:lineRule="auto"/>
        <w:ind w:firstLine="480" w:firstLineChars="200"/>
        <w:rPr>
          <w:rFonts w:cs="宋体" w:asciiTheme="majorEastAsia" w:hAnsiTheme="majorEastAsia" w:eastAsiaTheme="majorEastAsia"/>
          <w:bCs/>
          <w:color w:val="auto"/>
          <w:sz w:val="24"/>
          <w:highlight w:val="none"/>
        </w:rPr>
      </w:pPr>
      <w:r>
        <w:rPr>
          <w:rFonts w:hint="eastAsia" w:cs="宋体" w:asciiTheme="majorEastAsia" w:hAnsiTheme="majorEastAsia" w:eastAsiaTheme="majorEastAsia"/>
          <w:bCs/>
          <w:color w:val="auto"/>
          <w:sz w:val="24"/>
          <w:highlight w:val="none"/>
        </w:rPr>
        <w:t>以上公用及专用部分工程的设备调试、10KV电缆耐压试验、自动化调试、接地网试验等相关试验。</w:t>
      </w:r>
    </w:p>
    <w:p>
      <w:pPr>
        <w:spacing w:line="360" w:lineRule="auto"/>
        <w:ind w:firstLine="480" w:firstLineChars="200"/>
        <w:rPr>
          <w:rFonts w:cs="宋体" w:asciiTheme="majorEastAsia" w:hAnsiTheme="majorEastAsia" w:eastAsiaTheme="majorEastAsia"/>
          <w:color w:val="auto"/>
          <w:kern w:val="1"/>
          <w:sz w:val="24"/>
          <w:highlight w:val="none"/>
        </w:rPr>
      </w:pPr>
      <w:r>
        <w:rPr>
          <w:rFonts w:hint="eastAsia" w:cs="宋体" w:asciiTheme="majorEastAsia" w:hAnsiTheme="majorEastAsia" w:eastAsiaTheme="majorEastAsia"/>
          <w:color w:val="auto"/>
          <w:kern w:val="1"/>
          <w:sz w:val="24"/>
          <w:highlight w:val="none"/>
        </w:rPr>
        <w:t>2.</w:t>
      </w:r>
      <w:r>
        <w:rPr>
          <w:rFonts w:hint="eastAsia" w:cs="宋体" w:asciiTheme="majorEastAsia" w:hAnsiTheme="majorEastAsia" w:eastAsiaTheme="majorEastAsia"/>
          <w:color w:val="auto"/>
          <w:sz w:val="24"/>
          <w:highlight w:val="none"/>
        </w:rPr>
        <w:t>总承包配合工作</w:t>
      </w:r>
    </w:p>
    <w:p>
      <w:pPr>
        <w:adjustRightInd w:val="0"/>
        <w:spacing w:line="360" w:lineRule="auto"/>
        <w:ind w:right="11"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承包人应与本项目施工总承包单位及其他参建单位进行紧密的配合与协调，接受施工总承包单位的总体把控、协调等工作，确保现场施工工作顺利实施。</w:t>
      </w:r>
    </w:p>
    <w:p>
      <w:pPr>
        <w:adjustRightInd w:val="0"/>
        <w:spacing w:line="360" w:lineRule="auto"/>
        <w:ind w:right="11" w:firstLine="480" w:firstLineChars="200"/>
        <w:rPr>
          <w:rFonts w:cs="宋体" w:asciiTheme="majorEastAsia" w:hAnsiTheme="majorEastAsia" w:eastAsiaTheme="majorEastAsia"/>
          <w:bCs/>
          <w:snapToGrid w:val="0"/>
          <w:color w:val="auto"/>
          <w:kern w:val="0"/>
          <w:sz w:val="24"/>
          <w:highlight w:val="none"/>
        </w:rPr>
      </w:pPr>
      <w:bookmarkStart w:id="32" w:name="OLE_LINK2"/>
      <w:r>
        <w:rPr>
          <w:rFonts w:hint="eastAsia" w:cs="宋体" w:asciiTheme="majorEastAsia" w:hAnsiTheme="majorEastAsia" w:eastAsiaTheme="majorEastAsia"/>
          <w:color w:val="auto"/>
          <w:sz w:val="24"/>
          <w:highlight w:val="none"/>
        </w:rPr>
        <w:t>施工总承包单位</w:t>
      </w:r>
      <w:bookmarkEnd w:id="32"/>
      <w:r>
        <w:rPr>
          <w:rFonts w:hint="eastAsia" w:cs="宋体" w:asciiTheme="majorEastAsia" w:hAnsiTheme="majorEastAsia" w:eastAsiaTheme="majorEastAsia"/>
          <w:color w:val="auto"/>
          <w:sz w:val="24"/>
          <w:highlight w:val="none"/>
        </w:rPr>
        <w:t>按照施工总承包合同约定对本项目范围内所有专业工程实施管理协调配合工作，负责施工总承包管理及现场总控制、总协调、总监督、总配合、总进度控制及竣工验收总调试的总体协调配合工作。</w:t>
      </w:r>
    </w:p>
    <w:p>
      <w:pPr>
        <w:spacing w:line="360" w:lineRule="auto"/>
        <w:ind w:firstLine="480" w:firstLineChars="200"/>
        <w:rPr>
          <w:rFonts w:cs="宋体" w:asciiTheme="majorEastAsia" w:hAnsiTheme="majorEastAsia" w:eastAsiaTheme="majorEastAsia"/>
          <w:color w:val="auto"/>
          <w:kern w:val="1"/>
          <w:sz w:val="24"/>
          <w:highlight w:val="none"/>
        </w:rPr>
      </w:pPr>
      <w:r>
        <w:rPr>
          <w:rFonts w:hint="eastAsia" w:cs="宋体" w:asciiTheme="majorEastAsia" w:hAnsiTheme="majorEastAsia" w:eastAsiaTheme="majorEastAsia"/>
          <w:color w:val="auto"/>
          <w:sz w:val="24"/>
          <w:highlight w:val="none"/>
        </w:rPr>
        <w:t>施工总承包单位</w:t>
      </w:r>
      <w:r>
        <w:rPr>
          <w:rFonts w:hint="eastAsia" w:cs="宋体" w:asciiTheme="majorEastAsia" w:hAnsiTheme="majorEastAsia" w:eastAsiaTheme="majorEastAsia"/>
          <w:color w:val="auto"/>
          <w:kern w:val="1"/>
          <w:sz w:val="24"/>
          <w:highlight w:val="none"/>
        </w:rPr>
        <w:t>须无偿配合提供包括但不限于永电单位进退场、用水用电、施工材料场内运输及堆放场地、脚手架工程使用整体验收及档案接收等所有涉及永电工程的一切配合工作。</w:t>
      </w:r>
    </w:p>
    <w:p>
      <w:pPr>
        <w:spacing w:line="360" w:lineRule="auto"/>
        <w:ind w:firstLine="480" w:firstLineChars="200"/>
        <w:rPr>
          <w:rFonts w:cs="宋体" w:asciiTheme="majorEastAsia" w:hAnsiTheme="majorEastAsia" w:eastAsiaTheme="majorEastAsia"/>
          <w:color w:val="auto"/>
          <w:kern w:val="1"/>
          <w:sz w:val="24"/>
          <w:highlight w:val="none"/>
        </w:rPr>
      </w:pPr>
      <w:r>
        <w:rPr>
          <w:rFonts w:hint="eastAsia" w:cs="宋体" w:asciiTheme="majorEastAsia" w:hAnsiTheme="majorEastAsia" w:eastAsiaTheme="majorEastAsia"/>
          <w:color w:val="auto"/>
          <w:kern w:val="1"/>
          <w:sz w:val="24"/>
          <w:highlight w:val="none"/>
        </w:rPr>
        <w:t>3.其他工作（除工程量清单开项列支或本合同另有约定外，费用已含在本合同总价中，本合同不再另行计量与支付）：</w:t>
      </w:r>
    </w:p>
    <w:p>
      <w:pPr>
        <w:spacing w:line="360" w:lineRule="auto"/>
        <w:ind w:firstLine="480" w:firstLineChars="200"/>
        <w:rPr>
          <w:rFonts w:cs="宋体" w:asciiTheme="majorEastAsia" w:hAnsiTheme="majorEastAsia" w:eastAsiaTheme="majorEastAsia"/>
          <w:color w:val="auto"/>
          <w:kern w:val="1"/>
          <w:sz w:val="24"/>
          <w:highlight w:val="none"/>
        </w:rPr>
      </w:pPr>
      <w:r>
        <w:rPr>
          <w:rFonts w:hint="eastAsia" w:cs="宋体" w:asciiTheme="majorEastAsia" w:hAnsiTheme="majorEastAsia" w:eastAsiaTheme="majorEastAsia"/>
          <w:color w:val="auto"/>
          <w:kern w:val="1"/>
          <w:sz w:val="24"/>
          <w:highlight w:val="none"/>
        </w:rPr>
        <w:t>（1）涉及高支模、外脚手架、施工作业平台、大型设备吊装等超过一定规模且危险性较大的分部分项工程需按建设主管部门要求编制专项施工方案、组织专家论证。</w:t>
      </w:r>
    </w:p>
    <w:p>
      <w:pPr>
        <w:spacing w:line="360" w:lineRule="auto"/>
        <w:ind w:firstLine="480" w:firstLineChars="200"/>
        <w:rPr>
          <w:rFonts w:cs="宋体" w:asciiTheme="majorEastAsia" w:hAnsiTheme="majorEastAsia" w:eastAsiaTheme="majorEastAsia"/>
          <w:color w:val="auto"/>
          <w:kern w:val="1"/>
          <w:sz w:val="24"/>
          <w:highlight w:val="none"/>
        </w:rPr>
      </w:pPr>
      <w:r>
        <w:rPr>
          <w:rFonts w:hint="eastAsia" w:cs="宋体" w:asciiTheme="majorEastAsia" w:hAnsiTheme="majorEastAsia" w:eastAsiaTheme="majorEastAsia"/>
          <w:color w:val="auto"/>
          <w:kern w:val="1"/>
          <w:sz w:val="24"/>
          <w:highlight w:val="none"/>
        </w:rPr>
        <w:t>（2）承包人新建的围墙、施工道路、加工场、材料堆场、临时办公场地、临时宿舍、门禁、监控系统等设施，必须符合建设主管部门、广州市城市建设投资集团有限公司、及发包人即时发布的最新要求。</w:t>
      </w:r>
    </w:p>
    <w:p>
      <w:pPr>
        <w:spacing w:line="360" w:lineRule="auto"/>
        <w:ind w:firstLine="480" w:firstLineChars="200"/>
        <w:rPr>
          <w:rFonts w:cs="宋体" w:asciiTheme="majorEastAsia" w:hAnsiTheme="majorEastAsia" w:eastAsiaTheme="majorEastAsia"/>
          <w:color w:val="auto"/>
          <w:kern w:val="1"/>
          <w:sz w:val="24"/>
          <w:highlight w:val="none"/>
        </w:rPr>
      </w:pPr>
      <w:r>
        <w:rPr>
          <w:rFonts w:hint="eastAsia" w:cs="宋体" w:asciiTheme="majorEastAsia" w:hAnsiTheme="majorEastAsia" w:eastAsiaTheme="majorEastAsia"/>
          <w:color w:val="auto"/>
          <w:kern w:val="1"/>
          <w:sz w:val="24"/>
          <w:highlight w:val="none"/>
        </w:rPr>
        <w:t>（3）负责统筹整个项目各专业各系统技术和施工协调，保证各专业各系统无缝对接，按要求实现建筑各项功能，并负责调试、资料收集，完成验收所需全部工作内容。</w:t>
      </w:r>
    </w:p>
    <w:p>
      <w:pPr>
        <w:spacing w:line="360" w:lineRule="auto"/>
        <w:ind w:firstLine="480" w:firstLineChars="200"/>
        <w:rPr>
          <w:rFonts w:cs="宋体" w:asciiTheme="majorEastAsia" w:hAnsiTheme="majorEastAsia" w:eastAsiaTheme="majorEastAsia"/>
          <w:color w:val="auto"/>
          <w:kern w:val="1"/>
          <w:sz w:val="24"/>
          <w:highlight w:val="none"/>
        </w:rPr>
      </w:pPr>
      <w:r>
        <w:rPr>
          <w:rFonts w:hint="eastAsia" w:cs="宋体" w:asciiTheme="majorEastAsia" w:hAnsiTheme="majorEastAsia" w:eastAsiaTheme="majorEastAsia"/>
          <w:color w:val="auto"/>
          <w:kern w:val="1"/>
          <w:sz w:val="24"/>
          <w:highlight w:val="none"/>
        </w:rPr>
        <w:t>（4）各种套管、线缆、管道等与楼板/墙壁间的混凝土或水泥砂浆封堵。</w:t>
      </w:r>
    </w:p>
    <w:p>
      <w:pPr>
        <w:spacing w:line="360" w:lineRule="auto"/>
        <w:ind w:firstLine="480" w:firstLineChars="200"/>
        <w:rPr>
          <w:rFonts w:cs="宋体" w:asciiTheme="majorEastAsia" w:hAnsiTheme="majorEastAsia" w:eastAsiaTheme="majorEastAsia"/>
          <w:color w:val="auto"/>
          <w:kern w:val="1"/>
          <w:sz w:val="24"/>
          <w:highlight w:val="none"/>
        </w:rPr>
      </w:pPr>
      <w:r>
        <w:rPr>
          <w:rFonts w:hint="eastAsia" w:cs="宋体" w:asciiTheme="majorEastAsia" w:hAnsiTheme="majorEastAsia" w:eastAsiaTheme="majorEastAsia"/>
          <w:color w:val="auto"/>
          <w:kern w:val="1"/>
          <w:sz w:val="24"/>
          <w:highlight w:val="none"/>
        </w:rPr>
        <w:t>（5）负责完成收尾整改、场地清理、开荒清洁保洁（发包人另行委托的专业工程范围的开荒清洁保洁除外）等工作并达到交付标准。</w:t>
      </w:r>
    </w:p>
    <w:p>
      <w:pPr>
        <w:spacing w:line="360" w:lineRule="auto"/>
        <w:ind w:firstLine="480" w:firstLineChars="200"/>
        <w:rPr>
          <w:rFonts w:cs="宋体" w:asciiTheme="majorEastAsia" w:hAnsiTheme="majorEastAsia" w:eastAsiaTheme="majorEastAsia"/>
          <w:color w:val="auto"/>
          <w:kern w:val="1"/>
          <w:sz w:val="24"/>
          <w:highlight w:val="none"/>
        </w:rPr>
      </w:pPr>
      <w:r>
        <w:rPr>
          <w:rFonts w:hint="eastAsia" w:cs="宋体" w:asciiTheme="majorEastAsia" w:hAnsiTheme="majorEastAsia" w:eastAsiaTheme="majorEastAsia"/>
          <w:color w:val="auto"/>
          <w:kern w:val="1"/>
          <w:sz w:val="24"/>
          <w:highlight w:val="none"/>
        </w:rPr>
        <w:t>（二）承包方式</w:t>
      </w:r>
    </w:p>
    <w:p>
      <w:pPr>
        <w:spacing w:line="360" w:lineRule="auto"/>
        <w:ind w:firstLine="480" w:firstLineChars="200"/>
        <w:rPr>
          <w:rFonts w:cs="宋体" w:asciiTheme="majorEastAsia" w:hAnsiTheme="majorEastAsia" w:eastAsiaTheme="majorEastAsia"/>
          <w:color w:val="auto"/>
          <w:kern w:val="1"/>
          <w:sz w:val="24"/>
          <w:highlight w:val="none"/>
        </w:rPr>
      </w:pPr>
      <w:r>
        <w:rPr>
          <w:rFonts w:hint="eastAsia" w:cs="宋体" w:asciiTheme="majorEastAsia" w:hAnsiTheme="majorEastAsia" w:eastAsiaTheme="majorEastAsia"/>
          <w:color w:val="auto"/>
          <w:sz w:val="24"/>
          <w:highlight w:val="none"/>
        </w:rPr>
        <w:t>本合同采用总价包干。</w:t>
      </w:r>
      <w:r>
        <w:rPr>
          <w:rFonts w:hint="eastAsia" w:cs="宋体" w:asciiTheme="majorEastAsia" w:hAnsiTheme="majorEastAsia" w:eastAsiaTheme="majorEastAsia"/>
          <w:color w:val="auto"/>
          <w:kern w:val="1"/>
          <w:sz w:val="24"/>
          <w:highlight w:val="none"/>
        </w:rPr>
        <w:t>由承包人</w:t>
      </w:r>
      <w:r>
        <w:rPr>
          <w:rFonts w:hint="eastAsia" w:cs="宋体" w:asciiTheme="majorEastAsia" w:hAnsiTheme="majorEastAsia" w:eastAsiaTheme="majorEastAsia"/>
          <w:bCs/>
          <w:color w:val="auto"/>
          <w:sz w:val="24"/>
          <w:highlight w:val="none"/>
        </w:rPr>
        <w:t>包通过供电局审查增加的一切费用、包工、包材料、包工期、包质量、包安全生产、包文明施工、包调试和联合调试，包招标范围内工程竣工验收、包供电局送电前专项检测验收并送电、包协助配合总包单位完成消防及机电分部等专项验收、包竣工送电后至移交给发包人期间的运行维护管理、包结算的组织和资料整理（含竣工图编制）、包协助完成公变资产移交给供电局等相关一切费用。</w:t>
      </w:r>
      <w:r>
        <w:rPr>
          <w:rFonts w:hint="eastAsia" w:cs="宋体" w:asciiTheme="majorEastAsia" w:hAnsiTheme="majorEastAsia" w:eastAsiaTheme="majorEastAsia"/>
          <w:color w:val="auto"/>
          <w:kern w:val="1"/>
          <w:sz w:val="24"/>
          <w:highlight w:val="none"/>
        </w:rPr>
        <w:t>绿色施工安全防护措施费包干，人工费包干。</w:t>
      </w:r>
      <w:r>
        <w:rPr>
          <w:rFonts w:hint="eastAsia" w:cs="宋体" w:asciiTheme="majorEastAsia" w:hAnsiTheme="majorEastAsia" w:eastAsiaTheme="majorEastAsia"/>
          <w:color w:val="auto"/>
          <w:kern w:val="1"/>
          <w:sz w:val="24"/>
          <w:highlight w:val="none"/>
        </w:rPr>
        <w:t>若项目实施过程中因政府相关法律、法规及政策性文件提及的新要求新规定引起了价格变动，由双方另行协商并签订补充协议。</w:t>
      </w:r>
    </w:p>
    <w:bookmarkEnd w:id="31"/>
    <w:p>
      <w:pPr>
        <w:adjustRightInd w:val="0"/>
        <w:snapToGrid w:val="0"/>
        <w:spacing w:line="360" w:lineRule="auto"/>
        <w:ind w:right="11" w:firstLine="482" w:firstLineChars="200"/>
        <w:outlineLvl w:val="1"/>
        <w:rPr>
          <w:rFonts w:cs="宋体" w:asciiTheme="majorEastAsia" w:hAnsiTheme="majorEastAsia" w:eastAsiaTheme="majorEastAsia"/>
          <w:b/>
          <w:bCs/>
          <w:snapToGrid w:val="0"/>
          <w:color w:val="auto"/>
          <w:kern w:val="0"/>
          <w:sz w:val="24"/>
          <w:highlight w:val="none"/>
        </w:rPr>
      </w:pPr>
      <w:bookmarkStart w:id="33" w:name="_Toc29015"/>
      <w:bookmarkStart w:id="34" w:name="_Toc396662267"/>
      <w:bookmarkStart w:id="35" w:name="_Toc397364813"/>
      <w:bookmarkStart w:id="36" w:name="_Toc23467"/>
      <w:bookmarkStart w:id="37" w:name="_Toc140476831"/>
      <w:r>
        <w:rPr>
          <w:rFonts w:hint="eastAsia" w:cs="宋体" w:asciiTheme="majorEastAsia" w:hAnsiTheme="majorEastAsia" w:eastAsiaTheme="majorEastAsia"/>
          <w:b/>
          <w:bCs/>
          <w:snapToGrid w:val="0"/>
          <w:color w:val="auto"/>
          <w:kern w:val="0"/>
          <w:sz w:val="24"/>
          <w:highlight w:val="none"/>
        </w:rPr>
        <w:t>三、合同工期</w:t>
      </w:r>
      <w:bookmarkEnd w:id="33"/>
      <w:bookmarkEnd w:id="34"/>
      <w:bookmarkEnd w:id="35"/>
      <w:bookmarkEnd w:id="36"/>
      <w:bookmarkEnd w:id="37"/>
    </w:p>
    <w:p>
      <w:pPr>
        <w:tabs>
          <w:tab w:val="left" w:pos="540"/>
        </w:tabs>
        <w:spacing w:line="360" w:lineRule="auto"/>
        <w:ind w:firstLine="540" w:firstLineChars="225"/>
        <w:rPr>
          <w:rFonts w:cs="宋体" w:asciiTheme="majorEastAsia" w:hAnsiTheme="majorEastAsia" w:eastAsiaTheme="majorEastAsia"/>
          <w:color w:val="auto"/>
          <w:spacing w:val="1"/>
          <w:kern w:val="0"/>
          <w:position w:val="-3"/>
          <w:sz w:val="24"/>
          <w:highlight w:val="none"/>
        </w:rPr>
      </w:pPr>
      <w:r>
        <w:rPr>
          <w:rFonts w:hint="eastAsia" w:cs="宋体" w:asciiTheme="majorEastAsia" w:hAnsiTheme="majorEastAsia" w:eastAsiaTheme="majorEastAsia"/>
          <w:color w:val="auto"/>
          <w:sz w:val="24"/>
          <w:szCs w:val="20"/>
          <w:highlight w:val="none"/>
        </w:rPr>
        <w:t>3.1计划总工期：</w:t>
      </w:r>
      <w:r>
        <w:rPr>
          <w:rFonts w:hint="eastAsia" w:cs="宋体" w:asciiTheme="majorEastAsia" w:hAnsiTheme="majorEastAsia" w:eastAsiaTheme="majorEastAsia"/>
          <w:color w:val="auto"/>
          <w:sz w:val="24"/>
          <w:szCs w:val="20"/>
          <w:highlight w:val="none"/>
          <w:u w:val="single"/>
        </w:rPr>
        <w:t>633</w:t>
      </w:r>
      <w:r>
        <w:rPr>
          <w:rFonts w:hint="eastAsia" w:cs="宋体" w:asciiTheme="majorEastAsia" w:hAnsiTheme="majorEastAsia" w:eastAsiaTheme="majorEastAsia"/>
          <w:color w:val="auto"/>
          <w:sz w:val="24"/>
          <w:szCs w:val="20"/>
          <w:highlight w:val="none"/>
        </w:rPr>
        <w:t>日历天。</w:t>
      </w:r>
    </w:p>
    <w:p>
      <w:pPr>
        <w:tabs>
          <w:tab w:val="left" w:pos="540"/>
        </w:tabs>
        <w:spacing w:line="360" w:lineRule="auto"/>
        <w:ind w:firstLine="540" w:firstLineChars="225"/>
        <w:rPr>
          <w:rFonts w:cs="宋体" w:asciiTheme="majorEastAsia" w:hAnsiTheme="majorEastAsia" w:eastAsiaTheme="majorEastAsia"/>
          <w:color w:val="auto"/>
          <w:sz w:val="24"/>
          <w:szCs w:val="20"/>
          <w:highlight w:val="none"/>
        </w:rPr>
      </w:pPr>
      <w:r>
        <w:rPr>
          <w:rFonts w:hint="eastAsia" w:cs="宋体" w:asciiTheme="majorEastAsia" w:hAnsiTheme="majorEastAsia" w:eastAsiaTheme="majorEastAsia"/>
          <w:color w:val="auto"/>
          <w:sz w:val="24"/>
          <w:szCs w:val="20"/>
          <w:highlight w:val="none"/>
        </w:rPr>
        <w:t>3.2开工日期具体以发包人或发包人委托的监理单位发出的开工令为准；合同总工期结束时间以完成本合同所有工程施工、收尾整改等工作、达到交付标准的日期中时间靠后的日期为准。</w:t>
      </w:r>
    </w:p>
    <w:tbl>
      <w:tblPr>
        <w:tblStyle w:val="41"/>
        <w:tblW w:w="7999" w:type="dxa"/>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9"/>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789" w:type="dxa"/>
            <w:vAlign w:val="center"/>
          </w:tcPr>
          <w:p>
            <w:pPr>
              <w:autoSpaceDE w:val="0"/>
              <w:autoSpaceDN w:val="0"/>
              <w:adjustRightInd w:val="0"/>
              <w:spacing w:line="360" w:lineRule="auto"/>
              <w:jc w:val="center"/>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关键节点名称</w:t>
            </w:r>
          </w:p>
        </w:tc>
        <w:tc>
          <w:tcPr>
            <w:tcW w:w="3210" w:type="dxa"/>
            <w:vAlign w:val="center"/>
          </w:tcPr>
          <w:p>
            <w:pPr>
              <w:autoSpaceDE w:val="0"/>
              <w:autoSpaceDN w:val="0"/>
              <w:adjustRightInd w:val="0"/>
              <w:spacing w:line="360" w:lineRule="auto"/>
              <w:jc w:val="center"/>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789" w:type="dxa"/>
            <w:vAlign w:val="center"/>
          </w:tcPr>
          <w:p>
            <w:pPr>
              <w:autoSpaceDE w:val="0"/>
              <w:autoSpaceDN w:val="0"/>
              <w:adjustRightInd w:val="0"/>
              <w:spacing w:line="360" w:lineRule="auto"/>
              <w:jc w:val="center"/>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配电房、红线内外电缆沟等土建工作完工并通过中间验收</w:t>
            </w:r>
          </w:p>
        </w:tc>
        <w:tc>
          <w:tcPr>
            <w:tcW w:w="3210" w:type="dxa"/>
            <w:vAlign w:val="center"/>
          </w:tcPr>
          <w:p>
            <w:pPr>
              <w:autoSpaceDE w:val="0"/>
              <w:autoSpaceDN w:val="0"/>
              <w:adjustRightInd w:val="0"/>
              <w:spacing w:line="360" w:lineRule="auto"/>
              <w:jc w:val="center"/>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2025年10月30日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789" w:type="dxa"/>
            <w:vAlign w:val="center"/>
          </w:tcPr>
          <w:p>
            <w:pPr>
              <w:autoSpaceDE w:val="0"/>
              <w:autoSpaceDN w:val="0"/>
              <w:adjustRightInd w:val="0"/>
              <w:spacing w:line="360" w:lineRule="auto"/>
              <w:jc w:val="center"/>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设备安装调试完成并报批停电计划</w:t>
            </w:r>
          </w:p>
        </w:tc>
        <w:tc>
          <w:tcPr>
            <w:tcW w:w="3210" w:type="dxa"/>
            <w:vAlign w:val="center"/>
          </w:tcPr>
          <w:p>
            <w:pPr>
              <w:autoSpaceDE w:val="0"/>
              <w:autoSpaceDN w:val="0"/>
              <w:adjustRightInd w:val="0"/>
              <w:spacing w:line="360" w:lineRule="auto"/>
              <w:jc w:val="center"/>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2025年12月20日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89" w:type="dxa"/>
            <w:vAlign w:val="center"/>
          </w:tcPr>
          <w:p>
            <w:pPr>
              <w:autoSpaceDE w:val="0"/>
              <w:autoSpaceDN w:val="0"/>
              <w:adjustRightInd w:val="0"/>
              <w:spacing w:line="360" w:lineRule="auto"/>
              <w:jc w:val="center"/>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全区高压送电</w:t>
            </w:r>
          </w:p>
        </w:tc>
        <w:tc>
          <w:tcPr>
            <w:tcW w:w="3210" w:type="dxa"/>
            <w:vAlign w:val="center"/>
          </w:tcPr>
          <w:p>
            <w:pPr>
              <w:autoSpaceDE w:val="0"/>
              <w:autoSpaceDN w:val="0"/>
              <w:adjustRightInd w:val="0"/>
              <w:spacing w:line="360" w:lineRule="auto"/>
              <w:jc w:val="center"/>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2026年1月20日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789" w:type="dxa"/>
            <w:vAlign w:val="center"/>
          </w:tcPr>
          <w:p>
            <w:pPr>
              <w:autoSpaceDE w:val="0"/>
              <w:autoSpaceDN w:val="0"/>
              <w:adjustRightInd w:val="0"/>
              <w:spacing w:line="360" w:lineRule="auto"/>
              <w:jc w:val="center"/>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全区低压柜送电</w:t>
            </w:r>
          </w:p>
        </w:tc>
        <w:tc>
          <w:tcPr>
            <w:tcW w:w="3210" w:type="dxa"/>
            <w:vAlign w:val="center"/>
          </w:tcPr>
          <w:p>
            <w:pPr>
              <w:autoSpaceDE w:val="0"/>
              <w:autoSpaceDN w:val="0"/>
              <w:adjustRightInd w:val="0"/>
              <w:spacing w:line="360" w:lineRule="auto"/>
              <w:jc w:val="center"/>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2026年2月20日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4789" w:type="dxa"/>
            <w:vAlign w:val="center"/>
          </w:tcPr>
          <w:p>
            <w:pPr>
              <w:autoSpaceDE w:val="0"/>
              <w:autoSpaceDN w:val="0"/>
              <w:adjustRightInd w:val="0"/>
              <w:spacing w:line="360" w:lineRule="auto"/>
              <w:jc w:val="center"/>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1-2栋送电到户</w:t>
            </w:r>
          </w:p>
        </w:tc>
        <w:tc>
          <w:tcPr>
            <w:tcW w:w="3210" w:type="dxa"/>
            <w:vAlign w:val="center"/>
          </w:tcPr>
          <w:p>
            <w:pPr>
              <w:autoSpaceDE w:val="0"/>
              <w:autoSpaceDN w:val="0"/>
              <w:adjustRightInd w:val="0"/>
              <w:spacing w:line="360" w:lineRule="auto"/>
              <w:jc w:val="center"/>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2026年4月30日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4789" w:type="dxa"/>
            <w:vAlign w:val="center"/>
          </w:tcPr>
          <w:p>
            <w:pPr>
              <w:autoSpaceDE w:val="0"/>
              <w:autoSpaceDN w:val="0"/>
              <w:adjustRightInd w:val="0"/>
              <w:spacing w:line="360" w:lineRule="auto"/>
              <w:jc w:val="center"/>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7-9栋送电到户</w:t>
            </w:r>
          </w:p>
        </w:tc>
        <w:tc>
          <w:tcPr>
            <w:tcW w:w="3210" w:type="dxa"/>
            <w:vAlign w:val="center"/>
          </w:tcPr>
          <w:p>
            <w:pPr>
              <w:autoSpaceDE w:val="0"/>
              <w:autoSpaceDN w:val="0"/>
              <w:adjustRightInd w:val="0"/>
              <w:spacing w:line="360" w:lineRule="auto"/>
              <w:jc w:val="center"/>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2026年12月30日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4789" w:type="dxa"/>
            <w:vAlign w:val="center"/>
          </w:tcPr>
          <w:p>
            <w:pPr>
              <w:autoSpaceDE w:val="0"/>
              <w:autoSpaceDN w:val="0"/>
              <w:adjustRightInd w:val="0"/>
              <w:spacing w:line="360" w:lineRule="auto"/>
              <w:jc w:val="center"/>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协助发包人完成供电局资产移交手续</w:t>
            </w:r>
          </w:p>
        </w:tc>
        <w:tc>
          <w:tcPr>
            <w:tcW w:w="3210" w:type="dxa"/>
            <w:vAlign w:val="center"/>
          </w:tcPr>
          <w:p>
            <w:pPr>
              <w:autoSpaceDE w:val="0"/>
              <w:autoSpaceDN w:val="0"/>
              <w:adjustRightInd w:val="0"/>
              <w:spacing w:line="360" w:lineRule="auto"/>
              <w:jc w:val="center"/>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2027年1月30日</w:t>
            </w:r>
          </w:p>
        </w:tc>
      </w:tr>
    </w:tbl>
    <w:p>
      <w:pPr>
        <w:tabs>
          <w:tab w:val="left" w:pos="540"/>
        </w:tabs>
        <w:spacing w:line="360" w:lineRule="auto"/>
        <w:rPr>
          <w:rFonts w:cs="宋体" w:asciiTheme="majorEastAsia" w:hAnsiTheme="majorEastAsia" w:eastAsiaTheme="majorEastAsia"/>
          <w:color w:val="auto"/>
          <w:sz w:val="24"/>
          <w:szCs w:val="20"/>
          <w:highlight w:val="none"/>
        </w:rPr>
      </w:pPr>
      <w:r>
        <w:rPr>
          <w:rFonts w:hint="eastAsia" w:cs="宋体" w:asciiTheme="majorEastAsia" w:hAnsiTheme="majorEastAsia" w:eastAsiaTheme="majorEastAsia"/>
          <w:color w:val="auto"/>
          <w:sz w:val="24"/>
          <w:szCs w:val="20"/>
          <w:highlight w:val="none"/>
        </w:rPr>
        <w:tab/>
      </w:r>
      <w:r>
        <w:rPr>
          <w:rFonts w:hint="eastAsia" w:cs="宋体" w:asciiTheme="majorEastAsia" w:hAnsiTheme="majorEastAsia" w:eastAsiaTheme="majorEastAsia"/>
          <w:color w:val="auto"/>
          <w:sz w:val="24"/>
          <w:szCs w:val="20"/>
          <w:highlight w:val="none"/>
        </w:rPr>
        <w:t>发包人根据工程实施情况，有权对本合同工程工期(包括关键节点工期和竣工日期)进行适当调整，承包人必须采取一切有效措施保证竣工日期，不得延误，并不得要求另行增加费用；如不能按经发包人批准或下达的计划完成任务，承包人须承担逾期违约责任。</w:t>
      </w:r>
    </w:p>
    <w:p>
      <w:pPr>
        <w:adjustRightInd w:val="0"/>
        <w:snapToGrid w:val="0"/>
        <w:spacing w:line="360" w:lineRule="auto"/>
        <w:ind w:right="11" w:firstLine="482" w:firstLineChars="200"/>
        <w:outlineLvl w:val="1"/>
        <w:rPr>
          <w:rFonts w:cs="宋体" w:asciiTheme="majorEastAsia" w:hAnsiTheme="majorEastAsia" w:eastAsiaTheme="majorEastAsia"/>
          <w:b/>
          <w:bCs/>
          <w:snapToGrid w:val="0"/>
          <w:color w:val="auto"/>
          <w:kern w:val="0"/>
          <w:sz w:val="24"/>
          <w:highlight w:val="none"/>
        </w:rPr>
      </w:pPr>
      <w:bookmarkStart w:id="38" w:name="_Toc396662271"/>
      <w:bookmarkStart w:id="39" w:name="_Toc397364814"/>
      <w:bookmarkStart w:id="40" w:name="_Toc12281"/>
      <w:bookmarkStart w:id="41" w:name="_Toc14036"/>
      <w:bookmarkStart w:id="42" w:name="_Toc140476832"/>
      <w:r>
        <w:rPr>
          <w:rFonts w:hint="eastAsia" w:cs="宋体" w:asciiTheme="majorEastAsia" w:hAnsiTheme="majorEastAsia" w:eastAsiaTheme="majorEastAsia"/>
          <w:b/>
          <w:bCs/>
          <w:snapToGrid w:val="0"/>
          <w:color w:val="auto"/>
          <w:kern w:val="0"/>
          <w:sz w:val="24"/>
          <w:highlight w:val="none"/>
        </w:rPr>
        <w:t>四、质量标准、目标</w:t>
      </w:r>
      <w:bookmarkEnd w:id="38"/>
      <w:bookmarkEnd w:id="39"/>
      <w:bookmarkEnd w:id="40"/>
      <w:bookmarkEnd w:id="41"/>
      <w:r>
        <w:rPr>
          <w:rFonts w:hint="eastAsia" w:cs="宋体" w:asciiTheme="majorEastAsia" w:hAnsiTheme="majorEastAsia" w:eastAsiaTheme="majorEastAsia"/>
          <w:b/>
          <w:bCs/>
          <w:snapToGrid w:val="0"/>
          <w:color w:val="auto"/>
          <w:kern w:val="0"/>
          <w:sz w:val="24"/>
          <w:highlight w:val="none"/>
        </w:rPr>
        <w:t>、技术条件要求</w:t>
      </w:r>
      <w:bookmarkEnd w:id="42"/>
    </w:p>
    <w:p>
      <w:p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rPr>
      </w:pPr>
      <w:bookmarkStart w:id="43" w:name="_Toc26754"/>
      <w:bookmarkStart w:id="44" w:name="_Toc24520"/>
      <w:bookmarkStart w:id="45" w:name="_Toc396662273"/>
      <w:bookmarkStart w:id="46" w:name="_Toc397364816"/>
      <w:r>
        <w:rPr>
          <w:rFonts w:hint="eastAsia" w:cs="宋体" w:asciiTheme="majorEastAsia" w:hAnsiTheme="majorEastAsia" w:eastAsiaTheme="majorEastAsia"/>
          <w:snapToGrid w:val="0"/>
          <w:color w:val="auto"/>
          <w:kern w:val="0"/>
          <w:sz w:val="24"/>
          <w:highlight w:val="none"/>
        </w:rPr>
        <w:t>（1）质量标准：</w:t>
      </w:r>
      <w:bookmarkEnd w:id="43"/>
      <w:bookmarkEnd w:id="44"/>
      <w:bookmarkStart w:id="47" w:name="_Toc20767"/>
      <w:bookmarkStart w:id="48" w:name="_Toc13903"/>
      <w:bookmarkStart w:id="49" w:name="_Toc5331"/>
      <w:r>
        <w:rPr>
          <w:rFonts w:hint="eastAsia" w:cs="宋体" w:asciiTheme="majorEastAsia" w:hAnsiTheme="majorEastAsia" w:eastAsiaTheme="majorEastAsia"/>
          <w:snapToGrid w:val="0"/>
          <w:color w:val="auto"/>
          <w:kern w:val="0"/>
          <w:sz w:val="24"/>
          <w:highlight w:val="none"/>
        </w:rPr>
        <w:t>满足设计文件要求</w:t>
      </w:r>
      <w:bookmarkEnd w:id="47"/>
      <w:r>
        <w:rPr>
          <w:rFonts w:hint="eastAsia" w:cs="宋体" w:asciiTheme="majorEastAsia" w:hAnsiTheme="majorEastAsia" w:eastAsiaTheme="majorEastAsia"/>
          <w:snapToGrid w:val="0"/>
          <w:color w:val="auto"/>
          <w:kern w:val="0"/>
          <w:sz w:val="24"/>
          <w:highlight w:val="none"/>
        </w:rPr>
        <w:t>、符合招标文件所要求的设计规范、标准和国家、地方、行业有关标准及投标文件承诺。符合《建筑工程施工质量验收统一标准》（GB50300-2013）、《工程施工质量验收规范》、《建设工程质量管理条例》及国家现行工程施工质量验收规范等，并达到合格（或以上）标准。如有新的规范标准，则按新的规范标准执行</w:t>
      </w:r>
      <w:bookmarkEnd w:id="48"/>
      <w:bookmarkEnd w:id="49"/>
      <w:r>
        <w:rPr>
          <w:rFonts w:hint="eastAsia" w:cs="宋体" w:asciiTheme="majorEastAsia" w:hAnsiTheme="majorEastAsia" w:eastAsiaTheme="majorEastAsia"/>
          <w:snapToGrid w:val="0"/>
          <w:color w:val="auto"/>
          <w:kern w:val="0"/>
          <w:sz w:val="24"/>
          <w:highlight w:val="none"/>
        </w:rPr>
        <w:t>。</w:t>
      </w:r>
    </w:p>
    <w:p>
      <w:p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lang w:val="zh-CN"/>
        </w:rPr>
      </w:pPr>
      <w:bookmarkStart w:id="50" w:name="_Toc10400"/>
      <w:bookmarkStart w:id="51" w:name="_Toc2160"/>
      <w:r>
        <w:rPr>
          <w:rFonts w:hint="eastAsia" w:cs="宋体" w:asciiTheme="majorEastAsia" w:hAnsiTheme="majorEastAsia" w:eastAsiaTheme="majorEastAsia"/>
          <w:snapToGrid w:val="0"/>
          <w:color w:val="auto"/>
          <w:kern w:val="0"/>
          <w:sz w:val="24"/>
          <w:highlight w:val="none"/>
        </w:rPr>
        <w:t>（2）质量目标：</w:t>
      </w:r>
      <w:bookmarkEnd w:id="45"/>
      <w:bookmarkEnd w:id="46"/>
      <w:r>
        <w:rPr>
          <w:rFonts w:hint="eastAsia" w:cs="宋体" w:asciiTheme="majorEastAsia" w:hAnsiTheme="majorEastAsia" w:eastAsiaTheme="majorEastAsia"/>
          <w:snapToGrid w:val="0"/>
          <w:color w:val="auto"/>
          <w:kern w:val="0"/>
          <w:sz w:val="24"/>
          <w:highlight w:val="none"/>
        </w:rPr>
        <w:t>一次竣工验收合格</w:t>
      </w:r>
      <w:r>
        <w:rPr>
          <w:rFonts w:hint="eastAsia" w:cs="宋体" w:asciiTheme="majorEastAsia" w:hAnsiTheme="majorEastAsia" w:eastAsiaTheme="majorEastAsia"/>
          <w:snapToGrid w:val="0"/>
          <w:color w:val="auto"/>
          <w:kern w:val="0"/>
          <w:sz w:val="24"/>
          <w:highlight w:val="none"/>
          <w:lang w:val="zh-CN"/>
        </w:rPr>
        <w:t>。</w:t>
      </w:r>
      <w:bookmarkEnd w:id="50"/>
      <w:bookmarkEnd w:id="51"/>
    </w:p>
    <w:p>
      <w:p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lang w:val="zh-CN"/>
        </w:rPr>
      </w:pPr>
      <w:bookmarkStart w:id="52" w:name="_Toc14514"/>
      <w:bookmarkStart w:id="53" w:name="_Toc396662274"/>
      <w:bookmarkStart w:id="54" w:name="_Toc19980"/>
      <w:bookmarkStart w:id="55" w:name="_Toc397364817"/>
      <w:r>
        <w:rPr>
          <w:rFonts w:hint="eastAsia" w:cs="宋体" w:asciiTheme="majorEastAsia" w:hAnsiTheme="majorEastAsia" w:eastAsiaTheme="majorEastAsia"/>
          <w:snapToGrid w:val="0"/>
          <w:color w:val="auto"/>
          <w:kern w:val="0"/>
          <w:sz w:val="24"/>
          <w:highlight w:val="none"/>
        </w:rPr>
        <w:t>（</w:t>
      </w:r>
      <w:r>
        <w:rPr>
          <w:rFonts w:cs="宋体" w:asciiTheme="majorEastAsia" w:hAnsiTheme="majorEastAsia" w:eastAsiaTheme="majorEastAsia"/>
          <w:snapToGrid w:val="0"/>
          <w:color w:val="auto"/>
          <w:kern w:val="0"/>
          <w:sz w:val="24"/>
          <w:highlight w:val="none"/>
        </w:rPr>
        <w:t>3</w:t>
      </w:r>
      <w:r>
        <w:rPr>
          <w:rFonts w:hint="eastAsia" w:cs="宋体" w:asciiTheme="majorEastAsia" w:hAnsiTheme="majorEastAsia" w:eastAsiaTheme="majorEastAsia"/>
          <w:snapToGrid w:val="0"/>
          <w:color w:val="auto"/>
          <w:kern w:val="0"/>
          <w:sz w:val="24"/>
          <w:highlight w:val="none"/>
        </w:rPr>
        <w:t>）</w:t>
      </w:r>
      <w:bookmarkStart w:id="56" w:name="_Hlk120976323"/>
      <w:r>
        <w:rPr>
          <w:rFonts w:hint="eastAsia" w:cs="宋体" w:asciiTheme="majorEastAsia" w:hAnsiTheme="majorEastAsia" w:eastAsiaTheme="majorEastAsia"/>
          <w:snapToGrid w:val="0"/>
          <w:color w:val="auto"/>
          <w:kern w:val="0"/>
          <w:sz w:val="24"/>
          <w:highlight w:val="none"/>
        </w:rPr>
        <w:t>技术条件要求</w:t>
      </w:r>
      <w:bookmarkEnd w:id="56"/>
      <w:r>
        <w:rPr>
          <w:rFonts w:hint="eastAsia" w:cs="宋体" w:asciiTheme="majorEastAsia" w:hAnsiTheme="majorEastAsia" w:eastAsiaTheme="majorEastAsia"/>
          <w:snapToGrid w:val="0"/>
          <w:color w:val="auto"/>
          <w:kern w:val="0"/>
          <w:sz w:val="24"/>
          <w:highlight w:val="none"/>
        </w:rPr>
        <w:t>：满足本合同附件《技术条件（工程建设标准）》要求</w:t>
      </w:r>
      <w:r>
        <w:rPr>
          <w:rFonts w:hint="eastAsia" w:cs="宋体" w:asciiTheme="majorEastAsia" w:hAnsiTheme="majorEastAsia" w:eastAsiaTheme="majorEastAsia"/>
          <w:snapToGrid w:val="0"/>
          <w:color w:val="auto"/>
          <w:kern w:val="0"/>
          <w:sz w:val="24"/>
          <w:highlight w:val="none"/>
          <w:lang w:val="zh-CN"/>
        </w:rPr>
        <w:t>。</w:t>
      </w:r>
    </w:p>
    <w:p>
      <w:pPr>
        <w:adjustRightInd w:val="0"/>
        <w:snapToGrid w:val="0"/>
        <w:spacing w:line="360" w:lineRule="auto"/>
        <w:ind w:right="11" w:firstLine="482" w:firstLineChars="200"/>
        <w:outlineLvl w:val="1"/>
        <w:rPr>
          <w:rFonts w:cs="宋体" w:asciiTheme="majorEastAsia" w:hAnsiTheme="majorEastAsia" w:eastAsiaTheme="majorEastAsia"/>
          <w:b/>
          <w:bCs/>
          <w:snapToGrid w:val="0"/>
          <w:color w:val="auto"/>
          <w:kern w:val="0"/>
          <w:sz w:val="24"/>
          <w:highlight w:val="none"/>
        </w:rPr>
      </w:pPr>
      <w:bookmarkStart w:id="57" w:name="_Toc140476833"/>
      <w:r>
        <w:rPr>
          <w:rFonts w:hint="eastAsia" w:cs="宋体" w:asciiTheme="majorEastAsia" w:hAnsiTheme="majorEastAsia" w:eastAsiaTheme="majorEastAsia"/>
          <w:b/>
          <w:bCs/>
          <w:snapToGrid w:val="0"/>
          <w:color w:val="auto"/>
          <w:kern w:val="0"/>
          <w:sz w:val="24"/>
          <w:highlight w:val="none"/>
        </w:rPr>
        <w:t>五、职业健康安全管理目标和环境管理目标</w:t>
      </w:r>
      <w:bookmarkEnd w:id="52"/>
      <w:bookmarkEnd w:id="53"/>
      <w:bookmarkEnd w:id="54"/>
      <w:bookmarkEnd w:id="55"/>
      <w:bookmarkEnd w:id="57"/>
    </w:p>
    <w:p>
      <w:p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rPr>
      </w:pPr>
      <w:bookmarkStart w:id="58" w:name="_Toc396662275"/>
      <w:r>
        <w:rPr>
          <w:rFonts w:hint="eastAsia" w:cs="宋体" w:asciiTheme="majorEastAsia" w:hAnsiTheme="majorEastAsia" w:eastAsiaTheme="majorEastAsia"/>
          <w:bCs/>
          <w:snapToGrid w:val="0"/>
          <w:color w:val="auto"/>
          <w:kern w:val="0"/>
          <w:sz w:val="24"/>
          <w:highlight w:val="none"/>
        </w:rPr>
        <w:t>（1）职业健康安全管理目标：</w:t>
      </w:r>
      <w:r>
        <w:rPr>
          <w:rFonts w:hint="eastAsia" w:cs="宋体" w:asciiTheme="majorEastAsia" w:hAnsiTheme="majorEastAsia" w:eastAsiaTheme="majorEastAsia"/>
          <w:snapToGrid w:val="0"/>
          <w:color w:val="auto"/>
          <w:kern w:val="0"/>
          <w:sz w:val="24"/>
          <w:highlight w:val="none"/>
        </w:rPr>
        <w:t>杜绝发生一般事故等级及以上的伤亡事故且工伤责任事故死亡人数为零。</w:t>
      </w:r>
      <w:bookmarkEnd w:id="58"/>
    </w:p>
    <w:p>
      <w:pPr>
        <w:adjustRightInd w:val="0"/>
        <w:snapToGrid w:val="0"/>
        <w:spacing w:line="360" w:lineRule="auto"/>
        <w:ind w:right="11" w:firstLine="480" w:firstLineChars="200"/>
        <w:rPr>
          <w:rFonts w:cs="宋体" w:asciiTheme="majorEastAsia" w:hAnsiTheme="majorEastAsia" w:eastAsiaTheme="majorEastAsia"/>
          <w:bCs/>
          <w:snapToGrid w:val="0"/>
          <w:color w:val="auto"/>
          <w:kern w:val="0"/>
          <w:sz w:val="24"/>
          <w:highlight w:val="none"/>
        </w:rPr>
      </w:pPr>
      <w:bookmarkStart w:id="59" w:name="_Toc396662276"/>
      <w:r>
        <w:rPr>
          <w:rFonts w:hint="eastAsia" w:cs="宋体" w:asciiTheme="majorEastAsia" w:hAnsiTheme="majorEastAsia" w:eastAsiaTheme="majorEastAsia"/>
          <w:bCs/>
          <w:snapToGrid w:val="0"/>
          <w:color w:val="auto"/>
          <w:kern w:val="0"/>
          <w:sz w:val="24"/>
          <w:highlight w:val="none"/>
        </w:rPr>
        <w:t>（2）环境管理目标：</w:t>
      </w:r>
      <w:bookmarkEnd w:id="59"/>
      <w:r>
        <w:rPr>
          <w:rFonts w:hint="eastAsia" w:cs="宋体" w:asciiTheme="majorEastAsia" w:hAnsiTheme="majorEastAsia" w:eastAsiaTheme="majorEastAsia"/>
          <w:snapToGrid w:val="0"/>
          <w:color w:val="auto"/>
          <w:kern w:val="0"/>
          <w:sz w:val="24"/>
          <w:highlight w:val="none"/>
        </w:rPr>
        <w:t>严格执行</w:t>
      </w:r>
      <w:r>
        <w:rPr>
          <w:rFonts w:hint="eastAsia" w:cs="宋体" w:asciiTheme="majorEastAsia" w:hAnsiTheme="majorEastAsia" w:eastAsiaTheme="majorEastAsia"/>
          <w:bCs/>
          <w:snapToGrid w:val="0"/>
          <w:color w:val="auto"/>
          <w:kern w:val="0"/>
          <w:sz w:val="24"/>
          <w:highlight w:val="none"/>
        </w:rPr>
        <w:t>《广州市建设工程现场文明施工管理办法》（穗建质[2008]937号）、《广州市建设工程文明施工管理规定》（广州市人民政府令第62号）、《广州市城乡建设委员会关于印发广州市加强建筑工地环保管理工作方案的通知》（穗建质[2014]754号）、《广州市住房和城乡建设委员会关于进一步完善广州市建设工程施工围蔽管理要求的通知》（穗建质〔2015〕1347号）、《广州市住房和城乡建设局等9部门关于印发广州市建设工程绿色施工围蔽指导图集（V2.0版）的通知》（穗建质〔2020〕1号）、《广州市提升建设工程安全文明施工管理水平的工作指引》（穗建质[2017]815号）、《广州市住房和城乡建设局等8部门关于印发广州市建设工程扬尘防治“6个100%”管理标准图集（V2.0版）的通知》等相关现行文件要求。</w:t>
      </w:r>
    </w:p>
    <w:p>
      <w:pPr>
        <w:adjustRightInd w:val="0"/>
        <w:snapToGrid w:val="0"/>
        <w:spacing w:line="360" w:lineRule="auto"/>
        <w:ind w:right="11" w:firstLine="482" w:firstLineChars="200"/>
        <w:outlineLvl w:val="1"/>
        <w:rPr>
          <w:rFonts w:cs="宋体" w:asciiTheme="majorEastAsia" w:hAnsiTheme="majorEastAsia" w:eastAsiaTheme="majorEastAsia"/>
          <w:b/>
          <w:bCs/>
          <w:snapToGrid w:val="0"/>
          <w:color w:val="auto"/>
          <w:kern w:val="0"/>
          <w:sz w:val="24"/>
          <w:highlight w:val="none"/>
        </w:rPr>
      </w:pPr>
      <w:bookmarkStart w:id="60" w:name="_Toc140476834"/>
      <w:bookmarkStart w:id="61" w:name="_Toc397364818"/>
      <w:bookmarkStart w:id="62" w:name="_Toc9437"/>
      <w:bookmarkStart w:id="63" w:name="_Toc396662277"/>
      <w:bookmarkStart w:id="64" w:name="_Toc20939"/>
      <w:r>
        <w:rPr>
          <w:rFonts w:hint="eastAsia" w:cs="宋体" w:asciiTheme="majorEastAsia" w:hAnsiTheme="majorEastAsia" w:eastAsiaTheme="majorEastAsia"/>
          <w:b/>
          <w:bCs/>
          <w:snapToGrid w:val="0"/>
          <w:color w:val="auto"/>
          <w:kern w:val="0"/>
          <w:sz w:val="24"/>
          <w:highlight w:val="none"/>
        </w:rPr>
        <w:t>六、合同价款</w:t>
      </w:r>
      <w:bookmarkEnd w:id="60"/>
      <w:bookmarkEnd w:id="61"/>
      <w:bookmarkEnd w:id="62"/>
      <w:bookmarkEnd w:id="63"/>
      <w:bookmarkEnd w:id="64"/>
    </w:p>
    <w:p>
      <w:pPr>
        <w:adjustRightInd w:val="0"/>
        <w:snapToGrid w:val="0"/>
        <w:spacing w:line="360" w:lineRule="auto"/>
        <w:ind w:right="11" w:firstLine="480" w:firstLineChars="200"/>
        <w:rPr>
          <w:rFonts w:cs="宋体" w:asciiTheme="majorEastAsia" w:hAnsiTheme="majorEastAsia" w:eastAsiaTheme="majorEastAsia"/>
          <w:bCs/>
          <w:snapToGrid w:val="0"/>
          <w:color w:val="auto"/>
          <w:kern w:val="0"/>
          <w:sz w:val="24"/>
          <w:highlight w:val="none"/>
        </w:rPr>
      </w:pPr>
      <w:bookmarkStart w:id="65" w:name="_Toc396662278"/>
      <w:r>
        <w:rPr>
          <w:rFonts w:hint="eastAsia" w:cs="宋体" w:asciiTheme="majorEastAsia" w:hAnsiTheme="majorEastAsia" w:eastAsiaTheme="majorEastAsia"/>
          <w:bCs/>
          <w:snapToGrid w:val="0"/>
          <w:color w:val="auto"/>
          <w:kern w:val="0"/>
          <w:sz w:val="24"/>
          <w:highlight w:val="none"/>
        </w:rPr>
        <w:t>6.1本合同以人民币为报价和结算货币，除非发包人、承包人双方另有约定。</w:t>
      </w:r>
      <w:bookmarkEnd w:id="65"/>
    </w:p>
    <w:p>
      <w:pPr>
        <w:adjustRightInd w:val="0"/>
        <w:snapToGrid w:val="0"/>
        <w:spacing w:line="360" w:lineRule="auto"/>
        <w:ind w:right="11" w:firstLine="480" w:firstLineChars="200"/>
        <w:rPr>
          <w:rFonts w:cs="宋体" w:asciiTheme="majorEastAsia" w:hAnsiTheme="majorEastAsia" w:eastAsiaTheme="majorEastAsia"/>
          <w:bCs/>
          <w:snapToGrid w:val="0"/>
          <w:color w:val="auto"/>
          <w:kern w:val="0"/>
          <w:sz w:val="24"/>
          <w:highlight w:val="none"/>
        </w:rPr>
      </w:pPr>
      <w:bookmarkStart w:id="66" w:name="_Toc396662279"/>
      <w:r>
        <w:rPr>
          <w:rFonts w:hint="eastAsia" w:cs="宋体" w:asciiTheme="majorEastAsia" w:hAnsiTheme="majorEastAsia" w:eastAsiaTheme="majorEastAsia"/>
          <w:bCs/>
          <w:snapToGrid w:val="0"/>
          <w:color w:val="auto"/>
          <w:kern w:val="0"/>
          <w:sz w:val="24"/>
          <w:highlight w:val="none"/>
        </w:rPr>
        <w:t>6.2本合同含税固定总价为</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b/>
          <w:bCs/>
          <w:snapToGrid w:val="0"/>
          <w:color w:val="auto"/>
          <w:kern w:val="0"/>
          <w:sz w:val="24"/>
          <w:highlight w:val="none"/>
          <w:u w:val="single"/>
        </w:rPr>
        <w:t xml:space="preserve">    </w:t>
      </w:r>
      <w:r>
        <w:rPr>
          <w:rFonts w:cs="宋体" w:asciiTheme="majorEastAsia" w:hAnsiTheme="majorEastAsia" w:eastAsiaTheme="majorEastAsia"/>
          <w:b/>
          <w:bCs/>
          <w:snapToGrid w:val="0"/>
          <w:color w:val="auto"/>
          <w:kern w:val="0"/>
          <w:sz w:val="24"/>
          <w:highlight w:val="none"/>
          <w:u w:val="single"/>
        </w:rPr>
        <w:t xml:space="preserve">   </w:t>
      </w:r>
      <w:r>
        <w:rPr>
          <w:rFonts w:hint="eastAsia" w:cs="宋体" w:asciiTheme="majorEastAsia" w:hAnsiTheme="majorEastAsia" w:eastAsiaTheme="majorEastAsia"/>
          <w:snapToGrid w:val="0"/>
          <w:color w:val="auto"/>
          <w:kern w:val="0"/>
          <w:sz w:val="24"/>
          <w:highlight w:val="none"/>
        </w:rPr>
        <w:t>（大写人民币</w:t>
      </w:r>
      <w:r>
        <w:rPr>
          <w:rFonts w:cs="宋体" w:asciiTheme="majorEastAsia" w:hAnsiTheme="majorEastAsia" w:eastAsiaTheme="majorEastAsia"/>
          <w:snapToGrid w:val="0"/>
          <w:color w:val="auto"/>
          <w:kern w:val="0"/>
          <w:sz w:val="24"/>
          <w:highlight w:val="none"/>
          <w:u w:val="single"/>
        </w:rPr>
        <w:t xml:space="preserve">      </w:t>
      </w:r>
      <w:r>
        <w:rPr>
          <w:rFonts w:hint="eastAsia" w:cs="宋体" w:asciiTheme="majorEastAsia" w:hAnsiTheme="majorEastAsia" w:eastAsiaTheme="majorEastAsia"/>
          <w:snapToGrid w:val="0"/>
          <w:color w:val="auto"/>
          <w:kern w:val="0"/>
          <w:sz w:val="24"/>
          <w:highlight w:val="none"/>
          <w:u w:val="single"/>
        </w:rPr>
        <w:t xml:space="preserve">    </w:t>
      </w:r>
      <w:r>
        <w:rPr>
          <w:rFonts w:hint="eastAsia" w:cs="宋体" w:asciiTheme="majorEastAsia" w:hAnsiTheme="majorEastAsia" w:eastAsiaTheme="majorEastAsia"/>
          <w:snapToGrid w:val="0"/>
          <w:color w:val="auto"/>
          <w:kern w:val="0"/>
          <w:sz w:val="24"/>
          <w:highlight w:val="none"/>
        </w:rPr>
        <w:t>）</w:t>
      </w:r>
      <w:bookmarkEnd w:id="66"/>
      <w:r>
        <w:rPr>
          <w:rFonts w:hint="eastAsia" w:cs="宋体" w:asciiTheme="majorEastAsia" w:hAnsiTheme="majorEastAsia" w:eastAsiaTheme="majorEastAsia"/>
          <w:snapToGrid w:val="0"/>
          <w:color w:val="auto"/>
          <w:kern w:val="0"/>
          <w:sz w:val="24"/>
          <w:highlight w:val="none"/>
        </w:rPr>
        <w:t>，其中</w:t>
      </w:r>
      <w:r>
        <w:rPr>
          <w:rFonts w:hint="eastAsia" w:cs="宋体" w:asciiTheme="majorEastAsia" w:hAnsiTheme="majorEastAsia" w:eastAsiaTheme="majorEastAsia"/>
          <w:bCs/>
          <w:snapToGrid w:val="0"/>
          <w:color w:val="auto"/>
          <w:kern w:val="0"/>
          <w:sz w:val="24"/>
          <w:highlight w:val="none"/>
        </w:rPr>
        <w:t>不含税金额为</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snapToGrid w:val="0"/>
          <w:color w:val="auto"/>
          <w:kern w:val="0"/>
          <w:sz w:val="24"/>
          <w:highlight w:val="none"/>
          <w:u w:val="single"/>
        </w:rPr>
        <w:t xml:space="preserve">   </w:t>
      </w:r>
      <w:r>
        <w:rPr>
          <w:rFonts w:cs="宋体" w:asciiTheme="majorEastAsia" w:hAnsiTheme="majorEastAsia" w:eastAsiaTheme="majorEastAsia"/>
          <w:snapToGrid w:val="0"/>
          <w:color w:val="auto"/>
          <w:kern w:val="0"/>
          <w:sz w:val="24"/>
          <w:highlight w:val="none"/>
          <w:u w:val="single"/>
        </w:rPr>
        <w:t xml:space="preserve">  </w:t>
      </w:r>
      <w:r>
        <w:rPr>
          <w:rFonts w:hint="eastAsia" w:cs="宋体" w:asciiTheme="majorEastAsia" w:hAnsiTheme="majorEastAsia" w:eastAsiaTheme="majorEastAsia"/>
          <w:bCs/>
          <w:snapToGrid w:val="0"/>
          <w:color w:val="auto"/>
          <w:kern w:val="0"/>
          <w:sz w:val="24"/>
          <w:highlight w:val="none"/>
        </w:rPr>
        <w:t>，税率9%，税金为</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snapToGrid w:val="0"/>
          <w:color w:val="auto"/>
          <w:kern w:val="0"/>
          <w:sz w:val="24"/>
          <w:highlight w:val="none"/>
          <w:u w:val="single"/>
        </w:rPr>
        <w:t xml:space="preserve"> </w:t>
      </w:r>
      <w:r>
        <w:rPr>
          <w:rFonts w:cs="宋体" w:asciiTheme="majorEastAsia" w:hAnsiTheme="majorEastAsia" w:eastAsiaTheme="majorEastAsia"/>
          <w:snapToGrid w:val="0"/>
          <w:color w:val="auto"/>
          <w:kern w:val="0"/>
          <w:sz w:val="24"/>
          <w:highlight w:val="none"/>
          <w:u w:val="single"/>
        </w:rPr>
        <w:t xml:space="preserve">  </w:t>
      </w:r>
      <w:r>
        <w:rPr>
          <w:rFonts w:hint="eastAsia" w:cs="宋体" w:asciiTheme="majorEastAsia" w:hAnsiTheme="majorEastAsia" w:eastAsiaTheme="majorEastAsia"/>
          <w:snapToGrid w:val="0"/>
          <w:color w:val="auto"/>
          <w:kern w:val="0"/>
          <w:sz w:val="24"/>
          <w:highlight w:val="none"/>
          <w:u w:val="single"/>
        </w:rPr>
        <w:t xml:space="preserve"> </w:t>
      </w:r>
      <w:r>
        <w:rPr>
          <w:rFonts w:hint="eastAsia" w:cs="宋体" w:asciiTheme="majorEastAsia" w:hAnsiTheme="majorEastAsia" w:eastAsiaTheme="majorEastAsia"/>
          <w:bCs/>
          <w:snapToGrid w:val="0"/>
          <w:color w:val="auto"/>
          <w:kern w:val="0"/>
          <w:sz w:val="24"/>
          <w:highlight w:val="none"/>
        </w:rPr>
        <w:t>。如遇国家税务政策法规变化，税额部分按相关规定进行调整。</w:t>
      </w:r>
    </w:p>
    <w:p>
      <w:p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6.3 合同价款的支付与结算</w:t>
      </w:r>
    </w:p>
    <w:p>
      <w:p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（1）本合同价款由甲方支付，由乙方向甲方提交完整的合同请款资料（包括但不限于相关支付依据及相应增值税发票；发票抬头为发包人单位），甲方于15个工作日内完成审核后直接支付给乙方。</w:t>
      </w:r>
    </w:p>
    <w:p>
      <w:pPr>
        <w:adjustRightInd w:val="0"/>
        <w:snapToGrid w:val="0"/>
        <w:spacing w:line="360" w:lineRule="auto"/>
        <w:ind w:right="11" w:firstLine="482"/>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w:t>
      </w:r>
      <w:r>
        <w:rPr>
          <w:rFonts w:cs="宋体" w:asciiTheme="majorEastAsia" w:hAnsiTheme="majorEastAsia" w:eastAsiaTheme="majorEastAsia"/>
          <w:bCs/>
          <w:snapToGrid w:val="0"/>
          <w:color w:val="auto"/>
          <w:kern w:val="0"/>
          <w:sz w:val="24"/>
          <w:highlight w:val="none"/>
        </w:rPr>
        <w:t>2</w:t>
      </w:r>
      <w:r>
        <w:rPr>
          <w:rFonts w:hint="eastAsia" w:cs="宋体" w:asciiTheme="majorEastAsia" w:hAnsiTheme="majorEastAsia" w:eastAsiaTheme="majorEastAsia"/>
          <w:bCs/>
          <w:snapToGrid w:val="0"/>
          <w:color w:val="auto"/>
          <w:kern w:val="0"/>
          <w:sz w:val="24"/>
          <w:highlight w:val="none"/>
        </w:rPr>
        <w:t>）合同价款的结算</w:t>
      </w:r>
    </w:p>
    <w:p>
      <w:p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本合同工程竣工验收合格后</w:t>
      </w:r>
      <w:r>
        <w:rPr>
          <w:rFonts w:hint="eastAsia" w:cs="宋体" w:asciiTheme="majorEastAsia" w:hAnsiTheme="majorEastAsia" w:eastAsiaTheme="majorEastAsia"/>
          <w:snapToGrid w:val="0"/>
          <w:color w:val="auto"/>
          <w:kern w:val="0"/>
          <w:sz w:val="24"/>
          <w:highlight w:val="none"/>
          <w:u w:val="single"/>
        </w:rPr>
        <w:t>90</w:t>
      </w:r>
      <w:r>
        <w:rPr>
          <w:rFonts w:hint="eastAsia" w:cs="宋体" w:asciiTheme="majorEastAsia" w:hAnsiTheme="majorEastAsia" w:eastAsiaTheme="majorEastAsia"/>
          <w:snapToGrid w:val="0"/>
          <w:color w:val="auto"/>
          <w:kern w:val="0"/>
          <w:sz w:val="24"/>
          <w:highlight w:val="none"/>
        </w:rPr>
        <w:t>日历天内，承包人根据合同专用条款的结算规定，向发包人提交本合同的结算书及完整的结算资料。发包人收到承包人结算书及结算资料并审核确认后，由发包人按其管理制度组织工程结算终审，结算以有权终审单位审定为准。</w:t>
      </w:r>
    </w:p>
    <w:p>
      <w:pPr>
        <w:adjustRightInd w:val="0"/>
        <w:snapToGrid w:val="0"/>
        <w:spacing w:line="360" w:lineRule="auto"/>
        <w:ind w:right="11" w:firstLine="482" w:firstLineChars="200"/>
        <w:outlineLvl w:val="1"/>
        <w:rPr>
          <w:rFonts w:cs="宋体" w:asciiTheme="majorEastAsia" w:hAnsiTheme="majorEastAsia" w:eastAsiaTheme="majorEastAsia"/>
          <w:b/>
          <w:bCs/>
          <w:snapToGrid w:val="0"/>
          <w:color w:val="auto"/>
          <w:kern w:val="0"/>
          <w:sz w:val="24"/>
          <w:highlight w:val="none"/>
        </w:rPr>
      </w:pPr>
      <w:bookmarkStart w:id="67" w:name="_Toc22254"/>
      <w:bookmarkStart w:id="68" w:name="_Toc397364819"/>
      <w:bookmarkStart w:id="69" w:name="_Toc396662280"/>
      <w:bookmarkStart w:id="70" w:name="_Toc26376"/>
      <w:bookmarkStart w:id="71" w:name="_Toc140476835"/>
      <w:r>
        <w:rPr>
          <w:rFonts w:hint="eastAsia" w:cs="宋体" w:asciiTheme="majorEastAsia" w:hAnsiTheme="majorEastAsia" w:eastAsiaTheme="majorEastAsia"/>
          <w:b/>
          <w:bCs/>
          <w:snapToGrid w:val="0"/>
          <w:color w:val="auto"/>
          <w:kern w:val="0"/>
          <w:sz w:val="24"/>
          <w:highlight w:val="none"/>
        </w:rPr>
        <w:t>七、组成合同的文件</w:t>
      </w:r>
      <w:bookmarkEnd w:id="67"/>
      <w:bookmarkEnd w:id="68"/>
      <w:bookmarkEnd w:id="69"/>
      <w:bookmarkEnd w:id="70"/>
      <w:bookmarkEnd w:id="71"/>
    </w:p>
    <w:p>
      <w:pPr>
        <w:adjustRightInd w:val="0"/>
        <w:snapToGrid w:val="0"/>
        <w:spacing w:line="360" w:lineRule="auto"/>
        <w:ind w:right="11"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下列文件应被认为是组成本合同的一部分，并互为补充和解释，如各文件存在冲突之处，以如下排列次序在前者优先适用：</w:t>
      </w:r>
    </w:p>
    <w:p>
      <w:pPr>
        <w:adjustRightInd w:val="0"/>
        <w:snapToGrid w:val="0"/>
        <w:spacing w:line="360" w:lineRule="auto"/>
        <w:ind w:right="11"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（1）本合同履行期间发包人与承包人双方签订的补充合同（协议）或修正文件；</w:t>
      </w:r>
    </w:p>
    <w:p>
      <w:pPr>
        <w:adjustRightInd w:val="0"/>
        <w:snapToGrid w:val="0"/>
        <w:spacing w:line="360" w:lineRule="auto"/>
        <w:ind w:right="11"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（2）合同协议书；</w:t>
      </w:r>
    </w:p>
    <w:p>
      <w:pPr>
        <w:adjustRightInd w:val="0"/>
        <w:snapToGrid w:val="0"/>
        <w:spacing w:line="360" w:lineRule="auto"/>
        <w:ind w:right="11"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（3）中标通知书；</w:t>
      </w:r>
    </w:p>
    <w:p>
      <w:pPr>
        <w:adjustRightInd w:val="0"/>
        <w:snapToGrid w:val="0"/>
        <w:spacing w:line="360" w:lineRule="auto"/>
        <w:ind w:right="11"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（4）合同专用条款；</w:t>
      </w:r>
    </w:p>
    <w:p>
      <w:pPr>
        <w:adjustRightInd w:val="0"/>
        <w:snapToGrid w:val="0"/>
        <w:spacing w:line="360" w:lineRule="auto"/>
        <w:ind w:right="11"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（5）发包人的各项工程项目管理制度、规定，包括</w:t>
      </w:r>
      <w:r>
        <w:rPr>
          <w:rFonts w:hint="eastAsia" w:cs="宋体" w:asciiTheme="majorEastAsia" w:hAnsiTheme="majorEastAsia" w:eastAsiaTheme="majorEastAsia"/>
          <w:snapToGrid w:val="0"/>
          <w:color w:val="auto"/>
          <w:kern w:val="0"/>
          <w:sz w:val="24"/>
          <w:highlight w:val="none"/>
        </w:rPr>
        <w:t>工程管理办法、设计变更管理办法等</w:t>
      </w:r>
      <w:r>
        <w:rPr>
          <w:rFonts w:hint="eastAsia" w:cs="宋体" w:asciiTheme="majorEastAsia" w:hAnsiTheme="majorEastAsia" w:eastAsiaTheme="majorEastAsia"/>
          <w:bCs/>
          <w:snapToGrid w:val="0"/>
          <w:color w:val="auto"/>
          <w:kern w:val="0"/>
          <w:sz w:val="24"/>
          <w:highlight w:val="none"/>
        </w:rPr>
        <w:t>；</w:t>
      </w:r>
    </w:p>
    <w:p>
      <w:pPr>
        <w:adjustRightInd w:val="0"/>
        <w:snapToGrid w:val="0"/>
        <w:spacing w:line="360" w:lineRule="auto"/>
        <w:ind w:right="11"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（6）合同附件[属本条第（1）项和第（6）项内容的除外]；</w:t>
      </w:r>
    </w:p>
    <w:p>
      <w:pPr>
        <w:adjustRightInd w:val="0"/>
        <w:snapToGrid w:val="0"/>
        <w:spacing w:line="360" w:lineRule="auto"/>
        <w:ind w:right="11"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（7）合同通用条款；</w:t>
      </w:r>
    </w:p>
    <w:p>
      <w:pPr>
        <w:adjustRightInd w:val="0"/>
        <w:snapToGrid w:val="0"/>
        <w:spacing w:line="360" w:lineRule="auto"/>
        <w:ind w:right="11"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（8）招标文件[含招标文件补充文件、澄清文件、答疑文件、招标图等，属本条第（6）项内容的除外]；</w:t>
      </w:r>
    </w:p>
    <w:p>
      <w:pPr>
        <w:adjustRightInd w:val="0"/>
        <w:snapToGrid w:val="0"/>
        <w:spacing w:line="360" w:lineRule="auto"/>
        <w:ind w:right="11"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（9）承包人投标文件及其附件[含投标文件澄清等，属本条第（7）项内容的除外]；</w:t>
      </w:r>
    </w:p>
    <w:p>
      <w:pPr>
        <w:adjustRightInd w:val="0"/>
        <w:snapToGrid w:val="0"/>
        <w:spacing w:line="360" w:lineRule="auto"/>
        <w:ind w:right="11"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（10）国家及广东省、广州市的标准、规范及有关技术文件；</w:t>
      </w:r>
    </w:p>
    <w:p>
      <w:pPr>
        <w:adjustRightInd w:val="0"/>
        <w:snapToGrid w:val="0"/>
        <w:spacing w:line="360" w:lineRule="auto"/>
        <w:ind w:right="11"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（11）组成合同的其他文件。</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通过上述顺序解释仍无法明确的事项，由发包人、承包人协商解决；如协商不成，由发包人按照公平合理和有利于本工程建设的原则作出决定，如承包人对此决定不服的，应在接到发包人决定之日起三日内提出书面异议。如期满不提出书面异议的，视为同意发包人的决定。发包人收到承包人的书面异议后应作出进一步的决定。如</w:t>
      </w:r>
      <w:r>
        <w:rPr>
          <w:rFonts w:hint="eastAsia" w:cs="宋体" w:asciiTheme="majorEastAsia" w:hAnsiTheme="majorEastAsia" w:eastAsiaTheme="majorEastAsia"/>
          <w:bCs/>
          <w:snapToGrid w:val="0"/>
          <w:color w:val="auto"/>
          <w:kern w:val="0"/>
          <w:sz w:val="24"/>
          <w:highlight w:val="none"/>
        </w:rPr>
        <w:t>承包人</w:t>
      </w:r>
      <w:r>
        <w:rPr>
          <w:rFonts w:hint="eastAsia" w:cs="宋体" w:asciiTheme="majorEastAsia" w:hAnsiTheme="majorEastAsia" w:eastAsiaTheme="majorEastAsia"/>
          <w:snapToGrid w:val="0"/>
          <w:color w:val="auto"/>
          <w:kern w:val="0"/>
          <w:sz w:val="24"/>
          <w:highlight w:val="none"/>
        </w:rPr>
        <w:t>不服的，可按</w:t>
      </w:r>
      <w:r>
        <w:rPr>
          <w:rFonts w:hint="eastAsia" w:cs="宋体" w:asciiTheme="majorEastAsia" w:hAnsiTheme="majorEastAsia" w:eastAsiaTheme="majorEastAsia"/>
          <w:bCs/>
          <w:snapToGrid w:val="0"/>
          <w:color w:val="auto"/>
          <w:kern w:val="0"/>
          <w:sz w:val="24"/>
          <w:highlight w:val="none"/>
        </w:rPr>
        <w:t>合同专用条款第40条的约定处理，但在有关部门没有作出正式裁决之前，承包人必须无条件先行执行发包人的决定。</w:t>
      </w:r>
    </w:p>
    <w:p>
      <w:pPr>
        <w:adjustRightInd w:val="0"/>
        <w:snapToGrid w:val="0"/>
        <w:spacing w:line="360" w:lineRule="auto"/>
        <w:ind w:right="11" w:firstLine="482" w:firstLineChars="200"/>
        <w:outlineLvl w:val="1"/>
        <w:rPr>
          <w:rFonts w:cs="宋体" w:asciiTheme="majorEastAsia" w:hAnsiTheme="majorEastAsia" w:eastAsiaTheme="majorEastAsia"/>
          <w:b/>
          <w:bCs/>
          <w:snapToGrid w:val="0"/>
          <w:color w:val="auto"/>
          <w:kern w:val="0"/>
          <w:sz w:val="24"/>
          <w:highlight w:val="none"/>
        </w:rPr>
      </w:pPr>
      <w:bookmarkStart w:id="72" w:name="_Toc24635"/>
      <w:bookmarkStart w:id="73" w:name="_Toc140476836"/>
      <w:bookmarkStart w:id="74" w:name="_Toc31074"/>
      <w:bookmarkStart w:id="75" w:name="_Toc396662285"/>
      <w:bookmarkStart w:id="76" w:name="_Toc397364824"/>
      <w:r>
        <w:rPr>
          <w:rFonts w:hint="eastAsia" w:cs="宋体" w:asciiTheme="majorEastAsia" w:hAnsiTheme="majorEastAsia" w:eastAsiaTheme="majorEastAsia"/>
          <w:b/>
          <w:bCs/>
          <w:snapToGrid w:val="0"/>
          <w:color w:val="auto"/>
          <w:kern w:val="0"/>
          <w:sz w:val="24"/>
          <w:highlight w:val="none"/>
        </w:rPr>
        <w:t>八、词语含义</w:t>
      </w:r>
      <w:bookmarkEnd w:id="72"/>
      <w:bookmarkEnd w:id="73"/>
      <w:bookmarkEnd w:id="74"/>
    </w:p>
    <w:p>
      <w:pPr>
        <w:adjustRightInd w:val="0"/>
        <w:snapToGrid w:val="0"/>
        <w:spacing w:line="360" w:lineRule="auto"/>
        <w:ind w:right="11" w:firstLine="480" w:firstLineChars="200"/>
        <w:rPr>
          <w:rFonts w:cs="宋体" w:asciiTheme="majorEastAsia" w:hAnsiTheme="majorEastAsia" w:eastAsiaTheme="majorEastAsia"/>
          <w:bCs/>
          <w:snapToGrid w:val="0"/>
          <w:color w:val="auto"/>
          <w:kern w:val="0"/>
          <w:sz w:val="24"/>
          <w:highlight w:val="none"/>
        </w:rPr>
      </w:pPr>
      <w:bookmarkStart w:id="77" w:name="_Toc63329372"/>
      <w:bookmarkStart w:id="78" w:name="_Toc23714"/>
      <w:bookmarkStart w:id="79" w:name="_Toc15366"/>
      <w:r>
        <w:rPr>
          <w:rFonts w:hint="eastAsia" w:cs="宋体" w:asciiTheme="majorEastAsia" w:hAnsiTheme="majorEastAsia" w:eastAsiaTheme="majorEastAsia"/>
          <w:bCs/>
          <w:snapToGrid w:val="0"/>
          <w:color w:val="auto"/>
          <w:kern w:val="0"/>
          <w:sz w:val="24"/>
          <w:highlight w:val="none"/>
        </w:rPr>
        <w:t>合同协议书中有关词语含义与合同通用条款、合同专用条款中分别赋予它们的定义相同。</w:t>
      </w:r>
      <w:bookmarkEnd w:id="75"/>
      <w:bookmarkEnd w:id="76"/>
      <w:bookmarkEnd w:id="77"/>
      <w:bookmarkEnd w:id="78"/>
      <w:bookmarkEnd w:id="79"/>
    </w:p>
    <w:p>
      <w:pPr>
        <w:adjustRightInd w:val="0"/>
        <w:snapToGrid w:val="0"/>
        <w:spacing w:line="360" w:lineRule="auto"/>
        <w:ind w:right="11" w:firstLine="482" w:firstLineChars="200"/>
        <w:outlineLvl w:val="1"/>
        <w:rPr>
          <w:rFonts w:cs="宋体" w:asciiTheme="majorEastAsia" w:hAnsiTheme="majorEastAsia" w:eastAsiaTheme="majorEastAsia"/>
          <w:b/>
          <w:bCs/>
          <w:snapToGrid w:val="0"/>
          <w:color w:val="auto"/>
          <w:kern w:val="0"/>
          <w:sz w:val="24"/>
          <w:highlight w:val="none"/>
        </w:rPr>
      </w:pPr>
      <w:bookmarkStart w:id="80" w:name="_Toc28798"/>
      <w:bookmarkStart w:id="81" w:name="_Toc140476837"/>
      <w:bookmarkStart w:id="82" w:name="_Toc24734"/>
      <w:r>
        <w:rPr>
          <w:rFonts w:hint="eastAsia" w:cs="宋体" w:asciiTheme="majorEastAsia" w:hAnsiTheme="majorEastAsia" w:eastAsiaTheme="majorEastAsia"/>
          <w:b/>
          <w:bCs/>
          <w:snapToGrid w:val="0"/>
          <w:color w:val="auto"/>
          <w:kern w:val="0"/>
          <w:sz w:val="24"/>
          <w:highlight w:val="none"/>
        </w:rPr>
        <w:t>九、承诺</w:t>
      </w:r>
      <w:bookmarkEnd w:id="80"/>
      <w:bookmarkEnd w:id="81"/>
      <w:bookmarkEnd w:id="82"/>
    </w:p>
    <w:p>
      <w:pPr>
        <w:adjustRightInd w:val="0"/>
        <w:snapToGrid w:val="0"/>
        <w:spacing w:line="360" w:lineRule="auto"/>
        <w:ind w:right="11" w:firstLine="480" w:firstLineChars="200"/>
        <w:rPr>
          <w:rFonts w:cs="宋体" w:asciiTheme="majorEastAsia" w:hAnsiTheme="majorEastAsia" w:eastAsiaTheme="majorEastAsia"/>
          <w:bCs/>
          <w:snapToGrid w:val="0"/>
          <w:color w:val="auto"/>
          <w:kern w:val="0"/>
          <w:sz w:val="24"/>
          <w:highlight w:val="none"/>
        </w:rPr>
      </w:pPr>
      <w:bookmarkStart w:id="83" w:name="_Toc397364825"/>
      <w:bookmarkStart w:id="84" w:name="_Toc396662286"/>
      <w:bookmarkStart w:id="85" w:name="_Toc11877"/>
      <w:bookmarkStart w:id="86" w:name="_Toc63329374"/>
      <w:bookmarkStart w:id="87" w:name="_Toc14076"/>
      <w:bookmarkStart w:id="88" w:name="_Toc734"/>
      <w:r>
        <w:rPr>
          <w:rFonts w:hint="eastAsia" w:cs="宋体" w:asciiTheme="majorEastAsia" w:hAnsiTheme="majorEastAsia" w:eastAsiaTheme="majorEastAsia"/>
          <w:bCs/>
          <w:snapToGrid w:val="0"/>
          <w:color w:val="auto"/>
          <w:kern w:val="0"/>
          <w:sz w:val="24"/>
          <w:highlight w:val="none"/>
        </w:rPr>
        <w:t>（1）承包人向发包人承诺按照合同约定进行采购、施工、竣工验收、移交、结算、管理及配合服务，并在质量保修期内承担工程质量保修责任。</w:t>
      </w:r>
      <w:bookmarkEnd w:id="83"/>
      <w:bookmarkEnd w:id="84"/>
      <w:bookmarkEnd w:id="85"/>
      <w:bookmarkEnd w:id="86"/>
      <w:bookmarkEnd w:id="87"/>
      <w:bookmarkEnd w:id="88"/>
    </w:p>
    <w:p>
      <w:pPr>
        <w:adjustRightInd w:val="0"/>
        <w:snapToGrid w:val="0"/>
        <w:spacing w:line="360" w:lineRule="auto"/>
        <w:ind w:right="11" w:firstLine="480" w:firstLineChars="200"/>
        <w:rPr>
          <w:rFonts w:cs="宋体" w:asciiTheme="majorEastAsia" w:hAnsiTheme="majorEastAsia" w:eastAsiaTheme="majorEastAsia"/>
          <w:bCs/>
          <w:snapToGrid w:val="0"/>
          <w:color w:val="auto"/>
          <w:kern w:val="0"/>
          <w:sz w:val="24"/>
          <w:highlight w:val="none"/>
        </w:rPr>
      </w:pPr>
      <w:bookmarkStart w:id="89" w:name="_Toc17788"/>
      <w:bookmarkStart w:id="90" w:name="_Toc26360"/>
      <w:bookmarkStart w:id="91" w:name="_Toc63329375"/>
      <w:bookmarkStart w:id="92" w:name="_Toc396662287"/>
      <w:bookmarkStart w:id="93" w:name="_Toc397364826"/>
      <w:bookmarkStart w:id="94" w:name="_Toc20235"/>
      <w:r>
        <w:rPr>
          <w:rFonts w:hint="eastAsia" w:cs="宋体" w:asciiTheme="majorEastAsia" w:hAnsiTheme="majorEastAsia" w:eastAsiaTheme="majorEastAsia"/>
          <w:bCs/>
          <w:snapToGrid w:val="0"/>
          <w:color w:val="auto"/>
          <w:kern w:val="0"/>
          <w:sz w:val="24"/>
          <w:highlight w:val="none"/>
        </w:rPr>
        <w:t>（2）发包人向承包人承诺按照合同约定的期限和方式申报支付合同价款及按合同约定应申报支付的其他款项。</w:t>
      </w:r>
      <w:bookmarkEnd w:id="89"/>
      <w:bookmarkEnd w:id="90"/>
      <w:bookmarkEnd w:id="91"/>
      <w:bookmarkEnd w:id="92"/>
      <w:bookmarkEnd w:id="93"/>
      <w:bookmarkEnd w:id="94"/>
    </w:p>
    <w:p>
      <w:pPr>
        <w:adjustRightInd w:val="0"/>
        <w:snapToGrid w:val="0"/>
        <w:spacing w:line="360" w:lineRule="auto"/>
        <w:ind w:right="11" w:firstLine="482" w:firstLineChars="200"/>
        <w:outlineLvl w:val="1"/>
        <w:rPr>
          <w:rFonts w:cs="宋体" w:asciiTheme="majorEastAsia" w:hAnsiTheme="majorEastAsia" w:eastAsiaTheme="majorEastAsia"/>
          <w:b/>
          <w:bCs/>
          <w:snapToGrid w:val="0"/>
          <w:color w:val="auto"/>
          <w:kern w:val="0"/>
          <w:sz w:val="24"/>
          <w:highlight w:val="none"/>
        </w:rPr>
      </w:pPr>
      <w:bookmarkStart w:id="95" w:name="_Toc5427"/>
      <w:bookmarkStart w:id="96" w:name="_Toc22666"/>
      <w:bookmarkStart w:id="97" w:name="_Toc140476838"/>
      <w:bookmarkStart w:id="98" w:name="_Toc397364827"/>
      <w:bookmarkStart w:id="99" w:name="_Toc25232"/>
      <w:r>
        <w:rPr>
          <w:rFonts w:hint="eastAsia" w:cs="宋体" w:asciiTheme="majorEastAsia" w:hAnsiTheme="majorEastAsia" w:eastAsiaTheme="majorEastAsia"/>
          <w:b/>
          <w:bCs/>
          <w:snapToGrid w:val="0"/>
          <w:color w:val="auto"/>
          <w:kern w:val="0"/>
          <w:sz w:val="24"/>
          <w:highlight w:val="none"/>
        </w:rPr>
        <w:t>十、</w:t>
      </w:r>
      <w:bookmarkStart w:id="100" w:name="_Toc307908854"/>
      <w:bookmarkStart w:id="101" w:name="_Toc298413084"/>
      <w:bookmarkStart w:id="102" w:name="_Toc298406500"/>
      <w:r>
        <w:rPr>
          <w:rFonts w:hint="eastAsia" w:cs="宋体" w:asciiTheme="majorEastAsia" w:hAnsiTheme="majorEastAsia" w:eastAsiaTheme="majorEastAsia"/>
          <w:b/>
          <w:bCs/>
          <w:snapToGrid w:val="0"/>
          <w:color w:val="auto"/>
          <w:kern w:val="0"/>
          <w:sz w:val="24"/>
          <w:highlight w:val="none"/>
        </w:rPr>
        <w:t>争议解决</w:t>
      </w:r>
      <w:bookmarkEnd w:id="95"/>
      <w:bookmarkEnd w:id="96"/>
      <w:bookmarkEnd w:id="97"/>
      <w:bookmarkEnd w:id="98"/>
      <w:bookmarkEnd w:id="99"/>
      <w:bookmarkEnd w:id="100"/>
      <w:bookmarkEnd w:id="101"/>
      <w:bookmarkEnd w:id="102"/>
    </w:p>
    <w:p>
      <w:pPr>
        <w:autoSpaceDE w:val="0"/>
        <w:autoSpaceDN w:val="0"/>
        <w:adjustRightInd w:val="0"/>
        <w:spacing w:line="360" w:lineRule="auto"/>
        <w:ind w:right="403" w:firstLine="480" w:firstLineChars="200"/>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在本合同执行过程中若发生分歧或争议，双方应通过协商及时解决；如果协商不成，双方当事人均可向</w:t>
      </w:r>
      <w:r>
        <w:rPr>
          <w:rFonts w:hint="eastAsia" w:cs="宋体" w:asciiTheme="majorEastAsia" w:hAnsiTheme="majorEastAsia" w:eastAsiaTheme="majorEastAsia"/>
          <w:color w:val="auto"/>
          <w:sz w:val="24"/>
          <w:highlight w:val="none"/>
        </w:rPr>
        <w:t>工程所在地人民法</w:t>
      </w:r>
      <w:r>
        <w:rPr>
          <w:rFonts w:hint="eastAsia" w:cs="宋体" w:asciiTheme="majorEastAsia" w:hAnsiTheme="majorEastAsia" w:eastAsiaTheme="majorEastAsia"/>
          <w:color w:val="auto"/>
          <w:kern w:val="0"/>
          <w:sz w:val="24"/>
          <w:highlight w:val="none"/>
        </w:rPr>
        <w:t>院起诉。</w:t>
      </w:r>
    </w:p>
    <w:p>
      <w:pPr>
        <w:adjustRightInd w:val="0"/>
        <w:snapToGrid w:val="0"/>
        <w:spacing w:line="360" w:lineRule="auto"/>
        <w:ind w:right="11" w:firstLine="482" w:firstLineChars="200"/>
        <w:outlineLvl w:val="1"/>
        <w:rPr>
          <w:rFonts w:cs="宋体" w:asciiTheme="majorEastAsia" w:hAnsiTheme="majorEastAsia" w:eastAsiaTheme="majorEastAsia"/>
          <w:b/>
          <w:bCs/>
          <w:snapToGrid w:val="0"/>
          <w:color w:val="auto"/>
          <w:kern w:val="0"/>
          <w:sz w:val="24"/>
          <w:highlight w:val="none"/>
        </w:rPr>
      </w:pPr>
      <w:bookmarkStart w:id="103" w:name="_Toc396662288"/>
      <w:bookmarkStart w:id="104" w:name="_Toc140476839"/>
      <w:bookmarkStart w:id="105" w:name="_Toc12789"/>
      <w:bookmarkStart w:id="106" w:name="_Toc20122"/>
      <w:bookmarkStart w:id="107" w:name="_Toc397364828"/>
      <w:r>
        <w:rPr>
          <w:rFonts w:hint="eastAsia" w:cs="宋体" w:asciiTheme="majorEastAsia" w:hAnsiTheme="majorEastAsia" w:eastAsiaTheme="majorEastAsia"/>
          <w:b/>
          <w:bCs/>
          <w:snapToGrid w:val="0"/>
          <w:color w:val="auto"/>
          <w:kern w:val="0"/>
          <w:sz w:val="24"/>
          <w:highlight w:val="none"/>
        </w:rPr>
        <w:t>十一、合同生效</w:t>
      </w:r>
      <w:bookmarkEnd w:id="103"/>
      <w:bookmarkEnd w:id="104"/>
      <w:bookmarkEnd w:id="105"/>
      <w:bookmarkEnd w:id="106"/>
      <w:bookmarkEnd w:id="107"/>
    </w:p>
    <w:p>
      <w:pPr>
        <w:adjustRightInd w:val="0"/>
        <w:snapToGrid w:val="0"/>
        <w:spacing w:line="360" w:lineRule="auto"/>
        <w:ind w:right="11"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合同订立地点：广州市。</w:t>
      </w:r>
    </w:p>
    <w:p>
      <w:pPr>
        <w:adjustRightInd w:val="0"/>
        <w:snapToGrid w:val="0"/>
        <w:spacing w:line="360" w:lineRule="auto"/>
        <w:ind w:right="11"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本合同自合同各方法定代表人或其授权代表签字，并加盖公章或合同专用章后生效。本合同有效期至本工程质量保修期满且竣工结算满60日及各方的责任、义务履行完毕时终止。</w:t>
      </w:r>
    </w:p>
    <w:p>
      <w:pPr>
        <w:adjustRightInd w:val="0"/>
        <w:snapToGrid w:val="0"/>
        <w:spacing w:line="360" w:lineRule="auto"/>
        <w:ind w:right="11" w:firstLine="482" w:firstLineChars="200"/>
        <w:outlineLvl w:val="1"/>
        <w:rPr>
          <w:rFonts w:cs="宋体" w:asciiTheme="majorEastAsia" w:hAnsiTheme="majorEastAsia" w:eastAsiaTheme="majorEastAsia"/>
          <w:b/>
          <w:bCs/>
          <w:snapToGrid w:val="0"/>
          <w:color w:val="auto"/>
          <w:kern w:val="0"/>
          <w:sz w:val="24"/>
          <w:highlight w:val="none"/>
        </w:rPr>
      </w:pPr>
      <w:bookmarkStart w:id="108" w:name="_Toc140476840"/>
      <w:bookmarkStart w:id="109" w:name="_Toc9173"/>
      <w:bookmarkStart w:id="110" w:name="_Toc5709"/>
      <w:r>
        <w:rPr>
          <w:rFonts w:hint="eastAsia" w:cs="宋体" w:asciiTheme="majorEastAsia" w:hAnsiTheme="majorEastAsia" w:eastAsiaTheme="majorEastAsia"/>
          <w:b/>
          <w:bCs/>
          <w:snapToGrid w:val="0"/>
          <w:color w:val="auto"/>
          <w:kern w:val="0"/>
          <w:sz w:val="24"/>
          <w:highlight w:val="none"/>
        </w:rPr>
        <w:t>十二、合同份数</w:t>
      </w:r>
      <w:bookmarkEnd w:id="108"/>
      <w:bookmarkEnd w:id="109"/>
      <w:bookmarkEnd w:id="110"/>
    </w:p>
    <w:p>
      <w:pPr>
        <w:adjustRightInd w:val="0"/>
        <w:snapToGrid w:val="0"/>
        <w:spacing w:line="360" w:lineRule="auto"/>
        <w:ind w:right="11"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本合同正本一式二份，发包人、承包人各执一份；副本十份，发包人执六份、承包人执四份。</w:t>
      </w:r>
    </w:p>
    <w:p>
      <w:pPr>
        <w:adjustRightInd w:val="0"/>
        <w:snapToGrid w:val="0"/>
        <w:spacing w:line="360" w:lineRule="auto"/>
        <w:ind w:right="11"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（以下无正文）</w:t>
      </w:r>
    </w:p>
    <w:p>
      <w:pPr>
        <w:spacing w:line="360" w:lineRule="auto"/>
        <w:rPr>
          <w:rFonts w:cs="宋体" w:asciiTheme="majorEastAsia" w:hAnsiTheme="majorEastAsia" w:eastAsiaTheme="majorEastAsia"/>
          <w:bCs/>
          <w:snapToGrid w:val="0"/>
          <w:color w:val="auto"/>
          <w:kern w:val="0"/>
          <w:sz w:val="24"/>
          <w:highlight w:val="none"/>
        </w:rPr>
      </w:pPr>
      <w:r>
        <w:rPr>
          <w:rFonts w:cs="宋体" w:asciiTheme="majorEastAsia" w:hAnsiTheme="majorEastAsia" w:eastAsiaTheme="majorEastAsia"/>
          <w:bCs/>
          <w:snapToGrid w:val="0"/>
          <w:color w:val="auto"/>
          <w:kern w:val="0"/>
          <w:sz w:val="24"/>
          <w:highlight w:val="none"/>
        </w:rPr>
        <w:br w:type="page"/>
      </w:r>
    </w:p>
    <w:tbl>
      <w:tblPr>
        <w:tblStyle w:val="40"/>
        <w:tblpPr w:leftFromText="180" w:rightFromText="180" w:vertAnchor="text" w:horzAnchor="page" w:tblpX="1815" w:tblpY="377"/>
        <w:tblW w:w="0" w:type="auto"/>
        <w:tblInd w:w="0" w:type="dxa"/>
        <w:tblLayout w:type="fixed"/>
        <w:tblCellMar>
          <w:top w:w="0" w:type="dxa"/>
          <w:left w:w="108" w:type="dxa"/>
          <w:bottom w:w="0" w:type="dxa"/>
          <w:right w:w="108" w:type="dxa"/>
        </w:tblCellMar>
      </w:tblPr>
      <w:tblGrid>
        <w:gridCol w:w="4002"/>
        <w:gridCol w:w="4311"/>
      </w:tblGrid>
      <w:tr>
        <w:tblPrEx>
          <w:tblCellMar>
            <w:top w:w="0" w:type="dxa"/>
            <w:left w:w="108" w:type="dxa"/>
            <w:bottom w:w="0" w:type="dxa"/>
            <w:right w:w="108" w:type="dxa"/>
          </w:tblCellMar>
        </w:tblPrEx>
        <w:tc>
          <w:tcPr>
            <w:tcW w:w="4002" w:type="dxa"/>
          </w:tcPr>
          <w:p>
            <w:pPr>
              <w:adjustRightInd w:val="0"/>
              <w:snapToGrid w:val="0"/>
              <w:spacing w:line="360" w:lineRule="auto"/>
              <w:ind w:right="11"/>
              <w:rPr>
                <w:rFonts w:asciiTheme="majorEastAsia" w:hAnsiTheme="majorEastAsia" w:eastAsiaTheme="majorEastAsia"/>
                <w:color w:val="auto"/>
                <w:sz w:val="24"/>
                <w:highlight w:val="none"/>
              </w:rPr>
            </w:pPr>
            <w:bookmarkStart w:id="111" w:name="_Toc115711030"/>
            <w:bookmarkStart w:id="112" w:name="_Toc122759215"/>
            <w:bookmarkStart w:id="113" w:name="_Toc82141021"/>
            <w:bookmarkStart w:id="114" w:name="_Toc114119682"/>
            <w:r>
              <w:rPr>
                <w:rFonts w:hint="eastAsia" w:asciiTheme="majorEastAsia" w:hAnsiTheme="majorEastAsia" w:eastAsiaTheme="majorEastAsia"/>
                <w:color w:val="auto"/>
                <w:sz w:val="24"/>
                <w:highlight w:val="none"/>
              </w:rPr>
              <w:t>发包人（甲方）：</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广州城慧投资发展有限公司</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（盖章）</w:t>
            </w:r>
          </w:p>
          <w:p>
            <w:pPr>
              <w:spacing w:line="360" w:lineRule="auto"/>
              <w:rPr>
                <w:rFonts w:asciiTheme="majorEastAsia" w:hAnsiTheme="majorEastAsia" w:eastAsiaTheme="majorEastAsia"/>
                <w:color w:val="auto"/>
                <w:sz w:val="24"/>
                <w:highlight w:val="none"/>
              </w:rPr>
            </w:pPr>
          </w:p>
        </w:tc>
        <w:tc>
          <w:tcPr>
            <w:tcW w:w="4311" w:type="dxa"/>
          </w:tcPr>
          <w:p>
            <w:pPr>
              <w:adjustRightInd w:val="0"/>
              <w:snapToGrid w:val="0"/>
              <w:spacing w:line="360" w:lineRule="auto"/>
              <w:ind w:right="11"/>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承包人（乙方）：</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【乙方单位名称】</w:t>
            </w:r>
          </w:p>
          <w:p>
            <w:pPr>
              <w:adjustRightInd w:val="0"/>
              <w:snapToGrid w:val="0"/>
              <w:spacing w:line="360" w:lineRule="auto"/>
              <w:ind w:right="11"/>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（盖章）</w:t>
            </w:r>
          </w:p>
        </w:tc>
      </w:tr>
      <w:tr>
        <w:tblPrEx>
          <w:tblCellMar>
            <w:top w:w="0" w:type="dxa"/>
            <w:left w:w="108" w:type="dxa"/>
            <w:bottom w:w="0" w:type="dxa"/>
            <w:right w:w="108" w:type="dxa"/>
          </w:tblCellMar>
        </w:tblPrEx>
        <w:tc>
          <w:tcPr>
            <w:tcW w:w="4002" w:type="dxa"/>
          </w:tcPr>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法定代表人</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或委托代理人：</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（签字）</w:t>
            </w:r>
          </w:p>
          <w:p>
            <w:pPr>
              <w:spacing w:line="360" w:lineRule="auto"/>
              <w:rPr>
                <w:rFonts w:asciiTheme="majorEastAsia" w:hAnsiTheme="majorEastAsia" w:eastAsiaTheme="majorEastAsia"/>
                <w:color w:val="auto"/>
                <w:sz w:val="24"/>
                <w:highlight w:val="none"/>
              </w:rPr>
            </w:pPr>
          </w:p>
        </w:tc>
        <w:tc>
          <w:tcPr>
            <w:tcW w:w="4311" w:type="dxa"/>
          </w:tcPr>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法定代表人</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或委托代理人：</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（签字）</w:t>
            </w:r>
          </w:p>
        </w:tc>
      </w:tr>
      <w:tr>
        <w:tblPrEx>
          <w:tblCellMar>
            <w:top w:w="0" w:type="dxa"/>
            <w:left w:w="108" w:type="dxa"/>
            <w:bottom w:w="0" w:type="dxa"/>
            <w:right w:w="108" w:type="dxa"/>
          </w:tblCellMar>
        </w:tblPrEx>
        <w:tc>
          <w:tcPr>
            <w:tcW w:w="4002" w:type="dxa"/>
          </w:tcPr>
          <w:p>
            <w:pPr>
              <w:spacing w:line="360" w:lineRule="auto"/>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地址：</w:t>
            </w:r>
            <w:r>
              <w:rPr>
                <w:rFonts w:hint="eastAsia" w:asciiTheme="majorEastAsia" w:hAnsiTheme="majorEastAsia" w:eastAsiaTheme="majorEastAsia"/>
                <w:color w:val="auto"/>
                <w:sz w:val="24"/>
                <w:highlight w:val="none"/>
              </w:rPr>
              <w:t>广州市天河区高普路1039号201-19室</w:t>
            </w:r>
          </w:p>
        </w:tc>
        <w:tc>
          <w:tcPr>
            <w:tcW w:w="4311" w:type="dxa"/>
          </w:tcPr>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地址：</w:t>
            </w:r>
          </w:p>
          <w:p>
            <w:pPr>
              <w:spacing w:line="360" w:lineRule="auto"/>
              <w:rPr>
                <w:rFonts w:asciiTheme="majorEastAsia" w:hAnsiTheme="majorEastAsia" w:eastAsiaTheme="majorEastAsia"/>
                <w:color w:val="auto"/>
                <w:sz w:val="24"/>
                <w:highlight w:val="none"/>
              </w:rPr>
            </w:pPr>
          </w:p>
        </w:tc>
      </w:tr>
      <w:tr>
        <w:tblPrEx>
          <w:tblCellMar>
            <w:top w:w="0" w:type="dxa"/>
            <w:left w:w="108" w:type="dxa"/>
            <w:bottom w:w="0" w:type="dxa"/>
            <w:right w:w="108" w:type="dxa"/>
          </w:tblCellMar>
        </w:tblPrEx>
        <w:tc>
          <w:tcPr>
            <w:tcW w:w="4002" w:type="dxa"/>
          </w:tcPr>
          <w:p>
            <w:pPr>
              <w:spacing w:line="360" w:lineRule="auto"/>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电话：</w:t>
            </w:r>
          </w:p>
        </w:tc>
        <w:tc>
          <w:tcPr>
            <w:tcW w:w="4311" w:type="dxa"/>
          </w:tcPr>
          <w:p>
            <w:pPr>
              <w:adjustRightInd w:val="0"/>
              <w:snapToGrid w:val="0"/>
              <w:spacing w:line="360" w:lineRule="auto"/>
              <w:ind w:right="11"/>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电话：</w:t>
            </w:r>
          </w:p>
        </w:tc>
      </w:tr>
      <w:tr>
        <w:tblPrEx>
          <w:tblCellMar>
            <w:top w:w="0" w:type="dxa"/>
            <w:left w:w="108" w:type="dxa"/>
            <w:bottom w:w="0" w:type="dxa"/>
            <w:right w:w="108" w:type="dxa"/>
          </w:tblCellMar>
        </w:tblPrEx>
        <w:tc>
          <w:tcPr>
            <w:tcW w:w="4002" w:type="dxa"/>
          </w:tcPr>
          <w:p>
            <w:pPr>
              <w:spacing w:line="360" w:lineRule="auto"/>
              <w:rPr>
                <w:rFonts w:asciiTheme="majorEastAsia" w:hAnsiTheme="majorEastAsia" w:eastAsiaTheme="majorEastAsia"/>
                <w:color w:val="auto"/>
                <w:sz w:val="24"/>
                <w:highlight w:val="none"/>
              </w:rPr>
            </w:pPr>
          </w:p>
        </w:tc>
        <w:tc>
          <w:tcPr>
            <w:tcW w:w="4311" w:type="dxa"/>
          </w:tcPr>
          <w:p>
            <w:pPr>
              <w:adjustRightInd w:val="0"/>
              <w:snapToGrid w:val="0"/>
              <w:spacing w:line="360" w:lineRule="auto"/>
              <w:ind w:right="11"/>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开户银行：</w:t>
            </w:r>
          </w:p>
        </w:tc>
      </w:tr>
      <w:tr>
        <w:tblPrEx>
          <w:tblCellMar>
            <w:top w:w="0" w:type="dxa"/>
            <w:left w:w="108" w:type="dxa"/>
            <w:bottom w:w="0" w:type="dxa"/>
            <w:right w:w="108" w:type="dxa"/>
          </w:tblCellMar>
        </w:tblPrEx>
        <w:tc>
          <w:tcPr>
            <w:tcW w:w="4002" w:type="dxa"/>
          </w:tcPr>
          <w:p>
            <w:pPr>
              <w:spacing w:line="360" w:lineRule="auto"/>
              <w:rPr>
                <w:rFonts w:asciiTheme="majorEastAsia" w:hAnsiTheme="majorEastAsia" w:eastAsiaTheme="majorEastAsia"/>
                <w:color w:val="auto"/>
                <w:sz w:val="24"/>
                <w:highlight w:val="none"/>
              </w:rPr>
            </w:pPr>
          </w:p>
        </w:tc>
        <w:tc>
          <w:tcPr>
            <w:tcW w:w="4311" w:type="dxa"/>
          </w:tcPr>
          <w:p>
            <w:pPr>
              <w:adjustRightInd w:val="0"/>
              <w:snapToGrid w:val="0"/>
              <w:spacing w:line="360" w:lineRule="auto"/>
              <w:ind w:right="11"/>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账号：</w:t>
            </w:r>
          </w:p>
        </w:tc>
      </w:tr>
      <w:tr>
        <w:tblPrEx>
          <w:tblCellMar>
            <w:top w:w="0" w:type="dxa"/>
            <w:left w:w="108" w:type="dxa"/>
            <w:bottom w:w="0" w:type="dxa"/>
            <w:right w:w="108" w:type="dxa"/>
          </w:tblCellMar>
        </w:tblPrEx>
        <w:tc>
          <w:tcPr>
            <w:tcW w:w="4002" w:type="dxa"/>
          </w:tcPr>
          <w:p>
            <w:pPr>
              <w:spacing w:line="360" w:lineRule="auto"/>
              <w:rPr>
                <w:rFonts w:asciiTheme="majorEastAsia" w:hAnsiTheme="majorEastAsia" w:eastAsiaTheme="majorEastAsia"/>
                <w:color w:val="auto"/>
                <w:sz w:val="24"/>
                <w:highlight w:val="none"/>
              </w:rPr>
            </w:pPr>
          </w:p>
        </w:tc>
        <w:tc>
          <w:tcPr>
            <w:tcW w:w="4311" w:type="dxa"/>
          </w:tcPr>
          <w:p>
            <w:pPr>
              <w:adjustRightInd w:val="0"/>
              <w:snapToGrid w:val="0"/>
              <w:spacing w:line="360" w:lineRule="auto"/>
              <w:ind w:right="11"/>
              <w:rPr>
                <w:rFonts w:asciiTheme="majorEastAsia" w:hAnsiTheme="majorEastAsia" w:eastAsiaTheme="majorEastAsia"/>
                <w:color w:val="auto"/>
                <w:sz w:val="24"/>
                <w:highlight w:val="none"/>
              </w:rPr>
            </w:pPr>
          </w:p>
        </w:tc>
      </w:tr>
      <w:tr>
        <w:tblPrEx>
          <w:tblCellMar>
            <w:top w:w="0" w:type="dxa"/>
            <w:left w:w="108" w:type="dxa"/>
            <w:bottom w:w="0" w:type="dxa"/>
            <w:right w:w="108" w:type="dxa"/>
          </w:tblCellMar>
        </w:tblPrEx>
        <w:tc>
          <w:tcPr>
            <w:tcW w:w="4002" w:type="dxa"/>
          </w:tcPr>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签订日期：</w:t>
            </w:r>
            <w:r>
              <w:rPr>
                <w:rFonts w:asciiTheme="majorEastAsia" w:hAnsiTheme="majorEastAsia" w:eastAsiaTheme="majorEastAsia"/>
                <w:color w:val="auto"/>
                <w:sz w:val="24"/>
                <w:highlight w:val="none"/>
              </w:rPr>
              <w:t xml:space="preserve">     </w:t>
            </w:r>
            <w:r>
              <w:rPr>
                <w:rFonts w:hint="eastAsia" w:asciiTheme="majorEastAsia" w:hAnsiTheme="majorEastAsia" w:eastAsiaTheme="majorEastAsia"/>
                <w:color w:val="auto"/>
                <w:sz w:val="24"/>
                <w:highlight w:val="none"/>
              </w:rPr>
              <w:t xml:space="preserve">年 </w:t>
            </w:r>
            <w:r>
              <w:rPr>
                <w:rFonts w:asciiTheme="majorEastAsia" w:hAnsiTheme="majorEastAsia" w:eastAsiaTheme="majorEastAsia"/>
                <w:color w:val="auto"/>
                <w:sz w:val="24"/>
                <w:highlight w:val="none"/>
              </w:rPr>
              <w:t xml:space="preserve"> </w:t>
            </w:r>
            <w:r>
              <w:rPr>
                <w:rFonts w:hint="eastAsia" w:asciiTheme="majorEastAsia" w:hAnsiTheme="majorEastAsia" w:eastAsiaTheme="majorEastAsia"/>
                <w:color w:val="auto"/>
                <w:sz w:val="24"/>
                <w:highlight w:val="none"/>
              </w:rPr>
              <w:t xml:space="preserve"> 月 </w:t>
            </w:r>
            <w:r>
              <w:rPr>
                <w:rFonts w:asciiTheme="majorEastAsia" w:hAnsiTheme="majorEastAsia" w:eastAsiaTheme="majorEastAsia"/>
                <w:color w:val="auto"/>
                <w:sz w:val="24"/>
                <w:highlight w:val="none"/>
              </w:rPr>
              <w:t xml:space="preserve"> </w:t>
            </w:r>
            <w:r>
              <w:rPr>
                <w:rFonts w:hint="eastAsia" w:asciiTheme="majorEastAsia" w:hAnsiTheme="majorEastAsia" w:eastAsiaTheme="majorEastAsia"/>
                <w:color w:val="auto"/>
                <w:sz w:val="24"/>
                <w:highlight w:val="none"/>
              </w:rPr>
              <w:t xml:space="preserve"> 日</w:t>
            </w:r>
          </w:p>
        </w:tc>
        <w:tc>
          <w:tcPr>
            <w:tcW w:w="4311" w:type="dxa"/>
          </w:tcPr>
          <w:p>
            <w:pPr>
              <w:adjustRightInd w:val="0"/>
              <w:snapToGrid w:val="0"/>
              <w:spacing w:line="360" w:lineRule="auto"/>
              <w:ind w:right="11"/>
              <w:rPr>
                <w:rFonts w:asciiTheme="majorEastAsia" w:hAnsiTheme="majorEastAsia" w:eastAsiaTheme="majorEastAsia"/>
                <w:color w:val="auto"/>
                <w:sz w:val="24"/>
                <w:highlight w:val="none"/>
              </w:rPr>
            </w:pPr>
          </w:p>
        </w:tc>
      </w:tr>
    </w:tbl>
    <w:p>
      <w:pPr>
        <w:pStyle w:val="5"/>
        <w:spacing w:line="360" w:lineRule="auto"/>
        <w:ind w:firstLine="0"/>
        <w:rPr>
          <w:rFonts w:cs="宋体" w:asciiTheme="majorEastAsia" w:hAnsiTheme="majorEastAsia" w:eastAsiaTheme="majorEastAsia"/>
          <w:snapToGrid w:val="0"/>
          <w:color w:val="auto"/>
          <w:kern w:val="0"/>
          <w:sz w:val="24"/>
          <w:highlight w:val="none"/>
        </w:rPr>
      </w:pPr>
    </w:p>
    <w:p>
      <w:pPr>
        <w:pStyle w:val="5"/>
        <w:spacing w:line="360" w:lineRule="auto"/>
        <w:ind w:firstLine="0"/>
        <w:rPr>
          <w:rFonts w:cs="宋体" w:asciiTheme="majorEastAsia" w:hAnsiTheme="majorEastAsia" w:eastAsiaTheme="majorEastAsia"/>
          <w:snapToGrid w:val="0"/>
          <w:color w:val="auto"/>
          <w:kern w:val="0"/>
          <w:sz w:val="24"/>
          <w:highlight w:val="none"/>
        </w:rPr>
      </w:pPr>
    </w:p>
    <w:p>
      <w:pPr>
        <w:pStyle w:val="5"/>
        <w:spacing w:line="360" w:lineRule="auto"/>
        <w:ind w:firstLine="0"/>
        <w:rPr>
          <w:rFonts w:cs="宋体" w:asciiTheme="majorEastAsia" w:hAnsiTheme="majorEastAsia" w:eastAsiaTheme="majorEastAsia"/>
          <w:snapToGrid w:val="0"/>
          <w:color w:val="auto"/>
          <w:kern w:val="0"/>
          <w:sz w:val="24"/>
          <w:highlight w:val="none"/>
        </w:rPr>
      </w:pPr>
    </w:p>
    <w:p>
      <w:pPr>
        <w:adjustRightInd w:val="0"/>
        <w:snapToGrid w:val="0"/>
        <w:spacing w:line="360" w:lineRule="auto"/>
        <w:ind w:right="11"/>
        <w:outlineLvl w:val="0"/>
        <w:rPr>
          <w:rFonts w:cs="宋体" w:asciiTheme="majorEastAsia" w:hAnsiTheme="majorEastAsia" w:eastAsiaTheme="majorEastAsia"/>
          <w:b/>
          <w:bCs/>
          <w:snapToGrid w:val="0"/>
          <w:color w:val="auto"/>
          <w:kern w:val="0"/>
          <w:sz w:val="44"/>
          <w:szCs w:val="44"/>
          <w:highlight w:val="none"/>
        </w:rPr>
      </w:pPr>
    </w:p>
    <w:p>
      <w:pPr>
        <w:adjustRightInd w:val="0"/>
        <w:snapToGrid w:val="0"/>
        <w:spacing w:line="360" w:lineRule="auto"/>
        <w:ind w:right="11"/>
        <w:jc w:val="center"/>
        <w:outlineLvl w:val="0"/>
        <w:rPr>
          <w:rFonts w:cs="宋体" w:asciiTheme="majorEastAsia" w:hAnsiTheme="majorEastAsia" w:eastAsiaTheme="majorEastAsia"/>
          <w:b/>
          <w:bCs/>
          <w:snapToGrid w:val="0"/>
          <w:color w:val="auto"/>
          <w:kern w:val="0"/>
          <w:sz w:val="44"/>
          <w:szCs w:val="44"/>
          <w:highlight w:val="none"/>
        </w:rPr>
        <w:sectPr>
          <w:footerReference r:id="rId4" w:type="default"/>
          <w:pgSz w:w="11907" w:h="16840"/>
          <w:pgMar w:top="1440" w:right="1797" w:bottom="1440" w:left="1797" w:header="851" w:footer="992" w:gutter="0"/>
          <w:cols w:space="720" w:num="1"/>
          <w:docGrid w:type="lines" w:linePitch="312" w:charSpace="0"/>
        </w:sectPr>
      </w:pPr>
      <w:bookmarkStart w:id="115" w:name="_Toc397364829"/>
      <w:bookmarkStart w:id="116" w:name="_Toc23873"/>
      <w:bookmarkStart w:id="117" w:name="_Toc13213"/>
    </w:p>
    <w:p>
      <w:pPr>
        <w:adjustRightInd w:val="0"/>
        <w:snapToGrid w:val="0"/>
        <w:spacing w:line="360" w:lineRule="auto"/>
        <w:ind w:right="11"/>
        <w:jc w:val="center"/>
        <w:outlineLvl w:val="0"/>
        <w:rPr>
          <w:rFonts w:cs="宋体" w:asciiTheme="majorEastAsia" w:hAnsiTheme="majorEastAsia" w:eastAsiaTheme="majorEastAsia"/>
          <w:b/>
          <w:bCs/>
          <w:snapToGrid w:val="0"/>
          <w:color w:val="auto"/>
          <w:kern w:val="0"/>
          <w:sz w:val="44"/>
          <w:szCs w:val="44"/>
          <w:highlight w:val="none"/>
        </w:rPr>
      </w:pPr>
      <w:bookmarkStart w:id="118" w:name="_Toc140476841"/>
      <w:r>
        <w:rPr>
          <w:rFonts w:hint="eastAsia" w:cs="宋体" w:asciiTheme="majorEastAsia" w:hAnsiTheme="majorEastAsia" w:eastAsiaTheme="majorEastAsia"/>
          <w:b/>
          <w:bCs/>
          <w:snapToGrid w:val="0"/>
          <w:color w:val="auto"/>
          <w:kern w:val="0"/>
          <w:sz w:val="44"/>
          <w:szCs w:val="44"/>
          <w:highlight w:val="none"/>
        </w:rPr>
        <w:t>第二部分  通用条款</w:t>
      </w:r>
      <w:bookmarkEnd w:id="115"/>
      <w:bookmarkEnd w:id="116"/>
      <w:bookmarkEnd w:id="117"/>
      <w:bookmarkEnd w:id="118"/>
    </w:p>
    <w:p>
      <w:pPr>
        <w:pStyle w:val="22"/>
        <w:adjustRightInd w:val="0"/>
        <w:snapToGrid w:val="0"/>
        <w:spacing w:line="360" w:lineRule="auto"/>
        <w:jc w:val="center"/>
        <w:rPr>
          <w:rFonts w:cs="宋体" w:asciiTheme="majorEastAsia" w:hAnsiTheme="majorEastAsia" w:eastAsiaTheme="majorEastAsia"/>
          <w:snapToGrid w:val="0"/>
          <w:color w:val="auto"/>
          <w:kern w:val="0"/>
          <w:sz w:val="24"/>
          <w:highlight w:val="none"/>
        </w:rPr>
      </w:pPr>
    </w:p>
    <w:p>
      <w:pPr>
        <w:adjustRightInd w:val="0"/>
        <w:snapToGrid w:val="0"/>
        <w:spacing w:line="360" w:lineRule="auto"/>
        <w:ind w:right="11"/>
        <w:outlineLvl w:val="1"/>
        <w:rPr>
          <w:rFonts w:cs="宋体" w:asciiTheme="majorEastAsia" w:hAnsiTheme="majorEastAsia" w:eastAsiaTheme="majorEastAsia"/>
          <w:b/>
          <w:snapToGrid w:val="0"/>
          <w:color w:val="auto"/>
          <w:kern w:val="0"/>
          <w:sz w:val="28"/>
          <w:highlight w:val="none"/>
        </w:rPr>
      </w:pPr>
      <w:bookmarkStart w:id="119" w:name="_Toc397364830"/>
      <w:bookmarkStart w:id="120" w:name="_Toc30419"/>
      <w:bookmarkStart w:id="121" w:name="_Toc3411"/>
      <w:bookmarkStart w:id="122" w:name="_Toc140476842"/>
      <w:r>
        <w:rPr>
          <w:rFonts w:hint="eastAsia" w:cs="宋体" w:asciiTheme="majorEastAsia" w:hAnsiTheme="majorEastAsia" w:eastAsiaTheme="majorEastAsia"/>
          <w:b/>
          <w:snapToGrid w:val="0"/>
          <w:color w:val="auto"/>
          <w:kern w:val="0"/>
          <w:sz w:val="28"/>
          <w:highlight w:val="none"/>
        </w:rPr>
        <w:t>一、词语定义及合同文件</w:t>
      </w:r>
      <w:bookmarkEnd w:id="119"/>
      <w:bookmarkEnd w:id="120"/>
      <w:bookmarkEnd w:id="121"/>
      <w:bookmarkEnd w:id="122"/>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123" w:name="_Toc397364831"/>
      <w:bookmarkStart w:id="124" w:name="_Toc140476843"/>
      <w:bookmarkStart w:id="125" w:name="_Toc4364"/>
      <w:bookmarkStart w:id="126" w:name="_Toc11569"/>
      <w:r>
        <w:rPr>
          <w:rFonts w:hint="eastAsia" w:cs="宋体" w:asciiTheme="majorEastAsia" w:hAnsiTheme="majorEastAsia" w:eastAsiaTheme="majorEastAsia"/>
          <w:b/>
          <w:snapToGrid w:val="0"/>
          <w:color w:val="auto"/>
          <w:kern w:val="0"/>
          <w:sz w:val="24"/>
          <w:highlight w:val="none"/>
        </w:rPr>
        <w:t>1、词语定义</w:t>
      </w:r>
      <w:bookmarkEnd w:id="123"/>
      <w:bookmarkEnd w:id="124"/>
      <w:bookmarkEnd w:id="125"/>
      <w:bookmarkEnd w:id="126"/>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下列词语除合同专用条款另有约定外，应具有本条所赋予的定义：</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1.1合同通用条款：是根据法律、行政法规规定及建设工程施工的需要订立，通用于建设工程施工的条款。</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1.2合同专用条款：是发包人与承包人根据法律、行政法规规定，结合具体工程实际，经协商达成一致意见的条款，是对合同通用条款的具体化、补充或修改。</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1.3发包人：指在合同协议书中约定，具有工程发包主体资格和支付工程价款能力的当事人。</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1.4承包人：指在合同协议书中约定，被发包人接受的具有工程施工承包主体资格的当事人。</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1.5项目经理：指承包人在合同专用条款中指定的负责施工管理和合同履行的代表。</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1.6设计单位：指发包人委托的负责本工程设计并取得相应工程设计资质等级证书的单位。</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1.7监理单位：指发包人委托的负责本工程监理并取得相应工程监理资质等级证书的单位。</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1.8工程师：指本工程监理单位委派的总监理工程师或发包人指定的履行本合同的代表，其具体身份和职权由发包人、承包人在合同专用条款中约定。</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1.9工程造价管理部门：指国务院有关部门、县级以上人民政府建设行政主管部门或其委托的工程造价管理机构。</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1.10工程：指发包人、承包人在合同协议书中约定的承包范围内的工程。</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1.11合同价款：指发包人、承包人在合同协议书中约定，发包人用以支付承包人按照合同约定完成承包范围内全部工程并承担质量保修责任的款项。</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1.12追加合同价款：指在合同履行中发生需要增加合同价款的情况，经发包人确认后按计算合同价款的方法增加的合同价款。</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1.13费用：指不包含在合同价款之内的应当由发包人或承包人承担的经济支出。</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1.14工期：指发包人、承包人在合同协议书中约定，按总日历天数（包括法定节假日）计算的承包天数。</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1.15开工日期：指发包人、承包人在合同协议书中约定，承包人开始施工的绝对或相对的日期。</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1.16竣工日期：指发包人、承包人在合同协议书中约定，承包人完成承包范围内工程的绝对或相对的日期。</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1.17图纸：指由发包人提供或由承包人提供并经发包人批准，满足承包人施工需要的所有图纸（包括配套说明和有关资料）。</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1.18施工场地：指由发包人提供的用于工程施工的场所以及发包人在图纸中具体指定的供施工使用的任何其他场所。</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1.19书面形式：指合同书、信件和数据电文（包括电报、电传、传真、电子数据交换和电子邮件）等可以有形地表现所载内容的形式。</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1.20违约责任：指合同一方不履行合同义务或履行合同义务不符合约定所应承担的责任。</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1.21索赔：指在合同履行过程中，对于并非自己的过错，而是应由对方承担责任的情况造成的实际损失，向对方提出经济补偿和（或）工期顺延的要求。</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1.22不可抗力：指不能预见、不能避免并不能克服的客观情况。</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127" w:name="_Toc397364832"/>
      <w:bookmarkStart w:id="128" w:name="_Toc140476844"/>
      <w:bookmarkStart w:id="129" w:name="_Toc3907"/>
      <w:bookmarkStart w:id="130" w:name="_Toc21961"/>
      <w:r>
        <w:rPr>
          <w:rFonts w:hint="eastAsia" w:cs="宋体" w:asciiTheme="majorEastAsia" w:hAnsiTheme="majorEastAsia" w:eastAsiaTheme="majorEastAsia"/>
          <w:b/>
          <w:snapToGrid w:val="0"/>
          <w:color w:val="auto"/>
          <w:kern w:val="0"/>
          <w:sz w:val="24"/>
          <w:highlight w:val="none"/>
        </w:rPr>
        <w:t>2、合同文件及解释顺序</w:t>
      </w:r>
      <w:bookmarkEnd w:id="127"/>
      <w:bookmarkEnd w:id="128"/>
      <w:bookmarkEnd w:id="129"/>
      <w:bookmarkEnd w:id="130"/>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2.1合同文件应能相互解释，互为说明。除合同专用条款另有约定外，组成本合同的文件及优先解释顺序如下：</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（1）合同协议书</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（2）中标通知书</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（3）合同通用条款</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（4）标准、规范及有关技术文件</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（5）图纸</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（6）工程量清单</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（7）工程报价单或预算书</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合同履行中，发包人、承包人有关工程的洽商、变更等书面协议或文件视为本合同的组成部分。</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2.2当合同文件内容含糊不清或不相一致时，在不影响工程正常进行的情况下，由发包人、承包人协商解决。双方也可以提请负责监理的工程师作出解释。双方协商不成或不同意负责监理的工程师的解释时，按合同通用条款40条关于争议的约定处理。</w:t>
      </w:r>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131" w:name="_Toc26858"/>
      <w:bookmarkStart w:id="132" w:name="_Toc21976"/>
      <w:bookmarkStart w:id="133" w:name="_Toc397364833"/>
      <w:bookmarkStart w:id="134" w:name="_Toc140476845"/>
      <w:r>
        <w:rPr>
          <w:rFonts w:hint="eastAsia" w:cs="宋体" w:asciiTheme="majorEastAsia" w:hAnsiTheme="majorEastAsia" w:eastAsiaTheme="majorEastAsia"/>
          <w:b/>
          <w:snapToGrid w:val="0"/>
          <w:color w:val="auto"/>
          <w:kern w:val="0"/>
          <w:sz w:val="24"/>
          <w:highlight w:val="none"/>
        </w:rPr>
        <w:t>3、语言文字和适用法律、标准及规范</w:t>
      </w:r>
      <w:bookmarkEnd w:id="131"/>
      <w:bookmarkEnd w:id="132"/>
      <w:bookmarkEnd w:id="133"/>
      <w:bookmarkEnd w:id="134"/>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3.1语言文字</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本合同文件使用汉语语言文字书写、解释和说明。如合同专用条款约定使用两种以上（含两种）语言文字时，汉语应为解释和说明本合同的标准语言文字。</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在少数民族地区，双方可以约定使用少数民族语言文字书写和解释、说明本合同。</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3.2适用法律和法规</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本合同文件适用国家的法律和行政法规。需要明示的法律、行政法规，由双方在合同专用条款中约定。</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3.3适用标准、规范</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双方在合同专用条款内约定适用国家标准、规范的名称；没有国家标准、规范由有行业标准、规范的，约定适用行业标准、规范的名称；没有国家和行业标准、规范的，约定适用工程所在地地方标准、规范的名称。发包人应按合同专用条款约定的时间向承包人提供一式两份约定的标准、规范。</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国内没有相应标准、规范的，由发包人按合同专用条款约定的时间向承包人提出施工技术要求，承包人按约定的时间和要求提出施工工艺经发包人认可后执行。发包人要求使用国外标准、规范的，应负责提供中文译本。</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本条所发生的购买、翻译标准、规范或制定施工工艺的费用，由发包人承担。</w:t>
      </w:r>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135" w:name="_Toc140476846"/>
      <w:bookmarkStart w:id="136" w:name="_Toc19905"/>
      <w:bookmarkStart w:id="137" w:name="_Toc4435"/>
      <w:bookmarkStart w:id="138" w:name="_Toc397364834"/>
      <w:r>
        <w:rPr>
          <w:rFonts w:hint="eastAsia" w:cs="宋体" w:asciiTheme="majorEastAsia" w:hAnsiTheme="majorEastAsia" w:eastAsiaTheme="majorEastAsia"/>
          <w:b/>
          <w:snapToGrid w:val="0"/>
          <w:color w:val="auto"/>
          <w:kern w:val="0"/>
          <w:sz w:val="24"/>
          <w:highlight w:val="none"/>
        </w:rPr>
        <w:t>4、图纸</w:t>
      </w:r>
      <w:bookmarkEnd w:id="135"/>
      <w:bookmarkEnd w:id="136"/>
      <w:bookmarkEnd w:id="137"/>
      <w:bookmarkEnd w:id="138"/>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4.1发包人应按合同专用条款约定的日期的套数，向承包人提供图纸。承包人需要增加图纸套数的，发包人应代为复制，复制费用由承包人承担。发包人对工程有保密要求的，应在合同专用条款中提出保密要求，保密措施费用由发包人承担，承包人在约定保密期限内履行保密义务。</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4.2承包人未经发包人同意，不得将本工程图纸转给第三人。工程质量保修期满后，除承包人存档需要的图纸外，应将全部图纸退还给发包人。</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4.3承包人应在施工现场保留一套完整图纸，供工程师及有关人员进行工程检查时使用。</w:t>
      </w:r>
    </w:p>
    <w:p>
      <w:pPr>
        <w:adjustRightInd w:val="0"/>
        <w:snapToGrid w:val="0"/>
        <w:spacing w:line="360" w:lineRule="auto"/>
        <w:rPr>
          <w:rFonts w:cs="宋体" w:asciiTheme="majorEastAsia" w:hAnsiTheme="majorEastAsia" w:eastAsiaTheme="majorEastAsia"/>
          <w:snapToGrid w:val="0"/>
          <w:color w:val="auto"/>
          <w:kern w:val="0"/>
          <w:sz w:val="24"/>
          <w:highlight w:val="none"/>
        </w:rPr>
      </w:pPr>
    </w:p>
    <w:p>
      <w:pPr>
        <w:adjustRightInd w:val="0"/>
        <w:snapToGrid w:val="0"/>
        <w:spacing w:line="360" w:lineRule="auto"/>
        <w:ind w:right="11"/>
        <w:outlineLvl w:val="1"/>
        <w:rPr>
          <w:rFonts w:cs="宋体" w:asciiTheme="majorEastAsia" w:hAnsiTheme="majorEastAsia" w:eastAsiaTheme="majorEastAsia"/>
          <w:b/>
          <w:snapToGrid w:val="0"/>
          <w:color w:val="auto"/>
          <w:kern w:val="0"/>
          <w:sz w:val="28"/>
          <w:highlight w:val="none"/>
        </w:rPr>
      </w:pPr>
      <w:bookmarkStart w:id="139" w:name="_Toc140476847"/>
      <w:bookmarkStart w:id="140" w:name="_Toc397364835"/>
      <w:bookmarkStart w:id="141" w:name="_Toc28768"/>
      <w:bookmarkStart w:id="142" w:name="_Toc15816"/>
      <w:r>
        <w:rPr>
          <w:rFonts w:hint="eastAsia" w:cs="宋体" w:asciiTheme="majorEastAsia" w:hAnsiTheme="majorEastAsia" w:eastAsiaTheme="majorEastAsia"/>
          <w:b/>
          <w:snapToGrid w:val="0"/>
          <w:color w:val="auto"/>
          <w:kern w:val="0"/>
          <w:sz w:val="28"/>
          <w:highlight w:val="none"/>
        </w:rPr>
        <w:t>二、双方一般权利和义务</w:t>
      </w:r>
      <w:bookmarkEnd w:id="139"/>
      <w:bookmarkEnd w:id="140"/>
      <w:bookmarkEnd w:id="141"/>
      <w:bookmarkEnd w:id="142"/>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143" w:name="_Toc140476848"/>
      <w:bookmarkStart w:id="144" w:name="_Toc4465"/>
      <w:bookmarkStart w:id="145" w:name="_Toc30272"/>
      <w:bookmarkStart w:id="146" w:name="_Toc397364836"/>
      <w:r>
        <w:rPr>
          <w:rFonts w:hint="eastAsia" w:cs="宋体" w:asciiTheme="majorEastAsia" w:hAnsiTheme="majorEastAsia" w:eastAsiaTheme="majorEastAsia"/>
          <w:b/>
          <w:snapToGrid w:val="0"/>
          <w:color w:val="auto"/>
          <w:kern w:val="0"/>
          <w:sz w:val="24"/>
          <w:highlight w:val="none"/>
        </w:rPr>
        <w:t>5、工程师</w:t>
      </w:r>
      <w:bookmarkEnd w:id="143"/>
      <w:bookmarkEnd w:id="144"/>
      <w:bookmarkEnd w:id="145"/>
      <w:bookmarkEnd w:id="146"/>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5.1实行工程监理的，发包人应在实施监理前将委托的监理单位名称、监理内容及监理权限以书面形式通知承包人。</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5.2监理单位委派的总监理工程师在本合同中称工程师，其姓名、职务、职权由发包人、承包人在合同专用条款内写明。工程师按合同约定行使职权，发包人在合同专用条款内要求工程师在行使某些职权前需要征得发包人批准的，工程师应征得发包人批准。</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5.3发包人派驻施工场地履行合同的代表在本合同中也称工程师，其姓名、职务、职权由发包人在合同专用条款内写明，但职权不得与监理单位委派的总监理工程师职权相互交叉。双方职权发生交叉或不明确时，由发包人予以明确，并以书面形式通知承包人。</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5.4合同履行中，发生影响发包人、承包人双方权利或义务和事件时，负责监理的工程师应依据合同在其职权范围内客观公正地进行处理。一方对工程师的处理有异议时，按合同通用条款40条关于争议的约定处理。</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5.5除合同内有明确约定或经发包人同意外，负责监理的工程师无权解释本合同约定的承包人任何权利与义务。</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5.6不实行工程监理的，本合同中工程师专指发包人派驻施工场地履行合同的代表，其具体职权由发包人在合同专用条款内写明。</w:t>
      </w:r>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147" w:name="_Toc140476849"/>
      <w:bookmarkStart w:id="148" w:name="_Toc18077"/>
      <w:bookmarkStart w:id="149" w:name="_Toc397364837"/>
      <w:bookmarkStart w:id="150" w:name="_Toc23426"/>
      <w:r>
        <w:rPr>
          <w:rFonts w:hint="eastAsia" w:cs="宋体" w:asciiTheme="majorEastAsia" w:hAnsiTheme="majorEastAsia" w:eastAsiaTheme="majorEastAsia"/>
          <w:b/>
          <w:snapToGrid w:val="0"/>
          <w:color w:val="auto"/>
          <w:kern w:val="0"/>
          <w:sz w:val="24"/>
          <w:highlight w:val="none"/>
        </w:rPr>
        <w:t>6、工程师的委派和指令</w:t>
      </w:r>
      <w:bookmarkEnd w:id="147"/>
      <w:bookmarkEnd w:id="148"/>
      <w:bookmarkEnd w:id="149"/>
      <w:bookmarkEnd w:id="150"/>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6.1工程师可委派工程师代表，行使合同约定的自己的职权，并可在认为必要时撤回委派。委派和撤回均应提前7天以书面形式通知承包人，负责监理的工程师还应将委派和撤回通知发包人。委派书和撤回通知作为合同附件。</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改正。</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除工程师或工程师代表外，发包人派驻工地的其他人员均无权向承包人发出任何指令。</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6.2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本款规定同样适用于由工程师代表发出的指令、通知。</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6.4如需更换工程师，发包人应至少提前7天以书面形式通知承包人，后任继续行使合同文件约定的前任的职权，履行前任的义务。</w:t>
      </w:r>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151" w:name="_Toc28135"/>
      <w:bookmarkStart w:id="152" w:name="_Toc140476850"/>
      <w:bookmarkStart w:id="153" w:name="_Toc32178"/>
      <w:bookmarkStart w:id="154" w:name="_Toc397364838"/>
      <w:r>
        <w:rPr>
          <w:rFonts w:hint="eastAsia" w:cs="宋体" w:asciiTheme="majorEastAsia" w:hAnsiTheme="majorEastAsia" w:eastAsiaTheme="majorEastAsia"/>
          <w:b/>
          <w:snapToGrid w:val="0"/>
          <w:color w:val="auto"/>
          <w:kern w:val="0"/>
          <w:sz w:val="24"/>
          <w:highlight w:val="none"/>
        </w:rPr>
        <w:t>7、项目经理</w:t>
      </w:r>
      <w:bookmarkEnd w:id="151"/>
      <w:bookmarkEnd w:id="152"/>
      <w:bookmarkEnd w:id="153"/>
      <w:bookmarkEnd w:id="154"/>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7.1项目经理的姓名在合同专用条款内写明。</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7.2承包人依据合同发出的通知，以书面形式由项目经理签字后送交工程师，工程师在回执上签署姓名和收到时间后生效。</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7.4承包人如需更换项目经理，应至少提前7天以书面形式通知发包人，并征得发包人同意。后任继续行使合同文件约定的前任的职权，履行前任的义务。</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7.5发包人可以与承包人协商，建议更换其认为不称职的项目经理。</w:t>
      </w:r>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155" w:name="_Toc140476851"/>
      <w:bookmarkStart w:id="156" w:name="_Toc24027"/>
      <w:bookmarkStart w:id="157" w:name="_Toc15721"/>
      <w:bookmarkStart w:id="158" w:name="_Toc397364839"/>
      <w:r>
        <w:rPr>
          <w:rFonts w:hint="eastAsia" w:cs="宋体" w:asciiTheme="majorEastAsia" w:hAnsiTheme="majorEastAsia" w:eastAsiaTheme="majorEastAsia"/>
          <w:b/>
          <w:snapToGrid w:val="0"/>
          <w:color w:val="auto"/>
          <w:kern w:val="0"/>
          <w:sz w:val="24"/>
          <w:highlight w:val="none"/>
        </w:rPr>
        <w:t>8、发包人工作</w:t>
      </w:r>
      <w:bookmarkEnd w:id="155"/>
      <w:bookmarkEnd w:id="156"/>
      <w:bookmarkEnd w:id="157"/>
      <w:bookmarkEnd w:id="158"/>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8.1发包人按合同专用条款约定的内容和时间完成以下工作：</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（1）办理土地征用、拆迁补偿、平整施工场地等工作，使施工场地具备施工条件，在开工后继续负责解决以上事项遗留问题；</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（2）将施工所需水、电、电讯线路从施工场地外部接至合同专用条款约定地点，保证施工期间的需要；</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（3）开通施工场地与城乡公共道路的通道，以及合同专用条款约定的施工场地内的主要道路，满足施工运输的需要，保证施工期间的畅通；</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（4）向承包人提供施工场地的工程地质和地下管线资料，对资料的真实准确性负责；</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（5）办理施工许可证及其他施工所需证件、批件和临时用地、停水、停电、中断道路交通、爆破作业等的申请批准手续（证明承包人自身资质的证件除外）；</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（6）确定水准点与坐标控制点，以书面形式交给承包人，进行现场交验；</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（7）组织承包人和设计单位进行图纸会审和设计交底；</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（8）协调处理施工场地周围地下管线和邻近建筑物、构筑物（包括文物保护建筑）、古树名木的保护工作，承担有关费用；</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（9）发包人应做的其他工作，双方在合同专用条款内约定。</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8.2发包人可以将8.1款部分工作委托承包人办理，双方在合同专用条款内约定，其费用由发包人承担。</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8.3发包人未能履行8.1款各项义务，导致工期延误或给承包人造成损失的，发包人赔偿承包人有关损失，顺延延误的工期。</w:t>
      </w:r>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159" w:name="_Toc21790"/>
      <w:bookmarkStart w:id="160" w:name="_Toc397364840"/>
      <w:bookmarkStart w:id="161" w:name="_Toc4022"/>
      <w:bookmarkStart w:id="162" w:name="_Toc140476852"/>
      <w:r>
        <w:rPr>
          <w:rFonts w:hint="eastAsia" w:cs="宋体" w:asciiTheme="majorEastAsia" w:hAnsiTheme="majorEastAsia" w:eastAsiaTheme="majorEastAsia"/>
          <w:b/>
          <w:snapToGrid w:val="0"/>
          <w:color w:val="auto"/>
          <w:kern w:val="0"/>
          <w:sz w:val="24"/>
          <w:highlight w:val="none"/>
        </w:rPr>
        <w:t>9、承包人工作</w:t>
      </w:r>
      <w:bookmarkEnd w:id="159"/>
      <w:bookmarkEnd w:id="160"/>
      <w:bookmarkEnd w:id="161"/>
      <w:bookmarkEnd w:id="162"/>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9.1承包人按合同专用条款约定的内容和时间完成以下工作：</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（1）根据发包人委托，在其设计资质等级和业务允许的范围内，完成施工图设计或工程配套的设计，经工程师确认后使用，发包人承担由此发生的费用；</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（2）向工程师提供年、季、月度工程进度计划及相应进度统计报表；</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（3）根据工程需要，提供和维修非夜间施工使用的照明、围栏设施，并负责安全保卫；</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（4）按合同专用条款约定的数量和要求，向发包人提供施工场地办公和生活的房屋及设施，发包人承担由此发生的费用；</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（5）遵守政府有关主管部门对施工场地交通、施工噪音以及环境保护和安全生产等的管理规定，按规定办理有关手续，并以书面形式通知发包人，发包人承担由此发生的费用，因承包人责任造成的罚款除外；</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6）已竣工工程未交付发包人之前，承包人按合同专用条款约定负责已完工程的保护工作，保护期间发生损坏，承包人自费予以修复；发包人要求承包人采取特殊措施保护的工程部位和相应的追加合同价款，双方在合同专用条款内约定；</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（7）按合同专用条款约定做好施工场地架空线、地下管线和邻近建筑物、构筑物（包括文物保护建筑）、古树名木的保护工作；</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（8）保证施工场地清洁符合环境卫生管理的有关规定，交工前清理现场达到合同专用条款约定的要求，承担因自身原因违反有关规定造成的损失和罚款；</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（9）承包人应做的其他工作，双方在合同专用条款内约定。</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9.2承包人未能履行9.1款各项义务，造成发包人损失的，承包人赔偿发包人有关损失。</w:t>
      </w:r>
    </w:p>
    <w:p>
      <w:pPr>
        <w:adjustRightInd w:val="0"/>
        <w:snapToGrid w:val="0"/>
        <w:spacing w:line="360" w:lineRule="auto"/>
        <w:rPr>
          <w:rFonts w:cs="宋体" w:asciiTheme="majorEastAsia" w:hAnsiTheme="majorEastAsia" w:eastAsiaTheme="majorEastAsia"/>
          <w:snapToGrid w:val="0"/>
          <w:color w:val="auto"/>
          <w:kern w:val="0"/>
          <w:sz w:val="24"/>
          <w:highlight w:val="none"/>
        </w:rPr>
      </w:pPr>
    </w:p>
    <w:p>
      <w:pPr>
        <w:adjustRightInd w:val="0"/>
        <w:snapToGrid w:val="0"/>
        <w:spacing w:line="360" w:lineRule="auto"/>
        <w:ind w:right="11"/>
        <w:outlineLvl w:val="1"/>
        <w:rPr>
          <w:rFonts w:cs="宋体" w:asciiTheme="majorEastAsia" w:hAnsiTheme="majorEastAsia" w:eastAsiaTheme="majorEastAsia"/>
          <w:b/>
          <w:snapToGrid w:val="0"/>
          <w:color w:val="auto"/>
          <w:kern w:val="0"/>
          <w:sz w:val="28"/>
          <w:highlight w:val="none"/>
        </w:rPr>
      </w:pPr>
      <w:bookmarkStart w:id="163" w:name="_Toc140476853"/>
      <w:bookmarkStart w:id="164" w:name="_Toc27740"/>
      <w:bookmarkStart w:id="165" w:name="_Toc7024"/>
      <w:bookmarkStart w:id="166" w:name="_Toc397364841"/>
      <w:r>
        <w:rPr>
          <w:rFonts w:hint="eastAsia" w:cs="宋体" w:asciiTheme="majorEastAsia" w:hAnsiTheme="majorEastAsia" w:eastAsiaTheme="majorEastAsia"/>
          <w:b/>
          <w:snapToGrid w:val="0"/>
          <w:color w:val="auto"/>
          <w:kern w:val="0"/>
          <w:sz w:val="28"/>
          <w:highlight w:val="none"/>
        </w:rPr>
        <w:t>三、施工组织设计和工期</w:t>
      </w:r>
      <w:bookmarkEnd w:id="163"/>
      <w:bookmarkEnd w:id="164"/>
      <w:bookmarkEnd w:id="165"/>
      <w:bookmarkEnd w:id="166"/>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167" w:name="_Toc397364842"/>
      <w:bookmarkStart w:id="168" w:name="_Toc8896"/>
      <w:bookmarkStart w:id="169" w:name="_Toc140476854"/>
      <w:bookmarkStart w:id="170" w:name="_Toc24848"/>
      <w:r>
        <w:rPr>
          <w:rFonts w:hint="eastAsia" w:cs="宋体" w:asciiTheme="majorEastAsia" w:hAnsiTheme="majorEastAsia" w:eastAsiaTheme="majorEastAsia"/>
          <w:b/>
          <w:snapToGrid w:val="0"/>
          <w:color w:val="auto"/>
          <w:kern w:val="0"/>
          <w:sz w:val="24"/>
          <w:highlight w:val="none"/>
        </w:rPr>
        <w:t>10、进度计划</w:t>
      </w:r>
      <w:bookmarkEnd w:id="167"/>
      <w:bookmarkEnd w:id="168"/>
      <w:bookmarkEnd w:id="169"/>
      <w:bookmarkEnd w:id="170"/>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10.1承包人应按合同专用条款约定的日期，将施工组织设计和工程进度计划提交工程师，工程师按合同专用条款约定的时间予以确认或提出修改意见，逾期不确认也不提出书面意见的，视为同意。</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10.2群体工程中单位工程分期进行施工的，承包人应按照发包人提供图纸及有关资料的时间，按单位工程编制进度计划，其具体内容双方在合同专用条款中约定。</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171" w:name="_Toc140476855"/>
      <w:bookmarkStart w:id="172" w:name="_Toc397364843"/>
      <w:bookmarkStart w:id="173" w:name="_Toc12215"/>
      <w:bookmarkStart w:id="174" w:name="_Toc1456"/>
      <w:r>
        <w:rPr>
          <w:rFonts w:hint="eastAsia" w:cs="宋体" w:asciiTheme="majorEastAsia" w:hAnsiTheme="majorEastAsia" w:eastAsiaTheme="majorEastAsia"/>
          <w:b/>
          <w:snapToGrid w:val="0"/>
          <w:color w:val="auto"/>
          <w:kern w:val="0"/>
          <w:sz w:val="24"/>
          <w:highlight w:val="none"/>
        </w:rPr>
        <w:t>11、开工及延期开工</w:t>
      </w:r>
      <w:bookmarkEnd w:id="171"/>
      <w:bookmarkEnd w:id="172"/>
      <w:bookmarkEnd w:id="173"/>
      <w:bookmarkEnd w:id="174"/>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11.1承包人应当按照合同协议书约定的开工日期开工。承包人不能按时开工，应当不迟于合同协议书约定的开工日期前7天，以书面形式向工程师提出延期开工的理由和要求，工程师在接到延期开工申请后48小时内以书面形式答复承包人。工程师在接到延期开工申请后48小时内不答复，视为同意承包人要求，工期相应顺延。工程师不同意顺延要求或承包人未在规定时间内提出延期开工要求，工期不予顺延。</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11.2因发包人原因不能按照合同协议书约定的开工日期开工，工程师应以书面形式通知承包人，推迟开工日期，发包人赔偿承包人因延期开工造成的损失，并相应顺延工期。</w:t>
      </w:r>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175" w:name="_Toc397364844"/>
      <w:bookmarkStart w:id="176" w:name="_Toc140476856"/>
      <w:bookmarkStart w:id="177" w:name="_Toc5980"/>
      <w:bookmarkStart w:id="178" w:name="_Toc6971"/>
      <w:r>
        <w:rPr>
          <w:rFonts w:hint="eastAsia" w:cs="宋体" w:asciiTheme="majorEastAsia" w:hAnsiTheme="majorEastAsia" w:eastAsiaTheme="majorEastAsia"/>
          <w:b/>
          <w:snapToGrid w:val="0"/>
          <w:color w:val="auto"/>
          <w:kern w:val="0"/>
          <w:sz w:val="24"/>
          <w:highlight w:val="none"/>
        </w:rPr>
        <w:t>12、暂停施工</w:t>
      </w:r>
      <w:bookmarkEnd w:id="175"/>
      <w:bookmarkEnd w:id="176"/>
      <w:bookmarkEnd w:id="177"/>
      <w:bookmarkEnd w:id="178"/>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工程师认为确有必要暂停施工时，应当以书面形式要求承包人暂停施工，并在提出要求后48小时内提出书面处理意见。承包人应当按工程师要求停止施工，并妥善保护自己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179" w:name="_Toc397364845"/>
      <w:bookmarkStart w:id="180" w:name="_Toc3851"/>
      <w:bookmarkStart w:id="181" w:name="_Toc140476857"/>
      <w:bookmarkStart w:id="182" w:name="_Toc28026"/>
      <w:r>
        <w:rPr>
          <w:rFonts w:hint="eastAsia" w:cs="宋体" w:asciiTheme="majorEastAsia" w:hAnsiTheme="majorEastAsia" w:eastAsiaTheme="majorEastAsia"/>
          <w:b/>
          <w:snapToGrid w:val="0"/>
          <w:color w:val="auto"/>
          <w:kern w:val="0"/>
          <w:sz w:val="24"/>
          <w:highlight w:val="none"/>
        </w:rPr>
        <w:t>13、工期延误</w:t>
      </w:r>
      <w:bookmarkEnd w:id="179"/>
      <w:bookmarkEnd w:id="180"/>
      <w:bookmarkEnd w:id="181"/>
      <w:bookmarkEnd w:id="182"/>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13.1因以下原因造成工期延误，经工程师确认，工期相应顺延；</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（1）发包人未能按合同专用条款的约定提供图纸及开工条件；</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（2）发包人未能按约定日期支付工程预付款、进度款，致使施工不能正常进行；</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（3）工程师未按合同约定提供所需指令、批准等，致使施工不能正常进行；</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（4）设计变更和工程量增加；</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（5）一周内非承包人原因停水、停电、停气造成停工累计超过8小时；</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（6）不可抗力；</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（7）合同专用条款中约定或工程师同意工期顺延的其他情况。</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13.2承包人在13.1款情况发生后14天内，就延误的工期以书面形式向工程师提出报告。工程师在收到报告后14天内予以确认，逾期不予确认也不提出修改意见，视为同意顺延工期。</w:t>
      </w:r>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183" w:name="_Toc5196"/>
      <w:bookmarkStart w:id="184" w:name="_Toc397364846"/>
      <w:bookmarkStart w:id="185" w:name="_Toc140476858"/>
      <w:bookmarkStart w:id="186" w:name="_Toc24535"/>
      <w:r>
        <w:rPr>
          <w:rFonts w:hint="eastAsia" w:cs="宋体" w:asciiTheme="majorEastAsia" w:hAnsiTheme="majorEastAsia" w:eastAsiaTheme="majorEastAsia"/>
          <w:b/>
          <w:snapToGrid w:val="0"/>
          <w:color w:val="auto"/>
          <w:kern w:val="0"/>
          <w:sz w:val="24"/>
          <w:highlight w:val="none"/>
        </w:rPr>
        <w:t>14、工程竣工</w:t>
      </w:r>
      <w:bookmarkEnd w:id="183"/>
      <w:bookmarkEnd w:id="184"/>
      <w:bookmarkEnd w:id="185"/>
      <w:bookmarkEnd w:id="186"/>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14.1承包人必须按照合同协议书约定的竣工日期或工程师同意顺延的工期竣工。</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14.2因承包人原因不能按照合同协议书约定的竣工日期或工程师同意顺延的工期竣工的，承包人承担违约责任。</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adjustRightInd w:val="0"/>
        <w:snapToGrid w:val="0"/>
        <w:spacing w:line="360" w:lineRule="auto"/>
        <w:rPr>
          <w:rFonts w:cs="宋体" w:asciiTheme="majorEastAsia" w:hAnsiTheme="majorEastAsia" w:eastAsiaTheme="majorEastAsia"/>
          <w:snapToGrid w:val="0"/>
          <w:color w:val="auto"/>
          <w:kern w:val="0"/>
          <w:sz w:val="24"/>
          <w:highlight w:val="none"/>
        </w:rPr>
      </w:pPr>
    </w:p>
    <w:p>
      <w:pPr>
        <w:adjustRightInd w:val="0"/>
        <w:snapToGrid w:val="0"/>
        <w:spacing w:line="360" w:lineRule="auto"/>
        <w:ind w:right="11"/>
        <w:outlineLvl w:val="1"/>
        <w:rPr>
          <w:rFonts w:cs="宋体" w:asciiTheme="majorEastAsia" w:hAnsiTheme="majorEastAsia" w:eastAsiaTheme="majorEastAsia"/>
          <w:b/>
          <w:snapToGrid w:val="0"/>
          <w:color w:val="auto"/>
          <w:kern w:val="0"/>
          <w:sz w:val="28"/>
          <w:highlight w:val="none"/>
        </w:rPr>
      </w:pPr>
      <w:bookmarkStart w:id="187" w:name="_Toc1173"/>
      <w:bookmarkStart w:id="188" w:name="_Toc397364847"/>
      <w:bookmarkStart w:id="189" w:name="_Toc15065"/>
      <w:bookmarkStart w:id="190" w:name="_Toc140476859"/>
      <w:r>
        <w:rPr>
          <w:rFonts w:hint="eastAsia" w:cs="宋体" w:asciiTheme="majorEastAsia" w:hAnsiTheme="majorEastAsia" w:eastAsiaTheme="majorEastAsia"/>
          <w:b/>
          <w:snapToGrid w:val="0"/>
          <w:color w:val="auto"/>
          <w:kern w:val="0"/>
          <w:sz w:val="28"/>
          <w:highlight w:val="none"/>
        </w:rPr>
        <w:t>四、质量与检验</w:t>
      </w:r>
      <w:bookmarkEnd w:id="187"/>
      <w:bookmarkEnd w:id="188"/>
      <w:bookmarkEnd w:id="189"/>
      <w:bookmarkEnd w:id="190"/>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191" w:name="_Toc397364848"/>
      <w:bookmarkStart w:id="192" w:name="_Toc140476860"/>
      <w:bookmarkStart w:id="193" w:name="_Toc3376"/>
      <w:bookmarkStart w:id="194" w:name="_Toc8912"/>
      <w:r>
        <w:rPr>
          <w:rFonts w:hint="eastAsia" w:cs="宋体" w:asciiTheme="majorEastAsia" w:hAnsiTheme="majorEastAsia" w:eastAsiaTheme="majorEastAsia"/>
          <w:b/>
          <w:snapToGrid w:val="0"/>
          <w:color w:val="auto"/>
          <w:kern w:val="0"/>
          <w:sz w:val="24"/>
          <w:highlight w:val="none"/>
        </w:rPr>
        <w:t>15、工程质量</w:t>
      </w:r>
      <w:bookmarkEnd w:id="191"/>
      <w:bookmarkEnd w:id="192"/>
      <w:bookmarkEnd w:id="193"/>
      <w:bookmarkEnd w:id="194"/>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15.1工程质量应当达到合同协议书约定的质量标准，质量标准的评定以国家或行业的质量检验评定标准为依据。因承包人原因工程质量达不到约定的质量标准，承包人承担违约责任。</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15.2双方对工程质量有争议，由双方同意的工程质量检测机构鉴定，所需费用及因此造成的损失，由责任方承担。双方均有责任，由双方根据其责任分别承担。</w:t>
      </w:r>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195" w:name="_Toc7271"/>
      <w:bookmarkStart w:id="196" w:name="_Toc140476861"/>
      <w:bookmarkStart w:id="197" w:name="_Toc4076"/>
      <w:bookmarkStart w:id="198" w:name="_Toc397364849"/>
      <w:r>
        <w:rPr>
          <w:rFonts w:hint="eastAsia" w:cs="宋体" w:asciiTheme="majorEastAsia" w:hAnsiTheme="majorEastAsia" w:eastAsiaTheme="majorEastAsia"/>
          <w:b/>
          <w:snapToGrid w:val="0"/>
          <w:color w:val="auto"/>
          <w:kern w:val="0"/>
          <w:sz w:val="24"/>
          <w:highlight w:val="none"/>
        </w:rPr>
        <w:t>16、检查和返工</w:t>
      </w:r>
      <w:bookmarkEnd w:id="195"/>
      <w:bookmarkEnd w:id="196"/>
      <w:bookmarkEnd w:id="197"/>
      <w:bookmarkEnd w:id="198"/>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16.1承包人应认真按照标准、规范和设计图纸要求以及工程师依据合同发出的指令施工，随时接受工程师的检查检验，为检查检验提供便利条件。</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16.2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16.3工程师的检查检验不应影响施工正常进行。如影响施工正常进行，检查检验不合格时，影响正常施工的费用由承包人承担。除此之外影响正常施工的追加合同价款由发包人承担，相应顺延工期。</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16.4因工程师指令失误或其他非承包人原因发生的追加合同价款，由发包人承担。</w:t>
      </w:r>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199" w:name="_Toc1503"/>
      <w:bookmarkStart w:id="200" w:name="_Toc397364850"/>
      <w:bookmarkStart w:id="201" w:name="_Toc30522"/>
      <w:bookmarkStart w:id="202" w:name="_Toc140476862"/>
      <w:r>
        <w:rPr>
          <w:rFonts w:hint="eastAsia" w:cs="宋体" w:asciiTheme="majorEastAsia" w:hAnsiTheme="majorEastAsia" w:eastAsiaTheme="majorEastAsia"/>
          <w:b/>
          <w:snapToGrid w:val="0"/>
          <w:color w:val="auto"/>
          <w:kern w:val="0"/>
          <w:sz w:val="24"/>
          <w:highlight w:val="none"/>
        </w:rPr>
        <w:t>17、隐蔽工程和中间验收</w:t>
      </w:r>
      <w:bookmarkEnd w:id="199"/>
      <w:bookmarkEnd w:id="200"/>
      <w:bookmarkEnd w:id="201"/>
      <w:bookmarkEnd w:id="202"/>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17.1工程具备隐蔽条件或达到合同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17.2工程师不能按时进行验收，应在验收前24小时以书面形式向承包人提出延期要求，延期不能超过48小时。工程师未能按以上时间提出延期要求，不进行验收，承包人可自行组织验收，工程师应承认验收记录。</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17.3经工程师验收，工程质量符合标准、规范和设计图纸等要求，验收24小时后，工程师不在验收记录上签字，视为工程师已经认可验收记录，承包人可进行隐蔽或继续施工。</w:t>
      </w:r>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203" w:name="_Toc25405"/>
      <w:bookmarkStart w:id="204" w:name="_Toc397364851"/>
      <w:bookmarkStart w:id="205" w:name="_Toc140476863"/>
      <w:bookmarkStart w:id="206" w:name="_Toc18089"/>
      <w:r>
        <w:rPr>
          <w:rFonts w:hint="eastAsia" w:cs="宋体" w:asciiTheme="majorEastAsia" w:hAnsiTheme="majorEastAsia" w:eastAsiaTheme="majorEastAsia"/>
          <w:b/>
          <w:snapToGrid w:val="0"/>
          <w:color w:val="auto"/>
          <w:kern w:val="0"/>
          <w:sz w:val="24"/>
          <w:highlight w:val="none"/>
        </w:rPr>
        <w:t>18、重新检验</w:t>
      </w:r>
      <w:bookmarkEnd w:id="203"/>
      <w:bookmarkEnd w:id="204"/>
      <w:bookmarkEnd w:id="205"/>
      <w:bookmarkEnd w:id="206"/>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无论工程师是否进行验收，当其要求对已经隐蔽的工程重新检验时，承包人应按要求进行剥离或开孔，并要检验后重新覆盖或修复。检验合格，发包人承担由此发生的全部追加合同价款，赔偿承包人损失，并相应顺延工期。检验不合格，承包人承担发生的全部费用，工期不予顺延。</w:t>
      </w:r>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207" w:name="_Toc10273"/>
      <w:bookmarkStart w:id="208" w:name="_Toc397364852"/>
      <w:bookmarkStart w:id="209" w:name="_Toc140476864"/>
      <w:bookmarkStart w:id="210" w:name="_Toc19685"/>
      <w:r>
        <w:rPr>
          <w:rFonts w:hint="eastAsia" w:cs="宋体" w:asciiTheme="majorEastAsia" w:hAnsiTheme="majorEastAsia" w:eastAsiaTheme="majorEastAsia"/>
          <w:b/>
          <w:snapToGrid w:val="0"/>
          <w:color w:val="auto"/>
          <w:kern w:val="0"/>
          <w:sz w:val="24"/>
          <w:highlight w:val="none"/>
        </w:rPr>
        <w:t>19、工程试车</w:t>
      </w:r>
      <w:bookmarkEnd w:id="207"/>
      <w:bookmarkEnd w:id="208"/>
      <w:bookmarkEnd w:id="209"/>
      <w:bookmarkEnd w:id="210"/>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19.1双方约定需要试车的，试车内容应与承包人承包的安装范围相一致。</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19.2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19.3工程师不能按时参加试车，须在开始试车前24小时以书面形式向承包人提出延期要求，延期不能超过48小时。工程师未能按以上时间提出延期要求，不参加试车，应承认试车记录。</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19.4设备安装工程具备无负荷联动试车条件，发包人组织试车，并在试车前48小时以书面形式通知承包人。通知包括试车内容、时间、地点和对承包人的要求，承包人按要求做好准备工作。试车合格，双方在试车记录上签字。</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19.5双方责任</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（1）由于设计原因试车达不到验收要求，发包人应要求设计单位修改设计，承包人按修改后的设计重新安装。发包人承担修改设计、拆除及重新安装的全部费用和追加合同价款，工期相应顺延。</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（3）由于承包人施工原因试车达不到验收要求，承包人按工程师要求重新安装和试车，并承担重新安装和试车的费用，工期不予顺延。</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（4）试车费用除已包括在合同价款之内或合同专用条款另有约定外，均由发包人承担。</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（5）工程师在试车合格后不在试车记录上签字，试车结束24小时后，视为工程师已经认可试车记录，承包人可继续施工或办理竣工手续。</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19.6投料试车应在工程竣工验收后由发包人负责，如发包人要求在工程竣工验收前进行或需要承包人配合时，应征得承包人同意，另行签订补充协议。</w:t>
      </w:r>
    </w:p>
    <w:p>
      <w:pPr>
        <w:adjustRightInd w:val="0"/>
        <w:snapToGrid w:val="0"/>
        <w:spacing w:line="360" w:lineRule="auto"/>
        <w:rPr>
          <w:rFonts w:cs="宋体" w:asciiTheme="majorEastAsia" w:hAnsiTheme="majorEastAsia" w:eastAsiaTheme="majorEastAsia"/>
          <w:snapToGrid w:val="0"/>
          <w:color w:val="auto"/>
          <w:kern w:val="0"/>
          <w:sz w:val="24"/>
          <w:highlight w:val="none"/>
        </w:rPr>
      </w:pPr>
    </w:p>
    <w:p>
      <w:pPr>
        <w:adjustRightInd w:val="0"/>
        <w:snapToGrid w:val="0"/>
        <w:spacing w:line="360" w:lineRule="auto"/>
        <w:ind w:right="11"/>
        <w:outlineLvl w:val="1"/>
        <w:rPr>
          <w:rFonts w:cs="宋体" w:asciiTheme="majorEastAsia" w:hAnsiTheme="majorEastAsia" w:eastAsiaTheme="majorEastAsia"/>
          <w:b/>
          <w:snapToGrid w:val="0"/>
          <w:color w:val="auto"/>
          <w:kern w:val="0"/>
          <w:sz w:val="28"/>
          <w:highlight w:val="none"/>
        </w:rPr>
      </w:pPr>
      <w:bookmarkStart w:id="211" w:name="_Toc397364853"/>
      <w:bookmarkStart w:id="212" w:name="_Toc140476865"/>
      <w:bookmarkStart w:id="213" w:name="_Toc24534"/>
      <w:bookmarkStart w:id="214" w:name="_Toc12958"/>
      <w:r>
        <w:rPr>
          <w:rFonts w:hint="eastAsia" w:cs="宋体" w:asciiTheme="majorEastAsia" w:hAnsiTheme="majorEastAsia" w:eastAsiaTheme="majorEastAsia"/>
          <w:b/>
          <w:snapToGrid w:val="0"/>
          <w:color w:val="auto"/>
          <w:kern w:val="0"/>
          <w:sz w:val="28"/>
          <w:highlight w:val="none"/>
        </w:rPr>
        <w:t>五、安全文明施工</w:t>
      </w:r>
      <w:bookmarkEnd w:id="211"/>
      <w:bookmarkEnd w:id="212"/>
      <w:bookmarkEnd w:id="213"/>
      <w:bookmarkEnd w:id="214"/>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215" w:name="_Toc397364854"/>
      <w:bookmarkStart w:id="216" w:name="_Toc30661"/>
      <w:bookmarkStart w:id="217" w:name="_Toc27606"/>
      <w:bookmarkStart w:id="218" w:name="_Toc140476866"/>
      <w:r>
        <w:rPr>
          <w:rFonts w:hint="eastAsia" w:cs="宋体" w:asciiTheme="majorEastAsia" w:hAnsiTheme="majorEastAsia" w:eastAsiaTheme="majorEastAsia"/>
          <w:b/>
          <w:snapToGrid w:val="0"/>
          <w:color w:val="auto"/>
          <w:kern w:val="0"/>
          <w:sz w:val="24"/>
          <w:highlight w:val="none"/>
        </w:rPr>
        <w:t>20、施工场地的占用和管理</w:t>
      </w:r>
      <w:bookmarkEnd w:id="215"/>
      <w:bookmarkEnd w:id="216"/>
      <w:bookmarkEnd w:id="217"/>
      <w:bookmarkEnd w:id="218"/>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20.1发包人应当依照合同专用条款约定的时间，按照其与监理单位会签认可的施工平面图给承包人提供施工场地。承包人必须在发包人提供的施工场地范围内布置、安排和组织施工，严禁擅自变更场地范围。因工程施工需要，承包人确需临时征用场地或道路的，必须事先取得监理单位和发包人的批准。</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20.2承包人应当严格遵守国家有关建设项目施工现场管理的有关规定，做好施工场地方方面面的管理工作，并应对管理不善引发的纠纷和损失承担全部责任。</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20.3工程竣工验收且办理了移交与接收手续后，承包人应当按照合同专用条款约定的时间，从施工场地搬走或清除其设备、临时设施以及多余的材料、余泥、垃圾，并保持现场和工程清洁整齐，达到发包人和总监理工程师满意的程度。</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20.4承包人应当随时接受政府主管部门的监督和执法检查，并对管理不善之处及时予以全面整改。</w:t>
      </w:r>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219" w:name="_Toc14498"/>
      <w:bookmarkStart w:id="220" w:name="_Toc397364855"/>
      <w:bookmarkStart w:id="221" w:name="_Toc18836"/>
      <w:bookmarkStart w:id="222" w:name="_Toc140476867"/>
      <w:r>
        <w:rPr>
          <w:rFonts w:hint="eastAsia" w:cs="宋体" w:asciiTheme="majorEastAsia" w:hAnsiTheme="majorEastAsia" w:eastAsiaTheme="majorEastAsia"/>
          <w:b/>
          <w:snapToGrid w:val="0"/>
          <w:color w:val="auto"/>
          <w:kern w:val="0"/>
          <w:sz w:val="24"/>
          <w:highlight w:val="none"/>
        </w:rPr>
        <w:t>21、安全施工与检查</w:t>
      </w:r>
      <w:bookmarkEnd w:id="219"/>
      <w:bookmarkEnd w:id="220"/>
      <w:bookmarkEnd w:id="221"/>
      <w:bookmarkEnd w:id="222"/>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21.1承包人应遵守《建设工程安全管理条例》及建设行政主管部门颁发的有关管理规定，严格按《建筑施工安全检查标准》组织施工，并随时接受行业安全检查人员依法实施的监督检查，采取必要的安全防护措施，消除事故隐患。由于承包人安全措施不力造成事故的责任和因此发生的费用，由承包人承担。</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21.2发包人不得要求承包人违反安全管理的规定进行施工。因发包人原因导致的安全事故，由发包人承担相应责任及发生的费用。</w:t>
      </w:r>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223" w:name="_Toc6617"/>
      <w:bookmarkStart w:id="224" w:name="_Toc11070"/>
      <w:bookmarkStart w:id="225" w:name="_Toc397364856"/>
      <w:bookmarkStart w:id="226" w:name="_Toc140476868"/>
      <w:r>
        <w:rPr>
          <w:rFonts w:hint="eastAsia" w:cs="宋体" w:asciiTheme="majorEastAsia" w:hAnsiTheme="majorEastAsia" w:eastAsiaTheme="majorEastAsia"/>
          <w:b/>
          <w:snapToGrid w:val="0"/>
          <w:color w:val="auto"/>
          <w:kern w:val="0"/>
          <w:sz w:val="24"/>
          <w:highlight w:val="none"/>
        </w:rPr>
        <w:t>22、安全防护</w:t>
      </w:r>
      <w:bookmarkEnd w:id="223"/>
      <w:bookmarkEnd w:id="224"/>
      <w:bookmarkEnd w:id="225"/>
      <w:bookmarkEnd w:id="226"/>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22.1承包人在动力设备、输电线路、地下管道、密封防震车间、易燃易爆地段以及临街交通要道附近施工时，施工开始前应向工程师提出安全防护措施，经工程师认可后实施，防护措施费用由发包人承担。</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22.2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227" w:name="_Toc140476869"/>
      <w:bookmarkStart w:id="228" w:name="_Toc7037"/>
      <w:bookmarkStart w:id="229" w:name="_Toc397364857"/>
      <w:bookmarkStart w:id="230" w:name="_Toc1604"/>
      <w:r>
        <w:rPr>
          <w:rFonts w:hint="eastAsia" w:cs="宋体" w:asciiTheme="majorEastAsia" w:hAnsiTheme="majorEastAsia" w:eastAsiaTheme="majorEastAsia"/>
          <w:b/>
          <w:snapToGrid w:val="0"/>
          <w:color w:val="auto"/>
          <w:kern w:val="0"/>
          <w:sz w:val="24"/>
          <w:highlight w:val="none"/>
        </w:rPr>
        <w:t>23、事故处理</w:t>
      </w:r>
      <w:bookmarkEnd w:id="227"/>
      <w:bookmarkEnd w:id="228"/>
      <w:bookmarkEnd w:id="229"/>
      <w:bookmarkEnd w:id="230"/>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23.1发生重大伤亡及其他安全事故，承包人应按《建设工程安全管理条例》的规定立即上报有关部门并通知工程师，同时按政府有关部门要求处理，由事故责任方承担发生的费用。</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23.2发包人、承包人对事故责任有争议时，应按政府有关部门的认定处理。</w:t>
      </w:r>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231" w:name="_Toc9555"/>
      <w:bookmarkStart w:id="232" w:name="_Toc140476870"/>
      <w:bookmarkStart w:id="233" w:name="_Toc397364858"/>
      <w:bookmarkStart w:id="234" w:name="_Toc29288"/>
      <w:r>
        <w:rPr>
          <w:rFonts w:hint="eastAsia" w:cs="宋体" w:asciiTheme="majorEastAsia" w:hAnsiTheme="majorEastAsia" w:eastAsiaTheme="majorEastAsia"/>
          <w:b/>
          <w:snapToGrid w:val="0"/>
          <w:color w:val="auto"/>
          <w:kern w:val="0"/>
          <w:sz w:val="24"/>
          <w:highlight w:val="none"/>
        </w:rPr>
        <w:t>24、文明施工与环境保护</w:t>
      </w:r>
      <w:bookmarkEnd w:id="231"/>
      <w:bookmarkEnd w:id="232"/>
      <w:bookmarkEnd w:id="233"/>
      <w:bookmarkEnd w:id="234"/>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24.1承包人应遵守工程建设文明施工有关管理规定，建立健全文明施工制度，切实采取有效措施，创建文明施工现场。</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24.2在工程施工期间，根据建设项目环境保护的有关管理规定，承包人应采取所有合理的措施来保护施工场地内外的环境，避免由于其操作方法所造成的污染、噪声或其他问题而对周边的人员或公私财产造成干扰、损失或者损害。因承包人环保措施不力造成损害的责任和因此发生的费用，由承包人承担。</w:t>
      </w:r>
    </w:p>
    <w:p>
      <w:pPr>
        <w:adjustRightInd w:val="0"/>
        <w:snapToGrid w:val="0"/>
        <w:spacing w:line="360" w:lineRule="auto"/>
        <w:rPr>
          <w:rFonts w:cs="宋体" w:asciiTheme="majorEastAsia" w:hAnsiTheme="majorEastAsia" w:eastAsiaTheme="majorEastAsia"/>
          <w:snapToGrid w:val="0"/>
          <w:color w:val="auto"/>
          <w:kern w:val="0"/>
          <w:sz w:val="24"/>
          <w:highlight w:val="none"/>
        </w:rPr>
      </w:pPr>
    </w:p>
    <w:p>
      <w:pPr>
        <w:adjustRightInd w:val="0"/>
        <w:snapToGrid w:val="0"/>
        <w:spacing w:line="360" w:lineRule="auto"/>
        <w:ind w:right="11"/>
        <w:outlineLvl w:val="1"/>
        <w:rPr>
          <w:rFonts w:cs="宋体" w:asciiTheme="majorEastAsia" w:hAnsiTheme="majorEastAsia" w:eastAsiaTheme="majorEastAsia"/>
          <w:b/>
          <w:snapToGrid w:val="0"/>
          <w:color w:val="auto"/>
          <w:kern w:val="0"/>
          <w:sz w:val="28"/>
          <w:highlight w:val="none"/>
        </w:rPr>
      </w:pPr>
      <w:bookmarkStart w:id="235" w:name="_Toc397364859"/>
      <w:bookmarkStart w:id="236" w:name="_Toc140476871"/>
      <w:bookmarkStart w:id="237" w:name="_Toc146"/>
      <w:bookmarkStart w:id="238" w:name="_Toc7602"/>
      <w:r>
        <w:rPr>
          <w:rFonts w:hint="eastAsia" w:cs="宋体" w:asciiTheme="majorEastAsia" w:hAnsiTheme="majorEastAsia" w:eastAsiaTheme="majorEastAsia"/>
          <w:b/>
          <w:snapToGrid w:val="0"/>
          <w:color w:val="auto"/>
          <w:kern w:val="0"/>
          <w:sz w:val="28"/>
          <w:highlight w:val="none"/>
        </w:rPr>
        <w:t>六、合同价款与支付</w:t>
      </w:r>
      <w:bookmarkEnd w:id="235"/>
      <w:bookmarkEnd w:id="236"/>
      <w:bookmarkEnd w:id="237"/>
      <w:bookmarkEnd w:id="238"/>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239" w:name="_Toc397364860"/>
      <w:bookmarkStart w:id="240" w:name="_Toc140476872"/>
      <w:bookmarkStart w:id="241" w:name="_Toc16924"/>
      <w:bookmarkStart w:id="242" w:name="_Toc27137"/>
      <w:r>
        <w:rPr>
          <w:rFonts w:hint="eastAsia" w:cs="宋体" w:asciiTheme="majorEastAsia" w:hAnsiTheme="majorEastAsia" w:eastAsiaTheme="majorEastAsia"/>
          <w:b/>
          <w:snapToGrid w:val="0"/>
          <w:color w:val="auto"/>
          <w:kern w:val="0"/>
          <w:sz w:val="24"/>
          <w:highlight w:val="none"/>
        </w:rPr>
        <w:t>25、合同价款及调整</w:t>
      </w:r>
      <w:bookmarkEnd w:id="239"/>
      <w:bookmarkEnd w:id="240"/>
      <w:bookmarkEnd w:id="241"/>
      <w:bookmarkEnd w:id="242"/>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25.1招标工程的合同价款由发包人、承包人依据中标通知书中的中标价格在合同协议书内约定。非招标工程的合同价款由发包人、承包人依据工程预算书在合同协议书内约定。</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25.2合同价款在合同协议书内约定后，任何一方不得擅自改变。下列三种确定合同价款的方式，双方可在合同专用条款内约定采用其中一种：</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（1）固定价格合同。双方在合同专用条款内约定合同价款包含的风险范围和风险费用的计算方法，在约定的风险范围内合同价款不再调整。风险范围以外的合同价款调整方法，应当在合同专用条款内约定。</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（2）可调价格合同。合同价款可根据双方的约定而调整，双方在合同专用条款内约定合同价款调整方法。</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（3）成本加酬金合同。合同价款包括成本和酬金两部分，双方在合同专用条款内约定成本构成和酬金的计算方法。</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25.3可调价格合同中合同价款的调整因素包括：</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（1）法律、行政法规和国家有关政策变化影响合同价款；</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（2）工程造价管理部门颁布的价格调整；</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（3）一周内非承包人原因停水、停电、停气造成停工累计超过8小时；</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（4）双方约定的其他因素。</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25.4承包人应当在25.3款情况发生后14天内，将调整原因、金额以书面形式通知工程师，工程师确认调整金额后作为追加合同价款，与工程款同期支付。工程师收到承包人通知后14天内不予确认也不提出修改意见，视为已经同意该项调整。</w:t>
      </w:r>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243" w:name="_Toc140476873"/>
      <w:bookmarkStart w:id="244" w:name="_Toc397364861"/>
      <w:bookmarkStart w:id="245" w:name="_Toc16828"/>
      <w:bookmarkStart w:id="246" w:name="_Toc19419"/>
      <w:r>
        <w:rPr>
          <w:rFonts w:hint="eastAsia" w:cs="宋体" w:asciiTheme="majorEastAsia" w:hAnsiTheme="majorEastAsia" w:eastAsiaTheme="majorEastAsia"/>
          <w:b/>
          <w:snapToGrid w:val="0"/>
          <w:color w:val="auto"/>
          <w:kern w:val="0"/>
          <w:sz w:val="24"/>
          <w:highlight w:val="none"/>
        </w:rPr>
        <w:t>26、工程预付款</w:t>
      </w:r>
      <w:bookmarkEnd w:id="243"/>
      <w:bookmarkEnd w:id="244"/>
      <w:bookmarkEnd w:id="245"/>
      <w:bookmarkEnd w:id="246"/>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实行工程预付款的，双方应当在合同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247" w:name="_Toc140476874"/>
      <w:bookmarkStart w:id="248" w:name="_Toc31735"/>
      <w:bookmarkStart w:id="249" w:name="_Toc32265"/>
      <w:bookmarkStart w:id="250" w:name="_Toc397364862"/>
      <w:r>
        <w:rPr>
          <w:rFonts w:hint="eastAsia" w:cs="宋体" w:asciiTheme="majorEastAsia" w:hAnsiTheme="majorEastAsia" w:eastAsiaTheme="majorEastAsia"/>
          <w:b/>
          <w:snapToGrid w:val="0"/>
          <w:color w:val="auto"/>
          <w:kern w:val="0"/>
          <w:sz w:val="24"/>
          <w:highlight w:val="none"/>
        </w:rPr>
        <w:t>27、工程量的确认</w:t>
      </w:r>
      <w:bookmarkEnd w:id="247"/>
      <w:bookmarkEnd w:id="248"/>
      <w:bookmarkEnd w:id="249"/>
      <w:bookmarkEnd w:id="250"/>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27.1承包人应按合同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27.2工程师收到承包人报告后7天内未进行计量，从第8天起，承包人报告中开列的工程量即视为被确认，作为工程价款支付的依据。工程师不按约定时间通知承包人，致使承包人未能参加计量，计量结果无效。</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27.3对承包人超出设计图纸范围和因承包人原因造成返工的工程量，工程师不予计量。</w:t>
      </w:r>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251" w:name="_Toc140476875"/>
      <w:bookmarkStart w:id="252" w:name="_Toc397364863"/>
      <w:bookmarkStart w:id="253" w:name="_Toc25316"/>
      <w:bookmarkStart w:id="254" w:name="_Toc2494"/>
      <w:r>
        <w:rPr>
          <w:rFonts w:hint="eastAsia" w:cs="宋体" w:asciiTheme="majorEastAsia" w:hAnsiTheme="majorEastAsia" w:eastAsiaTheme="majorEastAsia"/>
          <w:b/>
          <w:snapToGrid w:val="0"/>
          <w:color w:val="auto"/>
          <w:kern w:val="0"/>
          <w:sz w:val="24"/>
          <w:highlight w:val="none"/>
        </w:rPr>
        <w:t>28、工程款（进度款）支付</w:t>
      </w:r>
      <w:bookmarkEnd w:id="251"/>
      <w:bookmarkEnd w:id="252"/>
      <w:bookmarkEnd w:id="253"/>
      <w:bookmarkEnd w:id="254"/>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28.1在确认计量结果后14天内，发包人应向承包人支付工程款（进度款）。按约定时间发包人应扣回的预付款，与工程款（进度款）同期结算。</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28.2合同通用条款第25条确定调整的合同价款，第33条工程变更调整的合同价款及其他条款中约定的追加合同价款，应与工程款（进度款）同期调整支付。</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28.3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28.4发包人不按合同约定支付工程款（进度款），双方又未达成延期付款协议，导致施工无法进行，承包人可停止施工，由发包人承担违约责任。</w:t>
      </w:r>
    </w:p>
    <w:p>
      <w:pPr>
        <w:adjustRightInd w:val="0"/>
        <w:snapToGrid w:val="0"/>
        <w:spacing w:line="360" w:lineRule="auto"/>
        <w:ind w:right="11"/>
        <w:outlineLvl w:val="1"/>
        <w:rPr>
          <w:rFonts w:cs="宋体" w:asciiTheme="majorEastAsia" w:hAnsiTheme="majorEastAsia" w:eastAsiaTheme="majorEastAsia"/>
          <w:b/>
          <w:snapToGrid w:val="0"/>
          <w:color w:val="auto"/>
          <w:kern w:val="0"/>
          <w:sz w:val="28"/>
          <w:highlight w:val="none"/>
        </w:rPr>
      </w:pPr>
      <w:bookmarkStart w:id="255" w:name="_Toc17302"/>
      <w:bookmarkStart w:id="256" w:name="_Toc27252"/>
      <w:bookmarkStart w:id="257" w:name="_Toc140476876"/>
      <w:bookmarkStart w:id="258" w:name="_Toc397364864"/>
      <w:r>
        <w:rPr>
          <w:rFonts w:hint="eastAsia" w:cs="宋体" w:asciiTheme="majorEastAsia" w:hAnsiTheme="majorEastAsia" w:eastAsiaTheme="majorEastAsia"/>
          <w:b/>
          <w:snapToGrid w:val="0"/>
          <w:color w:val="auto"/>
          <w:kern w:val="0"/>
          <w:sz w:val="28"/>
          <w:highlight w:val="none"/>
        </w:rPr>
        <w:t>七、材料设备供应</w:t>
      </w:r>
      <w:bookmarkEnd w:id="255"/>
      <w:bookmarkEnd w:id="256"/>
      <w:bookmarkEnd w:id="257"/>
      <w:bookmarkEnd w:id="258"/>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259" w:name="_Toc29717"/>
      <w:bookmarkStart w:id="260" w:name="_Toc26414"/>
      <w:bookmarkStart w:id="261" w:name="_Toc397364865"/>
      <w:bookmarkStart w:id="262" w:name="_Toc140476877"/>
      <w:r>
        <w:rPr>
          <w:rFonts w:hint="eastAsia" w:cs="宋体" w:asciiTheme="majorEastAsia" w:hAnsiTheme="majorEastAsia" w:eastAsiaTheme="majorEastAsia"/>
          <w:b/>
          <w:snapToGrid w:val="0"/>
          <w:color w:val="auto"/>
          <w:kern w:val="0"/>
          <w:sz w:val="24"/>
          <w:highlight w:val="none"/>
        </w:rPr>
        <w:t>29、发包人供应材料设备</w:t>
      </w:r>
      <w:bookmarkEnd w:id="259"/>
      <w:bookmarkEnd w:id="260"/>
      <w:bookmarkEnd w:id="261"/>
      <w:bookmarkEnd w:id="262"/>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29.1实行发包人供应材料设备的，双方应当约定发包人供应材料设备的一览表，作为合同附件。一览表包括发包人供应材料设备的品种、规格、型号、数量、单价、质量等级、提供时间和地点。</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29.2发包人按一览表约定的内容提供材料设备，并向承包人提供产品合格证明，对其质量负责。发包人在所供材料设备到货前24小时，以书面形式通知承包人，由承包人派人与发包人共同清点。</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29.3发包人供应的材料设备，承包人派人参加清点后由承包人妥善保管，发包人支付相应保管费用。因承包人原因发生丢失损坏，由承包人负责赔偿。</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发包人未通知承包人清点，承包人不负责材料设备的保管，丢失损坏由发包人负责。</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29.4发包人供应的材料设备与一览表不符时，发包人承担有关责任。发包人应承担责任的具体内容，双方根据下列情况在合同专用条款内约定：</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（1）材料设备单价与一览表不符，由发包人承担所有价差；</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（2）材料设备的品种、规格、型号、质量等级与一览表不符，承包人可拒绝接收保管，由发包人运出施工场地并重新采购；</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（3）发包人供应的材料规格、型号与一览表不符，经发包人同意，承包人可代为调剂串换，由发包人承担相应费用；</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（4）到货地点与一览表不符，由发包人负责运至一览表指定地点；</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（5）供应数量少于一览表约定的数量时，由发包人补齐，多于一览表约定数量时，发包人负责将多出部分运出施工场地；</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（6）到货时间早于一览表约定时间，由发包人承担因此发生的保管费用；到货时间迟于一览表约定的供应时间，发包人赔偿由此造成承包人损失，造成工期延误的，相应顺延工期。</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29.5发包人供应的材料设备使用前，由承包人负责检验或试验，不合格的不得使用，检验或试验费用由发包人承担。</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29.6发包人供应材料设备的结算方法，双方在合同专用条款内约定。</w:t>
      </w:r>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263" w:name="_Toc140476878"/>
      <w:bookmarkStart w:id="264" w:name="_Toc397364866"/>
      <w:bookmarkStart w:id="265" w:name="_Toc10676"/>
      <w:bookmarkStart w:id="266" w:name="_Toc7539"/>
      <w:r>
        <w:rPr>
          <w:rFonts w:hint="eastAsia" w:cs="宋体" w:asciiTheme="majorEastAsia" w:hAnsiTheme="majorEastAsia" w:eastAsiaTheme="majorEastAsia"/>
          <w:b/>
          <w:snapToGrid w:val="0"/>
          <w:color w:val="auto"/>
          <w:kern w:val="0"/>
          <w:sz w:val="24"/>
          <w:highlight w:val="none"/>
        </w:rPr>
        <w:t>30、承包人采购材料设备</w:t>
      </w:r>
      <w:bookmarkEnd w:id="263"/>
      <w:bookmarkEnd w:id="264"/>
      <w:bookmarkEnd w:id="265"/>
      <w:bookmarkEnd w:id="266"/>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30.1承包人负责采购材料设备的，应按照合同专用条款约定及设计和有关标准要求采购，并提供产品合格证明，对材料设备质量负责。承包人在材料设备到货前24小时通知工程师清点。</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30.2承包人采购的材料设备与设计或标准要求不符时，承包人应按工程师要求的时间运出施工场地，重新采购符合要求的产品，承担由此发生的费用，由此延误的工期不予顺延。</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30.3承包人采购的材料设备在使用前，承包人应按工程师的要求进行检验或试验，不合格的不得使用，检验或试验费用由承包人承担。</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30.4工程师发现承包人采购并使用不符合设计或标准要求的材料或设备时，应要求由承包人负责修复、拆除或重新采购，并承担发生的费用，由此延误的工期不予顺延。</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30.5承包人需要使用代用材料时，应经工程师认可后才能使用，由此增减的合同价款双方以书面形式议定。</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30.6由承包人采购的材料设备，发包人不得指定生产厂或供应商。</w:t>
      </w:r>
    </w:p>
    <w:p>
      <w:pPr>
        <w:adjustRightInd w:val="0"/>
        <w:snapToGrid w:val="0"/>
        <w:spacing w:line="360" w:lineRule="auto"/>
        <w:rPr>
          <w:rFonts w:cs="宋体" w:asciiTheme="majorEastAsia" w:hAnsiTheme="majorEastAsia" w:eastAsiaTheme="majorEastAsia"/>
          <w:snapToGrid w:val="0"/>
          <w:color w:val="auto"/>
          <w:kern w:val="0"/>
          <w:sz w:val="24"/>
          <w:highlight w:val="none"/>
        </w:rPr>
      </w:pPr>
    </w:p>
    <w:p>
      <w:pPr>
        <w:adjustRightInd w:val="0"/>
        <w:snapToGrid w:val="0"/>
        <w:spacing w:line="360" w:lineRule="auto"/>
        <w:ind w:right="11"/>
        <w:outlineLvl w:val="1"/>
        <w:rPr>
          <w:rFonts w:cs="宋体" w:asciiTheme="majorEastAsia" w:hAnsiTheme="majorEastAsia" w:eastAsiaTheme="majorEastAsia"/>
          <w:b/>
          <w:snapToGrid w:val="0"/>
          <w:color w:val="auto"/>
          <w:kern w:val="0"/>
          <w:sz w:val="28"/>
          <w:highlight w:val="none"/>
        </w:rPr>
      </w:pPr>
      <w:bookmarkStart w:id="267" w:name="_Toc397364867"/>
      <w:bookmarkStart w:id="268" w:name="_Toc140476879"/>
      <w:bookmarkStart w:id="269" w:name="_Toc20465"/>
      <w:bookmarkStart w:id="270" w:name="_Toc316"/>
      <w:r>
        <w:rPr>
          <w:rFonts w:hint="eastAsia" w:cs="宋体" w:asciiTheme="majorEastAsia" w:hAnsiTheme="majorEastAsia" w:eastAsiaTheme="majorEastAsia"/>
          <w:b/>
          <w:snapToGrid w:val="0"/>
          <w:color w:val="auto"/>
          <w:kern w:val="0"/>
          <w:sz w:val="28"/>
          <w:highlight w:val="none"/>
        </w:rPr>
        <w:t>八、工程变更</w:t>
      </w:r>
      <w:bookmarkEnd w:id="267"/>
      <w:bookmarkEnd w:id="268"/>
      <w:bookmarkEnd w:id="269"/>
      <w:bookmarkEnd w:id="270"/>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271" w:name="_Toc140476880"/>
      <w:bookmarkStart w:id="272" w:name="_Toc24133"/>
      <w:bookmarkStart w:id="273" w:name="_Toc397364868"/>
      <w:bookmarkStart w:id="274" w:name="_Toc29338"/>
      <w:r>
        <w:rPr>
          <w:rFonts w:hint="eastAsia" w:cs="宋体" w:asciiTheme="majorEastAsia" w:hAnsiTheme="majorEastAsia" w:eastAsiaTheme="majorEastAsia"/>
          <w:b/>
          <w:snapToGrid w:val="0"/>
          <w:color w:val="auto"/>
          <w:kern w:val="0"/>
          <w:sz w:val="24"/>
          <w:highlight w:val="none"/>
        </w:rPr>
        <w:t>31、工程设计变更</w:t>
      </w:r>
      <w:bookmarkEnd w:id="271"/>
      <w:bookmarkEnd w:id="272"/>
      <w:bookmarkEnd w:id="273"/>
      <w:bookmarkEnd w:id="274"/>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31.1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（1）更改工程有关部分的标高、基线、位置和尺寸；</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（2）增减合同中约定的工程量；</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（3）改变有关工程的施工时间和顺序；</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（4）其他有关工程变更需要的附加工作。</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因变更导致合同价款的增减及造成的承包人损失，由发包人承担，延误的工期相应顺延。</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31.2施工中承包人不得对原工程设计进行变更。因承包人擅自变更设计发生的费用和由此导致发包人的直接损失，由承包人承担，延误的工期不予顺延。</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31.3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工程师同意采用承包人合理化建议，所发生的费用和获得的收益，发包人、承包人另行约定分担或分享。</w:t>
      </w:r>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275" w:name="_Toc19059"/>
      <w:bookmarkStart w:id="276" w:name="_Toc6511"/>
      <w:bookmarkStart w:id="277" w:name="_Toc140476881"/>
      <w:bookmarkStart w:id="278" w:name="_Toc397364869"/>
      <w:r>
        <w:rPr>
          <w:rFonts w:hint="eastAsia" w:cs="宋体" w:asciiTheme="majorEastAsia" w:hAnsiTheme="majorEastAsia" w:eastAsiaTheme="majorEastAsia"/>
          <w:b/>
          <w:snapToGrid w:val="0"/>
          <w:color w:val="auto"/>
          <w:kern w:val="0"/>
          <w:sz w:val="24"/>
          <w:highlight w:val="none"/>
        </w:rPr>
        <w:t>32、其他变更</w:t>
      </w:r>
      <w:bookmarkEnd w:id="275"/>
      <w:bookmarkEnd w:id="276"/>
      <w:bookmarkEnd w:id="277"/>
      <w:bookmarkEnd w:id="278"/>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合同履行中发包人要求变更工程质量标准及发生其他实质性变更，由双方协商解决。</w:t>
      </w:r>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279" w:name="_Toc8418"/>
      <w:bookmarkStart w:id="280" w:name="_Toc17312"/>
      <w:bookmarkStart w:id="281" w:name="_Toc397364870"/>
      <w:bookmarkStart w:id="282" w:name="_Toc140476882"/>
      <w:r>
        <w:rPr>
          <w:rFonts w:hint="eastAsia" w:cs="宋体" w:asciiTheme="majorEastAsia" w:hAnsiTheme="majorEastAsia" w:eastAsiaTheme="majorEastAsia"/>
          <w:b/>
          <w:snapToGrid w:val="0"/>
          <w:color w:val="auto"/>
          <w:kern w:val="0"/>
          <w:sz w:val="24"/>
          <w:highlight w:val="none"/>
        </w:rPr>
        <w:t>33、确定变更价款</w:t>
      </w:r>
      <w:bookmarkEnd w:id="279"/>
      <w:bookmarkEnd w:id="280"/>
      <w:bookmarkEnd w:id="281"/>
      <w:bookmarkEnd w:id="282"/>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33.1承包人在工程变更确定后14天内，提出变更工程价款的报告，经工程师确认后调整合同价款。变更合同价款按下列方法进行：</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（1）合同中已有适用于变更工程的价格，按合同已有的价格变更合同价款；</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（2）合同中只有类似于变更工程的价格，可以参照类似价格变更合同价款；</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（3）合同中没有适用或类似于变更工程的价格，由承包人提出适当的变更价款，经工程师确认后执行。</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33.2承包人在双方确定变更后14天内不向工程师提出变更工程价款报告时，视为该项变更不涉及合同价款的变更。</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33.3工程师应在收到变更工程价款报告之日起14天内予以确认，工程师无正当理由不确认时，自变更工程价款报告送达之日起14天后视为变更工程价款报告已被确认。</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33.4工程师不同意承包人提出的变更价款，按合同通用条款第40条关于争议的约定处理。</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33.5工程师确认增加的工程变更价款作为追加合同价款，与工程款同期支付。</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33.6因承包人自身原因导致的工程变更，承包人无权要求追加合同价款。</w:t>
      </w:r>
    </w:p>
    <w:p>
      <w:pPr>
        <w:adjustRightInd w:val="0"/>
        <w:snapToGrid w:val="0"/>
        <w:spacing w:line="360" w:lineRule="auto"/>
        <w:rPr>
          <w:rFonts w:cs="宋体" w:asciiTheme="majorEastAsia" w:hAnsiTheme="majorEastAsia" w:eastAsiaTheme="majorEastAsia"/>
          <w:snapToGrid w:val="0"/>
          <w:color w:val="auto"/>
          <w:kern w:val="0"/>
          <w:sz w:val="24"/>
          <w:highlight w:val="none"/>
        </w:rPr>
      </w:pPr>
    </w:p>
    <w:p>
      <w:pPr>
        <w:adjustRightInd w:val="0"/>
        <w:snapToGrid w:val="0"/>
        <w:spacing w:line="360" w:lineRule="auto"/>
        <w:ind w:right="11"/>
        <w:outlineLvl w:val="1"/>
        <w:rPr>
          <w:rFonts w:cs="宋体" w:asciiTheme="majorEastAsia" w:hAnsiTheme="majorEastAsia" w:eastAsiaTheme="majorEastAsia"/>
          <w:b/>
          <w:snapToGrid w:val="0"/>
          <w:color w:val="auto"/>
          <w:kern w:val="0"/>
          <w:sz w:val="28"/>
          <w:highlight w:val="none"/>
        </w:rPr>
      </w:pPr>
      <w:bookmarkStart w:id="283" w:name="_Toc21853"/>
      <w:bookmarkStart w:id="284" w:name="_Toc140476883"/>
      <w:bookmarkStart w:id="285" w:name="_Toc24360"/>
      <w:bookmarkStart w:id="286" w:name="_Toc397364871"/>
      <w:r>
        <w:rPr>
          <w:rFonts w:hint="eastAsia" w:cs="宋体" w:asciiTheme="majorEastAsia" w:hAnsiTheme="majorEastAsia" w:eastAsiaTheme="majorEastAsia"/>
          <w:b/>
          <w:snapToGrid w:val="0"/>
          <w:color w:val="auto"/>
          <w:kern w:val="0"/>
          <w:sz w:val="28"/>
          <w:highlight w:val="none"/>
        </w:rPr>
        <w:t>九、竣工验收与结算</w:t>
      </w:r>
      <w:bookmarkEnd w:id="283"/>
      <w:bookmarkEnd w:id="284"/>
      <w:bookmarkEnd w:id="285"/>
      <w:bookmarkEnd w:id="286"/>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287" w:name="_Toc140476884"/>
      <w:bookmarkStart w:id="288" w:name="_Toc397364872"/>
      <w:bookmarkStart w:id="289" w:name="_Toc9601"/>
      <w:bookmarkStart w:id="290" w:name="_Toc27145"/>
      <w:r>
        <w:rPr>
          <w:rFonts w:hint="eastAsia" w:cs="宋体" w:asciiTheme="majorEastAsia" w:hAnsiTheme="majorEastAsia" w:eastAsiaTheme="majorEastAsia"/>
          <w:b/>
          <w:snapToGrid w:val="0"/>
          <w:color w:val="auto"/>
          <w:kern w:val="0"/>
          <w:sz w:val="24"/>
          <w:highlight w:val="none"/>
        </w:rPr>
        <w:t>34、竣工验收</w:t>
      </w:r>
      <w:bookmarkEnd w:id="287"/>
      <w:bookmarkEnd w:id="288"/>
      <w:bookmarkEnd w:id="289"/>
      <w:bookmarkEnd w:id="290"/>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34.1工程具备竣工验收条件，承包人按国家工程竣工验收有关规定，向发包人提供完整竣工资料及竣工验收报告。双方约定由承包人提供竣工图的，应当在合同专用条款约定提供的日期和份数。</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34.2发包人收到竣工验收报告后28天内组织有关单位验收，并在验收后14天内给予认可或提出修改意见。承包人按要求修改，并承担由自身原因造成修改的费用。</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34.3发包人收到承包人送交的竣工验收报告后28天内不组织验收，或验收后14天内不提出修改意见，视为竣工验收报告已被认可。</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34.4工程竣工验收通过，承包人送交竣工验收报告的日期为实际竣工日期。工程按发包人要求修改后通过竣工验收的，实际竣工日期为承包人修改后提请发包人验收的日期。</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34.5发包人收到承包人竣工验收报告后28天内不组织验收，从第29天起承担工程保管及一切意外责任。</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34.6中间交工工程的范围和竣工时间，双方在合同专用条款内约定，其验收程序按合同通用条款34.1款至34.4款办理。</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34.7因特殊原因，发包人要求部分单位工程或工程部位甩项竣工的，双方另行签订甩项竣工协议，明确双方责任和工程价款的支付方法。</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34.8工程未经竣工验收或竣工验收未通过的，发包人不得使用。发包人强行使用时，由此发生的质量问题及其他问题，由发包人承担责任。</w:t>
      </w:r>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291" w:name="_Toc140476885"/>
      <w:bookmarkStart w:id="292" w:name="_Toc5034"/>
      <w:bookmarkStart w:id="293" w:name="_Toc18767"/>
      <w:bookmarkStart w:id="294" w:name="_Toc397364873"/>
      <w:r>
        <w:rPr>
          <w:rFonts w:hint="eastAsia" w:cs="宋体" w:asciiTheme="majorEastAsia" w:hAnsiTheme="majorEastAsia" w:eastAsiaTheme="majorEastAsia"/>
          <w:b/>
          <w:snapToGrid w:val="0"/>
          <w:color w:val="auto"/>
          <w:kern w:val="0"/>
          <w:sz w:val="24"/>
          <w:highlight w:val="none"/>
        </w:rPr>
        <w:t>35、工程移交</w:t>
      </w:r>
      <w:bookmarkEnd w:id="291"/>
      <w:bookmarkEnd w:id="292"/>
      <w:bookmarkEnd w:id="293"/>
      <w:bookmarkEnd w:id="294"/>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双方在合同专用条款内约定工程移交办法。</w:t>
      </w:r>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295" w:name="_Toc397364874"/>
      <w:bookmarkStart w:id="296" w:name="_Toc30596"/>
      <w:bookmarkStart w:id="297" w:name="_Toc8909"/>
      <w:bookmarkStart w:id="298" w:name="_Toc140476886"/>
      <w:r>
        <w:rPr>
          <w:rFonts w:hint="eastAsia" w:cs="宋体" w:asciiTheme="majorEastAsia" w:hAnsiTheme="majorEastAsia" w:eastAsiaTheme="majorEastAsia"/>
          <w:b/>
          <w:snapToGrid w:val="0"/>
          <w:color w:val="auto"/>
          <w:kern w:val="0"/>
          <w:sz w:val="24"/>
          <w:highlight w:val="none"/>
        </w:rPr>
        <w:t>36、竣工结算</w:t>
      </w:r>
      <w:bookmarkEnd w:id="295"/>
      <w:bookmarkEnd w:id="296"/>
      <w:bookmarkEnd w:id="297"/>
      <w:bookmarkEnd w:id="298"/>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36.1工程竣工验收报告经发包人认可后28天内，承包人向发包人递交竣工结算报告及完整的结算资料，双方按照合同协议书约定的合同价款及合同专用条款约定的合同价款调整内容，进行工程竣工结算。</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36.2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36.3发包人收到竣工结算报告及结算资料后28天内无正当理由不支付工程竣工结算价款，从第29天起按承包人同期向银行贷款利率支付拖欠工程价款的利息，并承担违约责任。</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36.4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36.5工程竣工验收报告经发包人认可后28天内，承包人未能向发包人递交竣工结算报告及完整的结算资料，造成工程竣工结算不能正常进行或工程竣工结算价款不能及进支付，发包人要求交付工程的，承包人应当交付；发包人不要求交付工程的，承包人承担保管责任。</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36.6发包人、承包人对工程竣工结算价款发生争议时，按合同通用条款40条关于争议的约定处理。</w:t>
      </w:r>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299" w:name="_Toc717"/>
      <w:bookmarkStart w:id="300" w:name="_Toc397364875"/>
      <w:bookmarkStart w:id="301" w:name="_Toc140476887"/>
      <w:bookmarkStart w:id="302" w:name="_Toc11049"/>
      <w:r>
        <w:rPr>
          <w:rFonts w:hint="eastAsia" w:cs="宋体" w:asciiTheme="majorEastAsia" w:hAnsiTheme="majorEastAsia" w:eastAsiaTheme="majorEastAsia"/>
          <w:b/>
          <w:snapToGrid w:val="0"/>
          <w:color w:val="auto"/>
          <w:kern w:val="0"/>
          <w:sz w:val="24"/>
          <w:highlight w:val="none"/>
        </w:rPr>
        <w:t>37、质量保修</w:t>
      </w:r>
      <w:bookmarkEnd w:id="299"/>
      <w:bookmarkEnd w:id="300"/>
      <w:bookmarkEnd w:id="301"/>
      <w:bookmarkEnd w:id="302"/>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37.1承包人应按法律、行政法规或国家关于工程质量保修的有关规定，对交付发包人使用的工程在质量保修期内承担质量保修责任。</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37.2质量保修工作的实施。承包人应在工程竣工验收之前，与发包人签订工程质量保修书，作为合同附件。</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37.3质量保修书的主要内容包括：</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（1）质量保修项目内容及范围；</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（2）质量保修期；</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（3）质量保修责任；</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（4）质量保修金的支付方法。</w:t>
      </w:r>
    </w:p>
    <w:p>
      <w:pPr>
        <w:adjustRightInd w:val="0"/>
        <w:snapToGrid w:val="0"/>
        <w:spacing w:line="360" w:lineRule="auto"/>
        <w:rPr>
          <w:rFonts w:cs="宋体" w:asciiTheme="majorEastAsia" w:hAnsiTheme="majorEastAsia" w:eastAsiaTheme="majorEastAsia"/>
          <w:snapToGrid w:val="0"/>
          <w:color w:val="auto"/>
          <w:kern w:val="0"/>
          <w:sz w:val="24"/>
          <w:highlight w:val="none"/>
        </w:rPr>
      </w:pPr>
    </w:p>
    <w:p>
      <w:pPr>
        <w:adjustRightInd w:val="0"/>
        <w:snapToGrid w:val="0"/>
        <w:spacing w:line="360" w:lineRule="auto"/>
        <w:ind w:right="11"/>
        <w:outlineLvl w:val="1"/>
        <w:rPr>
          <w:rFonts w:cs="宋体" w:asciiTheme="majorEastAsia" w:hAnsiTheme="majorEastAsia" w:eastAsiaTheme="majorEastAsia"/>
          <w:b/>
          <w:snapToGrid w:val="0"/>
          <w:color w:val="auto"/>
          <w:kern w:val="0"/>
          <w:sz w:val="28"/>
          <w:highlight w:val="none"/>
        </w:rPr>
      </w:pPr>
      <w:bookmarkStart w:id="303" w:name="_Toc10607"/>
      <w:bookmarkStart w:id="304" w:name="_Toc26126"/>
      <w:bookmarkStart w:id="305" w:name="_Toc140476888"/>
      <w:bookmarkStart w:id="306" w:name="_Toc397364876"/>
      <w:r>
        <w:rPr>
          <w:rFonts w:hint="eastAsia" w:cs="宋体" w:asciiTheme="majorEastAsia" w:hAnsiTheme="majorEastAsia" w:eastAsiaTheme="majorEastAsia"/>
          <w:b/>
          <w:snapToGrid w:val="0"/>
          <w:color w:val="auto"/>
          <w:kern w:val="0"/>
          <w:sz w:val="28"/>
          <w:highlight w:val="none"/>
        </w:rPr>
        <w:t>十、违约、索赔和争议</w:t>
      </w:r>
      <w:bookmarkEnd w:id="303"/>
      <w:bookmarkEnd w:id="304"/>
      <w:bookmarkEnd w:id="305"/>
      <w:bookmarkEnd w:id="306"/>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307" w:name="_Toc26101"/>
      <w:bookmarkStart w:id="308" w:name="_Toc140476889"/>
      <w:bookmarkStart w:id="309" w:name="_Toc397364877"/>
      <w:bookmarkStart w:id="310" w:name="_Toc6266"/>
      <w:r>
        <w:rPr>
          <w:rFonts w:hint="eastAsia" w:cs="宋体" w:asciiTheme="majorEastAsia" w:hAnsiTheme="majorEastAsia" w:eastAsiaTheme="majorEastAsia"/>
          <w:b/>
          <w:snapToGrid w:val="0"/>
          <w:color w:val="auto"/>
          <w:kern w:val="0"/>
          <w:sz w:val="24"/>
          <w:highlight w:val="none"/>
        </w:rPr>
        <w:t>38、违约</w:t>
      </w:r>
      <w:bookmarkEnd w:id="307"/>
      <w:bookmarkEnd w:id="308"/>
      <w:bookmarkEnd w:id="309"/>
      <w:bookmarkEnd w:id="310"/>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38.1发包人违约。当发生下列情况时：</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（1）合同通用条款第26条提到的发包人不按时支付工程预付款；</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（2）合同通用条款第28.4款提到的发包人不按合同约定支付工程款，导致施工无法进行；</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（3）合同通用条款第36.3款提到的发包人无正当理由不支付工程竣工结算价款；</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（4）发包人不履行合同义务或不按合同约定履行义务的其他情况。</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发包人承担违约责任，赔偿因其违约给承包人造成的经济损失，顺延延误的工期。双方在合同专用条款内约定发包人赔偿承包人损失的计算方法或者发包人应当支付违约金的数额或计算方法。</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38.2承包人违约。当发生下列情况时：</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（1）合同通用条款第14.2款提到的因承包人原因不能按照合同协议书约定的竣工日期或工程师同意顺延的工期竣工；</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（2）合同通用条款第15.1款提到的因承包人原因工程质量达不到合同协议书约定的质量标准；</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（3）承包人不履行合同义务或不按合同约定履行义务的其他情况。</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承包人承担违约，赔偿因其违约给发包人造成的损失。双方在合同专用条款内约定承包人赔偿发包人损失的计算方法或者承包人应当扣减违约金的数额或计算方法。</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38.3一方违约后，另一方要求违约方继续履行合同时，违约方承担上述违约责任后仍应继续履行合同。</w:t>
      </w:r>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311" w:name="_Toc31453"/>
      <w:bookmarkStart w:id="312" w:name="_Toc140476890"/>
      <w:bookmarkStart w:id="313" w:name="_Toc13269"/>
      <w:bookmarkStart w:id="314" w:name="_Toc397364878"/>
      <w:r>
        <w:rPr>
          <w:rFonts w:hint="eastAsia" w:cs="宋体" w:asciiTheme="majorEastAsia" w:hAnsiTheme="majorEastAsia" w:eastAsiaTheme="majorEastAsia"/>
          <w:b/>
          <w:snapToGrid w:val="0"/>
          <w:color w:val="auto"/>
          <w:kern w:val="0"/>
          <w:sz w:val="24"/>
          <w:highlight w:val="none"/>
        </w:rPr>
        <w:t>39、索赔</w:t>
      </w:r>
      <w:bookmarkEnd w:id="311"/>
      <w:bookmarkEnd w:id="312"/>
      <w:bookmarkEnd w:id="313"/>
      <w:bookmarkEnd w:id="314"/>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39.1当一方向另一方提出索赔时，要有正当索赔理由，且有索赔事件发生时的有效证据。</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39.2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（1）索赔事件发生后28天内，向工程师发出索赔意向通知；</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（2）发出索赔意向通知后28天内，向工程师提出延长工期和（或）补偿经济损失的索赔报告及有关资料；</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（3）工程师在收到承包人送交的索赔报告和有关资料后，于28天内给予答复，或要求承包人进一步补充索赔理由和证据；</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（4）工程师在收到承包人送交的索赔报告和有关资料后28天内未予答复或未对承包人作出进一步要求，视为该项索赔已经认可；</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（5）当该索赔事件持续进行时，承包人应当阶段性向工程师发出索赔意向，在索赔事件终了后28天内，向工程师送交索赔的有关资料和最终索赔报告。索赔答复程序与（3）、（4）规定相同。</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39.3承包人未能按合同约定履行自己的各项义务或发生错误，给发包人造成经济损失，发包人可按39.2款确定的时限向承包人提出索赔。</w:t>
      </w:r>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315" w:name="_Toc140476891"/>
      <w:bookmarkStart w:id="316" w:name="_Toc31790"/>
      <w:bookmarkStart w:id="317" w:name="_Toc397364879"/>
      <w:bookmarkStart w:id="318" w:name="_Toc13390"/>
      <w:r>
        <w:rPr>
          <w:rFonts w:hint="eastAsia" w:cs="宋体" w:asciiTheme="majorEastAsia" w:hAnsiTheme="majorEastAsia" w:eastAsiaTheme="majorEastAsia"/>
          <w:b/>
          <w:snapToGrid w:val="0"/>
          <w:color w:val="auto"/>
          <w:kern w:val="0"/>
          <w:sz w:val="24"/>
          <w:highlight w:val="none"/>
        </w:rPr>
        <w:t>40、争议</w:t>
      </w:r>
      <w:bookmarkEnd w:id="315"/>
      <w:bookmarkEnd w:id="316"/>
      <w:bookmarkEnd w:id="317"/>
      <w:bookmarkEnd w:id="318"/>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40.1发包人、承包人在履行合同时发生争议，可以和解或者要求有关主管部门调解。当事人不愿和解、调解或者和解、调解不成的，双方可以在合同专用条款内约定以下一种方式解决争议：</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第一种解决方式：双方达成仲裁协议，向约定的仲裁委员会申请仲裁；</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第二种解决方式：向有管辖权的人民法院起诉。</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40.2发生争议后，除非出现下列情况的，双方都应继续履行合同，保持施工连续，保护好已完工程：</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（1）单方违约导致合同确已无法履行，双方协议停止施工；</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（2）调解要求停止施工，且为双方接受；</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（3）仲裁机构要求停止施工；</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（4）法院要求停止施工。</w:t>
      </w:r>
    </w:p>
    <w:p>
      <w:pPr>
        <w:adjustRightInd w:val="0"/>
        <w:snapToGrid w:val="0"/>
        <w:spacing w:line="360" w:lineRule="auto"/>
        <w:rPr>
          <w:rFonts w:cs="宋体" w:asciiTheme="majorEastAsia" w:hAnsiTheme="majorEastAsia" w:eastAsiaTheme="majorEastAsia"/>
          <w:snapToGrid w:val="0"/>
          <w:color w:val="auto"/>
          <w:kern w:val="0"/>
          <w:sz w:val="24"/>
          <w:highlight w:val="none"/>
        </w:rPr>
      </w:pPr>
    </w:p>
    <w:p>
      <w:pPr>
        <w:adjustRightInd w:val="0"/>
        <w:snapToGrid w:val="0"/>
        <w:spacing w:line="360" w:lineRule="auto"/>
        <w:ind w:right="11"/>
        <w:outlineLvl w:val="1"/>
        <w:rPr>
          <w:rFonts w:cs="宋体" w:asciiTheme="majorEastAsia" w:hAnsiTheme="majorEastAsia" w:eastAsiaTheme="majorEastAsia"/>
          <w:b/>
          <w:snapToGrid w:val="0"/>
          <w:color w:val="auto"/>
          <w:kern w:val="0"/>
          <w:sz w:val="28"/>
          <w:highlight w:val="none"/>
        </w:rPr>
      </w:pPr>
      <w:bookmarkStart w:id="319" w:name="_Toc397364880"/>
      <w:bookmarkStart w:id="320" w:name="_Toc140476892"/>
      <w:bookmarkStart w:id="321" w:name="_Toc22344"/>
      <w:bookmarkStart w:id="322" w:name="_Toc32375"/>
      <w:r>
        <w:rPr>
          <w:rFonts w:hint="eastAsia" w:cs="宋体" w:asciiTheme="majorEastAsia" w:hAnsiTheme="majorEastAsia" w:eastAsiaTheme="majorEastAsia"/>
          <w:b/>
          <w:snapToGrid w:val="0"/>
          <w:color w:val="auto"/>
          <w:kern w:val="0"/>
          <w:sz w:val="28"/>
          <w:highlight w:val="none"/>
        </w:rPr>
        <w:t>十一、其他</w:t>
      </w:r>
      <w:bookmarkEnd w:id="319"/>
      <w:bookmarkEnd w:id="320"/>
      <w:bookmarkEnd w:id="321"/>
      <w:bookmarkEnd w:id="322"/>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323" w:name="_Toc397364881"/>
      <w:bookmarkStart w:id="324" w:name="_Toc6426"/>
      <w:bookmarkStart w:id="325" w:name="_Toc140476893"/>
      <w:bookmarkStart w:id="326" w:name="_Toc9691"/>
      <w:r>
        <w:rPr>
          <w:rFonts w:hint="eastAsia" w:cs="宋体" w:asciiTheme="majorEastAsia" w:hAnsiTheme="majorEastAsia" w:eastAsiaTheme="majorEastAsia"/>
          <w:b/>
          <w:snapToGrid w:val="0"/>
          <w:color w:val="auto"/>
          <w:kern w:val="0"/>
          <w:sz w:val="24"/>
          <w:highlight w:val="none"/>
        </w:rPr>
        <w:t>41、工程分包</w:t>
      </w:r>
      <w:bookmarkEnd w:id="323"/>
      <w:bookmarkEnd w:id="324"/>
      <w:bookmarkEnd w:id="325"/>
      <w:bookmarkEnd w:id="326"/>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41.1承包人按合同专用条款的约定分包所承包的部分工程，并与分包单位签订分包合同。非经发包人同意，承包人不得将承包工程的任务部分分包。</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41.2承包人不得将其承包的全部工程转包给他人，也不得将其承包的全部工程肢解以后以分包的名义分别转包给他人。</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41.3工程分包不能解除承包人任何责任与义务。承包人应在分包场地派驻相应管理人员，保证本合同的履行。分包单位的任何违约行为或疏忽导致工程损害或给发包人造成其他损失，承包人承担连带责任。</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41.4分包工程价款由承包人与发包单位结算。发包人未经承包人同意不得以任何形式向分包单位支付各种工程款项。</w:t>
      </w:r>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327" w:name="_Toc140476894"/>
      <w:bookmarkStart w:id="328" w:name="_Toc19348"/>
      <w:bookmarkStart w:id="329" w:name="_Toc8742"/>
      <w:bookmarkStart w:id="330" w:name="_Toc397364882"/>
      <w:r>
        <w:rPr>
          <w:rFonts w:hint="eastAsia" w:cs="宋体" w:asciiTheme="majorEastAsia" w:hAnsiTheme="majorEastAsia" w:eastAsiaTheme="majorEastAsia"/>
          <w:b/>
          <w:snapToGrid w:val="0"/>
          <w:color w:val="auto"/>
          <w:kern w:val="0"/>
          <w:sz w:val="24"/>
          <w:highlight w:val="none"/>
        </w:rPr>
        <w:t>42、不可抗力</w:t>
      </w:r>
      <w:bookmarkEnd w:id="327"/>
      <w:bookmarkEnd w:id="328"/>
      <w:bookmarkEnd w:id="329"/>
      <w:bookmarkEnd w:id="330"/>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42.1不可抗力包括因战争、动乱、空中飞行物体坠落或其他非发包人、承包人责任造成的爆炸、火灾，以及合同专用条款约定的风、雨、雪、洪、震等自然灾害。</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42.2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42.3因不可抗力事件导致的费用及延误的工期由双方按以下方法分别承担：</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（1）工程本身的损害、因工程损害导致第三人人员伤亡和财产损失以及运至施工场地用于施工的材料和待安装的设备的损害，由发包人承担；</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（2）发包人、承包人人员伤亡由其所在单位负责，并承担相应费用；</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（3）承包人机械设备损坏及停工损失，由承包人承担；</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（4）停工期间，承包人应工程师要求留在施工场地的必要的管理人员及保卫人员的费用由发包人承担；</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（5）工程所需清理、修复费用，由发包人承担；</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（6）延误的工期相应顺延。</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42.4因合同一方迟延履行合同后发生不可抗力的，不能免除迟延履行方的相应责任。</w:t>
      </w:r>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331" w:name="_Toc7759"/>
      <w:bookmarkStart w:id="332" w:name="_Toc397364883"/>
      <w:bookmarkStart w:id="333" w:name="_Toc9160"/>
      <w:bookmarkStart w:id="334" w:name="_Toc140476895"/>
      <w:r>
        <w:rPr>
          <w:rFonts w:hint="eastAsia" w:cs="宋体" w:asciiTheme="majorEastAsia" w:hAnsiTheme="majorEastAsia" w:eastAsiaTheme="majorEastAsia"/>
          <w:b/>
          <w:snapToGrid w:val="0"/>
          <w:color w:val="auto"/>
          <w:kern w:val="0"/>
          <w:sz w:val="24"/>
          <w:highlight w:val="none"/>
        </w:rPr>
        <w:t>43、保险</w:t>
      </w:r>
      <w:bookmarkEnd w:id="331"/>
      <w:bookmarkEnd w:id="332"/>
      <w:bookmarkEnd w:id="333"/>
      <w:bookmarkEnd w:id="334"/>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43.1工程开工前，发包人为建设工程和施工场地内的自有人员及第三人人员生命财产办理保险，支付保险费用。</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43.2运至施工场地内用于工程的材料和待安装设备，由发包人办理保险，并支付保险费用。</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43.3发包人可以将有关保险事项委托承包人办理，费用由发包人承担。</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43.4承包人必须为从事危险作业的职工办理意外伤害保险，并为施工场地内自有人员生命财产和施工机械设备办理保险，支付保险费用。</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43.5保险事故发生时，发包人、承包人有责任尽力采取必要的措施，防止或者减少损失。</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43.6具体投保内容和相关责任，发包人、承包人在合同专用条款中约定。</w:t>
      </w:r>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335" w:name="_Toc15719"/>
      <w:bookmarkStart w:id="336" w:name="_Toc397364884"/>
      <w:bookmarkStart w:id="337" w:name="_Toc140476896"/>
      <w:bookmarkStart w:id="338" w:name="_Toc1525"/>
      <w:r>
        <w:rPr>
          <w:rFonts w:hint="eastAsia" w:cs="宋体" w:asciiTheme="majorEastAsia" w:hAnsiTheme="majorEastAsia" w:eastAsiaTheme="majorEastAsia"/>
          <w:b/>
          <w:snapToGrid w:val="0"/>
          <w:color w:val="auto"/>
          <w:kern w:val="0"/>
          <w:sz w:val="24"/>
          <w:highlight w:val="none"/>
        </w:rPr>
        <w:t>44、担保</w:t>
      </w:r>
      <w:bookmarkEnd w:id="335"/>
      <w:bookmarkEnd w:id="336"/>
      <w:bookmarkEnd w:id="337"/>
      <w:bookmarkEnd w:id="338"/>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44.1发包人、承包人为了全面履行合同，应互相提供以下担保：</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（1）发包人向承包人提供履约担保，按合同约定支付工程价款及履行合同约定的其他义务。</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（2）承包人向发包人提供履约担保，按合同约定履行自己的各项义务。</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44.2一方违约后，另一方可要求提供担保的第三人承担相应责任。</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44.3提供担保的内容、方式和相关责任，发包人、承包人除在合同专用条款中约定外，被担保方与担保方还应签订担保合同，作为合同附件。</w:t>
      </w:r>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339" w:name="_Toc397364885"/>
      <w:bookmarkStart w:id="340" w:name="_Toc12633"/>
      <w:bookmarkStart w:id="341" w:name="_Toc140476897"/>
      <w:bookmarkStart w:id="342" w:name="_Toc12806"/>
      <w:r>
        <w:rPr>
          <w:rFonts w:hint="eastAsia" w:cs="宋体" w:asciiTheme="majorEastAsia" w:hAnsiTheme="majorEastAsia" w:eastAsiaTheme="majorEastAsia"/>
          <w:b/>
          <w:snapToGrid w:val="0"/>
          <w:color w:val="auto"/>
          <w:kern w:val="0"/>
          <w:sz w:val="24"/>
          <w:highlight w:val="none"/>
        </w:rPr>
        <w:t>45、专利技术及特殊工艺</w:t>
      </w:r>
      <w:bookmarkEnd w:id="339"/>
      <w:bookmarkEnd w:id="340"/>
      <w:bookmarkEnd w:id="341"/>
      <w:bookmarkEnd w:id="342"/>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45.1发包人要求使用专利技术或特殊工艺，应负责办理相应的申报手续，承担申报、试验、使用等费用；承包人提出使用专利技术或特殊工艺，应取得工程师认可，承包人负责办理申报手续并承担有关费用。</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45.2擅自使用专利技术侵犯他人专利权的，责任者依法承担相应责任。</w:t>
      </w:r>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343" w:name="_Toc140476898"/>
      <w:bookmarkStart w:id="344" w:name="_Toc15673"/>
      <w:bookmarkStart w:id="345" w:name="_Toc397364886"/>
      <w:bookmarkStart w:id="346" w:name="_Toc32261"/>
      <w:r>
        <w:rPr>
          <w:rFonts w:hint="eastAsia" w:cs="宋体" w:asciiTheme="majorEastAsia" w:hAnsiTheme="majorEastAsia" w:eastAsiaTheme="majorEastAsia"/>
          <w:b/>
          <w:snapToGrid w:val="0"/>
          <w:color w:val="auto"/>
          <w:kern w:val="0"/>
          <w:sz w:val="24"/>
          <w:highlight w:val="none"/>
        </w:rPr>
        <w:t>46、文物和地下障碍物</w:t>
      </w:r>
      <w:bookmarkEnd w:id="343"/>
      <w:bookmarkEnd w:id="344"/>
      <w:bookmarkEnd w:id="345"/>
      <w:bookmarkEnd w:id="346"/>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46.1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管理部门的要求采取妥善保护措施。发包人承担由此发生的费用，顺延延误的工期。</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如发现隐瞒不报，致使文物遭受破坏，责任者依法承担相应责任。</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46.2施工中发现影响施工的地下障碍物时，承包人应于8小时内以书面形式通知工程师，同时提出处置方案，工程师收到处置方案后24小时内予以认可或提出修正方案。发包人承担由此发生的费用，顺延延误的工期。</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所发现的地下障碍物有归属单位时，发包人应报请有关部门协同处置。</w:t>
      </w:r>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347" w:name="_Toc2533"/>
      <w:bookmarkStart w:id="348" w:name="_Toc140476899"/>
      <w:bookmarkStart w:id="349" w:name="_Toc6105"/>
      <w:bookmarkStart w:id="350" w:name="_Toc397364887"/>
      <w:r>
        <w:rPr>
          <w:rFonts w:hint="eastAsia" w:cs="宋体" w:asciiTheme="majorEastAsia" w:hAnsiTheme="majorEastAsia" w:eastAsiaTheme="majorEastAsia"/>
          <w:b/>
          <w:snapToGrid w:val="0"/>
          <w:color w:val="auto"/>
          <w:kern w:val="0"/>
          <w:sz w:val="24"/>
          <w:highlight w:val="none"/>
        </w:rPr>
        <w:t>47、合同解除</w:t>
      </w:r>
      <w:bookmarkEnd w:id="347"/>
      <w:bookmarkEnd w:id="348"/>
      <w:bookmarkEnd w:id="349"/>
      <w:bookmarkEnd w:id="350"/>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47.1发包人、承包人协商一致，可以解除合同。</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47.2发生合同通用条款第28.4款情况，停止施工超过56天，发包人仍不支付工程款（进度款），承包人有权解除合同。</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47.3发生合同通用条款第41.2款禁止的情况，承包人将其承包的全部工程转包给他人或者肢解以后以分包的名义分别转包给他人，发包人有权解除合同。</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47.4有下列情形之一的，发包人、承包人可以解除合同：</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（1）因不可抗力致使合同无法履行；</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（2）因一方违约（包括因发包人原因造成工程停建或缓建）致使合同无法履行。</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47.5一方依据本条第47.2、47.3、47.4款约定要求解除合同的，应以书面形式向对方发出解除合同的通知，并在发出通知前7天告知对方，通知到达对方时合同解除。对解除合同有争议的，按合同通用条款第40条关于争议的约定处理。</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47.6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47.7合同解除后，不影响双方在合同约定的结算和清理条款的效力。</w:t>
      </w:r>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351" w:name="_Toc140476900"/>
      <w:bookmarkStart w:id="352" w:name="_Toc397364888"/>
      <w:bookmarkStart w:id="353" w:name="_Toc3658"/>
      <w:bookmarkStart w:id="354" w:name="_Toc21505"/>
      <w:r>
        <w:rPr>
          <w:rFonts w:hint="eastAsia" w:cs="宋体" w:asciiTheme="majorEastAsia" w:hAnsiTheme="majorEastAsia" w:eastAsiaTheme="majorEastAsia"/>
          <w:b/>
          <w:snapToGrid w:val="0"/>
          <w:color w:val="auto"/>
          <w:kern w:val="0"/>
          <w:sz w:val="24"/>
          <w:highlight w:val="none"/>
        </w:rPr>
        <w:t>48、合同生效与终止</w:t>
      </w:r>
      <w:bookmarkEnd w:id="351"/>
      <w:bookmarkEnd w:id="352"/>
      <w:bookmarkEnd w:id="353"/>
      <w:bookmarkEnd w:id="354"/>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48.1双方在合同协议书中约定合同生效方式。</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48.2除合同通用条款第40条外，发包人、承包人履行合同全部义务，竣工结算价款支付完毕，承包人向发包人交付竣工工程后，本合同即告终止。</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48.3合同的权利义务终止后，发包人、承包人应当遵循诚实信用原则，履行通知，协助、保密等义务。</w:t>
      </w:r>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355" w:name="_Toc140476901"/>
      <w:bookmarkStart w:id="356" w:name="_Toc397364889"/>
      <w:bookmarkStart w:id="357" w:name="_Toc20476"/>
      <w:bookmarkStart w:id="358" w:name="_Toc14692"/>
      <w:r>
        <w:rPr>
          <w:rFonts w:hint="eastAsia" w:cs="宋体" w:asciiTheme="majorEastAsia" w:hAnsiTheme="majorEastAsia" w:eastAsiaTheme="majorEastAsia"/>
          <w:b/>
          <w:snapToGrid w:val="0"/>
          <w:color w:val="auto"/>
          <w:kern w:val="0"/>
          <w:sz w:val="24"/>
          <w:highlight w:val="none"/>
        </w:rPr>
        <w:t>49、合同份数</w:t>
      </w:r>
      <w:bookmarkEnd w:id="355"/>
      <w:bookmarkEnd w:id="356"/>
      <w:bookmarkEnd w:id="357"/>
      <w:bookmarkEnd w:id="358"/>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49.1本合同正本两份，具有同等效力，由发包人、承包人分别保存一份。</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49.2本合同副本份数，由双方根据需要在合同专用条款内约定。</w:t>
      </w:r>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359" w:name="_Toc397364890"/>
      <w:bookmarkStart w:id="360" w:name="_Toc2421"/>
      <w:bookmarkStart w:id="361" w:name="_Toc140476902"/>
      <w:bookmarkStart w:id="362" w:name="_Toc472"/>
      <w:r>
        <w:rPr>
          <w:rFonts w:hint="eastAsia" w:cs="宋体" w:asciiTheme="majorEastAsia" w:hAnsiTheme="majorEastAsia" w:eastAsiaTheme="majorEastAsia"/>
          <w:b/>
          <w:snapToGrid w:val="0"/>
          <w:color w:val="auto"/>
          <w:kern w:val="0"/>
          <w:sz w:val="24"/>
          <w:highlight w:val="none"/>
        </w:rPr>
        <w:t>50、补充条款</w:t>
      </w:r>
      <w:bookmarkEnd w:id="359"/>
      <w:bookmarkEnd w:id="360"/>
      <w:bookmarkEnd w:id="361"/>
      <w:bookmarkEnd w:id="362"/>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双方根据有关法律、行政法规规定，结合工程实际，经协商一致后，可对合同通用条款内容具体化、补充或修改，在合同专用条款内约定。</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p>
    <w:p>
      <w:pPr>
        <w:adjustRightInd w:val="0"/>
        <w:snapToGrid w:val="0"/>
        <w:spacing w:line="360" w:lineRule="auto"/>
        <w:ind w:right="11"/>
        <w:jc w:val="center"/>
        <w:outlineLvl w:val="0"/>
        <w:rPr>
          <w:rFonts w:cs="宋体" w:asciiTheme="majorEastAsia" w:hAnsiTheme="majorEastAsia" w:eastAsiaTheme="majorEastAsia"/>
          <w:b/>
          <w:bCs/>
          <w:snapToGrid w:val="0"/>
          <w:color w:val="auto"/>
          <w:kern w:val="0"/>
          <w:sz w:val="44"/>
          <w:szCs w:val="44"/>
          <w:highlight w:val="none"/>
        </w:rPr>
      </w:pPr>
      <w:r>
        <w:rPr>
          <w:rFonts w:hint="eastAsia" w:cs="宋体" w:asciiTheme="majorEastAsia" w:hAnsiTheme="majorEastAsia" w:eastAsiaTheme="majorEastAsia"/>
          <w:snapToGrid w:val="0"/>
          <w:color w:val="auto"/>
          <w:kern w:val="0"/>
          <w:sz w:val="24"/>
          <w:highlight w:val="none"/>
        </w:rPr>
        <w:br w:type="page"/>
      </w:r>
      <w:bookmarkStart w:id="363" w:name="_Toc11286"/>
      <w:bookmarkStart w:id="364" w:name="_Toc24530"/>
      <w:bookmarkStart w:id="365" w:name="_Toc140476903"/>
      <w:bookmarkStart w:id="366" w:name="_Toc397364891"/>
      <w:r>
        <w:rPr>
          <w:rFonts w:hint="eastAsia" w:cs="宋体" w:asciiTheme="majorEastAsia" w:hAnsiTheme="majorEastAsia" w:eastAsiaTheme="majorEastAsia"/>
          <w:b/>
          <w:bCs/>
          <w:snapToGrid w:val="0"/>
          <w:color w:val="auto"/>
          <w:kern w:val="0"/>
          <w:sz w:val="44"/>
          <w:szCs w:val="44"/>
          <w:highlight w:val="none"/>
        </w:rPr>
        <w:t xml:space="preserve">第三部分 </w:t>
      </w:r>
      <w:r>
        <w:rPr>
          <w:rFonts w:hint="eastAsia" w:cs="宋体" w:asciiTheme="majorEastAsia" w:hAnsiTheme="majorEastAsia" w:eastAsiaTheme="majorEastAsia"/>
          <w:snapToGrid w:val="0"/>
          <w:color w:val="auto"/>
          <w:kern w:val="0"/>
          <w:sz w:val="24"/>
          <w:highlight w:val="none"/>
        </w:rPr>
        <w:t xml:space="preserve"> </w:t>
      </w:r>
      <w:r>
        <w:rPr>
          <w:rFonts w:hint="eastAsia" w:cs="宋体" w:asciiTheme="majorEastAsia" w:hAnsiTheme="majorEastAsia" w:eastAsiaTheme="majorEastAsia"/>
          <w:b/>
          <w:bCs/>
          <w:snapToGrid w:val="0"/>
          <w:color w:val="auto"/>
          <w:kern w:val="0"/>
          <w:sz w:val="44"/>
          <w:szCs w:val="44"/>
          <w:highlight w:val="none"/>
        </w:rPr>
        <w:t>专用条款</w:t>
      </w:r>
      <w:bookmarkEnd w:id="111"/>
      <w:bookmarkEnd w:id="112"/>
      <w:bookmarkEnd w:id="113"/>
      <w:bookmarkEnd w:id="114"/>
      <w:bookmarkEnd w:id="363"/>
      <w:bookmarkEnd w:id="364"/>
      <w:bookmarkEnd w:id="365"/>
      <w:bookmarkEnd w:id="366"/>
    </w:p>
    <w:p>
      <w:pPr>
        <w:pStyle w:val="22"/>
        <w:adjustRightInd w:val="0"/>
        <w:snapToGrid w:val="0"/>
        <w:spacing w:line="360" w:lineRule="auto"/>
        <w:jc w:val="center"/>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（本部分条款的序号与合同通用条款的序号相对应，是根据本工程的实际情况</w:t>
      </w:r>
    </w:p>
    <w:p>
      <w:pPr>
        <w:pStyle w:val="22"/>
        <w:adjustRightInd w:val="0"/>
        <w:snapToGrid w:val="0"/>
        <w:spacing w:line="360" w:lineRule="auto"/>
        <w:jc w:val="center"/>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对合同通用条款中相对应条款进行修改、补充或否定，其适用顺序优先于合同</w:t>
      </w:r>
    </w:p>
    <w:p>
      <w:pPr>
        <w:pStyle w:val="22"/>
        <w:adjustRightInd w:val="0"/>
        <w:snapToGrid w:val="0"/>
        <w:spacing w:line="360" w:lineRule="auto"/>
        <w:jc w:val="center"/>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通用条款。本部分条款未阐明的内容，则按合同通用条款的有关约定执行）</w:t>
      </w:r>
    </w:p>
    <w:p>
      <w:pPr>
        <w:adjustRightInd w:val="0"/>
        <w:snapToGrid w:val="0"/>
        <w:spacing w:line="360" w:lineRule="auto"/>
        <w:jc w:val="center"/>
        <w:rPr>
          <w:rFonts w:cs="宋体" w:asciiTheme="majorEastAsia" w:hAnsiTheme="majorEastAsia" w:eastAsiaTheme="majorEastAsia"/>
          <w:b/>
          <w:snapToGrid w:val="0"/>
          <w:color w:val="auto"/>
          <w:kern w:val="0"/>
          <w:sz w:val="28"/>
          <w:szCs w:val="28"/>
          <w:highlight w:val="none"/>
        </w:rPr>
      </w:pPr>
    </w:p>
    <w:p>
      <w:pPr>
        <w:adjustRightInd w:val="0"/>
        <w:snapToGrid w:val="0"/>
        <w:spacing w:line="360" w:lineRule="auto"/>
        <w:jc w:val="center"/>
        <w:outlineLvl w:val="1"/>
        <w:rPr>
          <w:rFonts w:cs="宋体" w:asciiTheme="majorEastAsia" w:hAnsiTheme="majorEastAsia" w:eastAsiaTheme="majorEastAsia"/>
          <w:b/>
          <w:snapToGrid w:val="0"/>
          <w:color w:val="auto"/>
          <w:kern w:val="0"/>
          <w:sz w:val="28"/>
          <w:szCs w:val="28"/>
          <w:highlight w:val="none"/>
        </w:rPr>
      </w:pPr>
      <w:bookmarkStart w:id="367" w:name="_Toc6716"/>
      <w:bookmarkStart w:id="368" w:name="_Toc140476904"/>
      <w:bookmarkStart w:id="369" w:name="_Toc397364892"/>
      <w:bookmarkStart w:id="370" w:name="_Toc6414"/>
      <w:r>
        <w:rPr>
          <w:rFonts w:hint="eastAsia" w:cs="宋体" w:asciiTheme="majorEastAsia" w:hAnsiTheme="majorEastAsia" w:eastAsiaTheme="majorEastAsia"/>
          <w:b/>
          <w:snapToGrid w:val="0"/>
          <w:color w:val="auto"/>
          <w:kern w:val="0"/>
          <w:sz w:val="28"/>
          <w:szCs w:val="28"/>
          <w:highlight w:val="none"/>
        </w:rPr>
        <w:t>总  则</w:t>
      </w:r>
      <w:bookmarkEnd w:id="367"/>
      <w:bookmarkEnd w:id="368"/>
      <w:bookmarkEnd w:id="369"/>
      <w:bookmarkEnd w:id="370"/>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bookmarkStart w:id="371" w:name="_Toc396662354"/>
      <w:r>
        <w:rPr>
          <w:rFonts w:hint="eastAsia" w:cs="宋体" w:asciiTheme="majorEastAsia" w:hAnsiTheme="majorEastAsia" w:eastAsiaTheme="majorEastAsia"/>
          <w:snapToGrid w:val="0"/>
          <w:color w:val="auto"/>
          <w:kern w:val="0"/>
          <w:sz w:val="24"/>
          <w:highlight w:val="none"/>
        </w:rPr>
        <w:t>1、根据建设项目管理规范和本工程管理实际，本合同工程将实行社会化、专业化的管理模式。发包人将授权监理单位依据有关法律法规、规范和合同，充分行使其严格控制工程进度与投资以及进行合同、信息管理和协调处理现场等有关工程问题的权力，确保工程质量与安全。</w:t>
      </w:r>
      <w:bookmarkEnd w:id="371"/>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bookmarkStart w:id="372" w:name="_Toc396662355"/>
      <w:r>
        <w:rPr>
          <w:rFonts w:hint="eastAsia" w:cs="宋体" w:asciiTheme="majorEastAsia" w:hAnsiTheme="majorEastAsia" w:eastAsiaTheme="majorEastAsia"/>
          <w:snapToGrid w:val="0"/>
          <w:color w:val="auto"/>
          <w:kern w:val="0"/>
          <w:sz w:val="24"/>
          <w:highlight w:val="none"/>
        </w:rPr>
        <w:t>2、发包人通过监理单位下达指令，监督承包人履约行为，承包人所有请求事项由监理单位协调并一般均通过监理单位接受或提出处理意见（发包人有特别要求和规定的除外）。</w:t>
      </w:r>
      <w:bookmarkEnd w:id="372"/>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bookmarkStart w:id="373" w:name="_Toc396662356"/>
      <w:r>
        <w:rPr>
          <w:rFonts w:hint="eastAsia" w:cs="宋体" w:asciiTheme="majorEastAsia" w:hAnsiTheme="majorEastAsia" w:eastAsiaTheme="majorEastAsia"/>
          <w:snapToGrid w:val="0"/>
          <w:color w:val="auto"/>
          <w:kern w:val="0"/>
          <w:sz w:val="24"/>
          <w:highlight w:val="none"/>
        </w:rPr>
        <w:t>3、考虑到本工程的重要性，发包人将采取较为严密的组织管理形式，承包人需投入有别于其他项目的人力、物力，以满足本工程施工需要。</w:t>
      </w:r>
      <w:bookmarkEnd w:id="373"/>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bookmarkStart w:id="374" w:name="_Toc396662357"/>
      <w:r>
        <w:rPr>
          <w:rFonts w:hint="eastAsia" w:cs="宋体" w:asciiTheme="majorEastAsia" w:hAnsiTheme="majorEastAsia" w:eastAsiaTheme="majorEastAsia"/>
          <w:snapToGrid w:val="0"/>
          <w:color w:val="auto"/>
          <w:kern w:val="0"/>
          <w:sz w:val="24"/>
          <w:highlight w:val="none"/>
        </w:rPr>
        <w:t>4、发包人根据工程推进实际情况，有权要求承包人的法定代表人或总经理进驻施工现场，协调各种事项。</w:t>
      </w:r>
      <w:bookmarkEnd w:id="374"/>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bookmarkStart w:id="375" w:name="_Toc396662358"/>
      <w:r>
        <w:rPr>
          <w:rFonts w:hint="eastAsia" w:cs="宋体" w:asciiTheme="majorEastAsia" w:hAnsiTheme="majorEastAsia" w:eastAsiaTheme="majorEastAsia"/>
          <w:snapToGrid w:val="0"/>
          <w:color w:val="auto"/>
          <w:kern w:val="0"/>
          <w:sz w:val="24"/>
          <w:highlight w:val="none"/>
        </w:rPr>
        <w:t>5、为保证本工程建设有序、规范和顺利进行，承包人必须主动支持发包人工作，对发包人的指令和书面通知，若无正当理由又未提前向发包人报告并得到书面认可，而公开或变相拒不执行的，应按合同专用条款第38.7（1）款的约定承担违约责任并赔偿由此造成发包人的一切经济损失。</w:t>
      </w:r>
      <w:bookmarkEnd w:id="375"/>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bookmarkStart w:id="376" w:name="_Toc396662359"/>
      <w:r>
        <w:rPr>
          <w:rFonts w:hint="eastAsia" w:cs="宋体" w:asciiTheme="majorEastAsia" w:hAnsiTheme="majorEastAsia" w:eastAsiaTheme="majorEastAsia"/>
          <w:snapToGrid w:val="0"/>
          <w:color w:val="auto"/>
          <w:kern w:val="0"/>
          <w:sz w:val="24"/>
          <w:highlight w:val="none"/>
        </w:rPr>
        <w:t>6、承包人承诺遵守发包人所制定的针对本工程管理的各项制度、规定，这些管理制度、规定必须符合下列原则：</w:t>
      </w:r>
      <w:bookmarkEnd w:id="376"/>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（1）符合国家、广东省、广州市的有关法律法规、规范和标准；</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（2）符合对本工程进行有效管理的基本精神和要求；</w:t>
      </w:r>
    </w:p>
    <w:p>
      <w:pPr>
        <w:adjustRightInd w:val="0"/>
        <w:snapToGrid w:val="0"/>
        <w:spacing w:line="360" w:lineRule="auto"/>
        <w:ind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（3）为确保工程质量、进度、安全文明施工管理所必须；</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（4）不是针对某一特定的承包人。</w:t>
      </w:r>
    </w:p>
    <w:p>
      <w:pPr>
        <w:adjustRightInd w:val="0"/>
        <w:snapToGrid w:val="0"/>
        <w:spacing w:line="360" w:lineRule="auto"/>
        <w:rPr>
          <w:rFonts w:cs="宋体" w:asciiTheme="majorEastAsia" w:hAnsiTheme="majorEastAsia" w:eastAsiaTheme="majorEastAsia"/>
          <w:snapToGrid w:val="0"/>
          <w:color w:val="auto"/>
          <w:kern w:val="0"/>
          <w:sz w:val="24"/>
          <w:highlight w:val="none"/>
        </w:rPr>
      </w:pPr>
    </w:p>
    <w:p>
      <w:pPr>
        <w:adjustRightInd w:val="0"/>
        <w:snapToGrid w:val="0"/>
        <w:spacing w:line="360" w:lineRule="auto"/>
        <w:jc w:val="left"/>
        <w:outlineLvl w:val="1"/>
        <w:rPr>
          <w:rFonts w:cs="宋体" w:asciiTheme="majorEastAsia" w:hAnsiTheme="majorEastAsia" w:eastAsiaTheme="majorEastAsia"/>
          <w:b/>
          <w:color w:val="auto"/>
          <w:sz w:val="28"/>
          <w:szCs w:val="28"/>
          <w:highlight w:val="none"/>
        </w:rPr>
      </w:pPr>
      <w:bookmarkStart w:id="377" w:name="_Toc397364893"/>
      <w:bookmarkStart w:id="378" w:name="_Toc10830"/>
      <w:bookmarkStart w:id="379" w:name="_Toc25109"/>
      <w:bookmarkStart w:id="380" w:name="_Toc140476905"/>
      <w:r>
        <w:rPr>
          <w:rFonts w:hint="eastAsia" w:cs="宋体" w:asciiTheme="majorEastAsia" w:hAnsiTheme="majorEastAsia" w:eastAsiaTheme="majorEastAsia"/>
          <w:b/>
          <w:color w:val="auto"/>
          <w:sz w:val="28"/>
          <w:szCs w:val="28"/>
          <w:highlight w:val="none"/>
        </w:rPr>
        <w:t>一、词语定义及合同文件</w:t>
      </w:r>
      <w:bookmarkEnd w:id="377"/>
      <w:bookmarkEnd w:id="378"/>
      <w:bookmarkEnd w:id="379"/>
      <w:bookmarkEnd w:id="380"/>
    </w:p>
    <w:p>
      <w:pPr>
        <w:adjustRightInd w:val="0"/>
        <w:snapToGrid w:val="0"/>
        <w:spacing w:line="360" w:lineRule="auto"/>
        <w:ind w:right="11" w:firstLine="482" w:firstLineChars="200"/>
        <w:outlineLvl w:val="2"/>
        <w:rPr>
          <w:rFonts w:cs="宋体" w:asciiTheme="majorEastAsia" w:hAnsiTheme="majorEastAsia" w:eastAsiaTheme="majorEastAsia"/>
          <w:b/>
          <w:snapToGrid w:val="0"/>
          <w:color w:val="auto"/>
          <w:kern w:val="0"/>
          <w:sz w:val="24"/>
          <w:highlight w:val="none"/>
        </w:rPr>
      </w:pPr>
      <w:bookmarkStart w:id="381" w:name="_Toc10720"/>
      <w:bookmarkStart w:id="382" w:name="_Toc2263"/>
      <w:bookmarkStart w:id="383" w:name="_Toc140476906"/>
      <w:bookmarkStart w:id="384" w:name="_Toc397364894"/>
      <w:r>
        <w:rPr>
          <w:rFonts w:hint="eastAsia" w:cs="宋体" w:asciiTheme="majorEastAsia" w:hAnsiTheme="majorEastAsia" w:eastAsiaTheme="majorEastAsia"/>
          <w:b/>
          <w:snapToGrid w:val="0"/>
          <w:color w:val="auto"/>
          <w:kern w:val="0"/>
          <w:sz w:val="24"/>
          <w:highlight w:val="none"/>
        </w:rPr>
        <w:t>1、词语定义</w:t>
      </w:r>
      <w:bookmarkEnd w:id="381"/>
      <w:bookmarkEnd w:id="382"/>
      <w:bookmarkEnd w:id="383"/>
      <w:bookmarkEnd w:id="384"/>
    </w:p>
    <w:p>
      <w:pPr>
        <w:adjustRightInd w:val="0"/>
        <w:snapToGrid w:val="0"/>
        <w:spacing w:line="360" w:lineRule="auto"/>
        <w:ind w:firstLine="480" w:firstLineChars="200"/>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1.3发包人</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发包人</w:t>
      </w:r>
      <w:r>
        <w:rPr>
          <w:rFonts w:hint="eastAsia" w:cs="宋体" w:asciiTheme="majorEastAsia" w:hAnsiTheme="majorEastAsia" w:eastAsiaTheme="majorEastAsia"/>
          <w:snapToGrid w:val="0"/>
          <w:color w:val="auto"/>
          <w:kern w:val="0"/>
          <w:sz w:val="24"/>
          <w:highlight w:val="none"/>
        </w:rPr>
        <w:t>：在本合同中特指广州城慧投资发展有限公司。</w:t>
      </w:r>
    </w:p>
    <w:p>
      <w:pPr>
        <w:adjustRightInd w:val="0"/>
        <w:snapToGrid w:val="0"/>
        <w:spacing w:line="360" w:lineRule="auto"/>
        <w:ind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1.6设计单位</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本工程的设计单位是：</w:t>
      </w:r>
      <w:r>
        <w:rPr>
          <w:rFonts w:hint="eastAsia" w:cs="宋体" w:asciiTheme="majorEastAsia" w:hAnsiTheme="majorEastAsia" w:eastAsiaTheme="majorEastAsia"/>
          <w:snapToGrid w:val="0"/>
          <w:color w:val="auto"/>
          <w:kern w:val="0"/>
          <w:sz w:val="24"/>
          <w:highlight w:val="none"/>
          <w:u w:val="single"/>
        </w:rPr>
        <w:t xml:space="preserve"> </w:t>
      </w:r>
      <w:r>
        <w:rPr>
          <w:rFonts w:hint="eastAsia" w:cs="宋体" w:asciiTheme="majorEastAsia" w:hAnsiTheme="majorEastAsia" w:eastAsiaTheme="majorEastAsia"/>
          <w:color w:val="auto"/>
          <w:sz w:val="24"/>
          <w:szCs w:val="20"/>
          <w:highlight w:val="none"/>
          <w:u w:val="single"/>
        </w:rPr>
        <w:t>广州市电力工程设计院有限公司</w:t>
      </w:r>
      <w:r>
        <w:rPr>
          <w:rFonts w:hint="eastAsia" w:cs="宋体" w:asciiTheme="majorEastAsia" w:hAnsiTheme="majorEastAsia" w:eastAsiaTheme="majorEastAsia"/>
          <w:snapToGrid w:val="0"/>
          <w:color w:val="auto"/>
          <w:kern w:val="0"/>
          <w:sz w:val="24"/>
          <w:highlight w:val="none"/>
          <w:u w:val="single"/>
        </w:rPr>
        <w:t xml:space="preserve"> </w:t>
      </w:r>
      <w:r>
        <w:rPr>
          <w:rFonts w:hint="eastAsia" w:cs="宋体" w:asciiTheme="majorEastAsia" w:hAnsiTheme="majorEastAsia" w:eastAsiaTheme="majorEastAsia"/>
          <w:snapToGrid w:val="0"/>
          <w:color w:val="auto"/>
          <w:kern w:val="0"/>
          <w:sz w:val="24"/>
          <w:highlight w:val="none"/>
        </w:rPr>
        <w:t>。</w:t>
      </w:r>
    </w:p>
    <w:p>
      <w:pPr>
        <w:adjustRightInd w:val="0"/>
        <w:snapToGrid w:val="0"/>
        <w:spacing w:line="360" w:lineRule="auto"/>
        <w:ind w:firstLine="480" w:firstLineChars="200"/>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1.7监理单位</w:t>
      </w:r>
    </w:p>
    <w:p>
      <w:pPr>
        <w:adjustRightInd w:val="0"/>
        <w:snapToGrid w:val="0"/>
        <w:spacing w:line="360" w:lineRule="auto"/>
        <w:ind w:firstLine="480" w:firstLineChars="200"/>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本工程的监理单位是：</w:t>
      </w:r>
      <w:r>
        <w:rPr>
          <w:rFonts w:hint="eastAsia" w:cs="宋体" w:asciiTheme="majorEastAsia" w:hAnsiTheme="majorEastAsia" w:eastAsiaTheme="majorEastAsia"/>
          <w:snapToGrid w:val="0"/>
          <w:color w:val="auto"/>
          <w:kern w:val="0"/>
          <w:sz w:val="24"/>
          <w:highlight w:val="none"/>
          <w:u w:val="single"/>
        </w:rPr>
        <w:t xml:space="preserve"> </w:t>
      </w:r>
      <w:r>
        <w:rPr>
          <w:rFonts w:hint="eastAsia" w:cs="宋体" w:asciiTheme="majorEastAsia" w:hAnsiTheme="majorEastAsia" w:eastAsiaTheme="majorEastAsia"/>
          <w:color w:val="auto"/>
          <w:sz w:val="24"/>
          <w:szCs w:val="20"/>
          <w:highlight w:val="none"/>
          <w:u w:val="single"/>
        </w:rPr>
        <w:t>广州建筑工程监理有限公司</w:t>
      </w:r>
      <w:r>
        <w:rPr>
          <w:rFonts w:hint="eastAsia" w:cs="宋体" w:asciiTheme="majorEastAsia" w:hAnsiTheme="majorEastAsia" w:eastAsiaTheme="majorEastAsia"/>
          <w:snapToGrid w:val="0"/>
          <w:color w:val="auto"/>
          <w:kern w:val="0"/>
          <w:sz w:val="24"/>
          <w:highlight w:val="none"/>
          <w:u w:val="single"/>
        </w:rPr>
        <w:t xml:space="preserve"> </w:t>
      </w:r>
      <w:r>
        <w:rPr>
          <w:rFonts w:hint="eastAsia" w:cs="宋体" w:asciiTheme="majorEastAsia" w:hAnsiTheme="majorEastAsia" w:eastAsiaTheme="majorEastAsia"/>
          <w:snapToGrid w:val="0"/>
          <w:color w:val="auto"/>
          <w:kern w:val="0"/>
          <w:sz w:val="24"/>
          <w:highlight w:val="none"/>
        </w:rPr>
        <w:t>。</w:t>
      </w:r>
    </w:p>
    <w:p>
      <w:pPr>
        <w:adjustRightInd w:val="0"/>
        <w:snapToGrid w:val="0"/>
        <w:spacing w:line="360" w:lineRule="auto"/>
        <w:ind w:firstLine="480" w:firstLineChars="200"/>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1.8工程师</w:t>
      </w:r>
    </w:p>
    <w:p>
      <w:pPr>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合同通用条款中的工程师，如无特别注明，均是指监理等单位派驻本工程施工场地的现场工作机构的负责人。</w:t>
      </w:r>
    </w:p>
    <w:p>
      <w:pPr>
        <w:adjustRightInd w:val="0"/>
        <w:snapToGrid w:val="0"/>
        <w:spacing w:line="360" w:lineRule="auto"/>
        <w:ind w:firstLine="480" w:firstLineChars="200"/>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1.14工期</w:t>
      </w:r>
    </w:p>
    <w:p>
      <w:pPr>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节点工期：指经发包人和总监理工程师批准的施工组织设计或者工程工期网络计划中载明的承包人按总日历天数（包括法定节假日）计算完成某一阶段或某一工序的承包天数。按工期网络计划的一般线路和关键线路分为一般节点工期和关键节点工期。</w:t>
      </w:r>
    </w:p>
    <w:p>
      <w:pPr>
        <w:adjustRightInd w:val="0"/>
        <w:snapToGrid w:val="0"/>
        <w:spacing w:line="360" w:lineRule="auto"/>
        <w:ind w:firstLine="480" w:firstLineChars="200"/>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1.20违约责任：指合同任何一方不履行或不完全履行合同约定的义务或者履行义务不符合合同约定所应承担的责任。</w:t>
      </w:r>
    </w:p>
    <w:p>
      <w:pPr>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（1）一般违约责任：指虽然违反本合同的约定，但其违约行为不对本合同的履行造成严重影响而应承担的责任。</w:t>
      </w:r>
    </w:p>
    <w:p>
      <w:pPr>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（2）严重违约责任。指违反本合同的约定且其违约行为足以对本合同的履行造成严重或实质性的影响而应承担的责任。</w:t>
      </w:r>
    </w:p>
    <w:p>
      <w:pPr>
        <w:adjustRightInd w:val="0"/>
        <w:snapToGrid w:val="0"/>
        <w:spacing w:line="360" w:lineRule="auto"/>
        <w:ind w:firstLine="480" w:firstLineChars="200"/>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1.24通知：指合同中所提及的各方之间传达意思表示的方式，包括但不限于申请、报告、同意、答复、批准、指令、证书、决定等。除合同专用条款有特别约定外，只有采用书面形式的通知才有效。</w:t>
      </w:r>
    </w:p>
    <w:p>
      <w:pPr>
        <w:adjustRightInd w:val="0"/>
        <w:snapToGrid w:val="0"/>
        <w:spacing w:line="360" w:lineRule="auto"/>
        <w:ind w:firstLine="480" w:firstLineChars="200"/>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1.25缺陷责任期：整体工程缺陷责任期</w:t>
      </w:r>
      <w:r>
        <w:rPr>
          <w:rFonts w:cs="宋体" w:asciiTheme="majorEastAsia" w:hAnsiTheme="majorEastAsia" w:eastAsiaTheme="majorEastAsia"/>
          <w:bCs/>
          <w:snapToGrid w:val="0"/>
          <w:color w:val="auto"/>
          <w:kern w:val="0"/>
          <w:sz w:val="24"/>
          <w:highlight w:val="none"/>
          <w:u w:val="single"/>
        </w:rPr>
        <w:t>2</w:t>
      </w:r>
      <w:r>
        <w:rPr>
          <w:rFonts w:hint="eastAsia" w:cs="宋体" w:asciiTheme="majorEastAsia" w:hAnsiTheme="majorEastAsia" w:eastAsiaTheme="majorEastAsia"/>
          <w:bCs/>
          <w:snapToGrid w:val="0"/>
          <w:color w:val="auto"/>
          <w:kern w:val="0"/>
          <w:sz w:val="24"/>
          <w:highlight w:val="none"/>
        </w:rPr>
        <w:t>年。</w:t>
      </w:r>
    </w:p>
    <w:p>
      <w:pPr>
        <w:adjustRightInd w:val="0"/>
        <w:snapToGrid w:val="0"/>
        <w:spacing w:line="360" w:lineRule="auto"/>
        <w:ind w:firstLine="480" w:firstLineChars="200"/>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1.26安全事故等级[《关于进一步规范房屋建筑和市政工程生产安全事故报告和调查处理工作的若干意见》（建质[2007]257号）]：</w:t>
      </w:r>
    </w:p>
    <w:p>
      <w:pPr>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（1）特别重大事故，是指造成30人以</w:t>
      </w:r>
      <w:bookmarkStart w:id="385" w:name="修改1"/>
      <w:bookmarkEnd w:id="385"/>
      <w:r>
        <w:rPr>
          <w:rFonts w:hint="eastAsia" w:cs="宋体" w:asciiTheme="majorEastAsia" w:hAnsiTheme="majorEastAsia" w:eastAsiaTheme="majorEastAsia"/>
          <w:bCs/>
          <w:snapToGrid w:val="0"/>
          <w:color w:val="auto"/>
          <w:kern w:val="0"/>
          <w:sz w:val="24"/>
          <w:highlight w:val="none"/>
        </w:rPr>
        <w:t>上死亡，或者100人以上重伤，或者1亿元以上直接经济损失的事故；</w:t>
      </w:r>
    </w:p>
    <w:p>
      <w:pPr>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（2）重大事故，是指造成10人以上30人以下死亡，或者50人以上100人以下重伤，或者5000万元以上1亿元以下直接经济损失的事故；</w:t>
      </w:r>
    </w:p>
    <w:p>
      <w:pPr>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（3）较大事故，是指造成3人以上10人以下死亡，或者10人以上50人以下重伤，或者1000万元以上5000万元以下直接经济损失的事故；</w:t>
      </w:r>
    </w:p>
    <w:p>
      <w:pPr>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（4）一般事故，是指造成3人以下死亡，或者10人以下重伤，或者100万元以上1000万元以下直接经济损失的事故。</w:t>
      </w:r>
    </w:p>
    <w:p>
      <w:pPr>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上述所称的“以上”包括本数，所称的“以下”不包括本数。</w:t>
      </w:r>
    </w:p>
    <w:p>
      <w:pPr>
        <w:adjustRightInd w:val="0"/>
        <w:snapToGrid w:val="0"/>
        <w:spacing w:line="360" w:lineRule="auto"/>
        <w:ind w:firstLine="480" w:firstLineChars="200"/>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1.27质量事故等级[《关于做好房屋建筑和市政基础设施工程质量事故报告和调查处理工作的通知》（建质[2010]111号）]：</w:t>
      </w:r>
    </w:p>
    <w:p>
      <w:pPr>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根据工程质量事故造成的人员伤亡或者直接经济损失，工程质量事故分为4个等级：</w:t>
      </w:r>
    </w:p>
    <w:p>
      <w:pPr>
        <w:adjustRightInd w:val="0"/>
        <w:snapToGrid w:val="0"/>
        <w:spacing w:line="360" w:lineRule="auto"/>
        <w:ind w:firstLine="360" w:firstLineChars="15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（1）特别重大事故，是指造成30人以上死亡，或者100人以上重伤，或者1亿元以上直接经济损失的事故；</w:t>
      </w:r>
    </w:p>
    <w:p>
      <w:pPr>
        <w:adjustRightInd w:val="0"/>
        <w:snapToGrid w:val="0"/>
        <w:spacing w:line="360" w:lineRule="auto"/>
        <w:ind w:firstLine="360" w:firstLineChars="15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（2）重大事故，是指造成10人以上30人以下死亡，或者50人以上100人以下重伤，或者5000万元以上1亿元以下直接经济损失的事故；</w:t>
      </w:r>
    </w:p>
    <w:p>
      <w:pPr>
        <w:adjustRightInd w:val="0"/>
        <w:snapToGrid w:val="0"/>
        <w:spacing w:line="360" w:lineRule="auto"/>
        <w:ind w:firstLine="360" w:firstLineChars="15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（3）较大事故，是指造成3人以上10人以下死亡，或者10人以上50人以下重伤，或者1000万元以上5000万元以下直接经济损失的事故；</w:t>
      </w:r>
    </w:p>
    <w:p>
      <w:pPr>
        <w:adjustRightInd w:val="0"/>
        <w:snapToGrid w:val="0"/>
        <w:spacing w:line="360" w:lineRule="auto"/>
        <w:ind w:firstLine="360" w:firstLineChars="15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（4）一般事故，是指造成3人以下死亡，或者10人以下重伤，或者100万元以上1000万元以下直接经济损失的事故。</w:t>
      </w:r>
    </w:p>
    <w:p>
      <w:pPr>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本等级划分所称的“以上”包括本数，所称的“以下”不包括本数。</w:t>
      </w:r>
    </w:p>
    <w:p>
      <w:pPr>
        <w:adjustRightInd w:val="0"/>
        <w:snapToGrid w:val="0"/>
        <w:spacing w:line="360" w:lineRule="auto"/>
        <w:ind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1.28“综合单价（合价）包干项目”、“分部分项工程量清单计价”、“措施项目清单计价”、“其他项目清单计价”、“绿色施工安全防护措施费”、“暂列金额”等费用项目以招标文件的定义为准。</w:t>
      </w:r>
    </w:p>
    <w:p>
      <w:pPr>
        <w:adjustRightInd w:val="0"/>
        <w:snapToGrid w:val="0"/>
        <w:spacing w:line="360" w:lineRule="auto"/>
        <w:ind w:firstLine="480" w:firstLineChars="200"/>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1.29元：指人民币元。</w:t>
      </w:r>
    </w:p>
    <w:p>
      <w:pPr>
        <w:adjustRightInd w:val="0"/>
        <w:snapToGrid w:val="0"/>
        <w:spacing w:line="360" w:lineRule="auto"/>
        <w:ind w:firstLine="480" w:firstLineChars="200"/>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1.30变更工程和新增工程：包括合同专用条款及通用条款第31条所定义的工程设计变更和第32条所定义的其他变更，由于设计需要或项目建设实际需要，这些变更会引致工程量清单内数量发生变化、或工程量清单内项目的局部内容发生变化、或新增了工程量清单内没有的项目。</w:t>
      </w:r>
    </w:p>
    <w:p>
      <w:pPr>
        <w:adjustRightInd w:val="0"/>
        <w:snapToGrid w:val="0"/>
        <w:spacing w:line="360" w:lineRule="auto"/>
        <w:ind w:firstLine="480" w:firstLineChars="200"/>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1.32</w:t>
      </w:r>
      <w:r>
        <w:rPr>
          <w:rFonts w:hint="eastAsia" w:cs="宋体" w:asciiTheme="majorEastAsia" w:hAnsiTheme="majorEastAsia" w:eastAsiaTheme="majorEastAsia"/>
          <w:bCs/>
          <w:snapToGrid w:val="0"/>
          <w:color w:val="auto"/>
          <w:spacing w:val="-6"/>
          <w:kern w:val="0"/>
          <w:sz w:val="24"/>
          <w:highlight w:val="none"/>
        </w:rPr>
        <w:t>单项工程：指具备独立施工条件并能形成独立使用功能的建筑物及构筑物。</w:t>
      </w:r>
    </w:p>
    <w:p>
      <w:pPr>
        <w:adjustRightInd w:val="0"/>
        <w:snapToGrid w:val="0"/>
        <w:spacing w:line="360" w:lineRule="auto"/>
        <w:ind w:firstLine="480" w:firstLineChars="200"/>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1.33单位工程：指一个独立建筑物或构筑物中的每个专业工程，如：建筑工程、土建工程、安装工程等。</w:t>
      </w:r>
    </w:p>
    <w:p>
      <w:pPr>
        <w:adjustRightInd w:val="0"/>
        <w:snapToGrid w:val="0"/>
        <w:spacing w:line="360" w:lineRule="auto"/>
        <w:ind w:firstLine="480" w:firstLineChars="200"/>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1.34施工总承包单位：指与发包人直接签订施工总承包合同具有相应施工承包资格和资质的承包单位，本项目的施工总承包单位是</w:t>
      </w:r>
      <w:r>
        <w:rPr>
          <w:rFonts w:hint="eastAsia" w:cs="宋体" w:asciiTheme="majorEastAsia" w:hAnsiTheme="majorEastAsia" w:eastAsiaTheme="majorEastAsia"/>
          <w:color w:val="auto"/>
          <w:sz w:val="24"/>
          <w:highlight w:val="none"/>
          <w:u w:val="single"/>
        </w:rPr>
        <w:t>广州城投房屋建筑工程有限公司</w:t>
      </w:r>
      <w:r>
        <w:rPr>
          <w:rFonts w:hint="eastAsia" w:cs="宋体" w:asciiTheme="majorEastAsia" w:hAnsiTheme="majorEastAsia" w:eastAsiaTheme="majorEastAsia"/>
          <w:bCs/>
          <w:snapToGrid w:val="0"/>
          <w:color w:val="auto"/>
          <w:kern w:val="0"/>
          <w:sz w:val="24"/>
          <w:highlight w:val="none"/>
        </w:rPr>
        <w:t>。</w:t>
      </w:r>
    </w:p>
    <w:p>
      <w:pPr>
        <w:adjustRightInd w:val="0"/>
        <w:snapToGrid w:val="0"/>
        <w:spacing w:line="360" w:lineRule="auto"/>
        <w:ind w:firstLine="480" w:firstLineChars="200"/>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1.35暂列金额：指发包人在工程量清单中暂定并包括在合同价款中的一笔款项，用于施工合同签订时尚未确定或者不可预见的所需材料、设备、服务的采购，施工中可能发生的工程变更、合同约定调整因素出现时的工程价款调整以及发生的索赔、现场签证确认等的费用。未使用部分仍归发包人所有。</w:t>
      </w:r>
    </w:p>
    <w:p>
      <w:pPr>
        <w:adjustRightInd w:val="0"/>
        <w:snapToGrid w:val="0"/>
        <w:spacing w:line="360" w:lineRule="auto"/>
        <w:ind w:firstLine="480" w:firstLineChars="200"/>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1.3</w:t>
      </w:r>
      <w:r>
        <w:rPr>
          <w:rFonts w:cs="宋体" w:asciiTheme="majorEastAsia" w:hAnsiTheme="majorEastAsia" w:eastAsiaTheme="majorEastAsia"/>
          <w:bCs/>
          <w:snapToGrid w:val="0"/>
          <w:color w:val="auto"/>
          <w:kern w:val="0"/>
          <w:sz w:val="24"/>
          <w:highlight w:val="none"/>
        </w:rPr>
        <w:t>6</w:t>
      </w:r>
      <w:r>
        <w:rPr>
          <w:rFonts w:hint="eastAsia" w:cs="宋体" w:asciiTheme="majorEastAsia" w:hAnsiTheme="majorEastAsia" w:eastAsiaTheme="majorEastAsia"/>
          <w:bCs/>
          <w:snapToGrid w:val="0"/>
          <w:color w:val="auto"/>
          <w:kern w:val="0"/>
          <w:sz w:val="24"/>
          <w:highlight w:val="none"/>
        </w:rPr>
        <w:t>暂估价：指发包人在工程量清单中提供的用于支付必然发生但暂时不能确定价格的材料设备的单价以及专业工程的金额。</w:t>
      </w:r>
    </w:p>
    <w:p>
      <w:pPr>
        <w:adjustRightInd w:val="0"/>
        <w:snapToGrid w:val="0"/>
        <w:spacing w:line="360" w:lineRule="auto"/>
        <w:ind w:firstLine="480" w:firstLineChars="200"/>
        <w:outlineLvl w:val="3"/>
        <w:rPr>
          <w:rFonts w:cs="宋体" w:asciiTheme="majorEastAsia" w:hAnsiTheme="majorEastAsia" w:eastAsiaTheme="majorEastAsia"/>
          <w:bCs/>
          <w:snapToGrid w:val="0"/>
          <w:color w:val="auto"/>
          <w:kern w:val="0"/>
          <w:sz w:val="24"/>
          <w:highlight w:val="none"/>
        </w:rPr>
      </w:pPr>
      <w:bookmarkStart w:id="386" w:name="_Toc4775"/>
      <w:bookmarkStart w:id="387" w:name="_Toc397364895"/>
      <w:bookmarkStart w:id="388" w:name="_Toc14873"/>
      <w:r>
        <w:rPr>
          <w:rFonts w:hint="eastAsia" w:cs="宋体" w:asciiTheme="majorEastAsia" w:hAnsiTheme="majorEastAsia" w:eastAsiaTheme="majorEastAsia"/>
          <w:bCs/>
          <w:snapToGrid w:val="0"/>
          <w:color w:val="auto"/>
          <w:kern w:val="0"/>
          <w:sz w:val="24"/>
          <w:highlight w:val="none"/>
        </w:rPr>
        <w:t>1.3</w:t>
      </w:r>
      <w:r>
        <w:rPr>
          <w:rFonts w:cs="宋体" w:asciiTheme="majorEastAsia" w:hAnsiTheme="majorEastAsia" w:eastAsiaTheme="majorEastAsia"/>
          <w:bCs/>
          <w:snapToGrid w:val="0"/>
          <w:color w:val="auto"/>
          <w:kern w:val="0"/>
          <w:sz w:val="24"/>
          <w:highlight w:val="none"/>
        </w:rPr>
        <w:t>7</w:t>
      </w:r>
      <w:r>
        <w:rPr>
          <w:rFonts w:hint="eastAsia" w:cs="宋体" w:asciiTheme="majorEastAsia" w:hAnsiTheme="majorEastAsia" w:eastAsiaTheme="majorEastAsia"/>
          <w:bCs/>
          <w:snapToGrid w:val="0"/>
          <w:color w:val="auto"/>
          <w:kern w:val="0"/>
          <w:sz w:val="24"/>
          <w:highlight w:val="none"/>
        </w:rPr>
        <w:t>本工程综合考评小组：指在本工程建设期间，由发包人组建的、代表发包人对各参建单位合同履约情况进行考核的机构。</w:t>
      </w:r>
    </w:p>
    <w:p>
      <w:pPr>
        <w:adjustRightInd w:val="0"/>
        <w:snapToGrid w:val="0"/>
        <w:spacing w:line="360" w:lineRule="auto"/>
        <w:ind w:right="11" w:firstLine="482" w:firstLineChars="200"/>
        <w:outlineLvl w:val="2"/>
        <w:rPr>
          <w:rFonts w:cs="宋体" w:asciiTheme="majorEastAsia" w:hAnsiTheme="majorEastAsia" w:eastAsiaTheme="majorEastAsia"/>
          <w:b/>
          <w:snapToGrid w:val="0"/>
          <w:color w:val="auto"/>
          <w:kern w:val="0"/>
          <w:sz w:val="24"/>
          <w:highlight w:val="none"/>
        </w:rPr>
      </w:pPr>
      <w:bookmarkStart w:id="389" w:name="_Toc140476907"/>
      <w:r>
        <w:rPr>
          <w:rFonts w:hint="eastAsia" w:cs="宋体" w:asciiTheme="majorEastAsia" w:hAnsiTheme="majorEastAsia" w:eastAsiaTheme="majorEastAsia"/>
          <w:b/>
          <w:snapToGrid w:val="0"/>
          <w:color w:val="auto"/>
          <w:kern w:val="0"/>
          <w:sz w:val="24"/>
          <w:highlight w:val="none"/>
        </w:rPr>
        <w:t>2、合同文件及解释顺序</w:t>
      </w:r>
      <w:bookmarkEnd w:id="386"/>
      <w:bookmarkEnd w:id="387"/>
      <w:bookmarkEnd w:id="388"/>
      <w:bookmarkEnd w:id="389"/>
    </w:p>
    <w:p>
      <w:pPr>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2.1按合同协议书第七条执行。</w:t>
      </w:r>
    </w:p>
    <w:p>
      <w:pPr>
        <w:adjustRightInd w:val="0"/>
        <w:snapToGrid w:val="0"/>
        <w:spacing w:line="360" w:lineRule="auto"/>
        <w:ind w:right="11" w:firstLine="482" w:firstLineChars="200"/>
        <w:outlineLvl w:val="2"/>
        <w:rPr>
          <w:rFonts w:cs="宋体" w:asciiTheme="majorEastAsia" w:hAnsiTheme="majorEastAsia" w:eastAsiaTheme="majorEastAsia"/>
          <w:b/>
          <w:snapToGrid w:val="0"/>
          <w:color w:val="auto"/>
          <w:kern w:val="0"/>
          <w:sz w:val="24"/>
          <w:highlight w:val="none"/>
        </w:rPr>
      </w:pPr>
      <w:bookmarkStart w:id="390" w:name="_Toc397364896"/>
      <w:bookmarkStart w:id="391" w:name="_Toc140476908"/>
      <w:bookmarkStart w:id="392" w:name="_Toc23953"/>
      <w:bookmarkStart w:id="393" w:name="_Toc5228"/>
      <w:r>
        <w:rPr>
          <w:rFonts w:hint="eastAsia" w:cs="宋体" w:asciiTheme="majorEastAsia" w:hAnsiTheme="majorEastAsia" w:eastAsiaTheme="majorEastAsia"/>
          <w:b/>
          <w:snapToGrid w:val="0"/>
          <w:color w:val="auto"/>
          <w:kern w:val="0"/>
          <w:sz w:val="24"/>
          <w:highlight w:val="none"/>
        </w:rPr>
        <w:t>3、语言文字和适用法律、标准及规范</w:t>
      </w:r>
      <w:bookmarkEnd w:id="390"/>
      <w:bookmarkEnd w:id="391"/>
      <w:bookmarkEnd w:id="392"/>
      <w:bookmarkEnd w:id="393"/>
    </w:p>
    <w:p>
      <w:pPr>
        <w:adjustRightInd w:val="0"/>
        <w:snapToGrid w:val="0"/>
        <w:spacing w:line="360" w:lineRule="auto"/>
        <w:ind w:firstLine="480" w:firstLineChars="200"/>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3.2适用法律和法规</w:t>
      </w:r>
    </w:p>
    <w:p>
      <w:pPr>
        <w:adjustRightInd w:val="0"/>
        <w:snapToGrid w:val="0"/>
        <w:spacing w:line="360" w:lineRule="auto"/>
        <w:ind w:right="11" w:firstLine="460" w:firstLineChars="192"/>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适用于本合同的法律法规是中华人民共和国法律、法规，合同约定的部门规章及工程所在地的地方法规。</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需要明示的法律、行政法规：《中华人民共和国民法典》、《中华人民共和国建筑法》、《中华人民共和国招投标法》、《建设工程质量管理条例》。</w:t>
      </w:r>
    </w:p>
    <w:p>
      <w:pPr>
        <w:adjustRightInd w:val="0"/>
        <w:snapToGrid w:val="0"/>
        <w:spacing w:line="360" w:lineRule="auto"/>
        <w:ind w:firstLine="480" w:firstLineChars="200"/>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3.3适用标准、规范</w:t>
      </w:r>
    </w:p>
    <w:p>
      <w:pPr>
        <w:adjustRightInd w:val="0"/>
        <w:snapToGrid w:val="0"/>
        <w:spacing w:line="360" w:lineRule="auto"/>
        <w:ind w:right="11"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适用标准、规范的名称：国家及广东省、广州市现行有效的有关建设项目管理、设计、施工及验收规范和验收标准，以及发包人根据本工程具体情况依照国家有关标准、规范制订的建设工程管理办法。</w:t>
      </w:r>
    </w:p>
    <w:p>
      <w:pPr>
        <w:adjustRightInd w:val="0"/>
        <w:snapToGrid w:val="0"/>
        <w:spacing w:line="360" w:lineRule="auto"/>
        <w:ind w:right="11" w:firstLine="482" w:firstLineChars="200"/>
        <w:outlineLvl w:val="2"/>
        <w:rPr>
          <w:rFonts w:cs="宋体" w:asciiTheme="majorEastAsia" w:hAnsiTheme="majorEastAsia" w:eastAsiaTheme="majorEastAsia"/>
          <w:b/>
          <w:snapToGrid w:val="0"/>
          <w:color w:val="auto"/>
          <w:kern w:val="0"/>
          <w:sz w:val="24"/>
          <w:highlight w:val="none"/>
        </w:rPr>
      </w:pPr>
      <w:bookmarkStart w:id="394" w:name="_Toc24347"/>
      <w:bookmarkStart w:id="395" w:name="_Toc140476909"/>
      <w:bookmarkStart w:id="396" w:name="_Toc31240"/>
      <w:bookmarkStart w:id="397" w:name="_Toc397364897"/>
      <w:r>
        <w:rPr>
          <w:rFonts w:hint="eastAsia" w:cs="宋体" w:asciiTheme="majorEastAsia" w:hAnsiTheme="majorEastAsia" w:eastAsiaTheme="majorEastAsia"/>
          <w:b/>
          <w:snapToGrid w:val="0"/>
          <w:color w:val="auto"/>
          <w:kern w:val="0"/>
          <w:sz w:val="24"/>
          <w:highlight w:val="none"/>
        </w:rPr>
        <w:t>4、图纸</w:t>
      </w:r>
      <w:bookmarkEnd w:id="394"/>
      <w:bookmarkEnd w:id="395"/>
      <w:bookmarkEnd w:id="396"/>
      <w:bookmarkEnd w:id="397"/>
    </w:p>
    <w:p>
      <w:pPr>
        <w:adjustRightInd w:val="0"/>
        <w:snapToGrid w:val="0"/>
        <w:spacing w:line="360" w:lineRule="auto"/>
        <w:ind w:firstLine="480" w:firstLineChars="200"/>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4.1发包人向承包人提供图纸的日期和套数：发包人在开工前向承包人提供8套图纸（其中4套为编制竣工图所需）。承包人确需增加图纸套数的，应当取得发包人的同意，所需费用由承包人自行承担。</w:t>
      </w:r>
    </w:p>
    <w:p>
      <w:pPr>
        <w:adjustRightInd w:val="0"/>
        <w:snapToGrid w:val="0"/>
        <w:spacing w:line="360" w:lineRule="auto"/>
        <w:ind w:firstLine="480" w:firstLineChars="200"/>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4.2对图纸的保密要求：由发包人提供的图纸、文件等，未经发包人许可，承包人不得用于本工程以外的项目或者转借、出让、泄露给第三方。保密措施费用由承包人自行承担。</w:t>
      </w:r>
    </w:p>
    <w:p>
      <w:pPr>
        <w:adjustRightInd w:val="0"/>
        <w:snapToGrid w:val="0"/>
        <w:spacing w:line="360" w:lineRule="auto"/>
        <w:ind w:firstLine="480" w:firstLineChars="200"/>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4.3承包人需对发包人提供的图纸进行必要的深化设计，经发包人审批同意后进行施工安装，相关深化设计费用由承包人自行承担。</w:t>
      </w:r>
    </w:p>
    <w:p>
      <w:pPr>
        <w:adjustRightInd w:val="0"/>
        <w:snapToGrid w:val="0"/>
        <w:spacing w:line="360" w:lineRule="auto"/>
        <w:ind w:right="11"/>
        <w:rPr>
          <w:rFonts w:cs="宋体" w:asciiTheme="majorEastAsia" w:hAnsiTheme="majorEastAsia" w:eastAsiaTheme="majorEastAsia"/>
          <w:bCs/>
          <w:snapToGrid w:val="0"/>
          <w:color w:val="auto"/>
          <w:kern w:val="0"/>
          <w:sz w:val="24"/>
          <w:highlight w:val="none"/>
        </w:rPr>
      </w:pPr>
    </w:p>
    <w:p>
      <w:pPr>
        <w:adjustRightInd w:val="0"/>
        <w:snapToGrid w:val="0"/>
        <w:spacing w:line="360" w:lineRule="auto"/>
        <w:ind w:right="11"/>
        <w:outlineLvl w:val="1"/>
        <w:rPr>
          <w:rFonts w:cs="宋体" w:asciiTheme="majorEastAsia" w:hAnsiTheme="majorEastAsia" w:eastAsiaTheme="majorEastAsia"/>
          <w:b/>
          <w:bCs/>
          <w:snapToGrid w:val="0"/>
          <w:color w:val="auto"/>
          <w:kern w:val="0"/>
          <w:sz w:val="28"/>
          <w:szCs w:val="28"/>
          <w:highlight w:val="none"/>
        </w:rPr>
      </w:pPr>
      <w:bookmarkStart w:id="398" w:name="_Toc17992"/>
      <w:bookmarkStart w:id="399" w:name="_Toc397364898"/>
      <w:bookmarkStart w:id="400" w:name="_Toc17973"/>
      <w:bookmarkStart w:id="401" w:name="_Toc140476910"/>
      <w:r>
        <w:rPr>
          <w:rFonts w:hint="eastAsia" w:cs="宋体" w:asciiTheme="majorEastAsia" w:hAnsiTheme="majorEastAsia" w:eastAsiaTheme="majorEastAsia"/>
          <w:b/>
          <w:bCs/>
          <w:snapToGrid w:val="0"/>
          <w:color w:val="auto"/>
          <w:kern w:val="0"/>
          <w:sz w:val="28"/>
          <w:szCs w:val="28"/>
          <w:highlight w:val="none"/>
        </w:rPr>
        <w:t>二、双方一般权利和义务</w:t>
      </w:r>
      <w:bookmarkEnd w:id="398"/>
      <w:bookmarkEnd w:id="399"/>
      <w:bookmarkEnd w:id="400"/>
      <w:bookmarkEnd w:id="401"/>
    </w:p>
    <w:p>
      <w:pPr>
        <w:adjustRightInd w:val="0"/>
        <w:snapToGrid w:val="0"/>
        <w:spacing w:line="360" w:lineRule="auto"/>
        <w:ind w:right="11" w:firstLine="482" w:firstLineChars="200"/>
        <w:outlineLvl w:val="2"/>
        <w:rPr>
          <w:rFonts w:cs="宋体" w:asciiTheme="majorEastAsia" w:hAnsiTheme="majorEastAsia" w:eastAsiaTheme="majorEastAsia"/>
          <w:b/>
          <w:snapToGrid w:val="0"/>
          <w:color w:val="auto"/>
          <w:kern w:val="0"/>
          <w:sz w:val="24"/>
          <w:highlight w:val="none"/>
        </w:rPr>
      </w:pPr>
      <w:bookmarkStart w:id="402" w:name="_Toc32386"/>
      <w:bookmarkStart w:id="403" w:name="_Toc397364899"/>
      <w:bookmarkStart w:id="404" w:name="_Toc29031"/>
      <w:bookmarkStart w:id="405" w:name="_Toc140476911"/>
      <w:r>
        <w:rPr>
          <w:rFonts w:hint="eastAsia" w:cs="宋体" w:asciiTheme="majorEastAsia" w:hAnsiTheme="majorEastAsia" w:eastAsiaTheme="majorEastAsia"/>
          <w:b/>
          <w:snapToGrid w:val="0"/>
          <w:color w:val="auto"/>
          <w:kern w:val="0"/>
          <w:sz w:val="24"/>
          <w:highlight w:val="none"/>
        </w:rPr>
        <w:t>5、工程师</w:t>
      </w:r>
      <w:bookmarkEnd w:id="402"/>
      <w:bookmarkEnd w:id="403"/>
      <w:bookmarkEnd w:id="404"/>
      <w:bookmarkEnd w:id="405"/>
    </w:p>
    <w:p>
      <w:pPr>
        <w:adjustRightInd w:val="0"/>
        <w:snapToGrid w:val="0"/>
        <w:spacing w:line="360" w:lineRule="auto"/>
        <w:ind w:right="11" w:firstLine="460" w:firstLineChars="192"/>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5.1监理单位</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本工程的监理单位的职责以发包人与监理单位签订的《施工监理合同》为准。</w:t>
      </w:r>
    </w:p>
    <w:p>
      <w:pPr>
        <w:spacing w:line="360" w:lineRule="auto"/>
        <w:ind w:right="11" w:firstLine="480" w:firstLineChars="200"/>
        <w:rPr>
          <w:rFonts w:cs="宋体" w:asciiTheme="majorEastAsia" w:hAnsiTheme="majorEastAsia" w:eastAsiaTheme="majorEastAsia"/>
          <w:color w:val="auto"/>
          <w:sz w:val="24"/>
          <w:szCs w:val="20"/>
          <w:highlight w:val="none"/>
        </w:rPr>
      </w:pPr>
      <w:r>
        <w:rPr>
          <w:rFonts w:hint="eastAsia" w:cs="宋体" w:asciiTheme="majorEastAsia" w:hAnsiTheme="majorEastAsia" w:eastAsiaTheme="majorEastAsia"/>
          <w:color w:val="auto"/>
          <w:sz w:val="24"/>
          <w:szCs w:val="20"/>
          <w:highlight w:val="none"/>
        </w:rPr>
        <w:t>5.2总监理工程师</w:t>
      </w:r>
    </w:p>
    <w:p>
      <w:pPr>
        <w:spacing w:line="360" w:lineRule="auto"/>
        <w:ind w:right="11" w:firstLine="480" w:firstLineChars="200"/>
        <w:rPr>
          <w:rFonts w:cs="宋体" w:asciiTheme="majorEastAsia" w:hAnsiTheme="majorEastAsia" w:eastAsiaTheme="majorEastAsia"/>
          <w:color w:val="auto"/>
          <w:sz w:val="24"/>
          <w:szCs w:val="20"/>
          <w:highlight w:val="none"/>
        </w:rPr>
      </w:pPr>
      <w:r>
        <w:rPr>
          <w:rFonts w:hint="eastAsia" w:cs="宋体" w:asciiTheme="majorEastAsia" w:hAnsiTheme="majorEastAsia" w:eastAsiaTheme="majorEastAsia"/>
          <w:color w:val="auto"/>
          <w:sz w:val="24"/>
          <w:szCs w:val="20"/>
          <w:highlight w:val="none"/>
        </w:rPr>
        <w:t>5.2.1总监理工程师是监理单位派驻本工程施工场地的监理机构的负责人。</w:t>
      </w:r>
    </w:p>
    <w:p>
      <w:pPr>
        <w:spacing w:line="360" w:lineRule="auto"/>
        <w:ind w:right="11" w:firstLine="460" w:firstLineChars="192"/>
        <w:rPr>
          <w:rFonts w:cs="宋体" w:asciiTheme="majorEastAsia" w:hAnsiTheme="majorEastAsia" w:eastAsiaTheme="majorEastAsia"/>
          <w:color w:val="auto"/>
          <w:sz w:val="24"/>
          <w:szCs w:val="20"/>
          <w:highlight w:val="none"/>
        </w:rPr>
      </w:pPr>
      <w:r>
        <w:rPr>
          <w:rFonts w:hint="eastAsia" w:cs="宋体" w:asciiTheme="majorEastAsia" w:hAnsiTheme="majorEastAsia" w:eastAsiaTheme="majorEastAsia"/>
          <w:color w:val="auto"/>
          <w:sz w:val="24"/>
          <w:szCs w:val="20"/>
          <w:highlight w:val="none"/>
        </w:rPr>
        <w:t>姓名：</w:t>
      </w:r>
      <w:r>
        <w:rPr>
          <w:rFonts w:hint="eastAsia" w:cs="宋体" w:asciiTheme="majorEastAsia" w:hAnsiTheme="majorEastAsia" w:eastAsiaTheme="majorEastAsia"/>
          <w:color w:val="auto"/>
          <w:sz w:val="24"/>
          <w:szCs w:val="20"/>
          <w:highlight w:val="none"/>
          <w:u w:val="single"/>
        </w:rPr>
        <w:t xml:space="preserve">        </w:t>
      </w:r>
      <w:r>
        <w:rPr>
          <w:rFonts w:hint="eastAsia" w:cs="宋体" w:asciiTheme="majorEastAsia" w:hAnsiTheme="majorEastAsia" w:eastAsiaTheme="majorEastAsia"/>
          <w:color w:val="auto"/>
          <w:sz w:val="24"/>
          <w:szCs w:val="20"/>
          <w:highlight w:val="none"/>
        </w:rPr>
        <w:t>。</w:t>
      </w:r>
    </w:p>
    <w:p>
      <w:pPr>
        <w:adjustRightInd w:val="0"/>
        <w:snapToGrid w:val="0"/>
        <w:spacing w:line="360" w:lineRule="auto"/>
        <w:ind w:right="11" w:firstLine="460" w:firstLineChars="192"/>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5.3</w:t>
      </w:r>
      <w:r>
        <w:rPr>
          <w:rFonts w:hint="eastAsia" w:cs="宋体" w:asciiTheme="majorEastAsia" w:hAnsiTheme="majorEastAsia" w:eastAsiaTheme="majorEastAsia"/>
          <w:snapToGrid w:val="0"/>
          <w:color w:val="auto"/>
          <w:kern w:val="0"/>
          <w:sz w:val="24"/>
          <w:highlight w:val="none"/>
        </w:rPr>
        <w:t>发包人代表</w:t>
      </w:r>
    </w:p>
    <w:p>
      <w:pPr>
        <w:adjustRightInd w:val="0"/>
        <w:snapToGrid w:val="0"/>
        <w:spacing w:line="360" w:lineRule="auto"/>
        <w:ind w:right="11" w:firstLine="460" w:firstLineChars="192"/>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发包人派驻施工场地履行合同的代表在本合同中称为发包人代表。</w:t>
      </w:r>
    </w:p>
    <w:p>
      <w:pPr>
        <w:adjustRightInd w:val="0"/>
        <w:snapToGrid w:val="0"/>
        <w:spacing w:line="360" w:lineRule="auto"/>
        <w:ind w:right="11" w:firstLine="460" w:firstLineChars="192"/>
        <w:rPr>
          <w:rFonts w:cs="宋体" w:asciiTheme="majorEastAsia" w:hAnsiTheme="majorEastAsia" w:eastAsiaTheme="majorEastAsia"/>
          <w:bCs/>
          <w:strike/>
          <w:snapToGrid w:val="0"/>
          <w:color w:val="auto"/>
          <w:kern w:val="0"/>
          <w:sz w:val="24"/>
          <w:highlight w:val="none"/>
          <w:u w:val="single"/>
        </w:rPr>
      </w:pPr>
      <w:r>
        <w:rPr>
          <w:rFonts w:hint="eastAsia" w:cs="宋体" w:asciiTheme="majorEastAsia" w:hAnsiTheme="majorEastAsia" w:eastAsiaTheme="majorEastAsia"/>
          <w:bCs/>
          <w:snapToGrid w:val="0"/>
          <w:color w:val="auto"/>
          <w:kern w:val="0"/>
          <w:sz w:val="24"/>
          <w:highlight w:val="none"/>
        </w:rPr>
        <w:t>姓名：</w:t>
      </w:r>
      <w:r>
        <w:rPr>
          <w:rFonts w:hint="eastAsia" w:cs="宋体" w:asciiTheme="majorEastAsia" w:hAnsiTheme="majorEastAsia" w:eastAsiaTheme="majorEastAsia"/>
          <w:color w:val="auto"/>
          <w:sz w:val="24"/>
          <w:szCs w:val="20"/>
          <w:highlight w:val="none"/>
          <w:u w:val="single"/>
        </w:rPr>
        <w:t xml:space="preserve">        </w:t>
      </w:r>
      <w:r>
        <w:rPr>
          <w:rFonts w:hint="eastAsia" w:cs="宋体" w:asciiTheme="majorEastAsia" w:hAnsiTheme="majorEastAsia" w:eastAsiaTheme="majorEastAsia"/>
          <w:color w:val="auto"/>
          <w:sz w:val="24"/>
          <w:szCs w:val="20"/>
          <w:highlight w:val="none"/>
        </w:rPr>
        <w:t>。</w:t>
      </w:r>
    </w:p>
    <w:p>
      <w:pPr>
        <w:adjustRightInd w:val="0"/>
        <w:snapToGrid w:val="0"/>
        <w:spacing w:line="360" w:lineRule="auto"/>
        <w:ind w:right="11" w:firstLine="482" w:firstLineChars="200"/>
        <w:outlineLvl w:val="2"/>
        <w:rPr>
          <w:rFonts w:cs="宋体" w:asciiTheme="majorEastAsia" w:hAnsiTheme="majorEastAsia" w:eastAsiaTheme="majorEastAsia"/>
          <w:b/>
          <w:snapToGrid w:val="0"/>
          <w:color w:val="auto"/>
          <w:kern w:val="0"/>
          <w:sz w:val="24"/>
          <w:highlight w:val="none"/>
        </w:rPr>
      </w:pPr>
      <w:bookmarkStart w:id="406" w:name="_Toc9045"/>
      <w:bookmarkStart w:id="407" w:name="_Toc397364900"/>
      <w:bookmarkStart w:id="408" w:name="_Toc140476912"/>
      <w:bookmarkStart w:id="409" w:name="_Toc576"/>
      <w:r>
        <w:rPr>
          <w:rFonts w:hint="eastAsia" w:cs="宋体" w:asciiTheme="majorEastAsia" w:hAnsiTheme="majorEastAsia" w:eastAsiaTheme="majorEastAsia"/>
          <w:b/>
          <w:snapToGrid w:val="0"/>
          <w:color w:val="auto"/>
          <w:kern w:val="0"/>
          <w:sz w:val="24"/>
          <w:highlight w:val="none"/>
        </w:rPr>
        <w:t>6、工程师的委派和指令</w:t>
      </w:r>
      <w:bookmarkEnd w:id="406"/>
      <w:bookmarkEnd w:id="407"/>
      <w:bookmarkEnd w:id="408"/>
      <w:bookmarkEnd w:id="409"/>
    </w:p>
    <w:p>
      <w:pPr>
        <w:adjustRightInd w:val="0"/>
        <w:snapToGrid w:val="0"/>
        <w:spacing w:line="360" w:lineRule="auto"/>
        <w:ind w:right="11" w:firstLine="460" w:firstLineChars="192"/>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6.2在紧急情况下，总监理工程师可以当场发出口头指令，承包人应遵照执行。承包人在收到上述口头指令后24小时内，应向总监理工程师发出书面确认函。若总监理工程师在收到书面确认函后24小时内未予答复，该口头指令应被视为总监理工程师的正式指令。由于总监理工程师指令错误而延误工期的，工期顺延情形只适用于一般节点工期。</w:t>
      </w:r>
    </w:p>
    <w:p>
      <w:pPr>
        <w:adjustRightInd w:val="0"/>
        <w:snapToGrid w:val="0"/>
        <w:spacing w:line="360" w:lineRule="auto"/>
        <w:ind w:right="11" w:firstLine="460" w:firstLineChars="192"/>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6.3由于总监理工程师未能按合同约定履行义务造成工期延误的，工期顺延情形只适用于一般节点工期。</w:t>
      </w:r>
    </w:p>
    <w:p>
      <w:pPr>
        <w:adjustRightInd w:val="0"/>
        <w:snapToGrid w:val="0"/>
        <w:spacing w:line="360" w:lineRule="auto"/>
        <w:ind w:right="11" w:firstLine="463" w:firstLineChars="192"/>
        <w:rPr>
          <w:rFonts w:cs="宋体" w:asciiTheme="majorEastAsia" w:hAnsiTheme="majorEastAsia" w:eastAsiaTheme="majorEastAsia"/>
          <w:b/>
          <w:bCs/>
          <w:snapToGrid w:val="0"/>
          <w:color w:val="auto"/>
          <w:kern w:val="0"/>
          <w:sz w:val="24"/>
          <w:highlight w:val="none"/>
        </w:rPr>
      </w:pPr>
      <w:r>
        <w:rPr>
          <w:rFonts w:hint="eastAsia" w:cs="宋体" w:asciiTheme="majorEastAsia" w:hAnsiTheme="majorEastAsia" w:eastAsiaTheme="majorEastAsia"/>
          <w:b/>
          <w:bCs/>
          <w:snapToGrid w:val="0"/>
          <w:color w:val="auto"/>
          <w:kern w:val="0"/>
          <w:sz w:val="24"/>
          <w:highlight w:val="none"/>
        </w:rPr>
        <w:t>承包人与发包人一致同意增加6.5、6.6：</w:t>
      </w:r>
    </w:p>
    <w:p>
      <w:pPr>
        <w:adjustRightInd w:val="0"/>
        <w:snapToGrid w:val="0"/>
        <w:spacing w:line="360" w:lineRule="auto"/>
        <w:ind w:right="11" w:firstLine="460" w:firstLineChars="192"/>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6.5除特别指明外，总监理工程师对承包人的任何工作、工程或其采用的材料和设备未提出否定意见的，不应视为已获批准，也不影响总监理工程师在以后拒绝该项工作、工程、材料设备的权利。</w:t>
      </w:r>
    </w:p>
    <w:p>
      <w:pPr>
        <w:adjustRightInd w:val="0"/>
        <w:snapToGrid w:val="0"/>
        <w:spacing w:line="360" w:lineRule="auto"/>
        <w:ind w:right="11" w:firstLine="460" w:firstLineChars="192"/>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6.6总监理工程师的指令应该有总监理工程师的签字，并加盖监理单位本项目驻场地机构印章。</w:t>
      </w:r>
    </w:p>
    <w:p>
      <w:pPr>
        <w:adjustRightInd w:val="0"/>
        <w:snapToGrid w:val="0"/>
        <w:spacing w:line="360" w:lineRule="auto"/>
        <w:ind w:firstLine="480"/>
        <w:outlineLvl w:val="2"/>
        <w:rPr>
          <w:rFonts w:cs="宋体" w:asciiTheme="majorEastAsia" w:hAnsiTheme="majorEastAsia" w:eastAsiaTheme="majorEastAsia"/>
          <w:b/>
          <w:snapToGrid w:val="0"/>
          <w:color w:val="auto"/>
          <w:kern w:val="0"/>
          <w:sz w:val="24"/>
          <w:highlight w:val="none"/>
        </w:rPr>
      </w:pPr>
      <w:bookmarkStart w:id="410" w:name="_Toc31606"/>
      <w:bookmarkStart w:id="411" w:name="_Toc2794"/>
      <w:bookmarkStart w:id="412" w:name="_Toc397364901"/>
      <w:bookmarkStart w:id="413" w:name="_Toc140476913"/>
      <w:r>
        <w:rPr>
          <w:rFonts w:hint="eastAsia" w:cs="宋体" w:asciiTheme="majorEastAsia" w:hAnsiTheme="majorEastAsia" w:eastAsiaTheme="majorEastAsia"/>
          <w:b/>
          <w:snapToGrid w:val="0"/>
          <w:color w:val="auto"/>
          <w:kern w:val="0"/>
          <w:sz w:val="24"/>
          <w:highlight w:val="none"/>
        </w:rPr>
        <w:t>7、项目经理</w:t>
      </w:r>
      <w:bookmarkEnd w:id="410"/>
      <w:bookmarkEnd w:id="411"/>
      <w:bookmarkEnd w:id="412"/>
      <w:bookmarkEnd w:id="413"/>
    </w:p>
    <w:p>
      <w:pPr>
        <w:adjustRightInd w:val="0"/>
        <w:snapToGrid w:val="0"/>
        <w:spacing w:line="360" w:lineRule="auto"/>
        <w:ind w:firstLine="48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7.1本工程项目经理</w:t>
      </w:r>
    </w:p>
    <w:p>
      <w:pPr>
        <w:adjustRightInd w:val="0"/>
        <w:snapToGrid w:val="0"/>
        <w:spacing w:line="360" w:lineRule="auto"/>
        <w:ind w:firstLine="48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姓名：</w:t>
      </w:r>
      <w:r>
        <w:rPr>
          <w:rFonts w:hint="eastAsia" w:cs="宋体" w:asciiTheme="majorEastAsia" w:hAnsiTheme="majorEastAsia" w:eastAsiaTheme="majorEastAsia"/>
          <w:color w:val="auto"/>
          <w:sz w:val="24"/>
          <w:szCs w:val="20"/>
          <w:highlight w:val="none"/>
          <w:u w:val="single"/>
        </w:rPr>
        <w:t xml:space="preserve">         </w:t>
      </w:r>
      <w:r>
        <w:rPr>
          <w:rFonts w:hint="eastAsia" w:cs="宋体" w:asciiTheme="majorEastAsia" w:hAnsiTheme="majorEastAsia" w:eastAsiaTheme="majorEastAsia"/>
          <w:color w:val="auto"/>
          <w:sz w:val="24"/>
          <w:szCs w:val="20"/>
          <w:highlight w:val="none"/>
        </w:rPr>
        <w:t>。</w:t>
      </w:r>
    </w:p>
    <w:p>
      <w:pPr>
        <w:adjustRightInd w:val="0"/>
        <w:snapToGrid w:val="0"/>
        <w:spacing w:line="360" w:lineRule="auto"/>
        <w:ind w:right="11" w:firstLine="460" w:firstLineChars="192"/>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7.3合同通用条款第7.3款所提及的工期顺延情形只适用于一般节点工期。</w:t>
      </w:r>
    </w:p>
    <w:p>
      <w:pPr>
        <w:adjustRightInd w:val="0"/>
        <w:snapToGrid w:val="0"/>
        <w:spacing w:line="360" w:lineRule="auto"/>
        <w:ind w:firstLine="48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b/>
          <w:bCs/>
          <w:snapToGrid w:val="0"/>
          <w:color w:val="auto"/>
          <w:kern w:val="0"/>
          <w:sz w:val="24"/>
          <w:highlight w:val="none"/>
        </w:rPr>
        <w:t>承包人与发包人一致同意增加7.6至7.9：</w:t>
      </w:r>
    </w:p>
    <w:p>
      <w:pPr>
        <w:adjustRightInd w:val="0"/>
        <w:snapToGrid w:val="0"/>
        <w:spacing w:line="360" w:lineRule="auto"/>
        <w:ind w:right="11" w:firstLine="460" w:firstLineChars="192"/>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7.6现场管理机构</w:t>
      </w:r>
    </w:p>
    <w:p>
      <w:pPr>
        <w:adjustRightInd w:val="0"/>
        <w:snapToGrid w:val="0"/>
        <w:spacing w:line="360" w:lineRule="auto"/>
        <w:ind w:firstLine="48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（1）承包人必须按照投标文件的承诺建立现场管理机构，严格执行《建设工程项目管理规范》（GB/T50326-2017），并积极主动接受建设行政主管部门的监督和检查。</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（2）现场管理机构各</w:t>
      </w:r>
      <w:r>
        <w:rPr>
          <w:rFonts w:hint="eastAsia" w:cs="宋体" w:asciiTheme="majorEastAsia" w:hAnsiTheme="majorEastAsia" w:eastAsiaTheme="majorEastAsia"/>
          <w:bCs/>
          <w:snapToGrid w:val="0"/>
          <w:color w:val="auto"/>
          <w:kern w:val="0"/>
          <w:sz w:val="24"/>
          <w:highlight w:val="none"/>
        </w:rPr>
        <w:t>部</w:t>
      </w:r>
      <w:r>
        <w:rPr>
          <w:rFonts w:hint="eastAsia" w:cs="宋体" w:asciiTheme="majorEastAsia" w:hAnsiTheme="majorEastAsia" w:eastAsiaTheme="majorEastAsia"/>
          <w:snapToGrid w:val="0"/>
          <w:color w:val="auto"/>
          <w:kern w:val="0"/>
          <w:sz w:val="24"/>
          <w:highlight w:val="none"/>
        </w:rPr>
        <w:t>主要组织管理人员在开工前必须全部到位，并接受总监理工程师和发包人代表的查验。</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w:t>
      </w:r>
      <w:r>
        <w:rPr>
          <w:rFonts w:cs="宋体" w:asciiTheme="majorEastAsia" w:hAnsiTheme="majorEastAsia" w:eastAsiaTheme="majorEastAsia"/>
          <w:snapToGrid w:val="0"/>
          <w:color w:val="auto"/>
          <w:kern w:val="0"/>
          <w:sz w:val="24"/>
          <w:highlight w:val="none"/>
        </w:rPr>
        <w:t>3</w:t>
      </w:r>
      <w:r>
        <w:rPr>
          <w:rFonts w:hint="eastAsia" w:cs="宋体" w:asciiTheme="majorEastAsia" w:hAnsiTheme="majorEastAsia" w:eastAsiaTheme="majorEastAsia"/>
          <w:snapToGrid w:val="0"/>
          <w:color w:val="auto"/>
          <w:kern w:val="0"/>
          <w:sz w:val="24"/>
          <w:highlight w:val="none"/>
        </w:rPr>
        <w:t>）承包人委派的现场管理机构主要组织管理人员不得有在其他项目兼职情况存在，并需接受监理单位的监督。</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（4）承包人管理人员不得存在“挂证”投标行为，如存在上述行为，承包人需无条件地按照招标文件约定的人员资格要求进行更换，并按合同条款第3</w:t>
      </w:r>
      <w:r>
        <w:rPr>
          <w:rFonts w:cs="宋体" w:asciiTheme="majorEastAsia" w:hAnsiTheme="majorEastAsia" w:eastAsiaTheme="majorEastAsia"/>
          <w:snapToGrid w:val="0"/>
          <w:color w:val="auto"/>
          <w:kern w:val="0"/>
          <w:sz w:val="24"/>
          <w:highlight w:val="none"/>
        </w:rPr>
        <w:t>8</w:t>
      </w:r>
      <w:r>
        <w:rPr>
          <w:rFonts w:hint="eastAsia" w:cs="宋体" w:asciiTheme="majorEastAsia" w:hAnsiTheme="majorEastAsia" w:eastAsiaTheme="majorEastAsia"/>
          <w:snapToGrid w:val="0"/>
          <w:color w:val="auto"/>
          <w:kern w:val="0"/>
          <w:sz w:val="24"/>
          <w:highlight w:val="none"/>
        </w:rPr>
        <w:t>条的约定承担违约金，发包人将保留向行业主管部门通报相关情况的权利。</w:t>
      </w:r>
    </w:p>
    <w:p>
      <w:pPr>
        <w:adjustRightInd w:val="0"/>
        <w:snapToGrid w:val="0"/>
        <w:spacing w:line="360" w:lineRule="auto"/>
        <w:ind w:right="11" w:firstLine="460" w:firstLineChars="192"/>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7.7现场管理机构各部主要组织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w:t>
      </w:r>
    </w:p>
    <w:p>
      <w:pPr>
        <w:adjustRightInd w:val="0"/>
        <w:snapToGrid w:val="0"/>
        <w:spacing w:line="360" w:lineRule="auto"/>
        <w:ind w:firstLine="48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更换人员必须履行建设行政主管部门规定的人员变更手续，后任人员继续行使前任的职权，履行前任的义务。</w:t>
      </w:r>
    </w:p>
    <w:p>
      <w:pPr>
        <w:adjustRightInd w:val="0"/>
        <w:snapToGrid w:val="0"/>
        <w:spacing w:line="360" w:lineRule="auto"/>
        <w:ind w:right="11" w:firstLine="460" w:firstLineChars="192"/>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7.8现场管理机构各部主要组织管理人员的</w:t>
      </w:r>
      <w:r>
        <w:rPr>
          <w:rFonts w:hint="eastAsia" w:cs="宋体" w:asciiTheme="majorEastAsia" w:hAnsiTheme="majorEastAsia" w:eastAsiaTheme="majorEastAsia"/>
          <w:iCs/>
          <w:snapToGrid w:val="0"/>
          <w:color w:val="auto"/>
          <w:kern w:val="0"/>
          <w:sz w:val="24"/>
          <w:highlight w:val="none"/>
        </w:rPr>
        <w:t>实际工作能力和工作效果达不到招标文件的明确要求</w:t>
      </w:r>
      <w:r>
        <w:rPr>
          <w:rFonts w:hint="eastAsia" w:cs="宋体" w:asciiTheme="majorEastAsia" w:hAnsiTheme="majorEastAsia" w:eastAsiaTheme="majorEastAsia"/>
          <w:snapToGrid w:val="0"/>
          <w:color w:val="auto"/>
          <w:kern w:val="0"/>
          <w:sz w:val="24"/>
          <w:highlight w:val="none"/>
        </w:rPr>
        <w:t>或投标文件的承诺或工作态度存在严重不足，不适应现场工作需要的，发包人有权向承包人提出撤换。承包人可以提出整改意见，如发包人不予接受或认为整改效果不明显的，则承包人必须在7天内无条件撤换。所调换来人员的资质、资历、学历、职称、业绩、实际工作能力不低于投标文件中所承诺人员的素质，否则，按合同专用条款第38.7（3）款的约定承担违反投标承诺的违约责任。</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发包人要求承包人撤换不合格人员，如承包人既不立即撤换，也不及时提出整改意见，则视同拒绝执行发包人的指令，承包人需按合同专用条款第38.7（1）款的约定承担违约责任。</w:t>
      </w:r>
    </w:p>
    <w:p>
      <w:pPr>
        <w:adjustRightInd w:val="0"/>
        <w:snapToGrid w:val="0"/>
        <w:spacing w:line="360" w:lineRule="auto"/>
        <w:ind w:firstLine="48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发包人要求承包人以实际工作能力较高的人员调换实际工作能力较低的现场人员、或者承包人主动要求以实际工作能力较高的人员调换实际工作能力较低的现场人员并经总监理工程师及发包人批准且经实践检验证实、或者承包人有合法的理由提出申请并经总监理工程师及发包人批准更换相关人员的，承包人可不承担违约责任。</w:t>
      </w:r>
    </w:p>
    <w:p>
      <w:pPr>
        <w:adjustRightInd w:val="0"/>
        <w:snapToGrid w:val="0"/>
        <w:spacing w:line="360" w:lineRule="auto"/>
        <w:ind w:right="11" w:firstLine="460" w:firstLineChars="192"/>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iCs/>
          <w:snapToGrid w:val="0"/>
          <w:color w:val="auto"/>
          <w:kern w:val="0"/>
          <w:sz w:val="24"/>
          <w:highlight w:val="none"/>
        </w:rPr>
        <w:t>7.9</w:t>
      </w:r>
      <w:r>
        <w:rPr>
          <w:rFonts w:hint="eastAsia" w:cs="宋体" w:asciiTheme="majorEastAsia" w:hAnsiTheme="majorEastAsia" w:eastAsiaTheme="majorEastAsia"/>
          <w:bCs/>
          <w:snapToGrid w:val="0"/>
          <w:color w:val="auto"/>
          <w:kern w:val="0"/>
          <w:sz w:val="24"/>
          <w:highlight w:val="none"/>
        </w:rPr>
        <w:t>现场管理机构各部主要组织管理人员必须全职在现场办公，不得兼职或者擅自离岗。因特殊情况需短暂离岗的，应当事先报总监理工程师及发包人批准，且须妥善安排工作交接，并按以下约定执行：</w:t>
      </w:r>
    </w:p>
    <w:p>
      <w:pPr>
        <w:adjustRightInd w:val="0"/>
        <w:snapToGrid w:val="0"/>
        <w:spacing w:line="360" w:lineRule="auto"/>
        <w:ind w:right="11" w:firstLine="460" w:firstLineChars="192"/>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（1）离场半天内，须经总监理工程师批准同意；</w:t>
      </w:r>
    </w:p>
    <w:p>
      <w:pPr>
        <w:adjustRightInd w:val="0"/>
        <w:snapToGrid w:val="0"/>
        <w:spacing w:line="360" w:lineRule="auto"/>
        <w:ind w:right="11" w:firstLine="460" w:firstLineChars="192"/>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（2）离场1天内，须经总监理工程师同意，并经发包人代表批准；</w:t>
      </w:r>
    </w:p>
    <w:p>
      <w:pPr>
        <w:adjustRightInd w:val="0"/>
        <w:snapToGrid w:val="0"/>
        <w:spacing w:line="360" w:lineRule="auto"/>
        <w:ind w:right="11" w:firstLine="460" w:firstLineChars="192"/>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（3）离场2天以上（含2天），须经总监理工程师及发包人代表同意，并经发包人主管部门领导批准；</w:t>
      </w:r>
    </w:p>
    <w:p>
      <w:pPr>
        <w:adjustRightInd w:val="0"/>
        <w:snapToGrid w:val="0"/>
        <w:spacing w:line="360" w:lineRule="auto"/>
        <w:ind w:right="11" w:firstLine="460" w:firstLineChars="192"/>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（4）一个月内累计离场时间不得超过5天（经发包人分管领导批准的除外）。</w:t>
      </w:r>
    </w:p>
    <w:p>
      <w:pPr>
        <w:adjustRightInd w:val="0"/>
        <w:snapToGrid w:val="0"/>
        <w:spacing w:line="360" w:lineRule="auto"/>
        <w:ind w:right="11" w:firstLine="480" w:firstLineChars="200"/>
        <w:rPr>
          <w:rFonts w:cs="宋体" w:asciiTheme="majorEastAsia" w:hAnsiTheme="majorEastAsia" w:eastAsiaTheme="majorEastAsia"/>
          <w:iCs/>
          <w:snapToGrid w:val="0"/>
          <w:color w:val="auto"/>
          <w:kern w:val="0"/>
          <w:sz w:val="24"/>
          <w:highlight w:val="none"/>
        </w:rPr>
      </w:pPr>
      <w:r>
        <w:rPr>
          <w:rFonts w:hint="eastAsia" w:cs="宋体" w:asciiTheme="majorEastAsia" w:hAnsiTheme="majorEastAsia" w:eastAsiaTheme="majorEastAsia"/>
          <w:iCs/>
          <w:snapToGrid w:val="0"/>
          <w:color w:val="auto"/>
          <w:kern w:val="0"/>
          <w:sz w:val="24"/>
          <w:highlight w:val="none"/>
        </w:rPr>
        <w:t>承包人若违反上述约定，应按照合同专用条款第38.7款的相关约定承担违约责任。</w:t>
      </w:r>
    </w:p>
    <w:p>
      <w:pPr>
        <w:adjustRightInd w:val="0"/>
        <w:snapToGrid w:val="0"/>
        <w:spacing w:line="360" w:lineRule="auto"/>
        <w:ind w:right="11" w:firstLine="480" w:firstLineChars="200"/>
        <w:rPr>
          <w:rFonts w:cs="宋体" w:asciiTheme="majorEastAsia" w:hAnsiTheme="majorEastAsia" w:eastAsiaTheme="majorEastAsia"/>
          <w:iCs/>
          <w:snapToGrid w:val="0"/>
          <w:color w:val="auto"/>
          <w:kern w:val="0"/>
          <w:sz w:val="24"/>
          <w:highlight w:val="none"/>
        </w:rPr>
      </w:pPr>
      <w:r>
        <w:rPr>
          <w:rFonts w:hint="eastAsia" w:cs="宋体" w:asciiTheme="majorEastAsia" w:hAnsiTheme="majorEastAsia" w:eastAsiaTheme="majorEastAsia"/>
          <w:iCs/>
          <w:snapToGrid w:val="0"/>
          <w:color w:val="auto"/>
          <w:kern w:val="0"/>
          <w:sz w:val="24"/>
          <w:highlight w:val="none"/>
        </w:rPr>
        <w:t>本合同所称现场办公，是指在工程实施过程中，现场管理机构主要组织管理人员必须在施工场地全职上班，履行各自的职责。</w:t>
      </w:r>
    </w:p>
    <w:p>
      <w:pPr>
        <w:adjustRightInd w:val="0"/>
        <w:snapToGrid w:val="0"/>
        <w:spacing w:line="360" w:lineRule="auto"/>
        <w:ind w:right="11" w:firstLine="480" w:firstLineChars="200"/>
        <w:rPr>
          <w:rFonts w:cs="宋体" w:asciiTheme="majorEastAsia" w:hAnsiTheme="majorEastAsia" w:eastAsiaTheme="majorEastAsia"/>
          <w:iCs/>
          <w:snapToGrid w:val="0"/>
          <w:color w:val="auto"/>
          <w:kern w:val="0"/>
          <w:sz w:val="24"/>
          <w:highlight w:val="none"/>
        </w:rPr>
      </w:pPr>
      <w:r>
        <w:rPr>
          <w:rFonts w:hint="eastAsia" w:cs="宋体" w:asciiTheme="majorEastAsia" w:hAnsiTheme="majorEastAsia" w:eastAsiaTheme="majorEastAsia"/>
          <w:iCs/>
          <w:snapToGrid w:val="0"/>
          <w:color w:val="auto"/>
          <w:kern w:val="0"/>
          <w:sz w:val="24"/>
          <w:highlight w:val="none"/>
        </w:rPr>
        <w:t>现场管理机构主要组织管理人员现场办公天数，由监理人员按实考勤。</w:t>
      </w:r>
    </w:p>
    <w:p>
      <w:pPr>
        <w:adjustRightInd w:val="0"/>
        <w:snapToGrid w:val="0"/>
        <w:spacing w:line="360" w:lineRule="auto"/>
        <w:ind w:right="11" w:firstLine="482" w:firstLineChars="200"/>
        <w:outlineLvl w:val="2"/>
        <w:rPr>
          <w:rFonts w:cs="宋体" w:asciiTheme="majorEastAsia" w:hAnsiTheme="majorEastAsia" w:eastAsiaTheme="majorEastAsia"/>
          <w:b/>
          <w:snapToGrid w:val="0"/>
          <w:color w:val="auto"/>
          <w:kern w:val="0"/>
          <w:sz w:val="24"/>
          <w:highlight w:val="none"/>
        </w:rPr>
      </w:pPr>
      <w:bookmarkStart w:id="414" w:name="_Toc397364902"/>
      <w:bookmarkStart w:id="415" w:name="_Toc3900"/>
      <w:bookmarkStart w:id="416" w:name="_Toc140476914"/>
      <w:bookmarkStart w:id="417" w:name="_Toc20366"/>
      <w:r>
        <w:rPr>
          <w:rFonts w:hint="eastAsia" w:cs="宋体" w:asciiTheme="majorEastAsia" w:hAnsiTheme="majorEastAsia" w:eastAsiaTheme="majorEastAsia"/>
          <w:b/>
          <w:snapToGrid w:val="0"/>
          <w:color w:val="auto"/>
          <w:kern w:val="0"/>
          <w:sz w:val="24"/>
          <w:highlight w:val="none"/>
        </w:rPr>
        <w:t>8、发包人工作</w:t>
      </w:r>
      <w:bookmarkEnd w:id="414"/>
      <w:bookmarkEnd w:id="415"/>
      <w:bookmarkEnd w:id="416"/>
      <w:bookmarkEnd w:id="417"/>
    </w:p>
    <w:p>
      <w:pPr>
        <w:adjustRightInd w:val="0"/>
        <w:snapToGrid w:val="0"/>
        <w:spacing w:line="360" w:lineRule="auto"/>
        <w:ind w:right="11"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8.1发包人应按约定的时间和要求完成以下工作：</w:t>
      </w:r>
    </w:p>
    <w:p>
      <w:pPr>
        <w:adjustRightInd w:val="0"/>
        <w:snapToGrid w:val="0"/>
        <w:spacing w:line="360" w:lineRule="auto"/>
        <w:ind w:right="11"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施工场地具备施工条件的要求：发包人仅提供建设用地红线范围内的场地给承包人作为施工场地使用；承包人如需占用上述红线范围以外的场地，须自行办理有关手续及支付相关费用；相关费用已包含在合同总价中，发包人不再另行支付任何费用。</w:t>
      </w:r>
    </w:p>
    <w:p>
      <w:pPr>
        <w:adjustRightInd w:val="0"/>
        <w:snapToGrid w:val="0"/>
        <w:spacing w:line="360" w:lineRule="auto"/>
        <w:ind w:right="11"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（2）施工场地与公共道路通道的开通时间和要求：工作内容已包含在本标段工程内，由中标单位结合现场实际情况考虑。</w:t>
      </w:r>
    </w:p>
    <w:p>
      <w:pPr>
        <w:adjustRightInd w:val="0"/>
        <w:snapToGrid w:val="0"/>
        <w:spacing w:line="360" w:lineRule="auto"/>
        <w:ind w:right="11"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（3）工程地质和地下管线资料的提供时间：发包人不提供地下管线资料，由承包人自行负责查勘，相关费用已包含在合同总价中，发包人不再就此支付任何费用。</w:t>
      </w:r>
    </w:p>
    <w:p>
      <w:pPr>
        <w:adjustRightInd w:val="0"/>
        <w:snapToGrid w:val="0"/>
        <w:spacing w:line="360" w:lineRule="auto"/>
        <w:ind w:right="11"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（4）发包人负责办理本工程立项文件、建设用地规划许可证等批文</w:t>
      </w:r>
      <w:r>
        <w:rPr>
          <w:rFonts w:hint="eastAsia" w:cs="宋体" w:asciiTheme="majorEastAsia" w:hAnsiTheme="majorEastAsia" w:eastAsiaTheme="majorEastAsia"/>
          <w:bCs/>
          <w:iCs/>
          <w:snapToGrid w:val="0"/>
          <w:color w:val="auto"/>
          <w:kern w:val="0"/>
          <w:sz w:val="24"/>
          <w:highlight w:val="none"/>
        </w:rPr>
        <w:t>。</w:t>
      </w:r>
    </w:p>
    <w:p>
      <w:pPr>
        <w:adjustRightInd w:val="0"/>
        <w:snapToGrid w:val="0"/>
        <w:spacing w:line="360" w:lineRule="auto"/>
        <w:ind w:right="11"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（5）水准点与坐标控制点交验要求：发包人负责在施工现场将已施测的水准点高程与平面控制点坐标以书面形式提供给承包人，由承包人做好交验记录。</w:t>
      </w:r>
    </w:p>
    <w:p>
      <w:pPr>
        <w:adjustRightInd w:val="0"/>
        <w:snapToGrid w:val="0"/>
        <w:spacing w:line="360" w:lineRule="auto"/>
        <w:ind w:right="11"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（6）图纸会审和设计交底时间：承包人接到施工图纸后7天内进行。</w:t>
      </w:r>
    </w:p>
    <w:p>
      <w:pPr>
        <w:adjustRightInd w:val="0"/>
        <w:snapToGrid w:val="0"/>
        <w:spacing w:line="360" w:lineRule="auto"/>
        <w:ind w:right="11"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（7）协调施工场地周围地下管线和邻近建筑物、构筑物（含文物保护建筑）、古树名木的保护工作。</w:t>
      </w:r>
    </w:p>
    <w:p>
      <w:pPr>
        <w:adjustRightInd w:val="0"/>
        <w:snapToGrid w:val="0"/>
        <w:spacing w:line="360" w:lineRule="auto"/>
        <w:ind w:right="11"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（8）发包人不提供临建搭设场地，承包人需要搭设临建场地，由承包人组织，所需费用已包含在合同总价中，发包人不再另行支付任何费用。</w:t>
      </w:r>
    </w:p>
    <w:p>
      <w:pPr>
        <w:adjustRightInd w:val="0"/>
        <w:snapToGrid w:val="0"/>
        <w:spacing w:line="360" w:lineRule="auto"/>
        <w:ind w:right="11"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（9）所有监督抽检及第三方检测由发包人另行委托，自检部分由中标单位负责。</w:t>
      </w:r>
    </w:p>
    <w:p>
      <w:pPr>
        <w:adjustRightInd w:val="0"/>
        <w:snapToGrid w:val="0"/>
        <w:spacing w:line="360" w:lineRule="auto"/>
        <w:ind w:right="11" w:firstLine="460" w:firstLineChars="192"/>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8.2发包人委托承包人办理的工作：包括但不限于办理施工许可证和工程质量安全监督报建手续等工作。</w:t>
      </w:r>
    </w:p>
    <w:p>
      <w:pPr>
        <w:adjustRightInd w:val="0"/>
        <w:snapToGrid w:val="0"/>
        <w:spacing w:line="360" w:lineRule="auto"/>
        <w:ind w:right="11" w:firstLine="460" w:firstLineChars="192"/>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8.3</w:t>
      </w:r>
      <w:r>
        <w:rPr>
          <w:rFonts w:hint="eastAsia" w:cs="宋体" w:asciiTheme="majorEastAsia" w:hAnsiTheme="majorEastAsia" w:eastAsiaTheme="majorEastAsia"/>
          <w:snapToGrid w:val="0"/>
          <w:color w:val="auto"/>
          <w:kern w:val="0"/>
          <w:sz w:val="24"/>
          <w:highlight w:val="none"/>
        </w:rPr>
        <w:t>合同通用条款第8.3款所提及的工期顺延情形只适用于一般节点工期。</w:t>
      </w:r>
    </w:p>
    <w:p>
      <w:pPr>
        <w:adjustRightInd w:val="0"/>
        <w:snapToGrid w:val="0"/>
        <w:spacing w:line="360" w:lineRule="auto"/>
        <w:ind w:right="11" w:firstLine="463" w:firstLineChars="192"/>
        <w:rPr>
          <w:rFonts w:cs="宋体" w:asciiTheme="majorEastAsia" w:hAnsiTheme="majorEastAsia" w:eastAsiaTheme="majorEastAsia"/>
          <w:bCs/>
          <w:snapToGrid w:val="0"/>
          <w:color w:val="auto"/>
          <w:kern w:val="0"/>
          <w:sz w:val="24"/>
          <w:highlight w:val="none"/>
        </w:rPr>
      </w:pPr>
      <w:bookmarkStart w:id="418" w:name="_Toc397364903"/>
      <w:r>
        <w:rPr>
          <w:rFonts w:hint="eastAsia" w:cs="宋体" w:asciiTheme="majorEastAsia" w:hAnsiTheme="majorEastAsia" w:eastAsiaTheme="majorEastAsia"/>
          <w:b/>
          <w:snapToGrid w:val="0"/>
          <w:color w:val="auto"/>
          <w:kern w:val="0"/>
          <w:sz w:val="24"/>
          <w:highlight w:val="none"/>
        </w:rPr>
        <w:t>承包人和发包人一致同意增加8.4：</w:t>
      </w:r>
    </w:p>
    <w:p>
      <w:pPr>
        <w:adjustRightInd w:val="0"/>
        <w:snapToGrid w:val="0"/>
        <w:spacing w:line="360" w:lineRule="auto"/>
        <w:ind w:right="11" w:firstLine="460" w:firstLineChars="192"/>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8.4经发包人与承包人双方协商一致，发包人保留下列权利：</w:t>
      </w:r>
    </w:p>
    <w:p>
      <w:pPr>
        <w:adjustRightInd w:val="0"/>
        <w:snapToGrid w:val="0"/>
        <w:spacing w:line="360" w:lineRule="auto"/>
        <w:ind w:right="11" w:firstLine="460" w:firstLineChars="192"/>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保留对主要材料设备的分类及采购方式进行调整的权利，若进行调整时，发承人双方另行签订补充合同约定。</w:t>
      </w:r>
    </w:p>
    <w:p>
      <w:pPr>
        <w:adjustRightInd w:val="0"/>
        <w:snapToGrid w:val="0"/>
        <w:spacing w:line="360" w:lineRule="auto"/>
        <w:ind w:right="11" w:firstLine="482" w:firstLineChars="200"/>
        <w:outlineLvl w:val="2"/>
        <w:rPr>
          <w:rFonts w:cs="宋体" w:asciiTheme="majorEastAsia" w:hAnsiTheme="majorEastAsia" w:eastAsiaTheme="majorEastAsia"/>
          <w:b/>
          <w:snapToGrid w:val="0"/>
          <w:color w:val="auto"/>
          <w:kern w:val="0"/>
          <w:sz w:val="24"/>
          <w:highlight w:val="none"/>
        </w:rPr>
      </w:pPr>
      <w:bookmarkStart w:id="419" w:name="_Toc140476915"/>
      <w:bookmarkStart w:id="420" w:name="_Toc21637"/>
      <w:bookmarkStart w:id="421" w:name="_Toc4475"/>
      <w:r>
        <w:rPr>
          <w:rFonts w:hint="eastAsia" w:cs="宋体" w:asciiTheme="majorEastAsia" w:hAnsiTheme="majorEastAsia" w:eastAsiaTheme="majorEastAsia"/>
          <w:b/>
          <w:snapToGrid w:val="0"/>
          <w:color w:val="auto"/>
          <w:kern w:val="0"/>
          <w:sz w:val="24"/>
          <w:highlight w:val="none"/>
        </w:rPr>
        <w:t>9、承包人工作</w:t>
      </w:r>
      <w:bookmarkEnd w:id="418"/>
      <w:bookmarkEnd w:id="419"/>
      <w:bookmarkEnd w:id="420"/>
      <w:bookmarkEnd w:id="421"/>
    </w:p>
    <w:p>
      <w:pPr>
        <w:adjustRightInd w:val="0"/>
        <w:snapToGrid w:val="0"/>
        <w:spacing w:line="360" w:lineRule="auto"/>
        <w:ind w:right="11" w:firstLine="460" w:firstLineChars="192"/>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9.1承包人按合同约定的内容和时间完成以下工作：</w:t>
      </w:r>
    </w:p>
    <w:p>
      <w:pPr>
        <w:adjustRightInd w:val="0"/>
        <w:snapToGrid w:val="0"/>
        <w:spacing w:line="360" w:lineRule="auto"/>
        <w:ind w:right="11" w:firstLine="460" w:firstLineChars="192"/>
        <w:outlineLvl w:val="4"/>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（3）根据工程需要，承包人提供和维修白天或夜间施工使用的照明、围栏设施，并负责安全保卫。若承包人未履行上述义务造成工程、财产、人身损害等，由承包人承担责任及因此所发生的一切费用。</w:t>
      </w:r>
    </w:p>
    <w:p>
      <w:pPr>
        <w:adjustRightInd w:val="0"/>
        <w:snapToGrid w:val="0"/>
        <w:spacing w:line="360" w:lineRule="auto"/>
        <w:ind w:right="11" w:firstLine="460" w:firstLineChars="192"/>
        <w:outlineLvl w:val="4"/>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（5）</w:t>
      </w:r>
      <w:r>
        <w:rPr>
          <w:rFonts w:hint="eastAsia" w:cs="宋体" w:asciiTheme="majorEastAsia" w:hAnsiTheme="majorEastAsia" w:eastAsiaTheme="majorEastAsia"/>
          <w:snapToGrid w:val="0"/>
          <w:color w:val="auto"/>
          <w:kern w:val="0"/>
          <w:sz w:val="24"/>
          <w:highlight w:val="none"/>
        </w:rPr>
        <w:t>遵守政府有关部门对施工场地交通、施工噪音以及环境保护和安全生产等的管理规定，</w:t>
      </w:r>
      <w:r>
        <w:rPr>
          <w:rFonts w:hint="eastAsia" w:cs="宋体" w:asciiTheme="majorEastAsia" w:hAnsiTheme="majorEastAsia" w:eastAsiaTheme="majorEastAsia"/>
          <w:bCs/>
          <w:snapToGrid w:val="0"/>
          <w:color w:val="auto"/>
          <w:kern w:val="0"/>
          <w:sz w:val="24"/>
          <w:highlight w:val="none"/>
        </w:rPr>
        <w:t>按工程所在地政府主管部门的规定办理并承担由此发生的费用，发包人不承担任何费用，承包人在开工后</w:t>
      </w:r>
      <w:r>
        <w:rPr>
          <w:rFonts w:cs="宋体" w:asciiTheme="majorEastAsia" w:hAnsiTheme="majorEastAsia" w:eastAsiaTheme="majorEastAsia"/>
          <w:bCs/>
          <w:snapToGrid w:val="0"/>
          <w:color w:val="auto"/>
          <w:kern w:val="0"/>
          <w:sz w:val="24"/>
          <w:highlight w:val="none"/>
        </w:rPr>
        <w:t>1</w:t>
      </w:r>
      <w:r>
        <w:rPr>
          <w:rFonts w:hint="eastAsia" w:cs="宋体" w:asciiTheme="majorEastAsia" w:hAnsiTheme="majorEastAsia" w:eastAsiaTheme="majorEastAsia"/>
          <w:bCs/>
          <w:snapToGrid w:val="0"/>
          <w:color w:val="auto"/>
          <w:kern w:val="0"/>
          <w:sz w:val="24"/>
          <w:highlight w:val="none"/>
        </w:rPr>
        <w:t>个月内完成手续。</w:t>
      </w:r>
    </w:p>
    <w:p>
      <w:pPr>
        <w:adjustRightInd w:val="0"/>
        <w:snapToGrid w:val="0"/>
        <w:spacing w:line="360" w:lineRule="auto"/>
        <w:ind w:right="11" w:firstLine="460" w:firstLineChars="192"/>
        <w:outlineLvl w:val="4"/>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（6）未移交后续施工单位或发包人使用前，对已完工工程的保护工作及费用均由承包人负责，发生损坏由承包人自费修复。</w:t>
      </w:r>
    </w:p>
    <w:p>
      <w:pPr>
        <w:adjustRightInd w:val="0"/>
        <w:snapToGrid w:val="0"/>
        <w:spacing w:line="360" w:lineRule="auto"/>
        <w:ind w:right="11" w:firstLine="460" w:firstLineChars="192"/>
        <w:outlineLvl w:val="4"/>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（7）承包人应对施工场地及周围的地铁除外的架空线、地下管线、建筑物、构筑物（含文物保护建筑）、古树名木之状况进行勘察，根据勘察结果确定具体的保护措施并承担有关费用。若</w:t>
      </w:r>
      <w:r>
        <w:rPr>
          <w:rFonts w:hint="eastAsia" w:cs="宋体" w:asciiTheme="majorEastAsia" w:hAnsiTheme="majorEastAsia" w:eastAsiaTheme="majorEastAsia"/>
          <w:snapToGrid w:val="0"/>
          <w:color w:val="auto"/>
          <w:kern w:val="0"/>
          <w:sz w:val="24"/>
          <w:highlight w:val="none"/>
        </w:rPr>
        <w:t>发现正常施工措施及现有条件已不能达到保护目的的，承包人应及时报告，经总监理工程师、发包人批准采取特殊措施保护处理的，发包人承担不包含在招投标内容中的额外保护费用。</w:t>
      </w:r>
    </w:p>
    <w:p>
      <w:pPr>
        <w:adjustRightInd w:val="0"/>
        <w:snapToGrid w:val="0"/>
        <w:spacing w:line="360" w:lineRule="auto"/>
        <w:ind w:right="11" w:firstLine="460" w:firstLineChars="192"/>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承包人应对所采取的保护措施进行监测（或实施第三方监测），并应根据监测结果及时反馈信息指导施工，以确保上述受保护物件及作业人员、居民的安全。因承包人原因，受保护物件发生损坏的，由承包人承担责任并负责赔偿。</w:t>
      </w:r>
    </w:p>
    <w:p>
      <w:pPr>
        <w:adjustRightInd w:val="0"/>
        <w:snapToGrid w:val="0"/>
        <w:spacing w:line="360" w:lineRule="auto"/>
        <w:ind w:right="11" w:firstLine="460" w:firstLineChars="192"/>
        <w:outlineLvl w:val="4"/>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8）承包人须按发包人批准的施工组织设计进行施工现场布置、放置材料机械及其他设施，及时将施工垃圾、余泥运出场外，保证施工场地清洁符合环境卫生管理的有关规定，达到合同协议书约定的安全生产及文明施工目标。</w:t>
      </w:r>
    </w:p>
    <w:p>
      <w:pPr>
        <w:adjustRightInd w:val="0"/>
        <w:snapToGrid w:val="0"/>
        <w:spacing w:line="360" w:lineRule="auto"/>
        <w:ind w:right="11" w:firstLine="460" w:firstLineChars="192"/>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施工过程中，承包人应按合同约定及时清理施工垃圾，做到工完料清，并在工程竣工验收后10天内，对施工场地进行全面清理。</w:t>
      </w:r>
    </w:p>
    <w:p>
      <w:pPr>
        <w:adjustRightInd w:val="0"/>
        <w:snapToGrid w:val="0"/>
        <w:spacing w:line="360" w:lineRule="auto"/>
        <w:ind w:right="11" w:firstLine="460" w:firstLineChars="192"/>
        <w:outlineLvl w:val="4"/>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（9）承包人应做的其他工作</w:t>
      </w:r>
    </w:p>
    <w:p>
      <w:pPr>
        <w:adjustRightInd w:val="0"/>
        <w:snapToGrid w:val="0"/>
        <w:spacing w:line="360" w:lineRule="auto"/>
        <w:ind w:firstLine="48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1）进场后每月按审定格式申报人材机投入量及实物工程量完成量，以此作为工程款（进度款）支付的依据。</w:t>
      </w:r>
    </w:p>
    <w:p>
      <w:pPr>
        <w:adjustRightInd w:val="0"/>
        <w:snapToGrid w:val="0"/>
        <w:spacing w:line="360" w:lineRule="auto"/>
        <w:ind w:firstLine="48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2）</w:t>
      </w:r>
      <w:r>
        <w:rPr>
          <w:rFonts w:hint="eastAsia" w:cs="宋体" w:asciiTheme="majorEastAsia" w:hAnsiTheme="majorEastAsia" w:eastAsiaTheme="majorEastAsia"/>
          <w:snapToGrid w:val="0"/>
          <w:color w:val="auto"/>
          <w:kern w:val="0"/>
          <w:sz w:val="24"/>
          <w:highlight w:val="none"/>
        </w:rPr>
        <w:t>保证执行投标文件所承诺的施工组织设计中的资源投入计划，将工程施工所需的机械设备、人员、材料等资源，根据工程进度计划按时、按标准、足额投入；否则，应按</w:t>
      </w:r>
      <w:r>
        <w:rPr>
          <w:rFonts w:hint="eastAsia" w:cs="宋体" w:asciiTheme="majorEastAsia" w:hAnsiTheme="majorEastAsia" w:eastAsiaTheme="majorEastAsia"/>
          <w:bCs/>
          <w:snapToGrid w:val="0"/>
          <w:color w:val="auto"/>
          <w:kern w:val="0"/>
          <w:sz w:val="24"/>
          <w:highlight w:val="none"/>
        </w:rPr>
        <w:t>合同专用条款第</w:t>
      </w:r>
      <w:r>
        <w:rPr>
          <w:rFonts w:hint="eastAsia" w:cs="宋体" w:asciiTheme="majorEastAsia" w:hAnsiTheme="majorEastAsia" w:eastAsiaTheme="majorEastAsia"/>
          <w:snapToGrid w:val="0"/>
          <w:color w:val="auto"/>
          <w:kern w:val="0"/>
          <w:sz w:val="24"/>
          <w:highlight w:val="none"/>
        </w:rPr>
        <w:t>38.7（3）款的约定承担违反投标承诺的违约责任。</w:t>
      </w:r>
    </w:p>
    <w:p>
      <w:pPr>
        <w:adjustRightInd w:val="0"/>
        <w:snapToGrid w:val="0"/>
        <w:spacing w:line="360" w:lineRule="auto"/>
        <w:ind w:right="11"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施工过程中，承包人因特殊原因需变更资源投入计划或者对已投入的资源进行调整的，应当提前7天提出申请，报总监理工程师和发包人批准。</w:t>
      </w:r>
      <w:r>
        <w:rPr>
          <w:rFonts w:hint="eastAsia" w:cs="宋体" w:asciiTheme="majorEastAsia" w:hAnsiTheme="majorEastAsia" w:eastAsiaTheme="majorEastAsia"/>
          <w:snapToGrid w:val="0"/>
          <w:color w:val="auto"/>
          <w:kern w:val="0"/>
          <w:sz w:val="24"/>
          <w:highlight w:val="none"/>
        </w:rPr>
        <w:t>允许机械、设备调整的原则为：所调整机械、设备的规格、标准只能比原计划提高，不能降低；数量原则上不允许减少，如确因更换先进设备提高了工效，可考虑在总工作能力不降低的前提下同意调整。</w:t>
      </w:r>
      <w:r>
        <w:rPr>
          <w:rFonts w:hint="eastAsia" w:cs="宋体" w:asciiTheme="majorEastAsia" w:hAnsiTheme="majorEastAsia" w:eastAsiaTheme="majorEastAsia"/>
          <w:bCs/>
          <w:snapToGrid w:val="0"/>
          <w:color w:val="auto"/>
          <w:kern w:val="0"/>
          <w:sz w:val="24"/>
          <w:highlight w:val="none"/>
        </w:rPr>
        <w:t>未经发包人许可，承包人开工后已进场的机械设备不得在计划使用期间撤出现场。若施工机械、设备在施工过程中发生损坏，承包人必须在3天内修复或更换。</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因设计变更、施工现场情况变化造成工程内容、工程量变化，须调整机械、设备的规格、数量的，承包人须在变更或变化确定后3天内，提出完整的更新施工方案和资源投入计划，报总监理工程师和发包人批准后实施。</w:t>
      </w:r>
    </w:p>
    <w:p>
      <w:pPr>
        <w:adjustRightInd w:val="0"/>
        <w:snapToGrid w:val="0"/>
        <w:spacing w:line="360" w:lineRule="auto"/>
        <w:ind w:right="11" w:firstLine="460" w:firstLineChars="192"/>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3）对施工图、技术资料认真地复核和检查，有预见性地发现和指正设计缺陷和错误，应提出能实质性地节约资金和缩短工期的建议和措施。</w:t>
      </w:r>
    </w:p>
    <w:p>
      <w:pPr>
        <w:adjustRightInd w:val="0"/>
        <w:snapToGrid w:val="0"/>
        <w:spacing w:line="360" w:lineRule="auto"/>
        <w:ind w:right="11" w:firstLine="480" w:firstLineChars="200"/>
        <w:rPr>
          <w:rFonts w:cs="宋体" w:asciiTheme="majorEastAsia" w:hAnsiTheme="majorEastAsia" w:eastAsiaTheme="majorEastAsia"/>
          <w:iCs/>
          <w:snapToGrid w:val="0"/>
          <w:color w:val="auto"/>
          <w:kern w:val="0"/>
          <w:sz w:val="24"/>
          <w:highlight w:val="none"/>
        </w:rPr>
      </w:pPr>
      <w:bookmarkStart w:id="422" w:name="_Toc535252420"/>
      <w:bookmarkStart w:id="423" w:name="_Toc519583858"/>
      <w:r>
        <w:rPr>
          <w:rFonts w:hint="eastAsia" w:cs="宋体" w:asciiTheme="majorEastAsia" w:hAnsiTheme="majorEastAsia" w:eastAsiaTheme="majorEastAsia"/>
          <w:iCs/>
          <w:snapToGrid w:val="0"/>
          <w:color w:val="auto"/>
          <w:kern w:val="0"/>
          <w:sz w:val="24"/>
          <w:highlight w:val="none"/>
        </w:rPr>
        <w:t>4）</w:t>
      </w:r>
      <w:bookmarkEnd w:id="422"/>
      <w:bookmarkEnd w:id="423"/>
      <w:r>
        <w:rPr>
          <w:rFonts w:hint="eastAsia" w:cs="宋体" w:asciiTheme="majorEastAsia" w:hAnsiTheme="majorEastAsia" w:eastAsiaTheme="majorEastAsia"/>
          <w:iCs/>
          <w:snapToGrid w:val="0"/>
          <w:color w:val="auto"/>
          <w:kern w:val="0"/>
          <w:sz w:val="24"/>
          <w:highlight w:val="none"/>
        </w:rPr>
        <w:t>承包人应当清楚地预计到施工期间对外界可能产生的不可避免的干扰，并保证主动努力减少这些干扰对外界的影响，积极主动与外界进行协调。</w:t>
      </w:r>
    </w:p>
    <w:p>
      <w:pPr>
        <w:adjustRightInd w:val="0"/>
        <w:snapToGrid w:val="0"/>
        <w:spacing w:line="360" w:lineRule="auto"/>
        <w:ind w:right="11" w:firstLine="480" w:firstLineChars="200"/>
        <w:rPr>
          <w:rFonts w:cs="宋体" w:asciiTheme="majorEastAsia" w:hAnsiTheme="majorEastAsia" w:eastAsiaTheme="majorEastAsia"/>
          <w:iCs/>
          <w:snapToGrid w:val="0"/>
          <w:color w:val="auto"/>
          <w:kern w:val="0"/>
          <w:sz w:val="24"/>
          <w:highlight w:val="none"/>
        </w:rPr>
      </w:pPr>
      <w:r>
        <w:rPr>
          <w:rFonts w:hint="eastAsia" w:cs="宋体" w:asciiTheme="majorEastAsia" w:hAnsiTheme="majorEastAsia" w:eastAsiaTheme="majorEastAsia"/>
          <w:iCs/>
          <w:snapToGrid w:val="0"/>
          <w:color w:val="auto"/>
          <w:kern w:val="0"/>
          <w:sz w:val="24"/>
          <w:highlight w:val="none"/>
        </w:rPr>
        <w:t>5）承包人应努力创建节能减排和节约型工地。</w:t>
      </w:r>
    </w:p>
    <w:p>
      <w:pPr>
        <w:adjustRightInd w:val="0"/>
        <w:snapToGrid w:val="0"/>
        <w:spacing w:line="360" w:lineRule="auto"/>
        <w:ind w:right="11" w:firstLine="460" w:firstLineChars="192"/>
        <w:rPr>
          <w:rFonts w:cs="宋体" w:asciiTheme="majorEastAsia" w:hAnsiTheme="majorEastAsia" w:eastAsiaTheme="majorEastAsia"/>
          <w:iCs/>
          <w:snapToGrid w:val="0"/>
          <w:color w:val="auto"/>
          <w:kern w:val="0"/>
          <w:sz w:val="24"/>
          <w:highlight w:val="none"/>
        </w:rPr>
      </w:pPr>
      <w:r>
        <w:rPr>
          <w:rFonts w:cs="宋体" w:asciiTheme="majorEastAsia" w:hAnsiTheme="majorEastAsia" w:eastAsiaTheme="majorEastAsia"/>
          <w:iCs/>
          <w:snapToGrid w:val="0"/>
          <w:color w:val="auto"/>
          <w:kern w:val="0"/>
          <w:sz w:val="24"/>
          <w:highlight w:val="none"/>
        </w:rPr>
        <w:t>6</w:t>
      </w:r>
      <w:r>
        <w:rPr>
          <w:rFonts w:hint="eastAsia" w:cs="宋体" w:asciiTheme="majorEastAsia" w:hAnsiTheme="majorEastAsia" w:eastAsiaTheme="majorEastAsia"/>
          <w:iCs/>
          <w:snapToGrid w:val="0"/>
          <w:color w:val="auto"/>
          <w:kern w:val="0"/>
          <w:sz w:val="24"/>
          <w:highlight w:val="none"/>
        </w:rPr>
        <w:t>)承包人应向发包人、监理及设计人员提供满足项目建设需求的现场办公场所（包周边围墙、场地硬化及简单装修），并配备发包人使用的办公场所内必需的办公设施（如电脑、网络、空调、桌椅、投影、会议室设备等），须满足办公需要，费用已包含在合同总价中</w:t>
      </w:r>
      <w:r>
        <w:rPr>
          <w:rFonts w:hint="eastAsia" w:cs="宋体" w:asciiTheme="majorEastAsia" w:hAnsiTheme="majorEastAsia" w:eastAsiaTheme="majorEastAsia"/>
          <w:bCs/>
          <w:snapToGrid w:val="0"/>
          <w:color w:val="auto"/>
          <w:kern w:val="0"/>
          <w:sz w:val="24"/>
          <w:highlight w:val="none"/>
        </w:rPr>
        <w:t>，发包人不再另行支付任何费用</w:t>
      </w:r>
      <w:r>
        <w:rPr>
          <w:rFonts w:hint="eastAsia" w:cs="宋体" w:asciiTheme="majorEastAsia" w:hAnsiTheme="majorEastAsia" w:eastAsiaTheme="majorEastAsia"/>
          <w:iCs/>
          <w:snapToGrid w:val="0"/>
          <w:color w:val="auto"/>
          <w:kern w:val="0"/>
          <w:sz w:val="24"/>
          <w:highlight w:val="none"/>
        </w:rPr>
        <w:t>。</w:t>
      </w:r>
    </w:p>
    <w:p>
      <w:pPr>
        <w:adjustRightInd w:val="0"/>
        <w:snapToGrid w:val="0"/>
        <w:spacing w:line="360" w:lineRule="auto"/>
        <w:ind w:right="11" w:firstLine="480" w:firstLineChars="200"/>
        <w:rPr>
          <w:rFonts w:cs="宋体" w:asciiTheme="majorEastAsia" w:hAnsiTheme="majorEastAsia" w:eastAsiaTheme="majorEastAsia"/>
          <w:iCs/>
          <w:snapToGrid w:val="0"/>
          <w:color w:val="auto"/>
          <w:kern w:val="0"/>
          <w:sz w:val="24"/>
          <w:highlight w:val="none"/>
        </w:rPr>
      </w:pPr>
      <w:r>
        <w:rPr>
          <w:rFonts w:hint="eastAsia" w:cs="宋体" w:asciiTheme="majorEastAsia" w:hAnsiTheme="majorEastAsia" w:eastAsiaTheme="majorEastAsia"/>
          <w:iCs/>
          <w:snapToGrid w:val="0"/>
          <w:color w:val="auto"/>
          <w:kern w:val="0"/>
          <w:sz w:val="24"/>
          <w:highlight w:val="none"/>
        </w:rPr>
        <w:t>7）承包人负责发包人、监理及设计人员现场办公区域的安全、文明及保洁管理，相关费用已包含在合同总价中</w:t>
      </w:r>
      <w:r>
        <w:rPr>
          <w:rFonts w:hint="eastAsia" w:cs="宋体" w:asciiTheme="majorEastAsia" w:hAnsiTheme="majorEastAsia" w:eastAsiaTheme="majorEastAsia"/>
          <w:bCs/>
          <w:snapToGrid w:val="0"/>
          <w:color w:val="auto"/>
          <w:kern w:val="0"/>
          <w:sz w:val="24"/>
          <w:highlight w:val="none"/>
        </w:rPr>
        <w:t>，发包人不再另行支付任何费用</w:t>
      </w:r>
      <w:r>
        <w:rPr>
          <w:rFonts w:hint="eastAsia" w:cs="宋体" w:asciiTheme="majorEastAsia" w:hAnsiTheme="majorEastAsia" w:eastAsiaTheme="majorEastAsia"/>
          <w:iCs/>
          <w:snapToGrid w:val="0"/>
          <w:color w:val="auto"/>
          <w:kern w:val="0"/>
          <w:sz w:val="24"/>
          <w:highlight w:val="none"/>
        </w:rPr>
        <w:t>。</w:t>
      </w:r>
    </w:p>
    <w:p>
      <w:pPr>
        <w:adjustRightInd w:val="0"/>
        <w:snapToGrid w:val="0"/>
        <w:spacing w:line="360" w:lineRule="auto"/>
        <w:ind w:right="11" w:firstLine="480" w:firstLineChars="200"/>
        <w:rPr>
          <w:rFonts w:cs="宋体" w:asciiTheme="majorEastAsia" w:hAnsiTheme="majorEastAsia" w:eastAsiaTheme="majorEastAsia"/>
          <w:iCs/>
          <w:snapToGrid w:val="0"/>
          <w:color w:val="auto"/>
          <w:kern w:val="0"/>
          <w:sz w:val="24"/>
          <w:highlight w:val="none"/>
        </w:rPr>
      </w:pPr>
      <w:r>
        <w:rPr>
          <w:rFonts w:hint="eastAsia" w:cs="宋体" w:asciiTheme="majorEastAsia" w:hAnsiTheme="majorEastAsia" w:eastAsiaTheme="majorEastAsia"/>
          <w:iCs/>
          <w:snapToGrid w:val="0"/>
          <w:color w:val="auto"/>
          <w:kern w:val="0"/>
          <w:sz w:val="24"/>
          <w:highlight w:val="none"/>
        </w:rPr>
        <w:t>8）场地平整费用已包含在合同总价中</w:t>
      </w:r>
      <w:r>
        <w:rPr>
          <w:rFonts w:hint="eastAsia" w:cs="宋体" w:asciiTheme="majorEastAsia" w:hAnsiTheme="majorEastAsia" w:eastAsiaTheme="majorEastAsia"/>
          <w:bCs/>
          <w:snapToGrid w:val="0"/>
          <w:color w:val="auto"/>
          <w:kern w:val="0"/>
          <w:sz w:val="24"/>
          <w:highlight w:val="none"/>
        </w:rPr>
        <w:t>，发包人不再另行支付任何费用</w:t>
      </w:r>
      <w:r>
        <w:rPr>
          <w:rFonts w:hint="eastAsia" w:cs="宋体" w:asciiTheme="majorEastAsia" w:hAnsiTheme="majorEastAsia" w:eastAsiaTheme="majorEastAsia"/>
          <w:iCs/>
          <w:snapToGrid w:val="0"/>
          <w:color w:val="auto"/>
          <w:kern w:val="0"/>
          <w:sz w:val="24"/>
          <w:highlight w:val="none"/>
        </w:rPr>
        <w:t>。</w:t>
      </w:r>
    </w:p>
    <w:p>
      <w:pPr>
        <w:adjustRightInd w:val="0"/>
        <w:snapToGrid w:val="0"/>
        <w:spacing w:line="360" w:lineRule="auto"/>
        <w:ind w:right="11" w:firstLine="482" w:firstLineChars="200"/>
        <w:rPr>
          <w:rFonts w:cs="宋体" w:asciiTheme="majorEastAsia" w:hAnsiTheme="majorEastAsia" w:eastAsiaTheme="majorEastAsia"/>
          <w:b/>
          <w:iCs/>
          <w:snapToGrid w:val="0"/>
          <w:color w:val="auto"/>
          <w:kern w:val="0"/>
          <w:sz w:val="24"/>
          <w:highlight w:val="none"/>
        </w:rPr>
      </w:pPr>
      <w:r>
        <w:rPr>
          <w:rFonts w:hint="eastAsia" w:cs="宋体" w:asciiTheme="majorEastAsia" w:hAnsiTheme="majorEastAsia" w:eastAsiaTheme="majorEastAsia"/>
          <w:b/>
          <w:iCs/>
          <w:snapToGrid w:val="0"/>
          <w:color w:val="auto"/>
          <w:kern w:val="0"/>
          <w:sz w:val="24"/>
          <w:highlight w:val="none"/>
        </w:rPr>
        <w:t>承包人与发包人一致同意增加9.3至9.</w:t>
      </w:r>
      <w:r>
        <w:rPr>
          <w:rFonts w:cs="宋体" w:asciiTheme="majorEastAsia" w:hAnsiTheme="majorEastAsia" w:eastAsiaTheme="majorEastAsia"/>
          <w:b/>
          <w:iCs/>
          <w:snapToGrid w:val="0"/>
          <w:color w:val="auto"/>
          <w:kern w:val="0"/>
          <w:sz w:val="24"/>
          <w:highlight w:val="none"/>
        </w:rPr>
        <w:t>9</w:t>
      </w:r>
      <w:r>
        <w:rPr>
          <w:rFonts w:hint="eastAsia" w:cs="宋体" w:asciiTheme="majorEastAsia" w:hAnsiTheme="majorEastAsia" w:eastAsiaTheme="majorEastAsia"/>
          <w:b/>
          <w:iCs/>
          <w:snapToGrid w:val="0"/>
          <w:color w:val="auto"/>
          <w:kern w:val="0"/>
          <w:sz w:val="24"/>
          <w:highlight w:val="none"/>
        </w:rPr>
        <w:t>：</w:t>
      </w:r>
    </w:p>
    <w:p>
      <w:pPr>
        <w:adjustRightInd w:val="0"/>
        <w:snapToGrid w:val="0"/>
        <w:spacing w:line="360" w:lineRule="auto"/>
        <w:ind w:right="11" w:firstLine="480" w:firstLineChars="200"/>
        <w:outlineLvl w:val="3"/>
        <w:rPr>
          <w:rFonts w:cs="宋体" w:asciiTheme="majorEastAsia" w:hAnsiTheme="majorEastAsia" w:eastAsiaTheme="majorEastAsia"/>
          <w:iCs/>
          <w:snapToGrid w:val="0"/>
          <w:color w:val="auto"/>
          <w:kern w:val="0"/>
          <w:sz w:val="24"/>
          <w:highlight w:val="none"/>
        </w:rPr>
      </w:pPr>
      <w:r>
        <w:rPr>
          <w:rFonts w:hint="eastAsia" w:cs="宋体" w:asciiTheme="majorEastAsia" w:hAnsiTheme="majorEastAsia" w:eastAsiaTheme="majorEastAsia"/>
          <w:iCs/>
          <w:snapToGrid w:val="0"/>
          <w:color w:val="auto"/>
          <w:kern w:val="0"/>
          <w:sz w:val="24"/>
          <w:highlight w:val="none"/>
        </w:rPr>
        <w:t>9.3根据工程需要，承包人应采用计算机信息管理，具备网络办公能力，以便同发包人、监理、政府工程监督管理部门等有关单位进行数据交换，提高工作效率。</w:t>
      </w:r>
      <w:bookmarkStart w:id="424" w:name="_Toc3636823"/>
      <w:bookmarkStart w:id="425" w:name="_Toc3908438"/>
      <w:bookmarkStart w:id="426" w:name="_Toc3633674"/>
      <w:bookmarkStart w:id="427" w:name="_Toc3518173"/>
      <w:bookmarkStart w:id="428" w:name="_Toc4071351"/>
      <w:bookmarkStart w:id="429" w:name="_Toc4051040"/>
      <w:bookmarkStart w:id="430" w:name="_Toc3979677"/>
      <w:bookmarkStart w:id="431" w:name="_Toc3517697"/>
      <w:bookmarkStart w:id="432" w:name="_Toc3831323"/>
    </w:p>
    <w:p>
      <w:pPr>
        <w:adjustRightInd w:val="0"/>
        <w:snapToGrid w:val="0"/>
        <w:spacing w:line="360" w:lineRule="auto"/>
        <w:ind w:right="11" w:firstLine="480" w:firstLineChars="200"/>
        <w:outlineLvl w:val="4"/>
        <w:rPr>
          <w:rFonts w:cs="宋体" w:asciiTheme="majorEastAsia" w:hAnsiTheme="majorEastAsia" w:eastAsiaTheme="majorEastAsia"/>
          <w:iCs/>
          <w:snapToGrid w:val="0"/>
          <w:color w:val="auto"/>
          <w:kern w:val="0"/>
          <w:sz w:val="24"/>
          <w:highlight w:val="none"/>
        </w:rPr>
      </w:pPr>
      <w:r>
        <w:rPr>
          <w:rFonts w:hint="eastAsia" w:cs="宋体" w:asciiTheme="majorEastAsia" w:hAnsiTheme="majorEastAsia" w:eastAsiaTheme="majorEastAsia"/>
          <w:iCs/>
          <w:snapToGrid w:val="0"/>
          <w:color w:val="auto"/>
          <w:kern w:val="0"/>
          <w:sz w:val="24"/>
          <w:highlight w:val="none"/>
        </w:rPr>
        <w:t>（1）计算机信息管理的内容和基本要求</w:t>
      </w:r>
      <w:bookmarkEnd w:id="424"/>
      <w:bookmarkEnd w:id="425"/>
      <w:bookmarkEnd w:id="426"/>
      <w:bookmarkEnd w:id="427"/>
      <w:bookmarkEnd w:id="428"/>
      <w:bookmarkEnd w:id="429"/>
      <w:bookmarkEnd w:id="430"/>
      <w:bookmarkEnd w:id="431"/>
      <w:bookmarkEnd w:id="432"/>
    </w:p>
    <w:p>
      <w:pPr>
        <w:pStyle w:val="20"/>
        <w:adjustRightInd w:val="0"/>
        <w:snapToGrid w:val="0"/>
        <w:spacing w:line="360" w:lineRule="auto"/>
        <w:ind w:firstLine="413"/>
        <w:rPr>
          <w:rFonts w:cs="宋体" w:asciiTheme="majorEastAsia" w:hAnsiTheme="majorEastAsia" w:eastAsiaTheme="majorEastAsia"/>
          <w:iCs/>
          <w:snapToGrid w:val="0"/>
          <w:color w:val="auto"/>
          <w:kern w:val="0"/>
          <w:sz w:val="24"/>
          <w:szCs w:val="24"/>
          <w:highlight w:val="none"/>
        </w:rPr>
      </w:pPr>
      <w:r>
        <w:rPr>
          <w:rFonts w:hint="eastAsia" w:cs="宋体" w:asciiTheme="majorEastAsia" w:hAnsiTheme="majorEastAsia" w:eastAsiaTheme="majorEastAsia"/>
          <w:iCs/>
          <w:snapToGrid w:val="0"/>
          <w:color w:val="auto"/>
          <w:kern w:val="0"/>
          <w:sz w:val="24"/>
          <w:szCs w:val="24"/>
          <w:highlight w:val="none"/>
        </w:rPr>
        <w:t>承包人应运用计算机信息管理技术对合同项目进行科学管理，全面提高工程施工管理水平。</w:t>
      </w:r>
    </w:p>
    <w:p>
      <w:pPr>
        <w:pStyle w:val="20"/>
        <w:adjustRightInd w:val="0"/>
        <w:snapToGrid w:val="0"/>
        <w:spacing w:line="360" w:lineRule="auto"/>
        <w:ind w:firstLine="413"/>
        <w:outlineLvl w:val="4"/>
        <w:rPr>
          <w:rFonts w:cs="宋体" w:asciiTheme="majorEastAsia" w:hAnsiTheme="majorEastAsia" w:eastAsiaTheme="majorEastAsia"/>
          <w:iCs/>
          <w:snapToGrid w:val="0"/>
          <w:color w:val="auto"/>
          <w:kern w:val="0"/>
          <w:sz w:val="24"/>
          <w:szCs w:val="24"/>
          <w:highlight w:val="none"/>
        </w:rPr>
      </w:pPr>
      <w:bookmarkStart w:id="433" w:name="_Toc2071537"/>
      <w:bookmarkStart w:id="434" w:name="_Toc522250423"/>
      <w:bookmarkStart w:id="435" w:name="_Toc522249977"/>
      <w:bookmarkStart w:id="436" w:name="_Toc1876217"/>
      <w:bookmarkStart w:id="437" w:name="_Toc3979678"/>
      <w:bookmarkStart w:id="438" w:name="_Toc3908439"/>
      <w:bookmarkStart w:id="439" w:name="_Toc4071352"/>
      <w:bookmarkStart w:id="440" w:name="_Toc522940798"/>
      <w:bookmarkStart w:id="441" w:name="_Toc479500868"/>
      <w:bookmarkStart w:id="442" w:name="_Toc3518174"/>
      <w:bookmarkStart w:id="443" w:name="_Toc523542705"/>
      <w:bookmarkStart w:id="444" w:name="_Toc3517698"/>
      <w:bookmarkStart w:id="445" w:name="_Toc3831324"/>
      <w:bookmarkStart w:id="446" w:name="_Toc3636824"/>
      <w:bookmarkStart w:id="447" w:name="_Toc4051041"/>
      <w:bookmarkStart w:id="448" w:name="_Toc923750"/>
      <w:bookmarkStart w:id="449" w:name="_Toc523825990"/>
      <w:bookmarkStart w:id="450" w:name="_Toc1877122"/>
      <w:bookmarkStart w:id="451" w:name="_Toc521924603"/>
      <w:bookmarkStart w:id="452" w:name="_Toc480258777"/>
      <w:bookmarkStart w:id="453" w:name="_Toc3633675"/>
      <w:bookmarkStart w:id="454" w:name="_Toc522866705"/>
      <w:r>
        <w:rPr>
          <w:rFonts w:hint="eastAsia" w:cs="宋体" w:asciiTheme="majorEastAsia" w:hAnsiTheme="majorEastAsia" w:eastAsiaTheme="majorEastAsia"/>
          <w:iCs/>
          <w:snapToGrid w:val="0"/>
          <w:color w:val="auto"/>
          <w:kern w:val="0"/>
          <w:sz w:val="24"/>
          <w:szCs w:val="24"/>
          <w:highlight w:val="none"/>
        </w:rPr>
        <w:t>（2）计算机网络</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pPr>
        <w:pStyle w:val="20"/>
        <w:adjustRightInd w:val="0"/>
        <w:snapToGrid w:val="0"/>
        <w:spacing w:line="360" w:lineRule="auto"/>
        <w:ind w:firstLine="413"/>
        <w:rPr>
          <w:rFonts w:cs="宋体" w:asciiTheme="majorEastAsia" w:hAnsiTheme="majorEastAsia" w:eastAsiaTheme="majorEastAsia"/>
          <w:iCs/>
          <w:snapToGrid w:val="0"/>
          <w:color w:val="auto"/>
          <w:kern w:val="0"/>
          <w:sz w:val="24"/>
          <w:szCs w:val="24"/>
          <w:highlight w:val="none"/>
        </w:rPr>
      </w:pPr>
      <w:bookmarkStart w:id="455" w:name="_Toc3979679"/>
      <w:bookmarkStart w:id="456" w:name="_Toc1876218"/>
      <w:bookmarkStart w:id="457" w:name="_Toc522250424"/>
      <w:bookmarkStart w:id="458" w:name="_Toc4051042"/>
      <w:bookmarkStart w:id="459" w:name="_Toc480258778"/>
      <w:bookmarkStart w:id="460" w:name="_Toc4071353"/>
      <w:bookmarkStart w:id="461" w:name="_Toc3908440"/>
      <w:bookmarkStart w:id="462" w:name="_Toc3831325"/>
      <w:bookmarkStart w:id="463" w:name="_Toc2071538"/>
      <w:bookmarkStart w:id="464" w:name="_Toc3518175"/>
      <w:bookmarkStart w:id="465" w:name="_Toc522249978"/>
      <w:bookmarkStart w:id="466" w:name="_Toc3517699"/>
      <w:bookmarkStart w:id="467" w:name="_Toc923751"/>
      <w:bookmarkStart w:id="468" w:name="_Toc3636825"/>
      <w:bookmarkStart w:id="469" w:name="_Toc523825991"/>
      <w:bookmarkStart w:id="470" w:name="_Toc523542706"/>
      <w:bookmarkStart w:id="471" w:name="_Toc522866706"/>
      <w:bookmarkStart w:id="472" w:name="_Toc3633676"/>
      <w:bookmarkStart w:id="473" w:name="_Toc479500869"/>
      <w:bookmarkStart w:id="474" w:name="_Toc521924604"/>
      <w:bookmarkStart w:id="475" w:name="_Toc1877123"/>
      <w:bookmarkStart w:id="476" w:name="_Toc522940799"/>
      <w:r>
        <w:rPr>
          <w:rFonts w:hint="eastAsia" w:cs="宋体" w:asciiTheme="majorEastAsia" w:hAnsiTheme="majorEastAsia" w:eastAsiaTheme="majorEastAsia"/>
          <w:iCs/>
          <w:snapToGrid w:val="0"/>
          <w:color w:val="auto"/>
          <w:kern w:val="0"/>
          <w:sz w:val="24"/>
          <w:szCs w:val="24"/>
          <w:highlight w:val="none"/>
        </w:rPr>
        <w:t>承包人须以宽带形式接入发包人网站以保证信息传输速度要求，网络规划、布线、网络设备、维护由承包人负责。</w:t>
      </w:r>
    </w:p>
    <w:p>
      <w:pPr>
        <w:pStyle w:val="20"/>
        <w:adjustRightInd w:val="0"/>
        <w:snapToGrid w:val="0"/>
        <w:spacing w:line="360" w:lineRule="auto"/>
        <w:ind w:firstLine="413"/>
        <w:outlineLvl w:val="4"/>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Start w:id="477" w:name="_Toc522250427"/>
      <w:bookmarkStart w:id="478" w:name="_Toc3633679"/>
      <w:bookmarkStart w:id="479" w:name="_Toc523825994"/>
      <w:bookmarkStart w:id="480" w:name="_Toc3636828"/>
      <w:bookmarkStart w:id="481" w:name="_Toc480258781"/>
      <w:bookmarkStart w:id="482" w:name="_Toc2071541"/>
      <w:bookmarkStart w:id="483" w:name="_Toc4051045"/>
      <w:bookmarkStart w:id="484" w:name="_Toc479500872"/>
      <w:bookmarkStart w:id="485" w:name="_Toc522940802"/>
      <w:bookmarkStart w:id="486" w:name="_Toc1877126"/>
      <w:bookmarkStart w:id="487" w:name="_Toc522249981"/>
      <w:bookmarkStart w:id="488" w:name="_Toc521924607"/>
      <w:bookmarkStart w:id="489" w:name="_Toc923754"/>
      <w:bookmarkStart w:id="490" w:name="_Toc3908443"/>
      <w:bookmarkStart w:id="491" w:name="_Toc3831328"/>
      <w:bookmarkStart w:id="492" w:name="_Toc3517702"/>
      <w:bookmarkStart w:id="493" w:name="_Toc523542709"/>
      <w:bookmarkStart w:id="494" w:name="_Toc3518178"/>
      <w:bookmarkStart w:id="495" w:name="_Toc1876221"/>
      <w:bookmarkStart w:id="496" w:name="_Toc3979682"/>
      <w:bookmarkStart w:id="497" w:name="_Toc4071356"/>
      <w:bookmarkStart w:id="498" w:name="_Toc522866709"/>
      <w:r>
        <w:rPr>
          <w:rFonts w:hint="eastAsia" w:cs="宋体" w:asciiTheme="majorEastAsia" w:hAnsiTheme="majorEastAsia" w:eastAsiaTheme="majorEastAsia"/>
          <w:snapToGrid w:val="0"/>
          <w:color w:val="auto"/>
          <w:kern w:val="0"/>
          <w:sz w:val="24"/>
          <w:highlight w:val="none"/>
        </w:rPr>
        <w:t>信息内容、格式及信息传递要求</w:t>
      </w:r>
    </w:p>
    <w:p>
      <w:pPr>
        <w:pStyle w:val="20"/>
        <w:adjustRightInd w:val="0"/>
        <w:snapToGrid w:val="0"/>
        <w:spacing w:line="360" w:lineRule="auto"/>
        <w:ind w:firstLine="41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承包人应及时准确地按政府工程建设监督管理部门、发包人和总监理工程师所要求的时限、内容和格式将相关工程信息录入并上传。因承包人原因未能及时上传信息所造成的所有损失及不良影响均由承包人负责。</w:t>
      </w:r>
    </w:p>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Pr>
        <w:adjustRightInd w:val="0"/>
        <w:snapToGrid w:val="0"/>
        <w:spacing w:line="360" w:lineRule="auto"/>
        <w:ind w:right="11" w:firstLine="480" w:firstLineChars="200"/>
        <w:outlineLvl w:val="3"/>
        <w:rPr>
          <w:rFonts w:cs="宋体" w:asciiTheme="majorEastAsia" w:hAnsiTheme="majorEastAsia" w:eastAsiaTheme="majorEastAsia"/>
          <w:bCs/>
          <w:iCs/>
          <w:snapToGrid w:val="0"/>
          <w:color w:val="auto"/>
          <w:kern w:val="0"/>
          <w:sz w:val="24"/>
          <w:highlight w:val="none"/>
        </w:rPr>
      </w:pPr>
      <w:r>
        <w:rPr>
          <w:rFonts w:hint="eastAsia" w:cs="宋体" w:asciiTheme="majorEastAsia" w:hAnsiTheme="majorEastAsia" w:eastAsiaTheme="majorEastAsia"/>
          <w:bCs/>
          <w:iCs/>
          <w:snapToGrid w:val="0"/>
          <w:color w:val="auto"/>
          <w:kern w:val="0"/>
          <w:sz w:val="24"/>
          <w:highlight w:val="none"/>
        </w:rPr>
        <w:t>9.4承包人应在签订本合同的同时按招标文件提供的格式与发包人签订《工程质量保修书》、《工程建设项目廉政责任书》、《安全生产协议书》等文件。</w:t>
      </w:r>
    </w:p>
    <w:p>
      <w:pPr>
        <w:adjustRightInd w:val="0"/>
        <w:snapToGrid w:val="0"/>
        <w:spacing w:line="360" w:lineRule="auto"/>
        <w:ind w:right="11"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bCs/>
          <w:iCs/>
          <w:snapToGrid w:val="0"/>
          <w:color w:val="auto"/>
          <w:kern w:val="0"/>
          <w:sz w:val="24"/>
          <w:highlight w:val="none"/>
        </w:rPr>
        <w:t>9.5</w:t>
      </w:r>
      <w:r>
        <w:rPr>
          <w:rFonts w:hint="eastAsia" w:cs="宋体" w:asciiTheme="majorEastAsia" w:hAnsiTheme="majorEastAsia" w:eastAsiaTheme="majorEastAsia"/>
          <w:snapToGrid w:val="0"/>
          <w:color w:val="auto"/>
          <w:kern w:val="0"/>
          <w:sz w:val="24"/>
          <w:highlight w:val="none"/>
        </w:rPr>
        <w:t>承包人应当按照国家及广东省、广州市的有关规定和本合同的有关约定加强其参与本工程建设人员（包括施工人员）的管理。</w:t>
      </w:r>
    </w:p>
    <w:p>
      <w:p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（1）实行实名制管理制度</w:t>
      </w:r>
    </w:p>
    <w:p>
      <w:p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1）承包人应按广州市的有关规定，对其参与本工程建设的从业人员基本信息、作业工人考勤与工资支付信息和施工进度情况等信息登记建档,建立动态管理台账，并将以上信息报送行政监管部门接受监督管理。</w:t>
      </w:r>
    </w:p>
    <w:p>
      <w:p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2）承包人应当建立实名制管理机构，建立健全实名制信息采集、登记、报送、审核和档案管理的有关制度。并对其承包管理范围内依法分包的专业承包企业和劳务分包企业实施统一管理，督促落实实名制管理。</w:t>
      </w:r>
    </w:p>
    <w:p>
      <w:p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3）承包人应按月向负责该工程监管工作的建设行政主管部门或其委托的管理机构报送实名制信息。并对信息的真实性、实效性和完整性负责。</w:t>
      </w:r>
    </w:p>
    <w:p>
      <w:p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发包人及监理单位将不定期抽查承包人及其所管辖的专业承包单位和分包单位实行实名制管理制度的情况，如发现违反本合同有关约定或因未按要求落实实名制的行为受到国家、省、市、区等建设行政主管部门通报批评的，由承包人按合同专用条款第38.7（4）款的约定承担违约责任。如发现有冒名顶替或人不到场而代为刷卡等弄虚作假现象的，由承包人按合同专用条款第38.7（3）款的约定承担违约责任。</w:t>
      </w:r>
    </w:p>
    <w:p>
      <w:p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bCs/>
          <w:iCs/>
          <w:snapToGrid w:val="0"/>
          <w:color w:val="auto"/>
          <w:kern w:val="0"/>
          <w:sz w:val="24"/>
          <w:highlight w:val="none"/>
        </w:rPr>
        <w:t>（2）</w:t>
      </w:r>
      <w:r>
        <w:rPr>
          <w:rFonts w:hint="eastAsia" w:cs="宋体" w:asciiTheme="majorEastAsia" w:hAnsiTheme="majorEastAsia" w:eastAsiaTheme="majorEastAsia"/>
          <w:snapToGrid w:val="0"/>
          <w:color w:val="auto"/>
          <w:kern w:val="0"/>
          <w:sz w:val="24"/>
          <w:highlight w:val="none"/>
        </w:rPr>
        <w:t>按时足额支付施工人员工资</w:t>
      </w:r>
    </w:p>
    <w:p>
      <w:pPr>
        <w:spacing w:line="360" w:lineRule="auto"/>
        <w:ind w:firstLine="600" w:firstLineChars="25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承包人应根据《关于印发广州市建设领域工人工资支付分账管理实施细则的通知》（穗建规字[2020]37号）的规定，对建设项目工程款中的工人工资款与其他款项实行分开银行账户管理，在商业银行设立建设领域工人工资支付专用账户，用于支付工人工资。</w:t>
      </w:r>
    </w:p>
    <w:p>
      <w:pPr>
        <w:spacing w:line="360" w:lineRule="auto"/>
        <w:ind w:firstLine="600" w:firstLineChars="25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发包人在支付工程进度款时，根据《关于印发广州市建设领域工人工资支付分账管理实施细则的通知》（穗建规字[2020]37号）的规定，按照本合同约定的比例（依法必须进行招标的工程项目，工程进度款中的工人工资款比例参照施工招标的《中标通知书》中单列的人工费金额除以中标金额计算）划拨用于支付工人工资的工程款到施工总承包单位农民工工资专用账户。承包人在申请每期工程进度款时，填报申请表中需加以说明，“申请进度款的总金额中，其中：工程项目支付金额（</w:t>
      </w:r>
      <w:r>
        <w:rPr>
          <w:rFonts w:hint="eastAsia" w:cs="宋体" w:asciiTheme="majorEastAsia" w:hAnsiTheme="majorEastAsia" w:eastAsiaTheme="majorEastAsia"/>
          <w:color w:val="auto"/>
          <w:sz w:val="24"/>
          <w:highlight w:val="none"/>
          <w:u w:val="single"/>
        </w:rPr>
        <w:t>/</w:t>
      </w:r>
      <w:r>
        <w:rPr>
          <w:rFonts w:hint="eastAsia" w:cs="宋体" w:asciiTheme="majorEastAsia" w:hAnsiTheme="majorEastAsia" w:eastAsiaTheme="majorEastAsia"/>
          <w:color w:val="auto"/>
          <w:sz w:val="24"/>
          <w:highlight w:val="none"/>
        </w:rPr>
        <w:t>%）为：</w:t>
      </w:r>
      <w:r>
        <w:rPr>
          <w:rFonts w:hint="eastAsia" w:cs="宋体" w:asciiTheme="majorEastAsia" w:hAnsiTheme="majorEastAsia" w:eastAsiaTheme="majorEastAsia"/>
          <w:color w:val="auto"/>
          <w:sz w:val="24"/>
          <w:highlight w:val="none"/>
          <w:u w:val="single"/>
        </w:rPr>
        <w:t>/</w:t>
      </w:r>
      <w:r>
        <w:rPr>
          <w:rFonts w:hint="eastAsia" w:cs="宋体" w:asciiTheme="majorEastAsia" w:hAnsiTheme="majorEastAsia" w:eastAsiaTheme="majorEastAsia"/>
          <w:color w:val="auto"/>
          <w:sz w:val="24"/>
          <w:highlight w:val="none"/>
        </w:rPr>
        <w:t>元，工人工资支付金额（</w:t>
      </w:r>
      <w:r>
        <w:rPr>
          <w:rFonts w:hint="eastAsia" w:cs="宋体" w:asciiTheme="majorEastAsia" w:hAnsiTheme="majorEastAsia" w:eastAsiaTheme="majorEastAsia"/>
          <w:color w:val="auto"/>
          <w:sz w:val="24"/>
          <w:highlight w:val="none"/>
          <w:u w:val="single"/>
        </w:rPr>
        <w:t>/</w:t>
      </w:r>
      <w:r>
        <w:rPr>
          <w:rFonts w:hint="eastAsia" w:cs="宋体" w:asciiTheme="majorEastAsia" w:hAnsiTheme="majorEastAsia" w:eastAsiaTheme="majorEastAsia"/>
          <w:color w:val="auto"/>
          <w:sz w:val="24"/>
          <w:highlight w:val="none"/>
        </w:rPr>
        <w:t>%）为：</w:t>
      </w:r>
      <w:r>
        <w:rPr>
          <w:rFonts w:hint="eastAsia" w:cs="宋体" w:asciiTheme="majorEastAsia" w:hAnsiTheme="majorEastAsia" w:eastAsiaTheme="majorEastAsia"/>
          <w:color w:val="auto"/>
          <w:sz w:val="24"/>
          <w:highlight w:val="none"/>
          <w:u w:val="single"/>
        </w:rPr>
        <w:t>/</w:t>
      </w:r>
      <w:r>
        <w:rPr>
          <w:rFonts w:hint="eastAsia" w:cs="宋体" w:asciiTheme="majorEastAsia" w:hAnsiTheme="majorEastAsia" w:eastAsiaTheme="majorEastAsia"/>
          <w:color w:val="auto"/>
          <w:sz w:val="24"/>
          <w:highlight w:val="none"/>
        </w:rPr>
        <w:t>元”，由发包人审核后分别出单分账汇入。专用账户除发放工人工资外，不得用于其他用途，不得提取现金和开通网上银行的电子支付渠道。承包人应指定专人负责建设项目施工现场台账管理，为每一位工人办理个人银行工资账户并在收到进度款的一个月内发放工人工资。</w:t>
      </w:r>
    </w:p>
    <w:p>
      <w:p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3）承包人应当根据劳动合同约定的施工人员工资标准等内容，按照依法签订的集体合同或劳动合同约定的日期按月支付工资，并不得低于当地最低工资标准。</w:t>
      </w:r>
    </w:p>
    <w:p>
      <w:pPr>
        <w:adjustRightInd w:val="0"/>
        <w:snapToGrid w:val="0"/>
        <w:spacing w:line="360" w:lineRule="auto"/>
        <w:ind w:right="11" w:firstLine="480" w:firstLineChars="200"/>
        <w:rPr>
          <w:rFonts w:cs="宋体" w:asciiTheme="majorEastAsia" w:hAnsiTheme="majorEastAsia" w:eastAsiaTheme="majorEastAsia"/>
          <w:bCs/>
          <w:iCs/>
          <w:snapToGrid w:val="0"/>
          <w:color w:val="auto"/>
          <w:kern w:val="0"/>
          <w:sz w:val="24"/>
          <w:highlight w:val="none"/>
        </w:rPr>
      </w:pPr>
      <w:r>
        <w:rPr>
          <w:rFonts w:hint="eastAsia" w:cs="宋体" w:asciiTheme="majorEastAsia" w:hAnsiTheme="majorEastAsia" w:eastAsiaTheme="majorEastAsia"/>
          <w:bCs/>
          <w:iCs/>
          <w:snapToGrid w:val="0"/>
          <w:color w:val="auto"/>
          <w:kern w:val="0"/>
          <w:sz w:val="24"/>
          <w:highlight w:val="none"/>
        </w:rPr>
        <w:t>4）承包人应每月编制</w:t>
      </w:r>
      <w:r>
        <w:rPr>
          <w:rFonts w:hint="eastAsia" w:cs="宋体" w:asciiTheme="majorEastAsia" w:hAnsiTheme="majorEastAsia" w:eastAsiaTheme="majorEastAsia"/>
          <w:snapToGrid w:val="0"/>
          <w:color w:val="auto"/>
          <w:kern w:val="0"/>
          <w:sz w:val="24"/>
          <w:highlight w:val="none"/>
        </w:rPr>
        <w:t>施工人员</w:t>
      </w:r>
      <w:r>
        <w:rPr>
          <w:rFonts w:hint="eastAsia" w:cs="宋体" w:asciiTheme="majorEastAsia" w:hAnsiTheme="majorEastAsia" w:eastAsiaTheme="majorEastAsia"/>
          <w:bCs/>
          <w:iCs/>
          <w:snapToGrid w:val="0"/>
          <w:color w:val="auto"/>
          <w:kern w:val="0"/>
          <w:sz w:val="24"/>
          <w:highlight w:val="none"/>
        </w:rPr>
        <w:t>工资支付表，如实记录支付时间、支付对象、支付金额等工资支付情况，并于每月底在其现场管理机构办公场所显眼位置公示，接受监督。</w:t>
      </w:r>
    </w:p>
    <w:p>
      <w:pPr>
        <w:adjustRightInd w:val="0"/>
        <w:snapToGrid w:val="0"/>
        <w:spacing w:line="360" w:lineRule="auto"/>
        <w:ind w:right="11" w:firstLine="480" w:firstLineChars="200"/>
        <w:rPr>
          <w:rFonts w:cs="宋体" w:asciiTheme="majorEastAsia" w:hAnsiTheme="majorEastAsia" w:eastAsiaTheme="majorEastAsia"/>
          <w:bCs/>
          <w:iCs/>
          <w:snapToGrid w:val="0"/>
          <w:color w:val="auto"/>
          <w:kern w:val="0"/>
          <w:sz w:val="24"/>
          <w:highlight w:val="none"/>
        </w:rPr>
      </w:pPr>
      <w:r>
        <w:rPr>
          <w:rFonts w:hint="eastAsia" w:cs="宋体" w:asciiTheme="majorEastAsia" w:hAnsiTheme="majorEastAsia" w:eastAsiaTheme="majorEastAsia"/>
          <w:bCs/>
          <w:iCs/>
          <w:snapToGrid w:val="0"/>
          <w:color w:val="auto"/>
          <w:kern w:val="0"/>
          <w:sz w:val="24"/>
          <w:highlight w:val="none"/>
        </w:rPr>
        <w:t>5）承包人应对其专业分包或劳务分包单位工资支付进行监督，督促其依法支付施工人员工资。</w:t>
      </w:r>
    </w:p>
    <w:p>
      <w:p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bCs/>
          <w:iCs/>
          <w:snapToGrid w:val="0"/>
          <w:color w:val="auto"/>
          <w:kern w:val="0"/>
          <w:sz w:val="24"/>
          <w:highlight w:val="none"/>
        </w:rPr>
        <w:t>6）承包人</w:t>
      </w:r>
      <w:r>
        <w:rPr>
          <w:rFonts w:hint="eastAsia" w:cs="宋体" w:asciiTheme="majorEastAsia" w:hAnsiTheme="majorEastAsia" w:eastAsiaTheme="majorEastAsia"/>
          <w:snapToGrid w:val="0"/>
          <w:color w:val="auto"/>
          <w:kern w:val="0"/>
          <w:sz w:val="24"/>
          <w:highlight w:val="none"/>
        </w:rPr>
        <w:t>不按合同及有关规定按时、足额支付分包单位合同价款及施工人员工资而被投诉或上访属实的，发包人将严格按照合同约定追究其违约责任；如因此致使施工人员集体上访、集聚围阻而造成社会不良影响的，发包人将立即终止与</w:t>
      </w:r>
      <w:r>
        <w:rPr>
          <w:rFonts w:hint="eastAsia" w:cs="宋体" w:asciiTheme="majorEastAsia" w:hAnsiTheme="majorEastAsia" w:eastAsiaTheme="majorEastAsia"/>
          <w:bCs/>
          <w:iCs/>
          <w:snapToGrid w:val="0"/>
          <w:color w:val="auto"/>
          <w:kern w:val="0"/>
          <w:sz w:val="24"/>
          <w:highlight w:val="none"/>
        </w:rPr>
        <w:t>承包人</w:t>
      </w:r>
      <w:r>
        <w:rPr>
          <w:rFonts w:hint="eastAsia" w:cs="宋体" w:asciiTheme="majorEastAsia" w:hAnsiTheme="majorEastAsia" w:eastAsiaTheme="majorEastAsia"/>
          <w:snapToGrid w:val="0"/>
          <w:color w:val="auto"/>
          <w:kern w:val="0"/>
          <w:sz w:val="24"/>
          <w:highlight w:val="none"/>
        </w:rPr>
        <w:t>的合同，并上报省、市主管部门建议取消其参加广州地区省、市重大项目的投标资格，并予以公告。如属恶意煽动并造成社会不良影响的，发包人将提请司法部门追究其法律责任。</w:t>
      </w:r>
    </w:p>
    <w:p>
      <w:p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7）由于承包人或其管理的分包单位、劳务合作单位拖欠施工人员工资，致使发包人被投诉或起诉并被判令先行垫付施工人员工资的，发包人除追究承包人和其他相关责任单位的违约责任外，还将在工程结算时按合同专用条款第38.14（2）款的约定扣回相关款项作为补偿。</w:t>
      </w:r>
    </w:p>
    <w:p>
      <w:pPr>
        <w:adjustRightInd w:val="0"/>
        <w:snapToGrid w:val="0"/>
        <w:spacing w:line="360" w:lineRule="auto"/>
        <w:ind w:right="11" w:firstLine="480" w:firstLineChars="200"/>
        <w:rPr>
          <w:rFonts w:cs="宋体" w:asciiTheme="majorEastAsia" w:hAnsiTheme="majorEastAsia" w:eastAsiaTheme="majorEastAsia"/>
          <w:bCs/>
          <w:iCs/>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8）</w:t>
      </w:r>
      <w:r>
        <w:rPr>
          <w:rFonts w:hint="eastAsia" w:cs="宋体" w:asciiTheme="majorEastAsia" w:hAnsiTheme="majorEastAsia" w:eastAsiaTheme="majorEastAsia"/>
          <w:bCs/>
          <w:iCs/>
          <w:snapToGrid w:val="0"/>
          <w:color w:val="auto"/>
          <w:kern w:val="0"/>
          <w:sz w:val="24"/>
          <w:highlight w:val="none"/>
        </w:rPr>
        <w:t>承包人必须</w:t>
      </w:r>
      <w:r>
        <w:rPr>
          <w:rFonts w:hint="eastAsia" w:cs="宋体" w:asciiTheme="majorEastAsia" w:hAnsiTheme="majorEastAsia" w:eastAsiaTheme="majorEastAsia"/>
          <w:snapToGrid w:val="0"/>
          <w:color w:val="auto"/>
          <w:kern w:val="0"/>
          <w:sz w:val="24"/>
          <w:highlight w:val="none"/>
        </w:rPr>
        <w:t>以高度负责的态度，对存在可能引发劳资纠纷的各种因素进行排查，及时化解、处理可能发生劳资纠纷的不稳定因素；尤其是对恶意煽动施工人员集体上访、集聚围阻的行为，要善于及时发现并敢于揭露、制止，创造安全、文明、和谐的环境。</w:t>
      </w:r>
    </w:p>
    <w:p>
      <w:pPr>
        <w:adjustRightInd w:val="0"/>
        <w:snapToGrid w:val="0"/>
        <w:spacing w:line="360" w:lineRule="auto"/>
        <w:ind w:right="11" w:firstLine="480" w:firstLineChars="200"/>
        <w:rPr>
          <w:rFonts w:cs="宋体" w:asciiTheme="majorEastAsia" w:hAnsiTheme="majorEastAsia" w:eastAsiaTheme="majorEastAsia"/>
          <w:bCs/>
          <w:iCs/>
          <w:snapToGrid w:val="0"/>
          <w:color w:val="auto"/>
          <w:kern w:val="0"/>
          <w:sz w:val="24"/>
          <w:highlight w:val="none"/>
        </w:rPr>
      </w:pPr>
      <w:r>
        <w:rPr>
          <w:rFonts w:hint="eastAsia" w:cs="宋体" w:asciiTheme="majorEastAsia" w:hAnsiTheme="majorEastAsia" w:eastAsiaTheme="majorEastAsia"/>
          <w:bCs/>
          <w:iCs/>
          <w:snapToGrid w:val="0"/>
          <w:color w:val="auto"/>
          <w:kern w:val="0"/>
          <w:sz w:val="24"/>
          <w:highlight w:val="none"/>
        </w:rPr>
        <w:t>（3）成立处理劳资纠纷的协调机构</w:t>
      </w:r>
    </w:p>
    <w:p>
      <w:pPr>
        <w:adjustRightInd w:val="0"/>
        <w:snapToGrid w:val="0"/>
        <w:spacing w:line="360" w:lineRule="auto"/>
        <w:ind w:firstLine="480" w:firstLineChars="200"/>
        <w:rPr>
          <w:rFonts w:cs="宋体" w:asciiTheme="majorEastAsia" w:hAnsiTheme="majorEastAsia" w:eastAsiaTheme="majorEastAsia"/>
          <w:bCs/>
          <w:iCs/>
          <w:snapToGrid w:val="0"/>
          <w:color w:val="auto"/>
          <w:kern w:val="0"/>
          <w:sz w:val="24"/>
          <w:highlight w:val="none"/>
        </w:rPr>
      </w:pPr>
      <w:r>
        <w:rPr>
          <w:rFonts w:hint="eastAsia" w:cs="宋体" w:asciiTheme="majorEastAsia" w:hAnsiTheme="majorEastAsia" w:eastAsiaTheme="majorEastAsia"/>
          <w:bCs/>
          <w:iCs/>
          <w:snapToGrid w:val="0"/>
          <w:color w:val="auto"/>
          <w:kern w:val="0"/>
          <w:sz w:val="24"/>
          <w:highlight w:val="none"/>
        </w:rPr>
        <w:t>承包人</w:t>
      </w:r>
      <w:r>
        <w:rPr>
          <w:rFonts w:hint="eastAsia" w:cs="宋体" w:asciiTheme="majorEastAsia" w:hAnsiTheme="majorEastAsia" w:eastAsiaTheme="majorEastAsia"/>
          <w:snapToGrid w:val="0"/>
          <w:color w:val="auto"/>
          <w:kern w:val="0"/>
          <w:sz w:val="24"/>
          <w:highlight w:val="none"/>
        </w:rPr>
        <w:t>必须成立处理劳资纠纷的协调机构，</w:t>
      </w:r>
      <w:r>
        <w:rPr>
          <w:rFonts w:hint="eastAsia" w:cs="宋体" w:asciiTheme="majorEastAsia" w:hAnsiTheme="majorEastAsia" w:eastAsiaTheme="majorEastAsia"/>
          <w:bCs/>
          <w:iCs/>
          <w:snapToGrid w:val="0"/>
          <w:color w:val="auto"/>
          <w:kern w:val="0"/>
          <w:sz w:val="24"/>
          <w:highlight w:val="none"/>
        </w:rPr>
        <w:t>承包人主管领导和项目经理要亲自负责，配备专职人员，及时化解劳资矛盾及纠纷，并及时揭露、制止恶意煽动施工人员集体上访、集聚围阻的行为，保证在整个工程建设期间不发生施工人员集体上访、集聚围阻等事件。</w:t>
      </w:r>
    </w:p>
    <w:p>
      <w:pPr>
        <w:adjustRightInd w:val="0"/>
        <w:snapToGrid w:val="0"/>
        <w:spacing w:line="360" w:lineRule="auto"/>
        <w:ind w:firstLine="480" w:firstLineChars="200"/>
        <w:rPr>
          <w:rFonts w:cs="宋体" w:asciiTheme="majorEastAsia" w:hAnsiTheme="majorEastAsia" w:eastAsiaTheme="majorEastAsia"/>
          <w:bCs/>
          <w:i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(4)承包人必须对项目管理人员实行刷卡考勤制度，并每月将考勤情况交监理审核备案。</w:t>
      </w:r>
    </w:p>
    <w:p>
      <w:pPr>
        <w:adjustRightInd w:val="0"/>
        <w:snapToGrid w:val="0"/>
        <w:spacing w:line="360" w:lineRule="auto"/>
        <w:ind w:right="11" w:firstLine="480" w:firstLineChars="200"/>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9.6承包人须于每月28日前向总监理工程师提供综合报表（内容包括但不限于如下计划、报表或报告），经总监理工程师审核，并报发包人批准后实施：</w:t>
      </w:r>
    </w:p>
    <w:p>
      <w:pPr>
        <w:adjustRightInd w:val="0"/>
        <w:snapToGrid w:val="0"/>
        <w:spacing w:line="360" w:lineRule="auto"/>
        <w:ind w:right="11" w:firstLine="460" w:firstLineChars="192"/>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上月工程进度款《资金使用反馈表》（统计时段从上上月25日至上月24日），并提交已支付分包及材料设备供货单位价款凭证复印件，由总监理工程师核实确认资金落实情况并报发包人，以保证承包人将工程进度款用于本工程。</w:t>
      </w:r>
    </w:p>
    <w:p>
      <w:pPr>
        <w:adjustRightInd w:val="0"/>
        <w:snapToGrid w:val="0"/>
        <w:spacing w:line="360" w:lineRule="auto"/>
        <w:ind w:right="11" w:firstLine="460" w:firstLineChars="192"/>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2）当月应完成的工程进度和实际完成进度统计报表，当月完成的工程量申报（要求分细项申报，并含有完成金额），当月工程质量、安全生产、文明施工情况报告，当月工程事故报告（如果发生时，须同时报政府相关部门），当月</w:t>
      </w:r>
      <w:r>
        <w:rPr>
          <w:rFonts w:hint="eastAsia" w:cs="宋体" w:asciiTheme="majorEastAsia" w:hAnsiTheme="majorEastAsia" w:eastAsiaTheme="majorEastAsia"/>
          <w:snapToGrid w:val="0"/>
          <w:color w:val="auto"/>
          <w:kern w:val="0"/>
          <w:sz w:val="24"/>
          <w:highlight w:val="none"/>
        </w:rPr>
        <w:t>其总承包管理范围内各专业间的组织管理、协调、配合等方面情况及所出现问题的专项报告</w:t>
      </w:r>
      <w:r>
        <w:rPr>
          <w:rFonts w:hint="eastAsia" w:cs="宋体" w:asciiTheme="majorEastAsia" w:hAnsiTheme="majorEastAsia" w:eastAsiaTheme="majorEastAsia"/>
          <w:bCs/>
          <w:snapToGrid w:val="0"/>
          <w:color w:val="auto"/>
          <w:kern w:val="0"/>
          <w:sz w:val="24"/>
          <w:highlight w:val="none"/>
        </w:rPr>
        <w:t>（统计时段从上月25日至当月24日）。</w:t>
      </w:r>
    </w:p>
    <w:p>
      <w:pPr>
        <w:adjustRightInd w:val="0"/>
        <w:snapToGrid w:val="0"/>
        <w:spacing w:line="360" w:lineRule="auto"/>
        <w:ind w:right="11" w:firstLine="460" w:firstLineChars="192"/>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（3）下月资金使用计划，下月施工进度计划，下月施工拟投入设备、劳动力计划（统计时段从本月25日至下月24日）。</w:t>
      </w:r>
    </w:p>
    <w:p>
      <w:pPr>
        <w:adjustRightInd w:val="0"/>
        <w:snapToGrid w:val="0"/>
        <w:spacing w:line="360" w:lineRule="auto"/>
        <w:ind w:right="11"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所有计划、报表及报告的具体格式，应按照发包人相关管理办法的要求，上报纸质文件前填报电子文件传送给发包人。</w:t>
      </w:r>
    </w:p>
    <w:p>
      <w:pPr>
        <w:adjustRightInd w:val="0"/>
        <w:snapToGrid w:val="0"/>
        <w:spacing w:line="360" w:lineRule="auto"/>
        <w:ind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9.7分部验收工作计划的提交要求</w:t>
      </w:r>
    </w:p>
    <w:p>
      <w:pPr>
        <w:adjustRightInd w:val="0"/>
        <w:snapToGrid w:val="0"/>
        <w:spacing w:line="360" w:lineRule="auto"/>
        <w:ind w:firstLine="480" w:firstLineChars="200"/>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承包人须于进场之日起15日内向发包人提交本工程的分部验收工作计划，经发包人审定后执行。如在施工过程中发生设计变更、新增工程等情况导致工程内容发生变化的，承包人应在发包人规定的时间内提交新的分部验收工作计划，经发包人审定后执行。分部验收原则上按分部工程为界面划分，特殊情况下，也可按子分部工程或分项工程为界面来划分。</w:t>
      </w:r>
    </w:p>
    <w:p>
      <w:pPr>
        <w:adjustRightInd w:val="0"/>
        <w:snapToGrid w:val="0"/>
        <w:spacing w:line="360" w:lineRule="auto"/>
        <w:ind w:firstLine="480" w:firstLineChars="200"/>
        <w:outlineLvl w:val="3"/>
        <w:rPr>
          <w:rFonts w:cs="宋体" w:asciiTheme="majorEastAsia" w:hAnsiTheme="majorEastAsia" w:eastAsiaTheme="majorEastAsia"/>
          <w:bCs/>
          <w:snapToGrid w:val="0"/>
          <w:color w:val="auto"/>
          <w:kern w:val="0"/>
          <w:sz w:val="24"/>
          <w:highlight w:val="none"/>
        </w:rPr>
      </w:pPr>
      <w:bookmarkStart w:id="499" w:name="_Toc3276"/>
      <w:bookmarkStart w:id="500" w:name="_Toc397364904"/>
      <w:bookmarkStart w:id="501" w:name="_Toc17131"/>
      <w:r>
        <w:rPr>
          <w:rFonts w:hint="eastAsia" w:cs="宋体" w:asciiTheme="majorEastAsia" w:hAnsiTheme="majorEastAsia" w:eastAsiaTheme="majorEastAsia"/>
          <w:bCs/>
          <w:snapToGrid w:val="0"/>
          <w:color w:val="auto"/>
          <w:kern w:val="0"/>
          <w:sz w:val="24"/>
          <w:highlight w:val="none"/>
        </w:rPr>
        <w:t>9.8承包人应在本合同签订后一个月内完成工程量清单复核工作，即对招标工程量清单、合同工程量清单出现的错误、缺项、重复等情况进行全面核查，将核查结果提交监理、发包人审核并办理相关变更手续。</w:t>
      </w:r>
    </w:p>
    <w:p>
      <w:pPr>
        <w:adjustRightInd w:val="0"/>
        <w:snapToGrid w:val="0"/>
        <w:spacing w:line="360" w:lineRule="auto"/>
        <w:ind w:firstLine="480" w:firstLineChars="200"/>
        <w:outlineLvl w:val="3"/>
        <w:rPr>
          <w:rFonts w:cs="宋体" w:asciiTheme="majorEastAsia" w:hAnsiTheme="majorEastAsia" w:eastAsiaTheme="majorEastAsia"/>
          <w:bCs/>
          <w:snapToGrid w:val="0"/>
          <w:color w:val="auto"/>
          <w:kern w:val="0"/>
          <w:sz w:val="24"/>
          <w:highlight w:val="none"/>
        </w:rPr>
      </w:pPr>
    </w:p>
    <w:p>
      <w:pPr>
        <w:adjustRightInd w:val="0"/>
        <w:snapToGrid w:val="0"/>
        <w:spacing w:line="360" w:lineRule="auto"/>
        <w:ind w:right="11"/>
        <w:outlineLvl w:val="1"/>
        <w:rPr>
          <w:rFonts w:cs="宋体" w:asciiTheme="majorEastAsia" w:hAnsiTheme="majorEastAsia" w:eastAsiaTheme="majorEastAsia"/>
          <w:b/>
          <w:bCs/>
          <w:snapToGrid w:val="0"/>
          <w:color w:val="auto"/>
          <w:kern w:val="0"/>
          <w:sz w:val="28"/>
          <w:szCs w:val="28"/>
          <w:highlight w:val="none"/>
        </w:rPr>
      </w:pPr>
      <w:bookmarkStart w:id="502" w:name="_Toc140476916"/>
      <w:r>
        <w:rPr>
          <w:rFonts w:hint="eastAsia" w:cs="宋体" w:asciiTheme="majorEastAsia" w:hAnsiTheme="majorEastAsia" w:eastAsiaTheme="majorEastAsia"/>
          <w:b/>
          <w:bCs/>
          <w:snapToGrid w:val="0"/>
          <w:color w:val="auto"/>
          <w:kern w:val="0"/>
          <w:sz w:val="28"/>
          <w:szCs w:val="28"/>
          <w:highlight w:val="none"/>
        </w:rPr>
        <w:t>三、施工组织设计和工期</w:t>
      </w:r>
      <w:bookmarkEnd w:id="499"/>
      <w:bookmarkEnd w:id="500"/>
      <w:bookmarkEnd w:id="501"/>
      <w:bookmarkEnd w:id="502"/>
    </w:p>
    <w:p>
      <w:pPr>
        <w:adjustRightInd w:val="0"/>
        <w:snapToGrid w:val="0"/>
        <w:spacing w:line="360" w:lineRule="auto"/>
        <w:ind w:right="11" w:firstLine="482" w:firstLineChars="200"/>
        <w:outlineLvl w:val="2"/>
        <w:rPr>
          <w:rFonts w:cs="宋体" w:asciiTheme="majorEastAsia" w:hAnsiTheme="majorEastAsia" w:eastAsiaTheme="majorEastAsia"/>
          <w:b/>
          <w:snapToGrid w:val="0"/>
          <w:color w:val="auto"/>
          <w:kern w:val="0"/>
          <w:sz w:val="24"/>
          <w:highlight w:val="none"/>
        </w:rPr>
      </w:pPr>
      <w:bookmarkStart w:id="503" w:name="_Toc28094"/>
      <w:bookmarkStart w:id="504" w:name="_Toc397364905"/>
      <w:bookmarkStart w:id="505" w:name="_Toc140476917"/>
      <w:bookmarkStart w:id="506" w:name="_Toc20516"/>
      <w:r>
        <w:rPr>
          <w:rFonts w:hint="eastAsia" w:cs="宋体" w:asciiTheme="majorEastAsia" w:hAnsiTheme="majorEastAsia" w:eastAsiaTheme="majorEastAsia"/>
          <w:b/>
          <w:snapToGrid w:val="0"/>
          <w:color w:val="auto"/>
          <w:kern w:val="0"/>
          <w:sz w:val="24"/>
          <w:highlight w:val="none"/>
        </w:rPr>
        <w:t>10、进度计划</w:t>
      </w:r>
      <w:bookmarkEnd w:id="503"/>
      <w:bookmarkEnd w:id="504"/>
      <w:bookmarkEnd w:id="505"/>
      <w:bookmarkEnd w:id="506"/>
    </w:p>
    <w:p>
      <w:pPr>
        <w:adjustRightInd w:val="0"/>
        <w:snapToGrid w:val="0"/>
        <w:spacing w:line="360" w:lineRule="auto"/>
        <w:ind w:right="11" w:firstLine="460" w:firstLineChars="192"/>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10.1计划的提交和确认</w:t>
      </w:r>
    </w:p>
    <w:p>
      <w:pPr>
        <w:adjustRightInd w:val="0"/>
        <w:snapToGrid w:val="0"/>
        <w:spacing w:line="360" w:lineRule="auto"/>
        <w:ind w:right="11" w:firstLine="460" w:firstLineChars="192"/>
        <w:outlineLvl w:val="4"/>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（1）承包人应于本合同签订后</w:t>
      </w:r>
      <w:r>
        <w:rPr>
          <w:rFonts w:cs="宋体" w:asciiTheme="majorEastAsia" w:hAnsiTheme="majorEastAsia" w:eastAsiaTheme="majorEastAsia"/>
          <w:bCs/>
          <w:snapToGrid w:val="0"/>
          <w:color w:val="auto"/>
          <w:kern w:val="0"/>
          <w:sz w:val="24"/>
          <w:highlight w:val="none"/>
        </w:rPr>
        <w:t>3</w:t>
      </w:r>
      <w:r>
        <w:rPr>
          <w:rFonts w:hint="eastAsia" w:cs="宋体" w:asciiTheme="majorEastAsia" w:hAnsiTheme="majorEastAsia" w:eastAsiaTheme="majorEastAsia"/>
          <w:bCs/>
          <w:snapToGrid w:val="0"/>
          <w:color w:val="auto"/>
          <w:kern w:val="0"/>
          <w:sz w:val="24"/>
          <w:highlight w:val="none"/>
        </w:rPr>
        <w:t>日历天内向总监理工程师提交项目及单位工程的施工组织设计与进度计划。</w:t>
      </w:r>
    </w:p>
    <w:p>
      <w:pPr>
        <w:adjustRightInd w:val="0"/>
        <w:snapToGrid w:val="0"/>
        <w:spacing w:line="360" w:lineRule="auto"/>
        <w:ind w:firstLine="48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承包人提交的施工组织设计应当载明如下内容</w:t>
      </w:r>
      <w:r>
        <w:rPr>
          <w:rFonts w:hint="eastAsia" w:cs="宋体" w:asciiTheme="majorEastAsia" w:hAnsiTheme="majorEastAsia" w:eastAsiaTheme="majorEastAsia"/>
          <w:bCs/>
          <w:snapToGrid w:val="0"/>
          <w:color w:val="auto"/>
          <w:kern w:val="0"/>
          <w:sz w:val="24"/>
          <w:highlight w:val="none"/>
        </w:rPr>
        <w:t>（包括但不限于）</w:t>
      </w:r>
      <w:r>
        <w:rPr>
          <w:rFonts w:hint="eastAsia" w:cs="宋体" w:asciiTheme="majorEastAsia" w:hAnsiTheme="majorEastAsia" w:eastAsiaTheme="majorEastAsia"/>
          <w:snapToGrid w:val="0"/>
          <w:color w:val="auto"/>
          <w:kern w:val="0"/>
          <w:sz w:val="24"/>
          <w:highlight w:val="none"/>
        </w:rPr>
        <w:t>：</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1）各分部分项工程完整的施工方案；</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2）施工资源投入计划，包括：机械设备进场计划、工程材料和物料进场及仓储计划、施工人员进场计划等；</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3）施工现场平面布置图（包括施工道路平面图、各种临时设施、施工用水、监控设施、施工机具、材料构配件存放位置）；</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4）季节性施工措施；</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5）架空线、地下管线及其他地下设施的处理措施；</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6）保证工期、质量的措施；</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7）保证安全生产、文明施工、减少扰民，且满足环境保护要求的措施；</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8）妥善处理与相邻施工作业现场关系的措施；</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9）其他与工程施工有关的管理方案、措施。</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承包人编制的</w:t>
      </w:r>
      <w:r>
        <w:rPr>
          <w:rFonts w:hint="eastAsia" w:cs="宋体" w:asciiTheme="majorEastAsia" w:hAnsiTheme="majorEastAsia" w:eastAsiaTheme="majorEastAsia"/>
          <w:snapToGrid w:val="0"/>
          <w:color w:val="auto"/>
          <w:kern w:val="0"/>
          <w:sz w:val="24"/>
          <w:highlight w:val="none"/>
        </w:rPr>
        <w:t>工程进度计划内容应全面详实，且应针对本项目范围内的各专业平行分包工程及建筑工程的全部或分项施工作业和特点提出施工方法、施工穿插顺序及时间安排，并在各节点位置标注相应的工程量、资金使用计划、人力机械组织及材料消耗量，且需在施工过程中设置一个关键工期节点（非完工节点）。</w:t>
      </w:r>
    </w:p>
    <w:p>
      <w:pPr>
        <w:numPr>
          <w:ilvl w:val="0"/>
          <w:numId w:val="4"/>
        </w:numPr>
        <w:adjustRightInd w:val="0"/>
        <w:snapToGrid w:val="0"/>
        <w:spacing w:line="360" w:lineRule="auto"/>
        <w:ind w:right="11" w:firstLine="460" w:firstLineChars="192"/>
        <w:outlineLvl w:val="4"/>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总监理工程师和发包人在接到承包人提交的施工组织设计和工程进度计划后7天内予以确认或提出修改意见（总监理工程师在4天内审核并签署意见，发包人在3天内审核并签署意见）。但如遇到重大或技术复杂、难度大的施工方案（如深基坑支护及高支模等施工方案），则应按政府有关规定召开专家评审会评审并由承包人承担相关费用。</w:t>
      </w:r>
    </w:p>
    <w:p>
      <w:pPr>
        <w:numPr>
          <w:ilvl w:val="0"/>
          <w:numId w:val="4"/>
        </w:numPr>
        <w:adjustRightInd w:val="0"/>
        <w:snapToGrid w:val="0"/>
        <w:spacing w:line="360" w:lineRule="auto"/>
        <w:ind w:right="11" w:firstLine="460" w:firstLineChars="192"/>
        <w:outlineLvl w:val="4"/>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施工组织设计、第三方监测方案及应急预案经总监理工程师审批及发包人备案。</w:t>
      </w:r>
    </w:p>
    <w:p>
      <w:pPr>
        <w:adjustRightInd w:val="0"/>
        <w:snapToGrid w:val="0"/>
        <w:spacing w:line="360" w:lineRule="auto"/>
        <w:ind w:right="11" w:firstLine="463"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b/>
          <w:snapToGrid w:val="0"/>
          <w:color w:val="auto"/>
          <w:kern w:val="0"/>
          <w:sz w:val="24"/>
          <w:highlight w:val="none"/>
        </w:rPr>
        <w:t>承包人和发包人一致同意增加10.4：</w:t>
      </w:r>
    </w:p>
    <w:p>
      <w:pPr>
        <w:adjustRightInd w:val="0"/>
        <w:snapToGrid w:val="0"/>
        <w:spacing w:line="360" w:lineRule="auto"/>
        <w:ind w:right="11" w:firstLine="460" w:firstLineChars="192"/>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10.4计划的执行</w:t>
      </w:r>
    </w:p>
    <w:p>
      <w:pPr>
        <w:adjustRightInd w:val="0"/>
        <w:snapToGrid w:val="0"/>
        <w:spacing w:line="360" w:lineRule="auto"/>
        <w:ind w:firstLine="480" w:firstLineChars="200"/>
        <w:outlineLvl w:val="4"/>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（1）承包人应当加强计划管理，严格按照总监理工程师确认的工程进度计划组织施工，并接受总监理工程师对工程进度的检查、监督。</w:t>
      </w:r>
    </w:p>
    <w:p>
      <w:pPr>
        <w:adjustRightInd w:val="0"/>
        <w:snapToGrid w:val="0"/>
        <w:spacing w:line="360" w:lineRule="auto"/>
        <w:ind w:firstLine="480" w:firstLineChars="200"/>
        <w:outlineLvl w:val="4"/>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（2）为便于总监理工程师掌握和控制工期，承包人应于每月底向总监理工程师填报当月工程进度计划完成情况（没完成计划的必须说明原因），</w:t>
      </w:r>
      <w:r>
        <w:rPr>
          <w:rFonts w:hint="eastAsia" w:cs="宋体" w:asciiTheme="majorEastAsia" w:hAnsiTheme="majorEastAsia" w:eastAsiaTheme="majorEastAsia"/>
          <w:bCs/>
          <w:snapToGrid w:val="0"/>
          <w:color w:val="auto"/>
          <w:kern w:val="0"/>
          <w:sz w:val="24"/>
          <w:highlight w:val="none"/>
        </w:rPr>
        <w:t>并在此基础上更新工程进度计划、</w:t>
      </w:r>
      <w:r>
        <w:rPr>
          <w:rFonts w:hint="eastAsia" w:cs="宋体" w:asciiTheme="majorEastAsia" w:hAnsiTheme="majorEastAsia" w:eastAsiaTheme="majorEastAsia"/>
          <w:snapToGrid w:val="0"/>
          <w:color w:val="auto"/>
          <w:kern w:val="0"/>
          <w:sz w:val="24"/>
          <w:highlight w:val="none"/>
        </w:rPr>
        <w:t>资金计划和其他工作计划。总监理工程师在接到报告后应当予以确认或提出书面意见，承包人必须按照总监理工程师的确认或者书面意见执行。</w:t>
      </w:r>
    </w:p>
    <w:p>
      <w:pPr>
        <w:adjustRightInd w:val="0"/>
        <w:snapToGrid w:val="0"/>
        <w:spacing w:line="360" w:lineRule="auto"/>
        <w:ind w:firstLine="480" w:firstLineChars="200"/>
        <w:outlineLvl w:val="4"/>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总监理工程师认为本工程或其中任何部分工程进度滞后而不能按预定工期完工，应将此情况通知承包人。承包人应据此修改工程进度计划，采取总监理工程师同意的必要措施加快工程进度，属承包人原因造成的，则承包人无权要求发包人支付任何附加费用。如承包人未能在总监理工程师发布指令</w:t>
      </w:r>
      <w:r>
        <w:rPr>
          <w:rFonts w:hint="eastAsia" w:cs="宋体" w:asciiTheme="majorEastAsia" w:hAnsiTheme="majorEastAsia" w:eastAsiaTheme="majorEastAsia"/>
          <w:iCs/>
          <w:snapToGrid w:val="0"/>
          <w:color w:val="auto"/>
          <w:kern w:val="0"/>
          <w:sz w:val="24"/>
          <w:highlight w:val="none"/>
        </w:rPr>
        <w:t>后10天内采取有效措施，工程进度仍然无明显改</w:t>
      </w:r>
      <w:r>
        <w:rPr>
          <w:rFonts w:hint="eastAsia" w:cs="宋体" w:asciiTheme="majorEastAsia" w:hAnsiTheme="majorEastAsia" w:eastAsiaTheme="majorEastAsia"/>
          <w:snapToGrid w:val="0"/>
          <w:color w:val="auto"/>
          <w:kern w:val="0"/>
          <w:sz w:val="24"/>
          <w:highlight w:val="none"/>
        </w:rPr>
        <w:t>进，发包人有权部分或全部解除合同，将未完工程另行发包给其他有能力的施工单位；承包人必须无条件服从，由此所造成的损失全部由承包人承担。</w:t>
      </w:r>
    </w:p>
    <w:p>
      <w:pPr>
        <w:adjustRightInd w:val="0"/>
        <w:snapToGrid w:val="0"/>
        <w:spacing w:line="360" w:lineRule="auto"/>
        <w:ind w:firstLine="480" w:firstLineChars="200"/>
        <w:outlineLvl w:val="4"/>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（4）发包人可以根据情况变化，要求承包人提前完成施工计划。承包人不得拒绝，也不能要求发包人支付任何附加费用。</w:t>
      </w:r>
    </w:p>
    <w:p>
      <w:pPr>
        <w:adjustRightInd w:val="0"/>
        <w:snapToGrid w:val="0"/>
        <w:spacing w:line="360" w:lineRule="auto"/>
        <w:ind w:firstLine="482"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b/>
          <w:snapToGrid w:val="0"/>
          <w:color w:val="auto"/>
          <w:kern w:val="0"/>
          <w:sz w:val="24"/>
          <w:highlight w:val="none"/>
        </w:rPr>
        <w:t>承包人和发包人一致同意不适用合同通用条款第11条的约定，代之以：</w:t>
      </w:r>
    </w:p>
    <w:p>
      <w:pPr>
        <w:adjustRightInd w:val="0"/>
        <w:snapToGrid w:val="0"/>
        <w:spacing w:line="360" w:lineRule="auto"/>
        <w:ind w:right="11" w:firstLine="482" w:firstLineChars="200"/>
        <w:outlineLvl w:val="2"/>
        <w:rPr>
          <w:rFonts w:cs="宋体" w:asciiTheme="majorEastAsia" w:hAnsiTheme="majorEastAsia" w:eastAsiaTheme="majorEastAsia"/>
          <w:b/>
          <w:snapToGrid w:val="0"/>
          <w:color w:val="auto"/>
          <w:kern w:val="0"/>
          <w:sz w:val="24"/>
          <w:highlight w:val="none"/>
        </w:rPr>
      </w:pPr>
      <w:bookmarkStart w:id="507" w:name="_Toc140476918"/>
      <w:bookmarkStart w:id="508" w:name="_Toc397364906"/>
      <w:bookmarkStart w:id="509" w:name="_Toc1794"/>
      <w:bookmarkStart w:id="510" w:name="_Toc28241"/>
      <w:r>
        <w:rPr>
          <w:rFonts w:hint="eastAsia" w:cs="宋体" w:asciiTheme="majorEastAsia" w:hAnsiTheme="majorEastAsia" w:eastAsiaTheme="majorEastAsia"/>
          <w:b/>
          <w:snapToGrid w:val="0"/>
          <w:color w:val="auto"/>
          <w:kern w:val="0"/>
          <w:sz w:val="24"/>
          <w:highlight w:val="none"/>
        </w:rPr>
        <w:t>11、开工及延期开工</w:t>
      </w:r>
      <w:bookmarkEnd w:id="507"/>
      <w:bookmarkEnd w:id="508"/>
      <w:bookmarkEnd w:id="509"/>
      <w:bookmarkEnd w:id="510"/>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承包人必须在收到中标通知书的次日进入施工场地，做好施工准备工作，尽快开工。在工程已具备开工条件，但因</w:t>
      </w:r>
      <w:r>
        <w:rPr>
          <w:rFonts w:hint="eastAsia" w:cs="宋体" w:asciiTheme="majorEastAsia" w:hAnsiTheme="majorEastAsia" w:eastAsiaTheme="majorEastAsia"/>
          <w:bCs/>
          <w:snapToGrid w:val="0"/>
          <w:color w:val="auto"/>
          <w:kern w:val="0"/>
          <w:sz w:val="24"/>
          <w:highlight w:val="none"/>
        </w:rPr>
        <w:t>承包人自身的原因（包括但不限于人员、材料或设备尚未到位）而无法实际开工</w:t>
      </w:r>
      <w:r>
        <w:rPr>
          <w:rFonts w:hint="eastAsia" w:cs="宋体" w:asciiTheme="majorEastAsia" w:hAnsiTheme="majorEastAsia" w:eastAsiaTheme="majorEastAsia"/>
          <w:snapToGrid w:val="0"/>
          <w:color w:val="auto"/>
          <w:kern w:val="0"/>
          <w:sz w:val="24"/>
          <w:highlight w:val="none"/>
        </w:rPr>
        <w:t>的，经发包人书面同意，总监理工程师可以签发开工令，正式开始计算工期，但现场不允许开工，再由总监理工程师发出停工令，待承包人准备妥当后才批准复工。由此产生的工期延误等损失由承包人承担，并按照合同专用条款第38.8款的有关约定处理。</w:t>
      </w:r>
    </w:p>
    <w:p>
      <w:pPr>
        <w:adjustRightInd w:val="0"/>
        <w:snapToGrid w:val="0"/>
        <w:spacing w:line="360" w:lineRule="auto"/>
        <w:ind w:right="11" w:firstLine="482" w:firstLineChars="200"/>
        <w:rPr>
          <w:rFonts w:cs="宋体" w:asciiTheme="majorEastAsia" w:hAnsiTheme="majorEastAsia" w:eastAsiaTheme="majorEastAsia"/>
          <w:b/>
          <w:snapToGrid w:val="0"/>
          <w:color w:val="auto"/>
          <w:kern w:val="0"/>
          <w:sz w:val="24"/>
          <w:highlight w:val="none"/>
        </w:rPr>
      </w:pPr>
      <w:r>
        <w:rPr>
          <w:rFonts w:hint="eastAsia" w:cs="宋体" w:asciiTheme="majorEastAsia" w:hAnsiTheme="majorEastAsia" w:eastAsiaTheme="majorEastAsia"/>
          <w:b/>
          <w:snapToGrid w:val="0"/>
          <w:color w:val="auto"/>
          <w:kern w:val="0"/>
          <w:sz w:val="24"/>
          <w:highlight w:val="none"/>
        </w:rPr>
        <w:t>承包人和发包人一致同意不适用合同通用条款第12条的约定，代之以：</w:t>
      </w:r>
    </w:p>
    <w:p>
      <w:pPr>
        <w:adjustRightInd w:val="0"/>
        <w:snapToGrid w:val="0"/>
        <w:spacing w:line="360" w:lineRule="auto"/>
        <w:ind w:right="11" w:firstLine="482" w:firstLineChars="200"/>
        <w:outlineLvl w:val="2"/>
        <w:rPr>
          <w:rFonts w:cs="宋体" w:asciiTheme="majorEastAsia" w:hAnsiTheme="majorEastAsia" w:eastAsiaTheme="majorEastAsia"/>
          <w:b/>
          <w:snapToGrid w:val="0"/>
          <w:color w:val="auto"/>
          <w:kern w:val="0"/>
          <w:sz w:val="24"/>
          <w:highlight w:val="none"/>
        </w:rPr>
      </w:pPr>
      <w:bookmarkStart w:id="511" w:name="_Toc140476919"/>
      <w:bookmarkStart w:id="512" w:name="_Toc751"/>
      <w:bookmarkStart w:id="513" w:name="_Toc397364907"/>
      <w:bookmarkStart w:id="514" w:name="_Toc15004"/>
      <w:r>
        <w:rPr>
          <w:rFonts w:hint="eastAsia" w:cs="宋体" w:asciiTheme="majorEastAsia" w:hAnsiTheme="majorEastAsia" w:eastAsiaTheme="majorEastAsia"/>
          <w:b/>
          <w:snapToGrid w:val="0"/>
          <w:color w:val="auto"/>
          <w:kern w:val="0"/>
          <w:sz w:val="24"/>
          <w:highlight w:val="none"/>
        </w:rPr>
        <w:t>12、暂停施工</w:t>
      </w:r>
      <w:bookmarkEnd w:id="511"/>
      <w:bookmarkEnd w:id="512"/>
      <w:bookmarkEnd w:id="513"/>
      <w:bookmarkEnd w:id="514"/>
    </w:p>
    <w:p>
      <w:pPr>
        <w:adjustRightInd w:val="0"/>
        <w:snapToGrid w:val="0"/>
        <w:spacing w:line="360" w:lineRule="auto"/>
        <w:ind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12.1</w:t>
      </w:r>
      <w:r>
        <w:rPr>
          <w:rFonts w:hint="eastAsia" w:cs="宋体" w:asciiTheme="majorEastAsia" w:hAnsiTheme="majorEastAsia" w:eastAsiaTheme="majorEastAsia"/>
          <w:snapToGrid w:val="0"/>
          <w:color w:val="auto"/>
          <w:kern w:val="0"/>
          <w:sz w:val="24"/>
          <w:highlight w:val="none"/>
        </w:rPr>
        <w:t>因下列原因，总监理工程师报经发包人同意，可通知承包人暂停施工：</w:t>
      </w:r>
    </w:p>
    <w:p>
      <w:pPr>
        <w:adjustRightInd w:val="0"/>
        <w:snapToGrid w:val="0"/>
        <w:spacing w:line="360" w:lineRule="auto"/>
        <w:ind w:left="42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（1）工程设计发生重大变更；</w:t>
      </w:r>
    </w:p>
    <w:p>
      <w:pPr>
        <w:adjustRightInd w:val="0"/>
        <w:snapToGrid w:val="0"/>
        <w:spacing w:line="360" w:lineRule="auto"/>
        <w:ind w:left="42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（2）不可抗力；</w:t>
      </w:r>
    </w:p>
    <w:p>
      <w:pPr>
        <w:adjustRightInd w:val="0"/>
        <w:snapToGrid w:val="0"/>
        <w:spacing w:line="360" w:lineRule="auto"/>
        <w:ind w:left="42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（3）质量事故；</w:t>
      </w:r>
    </w:p>
    <w:p>
      <w:pPr>
        <w:adjustRightInd w:val="0"/>
        <w:snapToGrid w:val="0"/>
        <w:spacing w:line="360" w:lineRule="auto"/>
        <w:ind w:left="42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（4）安全生产事故。</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因发生上述（1）、（2）项原因而暂停施工的，工期调整适用合同专用条款第13条的有关约定；因发生上述第（3）、（4）项原因而暂停施工的，工期不予顺延，承包人必须承担由此发生的费用，并按合同专用条款第38.10款、第38.11款的约定向发包人承担违约责任。</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承包人不得以与发包人有争议或争议未解决为由而单方面停工，否则，按照合同专用条款第38.8（2）款的约定承担违约责任。</w:t>
      </w:r>
    </w:p>
    <w:p>
      <w:pPr>
        <w:adjustRightInd w:val="0"/>
        <w:snapToGrid w:val="0"/>
        <w:spacing w:line="360" w:lineRule="auto"/>
        <w:ind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12.2为了保证工程质量安全，凡出现下列情况之一（不仅限于此）的，总监理工程师有权下达停工令，责令承包人停工整改，由此造成的损失由承包人自行负责，造成工期延误的由承包人按合同专用条款第38.8款的有关约定承担违约责任：</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（1）拒绝监理等相应管理单位的管理；</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（2）施工组织设计（方案）未获总监理工程师批准而进行施工；</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（3）未经监理单位检验而进行下一道工序作业；</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（4）擅自采用未经监理单位及发包人认可或批准的材料，或者使用的原材料、构配件不合格或未经检查确认，或者擅自采用未经认可的代用材料；</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（5）擅自变更设计图纸的要求；</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（6）转包工程；</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（7）擅自让未经发包人批准的分包单位进场作业；</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（8）存在安全隐患，未按监理单位要求及时进行整改；</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（9）未按双方约定的要求上报所需的资料。</w:t>
      </w:r>
    </w:p>
    <w:p>
      <w:pPr>
        <w:adjustRightInd w:val="0"/>
        <w:snapToGrid w:val="0"/>
        <w:spacing w:line="360" w:lineRule="auto"/>
        <w:ind w:right="11" w:firstLine="482" w:firstLineChars="200"/>
        <w:rPr>
          <w:rFonts w:cs="宋体" w:asciiTheme="majorEastAsia" w:hAnsiTheme="majorEastAsia" w:eastAsiaTheme="majorEastAsia"/>
          <w:b/>
          <w:snapToGrid w:val="0"/>
          <w:color w:val="auto"/>
          <w:kern w:val="0"/>
          <w:sz w:val="24"/>
          <w:highlight w:val="none"/>
        </w:rPr>
      </w:pPr>
      <w:r>
        <w:rPr>
          <w:rFonts w:hint="eastAsia" w:cs="宋体" w:asciiTheme="majorEastAsia" w:hAnsiTheme="majorEastAsia" w:eastAsiaTheme="majorEastAsia"/>
          <w:b/>
          <w:snapToGrid w:val="0"/>
          <w:color w:val="auto"/>
          <w:kern w:val="0"/>
          <w:sz w:val="24"/>
          <w:highlight w:val="none"/>
        </w:rPr>
        <w:t>承包人和发包人一致同意不适用合同通用条款第13条的约定，代之以：</w:t>
      </w:r>
    </w:p>
    <w:p>
      <w:pPr>
        <w:adjustRightInd w:val="0"/>
        <w:snapToGrid w:val="0"/>
        <w:spacing w:line="360" w:lineRule="auto"/>
        <w:ind w:right="11" w:firstLine="482" w:firstLineChars="200"/>
        <w:outlineLvl w:val="2"/>
        <w:rPr>
          <w:rFonts w:cs="宋体" w:asciiTheme="majorEastAsia" w:hAnsiTheme="majorEastAsia" w:eastAsiaTheme="majorEastAsia"/>
          <w:b/>
          <w:snapToGrid w:val="0"/>
          <w:color w:val="auto"/>
          <w:kern w:val="0"/>
          <w:sz w:val="24"/>
          <w:highlight w:val="none"/>
        </w:rPr>
      </w:pPr>
      <w:bookmarkStart w:id="515" w:name="_Toc140476920"/>
      <w:bookmarkStart w:id="516" w:name="_Toc18062"/>
      <w:bookmarkStart w:id="517" w:name="_Toc30098"/>
      <w:bookmarkStart w:id="518" w:name="_Toc397364908"/>
      <w:r>
        <w:rPr>
          <w:rFonts w:hint="eastAsia" w:cs="宋体" w:asciiTheme="majorEastAsia" w:hAnsiTheme="majorEastAsia" w:eastAsiaTheme="majorEastAsia"/>
          <w:b/>
          <w:snapToGrid w:val="0"/>
          <w:color w:val="auto"/>
          <w:kern w:val="0"/>
          <w:sz w:val="24"/>
          <w:highlight w:val="none"/>
        </w:rPr>
        <w:t>13、工期延误</w:t>
      </w:r>
      <w:bookmarkEnd w:id="515"/>
      <w:bookmarkEnd w:id="516"/>
      <w:bookmarkEnd w:id="517"/>
      <w:bookmarkEnd w:id="518"/>
    </w:p>
    <w:p>
      <w:pPr>
        <w:adjustRightInd w:val="0"/>
        <w:snapToGrid w:val="0"/>
        <w:spacing w:line="360" w:lineRule="auto"/>
        <w:ind w:right="11" w:firstLine="460" w:firstLineChars="192"/>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13.1工期控制与调整</w:t>
      </w:r>
    </w:p>
    <w:p>
      <w:p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（1）本工程工期分为关键节点工期和一般节点工期两类控制，承包人必须在施工组织设计文件中分专业详细区分和列明本工程</w:t>
      </w:r>
      <w:r>
        <w:rPr>
          <w:rFonts w:hint="eastAsia" w:cs="宋体" w:asciiTheme="majorEastAsia" w:hAnsiTheme="majorEastAsia" w:eastAsiaTheme="majorEastAsia"/>
          <w:bCs/>
          <w:snapToGrid w:val="0"/>
          <w:color w:val="auto"/>
          <w:kern w:val="0"/>
          <w:sz w:val="24"/>
          <w:highlight w:val="none"/>
        </w:rPr>
        <w:t>总体及各单体工程</w:t>
      </w:r>
      <w:r>
        <w:rPr>
          <w:rFonts w:hint="eastAsia" w:cs="宋体" w:asciiTheme="majorEastAsia" w:hAnsiTheme="majorEastAsia" w:eastAsiaTheme="majorEastAsia"/>
          <w:snapToGrid w:val="0"/>
          <w:color w:val="auto"/>
          <w:kern w:val="0"/>
          <w:sz w:val="24"/>
          <w:highlight w:val="none"/>
        </w:rPr>
        <w:t>的关键节点工期和一般节点工期，并报总监理工程师和发包人批准后实施。</w:t>
      </w:r>
    </w:p>
    <w:p>
      <w:p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color w:val="auto"/>
          <w:sz w:val="24"/>
          <w:highlight w:val="none"/>
        </w:rPr>
        <w:t>承包人应确保合同工期的实现，并投入足够的人力、物力及设备，由此引发的措施及投入费用包含在合同总价内，发包人不另行支付。</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（2）工期调整的原则：对于承包人原因造成的工期延误，工期一概不得顺延；</w:t>
      </w:r>
      <w:r>
        <w:rPr>
          <w:rFonts w:hint="eastAsia" w:cs="宋体" w:asciiTheme="majorEastAsia" w:hAnsiTheme="majorEastAsia" w:eastAsiaTheme="majorEastAsia"/>
          <w:color w:val="auto"/>
          <w:sz w:val="24"/>
          <w:highlight w:val="none"/>
        </w:rPr>
        <w:t>对于非承包人原因造成的工期延误，经发包人确认通过后工期可顺延。</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在特殊情况下，关键节点工期确需调整的，承包人必须重新编制总工期控制计划和关键节点工期调整计划并报请总监理工程师和发包人审核。经总监理工程师、发包人审核，确认承包人编制的关键节点工期调整计划已</w:t>
      </w:r>
      <w:r>
        <w:rPr>
          <w:rFonts w:hint="eastAsia" w:cs="宋体" w:asciiTheme="majorEastAsia" w:hAnsiTheme="majorEastAsia" w:eastAsiaTheme="majorEastAsia"/>
          <w:color w:val="auto"/>
          <w:sz w:val="24"/>
          <w:highlight w:val="none"/>
        </w:rPr>
        <w:t>十分完备，应当同意工期调整。</w:t>
      </w:r>
    </w:p>
    <w:p>
      <w:pPr>
        <w:adjustRightInd w:val="0"/>
        <w:snapToGrid w:val="0"/>
        <w:spacing w:line="360" w:lineRule="auto"/>
        <w:ind w:right="11" w:firstLine="460" w:firstLineChars="192"/>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13.2工期延误的原因及其处理</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w:t>
      </w:r>
      <w:r>
        <w:rPr>
          <w:rFonts w:hint="eastAsia" w:cs="宋体" w:asciiTheme="majorEastAsia" w:hAnsiTheme="majorEastAsia" w:eastAsiaTheme="majorEastAsia"/>
          <w:snapToGrid w:val="0"/>
          <w:color w:val="auto"/>
          <w:kern w:val="0"/>
          <w:sz w:val="24"/>
          <w:highlight w:val="none"/>
        </w:rPr>
        <w:t>非承包人原因造成的工期延误，是指有确凿证据证实因下列原因而直接造成承包人的原定工期计划延误：</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1）不可抗力；</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2）工程设计有重大变更或重大失误，并经总监理工程师确认会造成工期延误的；</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3）发包人延期交付施工场地；</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4）施工图纸供应时间影响工期进度，并经总监理工程师确认的；</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5）发包人</w:t>
      </w:r>
      <w:r>
        <w:rPr>
          <w:rFonts w:hint="eastAsia" w:cs="宋体" w:asciiTheme="majorEastAsia" w:hAnsiTheme="majorEastAsia" w:eastAsiaTheme="majorEastAsia"/>
          <w:iCs/>
          <w:snapToGrid w:val="0"/>
          <w:color w:val="auto"/>
          <w:kern w:val="0"/>
          <w:sz w:val="24"/>
          <w:highlight w:val="none"/>
        </w:rPr>
        <w:t>不按合同约定</w:t>
      </w:r>
      <w:r>
        <w:rPr>
          <w:rFonts w:hint="eastAsia" w:cs="宋体" w:asciiTheme="majorEastAsia" w:hAnsiTheme="majorEastAsia" w:eastAsiaTheme="majorEastAsia"/>
          <w:snapToGrid w:val="0"/>
          <w:color w:val="auto"/>
          <w:kern w:val="0"/>
          <w:sz w:val="24"/>
          <w:highlight w:val="none"/>
        </w:rPr>
        <w:t>支付工程款而影响工期进度，并经总监理工程师确认的；</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6）发包人指令（非承包人原因）引起的停工；</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7）发包人其他违约行为或其他客观原因造成工期延误并经总监理工程师确认的。</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除上述原因之外，其他所有工期延误均为承包人原因造成的延误。</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（2）</w:t>
      </w:r>
      <w:r>
        <w:rPr>
          <w:rFonts w:hint="eastAsia" w:cs="宋体" w:asciiTheme="majorEastAsia" w:hAnsiTheme="majorEastAsia" w:eastAsiaTheme="majorEastAsia"/>
          <w:snapToGrid w:val="0"/>
          <w:color w:val="auto"/>
          <w:kern w:val="0"/>
          <w:sz w:val="24"/>
          <w:highlight w:val="none"/>
        </w:rPr>
        <w:t>因承包人原因造成的工期延误，</w:t>
      </w:r>
      <w:r>
        <w:rPr>
          <w:rFonts w:hint="eastAsia" w:cs="宋体" w:asciiTheme="majorEastAsia" w:hAnsiTheme="majorEastAsia" w:eastAsiaTheme="majorEastAsia"/>
          <w:color w:val="auto"/>
          <w:sz w:val="24"/>
          <w:highlight w:val="none"/>
        </w:rPr>
        <w:t>承包人必须采取一切有效措施消化延误工期。</w:t>
      </w:r>
      <w:r>
        <w:rPr>
          <w:rFonts w:hint="eastAsia" w:cs="宋体" w:asciiTheme="majorEastAsia" w:hAnsiTheme="majorEastAsia" w:eastAsiaTheme="majorEastAsia"/>
          <w:snapToGrid w:val="0"/>
          <w:color w:val="auto"/>
          <w:kern w:val="0"/>
          <w:sz w:val="24"/>
          <w:highlight w:val="none"/>
        </w:rPr>
        <w:t>承包人还应当按照合同专用条款第38.8款的有关约定承担违约责任。</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（3）因承包人对</w:t>
      </w:r>
      <w:r>
        <w:rPr>
          <w:rFonts w:hint="eastAsia" w:cs="宋体" w:asciiTheme="majorEastAsia" w:hAnsiTheme="majorEastAsia" w:eastAsiaTheme="majorEastAsia"/>
          <w:bCs/>
          <w:snapToGrid w:val="0"/>
          <w:color w:val="auto"/>
          <w:kern w:val="0"/>
          <w:sz w:val="24"/>
          <w:highlight w:val="none"/>
        </w:rPr>
        <w:t>现场组织管理不力或未能提供协调、配合服务，以致专业工程的进度影响工期，承包人不得以此为由提出延长工期的要求。</w:t>
      </w:r>
    </w:p>
    <w:p>
      <w:pPr>
        <w:adjustRightInd w:val="0"/>
        <w:snapToGrid w:val="0"/>
        <w:spacing w:line="360" w:lineRule="auto"/>
        <w:ind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13.3</w:t>
      </w:r>
      <w:r>
        <w:rPr>
          <w:rFonts w:hint="eastAsia" w:cs="宋体" w:asciiTheme="majorEastAsia" w:hAnsiTheme="majorEastAsia" w:eastAsiaTheme="majorEastAsia"/>
          <w:snapToGrid w:val="0"/>
          <w:color w:val="auto"/>
          <w:kern w:val="0"/>
          <w:sz w:val="24"/>
          <w:highlight w:val="none"/>
        </w:rPr>
        <w:t>非承包人原因造成工期延误的，工期顺延，但发包人不补偿承包人由此产生的窝工、二次进场等相关损失；如发包人仍要求承包人按原计划工期完成，承包人须无条件配合，补偿费用双方另行协商。</w:t>
      </w:r>
    </w:p>
    <w:p>
      <w:pPr>
        <w:adjustRightInd w:val="0"/>
        <w:snapToGrid w:val="0"/>
        <w:spacing w:line="360" w:lineRule="auto"/>
        <w:ind w:right="11" w:firstLine="460" w:firstLineChars="192"/>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13.4对于非承包人原因发生的工期延误，承包人应当在工期延误发生后7天内就延误的内容和因此发生的经济支出向发包人提出书面报告；逾期不报告的，发包人不予确认。发包人代表在收到报告后10天内予以确认、答复，逾期不予答复的，承包人即可视为延期要求已被确认。</w:t>
      </w:r>
    </w:p>
    <w:p>
      <w:pPr>
        <w:adjustRightInd w:val="0"/>
        <w:snapToGrid w:val="0"/>
        <w:spacing w:line="360" w:lineRule="auto"/>
        <w:ind w:right="11" w:firstLine="482" w:firstLineChars="200"/>
        <w:outlineLvl w:val="2"/>
        <w:rPr>
          <w:rFonts w:cs="宋体" w:asciiTheme="majorEastAsia" w:hAnsiTheme="majorEastAsia" w:eastAsiaTheme="majorEastAsia"/>
          <w:b/>
          <w:snapToGrid w:val="0"/>
          <w:color w:val="auto"/>
          <w:kern w:val="0"/>
          <w:sz w:val="24"/>
          <w:highlight w:val="none"/>
        </w:rPr>
      </w:pPr>
      <w:bookmarkStart w:id="519" w:name="_Toc32673"/>
      <w:bookmarkStart w:id="520" w:name="_Toc397364909"/>
      <w:bookmarkStart w:id="521" w:name="_Toc140476921"/>
      <w:bookmarkStart w:id="522" w:name="_Toc21093"/>
      <w:r>
        <w:rPr>
          <w:rFonts w:hint="eastAsia" w:cs="宋体" w:asciiTheme="majorEastAsia" w:hAnsiTheme="majorEastAsia" w:eastAsiaTheme="majorEastAsia"/>
          <w:b/>
          <w:snapToGrid w:val="0"/>
          <w:color w:val="auto"/>
          <w:kern w:val="0"/>
          <w:sz w:val="24"/>
          <w:highlight w:val="none"/>
        </w:rPr>
        <w:t>14、工程竣工</w:t>
      </w:r>
      <w:bookmarkEnd w:id="519"/>
      <w:bookmarkEnd w:id="520"/>
      <w:bookmarkEnd w:id="521"/>
      <w:bookmarkEnd w:id="522"/>
    </w:p>
    <w:p>
      <w:pPr>
        <w:adjustRightInd w:val="0"/>
        <w:snapToGrid w:val="0"/>
        <w:spacing w:line="360" w:lineRule="auto"/>
        <w:ind w:right="11" w:firstLine="460" w:firstLineChars="192"/>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14.1承包人必须采取一切有效措施保证按照合同协议书约定或者</w:t>
      </w:r>
      <w:r>
        <w:rPr>
          <w:rFonts w:hint="eastAsia" w:cs="宋体" w:asciiTheme="majorEastAsia" w:hAnsiTheme="majorEastAsia" w:eastAsiaTheme="majorEastAsia"/>
          <w:bCs/>
          <w:snapToGrid w:val="0"/>
          <w:color w:val="auto"/>
          <w:kern w:val="0"/>
          <w:sz w:val="24"/>
          <w:highlight w:val="none"/>
        </w:rPr>
        <w:t>发包人根据工程实施情况调整</w:t>
      </w:r>
      <w:r>
        <w:rPr>
          <w:rFonts w:hint="eastAsia" w:cs="宋体" w:asciiTheme="majorEastAsia" w:hAnsiTheme="majorEastAsia" w:eastAsiaTheme="majorEastAsia"/>
          <w:snapToGrid w:val="0"/>
          <w:color w:val="auto"/>
          <w:kern w:val="0"/>
          <w:sz w:val="24"/>
          <w:highlight w:val="none"/>
        </w:rPr>
        <w:t>的竣工日期竣工，不得延误，除非发生了以下情形：</w:t>
      </w:r>
    </w:p>
    <w:p>
      <w:pPr>
        <w:adjustRightInd w:val="0"/>
        <w:snapToGrid w:val="0"/>
        <w:spacing w:line="360" w:lineRule="auto"/>
        <w:ind w:left="461" w:right="11"/>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（1）政府对本工程建设项目作出停建、缓建的决定；</w:t>
      </w:r>
    </w:p>
    <w:p>
      <w:pPr>
        <w:adjustRightInd w:val="0"/>
        <w:snapToGrid w:val="0"/>
        <w:spacing w:line="360" w:lineRule="auto"/>
        <w:ind w:left="461" w:right="11"/>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（2）重大设计变更导致本工程在规划、使用、功能方面有重大调整；</w:t>
      </w:r>
    </w:p>
    <w:p>
      <w:pPr>
        <w:adjustRightInd w:val="0"/>
        <w:snapToGrid w:val="0"/>
        <w:spacing w:line="360" w:lineRule="auto"/>
        <w:ind w:left="461" w:right="11"/>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（3）非因承包人原因造成关键节点工期延误达到30天以上；</w:t>
      </w:r>
    </w:p>
    <w:p>
      <w:pPr>
        <w:adjustRightInd w:val="0"/>
        <w:snapToGrid w:val="0"/>
        <w:spacing w:line="360" w:lineRule="auto"/>
        <w:ind w:left="461" w:right="11"/>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（4）其他非因承包人原因造成的竣工日期延误。</w:t>
      </w:r>
    </w:p>
    <w:p>
      <w:pPr>
        <w:adjustRightInd w:val="0"/>
        <w:snapToGrid w:val="0"/>
        <w:spacing w:line="360" w:lineRule="auto"/>
        <w:ind w:right="11"/>
        <w:rPr>
          <w:rFonts w:cs="宋体" w:asciiTheme="majorEastAsia" w:hAnsiTheme="majorEastAsia" w:eastAsiaTheme="majorEastAsia"/>
          <w:bCs/>
          <w:snapToGrid w:val="0"/>
          <w:color w:val="auto"/>
          <w:kern w:val="0"/>
          <w:sz w:val="24"/>
          <w:highlight w:val="none"/>
        </w:rPr>
      </w:pPr>
    </w:p>
    <w:p>
      <w:pPr>
        <w:adjustRightInd w:val="0"/>
        <w:snapToGrid w:val="0"/>
        <w:spacing w:line="360" w:lineRule="auto"/>
        <w:ind w:right="11"/>
        <w:outlineLvl w:val="1"/>
        <w:rPr>
          <w:rFonts w:cs="宋体" w:asciiTheme="majorEastAsia" w:hAnsiTheme="majorEastAsia" w:eastAsiaTheme="majorEastAsia"/>
          <w:b/>
          <w:bCs/>
          <w:snapToGrid w:val="0"/>
          <w:color w:val="auto"/>
          <w:kern w:val="0"/>
          <w:sz w:val="28"/>
          <w:szCs w:val="28"/>
          <w:highlight w:val="none"/>
        </w:rPr>
      </w:pPr>
      <w:bookmarkStart w:id="523" w:name="_Toc2856"/>
      <w:bookmarkStart w:id="524" w:name="_Toc397364910"/>
      <w:bookmarkStart w:id="525" w:name="_Toc2593"/>
      <w:bookmarkStart w:id="526" w:name="_Toc140476922"/>
      <w:r>
        <w:rPr>
          <w:rFonts w:hint="eastAsia" w:cs="宋体" w:asciiTheme="majorEastAsia" w:hAnsiTheme="majorEastAsia" w:eastAsiaTheme="majorEastAsia"/>
          <w:b/>
          <w:bCs/>
          <w:snapToGrid w:val="0"/>
          <w:color w:val="auto"/>
          <w:kern w:val="0"/>
          <w:sz w:val="28"/>
          <w:szCs w:val="28"/>
          <w:highlight w:val="none"/>
        </w:rPr>
        <w:t>四、质量与检验</w:t>
      </w:r>
      <w:bookmarkEnd w:id="523"/>
      <w:bookmarkEnd w:id="524"/>
      <w:bookmarkEnd w:id="525"/>
      <w:bookmarkEnd w:id="526"/>
    </w:p>
    <w:p>
      <w:pPr>
        <w:adjustRightInd w:val="0"/>
        <w:snapToGrid w:val="0"/>
        <w:spacing w:line="360" w:lineRule="auto"/>
        <w:ind w:right="11" w:firstLine="482" w:firstLineChars="200"/>
        <w:outlineLvl w:val="2"/>
        <w:rPr>
          <w:rFonts w:cs="宋体" w:asciiTheme="majorEastAsia" w:hAnsiTheme="majorEastAsia" w:eastAsiaTheme="majorEastAsia"/>
          <w:b/>
          <w:snapToGrid w:val="0"/>
          <w:color w:val="auto"/>
          <w:kern w:val="0"/>
          <w:sz w:val="24"/>
          <w:highlight w:val="none"/>
        </w:rPr>
      </w:pPr>
      <w:bookmarkStart w:id="527" w:name="_Toc140476923"/>
      <w:bookmarkStart w:id="528" w:name="_Toc9260"/>
      <w:bookmarkStart w:id="529" w:name="_Toc397364911"/>
      <w:bookmarkStart w:id="530" w:name="_Toc27360"/>
      <w:r>
        <w:rPr>
          <w:rFonts w:hint="eastAsia" w:cs="宋体" w:asciiTheme="majorEastAsia" w:hAnsiTheme="majorEastAsia" w:eastAsiaTheme="majorEastAsia"/>
          <w:b/>
          <w:snapToGrid w:val="0"/>
          <w:color w:val="auto"/>
          <w:kern w:val="0"/>
          <w:sz w:val="24"/>
          <w:highlight w:val="none"/>
        </w:rPr>
        <w:t>15、工程质量</w:t>
      </w:r>
      <w:bookmarkEnd w:id="527"/>
      <w:bookmarkEnd w:id="528"/>
      <w:bookmarkEnd w:id="529"/>
      <w:bookmarkEnd w:id="530"/>
    </w:p>
    <w:p>
      <w:pPr>
        <w:adjustRightInd w:val="0"/>
        <w:snapToGrid w:val="0"/>
        <w:spacing w:line="360" w:lineRule="auto"/>
        <w:ind w:firstLine="420" w:firstLineChars="175"/>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15.1工程质量标准</w:t>
      </w:r>
    </w:p>
    <w:p>
      <w:pPr>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（1）本合同工程质量标准按合同协议书第四条的约定执行。</w:t>
      </w:r>
    </w:p>
    <w:p>
      <w:pPr>
        <w:adjustRightInd w:val="0"/>
        <w:snapToGrid w:val="0"/>
        <w:spacing w:line="360" w:lineRule="auto"/>
        <w:ind w:right="11" w:firstLine="460" w:firstLineChars="192"/>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2）承包人必须确保工程一次验收合格。因承包人原因致使工程未一次验收合格的，由承包人按照合同专用条款第38.10（2）款的约定承担违约责任；因此导致工程不能按计划工期办理竣工验收的，由承包人按照合同专用条款第   38.8（5）款的约定承担违约责任。</w:t>
      </w:r>
    </w:p>
    <w:p>
      <w:pPr>
        <w:adjustRightInd w:val="0"/>
        <w:snapToGrid w:val="0"/>
        <w:spacing w:line="360" w:lineRule="auto"/>
        <w:ind w:right="11" w:firstLine="460" w:firstLineChars="192"/>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15.2工程质量争议与鉴定</w:t>
      </w:r>
    </w:p>
    <w:p>
      <w:pPr>
        <w:adjustRightInd w:val="0"/>
        <w:snapToGrid w:val="0"/>
        <w:spacing w:line="360" w:lineRule="auto"/>
        <w:ind w:right="11" w:firstLine="460" w:firstLineChars="192"/>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双方一致同意，对于本合同履行过程中的工程质量争议，由工程所在地负责工程质量监督的政府主管机构或部门依据《建筑工程施工质量验收统一标准》（GB50300-2013）系列各专业验收规范及设计文件等进行鉴定并按鉴定结论及有关规定承担责任。</w:t>
      </w:r>
    </w:p>
    <w:p>
      <w:pPr>
        <w:adjustRightInd w:val="0"/>
        <w:snapToGrid w:val="0"/>
        <w:spacing w:line="360" w:lineRule="auto"/>
        <w:ind w:firstLine="482"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b/>
          <w:snapToGrid w:val="0"/>
          <w:color w:val="auto"/>
          <w:kern w:val="0"/>
          <w:sz w:val="24"/>
          <w:highlight w:val="none"/>
        </w:rPr>
        <w:t>承包人和发包人一致同意增加15.3：</w:t>
      </w:r>
    </w:p>
    <w:p>
      <w:pPr>
        <w:adjustRightInd w:val="0"/>
        <w:snapToGrid w:val="0"/>
        <w:spacing w:line="360" w:lineRule="auto"/>
        <w:ind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15.3工程质量保证体系</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承包人应当完善质量管理制度，建立质量控制流程，进行全面质量管理（TQC），以《质量管理体系标准要求》（GB/T19000-2016）为标准，建立并保持一个有效的工程质量管理体系。为此，承包人必须做到（不限于）：</w:t>
      </w:r>
    </w:p>
    <w:p>
      <w:pPr>
        <w:adjustRightInd w:val="0"/>
        <w:snapToGrid w:val="0"/>
        <w:spacing w:line="360" w:lineRule="auto"/>
        <w:ind w:firstLine="48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建立完整的质量保证体系，委派专人负责工程质量管理，现场管理机构、工区（段）设有专职质检人员，班组设质检员，必须附有项目架构人员名单，各类人员必须持有上岗资格证，于本合同签订后5天内将上述人员报总监理工程师备查。承包人还应建立并完善各项目质量管理检查制度及企业质量管理文件等。</w:t>
      </w:r>
      <w:r>
        <w:rPr>
          <w:rFonts w:hint="eastAsia" w:cs="宋体" w:asciiTheme="majorEastAsia" w:hAnsiTheme="majorEastAsia" w:eastAsiaTheme="majorEastAsia"/>
          <w:bCs/>
          <w:snapToGrid w:val="0"/>
          <w:color w:val="auto"/>
          <w:kern w:val="0"/>
          <w:sz w:val="24"/>
          <w:highlight w:val="none"/>
        </w:rPr>
        <w:t>同时，承包人应积极配合工程质量第三方检测工作，并积极采用新材料、新工艺、新技术。</w:t>
      </w:r>
    </w:p>
    <w:p>
      <w:pPr>
        <w:adjustRightInd w:val="0"/>
        <w:snapToGrid w:val="0"/>
        <w:spacing w:line="360" w:lineRule="auto"/>
        <w:ind w:firstLine="48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（2）承包人提交总监理工程师批准的施工组织设计或者施工方案必须附有完备的工程质量保证措施，包括：工程质量预控措施，</w:t>
      </w:r>
      <w:r>
        <w:rPr>
          <w:rFonts w:hint="eastAsia" w:cs="宋体" w:asciiTheme="majorEastAsia" w:hAnsiTheme="majorEastAsia" w:eastAsiaTheme="majorEastAsia"/>
          <w:iCs/>
          <w:snapToGrid w:val="0"/>
          <w:color w:val="auto"/>
          <w:kern w:val="0"/>
          <w:sz w:val="24"/>
          <w:highlight w:val="none"/>
        </w:rPr>
        <w:t>工序质量控制点，</w:t>
      </w:r>
      <w:r>
        <w:rPr>
          <w:rFonts w:hint="eastAsia" w:cs="宋体" w:asciiTheme="majorEastAsia" w:hAnsiTheme="majorEastAsia" w:eastAsiaTheme="majorEastAsia"/>
          <w:snapToGrid w:val="0"/>
          <w:color w:val="auto"/>
          <w:kern w:val="0"/>
          <w:sz w:val="24"/>
          <w:highlight w:val="none"/>
        </w:rPr>
        <w:t>工程的标准工艺流程图和技术、组织措施，工程各分部、分项的关键工序、特殊工序控制、样板间制度等，以及重点分部（项）工程的施工方法，材料、制品试件取样及送检试验的方法或检测方案，成品保护的措施和方法，质量报表和质量事故的报告制度，等等。</w:t>
      </w:r>
    </w:p>
    <w:p>
      <w:pPr>
        <w:adjustRightInd w:val="0"/>
        <w:snapToGrid w:val="0"/>
        <w:spacing w:line="360" w:lineRule="auto"/>
        <w:ind w:firstLine="48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（3）单项工程开工前，承包人必须按要求对职工分级进行技术交底，组织学习有关规程、标准、规范和工艺要求（规程包括但不限于施工企业标准和作业指导书），在施工中必须按规程及工艺进行操作。</w:t>
      </w:r>
    </w:p>
    <w:p>
      <w:pPr>
        <w:adjustRightInd w:val="0"/>
        <w:snapToGrid w:val="0"/>
        <w:spacing w:line="360" w:lineRule="auto"/>
        <w:ind w:firstLine="48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w:t>
      </w:r>
      <w:r>
        <w:rPr>
          <w:rFonts w:cs="宋体" w:asciiTheme="majorEastAsia" w:hAnsiTheme="majorEastAsia" w:eastAsiaTheme="majorEastAsia"/>
          <w:snapToGrid w:val="0"/>
          <w:color w:val="auto"/>
          <w:kern w:val="0"/>
          <w:sz w:val="24"/>
          <w:highlight w:val="none"/>
        </w:rPr>
        <w:t>4</w:t>
      </w:r>
      <w:r>
        <w:rPr>
          <w:rFonts w:hint="eastAsia" w:cs="宋体" w:asciiTheme="majorEastAsia" w:hAnsiTheme="majorEastAsia" w:eastAsiaTheme="majorEastAsia"/>
          <w:snapToGrid w:val="0"/>
          <w:color w:val="auto"/>
          <w:kern w:val="0"/>
          <w:sz w:val="24"/>
          <w:highlight w:val="none"/>
        </w:rPr>
        <w:t>）按照《关于加强房屋建筑和市政基础设施工程混凝土试件标准养护管理的通知》（穗建质[2011]941号）、《关于加强工程使用混凝土质量管理的通知》（穗建质[2014]985号）和《广州市建设工程材料进场检验管理规定》（穗建质[2010]1084号）的要求，必须在施工现场建立混凝土试件标准养护室或放置标准养护箱。</w:t>
      </w:r>
    </w:p>
    <w:p>
      <w:pPr>
        <w:adjustRightInd w:val="0"/>
        <w:snapToGrid w:val="0"/>
        <w:spacing w:line="360" w:lineRule="auto"/>
        <w:ind w:firstLine="48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w:t>
      </w:r>
      <w:r>
        <w:rPr>
          <w:rFonts w:cs="宋体" w:asciiTheme="majorEastAsia" w:hAnsiTheme="majorEastAsia" w:eastAsiaTheme="majorEastAsia"/>
          <w:snapToGrid w:val="0"/>
          <w:color w:val="auto"/>
          <w:kern w:val="0"/>
          <w:sz w:val="24"/>
          <w:highlight w:val="none"/>
        </w:rPr>
        <w:t>5</w:t>
      </w:r>
      <w:r>
        <w:rPr>
          <w:rFonts w:hint="eastAsia" w:cs="宋体" w:asciiTheme="majorEastAsia" w:hAnsiTheme="majorEastAsia" w:eastAsiaTheme="majorEastAsia"/>
          <w:snapToGrid w:val="0"/>
          <w:color w:val="auto"/>
          <w:kern w:val="0"/>
          <w:sz w:val="24"/>
          <w:highlight w:val="none"/>
        </w:rPr>
        <w:t>）单项工程和重要部位（包括但不限于砌筑、批荡、管线安装、装修样板、公共样板段等）必须遵循先试验后铺开施工安装的程序，开工前承包人应熟悉施工图纸会审和设计变更内容并完成施工组织设计和必要的施工准备，送总监理工程师审查批准后方可进行试验性施工安装或首件制施工安装，先进行样板或样板房施工安装，由总监理工程师、发包人检验，符合要求后才能铺开施工安装或者批量生产。如样板或样板房施工安装因工艺或任何原因未能获得发包人接受，承包人须进行拆除、整改、重新施工安装等工作，直至获发包人接受，而有关的返工费用应由承包人负责，亦不得作为拖期的理由。</w:t>
      </w:r>
    </w:p>
    <w:p>
      <w:pPr>
        <w:adjustRightInd w:val="0"/>
        <w:snapToGrid w:val="0"/>
        <w:spacing w:line="360" w:lineRule="auto"/>
        <w:ind w:right="11" w:firstLine="482" w:firstLineChars="200"/>
        <w:outlineLvl w:val="2"/>
        <w:rPr>
          <w:rFonts w:cs="宋体" w:asciiTheme="majorEastAsia" w:hAnsiTheme="majorEastAsia" w:eastAsiaTheme="majorEastAsia"/>
          <w:b/>
          <w:snapToGrid w:val="0"/>
          <w:color w:val="auto"/>
          <w:kern w:val="0"/>
          <w:sz w:val="24"/>
          <w:highlight w:val="none"/>
        </w:rPr>
      </w:pPr>
      <w:bookmarkStart w:id="531" w:name="_Toc397364912"/>
      <w:bookmarkStart w:id="532" w:name="_Toc1700"/>
      <w:bookmarkStart w:id="533" w:name="_Toc22873"/>
      <w:bookmarkStart w:id="534" w:name="_Toc140476924"/>
      <w:r>
        <w:rPr>
          <w:rFonts w:hint="eastAsia" w:cs="宋体" w:asciiTheme="majorEastAsia" w:hAnsiTheme="majorEastAsia" w:eastAsiaTheme="majorEastAsia"/>
          <w:b/>
          <w:snapToGrid w:val="0"/>
          <w:color w:val="auto"/>
          <w:kern w:val="0"/>
          <w:sz w:val="24"/>
          <w:highlight w:val="none"/>
        </w:rPr>
        <w:t>16、检查和返工</w:t>
      </w:r>
      <w:bookmarkEnd w:id="531"/>
      <w:bookmarkEnd w:id="532"/>
      <w:bookmarkEnd w:id="533"/>
      <w:bookmarkEnd w:id="534"/>
    </w:p>
    <w:p>
      <w:pPr>
        <w:adjustRightInd w:val="0"/>
        <w:snapToGrid w:val="0"/>
        <w:spacing w:line="360" w:lineRule="auto"/>
        <w:ind w:firstLine="482" w:firstLineChars="200"/>
        <w:rPr>
          <w:rFonts w:cs="宋体" w:asciiTheme="majorEastAsia" w:hAnsiTheme="majorEastAsia" w:eastAsiaTheme="majorEastAsia"/>
          <w:b/>
          <w:snapToGrid w:val="0"/>
          <w:color w:val="auto"/>
          <w:kern w:val="0"/>
          <w:sz w:val="24"/>
          <w:highlight w:val="none"/>
        </w:rPr>
      </w:pPr>
      <w:r>
        <w:rPr>
          <w:rFonts w:hint="eastAsia" w:cs="宋体" w:asciiTheme="majorEastAsia" w:hAnsiTheme="majorEastAsia" w:eastAsiaTheme="majorEastAsia"/>
          <w:b/>
          <w:snapToGrid w:val="0"/>
          <w:color w:val="auto"/>
          <w:kern w:val="0"/>
          <w:sz w:val="24"/>
          <w:highlight w:val="none"/>
        </w:rPr>
        <w:t>承包人和发包人一致同意增加16.5至16.10：</w:t>
      </w:r>
    </w:p>
    <w:p>
      <w:pPr>
        <w:adjustRightInd w:val="0"/>
        <w:snapToGrid w:val="0"/>
        <w:spacing w:line="360" w:lineRule="auto"/>
        <w:ind w:firstLine="480" w:firstLineChars="200"/>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16.5对承包人采购的工程材料、设备及采用的工艺的查验</w:t>
      </w:r>
    </w:p>
    <w:p>
      <w:pPr>
        <w:adjustRightInd w:val="0"/>
        <w:snapToGrid w:val="0"/>
        <w:spacing w:line="360" w:lineRule="auto"/>
        <w:ind w:firstLine="480"/>
        <w:outlineLvl w:val="4"/>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实施工程的一切材料、设备及工艺，都必须符合工程设计及技术标准、规范的要求，并应当在用于工程之前经过检验或试验，不合格的不得使用。承包人要建立检验、试验制度，随时按总监理工程师的要求，在材料、设备的制造、加工或制配地点，或施工场地进行检验或试验，并应提供一切正常需要的手段，在材料、设备及工艺用于工程之前提供样品、样件，按照总监理工程师的选择和要求进行检验或试验。</w:t>
      </w:r>
    </w:p>
    <w:p>
      <w:pPr>
        <w:adjustRightInd w:val="0"/>
        <w:snapToGrid w:val="0"/>
        <w:spacing w:line="360" w:lineRule="auto"/>
        <w:ind w:firstLine="480" w:firstLineChars="200"/>
        <w:outlineLvl w:val="4"/>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总监理工程师有权在施工场地、库房以及为工程生产、加工、制配材料、设备的地点（无论这些地点是否属于承包人管辖）检查和检验按合同提供的材料、设备。承包人应为总监理工程师的检查和检验提供一切便利，包括提供人员和设备、材料等。总监理工程师的检查结果证明该材料、设备不符合合同要求的，必须拒绝这些材料、设备的使用，立即通知承包人并说明拒绝的理由。承包人在接到总监理工程师的通知后必须立即更换被拒绝的材料、设备。承包人拒不执行上述指令的，则发包人有权雇佣他人代为实施，由此产生的相关费用由承包人承担。</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发包人和总监理工程师认为有必要的，有权对已检查、检验过的材料、设备进行重复检查、检验，承包人应遵照执行。重复检查、检验的程序和内容适用前述约定。</w:t>
      </w:r>
    </w:p>
    <w:p>
      <w:pPr>
        <w:adjustRightInd w:val="0"/>
        <w:snapToGrid w:val="0"/>
        <w:spacing w:line="360" w:lineRule="auto"/>
        <w:ind w:firstLine="420"/>
        <w:outlineLvl w:val="4"/>
        <w:rPr>
          <w:rFonts w:cs="宋体" w:asciiTheme="majorEastAsia" w:hAnsiTheme="majorEastAsia" w:eastAsiaTheme="majorEastAsia"/>
          <w:i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（3）</w:t>
      </w:r>
      <w:r>
        <w:rPr>
          <w:rFonts w:hint="eastAsia" w:cs="宋体" w:asciiTheme="majorEastAsia" w:hAnsiTheme="majorEastAsia" w:eastAsiaTheme="majorEastAsia"/>
          <w:snapToGrid w:val="0"/>
          <w:color w:val="auto"/>
          <w:kern w:val="0"/>
          <w:sz w:val="24"/>
          <w:highlight w:val="none"/>
        </w:rPr>
        <w:t>在施工过程中，总监理工程师有权随时对工程材料、设备的使用进行抽查，包括成品、半成品、器具、设备、附件、小五金等。抽查范围、比例、数量、批次及检查深度可比国家</w:t>
      </w:r>
      <w:r>
        <w:rPr>
          <w:rFonts w:hint="eastAsia" w:cs="宋体" w:asciiTheme="majorEastAsia" w:hAnsiTheme="majorEastAsia" w:eastAsiaTheme="majorEastAsia"/>
          <w:iCs/>
          <w:snapToGrid w:val="0"/>
          <w:color w:val="auto"/>
          <w:kern w:val="0"/>
          <w:sz w:val="24"/>
          <w:highlight w:val="none"/>
        </w:rPr>
        <w:t>现行施工质量验收规范和</w:t>
      </w:r>
      <w:r>
        <w:rPr>
          <w:rFonts w:hint="eastAsia" w:cs="宋体" w:asciiTheme="majorEastAsia" w:hAnsiTheme="majorEastAsia" w:eastAsiaTheme="majorEastAsia"/>
          <w:snapToGrid w:val="0"/>
          <w:color w:val="auto"/>
          <w:kern w:val="0"/>
          <w:sz w:val="24"/>
          <w:highlight w:val="none"/>
        </w:rPr>
        <w:t>相关规定有所提高。</w:t>
      </w:r>
    </w:p>
    <w:p>
      <w:pPr>
        <w:adjustRightInd w:val="0"/>
        <w:snapToGrid w:val="0"/>
        <w:spacing w:line="360" w:lineRule="auto"/>
        <w:ind w:firstLine="42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工程材料、设备的质量依据下列顺序之标准认定（排序在前者优先）：</w:t>
      </w:r>
    </w:p>
    <w:p>
      <w:pPr>
        <w:adjustRightInd w:val="0"/>
        <w:snapToGrid w:val="0"/>
        <w:spacing w:line="360" w:lineRule="auto"/>
        <w:ind w:firstLine="42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1）本工程设计图纸规定的设计标准和发包人制定的材料标准及技术要求[不符合下列第4）项标准要求的除外]；</w:t>
      </w:r>
    </w:p>
    <w:p>
      <w:pPr>
        <w:adjustRightInd w:val="0"/>
        <w:snapToGrid w:val="0"/>
        <w:spacing w:line="360" w:lineRule="auto"/>
        <w:ind w:firstLine="420"/>
        <w:rPr>
          <w:rFonts w:cs="宋体" w:asciiTheme="majorEastAsia" w:hAnsiTheme="majorEastAsia" w:eastAsiaTheme="majorEastAsia"/>
          <w:iCs/>
          <w:snapToGrid w:val="0"/>
          <w:color w:val="auto"/>
          <w:kern w:val="0"/>
          <w:sz w:val="24"/>
          <w:highlight w:val="none"/>
        </w:rPr>
      </w:pPr>
      <w:r>
        <w:rPr>
          <w:rFonts w:hint="eastAsia" w:cs="宋体" w:asciiTheme="majorEastAsia" w:hAnsiTheme="majorEastAsia" w:eastAsiaTheme="majorEastAsia"/>
          <w:iCs/>
          <w:snapToGrid w:val="0"/>
          <w:color w:val="auto"/>
          <w:kern w:val="0"/>
          <w:sz w:val="24"/>
          <w:highlight w:val="none"/>
        </w:rPr>
        <w:t>2）招投标时确定的规格、技术指标、质量标准、品牌等</w:t>
      </w:r>
      <w:r>
        <w:rPr>
          <w:rFonts w:hint="eastAsia" w:cs="宋体" w:asciiTheme="majorEastAsia" w:hAnsiTheme="majorEastAsia" w:eastAsiaTheme="majorEastAsia"/>
          <w:snapToGrid w:val="0"/>
          <w:color w:val="auto"/>
          <w:kern w:val="0"/>
          <w:sz w:val="24"/>
          <w:highlight w:val="none"/>
        </w:rPr>
        <w:t>[不符合下列第4）项标准要求的除外]</w:t>
      </w:r>
      <w:r>
        <w:rPr>
          <w:rFonts w:hint="eastAsia" w:cs="宋体" w:asciiTheme="majorEastAsia" w:hAnsiTheme="majorEastAsia" w:eastAsiaTheme="majorEastAsia"/>
          <w:iCs/>
          <w:snapToGrid w:val="0"/>
          <w:color w:val="auto"/>
          <w:kern w:val="0"/>
          <w:sz w:val="24"/>
          <w:highlight w:val="none"/>
        </w:rPr>
        <w:t>；</w:t>
      </w:r>
    </w:p>
    <w:p>
      <w:pPr>
        <w:adjustRightInd w:val="0"/>
        <w:snapToGrid w:val="0"/>
        <w:spacing w:line="360" w:lineRule="auto"/>
        <w:ind w:firstLine="420"/>
        <w:rPr>
          <w:rFonts w:cs="宋体" w:asciiTheme="majorEastAsia" w:hAnsiTheme="majorEastAsia" w:eastAsiaTheme="majorEastAsia"/>
          <w:iCs/>
          <w:snapToGrid w:val="0"/>
          <w:color w:val="auto"/>
          <w:kern w:val="0"/>
          <w:sz w:val="24"/>
          <w:highlight w:val="none"/>
        </w:rPr>
      </w:pPr>
      <w:r>
        <w:rPr>
          <w:rFonts w:hint="eastAsia" w:cs="宋体" w:asciiTheme="majorEastAsia" w:hAnsiTheme="majorEastAsia" w:eastAsiaTheme="majorEastAsia"/>
          <w:iCs/>
          <w:snapToGrid w:val="0"/>
          <w:color w:val="auto"/>
          <w:kern w:val="0"/>
          <w:sz w:val="24"/>
          <w:highlight w:val="none"/>
        </w:rPr>
        <w:t>3）经设计单位、监理单位、承包人、发包人共同认定的产品封样、样板（包括样板房等）</w:t>
      </w:r>
      <w:r>
        <w:rPr>
          <w:rFonts w:hint="eastAsia" w:cs="宋体" w:asciiTheme="majorEastAsia" w:hAnsiTheme="majorEastAsia" w:eastAsiaTheme="majorEastAsia"/>
          <w:snapToGrid w:val="0"/>
          <w:color w:val="auto"/>
          <w:kern w:val="0"/>
          <w:sz w:val="24"/>
          <w:highlight w:val="none"/>
        </w:rPr>
        <w:t>[不符合下列第4）项标准要求的除外]</w:t>
      </w:r>
      <w:r>
        <w:rPr>
          <w:rFonts w:hint="eastAsia" w:cs="宋体" w:asciiTheme="majorEastAsia" w:hAnsiTheme="majorEastAsia" w:eastAsiaTheme="majorEastAsia"/>
          <w:iCs/>
          <w:snapToGrid w:val="0"/>
          <w:color w:val="auto"/>
          <w:kern w:val="0"/>
          <w:sz w:val="24"/>
          <w:highlight w:val="none"/>
        </w:rPr>
        <w:t>；</w:t>
      </w:r>
    </w:p>
    <w:p>
      <w:pPr>
        <w:adjustRightInd w:val="0"/>
        <w:snapToGrid w:val="0"/>
        <w:spacing w:line="360" w:lineRule="auto"/>
        <w:ind w:firstLine="42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4）国家或行业强制执行的技术标准、技术规范。</w:t>
      </w:r>
    </w:p>
    <w:p>
      <w:pPr>
        <w:adjustRightInd w:val="0"/>
        <w:snapToGrid w:val="0"/>
        <w:spacing w:line="360" w:lineRule="auto"/>
        <w:ind w:firstLine="42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工程材料、设备的抽查、检验结果与前款约定不符的，总监理工程师必须扩大对该批材料的抽查范围、增加数量抽检，检测试验单位进行检测试验应执行《建筑节能工程施工质量验收规范》（GB50411-2007）、《广东省建筑节能工程施工质量验收规范》（DBJ15-65-2009）等现行文件要求。承包人必须在监理单位或发包人书面通知的限期内将不符合要求的材料、设备全部无条件拆除、更换，并运出施工现场，由此所造成的工期延误、费用增加等一切损失均由承包人承担；同时，承包人还应当按照合同专用条款第38.9（1）款的约定承担违约责任。</w:t>
      </w:r>
    </w:p>
    <w:p>
      <w:pPr>
        <w:adjustRightInd w:val="0"/>
        <w:snapToGrid w:val="0"/>
        <w:spacing w:line="360" w:lineRule="auto"/>
        <w:ind w:right="11" w:firstLine="460" w:firstLineChars="192"/>
        <w:outlineLvl w:val="4"/>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iCs/>
          <w:snapToGrid w:val="0"/>
          <w:color w:val="auto"/>
          <w:kern w:val="0"/>
          <w:sz w:val="24"/>
          <w:highlight w:val="none"/>
        </w:rPr>
        <w:t>（4）总监理工程师对材料、设备或工程进行检查、检验的费用由承包人负担。总监理工程师或发包人进</w:t>
      </w:r>
      <w:r>
        <w:rPr>
          <w:rFonts w:hint="eastAsia" w:cs="宋体" w:asciiTheme="majorEastAsia" w:hAnsiTheme="majorEastAsia" w:eastAsiaTheme="majorEastAsia"/>
          <w:snapToGrid w:val="0"/>
          <w:color w:val="auto"/>
          <w:kern w:val="0"/>
          <w:sz w:val="24"/>
          <w:highlight w:val="none"/>
        </w:rPr>
        <w:t>行</w:t>
      </w:r>
      <w:r>
        <w:rPr>
          <w:rFonts w:hint="eastAsia" w:cs="宋体" w:asciiTheme="majorEastAsia" w:hAnsiTheme="majorEastAsia" w:eastAsiaTheme="majorEastAsia"/>
          <w:bCs/>
          <w:snapToGrid w:val="0"/>
          <w:color w:val="auto"/>
          <w:kern w:val="0"/>
          <w:sz w:val="24"/>
          <w:highlight w:val="none"/>
        </w:rPr>
        <w:t>重复检查、检验的，检查、检验的结果证明材料、设备或工程不符合合同、技术规范要求的，费用由承包人承担；符合合同、招标文件、技术规范要求的，费用由发包人承担。</w:t>
      </w:r>
    </w:p>
    <w:p>
      <w:pPr>
        <w:adjustRightInd w:val="0"/>
        <w:snapToGrid w:val="0"/>
        <w:spacing w:line="360" w:lineRule="auto"/>
        <w:ind w:firstLine="420"/>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16.6承包人应当</w:t>
      </w:r>
      <w:r>
        <w:rPr>
          <w:rFonts w:hint="eastAsia" w:cs="宋体" w:asciiTheme="majorEastAsia" w:hAnsiTheme="majorEastAsia" w:eastAsiaTheme="majorEastAsia"/>
          <w:snapToGrid w:val="0"/>
          <w:color w:val="auto"/>
          <w:kern w:val="0"/>
          <w:sz w:val="24"/>
          <w:highlight w:val="none"/>
        </w:rPr>
        <w:t>按照发包人、总监理工程师及有关规范要求，对施工各工序报验检查的质量控制点，先自检后报请总监理工程师复检。总监理工程师在接到承包人的自检结果后，应当及时复检。经复检发现存在质量问题的，则该工序质量为不合格，承包人必须全部返工，</w:t>
      </w:r>
      <w:r>
        <w:rPr>
          <w:rFonts w:hint="eastAsia" w:cs="宋体" w:asciiTheme="majorEastAsia" w:hAnsiTheme="majorEastAsia" w:eastAsiaTheme="majorEastAsia"/>
          <w:bCs/>
          <w:snapToGrid w:val="0"/>
          <w:color w:val="auto"/>
          <w:kern w:val="0"/>
          <w:sz w:val="24"/>
          <w:highlight w:val="none"/>
        </w:rPr>
        <w:t>由此所产生的工期延误和费用增加等全部损失由承包人承担，并由承包人按照</w:t>
      </w:r>
      <w:r>
        <w:rPr>
          <w:rFonts w:hint="eastAsia" w:cs="宋体" w:asciiTheme="majorEastAsia" w:hAnsiTheme="majorEastAsia" w:eastAsiaTheme="majorEastAsia"/>
          <w:snapToGrid w:val="0"/>
          <w:color w:val="auto"/>
          <w:kern w:val="0"/>
          <w:sz w:val="24"/>
          <w:highlight w:val="none"/>
        </w:rPr>
        <w:t>合同专用条款第38</w:t>
      </w:r>
      <w:r>
        <w:rPr>
          <w:rFonts w:hint="eastAsia" w:cs="宋体" w:asciiTheme="majorEastAsia" w:hAnsiTheme="majorEastAsia" w:eastAsiaTheme="majorEastAsia"/>
          <w:bCs/>
          <w:snapToGrid w:val="0"/>
          <w:color w:val="auto"/>
          <w:kern w:val="0"/>
          <w:sz w:val="24"/>
          <w:highlight w:val="none"/>
        </w:rPr>
        <w:t>.10（1）款的约定承担违约责任。</w:t>
      </w:r>
    </w:p>
    <w:p>
      <w:pPr>
        <w:adjustRightInd w:val="0"/>
        <w:snapToGrid w:val="0"/>
        <w:spacing w:line="360" w:lineRule="auto"/>
        <w:ind w:right="11" w:firstLine="460" w:firstLineChars="192"/>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16.7总监理工程师发现工程存在重大质量问题时，必须立即下达停工整改令。承包人必须在5天内提出书面整改措施，经总监理工程师和发包人批准后实施整改，由此所产生的工期延误和费用增加等全部损失，由承包人承担。承包人拒绝整改的，发包人有权暂停拨付工程款，并将未完工程另行发包。</w:t>
      </w:r>
    </w:p>
    <w:p>
      <w:pPr>
        <w:adjustRightInd w:val="0"/>
        <w:snapToGrid w:val="0"/>
        <w:spacing w:line="360" w:lineRule="auto"/>
        <w:ind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16.8承包人承诺：无论总监理工程师对工程是否进行并通过了各项检验，均不解除承包人对其承包的工程的质量所负的任何责任，除非质量问题是由于非承包人责任原因引起，而此类质量问题承包人须及时通知总监理工程师。在采用承包人设计的施工图施工和由承包人自行采购的材料、设备时，设计和制造所引起的质量责任由承包人承担。</w:t>
      </w:r>
    </w:p>
    <w:p>
      <w:pPr>
        <w:adjustRightInd w:val="0"/>
        <w:snapToGrid w:val="0"/>
        <w:spacing w:line="360" w:lineRule="auto"/>
        <w:ind w:firstLine="48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16.9承包人承诺：无论工程材料是采用甲供、甲招乙供、甲管乙供，还是乙供，均由承包人承担工程全面质量的责任。承包人应对各种材料按规范进行检查验收，拒绝不符合要求的材料用于工程。无论何种原因，出现不合格材料用于工程的情况，均由承包人承担相应的责任。</w:t>
      </w:r>
    </w:p>
    <w:p>
      <w:pPr>
        <w:adjustRightInd w:val="0"/>
        <w:snapToGrid w:val="0"/>
        <w:spacing w:line="360" w:lineRule="auto"/>
        <w:ind w:firstLine="48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16.10承包人应保证按照国家、地方、行业的有关规定，准确、及时做好日常工程技术资料的记录、整理和归档工作，保证记录中原始数据的真实性和及时性，监理单位或发包人有权抽查承包人日常工程技术资料的整理工作，若发现未按照规定及时做好资料整理工作，每发现三次，则由承包人按照合同专用条款第38.15款的约定承担违约责任。若发现原始记录数据不存在、不真实、不完整，经监理单位确认，发包人有权拒绝相应部分工程的工程量计量与支付，并视情节轻重，由承包人按照合同专用条款第38.15款的约定承担违约责任。</w:t>
      </w:r>
    </w:p>
    <w:p>
      <w:pPr>
        <w:adjustRightInd w:val="0"/>
        <w:snapToGrid w:val="0"/>
        <w:spacing w:line="360" w:lineRule="auto"/>
        <w:ind w:right="11" w:firstLine="482" w:firstLineChars="200"/>
        <w:outlineLvl w:val="2"/>
        <w:rPr>
          <w:rFonts w:cs="宋体" w:asciiTheme="majorEastAsia" w:hAnsiTheme="majorEastAsia" w:eastAsiaTheme="majorEastAsia"/>
          <w:b/>
          <w:snapToGrid w:val="0"/>
          <w:color w:val="auto"/>
          <w:kern w:val="0"/>
          <w:sz w:val="24"/>
          <w:highlight w:val="none"/>
        </w:rPr>
      </w:pPr>
      <w:bookmarkStart w:id="535" w:name="_Toc14277"/>
      <w:bookmarkStart w:id="536" w:name="_Toc397364913"/>
      <w:bookmarkStart w:id="537" w:name="_Toc24599"/>
      <w:bookmarkStart w:id="538" w:name="_Toc140476925"/>
      <w:r>
        <w:rPr>
          <w:rFonts w:hint="eastAsia" w:cs="宋体" w:asciiTheme="majorEastAsia" w:hAnsiTheme="majorEastAsia" w:eastAsiaTheme="majorEastAsia"/>
          <w:b/>
          <w:snapToGrid w:val="0"/>
          <w:color w:val="auto"/>
          <w:kern w:val="0"/>
          <w:sz w:val="24"/>
          <w:highlight w:val="none"/>
        </w:rPr>
        <w:t>17、隐蔽工程和中间验收</w:t>
      </w:r>
      <w:bookmarkEnd w:id="535"/>
      <w:bookmarkEnd w:id="536"/>
      <w:bookmarkEnd w:id="537"/>
      <w:bookmarkEnd w:id="538"/>
    </w:p>
    <w:p>
      <w:pPr>
        <w:adjustRightInd w:val="0"/>
        <w:snapToGrid w:val="0"/>
        <w:spacing w:line="360" w:lineRule="auto"/>
        <w:ind w:right="11" w:firstLine="460" w:firstLineChars="192"/>
        <w:outlineLvl w:val="3"/>
        <w:rPr>
          <w:rFonts w:cs="宋体" w:asciiTheme="majorEastAsia" w:hAnsiTheme="majorEastAsia" w:eastAsiaTheme="majorEastAsia"/>
          <w:bCs/>
          <w:i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17.1双方约定，中间验收按《关于印发&lt;建设工程中间验收监督管理规定&gt;的通知》（穗建监字[2001]68号）文执行，验收程序按合同通用条款第17条执行。验收人员组成：发包人、监理单位、承包</w:t>
      </w:r>
      <w:r>
        <w:rPr>
          <w:rFonts w:hint="eastAsia" w:cs="宋体" w:asciiTheme="majorEastAsia" w:hAnsiTheme="majorEastAsia" w:eastAsiaTheme="majorEastAsia"/>
          <w:bCs/>
          <w:iCs/>
          <w:snapToGrid w:val="0"/>
          <w:color w:val="auto"/>
          <w:kern w:val="0"/>
          <w:sz w:val="24"/>
          <w:highlight w:val="none"/>
        </w:rPr>
        <w:t>人及其他有关单位。</w:t>
      </w:r>
    </w:p>
    <w:p>
      <w:pPr>
        <w:adjustRightInd w:val="0"/>
        <w:snapToGrid w:val="0"/>
        <w:spacing w:line="360" w:lineRule="auto"/>
        <w:ind w:right="11" w:firstLine="463" w:firstLineChars="192"/>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
          <w:snapToGrid w:val="0"/>
          <w:color w:val="auto"/>
          <w:kern w:val="0"/>
          <w:sz w:val="24"/>
          <w:highlight w:val="none"/>
        </w:rPr>
        <w:t>承包人和发包人一致同意增加17.4、17.5：</w:t>
      </w:r>
    </w:p>
    <w:p>
      <w:pPr>
        <w:adjustRightInd w:val="0"/>
        <w:snapToGrid w:val="0"/>
        <w:spacing w:line="360" w:lineRule="auto"/>
        <w:ind w:right="11" w:firstLine="460" w:firstLineChars="192"/>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17.4</w:t>
      </w:r>
      <w:r>
        <w:rPr>
          <w:rFonts w:hint="eastAsia" w:cs="宋体" w:asciiTheme="majorEastAsia" w:hAnsiTheme="majorEastAsia" w:eastAsiaTheme="majorEastAsia"/>
          <w:snapToGrid w:val="0"/>
          <w:color w:val="auto"/>
          <w:kern w:val="0"/>
          <w:sz w:val="24"/>
          <w:highlight w:val="none"/>
        </w:rPr>
        <w:t>隐蔽工程或中间验收部位未经专业监理工程师验收合格，不得隐蔽或继续施工，否则该部分工程被视为不合格，</w:t>
      </w:r>
      <w:r>
        <w:rPr>
          <w:rFonts w:hint="eastAsia" w:cs="宋体" w:asciiTheme="majorEastAsia" w:hAnsiTheme="majorEastAsia" w:eastAsiaTheme="majorEastAsia"/>
          <w:bCs/>
          <w:snapToGrid w:val="0"/>
          <w:color w:val="auto"/>
          <w:kern w:val="0"/>
          <w:sz w:val="24"/>
          <w:highlight w:val="none"/>
        </w:rPr>
        <w:t>由此所产生的返工费用由承包人承担。</w:t>
      </w:r>
    </w:p>
    <w:p>
      <w:pPr>
        <w:adjustRightInd w:val="0"/>
        <w:snapToGrid w:val="0"/>
        <w:spacing w:line="360" w:lineRule="auto"/>
        <w:ind w:right="11" w:firstLine="460" w:firstLineChars="192"/>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17.5建设、监理单位或建设工程质量监督机构根据有关规定以及工程特点确定的涉及结构安全、重要使用功能、关键部位的其他分部（子分部）工程，须</w:t>
      </w:r>
      <w:r>
        <w:rPr>
          <w:rFonts w:hint="eastAsia" w:cs="宋体" w:asciiTheme="majorEastAsia" w:hAnsiTheme="majorEastAsia" w:eastAsiaTheme="majorEastAsia"/>
          <w:bCs/>
          <w:snapToGrid w:val="0"/>
          <w:color w:val="auto"/>
          <w:kern w:val="0"/>
          <w:sz w:val="24"/>
          <w:highlight w:val="none"/>
        </w:rPr>
        <w:t>《关于加强房屋建筑重要分部（子分部）工程质量验收工作的通知》（穗建质[2010]1063号）文规定，加强工程质量验收工作。</w:t>
      </w:r>
    </w:p>
    <w:p>
      <w:pPr>
        <w:adjustRightInd w:val="0"/>
        <w:snapToGrid w:val="0"/>
        <w:spacing w:line="360" w:lineRule="auto"/>
        <w:ind w:firstLine="472" w:firstLineChars="196"/>
        <w:outlineLvl w:val="2"/>
        <w:rPr>
          <w:rFonts w:cs="宋体" w:asciiTheme="majorEastAsia" w:hAnsiTheme="majorEastAsia" w:eastAsiaTheme="majorEastAsia"/>
          <w:b/>
          <w:snapToGrid w:val="0"/>
          <w:color w:val="auto"/>
          <w:kern w:val="0"/>
          <w:sz w:val="24"/>
          <w:highlight w:val="none"/>
        </w:rPr>
      </w:pPr>
      <w:bookmarkStart w:id="539" w:name="_Toc140476926"/>
      <w:r>
        <w:rPr>
          <w:rFonts w:hint="eastAsia" w:cs="宋体" w:asciiTheme="majorEastAsia" w:hAnsiTheme="majorEastAsia" w:eastAsiaTheme="majorEastAsia"/>
          <w:b/>
          <w:snapToGrid w:val="0"/>
          <w:color w:val="auto"/>
          <w:kern w:val="0"/>
          <w:sz w:val="24"/>
          <w:highlight w:val="none"/>
        </w:rPr>
        <w:t>19、工程试车</w:t>
      </w:r>
      <w:bookmarkEnd w:id="539"/>
    </w:p>
    <w:p>
      <w:pPr>
        <w:adjustRightInd w:val="0"/>
        <w:snapToGrid w:val="0"/>
        <w:spacing w:line="360" w:lineRule="auto"/>
        <w:ind w:firstLine="480" w:firstLineChars="200"/>
        <w:rPr>
          <w:rFonts w:cs="宋体" w:asciiTheme="majorEastAsia" w:hAnsiTheme="majorEastAsia" w:eastAsiaTheme="majorEastAsia"/>
          <w:b/>
          <w:bCs/>
          <w:snapToGrid w:val="0"/>
          <w:color w:val="auto"/>
          <w:kern w:val="0"/>
          <w:sz w:val="28"/>
          <w:szCs w:val="28"/>
          <w:highlight w:val="none"/>
        </w:rPr>
      </w:pPr>
      <w:r>
        <w:rPr>
          <w:rFonts w:cs="宋体" w:asciiTheme="majorEastAsia" w:hAnsiTheme="majorEastAsia" w:eastAsiaTheme="majorEastAsia"/>
          <w:snapToGrid w:val="0"/>
          <w:color w:val="auto"/>
          <w:kern w:val="0"/>
          <w:sz w:val="24"/>
          <w:highlight w:val="none"/>
        </w:rPr>
        <w:t>19.5</w:t>
      </w:r>
      <w:r>
        <w:rPr>
          <w:rFonts w:hint="eastAsia" w:cs="宋体" w:asciiTheme="majorEastAsia" w:hAnsiTheme="majorEastAsia" w:eastAsiaTheme="majorEastAsia"/>
          <w:snapToGrid w:val="0"/>
          <w:color w:val="auto"/>
          <w:kern w:val="0"/>
          <w:sz w:val="24"/>
          <w:highlight w:val="none"/>
        </w:rPr>
        <w:t>（4）试车费用</w:t>
      </w:r>
      <w:r>
        <w:rPr>
          <w:rFonts w:hint="eastAsia" w:cs="宋体" w:asciiTheme="majorEastAsia" w:hAnsiTheme="majorEastAsia" w:eastAsiaTheme="majorEastAsia"/>
          <w:iCs/>
          <w:snapToGrid w:val="0"/>
          <w:color w:val="auto"/>
          <w:kern w:val="0"/>
          <w:sz w:val="24"/>
          <w:highlight w:val="none"/>
        </w:rPr>
        <w:t>已包含在合同总价中，不再另行支付</w:t>
      </w:r>
      <w:r>
        <w:rPr>
          <w:rFonts w:hint="eastAsia" w:cs="宋体" w:asciiTheme="majorEastAsia" w:hAnsiTheme="majorEastAsia" w:eastAsiaTheme="majorEastAsia"/>
          <w:snapToGrid w:val="0"/>
          <w:color w:val="auto"/>
          <w:kern w:val="0"/>
          <w:sz w:val="24"/>
          <w:highlight w:val="none"/>
        </w:rPr>
        <w:t>。</w:t>
      </w:r>
    </w:p>
    <w:p>
      <w:pPr>
        <w:adjustRightInd w:val="0"/>
        <w:snapToGrid w:val="0"/>
        <w:spacing w:line="360" w:lineRule="auto"/>
        <w:ind w:right="11"/>
        <w:outlineLvl w:val="1"/>
        <w:rPr>
          <w:rFonts w:cs="宋体" w:asciiTheme="majorEastAsia" w:hAnsiTheme="majorEastAsia" w:eastAsiaTheme="majorEastAsia"/>
          <w:b/>
          <w:bCs/>
          <w:snapToGrid w:val="0"/>
          <w:color w:val="auto"/>
          <w:kern w:val="0"/>
          <w:sz w:val="28"/>
          <w:szCs w:val="28"/>
          <w:highlight w:val="none"/>
        </w:rPr>
      </w:pPr>
      <w:bookmarkStart w:id="540" w:name="_Toc397364914"/>
    </w:p>
    <w:p>
      <w:pPr>
        <w:adjustRightInd w:val="0"/>
        <w:snapToGrid w:val="0"/>
        <w:spacing w:line="360" w:lineRule="auto"/>
        <w:ind w:right="11"/>
        <w:outlineLvl w:val="1"/>
        <w:rPr>
          <w:rFonts w:cs="宋体" w:asciiTheme="majorEastAsia" w:hAnsiTheme="majorEastAsia" w:eastAsiaTheme="majorEastAsia"/>
          <w:b/>
          <w:bCs/>
          <w:snapToGrid w:val="0"/>
          <w:color w:val="auto"/>
          <w:kern w:val="0"/>
          <w:sz w:val="28"/>
          <w:szCs w:val="28"/>
          <w:highlight w:val="none"/>
        </w:rPr>
      </w:pPr>
      <w:bookmarkStart w:id="541" w:name="_Toc14218"/>
      <w:bookmarkStart w:id="542" w:name="_Toc140476927"/>
      <w:bookmarkStart w:id="543" w:name="_Toc2175"/>
      <w:r>
        <w:rPr>
          <w:rFonts w:hint="eastAsia" w:cs="宋体" w:asciiTheme="majorEastAsia" w:hAnsiTheme="majorEastAsia" w:eastAsiaTheme="majorEastAsia"/>
          <w:b/>
          <w:bCs/>
          <w:snapToGrid w:val="0"/>
          <w:color w:val="auto"/>
          <w:kern w:val="0"/>
          <w:sz w:val="28"/>
          <w:szCs w:val="28"/>
          <w:highlight w:val="none"/>
        </w:rPr>
        <w:t>五、安全文明施工</w:t>
      </w:r>
      <w:bookmarkEnd w:id="540"/>
      <w:bookmarkEnd w:id="541"/>
      <w:bookmarkEnd w:id="542"/>
      <w:bookmarkEnd w:id="543"/>
    </w:p>
    <w:p>
      <w:pPr>
        <w:adjustRightInd w:val="0"/>
        <w:snapToGrid w:val="0"/>
        <w:spacing w:line="360" w:lineRule="auto"/>
        <w:ind w:right="11" w:firstLine="482" w:firstLineChars="200"/>
        <w:outlineLvl w:val="2"/>
        <w:rPr>
          <w:rFonts w:cs="宋体" w:asciiTheme="majorEastAsia" w:hAnsiTheme="majorEastAsia" w:eastAsiaTheme="majorEastAsia"/>
          <w:b/>
          <w:snapToGrid w:val="0"/>
          <w:color w:val="auto"/>
          <w:kern w:val="0"/>
          <w:sz w:val="24"/>
          <w:highlight w:val="none"/>
        </w:rPr>
      </w:pPr>
      <w:bookmarkStart w:id="544" w:name="_Toc140476928"/>
      <w:bookmarkStart w:id="545" w:name="_Toc2836"/>
      <w:bookmarkStart w:id="546" w:name="_Toc23923"/>
      <w:bookmarkStart w:id="547" w:name="_Toc397364915"/>
      <w:r>
        <w:rPr>
          <w:rFonts w:hint="eastAsia" w:cs="宋体" w:asciiTheme="majorEastAsia" w:hAnsiTheme="majorEastAsia" w:eastAsiaTheme="majorEastAsia"/>
          <w:b/>
          <w:snapToGrid w:val="0"/>
          <w:color w:val="auto"/>
          <w:kern w:val="0"/>
          <w:sz w:val="24"/>
          <w:highlight w:val="none"/>
        </w:rPr>
        <w:t>20、施工场地的占用与管理</w:t>
      </w:r>
      <w:bookmarkEnd w:id="544"/>
      <w:bookmarkEnd w:id="545"/>
      <w:bookmarkEnd w:id="546"/>
    </w:p>
    <w:p>
      <w:pPr>
        <w:adjustRightInd w:val="0"/>
        <w:snapToGrid w:val="0"/>
        <w:spacing w:line="360" w:lineRule="auto"/>
        <w:ind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20.2</w:t>
      </w:r>
      <w:r>
        <w:rPr>
          <w:rFonts w:hint="eastAsia" w:cs="宋体" w:asciiTheme="majorEastAsia" w:hAnsiTheme="majorEastAsia" w:eastAsiaTheme="majorEastAsia"/>
          <w:snapToGrid w:val="0"/>
          <w:color w:val="auto"/>
          <w:kern w:val="0"/>
          <w:sz w:val="24"/>
          <w:highlight w:val="none"/>
        </w:rPr>
        <w:t>在工程实施期间，施工场地一经移交给承包人，承包人即对施工场地负有全过程、全面的管理责任，必须对施工场地范围内的治安秩序、安全保卫、环境卫生以及周围房屋、市政设施等全面负责，对施工场地范围内的交通道路、用水、用电、场地内的施工协调负责。承包人需对其施工场地布置、人员的管理、交通组织制订详细的方案，对施工时段作出合理安排，必须采用全封闭施工方案，确保不对周边环境、道路、行人和相邻施工现场造成不利影响，不得干扰周围居民的正常生活。</w:t>
      </w:r>
    </w:p>
    <w:p>
      <w:pPr>
        <w:adjustRightInd w:val="0"/>
        <w:snapToGrid w:val="0"/>
        <w:spacing w:line="360" w:lineRule="auto"/>
        <w:ind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20.3承包人必须在工程竣工初验后30天内或发包人规定的时间内（发包人将提前通知承包人），无条件清退所有施工场地。拒不清退的，发包人除向承包人收取租金（租金为每天人民币1元/m</w:t>
      </w:r>
      <w:r>
        <w:rPr>
          <w:rFonts w:hint="eastAsia" w:cs="宋体" w:asciiTheme="majorEastAsia" w:hAnsiTheme="majorEastAsia" w:eastAsiaTheme="majorEastAsia"/>
          <w:snapToGrid w:val="0"/>
          <w:color w:val="auto"/>
          <w:kern w:val="0"/>
          <w:sz w:val="24"/>
          <w:highlight w:val="none"/>
          <w:vertAlign w:val="superscript"/>
        </w:rPr>
        <w:t>2</w:t>
      </w:r>
      <w:r>
        <w:rPr>
          <w:rFonts w:hint="eastAsia" w:cs="宋体" w:asciiTheme="majorEastAsia" w:hAnsiTheme="majorEastAsia" w:eastAsiaTheme="majorEastAsia"/>
          <w:snapToGrid w:val="0"/>
          <w:color w:val="auto"/>
          <w:kern w:val="0"/>
          <w:sz w:val="24"/>
          <w:highlight w:val="none"/>
        </w:rPr>
        <w:t>）外，还有权暂停计价支付、工程结算、工程验收等工作，并由承包人承担由此而产生的一切后果（包括发包人因此而被第三方索赔所产生的损失）。</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对于临时房屋及设施，发包人认为有必要保留的，承包人在清退场地时应无条件保持完好并移交给发包人使用，并不得提出任何费用要求及其他要求。</w:t>
      </w:r>
    </w:p>
    <w:p>
      <w:pPr>
        <w:adjustRightInd w:val="0"/>
        <w:snapToGrid w:val="0"/>
        <w:spacing w:line="360" w:lineRule="auto"/>
        <w:ind w:right="11" w:firstLine="460" w:firstLineChars="192"/>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20.4承包人必须服从政府主管部门的执法检查和处罚，并按照检查结果进行整改。</w:t>
      </w:r>
    </w:p>
    <w:p>
      <w:pPr>
        <w:adjustRightInd w:val="0"/>
        <w:snapToGrid w:val="0"/>
        <w:spacing w:line="360" w:lineRule="auto"/>
        <w:ind w:right="11" w:firstLine="482" w:firstLineChars="200"/>
        <w:outlineLvl w:val="2"/>
        <w:rPr>
          <w:rFonts w:cs="宋体" w:asciiTheme="majorEastAsia" w:hAnsiTheme="majorEastAsia" w:eastAsiaTheme="majorEastAsia"/>
          <w:b/>
          <w:snapToGrid w:val="0"/>
          <w:color w:val="auto"/>
          <w:kern w:val="0"/>
          <w:sz w:val="24"/>
          <w:highlight w:val="none"/>
        </w:rPr>
      </w:pPr>
      <w:bookmarkStart w:id="548" w:name="_Toc140476929"/>
      <w:bookmarkStart w:id="549" w:name="_Toc15066"/>
      <w:bookmarkStart w:id="550" w:name="_Toc8191"/>
      <w:r>
        <w:rPr>
          <w:rFonts w:hint="eastAsia" w:cs="宋体" w:asciiTheme="majorEastAsia" w:hAnsiTheme="majorEastAsia" w:eastAsiaTheme="majorEastAsia"/>
          <w:b/>
          <w:snapToGrid w:val="0"/>
          <w:color w:val="auto"/>
          <w:kern w:val="0"/>
          <w:sz w:val="24"/>
          <w:highlight w:val="none"/>
        </w:rPr>
        <w:t>21、安全施工与检查</w:t>
      </w:r>
      <w:bookmarkEnd w:id="548"/>
      <w:bookmarkEnd w:id="549"/>
      <w:bookmarkEnd w:id="550"/>
    </w:p>
    <w:p>
      <w:pPr>
        <w:adjustRightInd w:val="0"/>
        <w:snapToGrid w:val="0"/>
        <w:spacing w:line="360" w:lineRule="auto"/>
        <w:ind w:right="11" w:firstLine="460" w:firstLineChars="192"/>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21.1</w:t>
      </w:r>
      <w:r>
        <w:rPr>
          <w:rFonts w:hint="eastAsia" w:cs="宋体" w:asciiTheme="majorEastAsia" w:hAnsiTheme="majorEastAsia" w:eastAsiaTheme="majorEastAsia"/>
          <w:snapToGrid w:val="0"/>
          <w:color w:val="auto"/>
          <w:kern w:val="0"/>
          <w:sz w:val="24"/>
          <w:highlight w:val="none"/>
        </w:rPr>
        <w:t>承包人应建立健全建筑施工</w:t>
      </w:r>
      <w:r>
        <w:rPr>
          <w:rFonts w:hint="eastAsia" w:cs="宋体" w:asciiTheme="majorEastAsia" w:hAnsiTheme="majorEastAsia" w:eastAsiaTheme="majorEastAsia"/>
          <w:bCs/>
          <w:snapToGrid w:val="0"/>
          <w:color w:val="auto"/>
          <w:kern w:val="0"/>
          <w:sz w:val="24"/>
          <w:highlight w:val="none"/>
        </w:rPr>
        <w:t>安全生产组织机构和</w:t>
      </w:r>
      <w:r>
        <w:rPr>
          <w:rFonts w:hint="eastAsia" w:cs="宋体" w:asciiTheme="majorEastAsia" w:hAnsiTheme="majorEastAsia" w:eastAsiaTheme="majorEastAsia"/>
          <w:snapToGrid w:val="0"/>
          <w:color w:val="auto"/>
          <w:kern w:val="0"/>
          <w:sz w:val="24"/>
          <w:highlight w:val="none"/>
        </w:rPr>
        <w:t>安全保证体系，</w:t>
      </w:r>
      <w:r>
        <w:rPr>
          <w:rFonts w:hint="eastAsia" w:cs="宋体" w:asciiTheme="majorEastAsia" w:hAnsiTheme="majorEastAsia" w:eastAsiaTheme="majorEastAsia"/>
          <w:bCs/>
          <w:snapToGrid w:val="0"/>
          <w:color w:val="auto"/>
          <w:kern w:val="0"/>
          <w:sz w:val="24"/>
          <w:highlight w:val="none"/>
        </w:rPr>
        <w:t>落实安全生产责任制，</w:t>
      </w:r>
      <w:r>
        <w:rPr>
          <w:rFonts w:hint="eastAsia" w:cs="宋体" w:asciiTheme="majorEastAsia" w:hAnsiTheme="majorEastAsia" w:eastAsiaTheme="majorEastAsia"/>
          <w:snapToGrid w:val="0"/>
          <w:color w:val="auto"/>
          <w:kern w:val="0"/>
          <w:sz w:val="24"/>
          <w:highlight w:val="none"/>
        </w:rPr>
        <w:t>按照工程建设安全生产的有关管理规定，采取相应措施，负责现场全部作业的安全，并对此承担全部责任。</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21.2承包人应遵守《安全生产法》、《建设工程安全管理条例》及建设行政主管部门颁发的有关管理规定，严格按《建筑施工安全检查标准》组织施工，并随时接受行业安全检查人员依法实施的监督检查，采取必要的安全防护措施，消除事故隐患。由于承包人安全措施不力造成事故的责任和因此发生的费用，由承包人承担。</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21.3承包人必须按照《建筑施工企业安全生产管理机构设置及专职安全生产管理人员配备办法》的要求，配备从事安全生产管理工作的专职安全生产管理人员，专职安全生产管理人员必须持证上岗。</w:t>
      </w:r>
    </w:p>
    <w:p>
      <w:pPr>
        <w:adjustRightInd w:val="0"/>
        <w:snapToGrid w:val="0"/>
        <w:spacing w:line="360" w:lineRule="auto"/>
        <w:ind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21.4</w:t>
      </w:r>
      <w:r>
        <w:rPr>
          <w:rFonts w:hint="eastAsia" w:cs="宋体" w:asciiTheme="majorEastAsia" w:hAnsiTheme="majorEastAsia" w:eastAsiaTheme="majorEastAsia"/>
          <w:snapToGrid w:val="0"/>
          <w:color w:val="auto"/>
          <w:kern w:val="0"/>
          <w:sz w:val="24"/>
          <w:highlight w:val="none"/>
        </w:rPr>
        <w:t>承包人在施工中必须制定定期检查制度，加强对自身及其总承包管理范围内各专业单位在安全施工方面的检查、监督管理；若被发现存在严重安全隐患的，应按照合同专用条款第38.11（1）、（2）款的约定承担违约责任。</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21.5发包人不得要求承包人违反安全管理的规定进行施工。因发包人原因导致的安全事故，由发包人承担相应责任及发生的费用。</w:t>
      </w:r>
    </w:p>
    <w:p>
      <w:pPr>
        <w:adjustRightInd w:val="0"/>
        <w:snapToGrid w:val="0"/>
        <w:spacing w:line="360" w:lineRule="auto"/>
        <w:ind w:right="11" w:firstLine="482" w:firstLineChars="200"/>
        <w:outlineLvl w:val="2"/>
        <w:rPr>
          <w:rFonts w:cs="宋体" w:asciiTheme="majorEastAsia" w:hAnsiTheme="majorEastAsia" w:eastAsiaTheme="majorEastAsia"/>
          <w:b/>
          <w:snapToGrid w:val="0"/>
          <w:color w:val="auto"/>
          <w:kern w:val="0"/>
          <w:sz w:val="24"/>
          <w:highlight w:val="none"/>
        </w:rPr>
      </w:pPr>
      <w:bookmarkStart w:id="551" w:name="_Toc17445"/>
      <w:bookmarkStart w:id="552" w:name="_Toc4020"/>
      <w:bookmarkStart w:id="553" w:name="_Toc140476930"/>
      <w:r>
        <w:rPr>
          <w:rFonts w:hint="eastAsia" w:cs="宋体" w:asciiTheme="majorEastAsia" w:hAnsiTheme="majorEastAsia" w:eastAsiaTheme="majorEastAsia"/>
          <w:b/>
          <w:snapToGrid w:val="0"/>
          <w:color w:val="auto"/>
          <w:kern w:val="0"/>
          <w:sz w:val="24"/>
          <w:highlight w:val="none"/>
        </w:rPr>
        <w:t>22、安全防护</w:t>
      </w:r>
      <w:bookmarkEnd w:id="551"/>
      <w:bookmarkEnd w:id="552"/>
      <w:bookmarkEnd w:id="553"/>
    </w:p>
    <w:p>
      <w:pPr>
        <w:adjustRightInd w:val="0"/>
        <w:snapToGrid w:val="0"/>
        <w:spacing w:line="360" w:lineRule="auto"/>
        <w:ind w:right="11" w:firstLine="463" w:firstLineChars="192"/>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
          <w:snapToGrid w:val="0"/>
          <w:color w:val="auto"/>
          <w:kern w:val="0"/>
          <w:sz w:val="24"/>
          <w:highlight w:val="none"/>
        </w:rPr>
        <w:t>承包人和发包人一致同意增加22.3、22.4：</w:t>
      </w:r>
    </w:p>
    <w:p>
      <w:pPr>
        <w:adjustRightInd w:val="0"/>
        <w:snapToGrid w:val="0"/>
        <w:spacing w:line="360" w:lineRule="auto"/>
        <w:ind w:firstLine="480"/>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22.3本工程的绿色施工安全防护措施费包括但不限于合同通用条款第22.1款、第22.2款所列明的费用，所有绿色施工安全防护措施费已包含在合同价款之中。</w:t>
      </w:r>
    </w:p>
    <w:p>
      <w:pPr>
        <w:adjustRightInd w:val="0"/>
        <w:snapToGrid w:val="0"/>
        <w:spacing w:line="360" w:lineRule="auto"/>
        <w:ind w:firstLine="480"/>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 xml:space="preserve">22.4项目的实施要求须满足《建筑施工安全检查标准》（JGJ59-2011）、《广州市建设工程文明施工管理规定》（广州市人民政府令第62号）、《广州市城乡建设委员会关于印发广州市加强建筑工地环保管理工作方案的通知》（穗建质[2014]754号）、《广州市住房和城乡建设局等9部门关于印发广州市建设工程绿色施工围蔽指导图集（V2.0版）的通知》（穗建质〔2020〕1号）等相关现行文件要求及发包人制定的相关工程管理办法的要求，并应当做到： </w:t>
      </w:r>
    </w:p>
    <w:p>
      <w:pPr>
        <w:adjustRightInd w:val="0"/>
        <w:snapToGrid w:val="0"/>
        <w:spacing w:line="360" w:lineRule="auto"/>
        <w:ind w:firstLine="48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（1）加强对职业健康安全应急预案、安全技术方案的审查管理工作。</w:t>
      </w:r>
    </w:p>
    <w:p>
      <w:pPr>
        <w:adjustRightInd w:val="0"/>
        <w:snapToGrid w:val="0"/>
        <w:spacing w:line="360" w:lineRule="auto"/>
        <w:ind w:firstLine="48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（2）保护所有在现场人员的安全，保护其管辖范围内的现场以及尚未完</w:t>
      </w:r>
      <w:r>
        <w:rPr>
          <w:rFonts w:hint="eastAsia" w:cs="宋体" w:asciiTheme="majorEastAsia" w:hAnsiTheme="majorEastAsia" w:eastAsiaTheme="majorEastAsia"/>
          <w:snapToGrid w:val="0"/>
          <w:color w:val="auto"/>
          <w:kern w:val="0"/>
          <w:sz w:val="24"/>
          <w:highlight w:val="none"/>
        </w:rPr>
        <w:t>工的和发包人尚未占用的工程处于良好的安全状态。</w:t>
      </w:r>
    </w:p>
    <w:p>
      <w:pPr>
        <w:adjustRightInd w:val="0"/>
        <w:snapToGrid w:val="0"/>
        <w:spacing w:line="360" w:lineRule="auto"/>
        <w:ind w:right="11" w:firstLine="460" w:firstLineChars="192"/>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（3）在需要的时间和地点，根据总监理工程师、发包人或者当地政府的要求，提供和维持所有的照明灯光、护板、围墙、栅栏、警告信号标志和值班人员，对工程进行保护和为公众提供安全和方便。</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承包人应采取适当措施，确保其工作人员和劳务人员的身体健康，遵照当地卫生部门的要求保证在施工的全过程中，在工地、宿舍和工棚，备有医疗人员、急救设施、药品和治疗室等，并为预防传染病和一切必要的福利、卫生要求作出安排，建立“疾病应急小组”，制订应急措施。若出现任何重大或恶性传染性的疾病（如：非典型性肺炎、新型冠状病毒肺炎）时，承包人必须遵守并执行省市卫生部门为处理和控制上述传染病而制定的规章、命令和要求，迅速向发包人和工程所在地疾病控制中心报告。</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5）承包人必须按照《危险性较大的分部分项工程安全管理规定》（住房城乡建设部令第37号）、《广东省住房和城乡建设厅关于房屋市政工程危险性较大的分部分项工程安全管理的实施细则》等最新法律法规要求，严格实施合同内所涉及的危险性较大或超一定规模危险性较大分部分项工程。承包人必须按专项施工方案组织施工，不得擅自修改专项施工方案。</w:t>
      </w:r>
      <w:bookmarkEnd w:id="547"/>
    </w:p>
    <w:p>
      <w:pPr>
        <w:adjustRightInd w:val="0"/>
        <w:snapToGrid w:val="0"/>
        <w:spacing w:line="360" w:lineRule="auto"/>
        <w:ind w:right="11" w:firstLine="482" w:firstLineChars="200"/>
        <w:outlineLvl w:val="2"/>
        <w:rPr>
          <w:rFonts w:cs="宋体" w:asciiTheme="majorEastAsia" w:hAnsiTheme="majorEastAsia" w:eastAsiaTheme="majorEastAsia"/>
          <w:b/>
          <w:snapToGrid w:val="0"/>
          <w:color w:val="auto"/>
          <w:kern w:val="0"/>
          <w:sz w:val="24"/>
          <w:highlight w:val="none"/>
        </w:rPr>
      </w:pPr>
      <w:bookmarkStart w:id="554" w:name="_Toc140476931"/>
      <w:bookmarkStart w:id="555" w:name="_Toc24796"/>
      <w:bookmarkStart w:id="556" w:name="_Toc24055"/>
      <w:bookmarkStart w:id="557" w:name="_Toc397364918"/>
      <w:r>
        <w:rPr>
          <w:rFonts w:hint="eastAsia" w:cs="宋体" w:asciiTheme="majorEastAsia" w:hAnsiTheme="majorEastAsia" w:eastAsiaTheme="majorEastAsia"/>
          <w:b/>
          <w:snapToGrid w:val="0"/>
          <w:color w:val="auto"/>
          <w:kern w:val="0"/>
          <w:sz w:val="24"/>
          <w:highlight w:val="none"/>
        </w:rPr>
        <w:t>23、事故处理</w:t>
      </w:r>
      <w:bookmarkEnd w:id="554"/>
      <w:bookmarkEnd w:id="555"/>
      <w:bookmarkEnd w:id="556"/>
      <w:bookmarkEnd w:id="557"/>
    </w:p>
    <w:p>
      <w:pPr>
        <w:adjustRightInd w:val="0"/>
        <w:snapToGrid w:val="0"/>
        <w:spacing w:line="360" w:lineRule="auto"/>
        <w:ind w:right="11" w:firstLine="463" w:firstLineChars="192"/>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
          <w:snapToGrid w:val="0"/>
          <w:color w:val="auto"/>
          <w:kern w:val="0"/>
          <w:sz w:val="24"/>
          <w:highlight w:val="none"/>
        </w:rPr>
        <w:t>承包人和发包人一致同意增加23.3、23.4：</w:t>
      </w:r>
    </w:p>
    <w:p>
      <w:pPr>
        <w:adjustRightInd w:val="0"/>
        <w:snapToGrid w:val="0"/>
        <w:spacing w:line="360" w:lineRule="auto"/>
        <w:ind w:right="11"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23.3因承包人责任过失造成安全事故的，除按照国家规定由行政主管部门给予承包人处罚外，承包人还应负责赔偿发包人的损失，并按照合同专用条款第38.11（3）款的约定承担违约责任。</w:t>
      </w:r>
    </w:p>
    <w:p>
      <w:pPr>
        <w:pStyle w:val="20"/>
        <w:adjustRightInd w:val="0"/>
        <w:snapToGrid w:val="0"/>
        <w:spacing w:line="360" w:lineRule="auto"/>
        <w:ind w:firstLine="48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23.4承包人应保证发包人免于受到或承担应由承包人负责的因承包人现场施工所引起的或与之有关的索赔、诉讼以及其他开支；若有证据证实发包人因此发生了索赔、诉讼以及其他开支，承包人必须在接到发包人通知后三天内据实补偿发包人因此所受到的损失或者由发包人在承包人工程款项中予以扣除。</w:t>
      </w:r>
    </w:p>
    <w:p>
      <w:pPr>
        <w:adjustRightInd w:val="0"/>
        <w:snapToGrid w:val="0"/>
        <w:spacing w:line="360" w:lineRule="auto"/>
        <w:ind w:right="11" w:firstLine="482" w:firstLineChars="200"/>
        <w:outlineLvl w:val="2"/>
        <w:rPr>
          <w:rFonts w:cs="宋体" w:asciiTheme="majorEastAsia" w:hAnsiTheme="majorEastAsia" w:eastAsiaTheme="majorEastAsia"/>
          <w:b/>
          <w:snapToGrid w:val="0"/>
          <w:color w:val="auto"/>
          <w:kern w:val="0"/>
          <w:sz w:val="24"/>
          <w:highlight w:val="none"/>
        </w:rPr>
      </w:pPr>
      <w:bookmarkStart w:id="558" w:name="_Toc4280"/>
      <w:bookmarkStart w:id="559" w:name="_Toc6564"/>
      <w:bookmarkStart w:id="560" w:name="_Toc140476932"/>
      <w:bookmarkStart w:id="561" w:name="_Toc397364919"/>
      <w:r>
        <w:rPr>
          <w:rFonts w:hint="eastAsia" w:cs="宋体" w:asciiTheme="majorEastAsia" w:hAnsiTheme="majorEastAsia" w:eastAsiaTheme="majorEastAsia"/>
          <w:b/>
          <w:snapToGrid w:val="0"/>
          <w:color w:val="auto"/>
          <w:kern w:val="0"/>
          <w:sz w:val="24"/>
          <w:highlight w:val="none"/>
        </w:rPr>
        <w:t>24、文明施工与环境保护</w:t>
      </w:r>
      <w:bookmarkEnd w:id="558"/>
      <w:bookmarkEnd w:id="559"/>
      <w:bookmarkEnd w:id="560"/>
      <w:bookmarkEnd w:id="561"/>
    </w:p>
    <w:p>
      <w:pPr>
        <w:adjustRightInd w:val="0"/>
        <w:snapToGrid w:val="0"/>
        <w:spacing w:line="360" w:lineRule="auto"/>
        <w:ind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24.1承包人应严格落实文明施工措施，否则按合同专用条款第38.12款的约定承担违约责任。</w:t>
      </w:r>
    </w:p>
    <w:p>
      <w:pPr>
        <w:adjustRightInd w:val="0"/>
        <w:snapToGrid w:val="0"/>
        <w:spacing w:line="360" w:lineRule="auto"/>
        <w:ind w:right="11" w:firstLine="460" w:firstLineChars="192"/>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24.2</w:t>
      </w:r>
      <w:r>
        <w:rPr>
          <w:rFonts w:hint="eastAsia" w:cs="宋体" w:asciiTheme="majorEastAsia" w:hAnsiTheme="majorEastAsia" w:eastAsiaTheme="majorEastAsia"/>
          <w:snapToGrid w:val="0"/>
          <w:color w:val="auto"/>
          <w:kern w:val="0"/>
          <w:sz w:val="24"/>
          <w:highlight w:val="none"/>
        </w:rPr>
        <w:t>承包人应在进入现场前提交施工期间的环境保护方案一式四份，经总监理工程师批准后实施。环境保护方案必须包括：施工现场所必须的照明灯光、护板、围护、栅栏、警告标志和值班人员名单，以及建筑垃圾、施工和生活污水、噪音、粉尘的处理排放方案。在实施过程中所采用的材料、设备等尚应满足国家相关规定要求。</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承包人应在现场布置足量裸土覆盖物资、喷淋洒水设备、洒水车等防尘降尘措施，做到建筑施工现场扬尘治理“六个百分之百”标准。</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对于承包人施工过程中造成的环境污染问题，经发包人或者总监理工程师指出后，承包人未能在24小时之内采取整治措施，或者所采取的整治措施未能有效消除污染的，发包人可以自行或者委托他人代为整治，由此所产生的一切损失、费用均由承包人承担。</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对于发包人直接发包的专业承包单位在施工过程中造成的环境污染（包括文明施工混乱），承包人必须配合发包人及监理单位，督促该专业承包单位立即采取整治措施，如果该专业承包单位不服从承包人的整治要求，承包人必须自行组织及时完成环境污染的整治工作并向总监理工程师及发包人书面汇报其过程及效果，由此产生的费用经总监理工程师及发包人审核确认，从该专业承包单位的工程款项中扣除，由发包人将该笔款项直接支付给承包人。由于承包人管理督促不力或漠视不理，以致专业承包单位未能及时整治或不进行整治而造成的一切损失均由承包人承担，同时承包人还必须按合同专用条款第38.12款的约定承担相应的违约责任。</w:t>
      </w:r>
    </w:p>
    <w:p>
      <w:pPr>
        <w:adjustRightInd w:val="0"/>
        <w:snapToGrid w:val="0"/>
        <w:spacing w:line="360" w:lineRule="auto"/>
        <w:ind w:right="11" w:firstLine="463" w:firstLineChars="192"/>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
          <w:snapToGrid w:val="0"/>
          <w:color w:val="auto"/>
          <w:kern w:val="0"/>
          <w:sz w:val="24"/>
          <w:highlight w:val="none"/>
        </w:rPr>
        <w:t>承包人和发包人一致同意增加24.3：</w:t>
      </w:r>
    </w:p>
    <w:p>
      <w:pPr>
        <w:adjustRightInd w:val="0"/>
        <w:snapToGrid w:val="0"/>
        <w:spacing w:line="360" w:lineRule="auto"/>
        <w:ind w:right="11" w:firstLine="460" w:firstLineChars="192"/>
        <w:outlineLvl w:val="3"/>
        <w:rPr>
          <w:rFonts w:cs="宋体" w:asciiTheme="majorEastAsia" w:hAnsiTheme="majorEastAsia" w:eastAsiaTheme="majorEastAsia"/>
          <w:bCs/>
          <w:i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24.3</w:t>
      </w:r>
      <w:r>
        <w:rPr>
          <w:rFonts w:hint="eastAsia" w:cs="宋体" w:asciiTheme="majorEastAsia" w:hAnsiTheme="majorEastAsia" w:eastAsiaTheme="majorEastAsia"/>
          <w:bCs/>
          <w:iCs/>
          <w:snapToGrid w:val="0"/>
          <w:color w:val="auto"/>
          <w:kern w:val="0"/>
          <w:sz w:val="24"/>
          <w:highlight w:val="none"/>
        </w:rPr>
        <w:t>承包人承诺：所有施工所需的安全设施设备、机具以及围蔽、护栏、临边防护、施工通道、劳护用品等全部按《广东省建筑施工安全生产标准化》及《广州市建筑工程安全生产标准化图集》等国家、省、市发布的法律、法规、规范、标准要求统一实施。安全文明施工、绿色施工的内容按中标后承包人向发包人提交且经发包人批准的详细的施工组织设计实施，但安全防护、文明施工的投标总报价不变。</w:t>
      </w:r>
    </w:p>
    <w:p>
      <w:pPr>
        <w:pStyle w:val="20"/>
        <w:adjustRightInd w:val="0"/>
        <w:snapToGrid w:val="0"/>
        <w:spacing w:line="360" w:lineRule="auto"/>
        <w:ind w:firstLine="465"/>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在合同工期内，发包人、总监理工程师对承包人的安全文明施工及环境保护措施进行定期检查，并按招标文件规定的项目和款项执行奖罚。</w:t>
      </w:r>
    </w:p>
    <w:p>
      <w:pPr>
        <w:pStyle w:val="20"/>
        <w:adjustRightInd w:val="0"/>
        <w:snapToGrid w:val="0"/>
        <w:spacing w:line="360" w:lineRule="auto"/>
        <w:rPr>
          <w:rFonts w:cs="宋体" w:asciiTheme="majorEastAsia" w:hAnsiTheme="majorEastAsia" w:eastAsiaTheme="majorEastAsia"/>
          <w:snapToGrid w:val="0"/>
          <w:color w:val="auto"/>
          <w:kern w:val="0"/>
          <w:highlight w:val="none"/>
        </w:rPr>
      </w:pPr>
    </w:p>
    <w:p>
      <w:pPr>
        <w:adjustRightInd w:val="0"/>
        <w:snapToGrid w:val="0"/>
        <w:spacing w:line="360" w:lineRule="auto"/>
        <w:ind w:right="11" w:firstLine="413" w:firstLineChars="147"/>
        <w:outlineLvl w:val="1"/>
        <w:rPr>
          <w:rFonts w:cs="宋体" w:asciiTheme="majorEastAsia" w:hAnsiTheme="majorEastAsia" w:eastAsiaTheme="majorEastAsia"/>
          <w:b/>
          <w:bCs/>
          <w:snapToGrid w:val="0"/>
          <w:color w:val="auto"/>
          <w:kern w:val="0"/>
          <w:sz w:val="28"/>
          <w:szCs w:val="28"/>
          <w:highlight w:val="none"/>
        </w:rPr>
      </w:pPr>
      <w:bookmarkStart w:id="562" w:name="_Toc140476933"/>
      <w:bookmarkStart w:id="563" w:name="_Toc32454"/>
      <w:bookmarkStart w:id="564" w:name="_Toc22646"/>
      <w:bookmarkStart w:id="565" w:name="_Toc397364920"/>
      <w:r>
        <w:rPr>
          <w:rFonts w:hint="eastAsia" w:cs="宋体" w:asciiTheme="majorEastAsia" w:hAnsiTheme="majorEastAsia" w:eastAsiaTheme="majorEastAsia"/>
          <w:b/>
          <w:bCs/>
          <w:snapToGrid w:val="0"/>
          <w:color w:val="auto"/>
          <w:kern w:val="0"/>
          <w:sz w:val="28"/>
          <w:szCs w:val="28"/>
          <w:highlight w:val="none"/>
        </w:rPr>
        <w:t>六、合同价款与支付</w:t>
      </w:r>
      <w:bookmarkEnd w:id="562"/>
      <w:bookmarkEnd w:id="563"/>
      <w:bookmarkEnd w:id="564"/>
      <w:bookmarkEnd w:id="565"/>
    </w:p>
    <w:p>
      <w:pPr>
        <w:adjustRightInd w:val="0"/>
        <w:snapToGrid w:val="0"/>
        <w:spacing w:line="360" w:lineRule="auto"/>
        <w:ind w:right="11" w:firstLine="482" w:firstLineChars="200"/>
        <w:outlineLvl w:val="2"/>
        <w:rPr>
          <w:rFonts w:cs="宋体" w:asciiTheme="majorEastAsia" w:hAnsiTheme="majorEastAsia" w:eastAsiaTheme="majorEastAsia"/>
          <w:b/>
          <w:snapToGrid w:val="0"/>
          <w:color w:val="auto"/>
          <w:kern w:val="0"/>
          <w:sz w:val="24"/>
          <w:highlight w:val="none"/>
        </w:rPr>
      </w:pPr>
      <w:bookmarkStart w:id="566" w:name="_Toc140476934"/>
      <w:bookmarkStart w:id="567" w:name="_Toc17630"/>
      <w:bookmarkStart w:id="568" w:name="_Toc397364921"/>
      <w:bookmarkStart w:id="569" w:name="_Toc24241"/>
      <w:r>
        <w:rPr>
          <w:rFonts w:hint="eastAsia" w:cs="宋体" w:asciiTheme="majorEastAsia" w:hAnsiTheme="majorEastAsia" w:eastAsiaTheme="majorEastAsia"/>
          <w:b/>
          <w:snapToGrid w:val="0"/>
          <w:color w:val="auto"/>
          <w:kern w:val="0"/>
          <w:sz w:val="24"/>
          <w:highlight w:val="none"/>
        </w:rPr>
        <w:t>25、合同价款及调整</w:t>
      </w:r>
      <w:bookmarkEnd w:id="566"/>
      <w:bookmarkEnd w:id="567"/>
      <w:bookmarkEnd w:id="568"/>
      <w:bookmarkEnd w:id="569"/>
    </w:p>
    <w:p>
      <w:pPr>
        <w:adjustRightInd w:val="0"/>
        <w:snapToGrid w:val="0"/>
        <w:spacing w:line="360" w:lineRule="auto"/>
        <w:ind w:right="11"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本合同含税总价为</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b/>
          <w:bCs/>
          <w:snapToGrid w:val="0"/>
          <w:color w:val="auto"/>
          <w:kern w:val="0"/>
          <w:sz w:val="24"/>
          <w:highlight w:val="none"/>
          <w:u w:val="single"/>
        </w:rPr>
        <w:t xml:space="preserve">   </w:t>
      </w:r>
      <w:r>
        <w:rPr>
          <w:rFonts w:cs="宋体" w:asciiTheme="majorEastAsia" w:hAnsiTheme="majorEastAsia" w:eastAsiaTheme="majorEastAsia"/>
          <w:b/>
          <w:bCs/>
          <w:snapToGrid w:val="0"/>
          <w:color w:val="auto"/>
          <w:kern w:val="0"/>
          <w:sz w:val="24"/>
          <w:highlight w:val="none"/>
          <w:u w:val="single"/>
        </w:rPr>
        <w:t xml:space="preserve">   </w:t>
      </w:r>
      <w:r>
        <w:rPr>
          <w:rFonts w:hint="eastAsia" w:cs="宋体" w:asciiTheme="majorEastAsia" w:hAnsiTheme="majorEastAsia" w:eastAsiaTheme="majorEastAsia"/>
          <w:b/>
          <w:bCs/>
          <w:snapToGrid w:val="0"/>
          <w:color w:val="auto"/>
          <w:kern w:val="0"/>
          <w:sz w:val="24"/>
          <w:highlight w:val="none"/>
          <w:u w:val="single"/>
        </w:rPr>
        <w:t xml:space="preserve">    </w:t>
      </w:r>
      <w:r>
        <w:rPr>
          <w:rFonts w:hint="eastAsia" w:cs="宋体" w:asciiTheme="majorEastAsia" w:hAnsiTheme="majorEastAsia" w:eastAsiaTheme="majorEastAsia"/>
          <w:bCs/>
          <w:snapToGrid w:val="0"/>
          <w:color w:val="auto"/>
          <w:kern w:val="0"/>
          <w:sz w:val="24"/>
          <w:highlight w:val="none"/>
        </w:rPr>
        <w:t>（大写人民币</w:t>
      </w:r>
      <w:r>
        <w:rPr>
          <w:rFonts w:hint="eastAsia" w:cs="宋体" w:asciiTheme="majorEastAsia" w:hAnsiTheme="majorEastAsia" w:eastAsiaTheme="majorEastAsia"/>
          <w:bCs/>
          <w:snapToGrid w:val="0"/>
          <w:color w:val="auto"/>
          <w:kern w:val="0"/>
          <w:sz w:val="24"/>
          <w:highlight w:val="none"/>
          <w:u w:val="single"/>
        </w:rPr>
        <w:t xml:space="preserve"> </w:t>
      </w:r>
      <w:r>
        <w:rPr>
          <w:rFonts w:cs="宋体" w:asciiTheme="majorEastAsia" w:hAnsiTheme="majorEastAsia" w:eastAsiaTheme="majorEastAsia"/>
          <w:bCs/>
          <w:snapToGrid w:val="0"/>
          <w:color w:val="auto"/>
          <w:kern w:val="0"/>
          <w:sz w:val="24"/>
          <w:highlight w:val="none"/>
          <w:u w:val="single"/>
        </w:rPr>
        <w:t xml:space="preserve">                </w:t>
      </w:r>
      <w:r>
        <w:rPr>
          <w:rFonts w:hint="eastAsia" w:cs="宋体" w:asciiTheme="majorEastAsia" w:hAnsiTheme="majorEastAsia" w:eastAsiaTheme="majorEastAsia"/>
          <w:bCs/>
          <w:snapToGrid w:val="0"/>
          <w:color w:val="auto"/>
          <w:kern w:val="0"/>
          <w:sz w:val="24"/>
          <w:highlight w:val="none"/>
          <w:u w:val="single"/>
        </w:rPr>
        <w:t xml:space="preserve"> </w:t>
      </w:r>
      <w:r>
        <w:rPr>
          <w:rFonts w:cs="宋体" w:asciiTheme="majorEastAsia" w:hAnsiTheme="majorEastAsia" w:eastAsiaTheme="majorEastAsia"/>
          <w:bCs/>
          <w:snapToGrid w:val="0"/>
          <w:color w:val="auto"/>
          <w:kern w:val="0"/>
          <w:sz w:val="24"/>
          <w:highlight w:val="none"/>
          <w:u w:val="single"/>
        </w:rPr>
        <w:t xml:space="preserve">  </w:t>
      </w:r>
      <w:r>
        <w:rPr>
          <w:rFonts w:hint="eastAsia" w:cs="宋体" w:asciiTheme="majorEastAsia" w:hAnsiTheme="majorEastAsia" w:eastAsiaTheme="majorEastAsia"/>
          <w:bCs/>
          <w:snapToGrid w:val="0"/>
          <w:color w:val="auto"/>
          <w:kern w:val="0"/>
          <w:sz w:val="24"/>
          <w:highlight w:val="none"/>
          <w:u w:val="single"/>
        </w:rPr>
        <w:t xml:space="preserve">   </w:t>
      </w:r>
      <w:r>
        <w:rPr>
          <w:rFonts w:hint="eastAsia" w:cs="宋体" w:asciiTheme="majorEastAsia" w:hAnsiTheme="majorEastAsia" w:eastAsiaTheme="majorEastAsia"/>
          <w:bCs/>
          <w:snapToGrid w:val="0"/>
          <w:color w:val="auto"/>
          <w:kern w:val="0"/>
          <w:sz w:val="24"/>
          <w:highlight w:val="none"/>
        </w:rPr>
        <w:t>）；其中，暂估价为</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b/>
          <w:bCs/>
          <w:snapToGrid w:val="0"/>
          <w:color w:val="auto"/>
          <w:kern w:val="0"/>
          <w:sz w:val="24"/>
          <w:highlight w:val="none"/>
          <w:u w:val="single"/>
        </w:rPr>
        <w:t xml:space="preserve">   </w:t>
      </w:r>
      <w:r>
        <w:rPr>
          <w:rFonts w:cs="宋体" w:asciiTheme="majorEastAsia" w:hAnsiTheme="majorEastAsia" w:eastAsiaTheme="majorEastAsia"/>
          <w:b/>
          <w:bCs/>
          <w:snapToGrid w:val="0"/>
          <w:color w:val="auto"/>
          <w:kern w:val="0"/>
          <w:sz w:val="24"/>
          <w:highlight w:val="none"/>
          <w:u w:val="single"/>
        </w:rPr>
        <w:t xml:space="preserve">    </w:t>
      </w:r>
      <w:r>
        <w:rPr>
          <w:rFonts w:hint="eastAsia" w:cs="宋体" w:asciiTheme="majorEastAsia" w:hAnsiTheme="majorEastAsia" w:eastAsiaTheme="majorEastAsia"/>
          <w:b/>
          <w:bCs/>
          <w:snapToGrid w:val="0"/>
          <w:color w:val="auto"/>
          <w:kern w:val="0"/>
          <w:sz w:val="24"/>
          <w:highlight w:val="none"/>
          <w:u w:val="single"/>
        </w:rPr>
        <w:t xml:space="preserve">    </w:t>
      </w:r>
      <w:r>
        <w:rPr>
          <w:rFonts w:hint="eastAsia" w:cs="宋体" w:asciiTheme="majorEastAsia" w:hAnsiTheme="majorEastAsia" w:eastAsiaTheme="majorEastAsia"/>
          <w:bCs/>
          <w:snapToGrid w:val="0"/>
          <w:color w:val="auto"/>
          <w:kern w:val="0"/>
          <w:sz w:val="24"/>
          <w:highlight w:val="none"/>
        </w:rPr>
        <w:t>（不含税）；暂列金额为</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b/>
          <w:bCs/>
          <w:snapToGrid w:val="0"/>
          <w:color w:val="auto"/>
          <w:kern w:val="0"/>
          <w:sz w:val="24"/>
          <w:highlight w:val="none"/>
          <w:u w:val="single"/>
        </w:rPr>
        <w:t xml:space="preserve">   </w:t>
      </w:r>
      <w:r>
        <w:rPr>
          <w:rFonts w:cs="宋体" w:asciiTheme="majorEastAsia" w:hAnsiTheme="majorEastAsia" w:eastAsiaTheme="majorEastAsia"/>
          <w:b/>
          <w:bCs/>
          <w:snapToGrid w:val="0"/>
          <w:color w:val="auto"/>
          <w:kern w:val="0"/>
          <w:sz w:val="24"/>
          <w:highlight w:val="none"/>
          <w:u w:val="single"/>
        </w:rPr>
        <w:t xml:space="preserve">    </w:t>
      </w:r>
      <w:r>
        <w:rPr>
          <w:rFonts w:hint="eastAsia" w:cs="宋体" w:asciiTheme="majorEastAsia" w:hAnsiTheme="majorEastAsia" w:eastAsiaTheme="majorEastAsia"/>
          <w:b/>
          <w:bCs/>
          <w:snapToGrid w:val="0"/>
          <w:color w:val="auto"/>
          <w:kern w:val="0"/>
          <w:sz w:val="24"/>
          <w:highlight w:val="none"/>
          <w:u w:val="single"/>
        </w:rPr>
        <w:t xml:space="preserve">    </w:t>
      </w:r>
      <w:r>
        <w:rPr>
          <w:rFonts w:hint="eastAsia" w:cs="宋体" w:asciiTheme="majorEastAsia" w:hAnsiTheme="majorEastAsia" w:eastAsiaTheme="majorEastAsia"/>
          <w:bCs/>
          <w:snapToGrid w:val="0"/>
          <w:color w:val="auto"/>
          <w:kern w:val="0"/>
          <w:sz w:val="24"/>
          <w:highlight w:val="none"/>
        </w:rPr>
        <w:t>（不含税）；绿色施工安全防护措施费为</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bCs/>
          <w:snapToGrid w:val="0"/>
          <w:color w:val="auto"/>
          <w:kern w:val="0"/>
          <w:sz w:val="24"/>
          <w:highlight w:val="none"/>
          <w:u w:val="single"/>
        </w:rPr>
        <w:t xml:space="preserve">      </w:t>
      </w:r>
      <w:r>
        <w:rPr>
          <w:rFonts w:hint="eastAsia" w:cs="宋体" w:asciiTheme="majorEastAsia" w:hAnsiTheme="majorEastAsia" w:eastAsiaTheme="majorEastAsia"/>
          <w:bCs/>
          <w:snapToGrid w:val="0"/>
          <w:color w:val="auto"/>
          <w:kern w:val="0"/>
          <w:sz w:val="24"/>
          <w:highlight w:val="none"/>
        </w:rPr>
        <w:t>（不含税）；人工费为</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bCs/>
          <w:snapToGrid w:val="0"/>
          <w:color w:val="auto"/>
          <w:kern w:val="0"/>
          <w:sz w:val="24"/>
          <w:highlight w:val="none"/>
          <w:u w:val="single"/>
        </w:rPr>
        <w:t xml:space="preserve">      </w:t>
      </w:r>
      <w:r>
        <w:rPr>
          <w:rFonts w:hint="eastAsia" w:cs="宋体" w:asciiTheme="majorEastAsia" w:hAnsiTheme="majorEastAsia" w:eastAsiaTheme="majorEastAsia"/>
          <w:bCs/>
          <w:snapToGrid w:val="0"/>
          <w:color w:val="auto"/>
          <w:kern w:val="0"/>
          <w:sz w:val="24"/>
          <w:highlight w:val="none"/>
        </w:rPr>
        <w:t>（不含税）。</w:t>
      </w:r>
    </w:p>
    <w:p>
      <w:pPr>
        <w:autoSpaceDE w:val="0"/>
        <w:autoSpaceDN w:val="0"/>
        <w:adjustRightInd w:val="0"/>
        <w:snapToGrid w:val="0"/>
        <w:spacing w:line="360" w:lineRule="auto"/>
        <w:ind w:right="11" w:firstLine="461"/>
        <w:outlineLvl w:val="3"/>
        <w:rPr>
          <w:rFonts w:cs="宋体" w:asciiTheme="majorEastAsia" w:hAnsiTheme="majorEastAsia" w:eastAsiaTheme="majorEastAsia"/>
          <w:snapToGrid w:val="0"/>
          <w:color w:val="auto"/>
          <w:kern w:val="0"/>
          <w:sz w:val="24"/>
          <w:highlight w:val="none"/>
          <w:lang w:val="zh-CN"/>
        </w:rPr>
      </w:pPr>
      <w:r>
        <w:rPr>
          <w:rFonts w:hint="eastAsia" w:cs="宋体" w:asciiTheme="majorEastAsia" w:hAnsiTheme="majorEastAsia" w:eastAsiaTheme="majorEastAsia"/>
          <w:snapToGrid w:val="0"/>
          <w:color w:val="auto"/>
          <w:kern w:val="0"/>
          <w:sz w:val="24"/>
          <w:highlight w:val="none"/>
          <w:lang w:val="zh-CN"/>
        </w:rPr>
        <w:t>25.1合同价款按照合同协议书第</w:t>
      </w:r>
      <w:r>
        <w:rPr>
          <w:rFonts w:hint="eastAsia" w:cs="宋体" w:asciiTheme="majorEastAsia" w:hAnsiTheme="majorEastAsia" w:eastAsiaTheme="majorEastAsia"/>
          <w:snapToGrid w:val="0"/>
          <w:color w:val="auto"/>
          <w:kern w:val="0"/>
          <w:sz w:val="24"/>
          <w:highlight w:val="none"/>
        </w:rPr>
        <w:t>六</w:t>
      </w:r>
      <w:r>
        <w:rPr>
          <w:rFonts w:hint="eastAsia" w:cs="宋体" w:asciiTheme="majorEastAsia" w:hAnsiTheme="majorEastAsia" w:eastAsiaTheme="majorEastAsia"/>
          <w:snapToGrid w:val="0"/>
          <w:color w:val="auto"/>
          <w:kern w:val="0"/>
          <w:sz w:val="24"/>
          <w:highlight w:val="none"/>
          <w:lang w:val="zh-CN"/>
        </w:rPr>
        <w:t>条执行。</w:t>
      </w:r>
    </w:p>
    <w:p>
      <w:pPr>
        <w:autoSpaceDE w:val="0"/>
        <w:autoSpaceDN w:val="0"/>
        <w:adjustRightInd w:val="0"/>
        <w:snapToGrid w:val="0"/>
        <w:spacing w:line="360" w:lineRule="auto"/>
        <w:ind w:right="11" w:firstLine="461"/>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25.2</w:t>
      </w:r>
      <w:r>
        <w:rPr>
          <w:rFonts w:hint="eastAsia" w:cs="宋体" w:asciiTheme="majorEastAsia" w:hAnsiTheme="majorEastAsia" w:eastAsiaTheme="majorEastAsia"/>
          <w:snapToGrid w:val="0"/>
          <w:color w:val="auto"/>
          <w:kern w:val="0"/>
          <w:sz w:val="24"/>
          <w:highlight w:val="none"/>
          <w:lang w:val="zh-CN"/>
        </w:rPr>
        <w:t>确定合同价款的方式</w:t>
      </w:r>
      <w:r>
        <w:rPr>
          <w:rFonts w:hint="eastAsia" w:cs="宋体" w:asciiTheme="majorEastAsia" w:hAnsiTheme="majorEastAsia" w:eastAsiaTheme="majorEastAsia"/>
          <w:snapToGrid w:val="0"/>
          <w:color w:val="auto"/>
          <w:kern w:val="0"/>
          <w:sz w:val="24"/>
          <w:highlight w:val="none"/>
        </w:rPr>
        <w:t>：</w:t>
      </w:r>
    </w:p>
    <w:p>
      <w:pPr>
        <w:adjustRightInd w:val="0"/>
        <w:snapToGrid w:val="0"/>
        <w:spacing w:line="360" w:lineRule="auto"/>
        <w:ind w:right="11"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lang w:val="zh-CN"/>
        </w:rPr>
        <w:t>采用合同协议书第</w:t>
      </w:r>
      <w:r>
        <w:rPr>
          <w:rFonts w:hint="eastAsia" w:cs="宋体" w:asciiTheme="majorEastAsia" w:hAnsiTheme="majorEastAsia" w:eastAsiaTheme="majorEastAsia"/>
          <w:snapToGrid w:val="0"/>
          <w:color w:val="auto"/>
          <w:kern w:val="0"/>
          <w:sz w:val="24"/>
          <w:highlight w:val="none"/>
        </w:rPr>
        <w:t>二条</w:t>
      </w:r>
      <w:r>
        <w:rPr>
          <w:rFonts w:hint="eastAsia" w:cs="宋体" w:asciiTheme="majorEastAsia" w:hAnsiTheme="majorEastAsia" w:eastAsiaTheme="majorEastAsia"/>
          <w:snapToGrid w:val="0"/>
          <w:color w:val="auto"/>
          <w:kern w:val="0"/>
          <w:sz w:val="24"/>
          <w:highlight w:val="none"/>
          <w:lang w:val="zh-CN"/>
        </w:rPr>
        <w:t>约定</w:t>
      </w:r>
      <w:r>
        <w:rPr>
          <w:rFonts w:hint="eastAsia" w:cs="宋体" w:asciiTheme="majorEastAsia" w:hAnsiTheme="majorEastAsia" w:eastAsiaTheme="majorEastAsia"/>
          <w:snapToGrid w:val="0"/>
          <w:color w:val="auto"/>
          <w:kern w:val="0"/>
          <w:sz w:val="24"/>
          <w:highlight w:val="none"/>
        </w:rPr>
        <w:t>执行</w:t>
      </w:r>
      <w:r>
        <w:rPr>
          <w:rFonts w:hint="eastAsia" w:cs="宋体" w:asciiTheme="majorEastAsia" w:hAnsiTheme="majorEastAsia" w:eastAsiaTheme="majorEastAsia"/>
          <w:bCs/>
          <w:snapToGrid w:val="0"/>
          <w:color w:val="auto"/>
          <w:kern w:val="0"/>
          <w:sz w:val="24"/>
          <w:highlight w:val="none"/>
        </w:rPr>
        <w:t>。</w:t>
      </w:r>
    </w:p>
    <w:p>
      <w:p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rPr>
      </w:pPr>
    </w:p>
    <w:p>
      <w:pPr>
        <w:adjustRightInd w:val="0"/>
        <w:snapToGrid w:val="0"/>
        <w:spacing w:line="360" w:lineRule="auto"/>
        <w:ind w:right="11" w:firstLine="463"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b/>
          <w:snapToGrid w:val="0"/>
          <w:color w:val="auto"/>
          <w:kern w:val="0"/>
          <w:sz w:val="24"/>
          <w:highlight w:val="none"/>
        </w:rPr>
        <w:t>承包人与发包人一致同意增加25.3至25.4：</w:t>
      </w:r>
    </w:p>
    <w:p>
      <w:pPr>
        <w:adjustRightInd w:val="0"/>
        <w:snapToGrid w:val="0"/>
        <w:spacing w:line="360" w:lineRule="auto"/>
        <w:ind w:right="11" w:firstLine="460" w:firstLineChars="192"/>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25.3暂列金额、暂估价</w:t>
      </w:r>
    </w:p>
    <w:p>
      <w:pPr>
        <w:adjustRightInd w:val="0"/>
        <w:snapToGrid w:val="0"/>
        <w:spacing w:line="360" w:lineRule="auto"/>
        <w:ind w:right="11" w:firstLine="460" w:firstLineChars="192"/>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25.3.1在工程实施中，暂估价所包含的工作范围和图纸、标准深化固定后，如达到法定招标范围标准时，由发包人进行招标，确定分包人和分包价格。</w:t>
      </w:r>
    </w:p>
    <w:p>
      <w:pPr>
        <w:adjustRightInd w:val="0"/>
        <w:snapToGrid w:val="0"/>
        <w:spacing w:line="360" w:lineRule="auto"/>
        <w:ind w:right="11" w:firstLine="460" w:firstLineChars="192"/>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25.3.2在工程实施中，暂估价所包含的工作范围如由其他承包人承包的，纳入本合同承包人的管理和协调范围，由其他承包人向本合同承包人承担质量、安全、文明施工、工期责任，本合同承包人向发包人承担连带责任。承包人已充分考虑此项管理和协调所发生的费用，并按照协议书第二条执行。</w:t>
      </w:r>
    </w:p>
    <w:p>
      <w:pPr>
        <w:adjustRightInd w:val="0"/>
        <w:snapToGrid w:val="0"/>
        <w:spacing w:line="360" w:lineRule="auto"/>
        <w:ind w:right="11" w:firstLine="460" w:firstLineChars="192"/>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25.3.3暂列金额、暂估价项目结算申请、结算资料提交应与总承包合同结算一并申请、提交，但暂列金额、暂估价项目的结算资料应独立分册整理、装订。</w:t>
      </w:r>
    </w:p>
    <w:p>
      <w:pPr>
        <w:spacing w:line="360" w:lineRule="auto"/>
        <w:ind w:right="11" w:firstLine="482" w:firstLineChars="200"/>
        <w:outlineLvl w:val="2"/>
        <w:rPr>
          <w:rFonts w:cs="宋体" w:asciiTheme="majorEastAsia" w:hAnsiTheme="majorEastAsia" w:eastAsiaTheme="majorEastAsia"/>
          <w:b/>
          <w:snapToGrid w:val="0"/>
          <w:color w:val="auto"/>
          <w:kern w:val="0"/>
          <w:sz w:val="24"/>
          <w:highlight w:val="none"/>
        </w:rPr>
      </w:pPr>
      <w:r>
        <w:rPr>
          <w:rFonts w:hint="eastAsia" w:cs="宋体" w:asciiTheme="majorEastAsia" w:hAnsiTheme="majorEastAsia" w:eastAsiaTheme="majorEastAsia"/>
          <w:b/>
          <w:snapToGrid w:val="0"/>
          <w:color w:val="auto"/>
          <w:kern w:val="0"/>
          <w:sz w:val="24"/>
          <w:highlight w:val="none"/>
        </w:rPr>
        <w:t>承包人与发包人一致同意不适用合同通用条款第26条的约定，代之以：</w:t>
      </w:r>
    </w:p>
    <w:p>
      <w:pPr>
        <w:adjustRightInd w:val="0"/>
        <w:snapToGrid w:val="0"/>
        <w:spacing w:line="360" w:lineRule="auto"/>
        <w:ind w:right="11" w:firstLine="482" w:firstLineChars="200"/>
        <w:outlineLvl w:val="2"/>
        <w:rPr>
          <w:rFonts w:cs="宋体" w:asciiTheme="majorEastAsia" w:hAnsiTheme="majorEastAsia" w:eastAsiaTheme="majorEastAsia"/>
          <w:b/>
          <w:snapToGrid w:val="0"/>
          <w:color w:val="auto"/>
          <w:kern w:val="0"/>
          <w:sz w:val="24"/>
          <w:highlight w:val="none"/>
        </w:rPr>
      </w:pPr>
      <w:bookmarkStart w:id="570" w:name="_Toc140476935"/>
      <w:bookmarkStart w:id="571" w:name="_Toc6204"/>
      <w:bookmarkStart w:id="572" w:name="_Toc18776"/>
      <w:bookmarkStart w:id="573" w:name="_Toc397364922"/>
      <w:r>
        <w:rPr>
          <w:rFonts w:hint="eastAsia" w:cs="宋体" w:asciiTheme="majorEastAsia" w:hAnsiTheme="majorEastAsia" w:eastAsiaTheme="majorEastAsia"/>
          <w:b/>
          <w:snapToGrid w:val="0"/>
          <w:color w:val="auto"/>
          <w:kern w:val="0"/>
          <w:sz w:val="24"/>
          <w:highlight w:val="none"/>
        </w:rPr>
        <w:t>26、工程预付款</w:t>
      </w:r>
      <w:bookmarkEnd w:id="570"/>
      <w:bookmarkEnd w:id="571"/>
      <w:bookmarkEnd w:id="572"/>
      <w:bookmarkEnd w:id="573"/>
    </w:p>
    <w:p>
      <w:pPr>
        <w:pStyle w:val="35"/>
        <w:adjustRightInd w:val="0"/>
        <w:snapToGrid w:val="0"/>
        <w:spacing w:before="0" w:beforeAutospacing="0" w:after="0" w:afterAutospacing="0" w:line="360" w:lineRule="auto"/>
        <w:ind w:firstLine="480" w:firstLineChars="200"/>
        <w:outlineLvl w:val="3"/>
        <w:rPr>
          <w:rFonts w:cs="宋体" w:asciiTheme="majorEastAsia" w:hAnsiTheme="majorEastAsia" w:eastAsiaTheme="majorEastAsia"/>
          <w:b/>
          <w:snapToGrid w:val="0"/>
          <w:color w:val="auto"/>
          <w:highlight w:val="none"/>
          <w:u w:val="single"/>
        </w:rPr>
      </w:pPr>
      <w:r>
        <w:rPr>
          <w:rFonts w:hint="eastAsia" w:cs="宋体" w:asciiTheme="majorEastAsia" w:hAnsiTheme="majorEastAsia" w:eastAsiaTheme="majorEastAsia"/>
          <w:snapToGrid w:val="0"/>
          <w:color w:val="auto"/>
          <w:highlight w:val="none"/>
        </w:rPr>
        <w:t>26.1承包人在本合同签订后15天内，按合同专用条款第44条的要求向发包人提交履约担保（担保金额为合同价的10%）后可申请支付合同价</w:t>
      </w:r>
      <w:bookmarkStart w:id="574" w:name="_Hlk140416991"/>
      <w:r>
        <w:rPr>
          <w:rFonts w:hint="eastAsia" w:cs="宋体" w:asciiTheme="majorEastAsia" w:hAnsiTheme="majorEastAsia" w:eastAsiaTheme="majorEastAsia"/>
          <w:snapToGrid w:val="0"/>
          <w:color w:val="auto"/>
          <w:highlight w:val="none"/>
        </w:rPr>
        <w:t>（扣除暂估价</w:t>
      </w:r>
      <w:r>
        <w:rPr>
          <w:rFonts w:hint="eastAsia" w:cs="宋体" w:asciiTheme="majorEastAsia" w:hAnsiTheme="majorEastAsia" w:eastAsiaTheme="majorEastAsia"/>
          <w:snapToGrid w:val="0"/>
          <w:color w:val="auto"/>
          <w:szCs w:val="20"/>
          <w:highlight w:val="none"/>
        </w:rPr>
        <w:t>（含税）</w:t>
      </w:r>
      <w:r>
        <w:rPr>
          <w:rFonts w:hint="eastAsia" w:cs="宋体" w:asciiTheme="majorEastAsia" w:hAnsiTheme="majorEastAsia" w:eastAsiaTheme="majorEastAsia"/>
          <w:snapToGrid w:val="0"/>
          <w:color w:val="auto"/>
          <w:highlight w:val="none"/>
        </w:rPr>
        <w:t>、暂列金额</w:t>
      </w:r>
      <w:r>
        <w:rPr>
          <w:rFonts w:hint="eastAsia" w:cs="宋体" w:asciiTheme="majorEastAsia" w:hAnsiTheme="majorEastAsia" w:eastAsiaTheme="majorEastAsia"/>
          <w:snapToGrid w:val="0"/>
          <w:color w:val="auto"/>
          <w:szCs w:val="20"/>
          <w:highlight w:val="none"/>
        </w:rPr>
        <w:t>（含税）</w:t>
      </w:r>
      <w:r>
        <w:rPr>
          <w:rFonts w:hint="eastAsia" w:cs="宋体" w:asciiTheme="majorEastAsia" w:hAnsiTheme="majorEastAsia" w:eastAsiaTheme="majorEastAsia"/>
          <w:snapToGrid w:val="0"/>
          <w:color w:val="auto"/>
          <w:highlight w:val="none"/>
        </w:rPr>
        <w:t>、</w:t>
      </w:r>
      <w:r>
        <w:rPr>
          <w:rFonts w:hint="eastAsia" w:cs="宋体" w:asciiTheme="majorEastAsia" w:hAnsiTheme="majorEastAsia" w:eastAsiaTheme="majorEastAsia"/>
          <w:bCs/>
          <w:snapToGrid w:val="0"/>
          <w:color w:val="auto"/>
          <w:highlight w:val="none"/>
        </w:rPr>
        <w:t>绿色施工安全防护措施费</w:t>
      </w:r>
      <w:r>
        <w:rPr>
          <w:rFonts w:hint="eastAsia" w:cs="宋体" w:asciiTheme="majorEastAsia" w:hAnsiTheme="majorEastAsia" w:eastAsiaTheme="majorEastAsia"/>
          <w:snapToGrid w:val="0"/>
          <w:color w:val="auto"/>
          <w:szCs w:val="20"/>
          <w:highlight w:val="none"/>
        </w:rPr>
        <w:t>（含税）</w:t>
      </w:r>
      <w:r>
        <w:rPr>
          <w:rFonts w:hint="eastAsia" w:cs="宋体" w:asciiTheme="majorEastAsia" w:hAnsiTheme="majorEastAsia" w:eastAsiaTheme="majorEastAsia"/>
          <w:snapToGrid w:val="0"/>
          <w:color w:val="auto"/>
          <w:highlight w:val="none"/>
        </w:rPr>
        <w:t>）</w:t>
      </w:r>
      <w:bookmarkEnd w:id="574"/>
      <w:r>
        <w:rPr>
          <w:rFonts w:hint="eastAsia" w:cs="宋体" w:asciiTheme="majorEastAsia" w:hAnsiTheme="majorEastAsia" w:eastAsiaTheme="majorEastAsia"/>
          <w:snapToGrid w:val="0"/>
          <w:color w:val="auto"/>
          <w:highlight w:val="none"/>
        </w:rPr>
        <w:t>的5%作为工程预付款，其中1%为</w:t>
      </w:r>
      <w:r>
        <w:rPr>
          <w:rFonts w:hint="eastAsia" w:cs="宋体" w:asciiTheme="majorEastAsia" w:hAnsiTheme="majorEastAsia" w:eastAsiaTheme="majorEastAsia"/>
          <w:color w:val="auto"/>
          <w:highlight w:val="none"/>
        </w:rPr>
        <w:t>工人工资款</w:t>
      </w:r>
      <w:r>
        <w:rPr>
          <w:rFonts w:hint="eastAsia" w:cs="宋体" w:asciiTheme="majorEastAsia" w:hAnsiTheme="majorEastAsia" w:eastAsiaTheme="majorEastAsia"/>
          <w:snapToGrid w:val="0"/>
          <w:color w:val="auto"/>
          <w:highlight w:val="none"/>
        </w:rPr>
        <w:t>。</w:t>
      </w:r>
    </w:p>
    <w:p>
      <w:pPr>
        <w:pStyle w:val="20"/>
        <w:adjustRightInd w:val="0"/>
        <w:snapToGrid w:val="0"/>
        <w:spacing w:line="360" w:lineRule="auto"/>
        <w:ind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26.4承包人应将预付款专用于实施本工程所需的施工机械、材料设备及人员费用，同时立即办理施工许可证。并向总监理工程师提交发票或其他证明文件的副本以证明预付款确实专款专用，否则应按合同专用条款第38.15款承担违约责任。</w:t>
      </w:r>
    </w:p>
    <w:p>
      <w:pPr>
        <w:pStyle w:val="20"/>
        <w:adjustRightInd w:val="0"/>
        <w:snapToGrid w:val="0"/>
        <w:spacing w:line="360" w:lineRule="auto"/>
        <w:ind w:left="120" w:leftChars="57" w:firstLine="360" w:firstLineChars="15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26.5预付款参照《关于印发〈广州市城建投资项目计划和资金管理工作指引（2012版）〉的通知》（穗建计〔2012〕686号文）规定在办理工程进度款时同步从进度款中分期全部扣回，扣回的时间和比例为：</w:t>
      </w:r>
    </w:p>
    <w:tbl>
      <w:tblPr>
        <w:tblStyle w:val="4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3"/>
        <w:gridCol w:w="212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963" w:type="dxa"/>
          </w:tcPr>
          <w:p>
            <w:pPr>
              <w:snapToGrid w:val="0"/>
              <w:spacing w:line="360" w:lineRule="auto"/>
              <w:ind w:left="360" w:hanging="360" w:hangingChars="150"/>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已完工作量与承包合同价（扣除暂估价、暂列金额、绿色施工安全防护措施费）之比</w:t>
            </w:r>
          </w:p>
        </w:tc>
        <w:tc>
          <w:tcPr>
            <w:tcW w:w="2125" w:type="dxa"/>
            <w:vAlign w:val="center"/>
          </w:tcPr>
          <w:p>
            <w:pPr>
              <w:snapToGrid w:val="0"/>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扣回预付款的比例</w:t>
            </w:r>
          </w:p>
        </w:tc>
        <w:tc>
          <w:tcPr>
            <w:tcW w:w="1134" w:type="dxa"/>
            <w:vAlign w:val="center"/>
          </w:tcPr>
          <w:p>
            <w:pPr>
              <w:snapToGrid w:val="0"/>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累计扣回比例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exact"/>
        </w:trPr>
        <w:tc>
          <w:tcPr>
            <w:tcW w:w="4963" w:type="dxa"/>
            <w:vAlign w:val="center"/>
          </w:tcPr>
          <w:p>
            <w:pPr>
              <w:pStyle w:val="15"/>
              <w:spacing w:after="0"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a＜40%</w:t>
            </w:r>
          </w:p>
        </w:tc>
        <w:tc>
          <w:tcPr>
            <w:tcW w:w="2125" w:type="dxa"/>
            <w:vAlign w:val="center"/>
          </w:tcPr>
          <w:p>
            <w:pPr>
              <w:pStyle w:val="15"/>
              <w:spacing w:after="0"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每期已完工程量占合同总价之比</w:t>
            </w:r>
          </w:p>
        </w:tc>
        <w:tc>
          <w:tcPr>
            <w:tcW w:w="1134" w:type="dxa"/>
            <w:vAlign w:val="center"/>
          </w:tcPr>
          <w:p>
            <w:pPr>
              <w:pStyle w:val="15"/>
              <w:spacing w:after="0"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963" w:type="dxa"/>
            <w:vAlign w:val="center"/>
          </w:tcPr>
          <w:p>
            <w:pPr>
              <w:pStyle w:val="15"/>
              <w:spacing w:after="0"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40%≤a＜50%</w:t>
            </w:r>
          </w:p>
        </w:tc>
        <w:tc>
          <w:tcPr>
            <w:tcW w:w="2125" w:type="dxa"/>
            <w:vAlign w:val="center"/>
          </w:tcPr>
          <w:p>
            <w:pPr>
              <w:pStyle w:val="15"/>
              <w:spacing w:after="0"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20%</w:t>
            </w:r>
          </w:p>
        </w:tc>
        <w:tc>
          <w:tcPr>
            <w:tcW w:w="1134" w:type="dxa"/>
            <w:vAlign w:val="center"/>
          </w:tcPr>
          <w:p>
            <w:pPr>
              <w:pStyle w:val="15"/>
              <w:spacing w:after="0"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963" w:type="dxa"/>
            <w:vAlign w:val="center"/>
          </w:tcPr>
          <w:p>
            <w:pPr>
              <w:pStyle w:val="15"/>
              <w:tabs>
                <w:tab w:val="left" w:pos="2170"/>
                <w:tab w:val="center" w:pos="2996"/>
              </w:tabs>
              <w:spacing w:after="0"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50%≤a＜60%</w:t>
            </w:r>
          </w:p>
        </w:tc>
        <w:tc>
          <w:tcPr>
            <w:tcW w:w="2125" w:type="dxa"/>
            <w:vAlign w:val="center"/>
          </w:tcPr>
          <w:p>
            <w:pPr>
              <w:pStyle w:val="15"/>
              <w:spacing w:after="0"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40%</w:t>
            </w:r>
          </w:p>
        </w:tc>
        <w:tc>
          <w:tcPr>
            <w:tcW w:w="1134" w:type="dxa"/>
            <w:vAlign w:val="center"/>
          </w:tcPr>
          <w:p>
            <w:pPr>
              <w:pStyle w:val="15"/>
              <w:spacing w:after="0"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100%</w:t>
            </w:r>
          </w:p>
        </w:tc>
      </w:tr>
    </w:tbl>
    <w:p>
      <w:pPr>
        <w:spacing w:line="360" w:lineRule="auto"/>
        <w:ind w:firstLine="210" w:firstLineChars="10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注：a=已完工作量/承包合同价（扣除暂估价</w:t>
      </w:r>
      <w:r>
        <w:rPr>
          <w:rFonts w:hint="eastAsia" w:cs="宋体" w:asciiTheme="majorEastAsia" w:hAnsiTheme="majorEastAsia" w:eastAsiaTheme="majorEastAsia"/>
          <w:snapToGrid w:val="0"/>
          <w:color w:val="auto"/>
          <w:szCs w:val="20"/>
          <w:highlight w:val="none"/>
        </w:rPr>
        <w:t>（含税）</w:t>
      </w:r>
      <w:r>
        <w:rPr>
          <w:rFonts w:hint="eastAsia" w:cs="宋体" w:asciiTheme="majorEastAsia" w:hAnsiTheme="majorEastAsia" w:eastAsiaTheme="majorEastAsia"/>
          <w:color w:val="auto"/>
          <w:szCs w:val="21"/>
          <w:highlight w:val="none"/>
        </w:rPr>
        <w:t>、暂列金额</w:t>
      </w:r>
      <w:r>
        <w:rPr>
          <w:rFonts w:hint="eastAsia" w:cs="宋体" w:asciiTheme="majorEastAsia" w:hAnsiTheme="majorEastAsia" w:eastAsiaTheme="majorEastAsia"/>
          <w:snapToGrid w:val="0"/>
          <w:color w:val="auto"/>
          <w:szCs w:val="20"/>
          <w:highlight w:val="none"/>
        </w:rPr>
        <w:t>（含税）</w:t>
      </w:r>
      <w:r>
        <w:rPr>
          <w:rFonts w:hint="eastAsia" w:cs="宋体" w:asciiTheme="majorEastAsia" w:hAnsiTheme="majorEastAsia" w:eastAsiaTheme="majorEastAsia"/>
          <w:color w:val="auto"/>
          <w:szCs w:val="21"/>
          <w:highlight w:val="none"/>
        </w:rPr>
        <w:t>、绿色施工安全防护措施费</w:t>
      </w:r>
      <w:r>
        <w:rPr>
          <w:rFonts w:hint="eastAsia" w:cs="宋体" w:asciiTheme="majorEastAsia" w:hAnsiTheme="majorEastAsia" w:eastAsiaTheme="majorEastAsia"/>
          <w:snapToGrid w:val="0"/>
          <w:color w:val="auto"/>
          <w:szCs w:val="20"/>
          <w:highlight w:val="none"/>
        </w:rPr>
        <w:t>（含税）</w:t>
      </w:r>
      <w:r>
        <w:rPr>
          <w:rFonts w:hint="eastAsia" w:cs="宋体" w:asciiTheme="majorEastAsia" w:hAnsiTheme="majorEastAsia" w:eastAsiaTheme="majorEastAsia"/>
          <w:color w:val="auto"/>
          <w:szCs w:val="21"/>
          <w:highlight w:val="none"/>
        </w:rPr>
        <w:t>）</w:t>
      </w:r>
    </w:p>
    <w:p>
      <w:pPr>
        <w:adjustRightInd w:val="0"/>
        <w:snapToGrid w:val="0"/>
        <w:spacing w:line="360" w:lineRule="auto"/>
        <w:ind w:right="11" w:firstLine="482" w:firstLineChars="200"/>
        <w:outlineLvl w:val="2"/>
        <w:rPr>
          <w:rFonts w:cs="宋体" w:asciiTheme="majorEastAsia" w:hAnsiTheme="majorEastAsia" w:eastAsiaTheme="majorEastAsia"/>
          <w:b/>
          <w:snapToGrid w:val="0"/>
          <w:color w:val="auto"/>
          <w:kern w:val="0"/>
          <w:sz w:val="24"/>
          <w:highlight w:val="none"/>
        </w:rPr>
      </w:pPr>
      <w:bookmarkStart w:id="575" w:name="_Toc140476936"/>
      <w:bookmarkStart w:id="576" w:name="_Toc27101"/>
      <w:bookmarkStart w:id="577" w:name="_Toc397364923"/>
      <w:bookmarkStart w:id="578" w:name="_Toc268"/>
      <w:r>
        <w:rPr>
          <w:rFonts w:hint="eastAsia" w:cs="宋体" w:asciiTheme="majorEastAsia" w:hAnsiTheme="majorEastAsia" w:eastAsiaTheme="majorEastAsia"/>
          <w:b/>
          <w:snapToGrid w:val="0"/>
          <w:color w:val="auto"/>
          <w:kern w:val="0"/>
          <w:sz w:val="24"/>
          <w:highlight w:val="none"/>
        </w:rPr>
        <w:t>27、工程量的确认</w:t>
      </w:r>
      <w:bookmarkEnd w:id="575"/>
      <w:bookmarkEnd w:id="576"/>
      <w:bookmarkEnd w:id="577"/>
      <w:bookmarkEnd w:id="578"/>
    </w:p>
    <w:p>
      <w:pPr>
        <w:adjustRightInd w:val="0"/>
        <w:snapToGrid w:val="0"/>
        <w:spacing w:line="360" w:lineRule="auto"/>
        <w:ind w:right="11" w:firstLine="460" w:firstLineChars="192"/>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27.1承包人每次申请工程进度款时应提交已完工程进度款申请报表。</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已完工程进度款申请报表的提交应按发包人工程的要求执行。</w:t>
      </w:r>
    </w:p>
    <w:p>
      <w:pPr>
        <w:adjustRightInd w:val="0"/>
        <w:snapToGrid w:val="0"/>
        <w:spacing w:line="360" w:lineRule="auto"/>
        <w:ind w:right="11" w:firstLine="460" w:firstLineChars="192"/>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27.3不予计量的情况：</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（1）隐蔽工程无验收记录表的；</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（2）施工图之外的工作量；</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（3）因承包人责任而增加的工作量；</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（4）未经发包人批准的分包单位施工的工程；</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（5）不符合合同约定或设计要求的工程；</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w:t>
      </w:r>
      <w:r>
        <w:rPr>
          <w:rFonts w:cs="宋体" w:asciiTheme="majorEastAsia" w:hAnsiTheme="majorEastAsia" w:eastAsiaTheme="majorEastAsia"/>
          <w:snapToGrid w:val="0"/>
          <w:color w:val="auto"/>
          <w:kern w:val="0"/>
          <w:sz w:val="24"/>
          <w:highlight w:val="none"/>
        </w:rPr>
        <w:t>6</w:t>
      </w:r>
      <w:r>
        <w:rPr>
          <w:rFonts w:hint="eastAsia" w:cs="宋体" w:asciiTheme="majorEastAsia" w:hAnsiTheme="majorEastAsia" w:eastAsiaTheme="majorEastAsia"/>
          <w:snapToGrid w:val="0"/>
          <w:color w:val="auto"/>
          <w:kern w:val="0"/>
          <w:sz w:val="24"/>
          <w:highlight w:val="none"/>
        </w:rPr>
        <w:t>）设备到货无监理、发包人书面确认的。</w:t>
      </w:r>
    </w:p>
    <w:p>
      <w:pPr>
        <w:adjustRightInd w:val="0"/>
        <w:snapToGrid w:val="0"/>
        <w:spacing w:line="360" w:lineRule="auto"/>
        <w:ind w:right="11" w:firstLine="463" w:firstLineChars="192"/>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
          <w:snapToGrid w:val="0"/>
          <w:color w:val="auto"/>
          <w:kern w:val="0"/>
          <w:sz w:val="24"/>
          <w:highlight w:val="none"/>
        </w:rPr>
        <w:t>承包人和发包人一致同意增加27.4、27.5：</w:t>
      </w:r>
    </w:p>
    <w:p>
      <w:pPr>
        <w:adjustRightInd w:val="0"/>
        <w:snapToGrid w:val="0"/>
        <w:spacing w:line="360" w:lineRule="auto"/>
        <w:ind w:right="11" w:firstLine="460" w:firstLineChars="192"/>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27.4除另有特别说明外，总监理工程师应根据合同的约定和批准的施工图纸、设计变更图纸或工程签证通过计量来核实并确认已完工程的价值。当总监理工程师要求对工程的任一部分或若干部分进行计量时，总监理工程师应当书面通知承包人，承包人应按通知要求立即前往协助监理单位从事上述计量工作，并提供此计量所需的一切详实资料。承包人未能按要求时间前往参加计量并提供详实资料，则由总监理工程师进行的或由其批准的计量应直接被认为是对这一部分工程的正确计量。</w:t>
      </w:r>
    </w:p>
    <w:p>
      <w:pPr>
        <w:adjustRightInd w:val="0"/>
        <w:snapToGrid w:val="0"/>
        <w:spacing w:line="360" w:lineRule="auto"/>
        <w:ind w:right="11" w:firstLine="480" w:firstLineChars="200"/>
        <w:outlineLvl w:val="3"/>
        <w:rPr>
          <w:rFonts w:cs="宋体" w:asciiTheme="majorEastAsia" w:hAnsiTheme="majorEastAsia" w:eastAsiaTheme="majorEastAsia"/>
          <w:b/>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27.5工程的计量应以合同约定为准，双方另有约定的除外。</w:t>
      </w:r>
    </w:p>
    <w:p>
      <w:pPr>
        <w:adjustRightInd w:val="0"/>
        <w:snapToGrid w:val="0"/>
        <w:spacing w:line="360" w:lineRule="auto"/>
        <w:ind w:right="11" w:firstLine="482" w:firstLineChars="200"/>
        <w:rPr>
          <w:rFonts w:cs="宋体" w:asciiTheme="majorEastAsia" w:hAnsiTheme="majorEastAsia" w:eastAsiaTheme="majorEastAsia"/>
          <w:b/>
          <w:snapToGrid w:val="0"/>
          <w:color w:val="auto"/>
          <w:kern w:val="0"/>
          <w:sz w:val="24"/>
          <w:highlight w:val="none"/>
        </w:rPr>
      </w:pPr>
      <w:r>
        <w:rPr>
          <w:rFonts w:hint="eastAsia" w:cs="宋体" w:asciiTheme="majorEastAsia" w:hAnsiTheme="majorEastAsia" w:eastAsiaTheme="majorEastAsia"/>
          <w:b/>
          <w:snapToGrid w:val="0"/>
          <w:color w:val="auto"/>
          <w:kern w:val="0"/>
          <w:sz w:val="24"/>
          <w:highlight w:val="none"/>
        </w:rPr>
        <w:t>承包人与发包人一致同意不适用合同通用条款第28条的约定，代之以：</w:t>
      </w:r>
    </w:p>
    <w:p>
      <w:pPr>
        <w:adjustRightInd w:val="0"/>
        <w:snapToGrid w:val="0"/>
        <w:spacing w:line="360" w:lineRule="auto"/>
        <w:ind w:right="11" w:firstLine="482" w:firstLineChars="200"/>
        <w:outlineLvl w:val="2"/>
        <w:rPr>
          <w:rFonts w:cs="宋体" w:asciiTheme="majorEastAsia" w:hAnsiTheme="majorEastAsia" w:eastAsiaTheme="majorEastAsia"/>
          <w:b/>
          <w:snapToGrid w:val="0"/>
          <w:color w:val="auto"/>
          <w:kern w:val="0"/>
          <w:sz w:val="24"/>
          <w:highlight w:val="none"/>
        </w:rPr>
      </w:pPr>
      <w:bookmarkStart w:id="579" w:name="_Toc7102"/>
      <w:bookmarkStart w:id="580" w:name="_Toc140476937"/>
      <w:bookmarkStart w:id="581" w:name="_Toc25577"/>
      <w:bookmarkStart w:id="582" w:name="_Toc397364924"/>
      <w:r>
        <w:rPr>
          <w:rFonts w:hint="eastAsia" w:cs="宋体" w:asciiTheme="majorEastAsia" w:hAnsiTheme="majorEastAsia" w:eastAsiaTheme="majorEastAsia"/>
          <w:b/>
          <w:snapToGrid w:val="0"/>
          <w:color w:val="auto"/>
          <w:kern w:val="0"/>
          <w:sz w:val="24"/>
          <w:highlight w:val="none"/>
        </w:rPr>
        <w:t>28、工程款（进度款）支付</w:t>
      </w:r>
      <w:bookmarkEnd w:id="579"/>
      <w:bookmarkEnd w:id="580"/>
      <w:bookmarkEnd w:id="581"/>
      <w:bookmarkEnd w:id="582"/>
    </w:p>
    <w:p>
      <w:pPr>
        <w:adjustRightInd w:val="0"/>
        <w:snapToGrid w:val="0"/>
        <w:spacing w:line="360" w:lineRule="auto"/>
        <w:ind w:right="11" w:firstLine="460" w:firstLineChars="192"/>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28.1双方约定的工程进度款支付</w:t>
      </w:r>
      <w:r>
        <w:rPr>
          <w:rFonts w:hint="eastAsia" w:cs="宋体" w:asciiTheme="majorEastAsia" w:hAnsiTheme="majorEastAsia" w:eastAsiaTheme="majorEastAsia"/>
          <w:snapToGrid w:val="0"/>
          <w:color w:val="auto"/>
          <w:kern w:val="0"/>
          <w:sz w:val="24"/>
          <w:highlight w:val="none"/>
          <w:lang w:val="zh-CN"/>
        </w:rPr>
        <w:t>办法如下：</w:t>
      </w:r>
    </w:p>
    <w:tbl>
      <w:tblPr>
        <w:tblStyle w:val="4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7"/>
        <w:gridCol w:w="997"/>
        <w:gridCol w:w="997"/>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2939" w:type="pct"/>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支付条件</w:t>
            </w:r>
          </w:p>
        </w:tc>
        <w:tc>
          <w:tcPr>
            <w:tcW w:w="666" w:type="pct"/>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支付金额</w:t>
            </w:r>
          </w:p>
        </w:tc>
        <w:tc>
          <w:tcPr>
            <w:tcW w:w="633" w:type="pct"/>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支付比例</w:t>
            </w:r>
          </w:p>
        </w:tc>
        <w:tc>
          <w:tcPr>
            <w:tcW w:w="759" w:type="pct"/>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累计支付比例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trPr>
        <w:tc>
          <w:tcPr>
            <w:tcW w:w="2939" w:type="pct"/>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承包人在本合同签订后15天内，按合同专用条款第44条的要求向发包人提交履约担保（担保金额为合同价的10%）后可申请支付合同价（扣除暂估价（含税）、暂列金额（含税）、绿色施工安全防护措施费（含税））的5%作为工程预付款，其中1%为工人工资款。</w:t>
            </w:r>
          </w:p>
        </w:tc>
        <w:tc>
          <w:tcPr>
            <w:tcW w:w="666" w:type="pct"/>
            <w:shd w:val="clear" w:color="auto" w:fill="auto"/>
            <w:noWrap/>
            <w:vAlign w:val="center"/>
          </w:tcPr>
          <w:p>
            <w:pPr>
              <w:rPr>
                <w:rFonts w:ascii="宋体" w:hAnsi="宋体" w:cs="宋体"/>
                <w:color w:val="auto"/>
                <w:sz w:val="24"/>
                <w:highlight w:val="none"/>
              </w:rPr>
            </w:pPr>
          </w:p>
        </w:tc>
        <w:tc>
          <w:tcPr>
            <w:tcW w:w="633" w:type="pct"/>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w:t>
            </w:r>
          </w:p>
        </w:tc>
        <w:tc>
          <w:tcPr>
            <w:tcW w:w="759" w:type="pct"/>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2939" w:type="pct"/>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完成红线内、外全部土建内容，取得中间验收证明文件，经甲方确认15天内，甲方支付乙方工程总承包价15%的工程款。</w:t>
            </w:r>
          </w:p>
        </w:tc>
        <w:tc>
          <w:tcPr>
            <w:tcW w:w="666" w:type="pct"/>
            <w:shd w:val="clear" w:color="auto" w:fill="auto"/>
            <w:noWrap/>
            <w:vAlign w:val="center"/>
          </w:tcPr>
          <w:p>
            <w:pPr>
              <w:rPr>
                <w:rFonts w:ascii="宋体" w:hAnsi="宋体" w:cs="宋体"/>
                <w:color w:val="auto"/>
                <w:sz w:val="24"/>
                <w:highlight w:val="none"/>
              </w:rPr>
            </w:pPr>
          </w:p>
        </w:tc>
        <w:tc>
          <w:tcPr>
            <w:tcW w:w="633" w:type="pct"/>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15%</w:t>
            </w:r>
          </w:p>
        </w:tc>
        <w:tc>
          <w:tcPr>
            <w:tcW w:w="759" w:type="pct"/>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939" w:type="pct"/>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全部设备、材料进场，安装工作全部完成具备送电条件之日起15天内，甲方支付乙方工程总承包价40%的工程款。</w:t>
            </w:r>
          </w:p>
        </w:tc>
        <w:tc>
          <w:tcPr>
            <w:tcW w:w="666" w:type="pct"/>
            <w:shd w:val="clear" w:color="auto" w:fill="auto"/>
            <w:noWrap/>
            <w:vAlign w:val="center"/>
          </w:tcPr>
          <w:p>
            <w:pPr>
              <w:rPr>
                <w:rFonts w:ascii="宋体" w:hAnsi="宋体" w:cs="宋体"/>
                <w:color w:val="auto"/>
                <w:sz w:val="24"/>
                <w:highlight w:val="none"/>
              </w:rPr>
            </w:pPr>
          </w:p>
        </w:tc>
        <w:tc>
          <w:tcPr>
            <w:tcW w:w="633" w:type="pct"/>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40%</w:t>
            </w:r>
          </w:p>
        </w:tc>
        <w:tc>
          <w:tcPr>
            <w:tcW w:w="759" w:type="pct"/>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2939" w:type="pct"/>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供电局验收合格并完成全部高压送电并送电至低压柜后15天内，甲方支付乙方工程总承包价5%的工程款。</w:t>
            </w:r>
          </w:p>
        </w:tc>
        <w:tc>
          <w:tcPr>
            <w:tcW w:w="666" w:type="pct"/>
            <w:shd w:val="clear" w:color="auto" w:fill="auto"/>
            <w:noWrap/>
            <w:vAlign w:val="center"/>
          </w:tcPr>
          <w:p>
            <w:pPr>
              <w:rPr>
                <w:rFonts w:ascii="宋体" w:hAnsi="宋体" w:cs="宋体"/>
                <w:color w:val="auto"/>
                <w:sz w:val="24"/>
                <w:highlight w:val="none"/>
              </w:rPr>
            </w:pPr>
          </w:p>
        </w:tc>
        <w:tc>
          <w:tcPr>
            <w:tcW w:w="633" w:type="pct"/>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w:t>
            </w:r>
          </w:p>
        </w:tc>
        <w:tc>
          <w:tcPr>
            <w:tcW w:w="759" w:type="pct"/>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2939" w:type="pct"/>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领取并安装1、2#栋用户电表，经供电局验收合格并送电到户15天内，甲方支付乙方工程总承包价5%的工程款。</w:t>
            </w:r>
          </w:p>
        </w:tc>
        <w:tc>
          <w:tcPr>
            <w:tcW w:w="666" w:type="pct"/>
            <w:shd w:val="clear" w:color="auto" w:fill="auto"/>
            <w:noWrap/>
            <w:vAlign w:val="center"/>
          </w:tcPr>
          <w:p>
            <w:pPr>
              <w:rPr>
                <w:rFonts w:ascii="宋体" w:hAnsi="宋体" w:cs="宋体"/>
                <w:color w:val="auto"/>
                <w:sz w:val="24"/>
                <w:highlight w:val="none"/>
              </w:rPr>
            </w:pPr>
          </w:p>
        </w:tc>
        <w:tc>
          <w:tcPr>
            <w:tcW w:w="633" w:type="pct"/>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w:t>
            </w:r>
          </w:p>
        </w:tc>
        <w:tc>
          <w:tcPr>
            <w:tcW w:w="759" w:type="pct"/>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2939" w:type="pct"/>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领取并安装7、8、9栋用户电表，经供电局验收合格并送电到户15天内，甲方支付乙方工程总承包价10%的工程款。</w:t>
            </w:r>
          </w:p>
        </w:tc>
        <w:tc>
          <w:tcPr>
            <w:tcW w:w="666" w:type="pct"/>
            <w:shd w:val="clear" w:color="auto" w:fill="auto"/>
            <w:noWrap/>
            <w:vAlign w:val="center"/>
          </w:tcPr>
          <w:p>
            <w:pPr>
              <w:rPr>
                <w:rFonts w:ascii="宋体" w:hAnsi="宋体" w:cs="宋体"/>
                <w:color w:val="auto"/>
                <w:sz w:val="24"/>
                <w:highlight w:val="none"/>
              </w:rPr>
            </w:pPr>
          </w:p>
        </w:tc>
        <w:tc>
          <w:tcPr>
            <w:tcW w:w="633" w:type="pct"/>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w:t>
            </w:r>
          </w:p>
        </w:tc>
        <w:tc>
          <w:tcPr>
            <w:tcW w:w="759" w:type="pct"/>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trPr>
        <w:tc>
          <w:tcPr>
            <w:tcW w:w="2939" w:type="pct"/>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本合同约定的工程全部完工且由承包人配合完成本工程涉及到工程质量验收、档案验收等，并取得相关验收主管部门出具的验收认可文件或者准许使用文件后，通过发包人组织的工程竣工验收后，发包人按经监理及发包人认可的完成工作量累计支付至85%</w:t>
            </w:r>
          </w:p>
        </w:tc>
        <w:tc>
          <w:tcPr>
            <w:tcW w:w="666" w:type="pct"/>
            <w:shd w:val="clear" w:color="auto" w:fill="auto"/>
            <w:noWrap/>
            <w:vAlign w:val="center"/>
          </w:tcPr>
          <w:p>
            <w:pPr>
              <w:rPr>
                <w:rFonts w:ascii="宋体" w:hAnsi="宋体" w:cs="宋体"/>
                <w:color w:val="auto"/>
                <w:sz w:val="24"/>
                <w:highlight w:val="none"/>
              </w:rPr>
            </w:pPr>
          </w:p>
        </w:tc>
        <w:tc>
          <w:tcPr>
            <w:tcW w:w="633" w:type="pct"/>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w:t>
            </w:r>
          </w:p>
        </w:tc>
        <w:tc>
          <w:tcPr>
            <w:tcW w:w="759" w:type="pct"/>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2939" w:type="pct"/>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本合同工程结算经终审单位定审、承包人按合同专用条款第35条约定完整移交工程且不发生合同专用条款第38.10（3）、（4）款的违约情形的，发包人累计支付至本合同结算定审金额的97%</w:t>
            </w:r>
          </w:p>
        </w:tc>
        <w:tc>
          <w:tcPr>
            <w:tcW w:w="666" w:type="pct"/>
            <w:shd w:val="clear" w:color="auto" w:fill="auto"/>
            <w:noWrap/>
            <w:vAlign w:val="center"/>
          </w:tcPr>
          <w:p>
            <w:pPr>
              <w:rPr>
                <w:rFonts w:ascii="宋体" w:hAnsi="宋体" w:cs="宋体"/>
                <w:color w:val="auto"/>
                <w:sz w:val="24"/>
                <w:highlight w:val="none"/>
              </w:rPr>
            </w:pPr>
          </w:p>
        </w:tc>
        <w:tc>
          <w:tcPr>
            <w:tcW w:w="633" w:type="pct"/>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w:t>
            </w:r>
          </w:p>
        </w:tc>
        <w:tc>
          <w:tcPr>
            <w:tcW w:w="759" w:type="pct"/>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2939" w:type="pct"/>
            <w:shd w:val="clear" w:color="auto" w:fill="auto"/>
            <w:noWrap/>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余款3％作为质保金于保修期满后15日内结清（无息）。</w:t>
            </w:r>
          </w:p>
        </w:tc>
        <w:tc>
          <w:tcPr>
            <w:tcW w:w="666" w:type="pct"/>
            <w:shd w:val="clear" w:color="auto" w:fill="auto"/>
            <w:noWrap/>
            <w:vAlign w:val="center"/>
          </w:tcPr>
          <w:p>
            <w:pPr>
              <w:rPr>
                <w:rFonts w:ascii="宋体" w:hAnsi="宋体" w:cs="宋体"/>
                <w:color w:val="auto"/>
                <w:sz w:val="24"/>
                <w:highlight w:val="none"/>
              </w:rPr>
            </w:pPr>
          </w:p>
        </w:tc>
        <w:tc>
          <w:tcPr>
            <w:tcW w:w="633" w:type="pct"/>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759" w:type="pct"/>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100%</w:t>
            </w:r>
          </w:p>
        </w:tc>
      </w:tr>
    </w:tbl>
    <w:p>
      <w:pPr>
        <w:autoSpaceDE w:val="0"/>
        <w:autoSpaceDN w:val="0"/>
        <w:adjustRightInd w:val="0"/>
        <w:snapToGrid w:val="0"/>
        <w:spacing w:line="360" w:lineRule="auto"/>
        <w:ind w:right="11" w:firstLine="480" w:firstLineChars="200"/>
        <w:outlineLvl w:val="4"/>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28.2其他</w:t>
      </w:r>
    </w:p>
    <w:p>
      <w:pPr>
        <w:pStyle w:val="35"/>
        <w:adjustRightInd w:val="0"/>
        <w:snapToGrid w:val="0"/>
        <w:spacing w:before="0" w:beforeAutospacing="0" w:after="0" w:afterAutospacing="0" w:line="360" w:lineRule="auto"/>
        <w:ind w:firstLine="480" w:firstLineChars="200"/>
        <w:rPr>
          <w:rFonts w:cs="宋体" w:asciiTheme="majorEastAsia" w:hAnsiTheme="majorEastAsia" w:eastAsiaTheme="majorEastAsia"/>
          <w:snapToGrid w:val="0"/>
          <w:color w:val="auto"/>
          <w:highlight w:val="none"/>
        </w:rPr>
      </w:pPr>
      <w:r>
        <w:rPr>
          <w:rFonts w:hint="eastAsia" w:cs="宋体" w:asciiTheme="majorEastAsia" w:hAnsiTheme="majorEastAsia" w:eastAsiaTheme="majorEastAsia"/>
          <w:snapToGrid w:val="0"/>
          <w:color w:val="auto"/>
          <w:highlight w:val="none"/>
        </w:rPr>
        <w:t>（1）规费及税金项目的支付方式</w:t>
      </w:r>
    </w:p>
    <w:p>
      <w:pPr>
        <w:pStyle w:val="35"/>
        <w:adjustRightInd w:val="0"/>
        <w:snapToGrid w:val="0"/>
        <w:spacing w:before="0" w:beforeAutospacing="0" w:after="0" w:afterAutospacing="0" w:line="360" w:lineRule="auto"/>
        <w:ind w:firstLine="480" w:firstLineChars="200"/>
        <w:rPr>
          <w:rFonts w:cs="宋体" w:asciiTheme="majorEastAsia" w:hAnsiTheme="majorEastAsia" w:eastAsiaTheme="majorEastAsia"/>
          <w:snapToGrid w:val="0"/>
          <w:color w:val="auto"/>
          <w:highlight w:val="none"/>
        </w:rPr>
      </w:pPr>
      <w:r>
        <w:rPr>
          <w:rFonts w:hint="eastAsia" w:cs="宋体" w:asciiTheme="majorEastAsia" w:hAnsiTheme="majorEastAsia" w:eastAsiaTheme="majorEastAsia"/>
          <w:snapToGrid w:val="0"/>
          <w:color w:val="auto"/>
          <w:highlight w:val="none"/>
        </w:rPr>
        <w:t>规费、税金按政府及广州地区税务部门有关规定计算，根据当期进度款支付。</w:t>
      </w:r>
    </w:p>
    <w:p>
      <w:pPr>
        <w:spacing w:line="360" w:lineRule="auto"/>
        <w:ind w:firstLine="480" w:firstLineChars="200"/>
        <w:rPr>
          <w:rFonts w:cs="宋体" w:asciiTheme="majorEastAsia" w:hAnsiTheme="majorEastAsia" w:eastAsiaTheme="majorEastAsia"/>
          <w:snapToGrid w:val="0"/>
          <w:color w:val="auto"/>
          <w:kern w:val="0"/>
          <w:sz w:val="24"/>
          <w:szCs w:val="20"/>
          <w:highlight w:val="none"/>
        </w:rPr>
      </w:pPr>
      <w:bookmarkStart w:id="583" w:name="_Toc63329476"/>
      <w:bookmarkStart w:id="584" w:name="_Toc13313"/>
      <w:bookmarkStart w:id="585" w:name="_Toc2710"/>
      <w:r>
        <w:rPr>
          <w:rFonts w:hint="eastAsia" w:cs="宋体" w:asciiTheme="majorEastAsia" w:hAnsiTheme="majorEastAsia" w:eastAsiaTheme="majorEastAsia"/>
          <w:snapToGrid w:val="0"/>
          <w:color w:val="auto"/>
          <w:kern w:val="0"/>
          <w:sz w:val="24"/>
          <w:szCs w:val="20"/>
          <w:highlight w:val="none"/>
        </w:rPr>
        <w:t>28.5绿色施工安全防护措施费</w:t>
      </w:r>
      <w:bookmarkEnd w:id="583"/>
      <w:bookmarkEnd w:id="584"/>
      <w:bookmarkEnd w:id="585"/>
    </w:p>
    <w:p>
      <w:pPr>
        <w:spacing w:line="360" w:lineRule="auto"/>
        <w:ind w:firstLine="480" w:firstLineChars="200"/>
        <w:rPr>
          <w:rFonts w:cs="宋体" w:asciiTheme="majorEastAsia" w:hAnsiTheme="majorEastAsia" w:eastAsiaTheme="majorEastAsia"/>
          <w:snapToGrid w:val="0"/>
          <w:color w:val="auto"/>
          <w:kern w:val="0"/>
          <w:sz w:val="24"/>
          <w:szCs w:val="20"/>
          <w:highlight w:val="none"/>
        </w:rPr>
      </w:pPr>
      <w:r>
        <w:rPr>
          <w:rFonts w:hint="eastAsia" w:cs="宋体" w:asciiTheme="majorEastAsia" w:hAnsiTheme="majorEastAsia" w:eastAsiaTheme="majorEastAsia"/>
          <w:snapToGrid w:val="0"/>
          <w:color w:val="auto"/>
          <w:kern w:val="0"/>
          <w:sz w:val="24"/>
          <w:szCs w:val="20"/>
          <w:highlight w:val="none"/>
        </w:rPr>
        <w:t>28.5.1内容、范围和金额</w:t>
      </w:r>
    </w:p>
    <w:p>
      <w:pPr>
        <w:spacing w:line="360" w:lineRule="auto"/>
        <w:ind w:firstLine="420" w:firstLineChars="200"/>
        <w:rPr>
          <w:rFonts w:cs="宋体" w:asciiTheme="majorEastAsia" w:hAnsiTheme="majorEastAsia" w:eastAsiaTheme="majorEastAsia"/>
          <w:snapToGrid w:val="0"/>
          <w:color w:val="auto"/>
          <w:kern w:val="0"/>
          <w:sz w:val="24"/>
          <w:szCs w:val="20"/>
          <w:highlight w:val="none"/>
        </w:rPr>
      </w:pPr>
      <w:r>
        <w:rPr>
          <w:rFonts w:hint="eastAsia" w:cs="宋体" w:asciiTheme="majorEastAsia" w:hAnsiTheme="majorEastAsia" w:eastAsiaTheme="majorEastAsia"/>
          <w:snapToGrid w:val="0"/>
          <w:color w:val="auto"/>
          <w:highlight w:val="none"/>
        </w:rPr>
        <w:t>（1）</w:t>
      </w:r>
      <w:r>
        <w:rPr>
          <w:rFonts w:hint="eastAsia" w:cs="宋体" w:asciiTheme="majorEastAsia" w:hAnsiTheme="majorEastAsia" w:eastAsiaTheme="majorEastAsia"/>
          <w:snapToGrid w:val="0"/>
          <w:color w:val="auto"/>
          <w:kern w:val="0"/>
          <w:sz w:val="24"/>
          <w:szCs w:val="20"/>
          <w:highlight w:val="none"/>
        </w:rPr>
        <w:t>绿色施工安全防护措施的内容及范围：以广东省统一计价依据的规定为准。</w:t>
      </w:r>
    </w:p>
    <w:p>
      <w:pPr>
        <w:spacing w:line="360" w:lineRule="auto"/>
        <w:ind w:firstLine="420" w:firstLineChars="200"/>
        <w:rPr>
          <w:rFonts w:cs="宋体" w:asciiTheme="majorEastAsia" w:hAnsiTheme="majorEastAsia" w:eastAsiaTheme="majorEastAsia"/>
          <w:snapToGrid w:val="0"/>
          <w:color w:val="auto"/>
          <w:kern w:val="0"/>
          <w:sz w:val="24"/>
          <w:szCs w:val="20"/>
          <w:highlight w:val="none"/>
        </w:rPr>
      </w:pPr>
      <w:r>
        <w:rPr>
          <w:rFonts w:hint="eastAsia" w:cs="宋体" w:asciiTheme="majorEastAsia" w:hAnsiTheme="majorEastAsia" w:eastAsiaTheme="majorEastAsia"/>
          <w:snapToGrid w:val="0"/>
          <w:color w:val="auto"/>
          <w:highlight w:val="none"/>
        </w:rPr>
        <w:t>（</w:t>
      </w:r>
      <w:r>
        <w:rPr>
          <w:rFonts w:cs="宋体" w:asciiTheme="majorEastAsia" w:hAnsiTheme="majorEastAsia" w:eastAsiaTheme="majorEastAsia"/>
          <w:snapToGrid w:val="0"/>
          <w:color w:val="auto"/>
          <w:highlight w:val="none"/>
        </w:rPr>
        <w:t>2</w:t>
      </w:r>
      <w:r>
        <w:rPr>
          <w:rFonts w:hint="eastAsia" w:cs="宋体" w:asciiTheme="majorEastAsia" w:hAnsiTheme="majorEastAsia" w:eastAsiaTheme="majorEastAsia"/>
          <w:snapToGrid w:val="0"/>
          <w:color w:val="auto"/>
          <w:highlight w:val="none"/>
        </w:rPr>
        <w:t>）</w:t>
      </w:r>
      <w:r>
        <w:rPr>
          <w:rFonts w:hint="eastAsia" w:cs="宋体" w:asciiTheme="majorEastAsia" w:hAnsiTheme="majorEastAsia" w:eastAsiaTheme="majorEastAsia"/>
          <w:color w:val="auto"/>
          <w:sz w:val="24"/>
          <w:highlight w:val="none"/>
        </w:rPr>
        <w:t>绿色施工安全防护措施费</w:t>
      </w:r>
      <w:r>
        <w:rPr>
          <w:rFonts w:hint="eastAsia" w:cs="宋体" w:asciiTheme="majorEastAsia" w:hAnsiTheme="majorEastAsia" w:eastAsiaTheme="majorEastAsia"/>
          <w:snapToGrid w:val="0"/>
          <w:color w:val="auto"/>
          <w:kern w:val="0"/>
          <w:sz w:val="24"/>
          <w:szCs w:val="20"/>
          <w:highlight w:val="none"/>
        </w:rPr>
        <w:t>包含在合同总价中，专款专用，不得挪为他用。</w:t>
      </w:r>
    </w:p>
    <w:p>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28.5.2约定支付方式</w:t>
      </w:r>
    </w:p>
    <w:p>
      <w:pPr>
        <w:spacing w:line="360" w:lineRule="auto"/>
        <w:ind w:firstLine="480" w:firstLineChars="200"/>
        <w:rPr>
          <w:rFonts w:cs="宋体" w:asciiTheme="majorEastAsia" w:hAnsiTheme="majorEastAsia" w:eastAsiaTheme="majorEastAsia"/>
          <w:bCs/>
          <w:color w:val="auto"/>
          <w:kern w:val="1"/>
          <w:sz w:val="24"/>
          <w:highlight w:val="none"/>
        </w:rPr>
      </w:pPr>
      <w:r>
        <w:rPr>
          <w:rFonts w:hint="eastAsia" w:cs="宋体" w:asciiTheme="majorEastAsia" w:hAnsiTheme="majorEastAsia" w:eastAsiaTheme="majorEastAsia"/>
          <w:color w:val="auto"/>
          <w:kern w:val="1"/>
          <w:sz w:val="24"/>
          <w:highlight w:val="none"/>
        </w:rPr>
        <w:t>绿色施工安全防护措施费单独支付。绿色施工安全防护措施费按《广州市建筑工程安全生产措施费管理办法》等现行规定专款专用。</w:t>
      </w:r>
      <w:r>
        <w:rPr>
          <w:rFonts w:hint="eastAsia" w:cs="宋体" w:asciiTheme="majorEastAsia" w:hAnsiTheme="majorEastAsia" w:eastAsiaTheme="majorEastAsia"/>
          <w:bCs/>
          <w:color w:val="auto"/>
          <w:kern w:val="1"/>
          <w:sz w:val="24"/>
          <w:highlight w:val="none"/>
        </w:rPr>
        <w:t>具体支付方法如下：</w:t>
      </w:r>
    </w:p>
    <w:tbl>
      <w:tblPr>
        <w:tblStyle w:val="40"/>
        <w:tblW w:w="8648" w:type="dxa"/>
        <w:jc w:val="center"/>
        <w:tblLayout w:type="fixed"/>
        <w:tblCellMar>
          <w:top w:w="0" w:type="dxa"/>
          <w:left w:w="108" w:type="dxa"/>
          <w:bottom w:w="0" w:type="dxa"/>
          <w:right w:w="108" w:type="dxa"/>
        </w:tblCellMar>
      </w:tblPr>
      <w:tblGrid>
        <w:gridCol w:w="3261"/>
        <w:gridCol w:w="2237"/>
        <w:gridCol w:w="1485"/>
        <w:gridCol w:w="1665"/>
      </w:tblGrid>
      <w:tr>
        <w:tblPrEx>
          <w:tblCellMar>
            <w:top w:w="0" w:type="dxa"/>
            <w:left w:w="108" w:type="dxa"/>
            <w:bottom w:w="0" w:type="dxa"/>
            <w:right w:w="108" w:type="dxa"/>
          </w:tblCellMar>
        </w:tblPrEx>
        <w:trPr>
          <w:trHeight w:val="527" w:hRule="atLeast"/>
          <w:jc w:val="center"/>
        </w:trPr>
        <w:tc>
          <w:tcPr>
            <w:tcW w:w="3261" w:type="dxa"/>
            <w:tcBorders>
              <w:top w:val="single" w:color="000000" w:sz="4" w:space="0"/>
              <w:left w:val="single" w:color="000000" w:sz="4" w:space="0"/>
              <w:bottom w:val="single" w:color="000000" w:sz="4" w:space="0"/>
              <w:right w:val="single" w:color="000000" w:sz="4" w:space="0"/>
            </w:tcBorders>
            <w:vAlign w:val="center"/>
          </w:tcPr>
          <w:p>
            <w:pPr>
              <w:pStyle w:val="15"/>
              <w:spacing w:after="0"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支付条件</w:t>
            </w:r>
          </w:p>
        </w:tc>
        <w:tc>
          <w:tcPr>
            <w:tcW w:w="2237" w:type="dxa"/>
            <w:tcBorders>
              <w:top w:val="single" w:color="000000" w:sz="4" w:space="0"/>
              <w:left w:val="single" w:color="000000" w:sz="4" w:space="0"/>
              <w:bottom w:val="single" w:color="000000" w:sz="4" w:space="0"/>
              <w:right w:val="single" w:color="000000" w:sz="4" w:space="0"/>
            </w:tcBorders>
            <w:vAlign w:val="center"/>
          </w:tcPr>
          <w:p>
            <w:pPr>
              <w:pStyle w:val="15"/>
              <w:spacing w:after="0"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支付金额（元）</w:t>
            </w:r>
          </w:p>
        </w:tc>
        <w:tc>
          <w:tcPr>
            <w:tcW w:w="1485" w:type="dxa"/>
            <w:tcBorders>
              <w:top w:val="single" w:color="000000" w:sz="4" w:space="0"/>
              <w:left w:val="single" w:color="000000" w:sz="4" w:space="0"/>
              <w:bottom w:val="single" w:color="000000" w:sz="4" w:space="0"/>
              <w:right w:val="single" w:color="000000" w:sz="4" w:space="0"/>
            </w:tcBorders>
            <w:vAlign w:val="center"/>
          </w:tcPr>
          <w:p>
            <w:pPr>
              <w:pStyle w:val="15"/>
              <w:spacing w:after="0"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支付比例</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15"/>
              <w:spacing w:after="0"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累计支付比例</w:t>
            </w:r>
          </w:p>
        </w:tc>
      </w:tr>
      <w:tr>
        <w:tblPrEx>
          <w:tblCellMar>
            <w:top w:w="0" w:type="dxa"/>
            <w:left w:w="108" w:type="dxa"/>
            <w:bottom w:w="0" w:type="dxa"/>
            <w:right w:w="108" w:type="dxa"/>
          </w:tblCellMar>
        </w:tblPrEx>
        <w:trPr>
          <w:jc w:val="center"/>
        </w:trPr>
        <w:tc>
          <w:tcPr>
            <w:tcW w:w="3261" w:type="dxa"/>
            <w:tcBorders>
              <w:top w:val="single" w:color="000000" w:sz="4" w:space="0"/>
              <w:left w:val="single" w:color="000000" w:sz="4" w:space="0"/>
              <w:bottom w:val="single" w:color="000000" w:sz="4" w:space="0"/>
              <w:right w:val="single" w:color="000000" w:sz="4" w:space="0"/>
            </w:tcBorders>
            <w:vAlign w:val="center"/>
          </w:tcPr>
          <w:p>
            <w:pPr>
              <w:pStyle w:val="15"/>
              <w:spacing w:after="0"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经审查符合开工条件后</w:t>
            </w:r>
          </w:p>
        </w:tc>
        <w:tc>
          <w:tcPr>
            <w:tcW w:w="2237" w:type="dxa"/>
            <w:tcBorders>
              <w:top w:val="single" w:color="000000" w:sz="4" w:space="0"/>
              <w:left w:val="single" w:color="000000" w:sz="4" w:space="0"/>
              <w:bottom w:val="single" w:color="000000" w:sz="4" w:space="0"/>
              <w:right w:val="single" w:color="000000" w:sz="4" w:space="0"/>
            </w:tcBorders>
            <w:vAlign w:val="center"/>
          </w:tcPr>
          <w:p>
            <w:pPr>
              <w:pStyle w:val="15"/>
              <w:spacing w:after="0" w:line="360" w:lineRule="auto"/>
              <w:jc w:val="center"/>
              <w:rPr>
                <w:rFonts w:cs="宋体" w:asciiTheme="majorEastAsia" w:hAnsiTheme="majorEastAsia" w:eastAsiaTheme="majorEastAsia"/>
                <w:color w:val="auto"/>
                <w:sz w:val="24"/>
                <w:highlight w:val="none"/>
              </w:rPr>
            </w:pPr>
          </w:p>
        </w:tc>
        <w:tc>
          <w:tcPr>
            <w:tcW w:w="1485" w:type="dxa"/>
            <w:tcBorders>
              <w:top w:val="single" w:color="000000" w:sz="4" w:space="0"/>
              <w:left w:val="single" w:color="000000" w:sz="4" w:space="0"/>
              <w:bottom w:val="single" w:color="000000" w:sz="4" w:space="0"/>
              <w:right w:val="single" w:color="000000" w:sz="4" w:space="0"/>
            </w:tcBorders>
            <w:vAlign w:val="center"/>
          </w:tcPr>
          <w:p>
            <w:pPr>
              <w:pStyle w:val="15"/>
              <w:spacing w:after="0"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40％</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15"/>
              <w:spacing w:after="0"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40％</w:t>
            </w:r>
          </w:p>
        </w:tc>
      </w:tr>
      <w:tr>
        <w:tblPrEx>
          <w:tblCellMar>
            <w:top w:w="0" w:type="dxa"/>
            <w:left w:w="108" w:type="dxa"/>
            <w:bottom w:w="0" w:type="dxa"/>
            <w:right w:w="108" w:type="dxa"/>
          </w:tblCellMar>
        </w:tblPrEx>
        <w:trPr>
          <w:jc w:val="center"/>
        </w:trPr>
        <w:tc>
          <w:tcPr>
            <w:tcW w:w="3261" w:type="dxa"/>
            <w:tcBorders>
              <w:top w:val="single" w:color="000000" w:sz="4" w:space="0"/>
              <w:left w:val="single" w:color="000000" w:sz="4" w:space="0"/>
              <w:bottom w:val="single" w:color="000000" w:sz="4" w:space="0"/>
              <w:right w:val="single" w:color="000000" w:sz="4" w:space="0"/>
            </w:tcBorders>
            <w:vAlign w:val="center"/>
          </w:tcPr>
          <w:p>
            <w:pPr>
              <w:pStyle w:val="15"/>
              <w:spacing w:after="0"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实际累计完成工程量至合同工程量的40%且中间安全评价合格后</w:t>
            </w:r>
          </w:p>
        </w:tc>
        <w:tc>
          <w:tcPr>
            <w:tcW w:w="2237" w:type="dxa"/>
            <w:tcBorders>
              <w:top w:val="single" w:color="000000" w:sz="4" w:space="0"/>
              <w:left w:val="single" w:color="000000" w:sz="4" w:space="0"/>
              <w:bottom w:val="single" w:color="000000" w:sz="4" w:space="0"/>
              <w:right w:val="single" w:color="000000" w:sz="4" w:space="0"/>
            </w:tcBorders>
            <w:vAlign w:val="center"/>
          </w:tcPr>
          <w:p>
            <w:pPr>
              <w:pStyle w:val="15"/>
              <w:spacing w:after="0" w:line="360" w:lineRule="auto"/>
              <w:jc w:val="center"/>
              <w:rPr>
                <w:rFonts w:cs="宋体" w:asciiTheme="majorEastAsia" w:hAnsiTheme="majorEastAsia" w:eastAsiaTheme="majorEastAsia"/>
                <w:color w:val="auto"/>
                <w:sz w:val="24"/>
                <w:highlight w:val="none"/>
              </w:rPr>
            </w:pPr>
          </w:p>
        </w:tc>
        <w:tc>
          <w:tcPr>
            <w:tcW w:w="1485" w:type="dxa"/>
            <w:tcBorders>
              <w:top w:val="single" w:color="000000" w:sz="4" w:space="0"/>
              <w:left w:val="single" w:color="000000" w:sz="4" w:space="0"/>
              <w:bottom w:val="single" w:color="000000" w:sz="4" w:space="0"/>
              <w:right w:val="single" w:color="000000" w:sz="4" w:space="0"/>
            </w:tcBorders>
            <w:vAlign w:val="center"/>
          </w:tcPr>
          <w:p>
            <w:pPr>
              <w:pStyle w:val="15"/>
              <w:spacing w:after="0"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30％</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15"/>
              <w:spacing w:after="0"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70％</w:t>
            </w:r>
          </w:p>
        </w:tc>
      </w:tr>
      <w:tr>
        <w:tblPrEx>
          <w:tblCellMar>
            <w:top w:w="0" w:type="dxa"/>
            <w:left w:w="108" w:type="dxa"/>
            <w:bottom w:w="0" w:type="dxa"/>
            <w:right w:w="108" w:type="dxa"/>
          </w:tblCellMar>
        </w:tblPrEx>
        <w:trPr>
          <w:jc w:val="center"/>
        </w:trPr>
        <w:tc>
          <w:tcPr>
            <w:tcW w:w="3261" w:type="dxa"/>
            <w:tcBorders>
              <w:top w:val="single" w:color="000000" w:sz="4" w:space="0"/>
              <w:left w:val="single" w:color="000000" w:sz="4" w:space="0"/>
              <w:bottom w:val="single" w:color="000000" w:sz="4" w:space="0"/>
              <w:right w:val="single" w:color="000000" w:sz="4" w:space="0"/>
            </w:tcBorders>
            <w:vAlign w:val="center"/>
          </w:tcPr>
          <w:p>
            <w:pPr>
              <w:pStyle w:val="15"/>
              <w:spacing w:after="0"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实际累计完成工程量至合同工程量的70%且中间安全评价合格后</w:t>
            </w:r>
          </w:p>
        </w:tc>
        <w:tc>
          <w:tcPr>
            <w:tcW w:w="2237" w:type="dxa"/>
            <w:tcBorders>
              <w:top w:val="single" w:color="000000" w:sz="4" w:space="0"/>
              <w:left w:val="single" w:color="000000" w:sz="4" w:space="0"/>
              <w:bottom w:val="single" w:color="000000" w:sz="4" w:space="0"/>
              <w:right w:val="single" w:color="000000" w:sz="4" w:space="0"/>
            </w:tcBorders>
            <w:vAlign w:val="center"/>
          </w:tcPr>
          <w:p>
            <w:pPr>
              <w:pStyle w:val="15"/>
              <w:spacing w:after="0" w:line="360" w:lineRule="auto"/>
              <w:jc w:val="center"/>
              <w:rPr>
                <w:rFonts w:cs="宋体" w:asciiTheme="majorEastAsia" w:hAnsiTheme="majorEastAsia" w:eastAsiaTheme="majorEastAsia"/>
                <w:color w:val="auto"/>
                <w:sz w:val="24"/>
                <w:highlight w:val="none"/>
              </w:rPr>
            </w:pPr>
          </w:p>
        </w:tc>
        <w:tc>
          <w:tcPr>
            <w:tcW w:w="1485" w:type="dxa"/>
            <w:tcBorders>
              <w:top w:val="single" w:color="000000" w:sz="4" w:space="0"/>
              <w:left w:val="single" w:color="000000" w:sz="4" w:space="0"/>
              <w:bottom w:val="single" w:color="000000" w:sz="4" w:space="0"/>
              <w:right w:val="single" w:color="000000" w:sz="4" w:space="0"/>
            </w:tcBorders>
            <w:vAlign w:val="center"/>
          </w:tcPr>
          <w:p>
            <w:pPr>
              <w:pStyle w:val="15"/>
              <w:spacing w:after="0"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20％</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15"/>
              <w:spacing w:after="0"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90％</w:t>
            </w:r>
          </w:p>
        </w:tc>
      </w:tr>
      <w:tr>
        <w:tblPrEx>
          <w:tblCellMar>
            <w:top w:w="0" w:type="dxa"/>
            <w:left w:w="108" w:type="dxa"/>
            <w:bottom w:w="0" w:type="dxa"/>
            <w:right w:w="108" w:type="dxa"/>
          </w:tblCellMar>
        </w:tblPrEx>
        <w:trPr>
          <w:jc w:val="center"/>
        </w:trPr>
        <w:tc>
          <w:tcPr>
            <w:tcW w:w="3261" w:type="dxa"/>
            <w:tcBorders>
              <w:top w:val="single" w:color="000000" w:sz="4" w:space="0"/>
              <w:left w:val="single" w:color="000000" w:sz="4" w:space="0"/>
              <w:bottom w:val="single" w:color="000000" w:sz="4" w:space="0"/>
              <w:right w:val="single" w:color="000000" w:sz="4" w:space="0"/>
            </w:tcBorders>
            <w:vAlign w:val="center"/>
          </w:tcPr>
          <w:p>
            <w:pPr>
              <w:pStyle w:val="15"/>
              <w:spacing w:after="0"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竣工安全评价合格后</w:t>
            </w:r>
          </w:p>
        </w:tc>
        <w:tc>
          <w:tcPr>
            <w:tcW w:w="2237" w:type="dxa"/>
            <w:tcBorders>
              <w:top w:val="single" w:color="000000" w:sz="4" w:space="0"/>
              <w:left w:val="single" w:color="000000" w:sz="4" w:space="0"/>
              <w:bottom w:val="single" w:color="000000" w:sz="4" w:space="0"/>
              <w:right w:val="single" w:color="000000" w:sz="4" w:space="0"/>
            </w:tcBorders>
            <w:vAlign w:val="center"/>
          </w:tcPr>
          <w:p>
            <w:pPr>
              <w:pStyle w:val="15"/>
              <w:spacing w:after="0" w:line="360" w:lineRule="auto"/>
              <w:jc w:val="center"/>
              <w:rPr>
                <w:rFonts w:cs="宋体" w:asciiTheme="majorEastAsia" w:hAnsiTheme="majorEastAsia" w:eastAsiaTheme="majorEastAsia"/>
                <w:color w:val="auto"/>
                <w:sz w:val="24"/>
                <w:highlight w:val="none"/>
              </w:rPr>
            </w:pPr>
          </w:p>
        </w:tc>
        <w:tc>
          <w:tcPr>
            <w:tcW w:w="1485" w:type="dxa"/>
            <w:tcBorders>
              <w:top w:val="single" w:color="000000" w:sz="4" w:space="0"/>
              <w:left w:val="single" w:color="000000" w:sz="4" w:space="0"/>
              <w:bottom w:val="single" w:color="000000" w:sz="4" w:space="0"/>
              <w:right w:val="single" w:color="000000" w:sz="4" w:space="0"/>
            </w:tcBorders>
            <w:vAlign w:val="center"/>
          </w:tcPr>
          <w:p>
            <w:pPr>
              <w:pStyle w:val="15"/>
              <w:spacing w:after="0"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10％</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15"/>
              <w:spacing w:after="0"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100％</w:t>
            </w:r>
          </w:p>
        </w:tc>
      </w:tr>
    </w:tbl>
    <w:p>
      <w:pPr>
        <w:pStyle w:val="35"/>
        <w:adjustRightInd w:val="0"/>
        <w:snapToGrid w:val="0"/>
        <w:spacing w:before="0" w:beforeAutospacing="0" w:after="0" w:afterAutospacing="0" w:line="360" w:lineRule="auto"/>
        <w:rPr>
          <w:rFonts w:cs="宋体" w:asciiTheme="majorEastAsia" w:hAnsiTheme="majorEastAsia" w:eastAsiaTheme="majorEastAsia"/>
          <w:snapToGrid w:val="0"/>
          <w:color w:val="auto"/>
          <w:highlight w:val="none"/>
        </w:rPr>
      </w:pPr>
      <w:r>
        <w:rPr>
          <w:rFonts w:hint="eastAsia" w:cs="宋体" w:asciiTheme="majorEastAsia" w:hAnsiTheme="majorEastAsia" w:eastAsiaTheme="majorEastAsia"/>
          <w:color w:val="auto"/>
          <w:highlight w:val="none"/>
          <w:u w:val="single"/>
        </w:rPr>
        <w:t>以上支付条件须由监理、发包人等相关单位书面确认</w:t>
      </w:r>
      <w:r>
        <w:rPr>
          <w:rFonts w:hint="eastAsia" w:cs="宋体" w:asciiTheme="majorEastAsia" w:hAnsiTheme="majorEastAsia" w:eastAsiaTheme="majorEastAsia"/>
          <w:color w:val="auto"/>
          <w:highlight w:val="none"/>
        </w:rPr>
        <w:t>。</w:t>
      </w:r>
    </w:p>
    <w:p>
      <w:pPr>
        <w:adjustRightInd w:val="0"/>
        <w:snapToGrid w:val="0"/>
        <w:spacing w:line="360" w:lineRule="auto"/>
        <w:ind w:right="11"/>
        <w:outlineLvl w:val="1"/>
        <w:rPr>
          <w:rFonts w:cs="宋体" w:asciiTheme="majorEastAsia" w:hAnsiTheme="majorEastAsia" w:eastAsiaTheme="majorEastAsia"/>
          <w:b/>
          <w:bCs/>
          <w:snapToGrid w:val="0"/>
          <w:color w:val="auto"/>
          <w:kern w:val="0"/>
          <w:sz w:val="28"/>
          <w:szCs w:val="28"/>
          <w:highlight w:val="none"/>
        </w:rPr>
      </w:pPr>
      <w:bookmarkStart w:id="586" w:name="_Toc397364925"/>
      <w:bookmarkStart w:id="587" w:name="_Toc15091"/>
      <w:bookmarkStart w:id="588" w:name="_Toc8501"/>
      <w:bookmarkStart w:id="589" w:name="_Toc140476938"/>
      <w:r>
        <w:rPr>
          <w:rFonts w:hint="eastAsia" w:cs="宋体" w:asciiTheme="majorEastAsia" w:hAnsiTheme="majorEastAsia" w:eastAsiaTheme="majorEastAsia"/>
          <w:b/>
          <w:bCs/>
          <w:snapToGrid w:val="0"/>
          <w:color w:val="auto"/>
          <w:kern w:val="0"/>
          <w:sz w:val="28"/>
          <w:szCs w:val="28"/>
          <w:highlight w:val="none"/>
        </w:rPr>
        <w:t>七、材料设备供应</w:t>
      </w:r>
      <w:bookmarkEnd w:id="586"/>
      <w:bookmarkEnd w:id="587"/>
      <w:bookmarkEnd w:id="588"/>
      <w:bookmarkEnd w:id="589"/>
    </w:p>
    <w:p>
      <w:pPr>
        <w:adjustRightInd w:val="0"/>
        <w:snapToGrid w:val="0"/>
        <w:spacing w:line="360" w:lineRule="auto"/>
        <w:ind w:right="11" w:firstLine="482" w:firstLineChars="200"/>
        <w:outlineLvl w:val="2"/>
        <w:rPr>
          <w:rFonts w:cs="宋体" w:asciiTheme="majorEastAsia" w:hAnsiTheme="majorEastAsia" w:eastAsiaTheme="majorEastAsia"/>
          <w:b/>
          <w:snapToGrid w:val="0"/>
          <w:color w:val="auto"/>
          <w:kern w:val="0"/>
          <w:sz w:val="24"/>
          <w:highlight w:val="none"/>
        </w:rPr>
      </w:pPr>
      <w:bookmarkStart w:id="590" w:name="_Toc140476939"/>
      <w:bookmarkStart w:id="591" w:name="_Toc396662393"/>
      <w:r>
        <w:rPr>
          <w:rFonts w:hint="eastAsia" w:cs="宋体" w:asciiTheme="majorEastAsia" w:hAnsiTheme="majorEastAsia" w:eastAsiaTheme="majorEastAsia"/>
          <w:b/>
          <w:snapToGrid w:val="0"/>
          <w:color w:val="auto"/>
          <w:kern w:val="0"/>
          <w:sz w:val="24"/>
          <w:highlight w:val="none"/>
        </w:rPr>
        <w:t>29、发包人供应材料设备</w:t>
      </w:r>
      <w:bookmarkEnd w:id="590"/>
    </w:p>
    <w:bookmarkEnd w:id="591"/>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本合同工程发包人不提供任何材料设备</w:t>
      </w:r>
      <w:bookmarkStart w:id="592" w:name="_Toc396662395"/>
      <w:r>
        <w:rPr>
          <w:rFonts w:hint="eastAsia" w:cs="宋体" w:asciiTheme="majorEastAsia" w:hAnsiTheme="majorEastAsia" w:eastAsiaTheme="majorEastAsia"/>
          <w:snapToGrid w:val="0"/>
          <w:color w:val="auto"/>
          <w:kern w:val="0"/>
          <w:sz w:val="24"/>
          <w:highlight w:val="none"/>
        </w:rPr>
        <w:t>。</w:t>
      </w:r>
    </w:p>
    <w:bookmarkEnd w:id="592"/>
    <w:p>
      <w:pPr>
        <w:adjustRightInd w:val="0"/>
        <w:snapToGrid w:val="0"/>
        <w:spacing w:line="360" w:lineRule="auto"/>
        <w:ind w:right="11" w:firstLine="482" w:firstLineChars="200"/>
        <w:outlineLvl w:val="2"/>
        <w:rPr>
          <w:rFonts w:cs="宋体" w:asciiTheme="majorEastAsia" w:hAnsiTheme="majorEastAsia" w:eastAsiaTheme="majorEastAsia"/>
          <w:b/>
          <w:snapToGrid w:val="0"/>
          <w:color w:val="auto"/>
          <w:kern w:val="0"/>
          <w:sz w:val="24"/>
          <w:highlight w:val="none"/>
        </w:rPr>
      </w:pPr>
      <w:bookmarkStart w:id="593" w:name="_Toc140476940"/>
      <w:r>
        <w:rPr>
          <w:rFonts w:hint="eastAsia" w:cs="宋体" w:asciiTheme="majorEastAsia" w:hAnsiTheme="majorEastAsia" w:eastAsiaTheme="majorEastAsia"/>
          <w:b/>
          <w:snapToGrid w:val="0"/>
          <w:color w:val="auto"/>
          <w:kern w:val="0"/>
          <w:sz w:val="24"/>
          <w:highlight w:val="none"/>
        </w:rPr>
        <w:t>30、承包人采购材料设备</w:t>
      </w:r>
      <w:bookmarkEnd w:id="593"/>
    </w:p>
    <w:p>
      <w:pPr>
        <w:adjustRightInd w:val="0"/>
        <w:snapToGrid w:val="0"/>
        <w:spacing w:line="360" w:lineRule="auto"/>
        <w:ind w:right="11" w:firstLine="460" w:firstLineChars="192"/>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30.1本合同工程材料设备均为乙供材料设备（即承包人提供材料设备），承包人承诺：所有的材料设备均严格按照相关技术规范、用户需求书选用，并保证材料设备参数的真实性、有效性，如发生材料设备货不对板、或以低品质材料设备冒充高品质材料设备、或以低技术档次系列的产品冒充高技术档次系列的产品的情况，该材料设备不得在本工程使用。</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30.6由承包人采购的材料设备，发包人不得指定生产厂或供应商；但承包人需在采购前向监理单位、发包人报审并取得相应书面同意。主要材料设备的报审资料需包含厂家对本工程开具的供货授权函，以便于维保工作。</w:t>
      </w:r>
    </w:p>
    <w:p>
      <w:pPr>
        <w:adjustRightInd w:val="0"/>
        <w:snapToGrid w:val="0"/>
        <w:spacing w:line="360" w:lineRule="auto"/>
        <w:ind w:right="11" w:firstLine="463" w:firstLineChars="192"/>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
          <w:snapToGrid w:val="0"/>
          <w:color w:val="auto"/>
          <w:kern w:val="0"/>
          <w:sz w:val="24"/>
          <w:highlight w:val="none"/>
        </w:rPr>
        <w:t>承包人和发包人一致同意增加30.7：</w:t>
      </w:r>
    </w:p>
    <w:p>
      <w:pPr>
        <w:pStyle w:val="20"/>
        <w:adjustRightInd w:val="0"/>
        <w:snapToGrid w:val="0"/>
        <w:spacing w:line="360" w:lineRule="auto"/>
        <w:ind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30.7对材料设备采购的相关要求</w:t>
      </w:r>
    </w:p>
    <w:p>
      <w:pPr>
        <w:pStyle w:val="20"/>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（1）混凝土、水泥、钢筋等主材厂家要求</w:t>
      </w:r>
    </w:p>
    <w:p>
      <w:pPr>
        <w:pStyle w:val="20"/>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①混凝土生产厂要求：行政主管部门核定的二级及以上资质，且一年内没发生质量事故和行政主管部门的通报批评。</w:t>
      </w:r>
    </w:p>
    <w:p>
      <w:pPr>
        <w:pStyle w:val="20"/>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②水泥应符合现行通用水泥国家标准，选用质量稳定，低水化热和含碱量、含氯离子量偏低的水泥，不得使用硫铝酸盐水泥、铁铝酸盐水泥和高铝水泥，结构部位不得使用立窑法生产的水泥。</w:t>
      </w:r>
    </w:p>
    <w:p>
      <w:pPr>
        <w:pStyle w:val="20"/>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fldChar w:fldCharType="begin"/>
      </w:r>
      <w:r>
        <w:rPr>
          <w:rFonts w:hint="eastAsia" w:cs="宋体" w:asciiTheme="majorEastAsia" w:hAnsiTheme="majorEastAsia" w:eastAsiaTheme="majorEastAsia"/>
          <w:snapToGrid w:val="0"/>
          <w:color w:val="auto"/>
          <w:kern w:val="0"/>
          <w:sz w:val="24"/>
          <w:highlight w:val="none"/>
        </w:rPr>
        <w:instrText xml:space="preserve"> = 3 \* GB3 </w:instrText>
      </w:r>
      <w:r>
        <w:rPr>
          <w:rFonts w:hint="eastAsia" w:cs="宋体" w:asciiTheme="majorEastAsia" w:hAnsiTheme="majorEastAsia" w:eastAsiaTheme="majorEastAsia"/>
          <w:snapToGrid w:val="0"/>
          <w:color w:val="auto"/>
          <w:kern w:val="0"/>
          <w:sz w:val="24"/>
          <w:highlight w:val="none"/>
        </w:rPr>
        <w:fldChar w:fldCharType="separate"/>
      </w:r>
      <w:r>
        <w:rPr>
          <w:rFonts w:hint="eastAsia" w:cs="宋体" w:asciiTheme="majorEastAsia" w:hAnsiTheme="majorEastAsia" w:eastAsiaTheme="majorEastAsia"/>
          <w:snapToGrid w:val="0"/>
          <w:color w:val="auto"/>
          <w:kern w:val="0"/>
          <w:sz w:val="24"/>
          <w:highlight w:val="none"/>
        </w:rPr>
        <w:t>③</w:t>
      </w:r>
      <w:r>
        <w:rPr>
          <w:rFonts w:hint="eastAsia" w:cs="宋体" w:asciiTheme="majorEastAsia" w:hAnsiTheme="majorEastAsia" w:eastAsiaTheme="majorEastAsia"/>
          <w:snapToGrid w:val="0"/>
          <w:color w:val="auto"/>
          <w:kern w:val="0"/>
          <w:sz w:val="24"/>
          <w:highlight w:val="none"/>
        </w:rPr>
        <w:fldChar w:fldCharType="end"/>
      </w:r>
      <w:r>
        <w:rPr>
          <w:rFonts w:hint="eastAsia" w:cs="宋体" w:asciiTheme="majorEastAsia" w:hAnsiTheme="majorEastAsia" w:eastAsiaTheme="majorEastAsia"/>
          <w:snapToGrid w:val="0"/>
          <w:color w:val="auto"/>
          <w:kern w:val="0"/>
          <w:sz w:val="24"/>
          <w:highlight w:val="none"/>
        </w:rPr>
        <w:t>钢筋、钢绞线、钢板供应商要求：国家免检厂家产品，年产量100万吨以上，且二年内无有效投诉。</w:t>
      </w:r>
    </w:p>
    <w:p>
      <w:pPr>
        <w:pStyle w:val="20"/>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承包人采购材料设备的约定：本工程中的承包人工作范围内的所有材料设备均由承包人按设计图纸、规范要求及招标文件中的品牌清单，并在征得发包人书面同意的前提下进行采购，材料或设备的采购、装卸、运输、仓储保管、吊装、场内二次转运、质检和验收均由承包人负责，合同价中已考虑物价上涨因素。如因材料或设备生产厂家的原因造成承包人无法按原报价品牌及设计图纸、规范要求进行采购的，承包人须在征得发包人书面同意的前提下购买招标时发包人提供的参考品牌的材料设备中的其他品牌，但该材料或设备的价格在结算时不得进行任何调整。如再因其它原因导致承包人不能按招标时发包人提供的品牌进行采购，则承包人在征得发包人书面同意的前提下，提供三家或以上的品牌（这些品牌的质量和档次必须都不低于原报价品牌）供监理单位、发包人审核并同意后进行采购。</w:t>
      </w:r>
    </w:p>
    <w:p>
      <w:pPr>
        <w:pStyle w:val="20"/>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w:t>
      </w:r>
      <w:r>
        <w:rPr>
          <w:rFonts w:cs="宋体" w:asciiTheme="majorEastAsia" w:hAnsiTheme="majorEastAsia" w:eastAsiaTheme="majorEastAsia"/>
          <w:snapToGrid w:val="0"/>
          <w:color w:val="auto"/>
          <w:kern w:val="0"/>
          <w:sz w:val="24"/>
          <w:highlight w:val="none"/>
        </w:rPr>
        <w:t>3</w:t>
      </w:r>
      <w:r>
        <w:rPr>
          <w:rFonts w:hint="eastAsia" w:cs="宋体" w:asciiTheme="majorEastAsia" w:hAnsiTheme="majorEastAsia" w:eastAsiaTheme="majorEastAsia"/>
          <w:snapToGrid w:val="0"/>
          <w:color w:val="auto"/>
          <w:kern w:val="0"/>
          <w:sz w:val="24"/>
          <w:highlight w:val="none"/>
        </w:rPr>
        <w:t>）招标文件未列明推荐品牌的材料设备</w:t>
      </w:r>
    </w:p>
    <w:p>
      <w:pPr>
        <w:pStyle w:val="20"/>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①招标文件未列明推荐品牌的，承包人必须注明所选用材料设备的品牌、产地、规格、等级，承包人所报的材料及设备应按国产高档或合资水平考虑，其单价均为到工地结算价，即包含采购费、运杂费及运输损耗、仓储保管费、装卸费、吊装费及场内二次转运费等。实际施工时，其选型由承包人按照图纸及相关技术参数要求提供不少于三家同等档次品牌产品，报监理单位及发包人审批确定。</w:t>
      </w:r>
    </w:p>
    <w:p>
      <w:pPr>
        <w:pStyle w:val="20"/>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②承包人在满足或优于招标文件各专业主要设备材料技术参数的前提下，可以选择一种或多种品牌；中标后只要发包人未有对各专业主要设备材料技术参数的相关要求进行调整则均不因承包人改变选用的品牌而调整其中标价。</w:t>
      </w:r>
    </w:p>
    <w:p>
      <w:pPr>
        <w:pStyle w:val="20"/>
        <w:adjustRightInd w:val="0"/>
        <w:snapToGrid w:val="0"/>
        <w:spacing w:line="360" w:lineRule="auto"/>
        <w:ind w:firstLine="480" w:firstLineChars="200"/>
        <w:outlineLvl w:val="4"/>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w:t>
      </w:r>
      <w:r>
        <w:rPr>
          <w:rFonts w:cs="宋体" w:asciiTheme="majorEastAsia" w:hAnsiTheme="majorEastAsia" w:eastAsiaTheme="majorEastAsia"/>
          <w:snapToGrid w:val="0"/>
          <w:color w:val="auto"/>
          <w:kern w:val="0"/>
          <w:sz w:val="24"/>
          <w:highlight w:val="none"/>
        </w:rPr>
        <w:t>4</w:t>
      </w:r>
      <w:r>
        <w:rPr>
          <w:rFonts w:hint="eastAsia" w:cs="宋体" w:asciiTheme="majorEastAsia" w:hAnsiTheme="majorEastAsia" w:eastAsiaTheme="majorEastAsia"/>
          <w:snapToGrid w:val="0"/>
          <w:color w:val="auto"/>
          <w:kern w:val="0"/>
          <w:sz w:val="24"/>
          <w:highlight w:val="none"/>
        </w:rPr>
        <w:t>）承包人在投标报价时所选定的材料设备供应商，应是与承包人有长期合作关系、有良好商业信誉和雄厚实力的材料设备生产供应能力的合格供应商。以保证按项目的质量、数量和时间要求，以合理的价格和可靠的供货来源，获得所需的设备、材料及有关服务。</w:t>
      </w:r>
    </w:p>
    <w:p>
      <w:pPr>
        <w:pStyle w:val="20"/>
        <w:adjustRightInd w:val="0"/>
        <w:snapToGrid w:val="0"/>
        <w:spacing w:line="360" w:lineRule="auto"/>
        <w:ind w:firstLine="480" w:firstLineChars="200"/>
        <w:outlineLvl w:val="4"/>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w:t>
      </w:r>
      <w:r>
        <w:rPr>
          <w:rFonts w:cs="宋体" w:asciiTheme="majorEastAsia" w:hAnsiTheme="majorEastAsia" w:eastAsiaTheme="majorEastAsia"/>
          <w:snapToGrid w:val="0"/>
          <w:color w:val="auto"/>
          <w:kern w:val="0"/>
          <w:sz w:val="24"/>
          <w:highlight w:val="none"/>
        </w:rPr>
        <w:t>5</w:t>
      </w:r>
      <w:r>
        <w:rPr>
          <w:rFonts w:hint="eastAsia" w:cs="宋体" w:asciiTheme="majorEastAsia" w:hAnsiTheme="majorEastAsia" w:eastAsiaTheme="majorEastAsia"/>
          <w:snapToGrid w:val="0"/>
          <w:color w:val="auto"/>
          <w:kern w:val="0"/>
          <w:sz w:val="24"/>
          <w:highlight w:val="none"/>
        </w:rPr>
        <w:t>）承包人在投标时所选定材料设备的品牌、规格和供应商，一经总监理工程师审批报发包人备案后，承包人不得对此进行更改。如因特殊原因（如不可抗力、生产厂商破产）确需变更供应商时，承包人须按发包人关于乙供材料设备、工程变更及设计变更管理的相关规定向发包人申请变更材料设备的供应商（品牌），经发包人审批同意后方可进行变更。</w:t>
      </w:r>
      <w:bookmarkStart w:id="594" w:name="OLE_LINK1"/>
      <w:r>
        <w:rPr>
          <w:rFonts w:hint="eastAsia" w:cs="宋体" w:asciiTheme="majorEastAsia" w:hAnsiTheme="majorEastAsia" w:eastAsiaTheme="majorEastAsia"/>
          <w:snapToGrid w:val="0"/>
          <w:color w:val="auto"/>
          <w:kern w:val="0"/>
          <w:sz w:val="24"/>
          <w:highlight w:val="none"/>
        </w:rPr>
        <w:t>品牌清单</w:t>
      </w:r>
      <w:bookmarkEnd w:id="594"/>
      <w:r>
        <w:rPr>
          <w:rFonts w:hint="eastAsia" w:cs="宋体" w:asciiTheme="majorEastAsia" w:hAnsiTheme="majorEastAsia" w:eastAsiaTheme="majorEastAsia"/>
          <w:snapToGrid w:val="0"/>
          <w:color w:val="auto"/>
          <w:kern w:val="0"/>
          <w:sz w:val="24"/>
          <w:highlight w:val="none"/>
        </w:rPr>
        <w:t>详见附件。</w:t>
      </w:r>
    </w:p>
    <w:p>
      <w:pPr>
        <w:adjustRightInd w:val="0"/>
        <w:snapToGrid w:val="0"/>
        <w:spacing w:line="360" w:lineRule="auto"/>
        <w:ind w:right="11"/>
        <w:outlineLvl w:val="1"/>
        <w:rPr>
          <w:rFonts w:cs="宋体" w:asciiTheme="majorEastAsia" w:hAnsiTheme="majorEastAsia" w:eastAsiaTheme="majorEastAsia"/>
          <w:b/>
          <w:bCs/>
          <w:snapToGrid w:val="0"/>
          <w:color w:val="auto"/>
          <w:kern w:val="0"/>
          <w:sz w:val="28"/>
          <w:szCs w:val="28"/>
          <w:highlight w:val="none"/>
        </w:rPr>
      </w:pPr>
      <w:bookmarkStart w:id="595" w:name="_Toc397364926"/>
    </w:p>
    <w:p>
      <w:pPr>
        <w:adjustRightInd w:val="0"/>
        <w:snapToGrid w:val="0"/>
        <w:spacing w:line="360" w:lineRule="auto"/>
        <w:ind w:right="11"/>
        <w:outlineLvl w:val="1"/>
        <w:rPr>
          <w:rFonts w:cs="宋体" w:asciiTheme="majorEastAsia" w:hAnsiTheme="majorEastAsia" w:eastAsiaTheme="majorEastAsia"/>
          <w:b/>
          <w:bCs/>
          <w:snapToGrid w:val="0"/>
          <w:color w:val="auto"/>
          <w:kern w:val="0"/>
          <w:sz w:val="28"/>
          <w:szCs w:val="28"/>
          <w:highlight w:val="none"/>
        </w:rPr>
      </w:pPr>
      <w:bookmarkStart w:id="596" w:name="_Toc27297"/>
      <w:bookmarkStart w:id="597" w:name="_Toc5140"/>
      <w:bookmarkStart w:id="598" w:name="_Toc140476941"/>
      <w:r>
        <w:rPr>
          <w:rFonts w:hint="eastAsia" w:cs="宋体" w:asciiTheme="majorEastAsia" w:hAnsiTheme="majorEastAsia" w:eastAsiaTheme="majorEastAsia"/>
          <w:b/>
          <w:bCs/>
          <w:snapToGrid w:val="0"/>
          <w:color w:val="auto"/>
          <w:kern w:val="0"/>
          <w:sz w:val="28"/>
          <w:szCs w:val="28"/>
          <w:highlight w:val="none"/>
        </w:rPr>
        <w:t>八、工程变更</w:t>
      </w:r>
      <w:bookmarkEnd w:id="595"/>
      <w:bookmarkEnd w:id="596"/>
      <w:bookmarkEnd w:id="597"/>
      <w:bookmarkEnd w:id="598"/>
    </w:p>
    <w:p>
      <w:pPr>
        <w:adjustRightInd w:val="0"/>
        <w:snapToGrid w:val="0"/>
        <w:spacing w:line="360" w:lineRule="auto"/>
        <w:ind w:right="11" w:firstLine="482" w:firstLineChars="200"/>
        <w:outlineLvl w:val="2"/>
        <w:rPr>
          <w:rFonts w:cs="宋体" w:asciiTheme="majorEastAsia" w:hAnsiTheme="majorEastAsia" w:eastAsiaTheme="majorEastAsia"/>
          <w:b/>
          <w:snapToGrid w:val="0"/>
          <w:color w:val="auto"/>
          <w:kern w:val="0"/>
          <w:sz w:val="24"/>
          <w:highlight w:val="none"/>
        </w:rPr>
      </w:pPr>
      <w:bookmarkStart w:id="599" w:name="_Toc140476942"/>
      <w:bookmarkStart w:id="600" w:name="_Toc21293"/>
      <w:bookmarkStart w:id="601" w:name="_Toc397364927"/>
      <w:bookmarkStart w:id="602" w:name="_Toc13048"/>
      <w:r>
        <w:rPr>
          <w:rFonts w:hint="eastAsia" w:cs="宋体" w:asciiTheme="majorEastAsia" w:hAnsiTheme="majorEastAsia" w:eastAsiaTheme="majorEastAsia"/>
          <w:b/>
          <w:snapToGrid w:val="0"/>
          <w:color w:val="auto"/>
          <w:kern w:val="0"/>
          <w:sz w:val="24"/>
          <w:highlight w:val="none"/>
        </w:rPr>
        <w:t>31、工程设计变更</w:t>
      </w:r>
      <w:bookmarkEnd w:id="599"/>
      <w:bookmarkEnd w:id="600"/>
      <w:bookmarkEnd w:id="601"/>
      <w:bookmarkEnd w:id="602"/>
    </w:p>
    <w:p>
      <w:pPr>
        <w:adjustRightInd w:val="0"/>
        <w:snapToGrid w:val="0"/>
        <w:spacing w:line="360" w:lineRule="auto"/>
        <w:ind w:right="11" w:firstLine="460" w:firstLineChars="192"/>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31.1工程设计变更是指任何改变这类工程的性质、质量、种类、数量。</w:t>
      </w:r>
    </w:p>
    <w:p>
      <w:pPr>
        <w:adjustRightInd w:val="0"/>
        <w:snapToGrid w:val="0"/>
        <w:spacing w:line="360" w:lineRule="auto"/>
        <w:ind w:right="11" w:firstLine="463" w:firstLineChars="192"/>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
          <w:snapToGrid w:val="0"/>
          <w:color w:val="auto"/>
          <w:kern w:val="0"/>
          <w:sz w:val="24"/>
          <w:highlight w:val="none"/>
        </w:rPr>
        <w:t>承包人和发包人一致同意增加31.4、31.</w:t>
      </w:r>
      <w:r>
        <w:rPr>
          <w:rFonts w:cs="宋体" w:asciiTheme="majorEastAsia" w:hAnsiTheme="majorEastAsia" w:eastAsiaTheme="majorEastAsia"/>
          <w:b/>
          <w:snapToGrid w:val="0"/>
          <w:color w:val="auto"/>
          <w:kern w:val="0"/>
          <w:sz w:val="24"/>
          <w:highlight w:val="none"/>
        </w:rPr>
        <w:t>7</w:t>
      </w:r>
      <w:r>
        <w:rPr>
          <w:rFonts w:hint="eastAsia" w:cs="宋体" w:asciiTheme="majorEastAsia" w:hAnsiTheme="majorEastAsia" w:eastAsiaTheme="majorEastAsia"/>
          <w:b/>
          <w:snapToGrid w:val="0"/>
          <w:color w:val="auto"/>
          <w:kern w:val="0"/>
          <w:sz w:val="24"/>
          <w:highlight w:val="none"/>
        </w:rPr>
        <w:t>：</w:t>
      </w:r>
    </w:p>
    <w:p>
      <w:pPr>
        <w:adjustRightInd w:val="0"/>
        <w:snapToGrid w:val="0"/>
        <w:spacing w:line="360" w:lineRule="auto"/>
        <w:ind w:right="11" w:firstLine="460" w:firstLineChars="192"/>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31.4如承包人在实施过程中发现设计上有错误或严重不合理，应以书面形式通知发包人，由发包人与设计单位商定认可后，按设计变更实施。</w:t>
      </w:r>
    </w:p>
    <w:p>
      <w:pPr>
        <w:adjustRightInd w:val="0"/>
        <w:snapToGrid w:val="0"/>
        <w:spacing w:line="360" w:lineRule="auto"/>
        <w:ind w:right="11" w:firstLine="460" w:firstLineChars="192"/>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31.5所有的变更均应获得发包人正式批准才能生效。</w:t>
      </w:r>
    </w:p>
    <w:p>
      <w:pPr>
        <w:adjustRightInd w:val="0"/>
        <w:snapToGrid w:val="0"/>
        <w:spacing w:line="360" w:lineRule="auto"/>
        <w:ind w:right="11" w:firstLine="460" w:firstLineChars="192"/>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31.6发包人有权对招标时的图纸及材料设备进行优化及调整，并按照设计变更程序办理。</w:t>
      </w:r>
    </w:p>
    <w:p>
      <w:pPr>
        <w:adjustRightInd w:val="0"/>
        <w:snapToGrid w:val="0"/>
        <w:spacing w:line="360" w:lineRule="auto"/>
        <w:ind w:right="11" w:firstLine="460" w:firstLineChars="192"/>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31.7工程设计变更按合同专用条款相关约定和发包人的有关工程变更管理办法及实施细则执行。</w:t>
      </w:r>
    </w:p>
    <w:p>
      <w:pPr>
        <w:adjustRightInd w:val="0"/>
        <w:snapToGrid w:val="0"/>
        <w:spacing w:line="360" w:lineRule="auto"/>
        <w:ind w:right="11" w:firstLine="482" w:firstLineChars="200"/>
        <w:outlineLvl w:val="2"/>
        <w:rPr>
          <w:rFonts w:cs="宋体" w:asciiTheme="majorEastAsia" w:hAnsiTheme="majorEastAsia" w:eastAsiaTheme="majorEastAsia"/>
          <w:b/>
          <w:snapToGrid w:val="0"/>
          <w:color w:val="auto"/>
          <w:kern w:val="0"/>
          <w:sz w:val="24"/>
          <w:highlight w:val="none"/>
        </w:rPr>
      </w:pPr>
      <w:bookmarkStart w:id="603" w:name="_Toc9467"/>
      <w:bookmarkStart w:id="604" w:name="_Toc140476943"/>
      <w:bookmarkStart w:id="605" w:name="_Toc23284"/>
      <w:bookmarkStart w:id="606" w:name="_Toc397364928"/>
      <w:r>
        <w:rPr>
          <w:rFonts w:hint="eastAsia" w:cs="宋体" w:asciiTheme="majorEastAsia" w:hAnsiTheme="majorEastAsia" w:eastAsiaTheme="majorEastAsia"/>
          <w:b/>
          <w:snapToGrid w:val="0"/>
          <w:color w:val="auto"/>
          <w:kern w:val="0"/>
          <w:sz w:val="24"/>
          <w:highlight w:val="none"/>
        </w:rPr>
        <w:t>32、其他变更</w:t>
      </w:r>
      <w:bookmarkEnd w:id="603"/>
      <w:bookmarkEnd w:id="604"/>
      <w:bookmarkEnd w:id="605"/>
      <w:bookmarkEnd w:id="606"/>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按合同专用条款相关约定和发包人的有关工程变更管理方法及实施细则执行。</w:t>
      </w:r>
    </w:p>
    <w:p>
      <w:pPr>
        <w:adjustRightInd w:val="0"/>
        <w:snapToGrid w:val="0"/>
        <w:spacing w:line="360" w:lineRule="auto"/>
        <w:ind w:right="11" w:firstLine="482" w:firstLineChars="200"/>
        <w:rPr>
          <w:rFonts w:cs="宋体" w:asciiTheme="majorEastAsia" w:hAnsiTheme="majorEastAsia" w:eastAsiaTheme="majorEastAsia"/>
          <w:b/>
          <w:snapToGrid w:val="0"/>
          <w:color w:val="auto"/>
          <w:kern w:val="0"/>
          <w:sz w:val="24"/>
          <w:highlight w:val="none"/>
        </w:rPr>
      </w:pPr>
      <w:r>
        <w:rPr>
          <w:rFonts w:hint="eastAsia" w:cs="宋体" w:asciiTheme="majorEastAsia" w:hAnsiTheme="majorEastAsia" w:eastAsiaTheme="majorEastAsia"/>
          <w:b/>
          <w:snapToGrid w:val="0"/>
          <w:color w:val="auto"/>
          <w:kern w:val="0"/>
          <w:sz w:val="24"/>
          <w:highlight w:val="none"/>
        </w:rPr>
        <w:t>承包人和发包人一致同意不适用合同通用条款第33条的约定，代之以：</w:t>
      </w:r>
    </w:p>
    <w:p>
      <w:pPr>
        <w:adjustRightInd w:val="0"/>
        <w:snapToGrid w:val="0"/>
        <w:spacing w:line="360" w:lineRule="auto"/>
        <w:ind w:right="11" w:firstLine="482" w:firstLineChars="200"/>
        <w:outlineLvl w:val="2"/>
        <w:rPr>
          <w:rFonts w:cs="宋体" w:asciiTheme="majorEastAsia" w:hAnsiTheme="majorEastAsia" w:eastAsiaTheme="majorEastAsia"/>
          <w:b/>
          <w:snapToGrid w:val="0"/>
          <w:color w:val="auto"/>
          <w:kern w:val="0"/>
          <w:sz w:val="24"/>
          <w:highlight w:val="none"/>
        </w:rPr>
      </w:pPr>
      <w:bookmarkStart w:id="607" w:name="_Toc4063"/>
      <w:bookmarkStart w:id="608" w:name="_Toc397364929"/>
      <w:bookmarkStart w:id="609" w:name="_Toc14921"/>
      <w:bookmarkStart w:id="610" w:name="_Toc140476944"/>
      <w:r>
        <w:rPr>
          <w:rFonts w:hint="eastAsia" w:cs="宋体" w:asciiTheme="majorEastAsia" w:hAnsiTheme="majorEastAsia" w:eastAsiaTheme="majorEastAsia"/>
          <w:b/>
          <w:snapToGrid w:val="0"/>
          <w:color w:val="auto"/>
          <w:kern w:val="0"/>
          <w:sz w:val="24"/>
          <w:highlight w:val="none"/>
        </w:rPr>
        <w:t>33、确定变更价款</w:t>
      </w:r>
      <w:bookmarkEnd w:id="607"/>
      <w:bookmarkEnd w:id="608"/>
      <w:bookmarkEnd w:id="609"/>
      <w:bookmarkEnd w:id="610"/>
    </w:p>
    <w:p>
      <w:pPr>
        <w:adjustRightInd w:val="0"/>
        <w:snapToGrid w:val="0"/>
        <w:spacing w:line="360" w:lineRule="auto"/>
        <w:ind w:right="11" w:firstLine="458" w:firstLineChars="191"/>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33.1在发生合同专用条款第31条约定的工程设计变更后，承包人在收到发包人变更通知的7天内按合同约定的计价方式和内容编制出变更工程预算送交监理单位，监理单位在7天内审核并签署意见后报发包人，发包人按程序报审。</w:t>
      </w:r>
    </w:p>
    <w:p>
      <w:pPr>
        <w:adjustRightInd w:val="0"/>
        <w:snapToGrid w:val="0"/>
        <w:spacing w:line="360" w:lineRule="auto"/>
        <w:ind w:right="11" w:firstLine="458" w:firstLineChars="191"/>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33.2对于合同承包范围及内容发生变化的设计变更、工程签证、新增工程等，包括合同专用条款第31条所定义的工程设计变更和第32条所定义的其他变更，由于设计需要或项目建设实际需要，这些变化会导致合同承包范围内的工程量发生变化、或工程量清单内项目的局部内容发生变化、或新增了工程量清单内没有的项目。出现上述变化需计算工程价款时，发包人不再支付费用。</w:t>
      </w:r>
    </w:p>
    <w:p>
      <w:pPr>
        <w:adjustRightInd w:val="0"/>
        <w:snapToGrid w:val="0"/>
        <w:spacing w:line="360" w:lineRule="auto"/>
        <w:ind w:right="11"/>
        <w:outlineLvl w:val="1"/>
        <w:rPr>
          <w:rFonts w:cs="宋体" w:asciiTheme="majorEastAsia" w:hAnsiTheme="majorEastAsia" w:eastAsiaTheme="majorEastAsia"/>
          <w:b/>
          <w:bCs/>
          <w:snapToGrid w:val="0"/>
          <w:color w:val="auto"/>
          <w:kern w:val="0"/>
          <w:sz w:val="28"/>
          <w:szCs w:val="28"/>
          <w:highlight w:val="none"/>
        </w:rPr>
      </w:pPr>
      <w:bookmarkStart w:id="611" w:name="_Toc397364930"/>
    </w:p>
    <w:p>
      <w:pPr>
        <w:adjustRightInd w:val="0"/>
        <w:snapToGrid w:val="0"/>
        <w:spacing w:line="360" w:lineRule="auto"/>
        <w:ind w:right="11"/>
        <w:outlineLvl w:val="1"/>
        <w:rPr>
          <w:rFonts w:cs="宋体" w:asciiTheme="majorEastAsia" w:hAnsiTheme="majorEastAsia" w:eastAsiaTheme="majorEastAsia"/>
          <w:b/>
          <w:bCs/>
          <w:snapToGrid w:val="0"/>
          <w:color w:val="auto"/>
          <w:kern w:val="0"/>
          <w:sz w:val="28"/>
          <w:szCs w:val="28"/>
          <w:highlight w:val="none"/>
        </w:rPr>
      </w:pPr>
      <w:bookmarkStart w:id="612" w:name="_Toc4876"/>
      <w:bookmarkStart w:id="613" w:name="_Toc31246"/>
      <w:bookmarkStart w:id="614" w:name="_Toc140476945"/>
      <w:r>
        <w:rPr>
          <w:rFonts w:hint="eastAsia" w:cs="宋体" w:asciiTheme="majorEastAsia" w:hAnsiTheme="majorEastAsia" w:eastAsiaTheme="majorEastAsia"/>
          <w:b/>
          <w:bCs/>
          <w:snapToGrid w:val="0"/>
          <w:color w:val="auto"/>
          <w:kern w:val="0"/>
          <w:sz w:val="28"/>
          <w:szCs w:val="28"/>
          <w:highlight w:val="none"/>
        </w:rPr>
        <w:t>九、竣工验收与结算</w:t>
      </w:r>
      <w:bookmarkEnd w:id="611"/>
      <w:bookmarkEnd w:id="612"/>
      <w:bookmarkEnd w:id="613"/>
      <w:bookmarkEnd w:id="614"/>
    </w:p>
    <w:p>
      <w:pPr>
        <w:adjustRightInd w:val="0"/>
        <w:snapToGrid w:val="0"/>
        <w:spacing w:line="360" w:lineRule="auto"/>
        <w:ind w:firstLine="480"/>
        <w:rPr>
          <w:rFonts w:cs="宋体" w:asciiTheme="majorEastAsia" w:hAnsiTheme="majorEastAsia" w:eastAsiaTheme="majorEastAsia"/>
          <w:b/>
          <w:snapToGrid w:val="0"/>
          <w:color w:val="auto"/>
          <w:kern w:val="0"/>
          <w:sz w:val="24"/>
          <w:highlight w:val="none"/>
        </w:rPr>
      </w:pPr>
      <w:r>
        <w:rPr>
          <w:rFonts w:hint="eastAsia" w:cs="宋体" w:asciiTheme="majorEastAsia" w:hAnsiTheme="majorEastAsia" w:eastAsiaTheme="majorEastAsia"/>
          <w:b/>
          <w:snapToGrid w:val="0"/>
          <w:color w:val="auto"/>
          <w:kern w:val="0"/>
          <w:sz w:val="24"/>
          <w:highlight w:val="none"/>
        </w:rPr>
        <w:t>承包人与发包人一致同意不适用合同通用条款第34条的约定，代之以：</w:t>
      </w:r>
    </w:p>
    <w:p>
      <w:pPr>
        <w:adjustRightInd w:val="0"/>
        <w:snapToGrid w:val="0"/>
        <w:spacing w:line="360" w:lineRule="auto"/>
        <w:ind w:right="11" w:firstLine="463" w:firstLineChars="192"/>
        <w:outlineLvl w:val="2"/>
        <w:rPr>
          <w:rFonts w:cs="宋体" w:asciiTheme="majorEastAsia" w:hAnsiTheme="majorEastAsia" w:eastAsiaTheme="majorEastAsia"/>
          <w:b/>
          <w:bCs/>
          <w:snapToGrid w:val="0"/>
          <w:color w:val="auto"/>
          <w:kern w:val="0"/>
          <w:sz w:val="24"/>
          <w:highlight w:val="none"/>
        </w:rPr>
      </w:pPr>
      <w:bookmarkStart w:id="615" w:name="_Toc6045"/>
      <w:bookmarkStart w:id="616" w:name="_Toc397364931"/>
      <w:bookmarkStart w:id="617" w:name="_Toc28337"/>
      <w:bookmarkStart w:id="618" w:name="_Toc140476946"/>
      <w:r>
        <w:rPr>
          <w:rFonts w:hint="eastAsia" w:cs="宋体" w:asciiTheme="majorEastAsia" w:hAnsiTheme="majorEastAsia" w:eastAsiaTheme="majorEastAsia"/>
          <w:b/>
          <w:bCs/>
          <w:snapToGrid w:val="0"/>
          <w:color w:val="auto"/>
          <w:kern w:val="0"/>
          <w:sz w:val="24"/>
          <w:highlight w:val="none"/>
        </w:rPr>
        <w:t>34、竣工验收</w:t>
      </w:r>
      <w:bookmarkEnd w:id="615"/>
      <w:bookmarkEnd w:id="616"/>
      <w:bookmarkEnd w:id="617"/>
      <w:bookmarkEnd w:id="618"/>
    </w:p>
    <w:p>
      <w:pPr>
        <w:adjustRightInd w:val="0"/>
        <w:snapToGrid w:val="0"/>
        <w:spacing w:line="360" w:lineRule="auto"/>
        <w:ind w:firstLine="48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34.1工程具备竣工验收条件，承包人按国家工程竣工验收有关规定，向发包人提供完整竣工资料（包含竣工图）及竣工验收报告。</w:t>
      </w:r>
    </w:p>
    <w:p>
      <w:pPr>
        <w:adjustRightInd w:val="0"/>
        <w:snapToGrid w:val="0"/>
        <w:spacing w:line="360" w:lineRule="auto"/>
        <w:ind w:firstLine="48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34.2发包人收到竣工验收报告并审核竣工文件后，如认为承包人竣工文件不能符合竣工要求，应书面通知承包人整改，承包人按要求整改后重新提出竣工验收报告。发包人收到竣工验收报告并审核竣工文件通过后28天内组织有关单位进行验收。</w:t>
      </w:r>
    </w:p>
    <w:p>
      <w:pPr>
        <w:adjustRightInd w:val="0"/>
        <w:snapToGrid w:val="0"/>
        <w:spacing w:line="360" w:lineRule="auto"/>
        <w:ind w:firstLine="48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34.3发包人应在验收后14天内给予认可或提出修改意见。承包人按要求修改，并承担由自身原因造成修改的费用。</w:t>
      </w:r>
    </w:p>
    <w:p>
      <w:pPr>
        <w:adjustRightInd w:val="0"/>
        <w:snapToGrid w:val="0"/>
        <w:spacing w:line="360" w:lineRule="auto"/>
        <w:ind w:firstLine="48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34.4发包人收到承包人送交的竣工验收报告后28天内无故不组织验收，或验收后14天内不提出修改意见，视为竣工验收报告已被认可。</w:t>
      </w:r>
    </w:p>
    <w:p>
      <w:pPr>
        <w:adjustRightInd w:val="0"/>
        <w:snapToGrid w:val="0"/>
        <w:spacing w:line="360" w:lineRule="auto"/>
        <w:ind w:firstLine="48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34.5工程竣工验收通过，承包人送交竣工验收报告的日期为实际竣工日期。工程按发包人要求修改后通过竣工验收的，实际竣工日期为承包人修改后提请发包人验收的日期。</w:t>
      </w:r>
    </w:p>
    <w:p>
      <w:pPr>
        <w:adjustRightInd w:val="0"/>
        <w:snapToGrid w:val="0"/>
        <w:spacing w:line="360" w:lineRule="auto"/>
        <w:ind w:firstLine="48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34.6发包人收到承包人竣工验收报告后28天内无故不组织验收，从第29天起承担工程保管及一切意外责任。</w:t>
      </w:r>
    </w:p>
    <w:p>
      <w:pPr>
        <w:adjustRightInd w:val="0"/>
        <w:snapToGrid w:val="0"/>
        <w:spacing w:line="360" w:lineRule="auto"/>
        <w:ind w:firstLine="48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34.7中间交工工程的验收按合同专用条款第17条的约定办理。</w:t>
      </w:r>
    </w:p>
    <w:p>
      <w:pPr>
        <w:adjustRightInd w:val="0"/>
        <w:snapToGrid w:val="0"/>
        <w:spacing w:line="360" w:lineRule="auto"/>
        <w:ind w:firstLine="48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34.8因特殊原因，发包人要求部分单位工程或工程部位甩项竣工的，双方另行签订甩项竣工协议，明确双方责任和工程价款的支付方法。</w:t>
      </w:r>
    </w:p>
    <w:p>
      <w:pPr>
        <w:adjustRightInd w:val="0"/>
        <w:snapToGrid w:val="0"/>
        <w:spacing w:line="360" w:lineRule="auto"/>
        <w:ind w:right="11" w:firstLine="460" w:firstLineChars="192"/>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34.9经验收评定，工程质量及工程内容符合合同要求的，发包人、承包人、监理单位及设计单位均应在工程竣工验收证明书上盖章签字；工程质量不合格或工程内容有尚未完成者，由承包人在商定的期限内进行修补后，再进行竣工验收，直至达到完全符合合同要求为止，并按最后验收合格的日期作为竣工日期，由此产生的一切费用均由承包人负责。</w:t>
      </w:r>
    </w:p>
    <w:p>
      <w:pPr>
        <w:adjustRightInd w:val="0"/>
        <w:snapToGrid w:val="0"/>
        <w:spacing w:line="360" w:lineRule="auto"/>
        <w:ind w:firstLine="48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34.10工程未经竣工验收或竣工验收未通过的，发包人不得使用。发包人强行使用时，由此发生的质量问题及其他问题，由发包人承担责任。</w:t>
      </w:r>
    </w:p>
    <w:p>
      <w:pPr>
        <w:adjustRightInd w:val="0"/>
        <w:snapToGrid w:val="0"/>
        <w:spacing w:line="360" w:lineRule="auto"/>
        <w:ind w:firstLine="48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34.11承包人应按如下程序进行竣工资料准备：</w:t>
      </w:r>
    </w:p>
    <w:p>
      <w:pPr>
        <w:adjustRightInd w:val="0"/>
        <w:snapToGrid w:val="0"/>
        <w:spacing w:line="360" w:lineRule="auto"/>
        <w:ind w:firstLine="48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（1）承包人有责任根据竣工验收要求对分包单位所绘制的竣工图进行符合性审查。</w:t>
      </w:r>
    </w:p>
    <w:p>
      <w:pPr>
        <w:adjustRightInd w:val="0"/>
        <w:snapToGrid w:val="0"/>
        <w:spacing w:line="360" w:lineRule="auto"/>
        <w:ind w:firstLine="48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承包人有义务对专业承包、分包单位的工程资料按照国家《城市建设档案管理规定》、《广州市建筑工程档案编制指南（试行）》（广州市城市建设档案馆2013年8月发布）和发包人的具体要求进行收集、整理、编制、汇总和管理。</w:t>
      </w:r>
    </w:p>
    <w:p>
      <w:pPr>
        <w:adjustRightInd w:val="0"/>
        <w:snapToGrid w:val="0"/>
        <w:spacing w:line="360" w:lineRule="auto"/>
        <w:ind w:firstLine="48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34.12验收依据和标准：施工图纸，图纸说明，设计变更资料和图纸，技术交底及会议纪要，国家颁布的施工验收规范、规定，以及本工程专家委员会根据国家有关标准、规范制订的针对本工程特殊子项的施工规范及验收标准。</w:t>
      </w:r>
    </w:p>
    <w:p>
      <w:pPr>
        <w:adjustRightInd w:val="0"/>
        <w:snapToGrid w:val="0"/>
        <w:spacing w:line="360" w:lineRule="auto"/>
        <w:ind w:firstLine="48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34.13专业分包工程需单独验收的，经承包人预验合格后，属专业分包项目的再报监理单位进行监理预验；不属专业分包项目的由施工监理单位进行监理预验。合格后由该分包单位与专业工程验收管理部门、监理单位、发包人协商确定验收时间，并及时通知承包人参与验收。</w:t>
      </w:r>
    </w:p>
    <w:p>
      <w:pPr>
        <w:adjustRightInd w:val="0"/>
        <w:snapToGrid w:val="0"/>
        <w:spacing w:line="360" w:lineRule="auto"/>
        <w:ind w:firstLine="48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34.14专业分包工程不需要办理单独验收的，经承包人预验合格后，属专业分包项目的再报监理单位进行监理预验；不属专业分包项目的由施工监理单位进行监理预验。合格后由分包单位、承包人、施工监理单位、发包人协商验收。</w:t>
      </w:r>
    </w:p>
    <w:p>
      <w:pPr>
        <w:adjustRightInd w:val="0"/>
        <w:snapToGrid w:val="0"/>
        <w:spacing w:line="360" w:lineRule="auto"/>
        <w:ind w:firstLine="48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34.15承包人必须全力配合发包人组织的专项验收工作。</w:t>
      </w:r>
    </w:p>
    <w:p>
      <w:pPr>
        <w:adjustRightInd w:val="0"/>
        <w:snapToGrid w:val="0"/>
        <w:spacing w:line="360" w:lineRule="auto"/>
        <w:ind w:right="11" w:firstLine="463" w:firstLineChars="192"/>
        <w:outlineLvl w:val="2"/>
        <w:rPr>
          <w:rFonts w:cs="宋体" w:asciiTheme="majorEastAsia" w:hAnsiTheme="majorEastAsia" w:eastAsiaTheme="majorEastAsia"/>
          <w:b/>
          <w:bCs/>
          <w:snapToGrid w:val="0"/>
          <w:color w:val="auto"/>
          <w:kern w:val="0"/>
          <w:sz w:val="24"/>
          <w:highlight w:val="none"/>
        </w:rPr>
      </w:pPr>
      <w:bookmarkStart w:id="619" w:name="_Toc397364932"/>
      <w:bookmarkStart w:id="620" w:name="_Toc23080"/>
      <w:bookmarkStart w:id="621" w:name="_Toc1481"/>
      <w:bookmarkStart w:id="622" w:name="_Toc140476947"/>
      <w:r>
        <w:rPr>
          <w:rFonts w:hint="eastAsia" w:cs="宋体" w:asciiTheme="majorEastAsia" w:hAnsiTheme="majorEastAsia" w:eastAsiaTheme="majorEastAsia"/>
          <w:b/>
          <w:bCs/>
          <w:snapToGrid w:val="0"/>
          <w:color w:val="auto"/>
          <w:kern w:val="0"/>
          <w:sz w:val="24"/>
          <w:highlight w:val="none"/>
        </w:rPr>
        <w:t>35、工程移交</w:t>
      </w:r>
      <w:bookmarkEnd w:id="619"/>
      <w:bookmarkEnd w:id="620"/>
      <w:bookmarkEnd w:id="621"/>
      <w:bookmarkEnd w:id="622"/>
    </w:p>
    <w:p>
      <w:pPr>
        <w:adjustRightInd w:val="0"/>
        <w:snapToGrid w:val="0"/>
        <w:spacing w:line="360" w:lineRule="auto"/>
        <w:ind w:right="11" w:firstLine="460" w:firstLineChars="192"/>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35.1承包人应在工程项目移交前将场地清理干净，将无关机械设备及材料撤离现场，保证移交的工程项目环境洁净、安全卫生。</w:t>
      </w:r>
    </w:p>
    <w:p>
      <w:pPr>
        <w:adjustRightInd w:val="0"/>
        <w:snapToGrid w:val="0"/>
        <w:spacing w:line="360" w:lineRule="auto"/>
        <w:ind w:right="11" w:firstLine="460" w:firstLineChars="192"/>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35.2承包人应于工程竣工验收合格后15天内按要求提供相关资料，整理汇编成工程移交手册。移交手册包括但不限于以下内容：</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（1）工程项目各部分、各系统的工程概况；</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（2）工程项目全部的图纸及清单；</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（3）工程项目的承包人、主要材料设备供货商清单、联系人及电话；</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（4）各系统的设计功能、使用功能或使用说明；</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（5）主要材料设备的数量；</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（6）工程、材料、设备的保修书（包括保修内容、期限、联系人、电话等）。</w:t>
      </w:r>
    </w:p>
    <w:p>
      <w:pPr>
        <w:adjustRightInd w:val="0"/>
        <w:snapToGrid w:val="0"/>
        <w:spacing w:line="360" w:lineRule="auto"/>
        <w:ind w:right="11" w:firstLine="460" w:firstLineChars="192"/>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35.3承包人应在进行本条第35.2款工作的同时编写工程项目移交计划，并于本条第35.2款工作完成后3天内组织发包人、承包人、项目产权管理单位按如下程序进行工程项目移交：</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（1）按移交手册的资料清单移交图纸、资料；</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（2）按移交手册的数量清单清点主要材料设备的数量；</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（3）按移交手册的设计、使用功能说明进行必要的功能性试验（或组织各方参加政府指定机构、第三方检测机构进行的功能性试验）；</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（4）按移交手册的说明进行系统的试运行（或组织各方参加政府指定机构、第三方检测机构进行的功能性试验），测试主要设备的运行参数；</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（5）组织发包人、承包人、项目产权管理单位各方对上述移交过程进行签认；</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（6）对移交过程中发现的质量问题进行记录并及时组织责任方进行维修，验收合格后重新组织移交；</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（7）对于某些在操作上有专门要求的机电系统编制培训计划，并按合同要求对项目产权管理单位人员进行培训。</w:t>
      </w:r>
    </w:p>
    <w:p>
      <w:pPr>
        <w:adjustRightInd w:val="0"/>
        <w:snapToGrid w:val="0"/>
        <w:spacing w:line="360" w:lineRule="auto"/>
        <w:ind w:right="11" w:firstLine="460" w:firstLineChars="192"/>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35.4承包人应按照国家《城市建设档案管理规定》、《广州市城市建设档案管理办法》和发包人有关整理工程档案的要求，在工程施工期间及时收集、汇总、整理、编制竣工档案，包括：</w:t>
      </w:r>
    </w:p>
    <w:p>
      <w:pPr>
        <w:adjustRightInd w:val="0"/>
        <w:snapToGrid w:val="0"/>
        <w:spacing w:line="360" w:lineRule="auto"/>
        <w:ind w:left="48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（1）竣工文件资料、竣工图档案（原件）各一式四份；</w:t>
      </w:r>
    </w:p>
    <w:p>
      <w:pPr>
        <w:adjustRightInd w:val="0"/>
        <w:snapToGrid w:val="0"/>
        <w:spacing w:line="360" w:lineRule="auto"/>
        <w:ind w:left="48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（2）与本款（1）项内容相同的电子版档案一式二份；</w:t>
      </w:r>
    </w:p>
    <w:p>
      <w:pPr>
        <w:adjustRightInd w:val="0"/>
        <w:snapToGrid w:val="0"/>
        <w:spacing w:line="360" w:lineRule="auto"/>
        <w:ind w:left="48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（3）声像档案一式二份。</w:t>
      </w:r>
    </w:p>
    <w:p>
      <w:pPr>
        <w:adjustRightInd w:val="0"/>
        <w:snapToGrid w:val="0"/>
        <w:spacing w:line="360" w:lineRule="auto"/>
        <w:ind w:right="11" w:firstLine="460" w:firstLineChars="192"/>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35.5承包人移交竣工档案的时限：承包人应于工程竣工验收后15天内将竣工档案提交工程监理单位审查。经工程监理单位审查合格后，承包人应及时将竣工档案移交给发包人归档并同时移交有关归档的证明文件。发包人经审查合格的，应在收到竣工档案后10天内签署档案验收意见；不合格的，要求承包人限期补正，直至合格为止。</w:t>
      </w:r>
    </w:p>
    <w:p>
      <w:pPr>
        <w:adjustRightInd w:val="0"/>
        <w:snapToGrid w:val="0"/>
        <w:spacing w:line="360" w:lineRule="auto"/>
        <w:ind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35.6电子版竣工图的编制，以发包人提供的施工图为基础。承包人在移交竣工档案时，应一并移交发包人提供的施工图。</w:t>
      </w:r>
    </w:p>
    <w:p>
      <w:pPr>
        <w:adjustRightInd w:val="0"/>
        <w:snapToGrid w:val="0"/>
        <w:spacing w:line="360" w:lineRule="auto"/>
        <w:ind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35.7电子版施工图和电子版竣工图的知识产权归属发包人所有，非经发包人许可，承包人不得以任何方式复制、备份、转让和利用，否则由此引起的任何纠纷和责任由承包人承担。</w:t>
      </w:r>
    </w:p>
    <w:p>
      <w:pPr>
        <w:adjustRightInd w:val="0"/>
        <w:snapToGrid w:val="0"/>
        <w:spacing w:line="360" w:lineRule="auto"/>
        <w:ind w:right="11" w:firstLine="460" w:firstLineChars="192"/>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35.8承包人应督促其工程分包单位及时做好竣工资料整理工作，于分包工程竣工验收后25天内将全部档案资料移交给承包人，由承包人汇总、归档，并在承包人移交竣工档案时一并移交。</w:t>
      </w:r>
    </w:p>
    <w:p>
      <w:pPr>
        <w:adjustRightInd w:val="0"/>
        <w:snapToGrid w:val="0"/>
        <w:spacing w:line="360" w:lineRule="auto"/>
        <w:ind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35.9因承包人的原因致使发包人未能按照国家规定向政府有关部门移交工程竣工档案而受到经济处罚的，由承包人承担全额赔偿责任。</w:t>
      </w:r>
    </w:p>
    <w:p>
      <w:pPr>
        <w:adjustRightInd w:val="0"/>
        <w:snapToGrid w:val="0"/>
        <w:spacing w:line="360" w:lineRule="auto"/>
        <w:ind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35.10承包人参与移交或协助移交的所有费用均已包含在合同价款之内。</w:t>
      </w:r>
    </w:p>
    <w:p>
      <w:pPr>
        <w:adjustRightInd w:val="0"/>
        <w:snapToGrid w:val="0"/>
        <w:spacing w:line="360" w:lineRule="auto"/>
        <w:ind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35.11需提前使用的工程或部位，按建设单位发出的工程管理相关规定办理提前移交手续，承包人要全力配合，承包人因此增加的配合费用由承包人承担。</w:t>
      </w:r>
    </w:p>
    <w:p>
      <w:pPr>
        <w:adjustRightInd w:val="0"/>
        <w:snapToGrid w:val="0"/>
        <w:spacing w:line="360" w:lineRule="auto"/>
        <w:ind w:firstLine="480"/>
        <w:rPr>
          <w:rFonts w:cs="宋体" w:asciiTheme="majorEastAsia" w:hAnsiTheme="majorEastAsia" w:eastAsiaTheme="majorEastAsia"/>
          <w:b/>
          <w:snapToGrid w:val="0"/>
          <w:color w:val="auto"/>
          <w:kern w:val="0"/>
          <w:sz w:val="24"/>
          <w:highlight w:val="none"/>
        </w:rPr>
      </w:pPr>
      <w:r>
        <w:rPr>
          <w:rFonts w:hint="eastAsia" w:cs="宋体" w:asciiTheme="majorEastAsia" w:hAnsiTheme="majorEastAsia" w:eastAsiaTheme="majorEastAsia"/>
          <w:b/>
          <w:snapToGrid w:val="0"/>
          <w:color w:val="auto"/>
          <w:kern w:val="0"/>
          <w:sz w:val="24"/>
          <w:highlight w:val="none"/>
        </w:rPr>
        <w:t>承包人与发包人一致同意不适用合同通用条款第36条的约定，代之以：</w:t>
      </w:r>
    </w:p>
    <w:p>
      <w:pPr>
        <w:adjustRightInd w:val="0"/>
        <w:snapToGrid w:val="0"/>
        <w:spacing w:line="360" w:lineRule="auto"/>
        <w:ind w:right="11" w:firstLine="463" w:firstLineChars="192"/>
        <w:outlineLvl w:val="2"/>
        <w:rPr>
          <w:rFonts w:cs="宋体" w:asciiTheme="majorEastAsia" w:hAnsiTheme="majorEastAsia" w:eastAsiaTheme="majorEastAsia"/>
          <w:b/>
          <w:bCs/>
          <w:snapToGrid w:val="0"/>
          <w:color w:val="auto"/>
          <w:kern w:val="0"/>
          <w:sz w:val="24"/>
          <w:highlight w:val="none"/>
        </w:rPr>
      </w:pPr>
      <w:bookmarkStart w:id="623" w:name="_Toc19460"/>
      <w:bookmarkStart w:id="624" w:name="_Toc140476948"/>
      <w:bookmarkStart w:id="625" w:name="_Toc5417"/>
      <w:bookmarkStart w:id="626" w:name="_Toc397364933"/>
      <w:r>
        <w:rPr>
          <w:rFonts w:hint="eastAsia" w:cs="宋体" w:asciiTheme="majorEastAsia" w:hAnsiTheme="majorEastAsia" w:eastAsiaTheme="majorEastAsia"/>
          <w:b/>
          <w:bCs/>
          <w:snapToGrid w:val="0"/>
          <w:color w:val="auto"/>
          <w:kern w:val="0"/>
          <w:sz w:val="24"/>
          <w:highlight w:val="none"/>
        </w:rPr>
        <w:t>36、竣工结算</w:t>
      </w:r>
      <w:bookmarkEnd w:id="623"/>
      <w:bookmarkEnd w:id="624"/>
      <w:bookmarkEnd w:id="625"/>
      <w:bookmarkEnd w:id="626"/>
    </w:p>
    <w:p>
      <w:pPr>
        <w:adjustRightInd w:val="0"/>
        <w:snapToGrid w:val="0"/>
        <w:spacing w:line="360" w:lineRule="auto"/>
        <w:ind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36.1结算方式：本合同按照</w:t>
      </w:r>
      <w:r>
        <w:rPr>
          <w:rFonts w:cs="宋体" w:asciiTheme="majorEastAsia" w:hAnsiTheme="majorEastAsia" w:eastAsiaTheme="majorEastAsia"/>
          <w:snapToGrid w:val="0"/>
          <w:color w:val="auto"/>
          <w:kern w:val="0"/>
          <w:sz w:val="24"/>
          <w:highlight w:val="none"/>
        </w:rPr>
        <w:t>广州市城市建设投资集团有限公司或</w:t>
      </w:r>
      <w:r>
        <w:rPr>
          <w:rFonts w:hint="eastAsia" w:cs="宋体" w:asciiTheme="majorEastAsia" w:hAnsiTheme="majorEastAsia" w:eastAsiaTheme="majorEastAsia"/>
          <w:snapToGrid w:val="0"/>
          <w:color w:val="auto"/>
          <w:kern w:val="0"/>
          <w:sz w:val="24"/>
          <w:highlight w:val="none"/>
        </w:rPr>
        <w:t>发包人相关结算管理办法进行结算；按照招标文件及本合同有关规定办理，承包人按发包人提供的《竣工结算编制办法》的具体要求编制结算书，并提交分段结算及竣工结算资料。</w:t>
      </w:r>
    </w:p>
    <w:p>
      <w:pPr>
        <w:adjustRightInd w:val="0"/>
        <w:snapToGrid w:val="0"/>
        <w:spacing w:line="360" w:lineRule="auto"/>
        <w:ind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36.2承包人提交结算报告的时间</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承包人提交竣工结算报告的时间：竣工验收合格后</w:t>
      </w:r>
      <w:r>
        <w:rPr>
          <w:rFonts w:hint="eastAsia" w:cs="宋体" w:asciiTheme="majorEastAsia" w:hAnsiTheme="majorEastAsia" w:eastAsiaTheme="majorEastAsia"/>
          <w:snapToGrid w:val="0"/>
          <w:color w:val="auto"/>
          <w:kern w:val="0"/>
          <w:sz w:val="24"/>
          <w:highlight w:val="none"/>
          <w:u w:val="single"/>
        </w:rPr>
        <w:t>90</w:t>
      </w:r>
      <w:r>
        <w:rPr>
          <w:rFonts w:hint="eastAsia" w:cs="宋体" w:asciiTheme="majorEastAsia" w:hAnsiTheme="majorEastAsia" w:eastAsiaTheme="majorEastAsia"/>
          <w:snapToGrid w:val="0"/>
          <w:color w:val="auto"/>
          <w:kern w:val="0"/>
          <w:sz w:val="24"/>
          <w:highlight w:val="none"/>
        </w:rPr>
        <w:t>日历天内。</w:t>
      </w:r>
    </w:p>
    <w:p>
      <w:pPr>
        <w:adjustRightInd w:val="0"/>
        <w:snapToGrid w:val="0"/>
        <w:spacing w:line="360" w:lineRule="auto"/>
        <w:ind w:right="11" w:firstLine="460" w:firstLineChars="192"/>
        <w:outlineLvl w:val="3"/>
        <w:rPr>
          <w:rFonts w:cs="宋体" w:asciiTheme="majorEastAsia" w:hAnsiTheme="majorEastAsia" w:eastAsiaTheme="majorEastAsia"/>
          <w:b/>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36.3发包人审核结算报告的时间：发包人收到承包人提交的总结算报告后60天内（其中含监理单位审核时间30天）出具初审意见，并及时报有关部门对结算进行终审。</w:t>
      </w:r>
    </w:p>
    <w:p>
      <w:pPr>
        <w:suppressAutoHyphens/>
        <w:adjustRightInd w:val="0"/>
        <w:snapToGrid w:val="0"/>
        <w:spacing w:line="360" w:lineRule="auto"/>
        <w:ind w:firstLine="360" w:firstLineChars="150"/>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iCs/>
          <w:snapToGrid w:val="0"/>
          <w:color w:val="auto"/>
          <w:kern w:val="0"/>
          <w:sz w:val="24"/>
          <w:highlight w:val="none"/>
        </w:rPr>
        <w:t>36.4</w:t>
      </w:r>
      <w:r>
        <w:rPr>
          <w:rFonts w:hint="eastAsia" w:cs="宋体" w:asciiTheme="majorEastAsia" w:hAnsiTheme="majorEastAsia" w:eastAsiaTheme="majorEastAsia"/>
          <w:snapToGrid w:val="0"/>
          <w:color w:val="auto"/>
          <w:kern w:val="0"/>
          <w:sz w:val="24"/>
          <w:highlight w:val="none"/>
        </w:rPr>
        <w:t>承包人应当在竣工验收合格后</w:t>
      </w:r>
      <w:r>
        <w:rPr>
          <w:rFonts w:hint="eastAsia" w:cs="宋体" w:asciiTheme="majorEastAsia" w:hAnsiTheme="majorEastAsia" w:eastAsiaTheme="majorEastAsia"/>
          <w:snapToGrid w:val="0"/>
          <w:color w:val="auto"/>
          <w:kern w:val="0"/>
          <w:sz w:val="24"/>
          <w:highlight w:val="none"/>
          <w:u w:val="single"/>
        </w:rPr>
        <w:t>90</w:t>
      </w:r>
      <w:r>
        <w:rPr>
          <w:rFonts w:hint="eastAsia" w:cs="宋体" w:asciiTheme="majorEastAsia" w:hAnsiTheme="majorEastAsia" w:eastAsiaTheme="majorEastAsia"/>
          <w:snapToGrid w:val="0"/>
          <w:color w:val="auto"/>
          <w:kern w:val="0"/>
          <w:sz w:val="24"/>
          <w:highlight w:val="none"/>
        </w:rPr>
        <w:t>日历天内向</w:t>
      </w:r>
      <w:r>
        <w:rPr>
          <w:rFonts w:hint="eastAsia" w:cs="宋体" w:asciiTheme="majorEastAsia" w:hAnsiTheme="majorEastAsia" w:eastAsiaTheme="majorEastAsia"/>
          <w:iCs/>
          <w:snapToGrid w:val="0"/>
          <w:color w:val="auto"/>
          <w:kern w:val="0"/>
          <w:sz w:val="24"/>
          <w:highlight w:val="none"/>
        </w:rPr>
        <w:t>发包人</w:t>
      </w:r>
      <w:r>
        <w:rPr>
          <w:rFonts w:hint="eastAsia" w:cs="宋体" w:asciiTheme="majorEastAsia" w:hAnsiTheme="majorEastAsia" w:eastAsiaTheme="majorEastAsia"/>
          <w:bCs/>
          <w:snapToGrid w:val="0"/>
          <w:color w:val="auto"/>
          <w:kern w:val="0"/>
          <w:sz w:val="24"/>
          <w:highlight w:val="none"/>
        </w:rPr>
        <w:t>提供如下竣工结算资料（包括但不限于以下）：</w:t>
      </w:r>
    </w:p>
    <w:p>
      <w:pPr>
        <w:suppressAutoHyphens/>
        <w:adjustRightInd w:val="0"/>
        <w:snapToGrid w:val="0"/>
        <w:spacing w:line="360" w:lineRule="auto"/>
        <w:ind w:firstLine="360" w:firstLineChars="15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（1）工程结算书；</w:t>
      </w:r>
    </w:p>
    <w:p>
      <w:pPr>
        <w:suppressAutoHyphens/>
        <w:adjustRightInd w:val="0"/>
        <w:snapToGrid w:val="0"/>
        <w:spacing w:line="360" w:lineRule="auto"/>
        <w:ind w:firstLine="360" w:firstLineChars="15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（2）工程量计算书（即计算底稿）；</w:t>
      </w:r>
    </w:p>
    <w:p>
      <w:pPr>
        <w:suppressAutoHyphens/>
        <w:adjustRightInd w:val="0"/>
        <w:snapToGrid w:val="0"/>
        <w:spacing w:line="360" w:lineRule="auto"/>
        <w:ind w:firstLine="360" w:firstLineChars="15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（3）钢筋抽料表（建筑、市政、园林景观等工程适用）；</w:t>
      </w:r>
    </w:p>
    <w:p>
      <w:pPr>
        <w:suppressAutoHyphens/>
        <w:adjustRightInd w:val="0"/>
        <w:snapToGrid w:val="0"/>
        <w:spacing w:line="360" w:lineRule="auto"/>
        <w:ind w:firstLine="360" w:firstLineChars="15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（4）合同文件；</w:t>
      </w:r>
    </w:p>
    <w:p>
      <w:pPr>
        <w:suppressAutoHyphens/>
        <w:adjustRightInd w:val="0"/>
        <w:snapToGrid w:val="0"/>
        <w:spacing w:line="360" w:lineRule="auto"/>
        <w:ind w:firstLine="360" w:firstLineChars="15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（5）工程竣工图（必要时提供电子版）；</w:t>
      </w:r>
    </w:p>
    <w:p>
      <w:pPr>
        <w:suppressAutoHyphens/>
        <w:adjustRightInd w:val="0"/>
        <w:snapToGrid w:val="0"/>
        <w:spacing w:line="360" w:lineRule="auto"/>
        <w:ind w:firstLine="360" w:firstLineChars="15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（6）工程竣工资料（必要时提供电子版）；</w:t>
      </w:r>
    </w:p>
    <w:p>
      <w:pPr>
        <w:suppressAutoHyphens/>
        <w:adjustRightInd w:val="0"/>
        <w:snapToGrid w:val="0"/>
        <w:spacing w:line="360" w:lineRule="auto"/>
        <w:ind w:firstLine="360" w:firstLineChars="15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（7）图纸会审记录；</w:t>
      </w:r>
    </w:p>
    <w:p>
      <w:pPr>
        <w:suppressAutoHyphens/>
        <w:adjustRightInd w:val="0"/>
        <w:snapToGrid w:val="0"/>
        <w:spacing w:line="360" w:lineRule="auto"/>
        <w:ind w:firstLine="360" w:firstLineChars="15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（8）设计变更单；</w:t>
      </w:r>
    </w:p>
    <w:p>
      <w:pPr>
        <w:suppressAutoHyphens/>
        <w:adjustRightInd w:val="0"/>
        <w:snapToGrid w:val="0"/>
        <w:spacing w:line="360" w:lineRule="auto"/>
        <w:ind w:firstLine="360" w:firstLineChars="15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（9）工程洽商记录；</w:t>
      </w:r>
    </w:p>
    <w:p>
      <w:pPr>
        <w:suppressAutoHyphens/>
        <w:adjustRightInd w:val="0"/>
        <w:snapToGrid w:val="0"/>
        <w:spacing w:line="360" w:lineRule="auto"/>
        <w:ind w:firstLine="360" w:firstLineChars="15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（10）总监理工程师通知或发包人施工指令；</w:t>
      </w:r>
    </w:p>
    <w:p>
      <w:pPr>
        <w:suppressAutoHyphens/>
        <w:adjustRightInd w:val="0"/>
        <w:snapToGrid w:val="0"/>
        <w:spacing w:line="360" w:lineRule="auto"/>
        <w:ind w:firstLine="360" w:firstLineChars="15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（11）会议纪要；</w:t>
      </w:r>
    </w:p>
    <w:p>
      <w:pPr>
        <w:suppressAutoHyphens/>
        <w:adjustRightInd w:val="0"/>
        <w:snapToGrid w:val="0"/>
        <w:spacing w:line="360" w:lineRule="auto"/>
        <w:ind w:firstLine="360" w:firstLineChars="15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（12）工程签证；</w:t>
      </w:r>
    </w:p>
    <w:p>
      <w:pPr>
        <w:suppressAutoHyphens/>
        <w:adjustRightInd w:val="0"/>
        <w:snapToGrid w:val="0"/>
        <w:spacing w:line="360" w:lineRule="auto"/>
        <w:ind w:firstLine="360" w:firstLineChars="15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（13）材料设备单价呈批审核单；</w:t>
      </w:r>
    </w:p>
    <w:p>
      <w:pPr>
        <w:suppressAutoHyphens/>
        <w:adjustRightInd w:val="0"/>
        <w:snapToGrid w:val="0"/>
        <w:spacing w:line="360" w:lineRule="auto"/>
        <w:ind w:firstLine="360" w:firstLineChars="15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w:t>
      </w:r>
      <w:r>
        <w:rPr>
          <w:rFonts w:cs="宋体" w:asciiTheme="majorEastAsia" w:hAnsiTheme="majorEastAsia" w:eastAsiaTheme="majorEastAsia"/>
          <w:snapToGrid w:val="0"/>
          <w:color w:val="auto"/>
          <w:kern w:val="0"/>
          <w:sz w:val="24"/>
          <w:highlight w:val="none"/>
        </w:rPr>
        <w:t>4</w:t>
      </w:r>
      <w:r>
        <w:rPr>
          <w:rFonts w:hint="eastAsia" w:cs="宋体" w:asciiTheme="majorEastAsia" w:hAnsiTheme="majorEastAsia" w:eastAsiaTheme="majorEastAsia"/>
          <w:snapToGrid w:val="0"/>
          <w:color w:val="auto"/>
          <w:kern w:val="0"/>
          <w:sz w:val="24"/>
          <w:highlight w:val="none"/>
        </w:rPr>
        <w:t>）发包人供应材料收货验收签收单；</w:t>
      </w:r>
    </w:p>
    <w:p>
      <w:pPr>
        <w:suppressAutoHyphens/>
        <w:adjustRightInd w:val="0"/>
        <w:snapToGrid w:val="0"/>
        <w:spacing w:line="360" w:lineRule="auto"/>
        <w:ind w:firstLine="360" w:firstLineChars="15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w:t>
      </w:r>
      <w:r>
        <w:rPr>
          <w:rFonts w:cs="宋体" w:asciiTheme="majorEastAsia" w:hAnsiTheme="majorEastAsia" w:eastAsiaTheme="majorEastAsia"/>
          <w:snapToGrid w:val="0"/>
          <w:color w:val="auto"/>
          <w:kern w:val="0"/>
          <w:sz w:val="24"/>
          <w:highlight w:val="none"/>
        </w:rPr>
        <w:t>5</w:t>
      </w:r>
      <w:r>
        <w:rPr>
          <w:rFonts w:hint="eastAsia" w:cs="宋体" w:asciiTheme="majorEastAsia" w:hAnsiTheme="majorEastAsia" w:eastAsiaTheme="majorEastAsia"/>
          <w:snapToGrid w:val="0"/>
          <w:color w:val="auto"/>
          <w:kern w:val="0"/>
          <w:sz w:val="24"/>
          <w:highlight w:val="none"/>
        </w:rPr>
        <w:t>）其他结算资料；</w:t>
      </w:r>
    </w:p>
    <w:p>
      <w:pPr>
        <w:suppressAutoHyphens/>
        <w:adjustRightInd w:val="0"/>
        <w:snapToGrid w:val="0"/>
        <w:spacing w:line="360" w:lineRule="auto"/>
        <w:ind w:firstLine="360" w:firstLineChars="15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w:t>
      </w:r>
      <w:r>
        <w:rPr>
          <w:rFonts w:cs="宋体" w:asciiTheme="majorEastAsia" w:hAnsiTheme="majorEastAsia" w:eastAsiaTheme="majorEastAsia"/>
          <w:snapToGrid w:val="0"/>
          <w:color w:val="auto"/>
          <w:kern w:val="0"/>
          <w:sz w:val="24"/>
          <w:highlight w:val="none"/>
        </w:rPr>
        <w:t>6</w:t>
      </w:r>
      <w:r>
        <w:rPr>
          <w:rFonts w:hint="eastAsia" w:cs="宋体" w:asciiTheme="majorEastAsia" w:hAnsiTheme="majorEastAsia" w:eastAsiaTheme="majorEastAsia"/>
          <w:snapToGrid w:val="0"/>
          <w:color w:val="auto"/>
          <w:kern w:val="0"/>
          <w:sz w:val="24"/>
          <w:highlight w:val="none"/>
        </w:rPr>
        <w:t>）移交资料签收表。</w:t>
      </w:r>
    </w:p>
    <w:p>
      <w:pPr>
        <w:suppressAutoHyphens/>
        <w:adjustRightInd w:val="0"/>
        <w:snapToGrid w:val="0"/>
        <w:spacing w:line="360" w:lineRule="auto"/>
        <w:ind w:firstLine="480" w:firstLineChars="200"/>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iCs/>
          <w:snapToGrid w:val="0"/>
          <w:color w:val="auto"/>
          <w:kern w:val="0"/>
          <w:sz w:val="24"/>
          <w:highlight w:val="none"/>
        </w:rPr>
        <w:t>36.5</w:t>
      </w:r>
      <w:r>
        <w:rPr>
          <w:rFonts w:hint="eastAsia" w:cs="宋体" w:asciiTheme="majorEastAsia" w:hAnsiTheme="majorEastAsia" w:eastAsiaTheme="majorEastAsia"/>
          <w:bCs/>
          <w:snapToGrid w:val="0"/>
          <w:color w:val="auto"/>
          <w:kern w:val="0"/>
          <w:sz w:val="24"/>
          <w:highlight w:val="none"/>
        </w:rPr>
        <w:t>发包人对送审结算资料的具体要求：</w:t>
      </w:r>
    </w:p>
    <w:p>
      <w:pPr>
        <w:tabs>
          <w:tab w:val="left" w:pos="1875"/>
        </w:tabs>
        <w:suppressAutoHyphens/>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结算书：每项工程的结算书要求分两部分编制：第一部分以竣工图为依据编制，包括竣工图、图纸会审记录、设计变更等内容；第二部分为工程签证及其他有关费用等。上述两部分不应有重复列项的内容，结算书须提供相应的电子文件。</w:t>
      </w:r>
    </w:p>
    <w:p>
      <w:pPr>
        <w:tabs>
          <w:tab w:val="left" w:pos="1875"/>
        </w:tabs>
        <w:suppressAutoHyphens/>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（2）工程量计算书（即计算底稿）：工程量计算书由工程量汇总表和详细的工程量计算表达式组成，结算书须提供相应的电子文件。</w:t>
      </w:r>
    </w:p>
    <w:p>
      <w:pPr>
        <w:tabs>
          <w:tab w:val="left" w:pos="1875"/>
        </w:tabs>
        <w:suppressAutoHyphens/>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钢筋抽料表（建筑、市政、园林景观等工程适用）：用电脑抽料的钢筋用量表要求提供相应的拷贝磁盘，用手工抽料的钢筋用量表要求提供详细的抽料表和明细汇总表，详细的抽料表应注明钢筋所在构件名称、施工部位、钢筋编号等。</w:t>
      </w:r>
    </w:p>
    <w:p>
      <w:pPr>
        <w:tabs>
          <w:tab w:val="left" w:pos="1875"/>
        </w:tabs>
        <w:suppressAutoHyphens/>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（4）合同文件：包括发包人与承包人签订的合同文件、经发包人确认的承包人与第三方签订的分包合同、各类补充合同、合同附件等，要求将上述合同文件列出总目录按顺序整理装订成册。</w:t>
      </w:r>
    </w:p>
    <w:p>
      <w:pPr>
        <w:tabs>
          <w:tab w:val="left" w:pos="1875"/>
        </w:tabs>
        <w:suppressAutoHyphens/>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5）竣工图：用于结算的竣工图必须有承包人图纸专用章、设计院章及其相关人员签字，并须有监理单位盖章确认。经发包人、设计、监理等单位确认的图纸会审记录、设计变更、工程洽商记录等内容均应反映在相应的竣工图上。</w:t>
      </w:r>
    </w:p>
    <w:p>
      <w:pPr>
        <w:tabs>
          <w:tab w:val="left" w:pos="1875"/>
        </w:tabs>
        <w:suppressAutoHyphens/>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6）竣工资料：指在进行工程竣工验收和资料归档时所需的资料，具体包括开工报告、竣工报告、工程质量验收评定证书、材料检验报告、产品质量合格证、经发包人批准的施工组织设计或施工方案、隐蔽工程验收记录、安装工程的调试方案和调试记录等。整理装订成册的竣工资料需编制总目录，并在每一页的下方统一编号，以便于查找。以上资料以国家规范或竣工图编制指南为准。</w:t>
      </w:r>
    </w:p>
    <w:p>
      <w:pPr>
        <w:tabs>
          <w:tab w:val="left" w:pos="1875"/>
        </w:tabs>
        <w:suppressAutoHyphens/>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（7）图纸会审记录：要求按图纸会审的时间先后整理装订成册，图纸会审记录须有各单位参加会审人员签字及会审单位盖章确认。</w:t>
      </w:r>
    </w:p>
    <w:p>
      <w:pPr>
        <w:tabs>
          <w:tab w:val="left" w:pos="1875"/>
        </w:tabs>
        <w:suppressAutoHyphens/>
        <w:adjustRightInd w:val="0"/>
        <w:snapToGrid w:val="0"/>
        <w:spacing w:line="360" w:lineRule="auto"/>
        <w:ind w:firstLine="480" w:firstLineChars="200"/>
        <w:rPr>
          <w:rFonts w:cs="宋体" w:asciiTheme="majorEastAsia" w:hAnsiTheme="majorEastAsia" w:eastAsiaTheme="majorEastAsia"/>
          <w:b/>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（8）设计变更单：要求按设计变更的时间先后整理（安装工程要分专业）装订成册。</w:t>
      </w:r>
    </w:p>
    <w:p>
      <w:pPr>
        <w:tabs>
          <w:tab w:val="left" w:pos="1875"/>
        </w:tabs>
        <w:suppressAutoHyphens/>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（9）工程洽商记录：要求根据工程洽商记录的时间先后整理装订成册，然后在每一页的下方统一编号，以便于查找。工程洽商记录须符合发包人制定的有关规定。</w:t>
      </w:r>
    </w:p>
    <w:p>
      <w:pPr>
        <w:tabs>
          <w:tab w:val="left" w:pos="1875"/>
        </w:tabs>
        <w:suppressAutoHyphens/>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10）总监理工程师通知或发包人施工指令：要求根据总监理工程师通知或发包人施工指令的时间先后整理装订成册，然后在每一页的下方统一编号。总监理工程师通知或发包人施工指令须符合发包人制定的有关规定。</w:t>
      </w:r>
    </w:p>
    <w:p>
      <w:pPr>
        <w:tabs>
          <w:tab w:val="left" w:pos="1875"/>
        </w:tabs>
        <w:suppressAutoHyphens/>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（11）会议纪要：指工程质量、安全、技术、经济等现场协调会会议纪要等。要求根据会议纪要的时间先后整理装订成册，然后在每一页的下方统一编号。会议纪要须符合发包人制定的有关规定。</w:t>
      </w:r>
    </w:p>
    <w:p>
      <w:pPr>
        <w:tabs>
          <w:tab w:val="left" w:pos="1875"/>
        </w:tabs>
        <w:suppressAutoHyphens/>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（12）工程签证：要求根据工程签证的时间先后整理装订成册，然后在每一页的下方统一编号，工程签证单上应有工程数量的计算过程和施工简图。</w:t>
      </w:r>
    </w:p>
    <w:p>
      <w:pPr>
        <w:tabs>
          <w:tab w:val="left" w:pos="1875"/>
        </w:tabs>
        <w:suppressAutoHyphens/>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13）材料设备单价呈批审核单：凡在工程招标文件或合同中未明确的主要材料设备单价，要求根据材料设备单价呈批审核单的编号顺序整理装订成册。每项审核单应附有相关的资料或注明相关资料在送审结算资料的哪一部分和哪一页位置上，要求有使用该材料设备的专题会议纪要、材料发票、购买合同等有效材料设备价格凭证等。</w:t>
      </w:r>
    </w:p>
    <w:p>
      <w:pPr>
        <w:tabs>
          <w:tab w:val="left" w:pos="1875"/>
        </w:tabs>
        <w:suppressAutoHyphens/>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w:t>
      </w:r>
      <w:r>
        <w:rPr>
          <w:rFonts w:cs="宋体" w:asciiTheme="majorEastAsia" w:hAnsiTheme="majorEastAsia" w:eastAsiaTheme="majorEastAsia"/>
          <w:snapToGrid w:val="0"/>
          <w:color w:val="auto"/>
          <w:kern w:val="0"/>
          <w:sz w:val="24"/>
          <w:highlight w:val="none"/>
        </w:rPr>
        <w:t>14</w:t>
      </w:r>
      <w:r>
        <w:rPr>
          <w:rFonts w:hint="eastAsia" w:cs="宋体" w:asciiTheme="majorEastAsia" w:hAnsiTheme="majorEastAsia" w:eastAsiaTheme="majorEastAsia"/>
          <w:snapToGrid w:val="0"/>
          <w:color w:val="auto"/>
          <w:kern w:val="0"/>
          <w:sz w:val="24"/>
          <w:highlight w:val="none"/>
        </w:rPr>
        <w:t>）其他结算资料：凡上述未提及而在结算时需要的资料均需提供，例如：施工日记、地质勘察报告、非常用的标准图集、应由承包人承担而由发包人代为支付的费用证明（如：发包人代缴的施工水电费票据、余泥排放费证明）等。</w:t>
      </w:r>
    </w:p>
    <w:p>
      <w:pPr>
        <w:tabs>
          <w:tab w:val="left" w:pos="1378"/>
          <w:tab w:val="left" w:pos="1875"/>
        </w:tabs>
        <w:suppressAutoHyphens/>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w:t>
      </w:r>
      <w:r>
        <w:rPr>
          <w:rFonts w:cs="宋体" w:asciiTheme="majorEastAsia" w:hAnsiTheme="majorEastAsia" w:eastAsiaTheme="majorEastAsia"/>
          <w:snapToGrid w:val="0"/>
          <w:color w:val="auto"/>
          <w:kern w:val="0"/>
          <w:sz w:val="24"/>
          <w:highlight w:val="none"/>
        </w:rPr>
        <w:t>15</w:t>
      </w:r>
      <w:r>
        <w:rPr>
          <w:rFonts w:hint="eastAsia" w:cs="宋体" w:asciiTheme="majorEastAsia" w:hAnsiTheme="majorEastAsia" w:eastAsiaTheme="majorEastAsia"/>
          <w:snapToGrid w:val="0"/>
          <w:color w:val="auto"/>
          <w:kern w:val="0"/>
          <w:sz w:val="24"/>
          <w:highlight w:val="none"/>
        </w:rPr>
        <w:t>）资料签收表：按送审结算资料的内容列表，以便资料的移交和管理。资料签收表上应注明资料内容、份数和页数（标注页码），并且对所有复印资料的真实性进行确认。资料签收表一式两份，由资料移交人和接收人分别签名，必要时加盖单位的印章。</w:t>
      </w:r>
    </w:p>
    <w:p>
      <w:pPr>
        <w:adjustRightInd w:val="0"/>
        <w:snapToGrid w:val="0"/>
        <w:spacing w:line="360" w:lineRule="auto"/>
        <w:ind w:right="11" w:firstLine="480" w:firstLineChars="200"/>
        <w:outlineLvl w:val="3"/>
        <w:rPr>
          <w:rFonts w:cs="宋体" w:asciiTheme="majorEastAsia" w:hAnsiTheme="majorEastAsia" w:eastAsiaTheme="majorEastAsia"/>
          <w:iCs/>
          <w:snapToGrid w:val="0"/>
          <w:color w:val="auto"/>
          <w:kern w:val="0"/>
          <w:sz w:val="24"/>
          <w:highlight w:val="none"/>
        </w:rPr>
      </w:pPr>
      <w:r>
        <w:rPr>
          <w:rFonts w:hint="eastAsia" w:cs="宋体" w:asciiTheme="majorEastAsia" w:hAnsiTheme="majorEastAsia" w:eastAsiaTheme="majorEastAsia"/>
          <w:iCs/>
          <w:snapToGrid w:val="0"/>
          <w:color w:val="auto"/>
          <w:kern w:val="0"/>
          <w:sz w:val="24"/>
          <w:highlight w:val="none"/>
        </w:rPr>
        <w:t>36.6承包人迟延提交竣工</w:t>
      </w:r>
      <w:r>
        <w:rPr>
          <w:rFonts w:hint="eastAsia" w:cs="宋体" w:asciiTheme="majorEastAsia" w:hAnsiTheme="majorEastAsia" w:eastAsiaTheme="majorEastAsia"/>
          <w:snapToGrid w:val="0"/>
          <w:color w:val="auto"/>
          <w:kern w:val="0"/>
          <w:sz w:val="24"/>
          <w:highlight w:val="none"/>
        </w:rPr>
        <w:t>结算报告的，</w:t>
      </w:r>
      <w:r>
        <w:rPr>
          <w:rFonts w:hint="eastAsia" w:cs="宋体" w:asciiTheme="majorEastAsia" w:hAnsiTheme="majorEastAsia" w:eastAsiaTheme="majorEastAsia"/>
          <w:iCs/>
          <w:snapToGrid w:val="0"/>
          <w:color w:val="auto"/>
          <w:kern w:val="0"/>
          <w:sz w:val="24"/>
          <w:highlight w:val="none"/>
        </w:rPr>
        <w:t>发包人完成审核相应结算报告的时间相应顺延。由于</w:t>
      </w:r>
      <w:r>
        <w:rPr>
          <w:rFonts w:hint="eastAsia" w:cs="宋体" w:asciiTheme="majorEastAsia" w:hAnsiTheme="majorEastAsia" w:eastAsiaTheme="majorEastAsia"/>
          <w:snapToGrid w:val="0"/>
          <w:color w:val="auto"/>
          <w:kern w:val="0"/>
          <w:sz w:val="24"/>
          <w:highlight w:val="none"/>
        </w:rPr>
        <w:t>结算报告存在错误或不完整而退回承包人修改或补充的，</w:t>
      </w:r>
      <w:r>
        <w:rPr>
          <w:rFonts w:hint="eastAsia" w:cs="宋体" w:asciiTheme="majorEastAsia" w:hAnsiTheme="majorEastAsia" w:eastAsiaTheme="majorEastAsia"/>
          <w:iCs/>
          <w:snapToGrid w:val="0"/>
          <w:color w:val="auto"/>
          <w:kern w:val="0"/>
          <w:sz w:val="24"/>
          <w:highlight w:val="none"/>
        </w:rPr>
        <w:t>发包人完成审核相应结算报告的时间从收到</w:t>
      </w:r>
      <w:r>
        <w:rPr>
          <w:rFonts w:hint="eastAsia" w:cs="宋体" w:asciiTheme="majorEastAsia" w:hAnsiTheme="majorEastAsia" w:eastAsiaTheme="majorEastAsia"/>
          <w:snapToGrid w:val="0"/>
          <w:color w:val="auto"/>
          <w:kern w:val="0"/>
          <w:sz w:val="24"/>
          <w:highlight w:val="none"/>
        </w:rPr>
        <w:t>修改或补充的结算报告后重新计算。</w:t>
      </w:r>
    </w:p>
    <w:p>
      <w:pPr>
        <w:adjustRightInd w:val="0"/>
        <w:snapToGrid w:val="0"/>
        <w:spacing w:line="360" w:lineRule="auto"/>
        <w:ind w:right="11" w:firstLine="480" w:firstLineChars="200"/>
        <w:outlineLvl w:val="3"/>
        <w:rPr>
          <w:rFonts w:cs="宋体" w:asciiTheme="majorEastAsia" w:hAnsiTheme="majorEastAsia" w:eastAsiaTheme="majorEastAsia"/>
          <w:iCs/>
          <w:snapToGrid w:val="0"/>
          <w:color w:val="auto"/>
          <w:kern w:val="0"/>
          <w:sz w:val="24"/>
          <w:highlight w:val="none"/>
        </w:rPr>
      </w:pPr>
      <w:r>
        <w:rPr>
          <w:rFonts w:hint="eastAsia" w:cs="宋体" w:asciiTheme="majorEastAsia" w:hAnsiTheme="majorEastAsia" w:eastAsiaTheme="majorEastAsia"/>
          <w:iCs/>
          <w:snapToGrid w:val="0"/>
          <w:color w:val="auto"/>
          <w:kern w:val="0"/>
          <w:sz w:val="24"/>
          <w:highlight w:val="none"/>
        </w:rPr>
        <w:t>36.7承包人提交的竣工</w:t>
      </w:r>
      <w:r>
        <w:rPr>
          <w:rFonts w:hint="eastAsia" w:cs="宋体" w:asciiTheme="majorEastAsia" w:hAnsiTheme="majorEastAsia" w:eastAsiaTheme="majorEastAsia"/>
          <w:snapToGrid w:val="0"/>
          <w:color w:val="auto"/>
          <w:kern w:val="0"/>
          <w:sz w:val="24"/>
          <w:highlight w:val="none"/>
        </w:rPr>
        <w:t>结算报告虽有错误或不完整，但其中有部分手续齐全并可以单独结算的，发包人可就该部分先行审核。</w:t>
      </w:r>
    </w:p>
    <w:p>
      <w:pPr>
        <w:adjustRightInd w:val="0"/>
        <w:snapToGrid w:val="0"/>
        <w:spacing w:line="360" w:lineRule="auto"/>
        <w:ind w:right="11"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iCs/>
          <w:snapToGrid w:val="0"/>
          <w:color w:val="auto"/>
          <w:kern w:val="0"/>
          <w:sz w:val="24"/>
          <w:highlight w:val="none"/>
        </w:rPr>
        <w:t>36.8</w:t>
      </w:r>
      <w:r>
        <w:rPr>
          <w:rFonts w:hint="eastAsia" w:cs="宋体" w:asciiTheme="majorEastAsia" w:hAnsiTheme="majorEastAsia" w:eastAsiaTheme="majorEastAsia"/>
          <w:snapToGrid w:val="0"/>
          <w:color w:val="auto"/>
          <w:kern w:val="0"/>
          <w:sz w:val="24"/>
          <w:highlight w:val="none"/>
        </w:rPr>
        <w:t>由于承包人未按发包人要求及时报送</w:t>
      </w:r>
      <w:r>
        <w:rPr>
          <w:rFonts w:hint="eastAsia" w:cs="宋体" w:asciiTheme="majorEastAsia" w:hAnsiTheme="majorEastAsia" w:eastAsiaTheme="majorEastAsia"/>
          <w:iCs/>
          <w:snapToGrid w:val="0"/>
          <w:color w:val="auto"/>
          <w:kern w:val="0"/>
          <w:sz w:val="24"/>
          <w:highlight w:val="none"/>
        </w:rPr>
        <w:t>竣工</w:t>
      </w:r>
      <w:r>
        <w:rPr>
          <w:rFonts w:hint="eastAsia" w:cs="宋体" w:asciiTheme="majorEastAsia" w:hAnsiTheme="majorEastAsia" w:eastAsiaTheme="majorEastAsia"/>
          <w:snapToGrid w:val="0"/>
          <w:color w:val="auto"/>
          <w:kern w:val="0"/>
          <w:sz w:val="24"/>
          <w:highlight w:val="none"/>
        </w:rPr>
        <w:t>结算资料或报送资料不齐全、不完整引起的相应结算滞后或影响支付，应由承包人负责，承包人所主张的材料款、人工工资等申请将不被接受，应由承包人承担责任。</w:t>
      </w:r>
    </w:p>
    <w:p>
      <w:pPr>
        <w:adjustRightInd w:val="0"/>
        <w:snapToGrid w:val="0"/>
        <w:spacing w:line="360" w:lineRule="auto"/>
        <w:ind w:right="11"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iCs/>
          <w:snapToGrid w:val="0"/>
          <w:color w:val="auto"/>
          <w:kern w:val="0"/>
          <w:sz w:val="24"/>
          <w:highlight w:val="none"/>
        </w:rPr>
        <w:t>36.9</w:t>
      </w:r>
      <w:r>
        <w:rPr>
          <w:rFonts w:hint="eastAsia" w:cs="宋体" w:asciiTheme="majorEastAsia" w:hAnsiTheme="majorEastAsia" w:eastAsiaTheme="majorEastAsia"/>
          <w:snapToGrid w:val="0"/>
          <w:color w:val="auto"/>
          <w:kern w:val="0"/>
          <w:sz w:val="24"/>
          <w:highlight w:val="none"/>
        </w:rPr>
        <w:t>根据项目建设的实际需要，发包人有权要求与承包人按招标文件提供的格式签订工程结算工作协议书，双方严格按照工程结算工作协议书的约定进行工程结算，承包人必须无条件服从。</w:t>
      </w:r>
    </w:p>
    <w:p>
      <w:pPr>
        <w:adjustRightInd w:val="0"/>
        <w:snapToGrid w:val="0"/>
        <w:spacing w:line="360" w:lineRule="auto"/>
        <w:ind w:right="11"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36.10若承包人不按工程结算工作协议书的约定配合</w:t>
      </w:r>
      <w:r>
        <w:rPr>
          <w:rFonts w:hint="eastAsia" w:cs="宋体" w:asciiTheme="majorEastAsia" w:hAnsiTheme="majorEastAsia" w:eastAsiaTheme="majorEastAsia"/>
          <w:iCs/>
          <w:snapToGrid w:val="0"/>
          <w:color w:val="auto"/>
          <w:kern w:val="0"/>
          <w:sz w:val="24"/>
          <w:highlight w:val="none"/>
        </w:rPr>
        <w:t>竣工</w:t>
      </w:r>
      <w:r>
        <w:rPr>
          <w:rFonts w:hint="eastAsia" w:cs="宋体" w:asciiTheme="majorEastAsia" w:hAnsiTheme="majorEastAsia" w:eastAsiaTheme="majorEastAsia"/>
          <w:snapToGrid w:val="0"/>
          <w:color w:val="auto"/>
          <w:kern w:val="0"/>
          <w:sz w:val="24"/>
          <w:highlight w:val="none"/>
        </w:rPr>
        <w:t>结算审核工作以至工程结算迟迟不能定案或承包人对终审单位的审核结果拒不确认，在规定时间内又提不出正当理由的，则最终的审核结果由发包人与终审单位共同盖章确认。</w:t>
      </w:r>
    </w:p>
    <w:p>
      <w:pPr>
        <w:adjustRightInd w:val="0"/>
        <w:snapToGrid w:val="0"/>
        <w:spacing w:line="360" w:lineRule="auto"/>
        <w:ind w:right="11"/>
        <w:outlineLvl w:val="1"/>
        <w:rPr>
          <w:rFonts w:cs="宋体" w:asciiTheme="majorEastAsia" w:hAnsiTheme="majorEastAsia" w:eastAsiaTheme="majorEastAsia"/>
          <w:b/>
          <w:bCs/>
          <w:snapToGrid w:val="0"/>
          <w:color w:val="auto"/>
          <w:kern w:val="0"/>
          <w:sz w:val="28"/>
          <w:szCs w:val="28"/>
          <w:highlight w:val="none"/>
        </w:rPr>
      </w:pPr>
      <w:bookmarkStart w:id="627" w:name="_Toc397364934"/>
    </w:p>
    <w:p>
      <w:pPr>
        <w:adjustRightInd w:val="0"/>
        <w:snapToGrid w:val="0"/>
        <w:spacing w:line="360" w:lineRule="auto"/>
        <w:ind w:right="11"/>
        <w:outlineLvl w:val="1"/>
        <w:rPr>
          <w:rFonts w:cs="宋体" w:asciiTheme="majorEastAsia" w:hAnsiTheme="majorEastAsia" w:eastAsiaTheme="majorEastAsia"/>
          <w:b/>
          <w:bCs/>
          <w:snapToGrid w:val="0"/>
          <w:color w:val="auto"/>
          <w:kern w:val="0"/>
          <w:sz w:val="28"/>
          <w:szCs w:val="28"/>
          <w:highlight w:val="none"/>
        </w:rPr>
      </w:pPr>
      <w:bookmarkStart w:id="628" w:name="_Toc140476949"/>
      <w:bookmarkStart w:id="629" w:name="_Toc2909"/>
      <w:bookmarkStart w:id="630" w:name="_Toc3593"/>
      <w:r>
        <w:rPr>
          <w:rFonts w:hint="eastAsia" w:cs="宋体" w:asciiTheme="majorEastAsia" w:hAnsiTheme="majorEastAsia" w:eastAsiaTheme="majorEastAsia"/>
          <w:b/>
          <w:bCs/>
          <w:snapToGrid w:val="0"/>
          <w:color w:val="auto"/>
          <w:kern w:val="0"/>
          <w:sz w:val="28"/>
          <w:szCs w:val="28"/>
          <w:highlight w:val="none"/>
        </w:rPr>
        <w:t>十、违约、索赔和争议</w:t>
      </w:r>
      <w:bookmarkEnd w:id="627"/>
      <w:bookmarkEnd w:id="628"/>
      <w:bookmarkEnd w:id="629"/>
      <w:bookmarkEnd w:id="630"/>
    </w:p>
    <w:p>
      <w:pPr>
        <w:adjustRightInd w:val="0"/>
        <w:snapToGrid w:val="0"/>
        <w:spacing w:line="360" w:lineRule="auto"/>
        <w:ind w:right="11" w:firstLine="463" w:firstLineChars="192"/>
        <w:outlineLvl w:val="2"/>
        <w:rPr>
          <w:rFonts w:cs="宋体" w:asciiTheme="majorEastAsia" w:hAnsiTheme="majorEastAsia" w:eastAsiaTheme="majorEastAsia"/>
          <w:b/>
          <w:bCs/>
          <w:snapToGrid w:val="0"/>
          <w:color w:val="auto"/>
          <w:kern w:val="0"/>
          <w:sz w:val="24"/>
          <w:highlight w:val="none"/>
        </w:rPr>
      </w:pPr>
      <w:bookmarkStart w:id="631" w:name="_Toc140476950"/>
      <w:bookmarkStart w:id="632" w:name="_Toc14710"/>
      <w:bookmarkStart w:id="633" w:name="_Toc397364935"/>
      <w:bookmarkStart w:id="634" w:name="_Toc20570"/>
      <w:r>
        <w:rPr>
          <w:rFonts w:hint="eastAsia" w:cs="宋体" w:asciiTheme="majorEastAsia" w:hAnsiTheme="majorEastAsia" w:eastAsiaTheme="majorEastAsia"/>
          <w:b/>
          <w:bCs/>
          <w:snapToGrid w:val="0"/>
          <w:color w:val="auto"/>
          <w:kern w:val="0"/>
          <w:sz w:val="24"/>
          <w:highlight w:val="none"/>
        </w:rPr>
        <w:t>38、违约</w:t>
      </w:r>
      <w:bookmarkEnd w:id="631"/>
      <w:bookmarkEnd w:id="632"/>
      <w:bookmarkEnd w:id="633"/>
      <w:bookmarkEnd w:id="634"/>
    </w:p>
    <w:p>
      <w:pPr>
        <w:adjustRightInd w:val="0"/>
        <w:snapToGrid w:val="0"/>
        <w:spacing w:line="360" w:lineRule="auto"/>
        <w:ind w:right="11" w:firstLine="463" w:firstLineChars="192"/>
        <w:rPr>
          <w:rFonts w:cs="宋体" w:asciiTheme="majorEastAsia" w:hAnsiTheme="majorEastAsia" w:eastAsiaTheme="majorEastAsia"/>
          <w:b/>
          <w:snapToGrid w:val="0"/>
          <w:color w:val="auto"/>
          <w:kern w:val="0"/>
          <w:sz w:val="24"/>
          <w:highlight w:val="none"/>
        </w:rPr>
      </w:pPr>
      <w:r>
        <w:rPr>
          <w:rFonts w:hint="eastAsia" w:cs="宋体" w:asciiTheme="majorEastAsia" w:hAnsiTheme="majorEastAsia" w:eastAsiaTheme="majorEastAsia"/>
          <w:b/>
          <w:snapToGrid w:val="0"/>
          <w:color w:val="auto"/>
          <w:kern w:val="0"/>
          <w:sz w:val="24"/>
          <w:highlight w:val="none"/>
        </w:rPr>
        <w:t>承包人与发包人一致同意不适用合同通用条款第38.1款的约定，代之以：</w:t>
      </w:r>
    </w:p>
    <w:p>
      <w:pPr>
        <w:adjustRightInd w:val="0"/>
        <w:snapToGrid w:val="0"/>
        <w:spacing w:line="360" w:lineRule="auto"/>
        <w:ind w:right="11" w:firstLine="460" w:firstLineChars="192"/>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38.1</w:t>
      </w:r>
      <w:r>
        <w:rPr>
          <w:rFonts w:hint="eastAsia" w:cs="宋体" w:asciiTheme="majorEastAsia" w:hAnsiTheme="majorEastAsia" w:eastAsiaTheme="majorEastAsia"/>
          <w:snapToGrid w:val="0"/>
          <w:color w:val="auto"/>
          <w:kern w:val="0"/>
          <w:sz w:val="24"/>
          <w:highlight w:val="none"/>
        </w:rPr>
        <w:t>发包人的违约责任</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发包人无正当理由不按合同约定申报支付工程预付款、进度款和竣工结算款的，</w:t>
      </w:r>
      <w:r>
        <w:rPr>
          <w:rFonts w:cs="宋体" w:asciiTheme="majorEastAsia" w:hAnsiTheme="majorEastAsia" w:eastAsiaTheme="majorEastAsia"/>
          <w:color w:val="auto"/>
          <w:sz w:val="24"/>
          <w:highlight w:val="none"/>
        </w:rPr>
        <w:t>发包人应尽快</w:t>
      </w:r>
      <w:r>
        <w:rPr>
          <w:rFonts w:hint="eastAsia" w:cs="宋体" w:asciiTheme="majorEastAsia" w:hAnsiTheme="majorEastAsia" w:eastAsiaTheme="majorEastAsia"/>
          <w:snapToGrid w:val="0"/>
          <w:color w:val="auto"/>
          <w:kern w:val="0"/>
          <w:sz w:val="24"/>
          <w:highlight w:val="none"/>
        </w:rPr>
        <w:t>申报</w:t>
      </w:r>
      <w:r>
        <w:rPr>
          <w:rFonts w:cs="宋体" w:asciiTheme="majorEastAsia" w:hAnsiTheme="majorEastAsia" w:eastAsiaTheme="majorEastAsia"/>
          <w:color w:val="auto"/>
          <w:sz w:val="24"/>
          <w:highlight w:val="none"/>
        </w:rPr>
        <w:t>支付本合同约定的工程预付款、进度款和竣工结算款</w:t>
      </w:r>
      <w:r>
        <w:rPr>
          <w:rFonts w:hint="eastAsia" w:cs="宋体" w:asciiTheme="majorEastAsia" w:hAnsiTheme="majorEastAsia" w:eastAsiaTheme="majorEastAsia"/>
          <w:snapToGrid w:val="0"/>
          <w:color w:val="auto"/>
          <w:kern w:val="0"/>
          <w:sz w:val="24"/>
          <w:highlight w:val="none"/>
        </w:rPr>
        <w:t>。</w:t>
      </w:r>
    </w:p>
    <w:p>
      <w:pPr>
        <w:adjustRightInd w:val="0"/>
        <w:snapToGrid w:val="0"/>
        <w:spacing w:line="360" w:lineRule="auto"/>
        <w:ind w:right="11" w:firstLine="463" w:firstLineChars="192"/>
        <w:rPr>
          <w:rFonts w:cs="宋体" w:asciiTheme="majorEastAsia" w:hAnsiTheme="majorEastAsia" w:eastAsiaTheme="majorEastAsia"/>
          <w:b/>
          <w:snapToGrid w:val="0"/>
          <w:color w:val="auto"/>
          <w:kern w:val="0"/>
          <w:sz w:val="24"/>
          <w:highlight w:val="none"/>
        </w:rPr>
      </w:pPr>
      <w:r>
        <w:rPr>
          <w:rFonts w:hint="eastAsia" w:cs="宋体" w:asciiTheme="majorEastAsia" w:hAnsiTheme="majorEastAsia" w:eastAsiaTheme="majorEastAsia"/>
          <w:b/>
          <w:snapToGrid w:val="0"/>
          <w:color w:val="auto"/>
          <w:kern w:val="0"/>
          <w:sz w:val="24"/>
          <w:highlight w:val="none"/>
        </w:rPr>
        <w:t>承包人与发包人一致同意增加38.4至38.16：</w:t>
      </w:r>
    </w:p>
    <w:p>
      <w:pPr>
        <w:adjustRightInd w:val="0"/>
        <w:snapToGrid w:val="0"/>
        <w:spacing w:line="360" w:lineRule="auto"/>
        <w:ind w:right="11" w:firstLine="460" w:firstLineChars="192"/>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38.4承包人承担违约责任的方式包括但不限于：</w:t>
      </w:r>
    </w:p>
    <w:p>
      <w:pPr>
        <w:tabs>
          <w:tab w:val="left" w:pos="1125"/>
        </w:tabs>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（1）书面警告。承包人不履行或不完全履行合同约定的义务及责任，或者不执行总监理工程师或发包人（含主管人员）的指令时，发包人有权向承包人发出书面警告，从承包人工程款或履约担保中扣减</w:t>
      </w:r>
      <w:r>
        <w:rPr>
          <w:rFonts w:hint="eastAsia" w:cs="宋体" w:asciiTheme="majorEastAsia" w:hAnsiTheme="majorEastAsia" w:eastAsiaTheme="majorEastAsia"/>
          <w:snapToGrid w:val="0"/>
          <w:color w:val="auto"/>
          <w:kern w:val="0"/>
          <w:sz w:val="24"/>
          <w:highlight w:val="none"/>
        </w:rPr>
        <w:t>10000元</w:t>
      </w:r>
      <w:r>
        <w:rPr>
          <w:rFonts w:hint="eastAsia" w:cs="宋体" w:asciiTheme="majorEastAsia" w:hAnsiTheme="majorEastAsia" w:eastAsiaTheme="majorEastAsia"/>
          <w:bCs/>
          <w:snapToGrid w:val="0"/>
          <w:color w:val="auto"/>
          <w:kern w:val="0"/>
          <w:sz w:val="24"/>
          <w:highlight w:val="none"/>
        </w:rPr>
        <w:t>/次</w:t>
      </w:r>
      <w:r>
        <w:rPr>
          <w:rFonts w:hint="eastAsia" w:cs="宋体" w:asciiTheme="majorEastAsia" w:hAnsiTheme="majorEastAsia" w:eastAsiaTheme="majorEastAsia"/>
          <w:snapToGrid w:val="0"/>
          <w:color w:val="auto"/>
          <w:kern w:val="0"/>
          <w:sz w:val="24"/>
          <w:highlight w:val="none"/>
        </w:rPr>
        <w:t>。</w:t>
      </w:r>
      <w:r>
        <w:rPr>
          <w:rFonts w:hint="eastAsia" w:cs="宋体" w:asciiTheme="majorEastAsia" w:hAnsiTheme="majorEastAsia" w:eastAsiaTheme="majorEastAsia"/>
          <w:bCs/>
          <w:snapToGrid w:val="0"/>
          <w:color w:val="auto"/>
          <w:kern w:val="0"/>
          <w:sz w:val="24"/>
          <w:highlight w:val="none"/>
        </w:rPr>
        <w:t>承包人必须在书面警告限定的时间内改正，逾期未改正的，发包人有权要求其主管生产的副总经理以上级别的领导驻场办公，直至改正为止。</w:t>
      </w:r>
    </w:p>
    <w:p>
      <w:pPr>
        <w:tabs>
          <w:tab w:val="left" w:pos="1125"/>
        </w:tabs>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（2）一般违约责任。承包人违反本合同的约定须承担一般违约责任时，发包人从承包人工程款或履约担保中扣减违约金</w:t>
      </w:r>
      <w:r>
        <w:rPr>
          <w:rFonts w:hint="eastAsia" w:cs="宋体" w:asciiTheme="majorEastAsia" w:hAnsiTheme="majorEastAsia" w:eastAsiaTheme="majorEastAsia"/>
          <w:snapToGrid w:val="0"/>
          <w:color w:val="auto"/>
          <w:kern w:val="0"/>
          <w:sz w:val="24"/>
          <w:highlight w:val="none"/>
        </w:rPr>
        <w:t>50000元</w:t>
      </w:r>
      <w:r>
        <w:rPr>
          <w:rFonts w:hint="eastAsia" w:cs="宋体" w:asciiTheme="majorEastAsia" w:hAnsiTheme="majorEastAsia" w:eastAsiaTheme="majorEastAsia"/>
          <w:bCs/>
          <w:snapToGrid w:val="0"/>
          <w:color w:val="auto"/>
          <w:kern w:val="0"/>
          <w:sz w:val="24"/>
          <w:highlight w:val="none"/>
        </w:rPr>
        <w:t>/次</w:t>
      </w:r>
      <w:r>
        <w:rPr>
          <w:rFonts w:hint="eastAsia" w:cs="宋体" w:asciiTheme="majorEastAsia" w:hAnsiTheme="majorEastAsia" w:eastAsiaTheme="majorEastAsia"/>
          <w:snapToGrid w:val="0"/>
          <w:color w:val="auto"/>
          <w:kern w:val="0"/>
          <w:sz w:val="24"/>
          <w:highlight w:val="none"/>
        </w:rPr>
        <w:t>。</w:t>
      </w:r>
    </w:p>
    <w:p>
      <w:pPr>
        <w:tabs>
          <w:tab w:val="left" w:pos="1125"/>
        </w:tabs>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（3）严重违约责任。承包人违反本合同的约定须承担严重违约责任时，发包人从承包人工程款或履约担保中扣减违约金</w:t>
      </w:r>
      <w:r>
        <w:rPr>
          <w:rFonts w:hint="eastAsia" w:cs="宋体" w:asciiTheme="majorEastAsia" w:hAnsiTheme="majorEastAsia" w:eastAsiaTheme="majorEastAsia"/>
          <w:snapToGrid w:val="0"/>
          <w:color w:val="auto"/>
          <w:kern w:val="0"/>
          <w:sz w:val="24"/>
          <w:highlight w:val="none"/>
        </w:rPr>
        <w:t>100000元</w:t>
      </w:r>
      <w:r>
        <w:rPr>
          <w:rFonts w:hint="eastAsia" w:cs="宋体" w:asciiTheme="majorEastAsia" w:hAnsiTheme="majorEastAsia" w:eastAsiaTheme="majorEastAsia"/>
          <w:bCs/>
          <w:snapToGrid w:val="0"/>
          <w:color w:val="auto"/>
          <w:kern w:val="0"/>
          <w:sz w:val="24"/>
          <w:highlight w:val="none"/>
        </w:rPr>
        <w:t>/次。</w:t>
      </w:r>
    </w:p>
    <w:p>
      <w:pPr>
        <w:tabs>
          <w:tab w:val="left" w:pos="1125"/>
        </w:tabs>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4）部分解除合同。当承包人违反本合同的约定符合部分解除合同的条件时，发包人有权向承包人发出书面部分解除合同的通知，该通知在送达承包人时即生效。发包人有权从本合同价款中直接扣除被解除部分工程所需的全部费用，同时，</w:t>
      </w:r>
      <w:r>
        <w:rPr>
          <w:rFonts w:hint="eastAsia" w:cs="宋体" w:asciiTheme="majorEastAsia" w:hAnsiTheme="majorEastAsia" w:eastAsiaTheme="majorEastAsia"/>
          <w:snapToGrid w:val="0"/>
          <w:color w:val="auto"/>
          <w:kern w:val="0"/>
          <w:sz w:val="24"/>
          <w:highlight w:val="none"/>
        </w:rPr>
        <w:t>承包人应在部分解除合同之日起七日内从承包人工程款或履约担保中扣减</w:t>
      </w:r>
      <w:r>
        <w:rPr>
          <w:rFonts w:hint="eastAsia" w:cs="宋体" w:asciiTheme="majorEastAsia" w:hAnsiTheme="majorEastAsia" w:eastAsiaTheme="majorEastAsia"/>
          <w:bCs/>
          <w:snapToGrid w:val="0"/>
          <w:color w:val="auto"/>
          <w:kern w:val="0"/>
          <w:sz w:val="24"/>
          <w:highlight w:val="none"/>
        </w:rPr>
        <w:t>被解除部分工程</w:t>
      </w:r>
      <w:r>
        <w:rPr>
          <w:rFonts w:hint="eastAsia" w:cs="宋体" w:asciiTheme="majorEastAsia" w:hAnsiTheme="majorEastAsia" w:eastAsiaTheme="majorEastAsia"/>
          <w:snapToGrid w:val="0"/>
          <w:color w:val="auto"/>
          <w:kern w:val="0"/>
          <w:sz w:val="24"/>
          <w:highlight w:val="none"/>
        </w:rPr>
        <w:t>合同价款20%的违约金并赔偿发包人的实际损失</w:t>
      </w:r>
      <w:r>
        <w:rPr>
          <w:rFonts w:hint="eastAsia" w:cs="宋体" w:asciiTheme="majorEastAsia" w:hAnsiTheme="majorEastAsia" w:eastAsiaTheme="majorEastAsia"/>
          <w:bCs/>
          <w:snapToGrid w:val="0"/>
          <w:color w:val="auto"/>
          <w:kern w:val="0"/>
          <w:sz w:val="24"/>
          <w:highlight w:val="none"/>
        </w:rPr>
        <w:t>。</w:t>
      </w:r>
    </w:p>
    <w:p>
      <w:pPr>
        <w:tabs>
          <w:tab w:val="left" w:pos="1125"/>
        </w:tabs>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（5）解除合同。当承包人违反本合同的约定符合解除合同的条件时，发包人有权向承包人发出书面解除合同的通知，该通知在送达承包人时即生效，</w:t>
      </w:r>
      <w:r>
        <w:rPr>
          <w:rFonts w:hint="eastAsia" w:cs="宋体" w:asciiTheme="majorEastAsia" w:hAnsiTheme="majorEastAsia" w:eastAsiaTheme="majorEastAsia"/>
          <w:snapToGrid w:val="0"/>
          <w:color w:val="auto"/>
          <w:kern w:val="0"/>
          <w:sz w:val="24"/>
          <w:highlight w:val="none"/>
        </w:rPr>
        <w:t>承包人应在解除合同之日起七日内从承包人工程款或履约担保中扣减本合同价款20%的违约金并赔偿发包人的实际损失</w:t>
      </w:r>
      <w:r>
        <w:rPr>
          <w:rFonts w:hint="eastAsia" w:cs="宋体" w:asciiTheme="majorEastAsia" w:hAnsiTheme="majorEastAsia" w:eastAsiaTheme="majorEastAsia"/>
          <w:bCs/>
          <w:snapToGrid w:val="0"/>
          <w:color w:val="auto"/>
          <w:kern w:val="0"/>
          <w:sz w:val="24"/>
          <w:highlight w:val="none"/>
        </w:rPr>
        <w:t>。</w:t>
      </w:r>
    </w:p>
    <w:p>
      <w:pPr>
        <w:tabs>
          <w:tab w:val="left" w:pos="1125"/>
        </w:tabs>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（6）赔偿损失。因承包人原因造成发包人经济损失的，承包人应赔偿发包人的经济损失。</w:t>
      </w:r>
    </w:p>
    <w:p>
      <w:pPr>
        <w:tabs>
          <w:tab w:val="left" w:pos="1125"/>
        </w:tabs>
        <w:adjustRightInd w:val="0"/>
        <w:snapToGrid w:val="0"/>
        <w:spacing w:line="360" w:lineRule="auto"/>
        <w:ind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38.5在本合同有效期内，承包人累计承担三次严重违约责任的，发包人有权单方面部分或全部解除合同。</w:t>
      </w:r>
    </w:p>
    <w:p>
      <w:pPr>
        <w:tabs>
          <w:tab w:val="left" w:pos="1125"/>
        </w:tabs>
        <w:adjustRightInd w:val="0"/>
        <w:snapToGrid w:val="0"/>
        <w:spacing w:line="360" w:lineRule="auto"/>
        <w:ind w:firstLine="480" w:firstLineChars="200"/>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38.6</w:t>
      </w:r>
      <w:r>
        <w:rPr>
          <w:rFonts w:hint="eastAsia" w:cs="宋体" w:asciiTheme="majorEastAsia" w:hAnsiTheme="majorEastAsia" w:eastAsiaTheme="majorEastAsia"/>
          <w:bCs/>
          <w:snapToGrid w:val="0"/>
          <w:color w:val="auto"/>
          <w:kern w:val="0"/>
          <w:sz w:val="24"/>
          <w:highlight w:val="none"/>
        </w:rPr>
        <w:t>承包人按本合同约定应交纳的违约金和赔偿金，属于合同专用条款第38.10款“工程质量方面的违约责任”、第38.11款“安全生产方面的违约责任”的，发包人有权从应支付给承包人的工程款或履约担保中直接扣除。</w:t>
      </w:r>
    </w:p>
    <w:p>
      <w:pPr>
        <w:adjustRightInd w:val="0"/>
        <w:snapToGrid w:val="0"/>
        <w:spacing w:line="360" w:lineRule="auto"/>
        <w:ind w:right="11" w:firstLine="460" w:firstLineChars="192"/>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属于合同专用条款第38.10款、第38.11款约定以外的其他违约责任的，发包人将根据承包人履行合同的实际情况在工程结算时予以扣除。若相关违约责任非承包人原因引起的，或相关违约责任对合同的履行未造成实质性影响的，或承包人在合同后续履行过程中已采取足够措施来弥补违约责任造成的损失的，由承包人提出申请，经监理单位、发包人批准后，可予以免除</w:t>
      </w:r>
      <w:r>
        <w:rPr>
          <w:rFonts w:hint="eastAsia" w:cs="宋体" w:asciiTheme="majorEastAsia" w:hAnsiTheme="majorEastAsia" w:eastAsiaTheme="majorEastAsia"/>
          <w:snapToGrid w:val="0"/>
          <w:color w:val="auto"/>
          <w:kern w:val="0"/>
          <w:sz w:val="24"/>
          <w:highlight w:val="none"/>
        </w:rPr>
        <w:t>。</w:t>
      </w:r>
    </w:p>
    <w:p>
      <w:pPr>
        <w:adjustRightInd w:val="0"/>
        <w:snapToGrid w:val="0"/>
        <w:spacing w:line="360" w:lineRule="auto"/>
        <w:ind w:right="11" w:firstLine="460" w:firstLineChars="192"/>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38.7工程组织管理方面的违约责任</w:t>
      </w:r>
    </w:p>
    <w:p>
      <w:pPr>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承包人违反合同专用条款总则第2条、第5条及其余条款约定，不服从发包人及监理单位的管理，对发包人、监理单位的指令和书面通知公开或变相拒不执行的，发包人视情节严重程度有权要求其承担1次一般违约责任或者1次严重违约责任，并由承包人承担由此造成的一切经济损失。情节较轻的，可给予书面警告；情节特别严重的，发包人有权单方面部分解除合同或解除合同</w:t>
      </w:r>
      <w:r>
        <w:rPr>
          <w:rFonts w:hint="eastAsia" w:cs="宋体" w:asciiTheme="majorEastAsia" w:hAnsiTheme="majorEastAsia" w:eastAsiaTheme="majorEastAsia"/>
          <w:snapToGrid w:val="0"/>
          <w:color w:val="auto"/>
          <w:kern w:val="0"/>
          <w:sz w:val="24"/>
          <w:highlight w:val="none"/>
        </w:rPr>
        <w:t>。</w:t>
      </w:r>
    </w:p>
    <w:p>
      <w:pPr>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（2）承包人不遵守发包人依据合同专用条款总则第6条约定所制定的各项制度、规定的，由承包人按所触犯制度、规定的有关规定承担违约责任。所触犯制度、规定没有明确规定的，由发包人参照</w:t>
      </w:r>
      <w:r>
        <w:rPr>
          <w:rFonts w:hint="eastAsia" w:cs="宋体" w:asciiTheme="majorEastAsia" w:hAnsiTheme="majorEastAsia" w:eastAsiaTheme="majorEastAsia"/>
          <w:snapToGrid w:val="0"/>
          <w:color w:val="auto"/>
          <w:kern w:val="0"/>
          <w:sz w:val="24"/>
          <w:highlight w:val="none"/>
        </w:rPr>
        <w:t>合同专用条款第38.7（1）款</w:t>
      </w:r>
      <w:r>
        <w:rPr>
          <w:rFonts w:hint="eastAsia" w:cs="宋体" w:asciiTheme="majorEastAsia" w:hAnsiTheme="majorEastAsia" w:eastAsiaTheme="majorEastAsia"/>
          <w:bCs/>
          <w:snapToGrid w:val="0"/>
          <w:color w:val="auto"/>
          <w:kern w:val="0"/>
          <w:sz w:val="24"/>
          <w:highlight w:val="none"/>
        </w:rPr>
        <w:t>的约定处理。</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（3）承包人不按</w:t>
      </w:r>
      <w:r>
        <w:rPr>
          <w:rFonts w:hint="eastAsia" w:cs="宋体" w:asciiTheme="majorEastAsia" w:hAnsiTheme="majorEastAsia" w:eastAsiaTheme="majorEastAsia"/>
          <w:snapToGrid w:val="0"/>
          <w:color w:val="auto"/>
          <w:kern w:val="0"/>
          <w:sz w:val="24"/>
          <w:highlight w:val="none"/>
        </w:rPr>
        <w:t>合同专用条款第7</w:t>
      </w:r>
      <w:r>
        <w:rPr>
          <w:rFonts w:hint="eastAsia" w:cs="宋体" w:asciiTheme="majorEastAsia" w:hAnsiTheme="majorEastAsia" w:eastAsiaTheme="majorEastAsia"/>
          <w:bCs/>
          <w:snapToGrid w:val="0"/>
          <w:color w:val="auto"/>
          <w:kern w:val="0"/>
          <w:sz w:val="24"/>
          <w:highlight w:val="none"/>
        </w:rPr>
        <w:t>条、第9条的有关约定投入</w:t>
      </w:r>
      <w:r>
        <w:rPr>
          <w:rFonts w:hint="eastAsia" w:cs="宋体" w:asciiTheme="majorEastAsia" w:hAnsiTheme="majorEastAsia" w:eastAsiaTheme="majorEastAsia"/>
          <w:snapToGrid w:val="0"/>
          <w:color w:val="auto"/>
          <w:kern w:val="0"/>
          <w:sz w:val="24"/>
          <w:highlight w:val="none"/>
        </w:rPr>
        <w:t>现场组织管理人员、施工作业人员、施工机械设备，或者擅自变更资源投入计划或者擅自对已投入的资源进行调整的，</w:t>
      </w:r>
      <w:r>
        <w:rPr>
          <w:rFonts w:hint="eastAsia" w:cs="宋体" w:asciiTheme="majorEastAsia" w:hAnsiTheme="majorEastAsia" w:eastAsiaTheme="majorEastAsia"/>
          <w:bCs/>
          <w:snapToGrid w:val="0"/>
          <w:color w:val="auto"/>
          <w:kern w:val="0"/>
          <w:sz w:val="24"/>
          <w:highlight w:val="none"/>
        </w:rPr>
        <w:t>承包人必须按照总监理工程师或者发包人的指令限期改正；承包人拒不限期改正的，发包人有权要求其承担1次一般违约责任或者1次严重违约责任。情节较轻的，可给予书面警告；情节特别严重的，发包人有权单方面部分解除合同或解除合同</w:t>
      </w:r>
      <w:r>
        <w:rPr>
          <w:rFonts w:hint="eastAsia" w:cs="宋体" w:asciiTheme="majorEastAsia" w:hAnsiTheme="majorEastAsia" w:eastAsiaTheme="majorEastAsia"/>
          <w:snapToGrid w:val="0"/>
          <w:color w:val="auto"/>
          <w:kern w:val="0"/>
          <w:sz w:val="24"/>
          <w:highlight w:val="none"/>
        </w:rPr>
        <w:t>。因缺勤而被扣除现场组织实施管理费的人员不再给予违约处罚。</w:t>
      </w:r>
    </w:p>
    <w:p>
      <w:pPr>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经发包人或总监理工程师考核，承包人投入的</w:t>
      </w:r>
      <w:r>
        <w:rPr>
          <w:rFonts w:hint="eastAsia" w:cs="宋体" w:asciiTheme="majorEastAsia" w:hAnsiTheme="majorEastAsia" w:eastAsiaTheme="majorEastAsia"/>
          <w:snapToGrid w:val="0"/>
          <w:color w:val="auto"/>
          <w:kern w:val="0"/>
          <w:sz w:val="24"/>
          <w:highlight w:val="none"/>
        </w:rPr>
        <w:t>现场组织</w:t>
      </w:r>
      <w:r>
        <w:rPr>
          <w:rFonts w:hint="eastAsia" w:cs="宋体" w:asciiTheme="majorEastAsia" w:hAnsiTheme="majorEastAsia" w:eastAsiaTheme="majorEastAsia"/>
          <w:bCs/>
          <w:snapToGrid w:val="0"/>
          <w:color w:val="auto"/>
          <w:kern w:val="0"/>
          <w:sz w:val="24"/>
          <w:highlight w:val="none"/>
        </w:rPr>
        <w:t>管理人员不能满足本工程建设要求的，承包人必须无条件按发包人的要求更换，直至满足本工程建设要求为止。而且，不能满足本工程建设要求的</w:t>
      </w:r>
      <w:r>
        <w:rPr>
          <w:rFonts w:hint="eastAsia" w:cs="宋体" w:asciiTheme="majorEastAsia" w:hAnsiTheme="majorEastAsia" w:eastAsiaTheme="majorEastAsia"/>
          <w:snapToGrid w:val="0"/>
          <w:color w:val="auto"/>
          <w:kern w:val="0"/>
          <w:sz w:val="24"/>
          <w:highlight w:val="none"/>
        </w:rPr>
        <w:t>现场组织</w:t>
      </w:r>
      <w:r>
        <w:rPr>
          <w:rFonts w:hint="eastAsia" w:cs="宋体" w:asciiTheme="majorEastAsia" w:hAnsiTheme="majorEastAsia" w:eastAsiaTheme="majorEastAsia"/>
          <w:bCs/>
          <w:snapToGrid w:val="0"/>
          <w:color w:val="auto"/>
          <w:kern w:val="0"/>
          <w:sz w:val="24"/>
          <w:highlight w:val="none"/>
        </w:rPr>
        <w:t>管理人员按缺勤处理。</w:t>
      </w:r>
    </w:p>
    <w:p>
      <w:pPr>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因特殊情况需要，承包人确需更换项目经理、项目总工程师或现场管理机构主要部门负责人等项目主要人员的，承包人应至少提前7天以书面形式向监理单位提出意向（附前任和后任人员的详细履历资料）。</w:t>
      </w:r>
    </w:p>
    <w:p>
      <w:pPr>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如承包人违背投标承诺，私自更改投标承诺，除按上述约定承担违约责任之外，还应同时</w:t>
      </w:r>
      <w:r>
        <w:rPr>
          <w:rFonts w:hint="eastAsia" w:cs="宋体" w:asciiTheme="majorEastAsia" w:hAnsiTheme="majorEastAsia" w:eastAsiaTheme="majorEastAsia"/>
          <w:bCs/>
          <w:snapToGrid w:val="0"/>
          <w:color w:val="auto"/>
          <w:kern w:val="0"/>
          <w:sz w:val="24"/>
          <w:highlight w:val="none"/>
        </w:rPr>
        <w:t>无条件按下表约定的金额从承包人工程款或履约担保中扣减违约金：</w:t>
      </w:r>
    </w:p>
    <w:tbl>
      <w:tblPr>
        <w:tblStyle w:val="40"/>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46"/>
        <w:gridCol w:w="3184"/>
        <w:gridCol w:w="2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46" w:type="dxa"/>
            <w:vAlign w:val="center"/>
          </w:tcPr>
          <w:p>
            <w:pPr>
              <w:adjustRightInd w:val="0"/>
              <w:snapToGrid w:val="0"/>
              <w:spacing w:line="360" w:lineRule="auto"/>
              <w:jc w:val="center"/>
              <w:rPr>
                <w:rFonts w:cs="宋体" w:asciiTheme="majorEastAsia" w:hAnsiTheme="majorEastAsia" w:eastAsiaTheme="majorEastAsia"/>
                <w:snapToGrid w:val="0"/>
                <w:color w:val="auto"/>
                <w:kern w:val="0"/>
                <w:szCs w:val="21"/>
                <w:highlight w:val="none"/>
              </w:rPr>
            </w:pPr>
            <w:r>
              <w:rPr>
                <w:rFonts w:hint="eastAsia" w:cs="宋体" w:asciiTheme="majorEastAsia" w:hAnsiTheme="majorEastAsia" w:eastAsiaTheme="majorEastAsia"/>
                <w:snapToGrid w:val="0"/>
                <w:color w:val="auto"/>
                <w:kern w:val="0"/>
                <w:szCs w:val="21"/>
                <w:highlight w:val="none"/>
              </w:rPr>
              <w:t>序号</w:t>
            </w:r>
          </w:p>
        </w:tc>
        <w:tc>
          <w:tcPr>
            <w:tcW w:w="2246" w:type="dxa"/>
            <w:vAlign w:val="center"/>
          </w:tcPr>
          <w:p>
            <w:pPr>
              <w:adjustRightInd w:val="0"/>
              <w:snapToGrid w:val="0"/>
              <w:spacing w:line="360" w:lineRule="auto"/>
              <w:jc w:val="center"/>
              <w:rPr>
                <w:rFonts w:cs="宋体" w:asciiTheme="majorEastAsia" w:hAnsiTheme="majorEastAsia" w:eastAsiaTheme="majorEastAsia"/>
                <w:snapToGrid w:val="0"/>
                <w:color w:val="auto"/>
                <w:kern w:val="0"/>
                <w:szCs w:val="21"/>
                <w:highlight w:val="none"/>
              </w:rPr>
            </w:pPr>
            <w:r>
              <w:rPr>
                <w:rFonts w:hint="eastAsia" w:cs="宋体" w:asciiTheme="majorEastAsia" w:hAnsiTheme="majorEastAsia" w:eastAsiaTheme="majorEastAsia"/>
                <w:snapToGrid w:val="0"/>
                <w:color w:val="auto"/>
                <w:kern w:val="0"/>
                <w:szCs w:val="21"/>
                <w:highlight w:val="none"/>
              </w:rPr>
              <w:t>承诺项目</w:t>
            </w:r>
          </w:p>
        </w:tc>
        <w:tc>
          <w:tcPr>
            <w:tcW w:w="3184" w:type="dxa"/>
            <w:vAlign w:val="center"/>
          </w:tcPr>
          <w:p>
            <w:pPr>
              <w:adjustRightInd w:val="0"/>
              <w:snapToGrid w:val="0"/>
              <w:spacing w:line="360" w:lineRule="auto"/>
              <w:jc w:val="center"/>
              <w:rPr>
                <w:rFonts w:cs="宋体" w:asciiTheme="majorEastAsia" w:hAnsiTheme="majorEastAsia" w:eastAsiaTheme="majorEastAsia"/>
                <w:snapToGrid w:val="0"/>
                <w:color w:val="auto"/>
                <w:kern w:val="0"/>
                <w:szCs w:val="21"/>
                <w:highlight w:val="none"/>
              </w:rPr>
            </w:pPr>
            <w:r>
              <w:rPr>
                <w:rFonts w:hint="eastAsia" w:cs="宋体" w:asciiTheme="majorEastAsia" w:hAnsiTheme="majorEastAsia" w:eastAsiaTheme="majorEastAsia"/>
                <w:snapToGrid w:val="0"/>
                <w:color w:val="auto"/>
                <w:kern w:val="0"/>
                <w:szCs w:val="21"/>
                <w:highlight w:val="none"/>
              </w:rPr>
              <w:t>违约说明</w:t>
            </w:r>
          </w:p>
        </w:tc>
        <w:tc>
          <w:tcPr>
            <w:tcW w:w="2931" w:type="dxa"/>
            <w:vAlign w:val="center"/>
          </w:tcPr>
          <w:p>
            <w:pPr>
              <w:adjustRightInd w:val="0"/>
              <w:snapToGrid w:val="0"/>
              <w:spacing w:line="360" w:lineRule="auto"/>
              <w:jc w:val="center"/>
              <w:rPr>
                <w:rFonts w:cs="宋体" w:asciiTheme="majorEastAsia" w:hAnsiTheme="majorEastAsia" w:eastAsiaTheme="majorEastAsia"/>
                <w:snapToGrid w:val="0"/>
                <w:color w:val="auto"/>
                <w:kern w:val="0"/>
                <w:szCs w:val="21"/>
                <w:highlight w:val="none"/>
              </w:rPr>
            </w:pPr>
            <w:r>
              <w:rPr>
                <w:rFonts w:hint="eastAsia" w:cs="宋体" w:asciiTheme="majorEastAsia" w:hAnsiTheme="majorEastAsia" w:eastAsiaTheme="majorEastAsia"/>
                <w:snapToGrid w:val="0"/>
                <w:color w:val="auto"/>
                <w:kern w:val="0"/>
                <w:szCs w:val="21"/>
                <w:highlight w:val="none"/>
              </w:rPr>
              <w:t>承包人承诺的违约金额（元）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6" w:type="dxa"/>
            <w:vMerge w:val="restart"/>
            <w:vAlign w:val="center"/>
          </w:tcPr>
          <w:p>
            <w:pPr>
              <w:adjustRightInd w:val="0"/>
              <w:snapToGrid w:val="0"/>
              <w:spacing w:line="360" w:lineRule="auto"/>
              <w:jc w:val="center"/>
              <w:rPr>
                <w:rFonts w:cs="宋体" w:asciiTheme="majorEastAsia" w:hAnsiTheme="majorEastAsia" w:eastAsiaTheme="majorEastAsia"/>
                <w:snapToGrid w:val="0"/>
                <w:color w:val="auto"/>
                <w:kern w:val="0"/>
                <w:szCs w:val="21"/>
                <w:highlight w:val="none"/>
              </w:rPr>
            </w:pPr>
            <w:r>
              <w:rPr>
                <w:rFonts w:hint="eastAsia" w:cs="宋体" w:asciiTheme="majorEastAsia" w:hAnsiTheme="majorEastAsia" w:eastAsiaTheme="majorEastAsia"/>
                <w:snapToGrid w:val="0"/>
                <w:color w:val="auto"/>
                <w:kern w:val="0"/>
                <w:szCs w:val="21"/>
                <w:highlight w:val="none"/>
              </w:rPr>
              <w:t>1</w:t>
            </w:r>
          </w:p>
        </w:tc>
        <w:tc>
          <w:tcPr>
            <w:tcW w:w="2246" w:type="dxa"/>
            <w:vMerge w:val="restart"/>
            <w:vAlign w:val="center"/>
          </w:tcPr>
          <w:p>
            <w:pPr>
              <w:adjustRightInd w:val="0"/>
              <w:snapToGrid w:val="0"/>
              <w:spacing w:line="360" w:lineRule="auto"/>
              <w:jc w:val="center"/>
              <w:rPr>
                <w:rFonts w:cs="宋体" w:asciiTheme="majorEastAsia" w:hAnsiTheme="majorEastAsia" w:eastAsiaTheme="majorEastAsia"/>
                <w:snapToGrid w:val="0"/>
                <w:color w:val="auto"/>
                <w:kern w:val="0"/>
                <w:szCs w:val="21"/>
                <w:highlight w:val="none"/>
              </w:rPr>
            </w:pPr>
            <w:r>
              <w:rPr>
                <w:rFonts w:hint="eastAsia" w:cs="宋体" w:asciiTheme="majorEastAsia" w:hAnsiTheme="majorEastAsia" w:eastAsiaTheme="majorEastAsia"/>
                <w:snapToGrid w:val="0"/>
                <w:color w:val="auto"/>
                <w:kern w:val="0"/>
                <w:szCs w:val="21"/>
                <w:highlight w:val="none"/>
              </w:rPr>
              <w:t>施工项目部</w:t>
            </w:r>
          </w:p>
        </w:tc>
        <w:tc>
          <w:tcPr>
            <w:tcW w:w="3184" w:type="dxa"/>
            <w:vAlign w:val="center"/>
          </w:tcPr>
          <w:p>
            <w:pPr>
              <w:adjustRightInd w:val="0"/>
              <w:snapToGrid w:val="0"/>
              <w:spacing w:line="360" w:lineRule="auto"/>
              <w:jc w:val="center"/>
              <w:rPr>
                <w:rFonts w:cs="宋体" w:asciiTheme="majorEastAsia" w:hAnsiTheme="majorEastAsia" w:eastAsiaTheme="majorEastAsia"/>
                <w:snapToGrid w:val="0"/>
                <w:color w:val="auto"/>
                <w:kern w:val="0"/>
                <w:szCs w:val="21"/>
                <w:highlight w:val="none"/>
              </w:rPr>
            </w:pPr>
            <w:r>
              <w:rPr>
                <w:rFonts w:hint="eastAsia" w:cs="宋体" w:asciiTheme="majorEastAsia" w:hAnsiTheme="majorEastAsia" w:eastAsiaTheme="majorEastAsia"/>
                <w:snapToGrid w:val="0"/>
                <w:color w:val="auto"/>
                <w:kern w:val="0"/>
                <w:szCs w:val="21"/>
                <w:highlight w:val="none"/>
              </w:rPr>
              <w:t>更换项目经理</w:t>
            </w:r>
          </w:p>
        </w:tc>
        <w:tc>
          <w:tcPr>
            <w:tcW w:w="2931" w:type="dxa"/>
            <w:vAlign w:val="center"/>
          </w:tcPr>
          <w:p>
            <w:pPr>
              <w:adjustRightInd w:val="0"/>
              <w:snapToGrid w:val="0"/>
              <w:spacing w:line="360" w:lineRule="auto"/>
              <w:jc w:val="center"/>
              <w:rPr>
                <w:rFonts w:cs="宋体" w:asciiTheme="majorEastAsia" w:hAnsiTheme="majorEastAsia" w:eastAsiaTheme="majorEastAsia"/>
                <w:snapToGrid w:val="0"/>
                <w:color w:val="auto"/>
                <w:kern w:val="0"/>
                <w:szCs w:val="21"/>
                <w:highlight w:val="none"/>
              </w:rPr>
            </w:pPr>
            <w:r>
              <w:rPr>
                <w:rFonts w:hint="eastAsia" w:cs="宋体" w:asciiTheme="majorEastAsia" w:hAnsiTheme="majorEastAsia" w:eastAsiaTheme="majorEastAsia"/>
                <w:snapToGrid w:val="0"/>
                <w:color w:val="auto"/>
                <w:kern w:val="0"/>
                <w:szCs w:val="21"/>
                <w:highlight w:val="none"/>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6" w:type="dxa"/>
            <w:vMerge w:val="continue"/>
            <w:vAlign w:val="center"/>
          </w:tcPr>
          <w:p>
            <w:pPr>
              <w:adjustRightInd w:val="0"/>
              <w:snapToGrid w:val="0"/>
              <w:spacing w:line="360" w:lineRule="auto"/>
              <w:jc w:val="center"/>
              <w:rPr>
                <w:rFonts w:cs="宋体" w:asciiTheme="majorEastAsia" w:hAnsiTheme="majorEastAsia" w:eastAsiaTheme="majorEastAsia"/>
                <w:snapToGrid w:val="0"/>
                <w:color w:val="auto"/>
                <w:kern w:val="0"/>
                <w:szCs w:val="21"/>
                <w:highlight w:val="none"/>
              </w:rPr>
            </w:pPr>
          </w:p>
        </w:tc>
        <w:tc>
          <w:tcPr>
            <w:tcW w:w="2246" w:type="dxa"/>
            <w:vMerge w:val="continue"/>
            <w:vAlign w:val="center"/>
          </w:tcPr>
          <w:p>
            <w:pPr>
              <w:adjustRightInd w:val="0"/>
              <w:snapToGrid w:val="0"/>
              <w:spacing w:line="360" w:lineRule="auto"/>
              <w:jc w:val="center"/>
              <w:rPr>
                <w:rFonts w:cs="宋体" w:asciiTheme="majorEastAsia" w:hAnsiTheme="majorEastAsia" w:eastAsiaTheme="majorEastAsia"/>
                <w:snapToGrid w:val="0"/>
                <w:color w:val="auto"/>
                <w:kern w:val="0"/>
                <w:szCs w:val="21"/>
                <w:highlight w:val="none"/>
              </w:rPr>
            </w:pPr>
          </w:p>
        </w:tc>
        <w:tc>
          <w:tcPr>
            <w:tcW w:w="3184" w:type="dxa"/>
            <w:vAlign w:val="center"/>
          </w:tcPr>
          <w:p>
            <w:pPr>
              <w:adjustRightInd w:val="0"/>
              <w:snapToGrid w:val="0"/>
              <w:spacing w:line="360" w:lineRule="auto"/>
              <w:jc w:val="center"/>
              <w:rPr>
                <w:rFonts w:cs="宋体" w:asciiTheme="majorEastAsia" w:hAnsiTheme="majorEastAsia" w:eastAsiaTheme="majorEastAsia"/>
                <w:snapToGrid w:val="0"/>
                <w:color w:val="auto"/>
                <w:kern w:val="0"/>
                <w:szCs w:val="21"/>
                <w:highlight w:val="none"/>
              </w:rPr>
            </w:pPr>
            <w:r>
              <w:rPr>
                <w:rFonts w:hint="eastAsia" w:cs="宋体" w:asciiTheme="majorEastAsia" w:hAnsiTheme="majorEastAsia" w:eastAsiaTheme="majorEastAsia"/>
                <w:snapToGrid w:val="0"/>
                <w:color w:val="auto"/>
                <w:kern w:val="0"/>
                <w:szCs w:val="21"/>
                <w:highlight w:val="none"/>
              </w:rPr>
              <w:t>更换项目副经理或技术负责人</w:t>
            </w:r>
          </w:p>
        </w:tc>
        <w:tc>
          <w:tcPr>
            <w:tcW w:w="2931" w:type="dxa"/>
            <w:vAlign w:val="center"/>
          </w:tcPr>
          <w:p>
            <w:pPr>
              <w:adjustRightInd w:val="0"/>
              <w:snapToGrid w:val="0"/>
              <w:spacing w:line="360" w:lineRule="auto"/>
              <w:jc w:val="center"/>
              <w:rPr>
                <w:rFonts w:cs="宋体" w:asciiTheme="majorEastAsia" w:hAnsiTheme="majorEastAsia" w:eastAsiaTheme="majorEastAsia"/>
                <w:snapToGrid w:val="0"/>
                <w:color w:val="auto"/>
                <w:kern w:val="0"/>
                <w:szCs w:val="21"/>
                <w:highlight w:val="none"/>
              </w:rPr>
            </w:pPr>
            <w:r>
              <w:rPr>
                <w:rFonts w:hint="eastAsia" w:cs="宋体" w:asciiTheme="majorEastAsia" w:hAnsiTheme="majorEastAsia" w:eastAsiaTheme="majorEastAsia"/>
                <w:snapToGrid w:val="0"/>
                <w:color w:val="auto"/>
                <w:kern w:val="0"/>
                <w:szCs w:val="21"/>
                <w:highlight w:val="none"/>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6" w:type="dxa"/>
            <w:vMerge w:val="continue"/>
            <w:vAlign w:val="center"/>
          </w:tcPr>
          <w:p>
            <w:pPr>
              <w:adjustRightInd w:val="0"/>
              <w:snapToGrid w:val="0"/>
              <w:spacing w:line="360" w:lineRule="auto"/>
              <w:jc w:val="center"/>
              <w:rPr>
                <w:rFonts w:cs="宋体" w:asciiTheme="majorEastAsia" w:hAnsiTheme="majorEastAsia" w:eastAsiaTheme="majorEastAsia"/>
                <w:snapToGrid w:val="0"/>
                <w:color w:val="auto"/>
                <w:kern w:val="0"/>
                <w:szCs w:val="21"/>
                <w:highlight w:val="none"/>
              </w:rPr>
            </w:pPr>
          </w:p>
        </w:tc>
        <w:tc>
          <w:tcPr>
            <w:tcW w:w="2246" w:type="dxa"/>
            <w:vMerge w:val="continue"/>
            <w:vAlign w:val="center"/>
          </w:tcPr>
          <w:p>
            <w:pPr>
              <w:adjustRightInd w:val="0"/>
              <w:snapToGrid w:val="0"/>
              <w:spacing w:line="360" w:lineRule="auto"/>
              <w:jc w:val="center"/>
              <w:rPr>
                <w:rFonts w:cs="宋体" w:asciiTheme="majorEastAsia" w:hAnsiTheme="majorEastAsia" w:eastAsiaTheme="majorEastAsia"/>
                <w:snapToGrid w:val="0"/>
                <w:color w:val="auto"/>
                <w:kern w:val="0"/>
                <w:szCs w:val="21"/>
                <w:highlight w:val="none"/>
              </w:rPr>
            </w:pPr>
          </w:p>
        </w:tc>
        <w:tc>
          <w:tcPr>
            <w:tcW w:w="3184" w:type="dxa"/>
            <w:vAlign w:val="center"/>
          </w:tcPr>
          <w:p>
            <w:pPr>
              <w:adjustRightInd w:val="0"/>
              <w:snapToGrid w:val="0"/>
              <w:spacing w:line="360" w:lineRule="auto"/>
              <w:jc w:val="center"/>
              <w:rPr>
                <w:rFonts w:cs="宋体" w:asciiTheme="majorEastAsia" w:hAnsiTheme="majorEastAsia" w:eastAsiaTheme="majorEastAsia"/>
                <w:snapToGrid w:val="0"/>
                <w:color w:val="auto"/>
                <w:kern w:val="0"/>
                <w:szCs w:val="21"/>
                <w:highlight w:val="none"/>
              </w:rPr>
            </w:pPr>
            <w:r>
              <w:rPr>
                <w:rFonts w:hint="eastAsia" w:cs="宋体" w:asciiTheme="majorEastAsia" w:hAnsiTheme="majorEastAsia" w:eastAsiaTheme="majorEastAsia"/>
                <w:snapToGrid w:val="0"/>
                <w:color w:val="auto"/>
                <w:kern w:val="0"/>
                <w:szCs w:val="21"/>
                <w:highlight w:val="none"/>
              </w:rPr>
              <w:t>更换专职安全员、测量工程师、质检、造价管理或其他主要人员</w:t>
            </w:r>
          </w:p>
        </w:tc>
        <w:tc>
          <w:tcPr>
            <w:tcW w:w="2931" w:type="dxa"/>
            <w:vAlign w:val="center"/>
          </w:tcPr>
          <w:p>
            <w:pPr>
              <w:adjustRightInd w:val="0"/>
              <w:snapToGrid w:val="0"/>
              <w:spacing w:line="360" w:lineRule="auto"/>
              <w:jc w:val="center"/>
              <w:rPr>
                <w:rFonts w:cs="宋体" w:asciiTheme="majorEastAsia" w:hAnsiTheme="majorEastAsia" w:eastAsiaTheme="majorEastAsia"/>
                <w:snapToGrid w:val="0"/>
                <w:color w:val="auto"/>
                <w:kern w:val="0"/>
                <w:szCs w:val="21"/>
                <w:highlight w:val="none"/>
              </w:rPr>
            </w:pPr>
            <w:r>
              <w:rPr>
                <w:rFonts w:hint="eastAsia" w:cs="宋体" w:asciiTheme="majorEastAsia" w:hAnsiTheme="majorEastAsia" w:eastAsiaTheme="majorEastAsia"/>
                <w:snapToGrid w:val="0"/>
                <w:color w:val="auto"/>
                <w:kern w:val="0"/>
                <w:szCs w:val="21"/>
                <w:highlight w:val="none"/>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djustRightInd w:val="0"/>
              <w:snapToGrid w:val="0"/>
              <w:spacing w:line="360" w:lineRule="auto"/>
              <w:jc w:val="center"/>
              <w:rPr>
                <w:rFonts w:cs="宋体" w:asciiTheme="majorEastAsia" w:hAnsiTheme="majorEastAsia" w:eastAsiaTheme="majorEastAsia"/>
                <w:snapToGrid w:val="0"/>
                <w:color w:val="auto"/>
                <w:kern w:val="0"/>
                <w:szCs w:val="21"/>
                <w:highlight w:val="none"/>
              </w:rPr>
            </w:pPr>
            <w:r>
              <w:rPr>
                <w:rFonts w:hint="eastAsia" w:cs="宋体" w:asciiTheme="majorEastAsia" w:hAnsiTheme="majorEastAsia" w:eastAsiaTheme="majorEastAsia"/>
                <w:snapToGrid w:val="0"/>
                <w:color w:val="auto"/>
                <w:kern w:val="0"/>
                <w:szCs w:val="21"/>
                <w:highlight w:val="none"/>
              </w:rPr>
              <w:t>2</w:t>
            </w:r>
          </w:p>
        </w:tc>
        <w:tc>
          <w:tcPr>
            <w:tcW w:w="2246" w:type="dxa"/>
            <w:vAlign w:val="center"/>
          </w:tcPr>
          <w:p>
            <w:pPr>
              <w:adjustRightInd w:val="0"/>
              <w:snapToGrid w:val="0"/>
              <w:spacing w:line="360" w:lineRule="auto"/>
              <w:jc w:val="center"/>
              <w:rPr>
                <w:rFonts w:cs="宋体" w:asciiTheme="majorEastAsia" w:hAnsiTheme="majorEastAsia" w:eastAsiaTheme="majorEastAsia"/>
                <w:snapToGrid w:val="0"/>
                <w:color w:val="auto"/>
                <w:kern w:val="0"/>
                <w:szCs w:val="21"/>
                <w:highlight w:val="none"/>
              </w:rPr>
            </w:pPr>
            <w:r>
              <w:rPr>
                <w:rFonts w:hint="eastAsia" w:cs="宋体" w:asciiTheme="majorEastAsia" w:hAnsiTheme="majorEastAsia" w:eastAsiaTheme="majorEastAsia"/>
                <w:snapToGrid w:val="0"/>
                <w:color w:val="auto"/>
                <w:kern w:val="0"/>
                <w:szCs w:val="21"/>
                <w:highlight w:val="none"/>
              </w:rPr>
              <w:t>各阶段投入劳动力</w:t>
            </w:r>
          </w:p>
        </w:tc>
        <w:tc>
          <w:tcPr>
            <w:tcW w:w="3184" w:type="dxa"/>
            <w:vAlign w:val="center"/>
          </w:tcPr>
          <w:p>
            <w:pPr>
              <w:adjustRightInd w:val="0"/>
              <w:snapToGrid w:val="0"/>
              <w:spacing w:line="360" w:lineRule="auto"/>
              <w:jc w:val="center"/>
              <w:rPr>
                <w:rFonts w:cs="宋体" w:asciiTheme="majorEastAsia" w:hAnsiTheme="majorEastAsia" w:eastAsiaTheme="majorEastAsia"/>
                <w:snapToGrid w:val="0"/>
                <w:color w:val="auto"/>
                <w:kern w:val="0"/>
                <w:szCs w:val="21"/>
                <w:highlight w:val="none"/>
              </w:rPr>
            </w:pPr>
            <w:r>
              <w:rPr>
                <w:rFonts w:hint="eastAsia" w:cs="宋体" w:asciiTheme="majorEastAsia" w:hAnsiTheme="majorEastAsia" w:eastAsiaTheme="majorEastAsia"/>
                <w:snapToGrid w:val="0"/>
                <w:color w:val="auto"/>
                <w:kern w:val="0"/>
                <w:szCs w:val="21"/>
                <w:highlight w:val="none"/>
              </w:rPr>
              <w:t>每少1人</w:t>
            </w:r>
          </w:p>
        </w:tc>
        <w:tc>
          <w:tcPr>
            <w:tcW w:w="2931" w:type="dxa"/>
            <w:vAlign w:val="center"/>
          </w:tcPr>
          <w:p>
            <w:pPr>
              <w:adjustRightInd w:val="0"/>
              <w:snapToGrid w:val="0"/>
              <w:spacing w:line="360" w:lineRule="auto"/>
              <w:jc w:val="center"/>
              <w:rPr>
                <w:rFonts w:cs="宋体" w:asciiTheme="majorEastAsia" w:hAnsiTheme="majorEastAsia" w:eastAsiaTheme="majorEastAsia"/>
                <w:snapToGrid w:val="0"/>
                <w:color w:val="auto"/>
                <w:kern w:val="0"/>
                <w:szCs w:val="21"/>
                <w:highlight w:val="none"/>
              </w:rPr>
            </w:pPr>
            <w:r>
              <w:rPr>
                <w:rFonts w:hint="eastAsia" w:cs="宋体" w:asciiTheme="majorEastAsia" w:hAnsiTheme="majorEastAsia" w:eastAsiaTheme="majorEastAsia"/>
                <w:snapToGrid w:val="0"/>
                <w:color w:val="auto"/>
                <w:kern w:val="0"/>
                <w:szCs w:val="21"/>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djustRightInd w:val="0"/>
              <w:snapToGrid w:val="0"/>
              <w:spacing w:line="360" w:lineRule="auto"/>
              <w:jc w:val="center"/>
              <w:rPr>
                <w:rFonts w:cs="宋体" w:asciiTheme="majorEastAsia" w:hAnsiTheme="majorEastAsia" w:eastAsiaTheme="majorEastAsia"/>
                <w:snapToGrid w:val="0"/>
                <w:color w:val="auto"/>
                <w:kern w:val="0"/>
                <w:szCs w:val="21"/>
                <w:highlight w:val="none"/>
              </w:rPr>
            </w:pPr>
            <w:r>
              <w:rPr>
                <w:rFonts w:hint="eastAsia" w:cs="宋体" w:asciiTheme="majorEastAsia" w:hAnsiTheme="majorEastAsia" w:eastAsiaTheme="majorEastAsia"/>
                <w:snapToGrid w:val="0"/>
                <w:color w:val="auto"/>
                <w:kern w:val="0"/>
                <w:szCs w:val="21"/>
                <w:highlight w:val="none"/>
              </w:rPr>
              <w:t>3</w:t>
            </w:r>
          </w:p>
        </w:tc>
        <w:tc>
          <w:tcPr>
            <w:tcW w:w="2246" w:type="dxa"/>
            <w:vAlign w:val="center"/>
          </w:tcPr>
          <w:p>
            <w:pPr>
              <w:adjustRightInd w:val="0"/>
              <w:snapToGrid w:val="0"/>
              <w:spacing w:line="360" w:lineRule="auto"/>
              <w:jc w:val="center"/>
              <w:rPr>
                <w:rFonts w:cs="宋体" w:asciiTheme="majorEastAsia" w:hAnsiTheme="majorEastAsia" w:eastAsiaTheme="majorEastAsia"/>
                <w:snapToGrid w:val="0"/>
                <w:color w:val="auto"/>
                <w:kern w:val="0"/>
                <w:szCs w:val="21"/>
                <w:highlight w:val="none"/>
              </w:rPr>
            </w:pPr>
            <w:r>
              <w:rPr>
                <w:rFonts w:hint="eastAsia" w:cs="宋体" w:asciiTheme="majorEastAsia" w:hAnsiTheme="majorEastAsia" w:eastAsiaTheme="majorEastAsia"/>
                <w:snapToGrid w:val="0"/>
                <w:color w:val="auto"/>
                <w:kern w:val="0"/>
                <w:szCs w:val="21"/>
                <w:highlight w:val="none"/>
              </w:rPr>
              <w:t>各阶段投入主要材料</w:t>
            </w:r>
          </w:p>
        </w:tc>
        <w:tc>
          <w:tcPr>
            <w:tcW w:w="3184" w:type="dxa"/>
            <w:vAlign w:val="center"/>
          </w:tcPr>
          <w:p>
            <w:pPr>
              <w:adjustRightInd w:val="0"/>
              <w:snapToGrid w:val="0"/>
              <w:spacing w:line="360" w:lineRule="auto"/>
              <w:jc w:val="center"/>
              <w:rPr>
                <w:rFonts w:cs="宋体" w:asciiTheme="majorEastAsia" w:hAnsiTheme="majorEastAsia" w:eastAsiaTheme="majorEastAsia"/>
                <w:snapToGrid w:val="0"/>
                <w:color w:val="auto"/>
                <w:kern w:val="0"/>
                <w:szCs w:val="21"/>
                <w:highlight w:val="none"/>
              </w:rPr>
            </w:pPr>
            <w:r>
              <w:rPr>
                <w:rFonts w:hint="eastAsia" w:cs="宋体" w:asciiTheme="majorEastAsia" w:hAnsiTheme="majorEastAsia" w:eastAsiaTheme="majorEastAsia"/>
                <w:snapToGrid w:val="0"/>
                <w:color w:val="auto"/>
                <w:kern w:val="0"/>
                <w:szCs w:val="21"/>
                <w:highlight w:val="none"/>
              </w:rPr>
              <w:t>没有按发包人审定的总控或阶段计划投入，每少10%</w:t>
            </w:r>
          </w:p>
        </w:tc>
        <w:tc>
          <w:tcPr>
            <w:tcW w:w="2931" w:type="dxa"/>
            <w:vAlign w:val="center"/>
          </w:tcPr>
          <w:p>
            <w:pPr>
              <w:adjustRightInd w:val="0"/>
              <w:snapToGrid w:val="0"/>
              <w:spacing w:line="360" w:lineRule="auto"/>
              <w:jc w:val="center"/>
              <w:rPr>
                <w:rFonts w:cs="宋体" w:asciiTheme="majorEastAsia" w:hAnsiTheme="majorEastAsia" w:eastAsiaTheme="majorEastAsia"/>
                <w:snapToGrid w:val="0"/>
                <w:color w:val="auto"/>
                <w:kern w:val="0"/>
                <w:szCs w:val="21"/>
                <w:highlight w:val="none"/>
              </w:rPr>
            </w:pPr>
            <w:r>
              <w:rPr>
                <w:rFonts w:hint="eastAsia" w:cs="宋体" w:asciiTheme="majorEastAsia" w:hAnsiTheme="majorEastAsia" w:eastAsiaTheme="majorEastAsia"/>
                <w:snapToGrid w:val="0"/>
                <w:color w:val="auto"/>
                <w:kern w:val="0"/>
                <w:szCs w:val="21"/>
                <w:highlight w:val="none"/>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6" w:type="dxa"/>
            <w:vMerge w:val="restart"/>
            <w:vAlign w:val="center"/>
          </w:tcPr>
          <w:p>
            <w:pPr>
              <w:adjustRightInd w:val="0"/>
              <w:snapToGrid w:val="0"/>
              <w:spacing w:line="360" w:lineRule="auto"/>
              <w:jc w:val="center"/>
              <w:rPr>
                <w:rFonts w:cs="宋体" w:asciiTheme="majorEastAsia" w:hAnsiTheme="majorEastAsia" w:eastAsiaTheme="majorEastAsia"/>
                <w:snapToGrid w:val="0"/>
                <w:color w:val="auto"/>
                <w:kern w:val="0"/>
                <w:szCs w:val="21"/>
                <w:highlight w:val="none"/>
              </w:rPr>
            </w:pPr>
            <w:r>
              <w:rPr>
                <w:rFonts w:hint="eastAsia" w:cs="宋体" w:asciiTheme="majorEastAsia" w:hAnsiTheme="majorEastAsia" w:eastAsiaTheme="majorEastAsia"/>
                <w:snapToGrid w:val="0"/>
                <w:color w:val="auto"/>
                <w:kern w:val="0"/>
                <w:szCs w:val="21"/>
                <w:highlight w:val="none"/>
              </w:rPr>
              <w:t>4</w:t>
            </w:r>
          </w:p>
        </w:tc>
        <w:tc>
          <w:tcPr>
            <w:tcW w:w="2246" w:type="dxa"/>
            <w:vMerge w:val="restart"/>
            <w:vAlign w:val="center"/>
          </w:tcPr>
          <w:p>
            <w:pPr>
              <w:adjustRightInd w:val="0"/>
              <w:snapToGrid w:val="0"/>
              <w:spacing w:line="360" w:lineRule="auto"/>
              <w:jc w:val="center"/>
              <w:rPr>
                <w:rFonts w:cs="宋体" w:asciiTheme="majorEastAsia" w:hAnsiTheme="majorEastAsia" w:eastAsiaTheme="majorEastAsia"/>
                <w:snapToGrid w:val="0"/>
                <w:color w:val="auto"/>
                <w:kern w:val="0"/>
                <w:szCs w:val="21"/>
                <w:highlight w:val="none"/>
              </w:rPr>
            </w:pPr>
            <w:r>
              <w:rPr>
                <w:rFonts w:hint="eastAsia" w:cs="宋体" w:asciiTheme="majorEastAsia" w:hAnsiTheme="majorEastAsia" w:eastAsiaTheme="majorEastAsia"/>
                <w:snapToGrid w:val="0"/>
                <w:color w:val="auto"/>
                <w:kern w:val="0"/>
                <w:szCs w:val="21"/>
                <w:highlight w:val="none"/>
              </w:rPr>
              <w:t>各阶段投入施工设备</w:t>
            </w:r>
          </w:p>
        </w:tc>
        <w:tc>
          <w:tcPr>
            <w:tcW w:w="3184" w:type="dxa"/>
            <w:vAlign w:val="center"/>
          </w:tcPr>
          <w:p>
            <w:pPr>
              <w:adjustRightInd w:val="0"/>
              <w:snapToGrid w:val="0"/>
              <w:spacing w:line="360" w:lineRule="auto"/>
              <w:jc w:val="center"/>
              <w:rPr>
                <w:rFonts w:cs="宋体" w:asciiTheme="majorEastAsia" w:hAnsiTheme="majorEastAsia" w:eastAsiaTheme="majorEastAsia"/>
                <w:snapToGrid w:val="0"/>
                <w:color w:val="auto"/>
                <w:kern w:val="0"/>
                <w:szCs w:val="21"/>
                <w:highlight w:val="none"/>
              </w:rPr>
            </w:pPr>
            <w:r>
              <w:rPr>
                <w:rFonts w:hint="eastAsia" w:cs="宋体" w:asciiTheme="majorEastAsia" w:hAnsiTheme="majorEastAsia" w:eastAsiaTheme="majorEastAsia"/>
                <w:snapToGrid w:val="0"/>
                <w:color w:val="auto"/>
                <w:kern w:val="0"/>
                <w:szCs w:val="21"/>
                <w:highlight w:val="none"/>
              </w:rPr>
              <w:t>没有按发包人审定的总控或阶段计划投入，主要设备每少1台</w:t>
            </w:r>
          </w:p>
        </w:tc>
        <w:tc>
          <w:tcPr>
            <w:tcW w:w="2931" w:type="dxa"/>
            <w:vAlign w:val="center"/>
          </w:tcPr>
          <w:p>
            <w:pPr>
              <w:adjustRightInd w:val="0"/>
              <w:snapToGrid w:val="0"/>
              <w:spacing w:line="360" w:lineRule="auto"/>
              <w:jc w:val="center"/>
              <w:rPr>
                <w:rFonts w:cs="宋体" w:asciiTheme="majorEastAsia" w:hAnsiTheme="majorEastAsia" w:eastAsiaTheme="majorEastAsia"/>
                <w:snapToGrid w:val="0"/>
                <w:color w:val="auto"/>
                <w:kern w:val="0"/>
                <w:szCs w:val="21"/>
                <w:highlight w:val="none"/>
              </w:rPr>
            </w:pPr>
            <w:r>
              <w:rPr>
                <w:rFonts w:hint="eastAsia" w:cs="宋体" w:asciiTheme="majorEastAsia" w:hAnsiTheme="majorEastAsia" w:eastAsiaTheme="majorEastAsia"/>
                <w:snapToGrid w:val="0"/>
                <w:color w:val="auto"/>
                <w:kern w:val="0"/>
                <w:szCs w:val="21"/>
                <w:highlight w:val="none"/>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6" w:type="dxa"/>
            <w:vMerge w:val="continue"/>
            <w:vAlign w:val="center"/>
          </w:tcPr>
          <w:p>
            <w:pPr>
              <w:adjustRightInd w:val="0"/>
              <w:snapToGrid w:val="0"/>
              <w:spacing w:line="360" w:lineRule="auto"/>
              <w:jc w:val="center"/>
              <w:rPr>
                <w:rFonts w:cs="宋体" w:asciiTheme="majorEastAsia" w:hAnsiTheme="majorEastAsia" w:eastAsiaTheme="majorEastAsia"/>
                <w:snapToGrid w:val="0"/>
                <w:color w:val="auto"/>
                <w:kern w:val="0"/>
                <w:szCs w:val="21"/>
                <w:highlight w:val="none"/>
              </w:rPr>
            </w:pPr>
          </w:p>
        </w:tc>
        <w:tc>
          <w:tcPr>
            <w:tcW w:w="2246" w:type="dxa"/>
            <w:vMerge w:val="continue"/>
            <w:vAlign w:val="center"/>
          </w:tcPr>
          <w:p>
            <w:pPr>
              <w:adjustRightInd w:val="0"/>
              <w:snapToGrid w:val="0"/>
              <w:spacing w:line="360" w:lineRule="auto"/>
              <w:jc w:val="center"/>
              <w:rPr>
                <w:rFonts w:cs="宋体" w:asciiTheme="majorEastAsia" w:hAnsiTheme="majorEastAsia" w:eastAsiaTheme="majorEastAsia"/>
                <w:snapToGrid w:val="0"/>
                <w:color w:val="auto"/>
                <w:kern w:val="0"/>
                <w:szCs w:val="21"/>
                <w:highlight w:val="none"/>
              </w:rPr>
            </w:pPr>
          </w:p>
        </w:tc>
        <w:tc>
          <w:tcPr>
            <w:tcW w:w="3184" w:type="dxa"/>
            <w:vAlign w:val="center"/>
          </w:tcPr>
          <w:p>
            <w:pPr>
              <w:adjustRightInd w:val="0"/>
              <w:snapToGrid w:val="0"/>
              <w:spacing w:line="360" w:lineRule="auto"/>
              <w:jc w:val="center"/>
              <w:rPr>
                <w:rFonts w:cs="宋体" w:asciiTheme="majorEastAsia" w:hAnsiTheme="majorEastAsia" w:eastAsiaTheme="majorEastAsia"/>
                <w:snapToGrid w:val="0"/>
                <w:color w:val="auto"/>
                <w:kern w:val="0"/>
                <w:szCs w:val="21"/>
                <w:highlight w:val="none"/>
              </w:rPr>
            </w:pPr>
            <w:r>
              <w:rPr>
                <w:rFonts w:hint="eastAsia" w:cs="宋体" w:asciiTheme="majorEastAsia" w:hAnsiTheme="majorEastAsia" w:eastAsiaTheme="majorEastAsia"/>
                <w:snapToGrid w:val="0"/>
                <w:color w:val="auto"/>
                <w:kern w:val="0"/>
                <w:szCs w:val="21"/>
                <w:highlight w:val="none"/>
              </w:rPr>
              <w:t>没有按发包人审定的总控或阶段计划投入，一般设备每少1台</w:t>
            </w:r>
          </w:p>
        </w:tc>
        <w:tc>
          <w:tcPr>
            <w:tcW w:w="2931" w:type="dxa"/>
            <w:vAlign w:val="center"/>
          </w:tcPr>
          <w:p>
            <w:pPr>
              <w:adjustRightInd w:val="0"/>
              <w:snapToGrid w:val="0"/>
              <w:spacing w:line="360" w:lineRule="auto"/>
              <w:jc w:val="center"/>
              <w:rPr>
                <w:rFonts w:cs="宋体" w:asciiTheme="majorEastAsia" w:hAnsiTheme="majorEastAsia" w:eastAsiaTheme="majorEastAsia"/>
                <w:snapToGrid w:val="0"/>
                <w:color w:val="auto"/>
                <w:kern w:val="0"/>
                <w:szCs w:val="21"/>
                <w:highlight w:val="none"/>
              </w:rPr>
            </w:pPr>
            <w:r>
              <w:rPr>
                <w:rFonts w:hint="eastAsia" w:cs="宋体" w:asciiTheme="majorEastAsia" w:hAnsiTheme="majorEastAsia" w:eastAsiaTheme="majorEastAsia"/>
                <w:snapToGrid w:val="0"/>
                <w:color w:val="auto"/>
                <w:kern w:val="0"/>
                <w:szCs w:val="21"/>
                <w:highlight w:val="none"/>
              </w:rPr>
              <w:t>10000</w:t>
            </w:r>
          </w:p>
        </w:tc>
      </w:tr>
    </w:tbl>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（4）经发包人或监理单位抽查发现承包人违反合同专用条款第9.5（1）款的约定，由发包人按每人次500元的标准从承包人工程款中扣减违约金并要求立即改正。</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5）对于监理人或发包人通知承包人参加的会议（包括但不限于进场会、现场问题处理会议、工程验收会议、结算问题处理会议、质保期工作的相关会议等），被通知人员（包括但不限于承包人法定代表人、经监理人或发包人批准同意的承包人法定代表人授权人、项目负责人、技术负责人等）未经监理人或发包人书面同意自行缺席的，每缺席一人次承包人承担1次一般违约责任。</w:t>
      </w:r>
    </w:p>
    <w:p>
      <w:pPr>
        <w:adjustRightInd w:val="0"/>
        <w:snapToGrid w:val="0"/>
        <w:spacing w:line="360" w:lineRule="auto"/>
        <w:ind w:right="11" w:firstLine="460" w:firstLineChars="192"/>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6）承包人在发包人组织的考评中不合格的，必须按照考评通报的要求限期改正，并承担1次一般违约责任；承包人拒不限期改正或整改效果不明显的，承包人必须承担1次严重违约责任。若连续2次或累计3次考评不合格，承包人必须承担1次严重违约责任，并必须按照总监理工程师或者发包人的指令限期改正；承包人拒不限期改正或整改效果不明显的，发包人有权单方面部分解除合同或解除合同。若连续3次或累计5次考评不合格，发包人有权解除合同。</w:t>
      </w:r>
    </w:p>
    <w:p>
      <w:pPr>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（7）承包人不按合同约定或发包人要求提交竣工结算资料的，每发生1次，承担1次一般违约责任。</w:t>
      </w:r>
    </w:p>
    <w:p>
      <w:pPr>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（8）承包人单方面擅自终止或解除本合同</w:t>
      </w:r>
      <w:r>
        <w:rPr>
          <w:rFonts w:hint="eastAsia" w:cs="宋体" w:asciiTheme="majorEastAsia" w:hAnsiTheme="majorEastAsia" w:eastAsiaTheme="majorEastAsia"/>
          <w:snapToGrid w:val="0"/>
          <w:color w:val="auto"/>
          <w:kern w:val="0"/>
          <w:sz w:val="24"/>
          <w:highlight w:val="none"/>
        </w:rPr>
        <w:t>的，应按合同专用条款第38.4（5）款约定的标准从承包人工程款或履约担保中扣减违约金及赔偿损失</w:t>
      </w:r>
      <w:r>
        <w:rPr>
          <w:rFonts w:hint="eastAsia" w:cs="宋体" w:asciiTheme="majorEastAsia" w:hAnsiTheme="majorEastAsia" w:eastAsiaTheme="majorEastAsia"/>
          <w:bCs/>
          <w:snapToGrid w:val="0"/>
          <w:color w:val="auto"/>
          <w:kern w:val="0"/>
          <w:sz w:val="24"/>
          <w:highlight w:val="none"/>
        </w:rPr>
        <w:t>。</w:t>
      </w:r>
    </w:p>
    <w:p>
      <w:pPr>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（9）承包人单方面擅自部分终止或者部分解除本合同的，</w:t>
      </w:r>
      <w:r>
        <w:rPr>
          <w:rFonts w:hint="eastAsia" w:cs="宋体" w:asciiTheme="majorEastAsia" w:hAnsiTheme="majorEastAsia" w:eastAsiaTheme="majorEastAsia"/>
          <w:snapToGrid w:val="0"/>
          <w:color w:val="auto"/>
          <w:kern w:val="0"/>
          <w:sz w:val="24"/>
          <w:highlight w:val="none"/>
        </w:rPr>
        <w:t>应按合同专用条款第38.4（4）款约定的标准从承包人工程款或履约担保中扣减违约金及赔偿损失</w:t>
      </w:r>
      <w:r>
        <w:rPr>
          <w:rFonts w:hint="eastAsia" w:cs="宋体" w:asciiTheme="majorEastAsia" w:hAnsiTheme="majorEastAsia" w:eastAsiaTheme="majorEastAsia"/>
          <w:bCs/>
          <w:snapToGrid w:val="0"/>
          <w:color w:val="auto"/>
          <w:kern w:val="0"/>
          <w:sz w:val="24"/>
          <w:highlight w:val="none"/>
        </w:rPr>
        <w:t>。</w:t>
      </w:r>
    </w:p>
    <w:p>
      <w:pPr>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（10）如承包人违反合同协议书第九条、第十条的约定，未在相关信息发生变化时及时将变更情况书面通知发包人的，经发包人每确认1次，承包人承担1次一般违约责任。</w:t>
      </w:r>
    </w:p>
    <w:p>
      <w:pPr>
        <w:adjustRightInd w:val="0"/>
        <w:snapToGrid w:val="0"/>
        <w:spacing w:line="360" w:lineRule="auto"/>
        <w:ind w:right="11"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38.8工期延误方面的违约责任</w:t>
      </w:r>
    </w:p>
    <w:p>
      <w:pPr>
        <w:adjustRightInd w:val="0"/>
        <w:snapToGrid w:val="0"/>
        <w:spacing w:line="360" w:lineRule="auto"/>
        <w:ind w:firstLine="48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（1）承包人违反合同协议书第3.1款约定延期开工的，每迟延开工1天，应从承包人工程款或履约担保中扣减本合同价款0.1‰的违约金；迟延开工超过10天的，发包人有权单方面解除合同</w:t>
      </w:r>
      <w:r>
        <w:rPr>
          <w:rFonts w:hint="eastAsia" w:cs="宋体" w:asciiTheme="majorEastAsia" w:hAnsiTheme="majorEastAsia" w:eastAsiaTheme="majorEastAsia"/>
          <w:bCs/>
          <w:snapToGrid w:val="0"/>
          <w:color w:val="auto"/>
          <w:kern w:val="0"/>
          <w:sz w:val="24"/>
          <w:highlight w:val="none"/>
        </w:rPr>
        <w:t>。</w:t>
      </w:r>
    </w:p>
    <w:p>
      <w:pPr>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（2）承包人违反合同专用条款第12.1款约定单方面停工的，每停工1天，应从承包人工程款或履约担保中扣减本合同价款0.1‰的违约金；连续停工超过5天或累计停工超过10天的，发包人有权单方面解除合同</w:t>
      </w:r>
      <w:r>
        <w:rPr>
          <w:rFonts w:hint="eastAsia" w:cs="宋体" w:asciiTheme="majorEastAsia" w:hAnsiTheme="majorEastAsia" w:eastAsiaTheme="majorEastAsia"/>
          <w:bCs/>
          <w:snapToGrid w:val="0"/>
          <w:color w:val="auto"/>
          <w:kern w:val="0"/>
          <w:sz w:val="24"/>
          <w:highlight w:val="none"/>
        </w:rPr>
        <w:t>。</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承包人违反合同专用条款第10.1款的约定，延期交付施工组织设计，延期3天以内的（含3天），发包人给予书面警告；延期4～7天的，承包人应承担1次一般违约责任；延期8～10天的，承包人应承担1次严重违约责任；延期11天以上的（含11天），发包人有权单方面解除合同</w:t>
      </w:r>
      <w:r>
        <w:rPr>
          <w:rFonts w:hint="eastAsia" w:cs="宋体" w:asciiTheme="majorEastAsia" w:hAnsiTheme="majorEastAsia" w:eastAsiaTheme="majorEastAsia"/>
          <w:bCs/>
          <w:snapToGrid w:val="0"/>
          <w:color w:val="auto"/>
          <w:kern w:val="0"/>
          <w:sz w:val="24"/>
          <w:highlight w:val="none"/>
        </w:rPr>
        <w:t>。</w:t>
      </w:r>
    </w:p>
    <w:p>
      <w:p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承包人违反合同约定造成本工程关键节点工期（不包括完工节点工期）延误的，延期3天以内的（含3天），发包人给予书面警告；延期4～7天的，承包人应承担1次一般违约责任；延期8～10天的，承包人应承担1次严重违约责任；延期11天以上的（含11天），发包人有权单方面解除合同。</w:t>
      </w:r>
    </w:p>
    <w:p>
      <w:pPr>
        <w:adjustRightInd w:val="0"/>
        <w:snapToGrid w:val="0"/>
        <w:spacing w:line="360" w:lineRule="auto"/>
        <w:ind w:right="11"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5）承包人违反合同造成本工程不能按照合同协议书第三条约定的完工节点工期或经发包人审核同意延期的完工日期完工的，每逾期1天，承包人必须按50000元/天从承包人工程款或履约担保中扣减违约金；同时发包人有权将未完工程量从本合同中分割，交由第三方完成，由此发生的费用全部从本合同价款中支付，同时由承包人从工程款或履约担保中扣减未完工程量价款20%的违约金并赔偿发包人的实际损失。</w:t>
      </w:r>
    </w:p>
    <w:p>
      <w:pPr>
        <w:adjustRightInd w:val="0"/>
        <w:snapToGrid w:val="0"/>
        <w:spacing w:line="360" w:lineRule="auto"/>
        <w:ind w:right="11"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38.9材料设备管理方面的违约责任</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发包人（包括发包人委托的材料设备检验机构）或总监理工程师抽查承包人的工程材料设备（主要为乙供材料设备），发现所检查的材料与合同约定标准的任何一项不符合时，承包人除必须全部退货、返工，并赔偿发包人由此遭受的实际损失外，还应当根据该批次材料的价值，按照如下约定承担违约责任：</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A、单宗或批次价值不到5万元的材料设备抽检不合格的，每发生3例，由承包人承担1次一般违约责任。</w:t>
      </w:r>
    </w:p>
    <w:p>
      <w:pPr>
        <w:tabs>
          <w:tab w:val="left" w:pos="1276"/>
        </w:tabs>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B、单宗或批次价值达到5万元不到10万元的材料设备抽检不合格的，每发生1例，由承包人承担1次一般违约责任。</w:t>
      </w:r>
    </w:p>
    <w:p>
      <w:pPr>
        <w:tabs>
          <w:tab w:val="left" w:pos="1276"/>
        </w:tabs>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C、单宗或批次价值达到10万元不到50万元的材料设备抽检不合格的，每发生1例，由承包人承担1次严重违约责任。</w:t>
      </w:r>
    </w:p>
    <w:p>
      <w:pPr>
        <w:tabs>
          <w:tab w:val="left" w:pos="1276"/>
        </w:tabs>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D、单宗或批次价值达到50万元以上的材料设备抽检不合格的，每发生1例，发包人有权单方面部分解除合同或解除合同。</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承包人必须保证用于本工程所有的材料设备的品牌、型号、规格、质量等符合本合同及招投标文件或公开择优竞价文件的要求。如发生不符合上述要求的情况（属于不可抗力或不可归责于承包人事由造成的除外），承包人必须无条件在发包人限定的时间内全部更换为符合要求的产品，并由承包人按所需更换的符合要求的货物价款的20%从承包人工程款或履约担保中扣减违约金，因此给发包人造成损失的，由承包人负责赔偿；同时，发包人有权将承包人的上述行为通过媒体公开披露，并移送有关主管部门依法处理。如因此致使发包人需要另行采购符合本合同及招投标文件或公开择优竞价文件要求的货物的，由承包人按另行采购的货物总价款的120%从承包人工程款或履约担保中扣减违约金。</w:t>
      </w:r>
    </w:p>
    <w:p>
      <w:pPr>
        <w:pStyle w:val="20"/>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承包人不按合同专用条款第七章的约定对用于本工程的材料设备进行管理的，视同不服从发包人及监理单位管理，应按合同专用条款第38.7（1）款的约定承担违约责任；同时发包人有权暂停支付本工程进度款，直到承包人完成相关工作为止。</w:t>
      </w:r>
    </w:p>
    <w:p>
      <w:pPr>
        <w:adjustRightInd w:val="0"/>
        <w:snapToGrid w:val="0"/>
        <w:spacing w:line="360" w:lineRule="auto"/>
        <w:ind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38.10工程质量方面的违约责任</w:t>
      </w:r>
    </w:p>
    <w:p>
      <w:pPr>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（1）承包人必须对各工序报验核查质量控制点。承包人申请报验后，经总监理工程师或发包人检查发现存在较大质量问题（存在质量问题的部分超过检查部分工程的10%）的，则该工序质量为不合格，承包人必须</w:t>
      </w:r>
      <w:r>
        <w:rPr>
          <w:rFonts w:hint="eastAsia" w:cs="宋体" w:asciiTheme="majorEastAsia" w:hAnsiTheme="majorEastAsia" w:eastAsiaTheme="majorEastAsia"/>
          <w:bCs/>
          <w:snapToGrid w:val="0"/>
          <w:color w:val="auto"/>
          <w:kern w:val="0"/>
          <w:sz w:val="24"/>
          <w:highlight w:val="none"/>
        </w:rPr>
        <w:t>对不合格部分进行返工，返工后经检查合格才准进入下一工序，工期不予顺延。复检的结果，按每一分项工程计算，总计发现3次或连续发现2次质量控制点不合格的，承包人承担1次一般违约责任；总计发现3次以上（不含本数）或连续发现2次以上（不含本数）质量控制点不合格的，承包人承担1次严重违约责任；承包人采取整改措施后效果仍不明显的，发包人有权部分解除合同，将该分项工程另行发包，且不免除承包人应承担的违约赔偿责任。</w:t>
      </w:r>
    </w:p>
    <w:p>
      <w:pPr>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2）工程竣工验收不符合国家强制性标准及规范要求或者未能实现一次验收合格的，承包人除应从工程款或履约担保中扣减本工程合同价款的20%作为违约金并无偿采取补救措施及赔偿发包人的实际损失外，还应承担由此引起的一切责任。</w:t>
      </w:r>
    </w:p>
    <w:p>
      <w:pPr>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3）在本工程质量保修期内发现有重大质量问题的（该重大质量问题应界定为达不到要求的质量标准，属质量保修的问题除外），承包人必须在规定的期限内返工达到合同约定的质量等级并赔偿由此给发包人造成的损失，同时按所在工程合同价款的5%从承包人工程款或履约担保中扣减违约金。</w:t>
      </w:r>
    </w:p>
    <w:p>
      <w:pPr>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（4）由于承包人的原因发生工程质量事故的，承包人应全额赔偿发包人的损失并承担相关法律责任。</w:t>
      </w:r>
    </w:p>
    <w:p>
      <w:pPr>
        <w:adjustRightInd w:val="0"/>
        <w:snapToGrid w:val="0"/>
        <w:spacing w:line="360" w:lineRule="auto"/>
        <w:ind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38.11安全生产方面的违约责任</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承包人在政府行政主管部门组织的安全生产检查中，被发现存在严重的安全隐患，被通报批评，或被新闻媒体曝光造成不良影响的，被通报或被曝光一次，承包人必须承担1次严重违约责任；造成严重社会影响或累计被通报或被曝光3次以上（含本数）的，发包人有权解除合同</w:t>
      </w:r>
      <w:r>
        <w:rPr>
          <w:rFonts w:hint="eastAsia" w:cs="宋体" w:asciiTheme="majorEastAsia" w:hAnsiTheme="majorEastAsia" w:eastAsiaTheme="majorEastAsia"/>
          <w:bCs/>
          <w:snapToGrid w:val="0"/>
          <w:color w:val="auto"/>
          <w:kern w:val="0"/>
          <w:sz w:val="24"/>
          <w:highlight w:val="none"/>
        </w:rPr>
        <w:t>。</w:t>
      </w:r>
    </w:p>
    <w:p>
      <w:pPr>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承包人在发包人、总监理工程师进行的日常安全生产检查中，被发现存在安全隐患的，承包人应限期改正。若同样问题被发现2次或累计类似问题被发现3次的，承包人必须承担1次一般违约责任。此类问题的认定，以发包人、总监理工程师书面通知、指令、通报或会议纪要为准。</w:t>
      </w:r>
    </w:p>
    <w:p>
      <w:pPr>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（3）承包人因自身原因造成安全事故的，除按国家规定由主管部门处罚外，承包人必须依照下列约定承担违约责任：</w:t>
      </w:r>
    </w:p>
    <w:p>
      <w:pPr>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1）发生特别重大事故，承包人按事故所造成损失金额的15%从工程款或履约担保中扣减违约金，同时违约金的数额不得低于50万元；</w:t>
      </w:r>
    </w:p>
    <w:p>
      <w:pPr>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2）发生重大事故，承包人按事故所造成损失金额的12%从工程款或履约担保中扣减违约金，同时违约金的数额不得低于30万元；</w:t>
      </w:r>
    </w:p>
    <w:p>
      <w:pPr>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3）发生较大事故，承包人按事故所造成损失金额的10%从工程款或履约担保中扣减违约金，同时违约金数额不得低于20万元；</w:t>
      </w:r>
    </w:p>
    <w:p>
      <w:pPr>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4）发生一般事故，承包人按事故所造成损失金额的8%从工程款或履约担保中扣减违约金，同时违约金数额不得低于10万元。</w:t>
      </w:r>
    </w:p>
    <w:p>
      <w:pPr>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发生上述安全事故，发包人给予承包人1次严重违约处罚，直至部分或全部解除合同。情节较轻的，给予1次一般违约处罚。</w:t>
      </w:r>
    </w:p>
    <w:p>
      <w:pPr>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承包人依照上述约定从工程款或履约担保中扣减违约金后，所扣减的违约金不足以弥补由此给发包人造成的损失的，承包人还须补偿发包人的其他损失。</w:t>
      </w:r>
    </w:p>
    <w:p>
      <w:pPr>
        <w:adjustRightInd w:val="0"/>
        <w:snapToGrid w:val="0"/>
        <w:spacing w:line="360" w:lineRule="auto"/>
        <w:ind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38.12文明施工、环境保护方面的违约责任</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发包人、总监理工程师按照合同专用条款第24.1款的约定，对承包人文明施工措施进行对照检查。经检查发现承包人因自身原因未能落实的，承包人必须承担1次一般违约责任，并限期改正；如限期届满未改正的，承包人须承担1次严重违约责任。</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在行业主管部门的检查中，承包人的施工场地被评为不合格工地或者被通报批评或者被新闻媒体曝光的，承包人必须承担1次严重违约责任，并立即采取切实有效措施予以整改；拒不采取切实有效措施整改或整改效果不明显的，发包人有权部分或全部解除合同。</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承包人在施工过程中因其自身原因造成周围环境卫生状况较差，被其他施工单位或周围居民投诉的，承包人必须在当天内整改。若故意拖延或类似问题累计被投诉2次以上且经查实的，承包人必须承担1次严重违约责任。</w:t>
      </w:r>
    </w:p>
    <w:p>
      <w:pPr>
        <w:adjustRightInd w:val="0"/>
        <w:snapToGrid w:val="0"/>
        <w:spacing w:line="360" w:lineRule="auto"/>
        <w:ind w:right="11" w:firstLine="460" w:firstLineChars="192"/>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38.13工程转包、分包方面的违约责任</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未经发包人书面同意，承包人不得转包或违法分包工程。</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承包人转包工程或者违法分包工程，经建设行政主管部门调查核实并作出处理决定的，发包人将严格服从建设行政主管部门的处理决定，同时发包人有权决定是否解除合同。发包人的同意不免除承包人违法及违约责任。因承包人转包工程或者违法分包工程给发包人造成损失的，发包人有权要求赔偿。</w:t>
      </w:r>
    </w:p>
    <w:p>
      <w:pPr>
        <w:adjustRightInd w:val="0"/>
        <w:snapToGrid w:val="0"/>
        <w:spacing w:line="360" w:lineRule="auto"/>
        <w:ind w:right="11" w:firstLine="460" w:firstLineChars="192"/>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38.14施工人员工资支付方面的违约责任</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承包人违反合同专用条款第9.5（2）款的约定，被施工人员投诉或上访属实的，承包人必须在3天内发放拖欠的款项。若继续拖延被投诉2次及以上，经查实，承包人必须承担1次一般违约责任。若仍然不予整改并发放拖欠的款项，使施工人员采取停工、集聚围阻发包人办公地点甚至政府办公部门、阻塞交通要道、围堵或破坏、拆除已移交发包人的工程等过激行动的，承包人必须承担1次严重违约责任，并立即采取切实有效措施予以整改；拒不采取切实有效措施整改或整改效果不明显的，发包人有权部分或全部解除合同。</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由于承包人或其管理的分包单位（包括施工专业分包、供货分包及劳务分包单位等）拖欠施工人员工资致使发包人被投诉或起诉并被判令先行垫付施工人员工资的，承包人除承担1次严重违约责任外，还应从工程款或履约担保中扣减发包人先行垫付的施工人员工资金额的120%作为补偿。</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（3）因承包人违约导致发包人暂停支付工程款时，承包人不得以此为理由拖欠施工人员工资，在发包人和承包人就暂停支付工程款问题解决之前，承包人有义务先行支付其所属工人工资。</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承包人不按合同及有关规定按时、足额支付分包单位合同价款及施工人员工资致使施工人员集体上访、集聚围阻而造成社会不良影响的，发包人将立即终止与承包人的合同，并上报省、市主管部门建议取消其参加广州地区省、市重大项目的投标资格并予以公告。如属恶意煽动并造成社会不良影响的，发包人将提请司法部门追究其法律责任。</w:t>
      </w:r>
    </w:p>
    <w:p>
      <w:pPr>
        <w:adjustRightInd w:val="0"/>
        <w:snapToGrid w:val="0"/>
        <w:spacing w:line="360" w:lineRule="auto"/>
        <w:ind w:right="11" w:firstLine="480" w:firstLineChars="200"/>
        <w:outlineLvl w:val="3"/>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38.15除上述约定之外，承包人不履行或不完全履行合同其他义务的，均构成违约，应当承担1次一般违约责任。情节较轻的，可给予书面警告；情节较重的，应当承担1次严重违约责任。</w:t>
      </w:r>
    </w:p>
    <w:p>
      <w:pPr>
        <w:adjustRightInd w:val="0"/>
        <w:snapToGrid w:val="0"/>
        <w:spacing w:line="360" w:lineRule="auto"/>
        <w:ind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38.16承包人违约责任的认定方式、送达程序及违约金的处理</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（1）认定方式：以发包人发出的通知、通报、会议纪要等书面文件确定的内容为准。</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（2）送达程序：发包人以下列方式之一将书面违约处理决定送达承包人：</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1）承包人现场管理机构工作人员签收。</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2）承包人其他工作人员签收。</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3）发包人邮寄送达。</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发包人以书面形式作出的违约处理决定一经送达承包人立即生效。承包人如有足够证据证明不应由其承担违约责任的，属不需扣减违约金的，应在收到违约处理决定后3天内以书面形式向发包人提出异议并附上有关证据；属需要扣减违约金的，应在工程结算报告送达监理单位前以书面形式向发包人提出异议并附上有关证据。发包人在收到承包人的异议后15个工作日内审核完毕且作出书面决定并通知承包人。在异议审核期间，承包人须正常施工，不得以审核未确定为由拖延或者中止工程施工。</w:t>
      </w:r>
    </w:p>
    <w:p>
      <w:pPr>
        <w:adjustRightInd w:val="0"/>
        <w:snapToGrid w:val="0"/>
        <w:spacing w:line="360" w:lineRule="auto"/>
        <w:ind w:right="11" w:firstLine="463" w:firstLineChars="192"/>
        <w:outlineLvl w:val="2"/>
        <w:rPr>
          <w:rFonts w:cs="宋体" w:asciiTheme="majorEastAsia" w:hAnsiTheme="majorEastAsia" w:eastAsiaTheme="majorEastAsia"/>
          <w:b/>
          <w:bCs/>
          <w:snapToGrid w:val="0"/>
          <w:color w:val="auto"/>
          <w:kern w:val="0"/>
          <w:sz w:val="24"/>
          <w:highlight w:val="none"/>
        </w:rPr>
      </w:pPr>
      <w:bookmarkStart w:id="635" w:name="_Toc397364936"/>
      <w:bookmarkStart w:id="636" w:name="_Toc23750"/>
      <w:bookmarkStart w:id="637" w:name="_Toc10730"/>
      <w:bookmarkStart w:id="638" w:name="_Toc140476951"/>
      <w:r>
        <w:rPr>
          <w:rFonts w:hint="eastAsia" w:cs="宋体" w:asciiTheme="majorEastAsia" w:hAnsiTheme="majorEastAsia" w:eastAsiaTheme="majorEastAsia"/>
          <w:b/>
          <w:bCs/>
          <w:snapToGrid w:val="0"/>
          <w:color w:val="auto"/>
          <w:kern w:val="0"/>
          <w:sz w:val="24"/>
          <w:highlight w:val="none"/>
        </w:rPr>
        <w:t>39、索赔</w:t>
      </w:r>
      <w:bookmarkEnd w:id="635"/>
      <w:bookmarkEnd w:id="636"/>
      <w:bookmarkEnd w:id="637"/>
      <w:bookmarkEnd w:id="638"/>
    </w:p>
    <w:p>
      <w:pPr>
        <w:adjustRightInd w:val="0"/>
        <w:snapToGrid w:val="0"/>
        <w:spacing w:line="360" w:lineRule="auto"/>
        <w:ind w:right="11" w:firstLine="463" w:firstLineChars="192"/>
        <w:rPr>
          <w:rFonts w:cs="宋体" w:asciiTheme="majorEastAsia" w:hAnsiTheme="majorEastAsia" w:eastAsiaTheme="majorEastAsia"/>
          <w:b/>
          <w:snapToGrid w:val="0"/>
          <w:color w:val="auto"/>
          <w:kern w:val="0"/>
          <w:sz w:val="24"/>
          <w:highlight w:val="none"/>
        </w:rPr>
      </w:pPr>
      <w:r>
        <w:rPr>
          <w:rFonts w:hint="eastAsia" w:cs="宋体" w:asciiTheme="majorEastAsia" w:hAnsiTheme="majorEastAsia" w:eastAsiaTheme="majorEastAsia"/>
          <w:b/>
          <w:snapToGrid w:val="0"/>
          <w:color w:val="auto"/>
          <w:kern w:val="0"/>
          <w:sz w:val="24"/>
          <w:highlight w:val="none"/>
        </w:rPr>
        <w:t>承包人与发包人一致同意不适用合同通用条款第39.2、39.3款的约定，代之以：</w:t>
      </w:r>
    </w:p>
    <w:p>
      <w:pPr>
        <w:adjustRightInd w:val="0"/>
        <w:snapToGrid w:val="0"/>
        <w:spacing w:line="360" w:lineRule="auto"/>
        <w:ind w:right="11" w:firstLine="460" w:firstLineChars="192"/>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39.2承包人向发包人索赔的程序</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当索赔事件首次发生后的14天内，承包人将自己的索赔意向书面通知监理单位，并呈交给发包人一份副本。若索赔事件首次发生后的14天内，承包人未提出索赔意向书，则从第15天起，监理单位及发包人有权拒绝承包人的索赔要求。</w:t>
      </w:r>
    </w:p>
    <w:p>
      <w:pPr>
        <w:adjustRightInd w:val="0"/>
        <w:snapToGrid w:val="0"/>
        <w:spacing w:line="360" w:lineRule="auto"/>
        <w:ind w:right="11" w:firstLine="460" w:firstLineChars="192"/>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承包人应保持索赔事件同期记录，以便合理地证明承包人后来要申请的索赔。监理单位在收到承包人的索赔意向通知时，应先检查这些同期记录，并可指定承包人进一步做好同期记录，承包人应允许监理单位检查全部记录，并在监理单位发出指令时提供记录的副本。</w:t>
      </w:r>
    </w:p>
    <w:p>
      <w:pPr>
        <w:adjustRightInd w:val="0"/>
        <w:snapToGrid w:val="0"/>
        <w:spacing w:line="360" w:lineRule="auto"/>
        <w:ind w:right="11" w:firstLine="460" w:firstLineChars="192"/>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承包人应在发出索赔意向通知后的14天内，向监理单位报送一份说明索赔所依据的理由和索赔款额的具体细节帐目的索赔报告。如果索赔事件尚未结束，承包人在索赔事件结束后的14天内，再报一份最终索赔报告给监理单位。</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监理单位在收到承包人索赔报告或最终索赔报告后14天内，将处理意见书面通知发包人、承包人双方。若双方接受，此索赔事件结束；若任何一方不接受，经再次协商仍达不成一致的，则按合同专用条款第40条的约定处理。</w:t>
      </w:r>
    </w:p>
    <w:p>
      <w:pPr>
        <w:adjustRightInd w:val="0"/>
        <w:snapToGrid w:val="0"/>
        <w:spacing w:line="360" w:lineRule="auto"/>
        <w:ind w:firstLine="470" w:firstLineChars="196"/>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lang w:val="zh-CN"/>
        </w:rPr>
        <w:t>39.3承包人未能按合同约定履行自己的各项义务或发生错误，发包人按</w:t>
      </w:r>
      <w:r>
        <w:rPr>
          <w:rFonts w:hint="eastAsia" w:cs="宋体" w:asciiTheme="majorEastAsia" w:hAnsiTheme="majorEastAsia" w:eastAsiaTheme="majorEastAsia"/>
          <w:snapToGrid w:val="0"/>
          <w:color w:val="auto"/>
          <w:kern w:val="0"/>
          <w:sz w:val="24"/>
          <w:highlight w:val="none"/>
        </w:rPr>
        <w:t>如下约定向承包人索赔：</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（1）发包人将自己的索赔意向书面通知承包人（同时抄送其担保银行），要求承包人在限期内纠正其违约行为，否则发包人将考虑按合同约定作出相关处理决定。</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（2）限期届满，承包人没有用实际行动纠正自己的违约行为或者纠正行为不能使发包人满意或者纠正行为无法弥补发包人的损失的，则发包人直接按合同约定作出相关处理决定并向银行发出正式书面索赔通知。</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（3）如果通过向银行索赔的方式依然不能完全弥补发包人的损失，则发包人有权在应支付给承包人的工程款中直接扣取。同时发包人有权要求承包人在规定时间内按合同专用条款第44</w:t>
      </w:r>
      <w:r>
        <w:rPr>
          <w:rFonts w:hint="eastAsia" w:cs="宋体" w:asciiTheme="majorEastAsia" w:hAnsiTheme="majorEastAsia" w:eastAsiaTheme="majorEastAsia"/>
          <w:snapToGrid w:val="0"/>
          <w:color w:val="auto"/>
          <w:kern w:val="0"/>
          <w:sz w:val="24"/>
          <w:highlight w:val="none"/>
          <w:lang w:val="zh-CN"/>
        </w:rPr>
        <w:t>.</w:t>
      </w:r>
      <w:r>
        <w:rPr>
          <w:rFonts w:hint="eastAsia" w:cs="宋体" w:asciiTheme="majorEastAsia" w:hAnsiTheme="majorEastAsia" w:eastAsiaTheme="majorEastAsia"/>
          <w:snapToGrid w:val="0"/>
          <w:color w:val="auto"/>
          <w:kern w:val="0"/>
          <w:sz w:val="24"/>
          <w:highlight w:val="none"/>
        </w:rPr>
        <w:t>5款的约定向发包人补充提交履约担保。</w:t>
      </w:r>
    </w:p>
    <w:p>
      <w:pPr>
        <w:adjustRightInd w:val="0"/>
        <w:snapToGrid w:val="0"/>
        <w:spacing w:line="360" w:lineRule="auto"/>
        <w:ind w:right="11" w:firstLine="460" w:firstLineChars="192"/>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（4）如果通过向银行索赔以及直接扣取工程款等方式依然不能完全弥补发包人损失的，承包人必须在发包人规定的时间内以现金形式支付剩余索赔额，否则发包人将按合同专用条款第40条的约定处理。</w:t>
      </w:r>
    </w:p>
    <w:p>
      <w:pPr>
        <w:adjustRightInd w:val="0"/>
        <w:snapToGrid w:val="0"/>
        <w:spacing w:line="360" w:lineRule="auto"/>
        <w:ind w:right="11" w:firstLine="463" w:firstLineChars="192"/>
        <w:rPr>
          <w:rFonts w:cs="宋体" w:asciiTheme="majorEastAsia" w:hAnsiTheme="majorEastAsia" w:eastAsiaTheme="majorEastAsia"/>
          <w:b/>
          <w:snapToGrid w:val="0"/>
          <w:color w:val="auto"/>
          <w:kern w:val="0"/>
          <w:sz w:val="24"/>
          <w:highlight w:val="none"/>
        </w:rPr>
      </w:pPr>
      <w:r>
        <w:rPr>
          <w:rFonts w:hint="eastAsia" w:cs="宋体" w:asciiTheme="majorEastAsia" w:hAnsiTheme="majorEastAsia" w:eastAsiaTheme="majorEastAsia"/>
          <w:b/>
          <w:snapToGrid w:val="0"/>
          <w:color w:val="auto"/>
          <w:kern w:val="0"/>
          <w:sz w:val="24"/>
          <w:highlight w:val="none"/>
        </w:rPr>
        <w:t>承包人与发包人一致同意增加39.4：</w:t>
      </w:r>
    </w:p>
    <w:p>
      <w:pPr>
        <w:adjustRightInd w:val="0"/>
        <w:snapToGrid w:val="0"/>
        <w:spacing w:line="360" w:lineRule="auto"/>
        <w:ind w:right="11" w:firstLine="460" w:firstLineChars="192"/>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39.4在任何索赔期间，不论索赔是否有据，均不能免除承包人按合同约定履行合同义务。承包人不得以此为借口，拒不履行或拖延合同的履行，否则发包人有权单方面终止合同，并要求承包人赔偿由此导致的发包人的损失。</w:t>
      </w:r>
    </w:p>
    <w:p>
      <w:pPr>
        <w:adjustRightInd w:val="0"/>
        <w:snapToGrid w:val="0"/>
        <w:spacing w:line="360" w:lineRule="auto"/>
        <w:ind w:right="11" w:firstLine="463" w:firstLineChars="192"/>
        <w:outlineLvl w:val="2"/>
        <w:rPr>
          <w:rFonts w:cs="宋体" w:asciiTheme="majorEastAsia" w:hAnsiTheme="majorEastAsia" w:eastAsiaTheme="majorEastAsia"/>
          <w:b/>
          <w:bCs/>
          <w:snapToGrid w:val="0"/>
          <w:color w:val="auto"/>
          <w:kern w:val="0"/>
          <w:sz w:val="24"/>
          <w:highlight w:val="none"/>
        </w:rPr>
      </w:pPr>
      <w:bookmarkStart w:id="639" w:name="_Toc28378"/>
      <w:bookmarkStart w:id="640" w:name="_Toc140476952"/>
      <w:bookmarkStart w:id="641" w:name="_Toc397364937"/>
      <w:bookmarkStart w:id="642" w:name="_Toc27332"/>
      <w:r>
        <w:rPr>
          <w:rFonts w:hint="eastAsia" w:cs="宋体" w:asciiTheme="majorEastAsia" w:hAnsiTheme="majorEastAsia" w:eastAsiaTheme="majorEastAsia"/>
          <w:b/>
          <w:bCs/>
          <w:snapToGrid w:val="0"/>
          <w:color w:val="auto"/>
          <w:kern w:val="0"/>
          <w:sz w:val="24"/>
          <w:highlight w:val="none"/>
        </w:rPr>
        <w:t>40、争议</w:t>
      </w:r>
      <w:bookmarkEnd w:id="639"/>
      <w:bookmarkEnd w:id="640"/>
      <w:bookmarkEnd w:id="641"/>
      <w:bookmarkEnd w:id="642"/>
    </w:p>
    <w:p>
      <w:pPr>
        <w:adjustRightInd w:val="0"/>
        <w:snapToGrid w:val="0"/>
        <w:spacing w:line="360" w:lineRule="auto"/>
        <w:ind w:right="11" w:firstLine="460" w:firstLineChars="192"/>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40.1因本合同或者履行本合同所产生的争议，由发包人与承包人双方协商解决，经协商达成一致意见的，应签订书面协议；协商不成的，可向工程所在地有关主管部门申请调解；调解不成的，</w:t>
      </w:r>
      <w:r>
        <w:rPr>
          <w:rFonts w:hint="eastAsia" w:cs="宋体" w:asciiTheme="majorEastAsia" w:hAnsiTheme="majorEastAsia" w:eastAsiaTheme="majorEastAsia"/>
          <w:color w:val="auto"/>
          <w:kern w:val="0"/>
          <w:sz w:val="24"/>
          <w:highlight w:val="none"/>
        </w:rPr>
        <w:t>向</w:t>
      </w:r>
      <w:r>
        <w:rPr>
          <w:rFonts w:hint="eastAsia" w:cs="宋体" w:asciiTheme="majorEastAsia" w:hAnsiTheme="majorEastAsia" w:eastAsiaTheme="majorEastAsia"/>
          <w:color w:val="auto"/>
          <w:sz w:val="24"/>
          <w:highlight w:val="none"/>
        </w:rPr>
        <w:t>工程所在地人民法</w:t>
      </w:r>
      <w:r>
        <w:rPr>
          <w:rFonts w:hint="eastAsia" w:cs="宋体" w:asciiTheme="majorEastAsia" w:hAnsiTheme="majorEastAsia" w:eastAsiaTheme="majorEastAsia"/>
          <w:color w:val="auto"/>
          <w:kern w:val="0"/>
          <w:sz w:val="24"/>
          <w:highlight w:val="none"/>
        </w:rPr>
        <w:t>院起诉。</w:t>
      </w:r>
    </w:p>
    <w:p>
      <w:pPr>
        <w:adjustRightInd w:val="0"/>
        <w:snapToGrid w:val="0"/>
        <w:spacing w:line="360" w:lineRule="auto"/>
        <w:ind w:right="11" w:firstLine="463" w:firstLineChars="192"/>
        <w:rPr>
          <w:rFonts w:cs="宋体" w:asciiTheme="majorEastAsia" w:hAnsiTheme="majorEastAsia" w:eastAsiaTheme="majorEastAsia"/>
          <w:b/>
          <w:snapToGrid w:val="0"/>
          <w:color w:val="auto"/>
          <w:kern w:val="0"/>
          <w:sz w:val="24"/>
          <w:highlight w:val="none"/>
        </w:rPr>
      </w:pPr>
      <w:r>
        <w:rPr>
          <w:rFonts w:hint="eastAsia" w:cs="宋体" w:asciiTheme="majorEastAsia" w:hAnsiTheme="majorEastAsia" w:eastAsiaTheme="majorEastAsia"/>
          <w:b/>
          <w:snapToGrid w:val="0"/>
          <w:color w:val="auto"/>
          <w:kern w:val="0"/>
          <w:sz w:val="24"/>
          <w:highlight w:val="none"/>
        </w:rPr>
        <w:t>承包人与发包人一致同意增加40.3：</w:t>
      </w:r>
    </w:p>
    <w:p>
      <w:pPr>
        <w:adjustRightInd w:val="0"/>
        <w:snapToGrid w:val="0"/>
        <w:spacing w:line="360" w:lineRule="auto"/>
        <w:ind w:right="11" w:firstLine="460" w:firstLineChars="192"/>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40.3承包人无条件承诺：争议发生后，承包人必须在做好现场证据保全后继续按照合同要求施工，不得以解决争议为由单方面停工，或者以争议解决需要时日为由拖延施工；否则，发包人有权先行解除与承包人的合同，承包人必须在7天内撤场。承包人的撤场不影响发包人另行解决争议和索赔的权利。</w:t>
      </w:r>
    </w:p>
    <w:p>
      <w:pPr>
        <w:adjustRightInd w:val="0"/>
        <w:snapToGrid w:val="0"/>
        <w:spacing w:line="360" w:lineRule="auto"/>
        <w:ind w:right="11"/>
        <w:rPr>
          <w:rFonts w:cs="宋体" w:asciiTheme="majorEastAsia" w:hAnsiTheme="majorEastAsia" w:eastAsiaTheme="majorEastAsia"/>
          <w:snapToGrid w:val="0"/>
          <w:color w:val="auto"/>
          <w:kern w:val="0"/>
          <w:sz w:val="24"/>
          <w:highlight w:val="none"/>
        </w:rPr>
      </w:pPr>
    </w:p>
    <w:p>
      <w:pPr>
        <w:adjustRightInd w:val="0"/>
        <w:snapToGrid w:val="0"/>
        <w:spacing w:line="360" w:lineRule="auto"/>
        <w:ind w:right="11"/>
        <w:outlineLvl w:val="1"/>
        <w:rPr>
          <w:rFonts w:cs="宋体" w:asciiTheme="majorEastAsia" w:hAnsiTheme="majorEastAsia" w:eastAsiaTheme="majorEastAsia"/>
          <w:b/>
          <w:snapToGrid w:val="0"/>
          <w:color w:val="auto"/>
          <w:kern w:val="0"/>
          <w:sz w:val="28"/>
          <w:szCs w:val="28"/>
          <w:highlight w:val="none"/>
        </w:rPr>
      </w:pPr>
      <w:bookmarkStart w:id="643" w:name="_Toc140476953"/>
      <w:bookmarkStart w:id="644" w:name="_Toc15944"/>
      <w:bookmarkStart w:id="645" w:name="_Toc10821"/>
      <w:bookmarkStart w:id="646" w:name="_Toc397364938"/>
      <w:r>
        <w:rPr>
          <w:rFonts w:hint="eastAsia" w:cs="宋体" w:asciiTheme="majorEastAsia" w:hAnsiTheme="majorEastAsia" w:eastAsiaTheme="majorEastAsia"/>
          <w:b/>
          <w:snapToGrid w:val="0"/>
          <w:color w:val="auto"/>
          <w:kern w:val="0"/>
          <w:sz w:val="28"/>
          <w:szCs w:val="28"/>
          <w:highlight w:val="none"/>
        </w:rPr>
        <w:t>十一、其他</w:t>
      </w:r>
      <w:bookmarkEnd w:id="643"/>
      <w:bookmarkEnd w:id="644"/>
      <w:bookmarkEnd w:id="645"/>
      <w:bookmarkEnd w:id="646"/>
    </w:p>
    <w:p>
      <w:pPr>
        <w:adjustRightInd w:val="0"/>
        <w:snapToGrid w:val="0"/>
        <w:spacing w:line="360" w:lineRule="auto"/>
        <w:ind w:right="11" w:firstLine="463" w:firstLineChars="192"/>
        <w:outlineLvl w:val="2"/>
        <w:rPr>
          <w:rFonts w:cs="宋体" w:asciiTheme="majorEastAsia" w:hAnsiTheme="majorEastAsia" w:eastAsiaTheme="majorEastAsia"/>
          <w:b/>
          <w:bCs/>
          <w:snapToGrid w:val="0"/>
          <w:color w:val="auto"/>
          <w:kern w:val="0"/>
          <w:sz w:val="24"/>
          <w:highlight w:val="none"/>
        </w:rPr>
      </w:pPr>
      <w:bookmarkStart w:id="647" w:name="_Toc140476954"/>
      <w:bookmarkStart w:id="648" w:name="_Toc31628"/>
      <w:bookmarkStart w:id="649" w:name="_Toc397364939"/>
      <w:bookmarkStart w:id="650" w:name="_Toc31726"/>
      <w:r>
        <w:rPr>
          <w:rFonts w:hint="eastAsia" w:cs="宋体" w:asciiTheme="majorEastAsia" w:hAnsiTheme="majorEastAsia" w:eastAsiaTheme="majorEastAsia"/>
          <w:b/>
          <w:bCs/>
          <w:snapToGrid w:val="0"/>
          <w:color w:val="auto"/>
          <w:kern w:val="0"/>
          <w:sz w:val="24"/>
          <w:highlight w:val="none"/>
        </w:rPr>
        <w:t>41、工程分包</w:t>
      </w:r>
      <w:bookmarkEnd w:id="647"/>
      <w:bookmarkEnd w:id="648"/>
      <w:bookmarkEnd w:id="649"/>
      <w:bookmarkEnd w:id="650"/>
    </w:p>
    <w:p>
      <w:pPr>
        <w:adjustRightInd w:val="0"/>
        <w:snapToGrid w:val="0"/>
        <w:spacing w:line="360" w:lineRule="auto"/>
        <w:ind w:firstLine="48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41.1本工程的主体及关键性工作必须由承包人自行完成，不得分包。非主体、非关键性工作的分包应当在投标文件中载明或者经发包人同意，承包人应严格按照招投标文件的约定或发包人限定的时间与分包单位签订分包合同。</w:t>
      </w:r>
    </w:p>
    <w:p>
      <w:pPr>
        <w:adjustRightInd w:val="0"/>
        <w:snapToGrid w:val="0"/>
        <w:spacing w:line="360" w:lineRule="auto"/>
        <w:ind w:firstLine="48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41.2承包人应严格按照《房屋建筑和市政基础设施工程施工分包管理办法》（建设部令第124号）和本合同的约定做好分包管理工作，禁止将承包的工程进行转包或违法分包，禁止转让、出借企业资质证书或者以其他方式允许他人以本企业名义承揽工程，严禁个人承揽分包工程业务。</w:t>
      </w:r>
    </w:p>
    <w:p>
      <w:pPr>
        <w:adjustRightInd w:val="0"/>
        <w:snapToGrid w:val="0"/>
        <w:spacing w:line="360" w:lineRule="auto"/>
        <w:ind w:right="11" w:firstLine="463" w:firstLineChars="192"/>
        <w:rPr>
          <w:rFonts w:cs="宋体" w:asciiTheme="majorEastAsia" w:hAnsiTheme="majorEastAsia" w:eastAsiaTheme="majorEastAsia"/>
          <w:b/>
          <w:snapToGrid w:val="0"/>
          <w:color w:val="auto"/>
          <w:kern w:val="0"/>
          <w:sz w:val="24"/>
          <w:highlight w:val="none"/>
        </w:rPr>
      </w:pPr>
      <w:r>
        <w:rPr>
          <w:rFonts w:hint="eastAsia" w:cs="宋体" w:asciiTheme="majorEastAsia" w:hAnsiTheme="majorEastAsia" w:eastAsiaTheme="majorEastAsia"/>
          <w:b/>
          <w:snapToGrid w:val="0"/>
          <w:color w:val="auto"/>
          <w:kern w:val="0"/>
          <w:sz w:val="24"/>
          <w:highlight w:val="none"/>
        </w:rPr>
        <w:t>承包人与发包人一致同意增加41.5至41.11：</w:t>
      </w:r>
    </w:p>
    <w:p>
      <w:pPr>
        <w:adjustRightInd w:val="0"/>
        <w:snapToGrid w:val="0"/>
        <w:spacing w:line="360" w:lineRule="auto"/>
        <w:ind w:firstLine="48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41.5承包人不履行合同约定，将其承包的全部工程发包给他人，或者将其承包的全部工程肢解后以分包的名义分别发包给他人的，属于转包行为；将工程分包后，未在施工现场设立项目管理机构和派驻相应人员，未对该工程的施工活动进行组织管理的，视同转包行为。</w:t>
      </w:r>
    </w:p>
    <w:p>
      <w:pPr>
        <w:adjustRightInd w:val="0"/>
        <w:snapToGrid w:val="0"/>
        <w:spacing w:line="360" w:lineRule="auto"/>
        <w:ind w:firstLine="48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41.6下列行为，属于违法分包：</w:t>
      </w:r>
    </w:p>
    <w:p>
      <w:pPr>
        <w:adjustRightInd w:val="0"/>
        <w:snapToGrid w:val="0"/>
        <w:spacing w:line="360" w:lineRule="auto"/>
        <w:ind w:firstLine="48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（1）承包人将专业工程或者劳务作业分包给不具备相应资质条件的分包人的；</w:t>
      </w:r>
    </w:p>
    <w:p>
      <w:pPr>
        <w:adjustRightInd w:val="0"/>
        <w:snapToGrid w:val="0"/>
        <w:spacing w:line="360" w:lineRule="auto"/>
        <w:ind w:firstLine="48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（2）本合同中未有约定，又未经发包人认可，承包人将承包工程中的部分专业工程分包给他人的。</w:t>
      </w:r>
    </w:p>
    <w:p>
      <w:pPr>
        <w:adjustRightInd w:val="0"/>
        <w:snapToGrid w:val="0"/>
        <w:spacing w:line="360" w:lineRule="auto"/>
        <w:ind w:firstLine="48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41.7承包人虽然没有将其承包的工程进行分包，但在施工现场所设项目管理机构的项目经理、技术管理人员、核算管理人员、质量管理人员、安全管理人员不是承包人本单位人员的，视同允许他人以本企业名义承揽工程。</w:t>
      </w:r>
    </w:p>
    <w:p>
      <w:pPr>
        <w:adjustRightInd w:val="0"/>
        <w:snapToGrid w:val="0"/>
        <w:spacing w:line="360" w:lineRule="auto"/>
        <w:ind w:firstLine="48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41.8承包人应参照合同专用条款第7条、第9条的有关约定，在发包人批准分包后5天内将分包单位工程现场组织管理人员名单及劳动力、施工机械设备投入计划报送发包人且负责落实到位，并接受总监理工程师和发包人代表的查验。</w:t>
      </w:r>
    </w:p>
    <w:p>
      <w:pPr>
        <w:adjustRightInd w:val="0"/>
        <w:snapToGrid w:val="0"/>
        <w:spacing w:line="360" w:lineRule="auto"/>
        <w:ind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41.9分包工程价款由承包人与发包人结算。承包人应按本合同及分包合同的有关约定及时审核、申请支付各种工程、劳务及材料设备款项，并向发包人提交下列资料：</w:t>
      </w:r>
    </w:p>
    <w:p>
      <w:pPr>
        <w:adjustRightInd w:val="0"/>
        <w:snapToGrid w:val="0"/>
        <w:spacing w:line="360" w:lineRule="auto"/>
        <w:ind w:firstLine="48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（1）属专业工程分包的，应向发包人提交分包人提交给承包人的履约担保文件复印件（应同时携带原件供发包人复核），具体按招标文件或发包人要求执行。</w:t>
      </w:r>
    </w:p>
    <w:p>
      <w:pPr>
        <w:adjustRightInd w:val="0"/>
        <w:snapToGrid w:val="0"/>
        <w:spacing w:line="360" w:lineRule="auto"/>
        <w:ind w:firstLine="48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（2）属材料设备供货的，应向发包人提交供货商提交给承包人的履约担保文件复印件（应同时携带原件供发包人复核），具体按招标文件或发包人要求执行。</w:t>
      </w:r>
    </w:p>
    <w:p>
      <w:pPr>
        <w:adjustRightInd w:val="0"/>
        <w:snapToGrid w:val="0"/>
        <w:spacing w:line="360" w:lineRule="auto"/>
        <w:ind w:right="11" w:firstLine="480" w:firstLineChars="200"/>
        <w:outlineLvl w:val="3"/>
        <w:rPr>
          <w:rFonts w:cs="宋体" w:asciiTheme="majorEastAsia" w:hAnsiTheme="majorEastAsia" w:eastAsiaTheme="majorEastAsia"/>
          <w:bCs/>
          <w:iCs/>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41.10承包人与发包人一致同意，本工程的所有分包单位（含材料设备供货单位）全部纳入发包人统一组织的考评，并按合同约定和发包人的有关管理规定承担相应义务，享有相应权利。考评结果中涉及对本合同价款的转付或扣取的，承包人承诺无条件服从。</w:t>
      </w:r>
    </w:p>
    <w:p>
      <w:pPr>
        <w:adjustRightInd w:val="0"/>
        <w:snapToGrid w:val="0"/>
        <w:spacing w:line="360" w:lineRule="auto"/>
        <w:ind w:right="11"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41.11承包人擅自更换投标时填报或经发包人审核后认可的专业分包单位，承包人承担50万元/次的违约赔偿责任；如果承包人投标时填报的专业分包单位不能满足合同约定的要求，必须另择符合要求的专业分包单位，经发包人审核确认后承担专业工程任务（发包人的审核确认并不免除承包人的相关责任及义务）。</w:t>
      </w:r>
    </w:p>
    <w:p>
      <w:pPr>
        <w:adjustRightInd w:val="0"/>
        <w:snapToGrid w:val="0"/>
        <w:spacing w:line="360" w:lineRule="auto"/>
        <w:ind w:firstLine="480"/>
        <w:outlineLvl w:val="2"/>
        <w:rPr>
          <w:rFonts w:cs="宋体" w:asciiTheme="majorEastAsia" w:hAnsiTheme="majorEastAsia" w:eastAsiaTheme="majorEastAsia"/>
          <w:b/>
          <w:bCs/>
          <w:snapToGrid w:val="0"/>
          <w:color w:val="auto"/>
          <w:kern w:val="0"/>
          <w:sz w:val="24"/>
          <w:highlight w:val="none"/>
        </w:rPr>
      </w:pPr>
      <w:bookmarkStart w:id="651" w:name="_Toc18523"/>
      <w:bookmarkStart w:id="652" w:name="_Toc397364940"/>
      <w:bookmarkStart w:id="653" w:name="_Toc140476955"/>
      <w:bookmarkStart w:id="654" w:name="_Toc22153"/>
      <w:r>
        <w:rPr>
          <w:rFonts w:hint="eastAsia" w:cs="宋体" w:asciiTheme="majorEastAsia" w:hAnsiTheme="majorEastAsia" w:eastAsiaTheme="majorEastAsia"/>
          <w:b/>
          <w:bCs/>
          <w:snapToGrid w:val="0"/>
          <w:color w:val="auto"/>
          <w:kern w:val="0"/>
          <w:sz w:val="24"/>
          <w:highlight w:val="none"/>
        </w:rPr>
        <w:t>42、不可抗力</w:t>
      </w:r>
      <w:bookmarkEnd w:id="651"/>
      <w:bookmarkEnd w:id="652"/>
      <w:bookmarkEnd w:id="653"/>
      <w:bookmarkEnd w:id="654"/>
    </w:p>
    <w:p>
      <w:pPr>
        <w:adjustRightInd w:val="0"/>
        <w:snapToGrid w:val="0"/>
        <w:spacing w:line="360" w:lineRule="auto"/>
        <w:ind w:right="11"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42.1不可抗力，是指不能预见、不能避免并不能克服，对本工程的施工造成重大实质性影响的自然灾害和战争、动乱（不包括承包人内部的任何纠纷和纷争）等事件。政府对本工程的政策变化、计划的调整，导致本工程不能如期进行，也属不可抗力的范围。</w:t>
      </w:r>
    </w:p>
    <w:p>
      <w:pPr>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自然灾害的范围及其认定方式，按如下约定执行：</w:t>
      </w:r>
    </w:p>
    <w:p>
      <w:pPr>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1）异常天气：仅指50年（含50年）一遇以上的洪水或10级（含10级）以上的台风。因异常天气袭击工地为确保安全而停工的，承包人应于台风、洪水天气结束之日起七日内，向当地气象部门索取工程所在地台风、暴雨天气资料或报告（含气象实况及对此分析的内容），连同</w:t>
      </w:r>
      <w:r>
        <w:rPr>
          <w:rFonts w:hint="eastAsia" w:cs="宋体" w:asciiTheme="majorEastAsia" w:hAnsiTheme="majorEastAsia" w:eastAsiaTheme="majorEastAsia"/>
          <w:snapToGrid w:val="0"/>
          <w:color w:val="auto"/>
          <w:kern w:val="0"/>
          <w:sz w:val="24"/>
          <w:highlight w:val="none"/>
        </w:rPr>
        <w:t>施工</w:t>
      </w:r>
      <w:r>
        <w:rPr>
          <w:rFonts w:hint="eastAsia" w:cs="宋体" w:asciiTheme="majorEastAsia" w:hAnsiTheme="majorEastAsia" w:eastAsiaTheme="majorEastAsia"/>
          <w:bCs/>
          <w:snapToGrid w:val="0"/>
          <w:color w:val="auto"/>
          <w:kern w:val="0"/>
          <w:sz w:val="24"/>
          <w:highlight w:val="none"/>
        </w:rPr>
        <w:t>日志、现场照片办理证据保全公证，方可认定为是不可抗力。</w:t>
      </w:r>
    </w:p>
    <w:p>
      <w:pPr>
        <w:adjustRightInd w:val="0"/>
        <w:snapToGrid w:val="0"/>
        <w:spacing w:line="360" w:lineRule="auto"/>
        <w:ind w:firstLine="480" w:firstLineChars="200"/>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（2）里氏5级（含5级）以上的地震。</w:t>
      </w:r>
    </w:p>
    <w:p>
      <w:pPr>
        <w:adjustRightInd w:val="0"/>
        <w:snapToGrid w:val="0"/>
        <w:spacing w:line="360" w:lineRule="auto"/>
        <w:ind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42.3因不可抗力引起工程停工的，工期按合同专用条款第13条的有关约定执行，费用承担按如下约定执行：</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（1）工程本身的损害，由发包人承担。</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（2）因工程损害导致第三方人员伤亡和财产损失，如在工程竣工验收合格移交给发包人使用前造成的，费用由承包人承担；如在工程竣工验收合格移交给发包人使用后发生的，费用由发包人承担。</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（3）运至施工场地用于施工的材料和待安装的设备的损害，属发包人供应的由发包人承担；属承包人采购的由承包人承担。</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（4）发包人、承包人的人员伤亡由其所在单位负责，并承担相应费用。</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（5）承包人机械设备损坏及停工损失，由承包人承担。</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（6）停工期间，承包人应总监理工程师要求留在施工场地的必要的管理人员及保卫人员的费用由承包人承担。</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（7）工程所需清理、修复费用，由承包人承担。</w:t>
      </w:r>
    </w:p>
    <w:p>
      <w:pPr>
        <w:adjustRightInd w:val="0"/>
        <w:snapToGrid w:val="0"/>
        <w:spacing w:line="360" w:lineRule="auto"/>
        <w:ind w:right="11" w:firstLine="463" w:firstLineChars="192"/>
        <w:outlineLvl w:val="2"/>
        <w:rPr>
          <w:rFonts w:cs="宋体" w:asciiTheme="majorEastAsia" w:hAnsiTheme="majorEastAsia" w:eastAsiaTheme="majorEastAsia"/>
          <w:b/>
          <w:bCs/>
          <w:snapToGrid w:val="0"/>
          <w:color w:val="auto"/>
          <w:kern w:val="0"/>
          <w:sz w:val="24"/>
          <w:highlight w:val="none"/>
        </w:rPr>
      </w:pPr>
      <w:bookmarkStart w:id="655" w:name="_Toc397364941"/>
      <w:bookmarkStart w:id="656" w:name="_Toc140476956"/>
      <w:bookmarkStart w:id="657" w:name="_Toc7816"/>
      <w:bookmarkStart w:id="658" w:name="_Toc30568"/>
      <w:r>
        <w:rPr>
          <w:rFonts w:hint="eastAsia" w:cs="宋体" w:asciiTheme="majorEastAsia" w:hAnsiTheme="majorEastAsia" w:eastAsiaTheme="majorEastAsia"/>
          <w:b/>
          <w:bCs/>
          <w:snapToGrid w:val="0"/>
          <w:color w:val="auto"/>
          <w:kern w:val="0"/>
          <w:sz w:val="24"/>
          <w:highlight w:val="none"/>
        </w:rPr>
        <w:t>43、保险</w:t>
      </w:r>
      <w:bookmarkEnd w:id="655"/>
      <w:bookmarkEnd w:id="656"/>
      <w:bookmarkEnd w:id="657"/>
      <w:bookmarkEnd w:id="658"/>
    </w:p>
    <w:p>
      <w:pPr>
        <w:adjustRightInd w:val="0"/>
        <w:snapToGrid w:val="0"/>
        <w:spacing w:line="360" w:lineRule="auto"/>
        <w:ind w:right="11" w:firstLine="460" w:firstLineChars="192"/>
        <w:outlineLvl w:val="3"/>
        <w:rPr>
          <w:rFonts w:cs="宋体" w:asciiTheme="majorEastAsia" w:hAnsiTheme="majorEastAsia" w:eastAsiaTheme="majorEastAsia"/>
          <w:snapToGrid w:val="0"/>
          <w:color w:val="auto"/>
          <w:kern w:val="0"/>
          <w:sz w:val="24"/>
          <w:highlight w:val="none"/>
        </w:rPr>
      </w:pPr>
      <w:bookmarkStart w:id="659" w:name="_Toc397364942"/>
      <w:bookmarkStart w:id="660" w:name="_Toc32755"/>
      <w:bookmarkStart w:id="661" w:name="_Toc18318"/>
      <w:r>
        <w:rPr>
          <w:rFonts w:hint="eastAsia" w:cs="宋体" w:asciiTheme="majorEastAsia" w:hAnsiTheme="majorEastAsia" w:eastAsiaTheme="majorEastAsia"/>
          <w:snapToGrid w:val="0"/>
          <w:color w:val="auto"/>
          <w:kern w:val="0"/>
          <w:sz w:val="24"/>
          <w:highlight w:val="none"/>
        </w:rPr>
        <w:t>43.6双方同意按照以下约定购买工程保险，工程保险费已包含在合同价款中，发包人不再另行支付：</w:t>
      </w:r>
    </w:p>
    <w:p>
      <w:p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承包人应当购买的保险包括但不限于：</w:t>
      </w:r>
    </w:p>
    <w:p>
      <w:pPr>
        <w:numPr>
          <w:ilvl w:val="0"/>
          <w:numId w:val="5"/>
        </w:num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建筑职工意外伤害险（足额购买）；</w:t>
      </w:r>
    </w:p>
    <w:p>
      <w:pPr>
        <w:numPr>
          <w:ilvl w:val="0"/>
          <w:numId w:val="5"/>
        </w:num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工伤险；</w:t>
      </w:r>
    </w:p>
    <w:p>
      <w:pPr>
        <w:adjustRightInd w:val="0"/>
        <w:snapToGrid w:val="0"/>
        <w:spacing w:line="360" w:lineRule="auto"/>
        <w:ind w:right="11" w:firstLine="460" w:firstLineChars="192"/>
        <w:rPr>
          <w:rFonts w:cs="宋体" w:asciiTheme="majorEastAsia" w:hAnsiTheme="majorEastAsia" w:eastAsiaTheme="majorEastAsia"/>
          <w:b/>
          <w:bCs/>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3）承包人雇主责任险；</w:t>
      </w:r>
    </w:p>
    <w:p>
      <w:p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4）施工机械设备保险；</w:t>
      </w:r>
    </w:p>
    <w:p>
      <w:p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5）建筑工程一切险、安装工程一切险及第三者责任险（承包人以发包人名义购买并由承包人承担相应费用。如承包人在签订合同之日起30日内未按上述要求购买的，则发包人有权自行购买，相应费用从承包人最近一期工程进度款中扣除）；</w:t>
      </w:r>
    </w:p>
    <w:p>
      <w:p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6）为本合同工作的员工（含临时工）人身意外保险；</w:t>
      </w:r>
    </w:p>
    <w:p>
      <w:p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7）为运至施工场地内用于永久工程的材料和待安装工程设备办理保险。</w:t>
      </w:r>
    </w:p>
    <w:p>
      <w:p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由承包人负责办理的保险，如保险金不足以补偿损失的，应由承包人自行负责补偿。</w:t>
      </w:r>
    </w:p>
    <w:p>
      <w:p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承包人不按上述约定购买保险所产生的后果，由承包人承担。</w:t>
      </w:r>
    </w:p>
    <w:p>
      <w:pPr>
        <w:adjustRightInd w:val="0"/>
        <w:snapToGrid w:val="0"/>
        <w:spacing w:line="360" w:lineRule="auto"/>
        <w:ind w:right="11" w:firstLine="463" w:firstLineChars="192"/>
        <w:outlineLvl w:val="2"/>
        <w:rPr>
          <w:rFonts w:cs="宋体" w:asciiTheme="majorEastAsia" w:hAnsiTheme="majorEastAsia" w:eastAsiaTheme="majorEastAsia"/>
          <w:b/>
          <w:bCs/>
          <w:snapToGrid w:val="0"/>
          <w:color w:val="auto"/>
          <w:kern w:val="0"/>
          <w:sz w:val="24"/>
          <w:highlight w:val="none"/>
        </w:rPr>
      </w:pPr>
      <w:bookmarkStart w:id="662" w:name="_Toc140476957"/>
      <w:r>
        <w:rPr>
          <w:rFonts w:hint="eastAsia" w:cs="宋体" w:asciiTheme="majorEastAsia" w:hAnsiTheme="majorEastAsia" w:eastAsiaTheme="majorEastAsia"/>
          <w:b/>
          <w:bCs/>
          <w:snapToGrid w:val="0"/>
          <w:color w:val="auto"/>
          <w:kern w:val="0"/>
          <w:sz w:val="24"/>
          <w:highlight w:val="none"/>
        </w:rPr>
        <w:t>44、担保</w:t>
      </w:r>
      <w:bookmarkEnd w:id="659"/>
      <w:bookmarkEnd w:id="660"/>
      <w:bookmarkEnd w:id="661"/>
      <w:bookmarkEnd w:id="662"/>
    </w:p>
    <w:p>
      <w:pPr>
        <w:adjustRightInd w:val="0"/>
        <w:snapToGrid w:val="0"/>
        <w:spacing w:line="360" w:lineRule="auto"/>
        <w:ind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44.3双方同意，承包人按如下约定向发包人提供履约担保：</w:t>
      </w:r>
    </w:p>
    <w:p>
      <w:pPr>
        <w:adjustRightInd w:val="0"/>
        <w:snapToGrid w:val="0"/>
        <w:spacing w:line="360" w:lineRule="auto"/>
        <w:ind w:right="11"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在本合同签订后15天内，承包人向发包人提交由在中华人民共和国注册且营业地点在广州市行政辖区内的银行开出的履约银行保函原件，或提交由在中华人民共和国注册且营业地点在广州市行政辖区内的担保公司开出的履约担保原件，或提交由在中华人民共和国注册且营业地点在广州市行政辖区内的保险公司开出的履约保证保险原件。招标文件有载明</w:t>
      </w:r>
      <w:r>
        <w:rPr>
          <w:rFonts w:hint="eastAsia" w:cs="宋体" w:asciiTheme="majorEastAsia" w:hAnsiTheme="majorEastAsia" w:eastAsiaTheme="majorEastAsia"/>
          <w:snapToGrid w:val="0"/>
          <w:color w:val="auto"/>
          <w:kern w:val="0"/>
          <w:sz w:val="24"/>
          <w:highlight w:val="none"/>
        </w:rPr>
        <w:t>履约担保</w:t>
      </w:r>
      <w:r>
        <w:rPr>
          <w:rFonts w:hint="eastAsia" w:cs="宋体" w:asciiTheme="majorEastAsia" w:hAnsiTheme="majorEastAsia" w:eastAsiaTheme="majorEastAsia"/>
          <w:color w:val="auto"/>
          <w:sz w:val="24"/>
          <w:highlight w:val="none"/>
        </w:rPr>
        <w:t>参考格式的，按招标文件要求办理。</w:t>
      </w:r>
    </w:p>
    <w:p>
      <w:p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u w:val="single"/>
        </w:rPr>
      </w:pPr>
      <w:r>
        <w:rPr>
          <w:rFonts w:hint="eastAsia" w:cs="宋体" w:asciiTheme="majorEastAsia" w:hAnsiTheme="majorEastAsia" w:eastAsiaTheme="majorEastAsia"/>
          <w:snapToGrid w:val="0"/>
          <w:color w:val="auto"/>
          <w:kern w:val="0"/>
          <w:sz w:val="24"/>
          <w:highlight w:val="none"/>
        </w:rPr>
        <w:t>承包人如未能在上述约定的时间内提交履约担保的，视为自动放弃中标资格，其所提交的投标保证金不予退还。</w:t>
      </w:r>
    </w:p>
    <w:p>
      <w:pPr>
        <w:adjustRightInd w:val="0"/>
        <w:snapToGrid w:val="0"/>
        <w:spacing w:line="360" w:lineRule="auto"/>
        <w:ind w:right="11" w:firstLine="463" w:firstLineChars="192"/>
        <w:rPr>
          <w:rFonts w:cs="宋体" w:asciiTheme="majorEastAsia" w:hAnsiTheme="majorEastAsia" w:eastAsiaTheme="majorEastAsia"/>
          <w:b/>
          <w:snapToGrid w:val="0"/>
          <w:color w:val="auto"/>
          <w:kern w:val="0"/>
          <w:sz w:val="24"/>
          <w:highlight w:val="none"/>
        </w:rPr>
      </w:pPr>
      <w:r>
        <w:rPr>
          <w:rFonts w:hint="eastAsia" w:cs="宋体" w:asciiTheme="majorEastAsia" w:hAnsiTheme="majorEastAsia" w:eastAsiaTheme="majorEastAsia"/>
          <w:b/>
          <w:snapToGrid w:val="0"/>
          <w:color w:val="auto"/>
          <w:kern w:val="0"/>
          <w:sz w:val="24"/>
          <w:highlight w:val="none"/>
        </w:rPr>
        <w:t>承包人与发包人一致同意增加44.4至44.</w:t>
      </w:r>
      <w:r>
        <w:rPr>
          <w:rFonts w:cs="宋体" w:asciiTheme="majorEastAsia" w:hAnsiTheme="majorEastAsia" w:eastAsiaTheme="majorEastAsia"/>
          <w:b/>
          <w:snapToGrid w:val="0"/>
          <w:color w:val="auto"/>
          <w:kern w:val="0"/>
          <w:sz w:val="24"/>
          <w:highlight w:val="none"/>
        </w:rPr>
        <w:t>7</w:t>
      </w:r>
      <w:r>
        <w:rPr>
          <w:rFonts w:hint="eastAsia" w:cs="宋体" w:asciiTheme="majorEastAsia" w:hAnsiTheme="majorEastAsia" w:eastAsiaTheme="majorEastAsia"/>
          <w:b/>
          <w:snapToGrid w:val="0"/>
          <w:color w:val="auto"/>
          <w:kern w:val="0"/>
          <w:sz w:val="24"/>
          <w:highlight w:val="none"/>
        </w:rPr>
        <w:t>：</w:t>
      </w:r>
    </w:p>
    <w:p>
      <w:pPr>
        <w:adjustRightInd w:val="0"/>
        <w:snapToGrid w:val="0"/>
        <w:spacing w:line="360" w:lineRule="auto"/>
        <w:ind w:right="11"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44.4承包人提交的履约</w:t>
      </w:r>
      <w:r>
        <w:rPr>
          <w:rFonts w:hint="eastAsia" w:cs="宋体" w:asciiTheme="majorEastAsia" w:hAnsiTheme="majorEastAsia" w:eastAsiaTheme="majorEastAsia"/>
          <w:color w:val="auto"/>
          <w:sz w:val="24"/>
          <w:highlight w:val="none"/>
        </w:rPr>
        <w:t>担保</w:t>
      </w:r>
      <w:r>
        <w:rPr>
          <w:rFonts w:hint="eastAsia" w:cs="宋体" w:asciiTheme="majorEastAsia" w:hAnsiTheme="majorEastAsia" w:eastAsiaTheme="majorEastAsia"/>
          <w:snapToGrid w:val="0"/>
          <w:color w:val="auto"/>
          <w:kern w:val="0"/>
          <w:sz w:val="24"/>
          <w:highlight w:val="none"/>
        </w:rPr>
        <w:t>是对本合同约定的承包人的全部义务（包括但不限于承包人违约后应支付的违约金和赔偿金）的担保，承包人的任何一次不履行或不完全履行合同义务的行为，发包人均有权向担保人提出索赔。</w:t>
      </w:r>
    </w:p>
    <w:p>
      <w:pPr>
        <w:adjustRightInd w:val="0"/>
        <w:snapToGrid w:val="0"/>
        <w:spacing w:line="360" w:lineRule="auto"/>
        <w:ind w:right="11" w:firstLine="460" w:firstLineChars="192"/>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44.5承包人不履行或不完全履行合同义务的行为导致发包人依据履约担保向担保人索赔履约担保金额的一部分或者全部的，承包人必须在发包人规定的时间内补充提交履约担保，使得本合同履行期间有效的履约担保金额等于承包人第一次提交的履约担保金额。</w:t>
      </w:r>
    </w:p>
    <w:p>
      <w:pPr>
        <w:adjustRightInd w:val="0"/>
        <w:snapToGrid w:val="0"/>
        <w:spacing w:line="360" w:lineRule="auto"/>
        <w:ind w:right="11"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44.6如果承包人不按发包人的要求及时补充提交履约担保，则发包人有权单方面部分解除或解除本合同，并按合同专用条款第38.4（4）、（5）及47.9、47.10、47.11款的有关约定执行。</w:t>
      </w:r>
    </w:p>
    <w:p>
      <w:pPr>
        <w:adjustRightInd w:val="0"/>
        <w:snapToGrid w:val="0"/>
        <w:spacing w:line="360" w:lineRule="auto"/>
        <w:ind w:right="11"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44.7履约担保的有效期，是从提供履约担保之日起至合同工程竣工验收合格之日止；工程竣工验收备案完成后，承包人可以向发包人申请退还履约担保。</w:t>
      </w:r>
    </w:p>
    <w:p>
      <w:pPr>
        <w:adjustRightInd w:val="0"/>
        <w:snapToGrid w:val="0"/>
        <w:spacing w:line="360" w:lineRule="auto"/>
        <w:ind w:right="11" w:firstLine="463" w:firstLineChars="192"/>
        <w:outlineLvl w:val="2"/>
        <w:rPr>
          <w:rFonts w:cs="宋体" w:asciiTheme="majorEastAsia" w:hAnsiTheme="majorEastAsia" w:eastAsiaTheme="majorEastAsia"/>
          <w:b/>
          <w:bCs/>
          <w:snapToGrid w:val="0"/>
          <w:color w:val="auto"/>
          <w:kern w:val="0"/>
          <w:sz w:val="24"/>
          <w:highlight w:val="none"/>
        </w:rPr>
      </w:pPr>
      <w:bookmarkStart w:id="663" w:name="_Toc27951"/>
      <w:bookmarkStart w:id="664" w:name="_Toc140476958"/>
      <w:bookmarkStart w:id="665" w:name="_Toc6206"/>
      <w:bookmarkStart w:id="666" w:name="_Toc397364943"/>
      <w:r>
        <w:rPr>
          <w:rFonts w:hint="eastAsia" w:cs="宋体" w:asciiTheme="majorEastAsia" w:hAnsiTheme="majorEastAsia" w:eastAsiaTheme="majorEastAsia"/>
          <w:b/>
          <w:bCs/>
          <w:snapToGrid w:val="0"/>
          <w:color w:val="auto"/>
          <w:kern w:val="0"/>
          <w:sz w:val="24"/>
          <w:highlight w:val="none"/>
        </w:rPr>
        <w:t>47、合同解除</w:t>
      </w:r>
      <w:bookmarkEnd w:id="663"/>
      <w:bookmarkEnd w:id="664"/>
      <w:bookmarkEnd w:id="665"/>
      <w:bookmarkEnd w:id="666"/>
    </w:p>
    <w:p>
      <w:pPr>
        <w:adjustRightInd w:val="0"/>
        <w:snapToGrid w:val="0"/>
        <w:spacing w:line="360" w:lineRule="auto"/>
        <w:ind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47.7合同解除后，不影响双方在合同中约定的结算和清理条款的效力，亦不能免除承包人对已完工项目的保修责任。</w:t>
      </w:r>
    </w:p>
    <w:p>
      <w:pPr>
        <w:adjustRightInd w:val="0"/>
        <w:snapToGrid w:val="0"/>
        <w:spacing w:line="360" w:lineRule="auto"/>
        <w:ind w:right="11" w:firstLine="463" w:firstLineChars="192"/>
        <w:rPr>
          <w:rFonts w:cs="宋体" w:asciiTheme="majorEastAsia" w:hAnsiTheme="majorEastAsia" w:eastAsiaTheme="majorEastAsia"/>
          <w:b/>
          <w:snapToGrid w:val="0"/>
          <w:color w:val="auto"/>
          <w:kern w:val="0"/>
          <w:sz w:val="24"/>
          <w:highlight w:val="none"/>
        </w:rPr>
      </w:pPr>
      <w:r>
        <w:rPr>
          <w:rFonts w:hint="eastAsia" w:cs="宋体" w:asciiTheme="majorEastAsia" w:hAnsiTheme="majorEastAsia" w:eastAsiaTheme="majorEastAsia"/>
          <w:b/>
          <w:snapToGrid w:val="0"/>
          <w:color w:val="auto"/>
          <w:kern w:val="0"/>
          <w:sz w:val="24"/>
          <w:highlight w:val="none"/>
        </w:rPr>
        <w:t>承包人与发包人一致同意增加47.8至47.11：</w:t>
      </w:r>
    </w:p>
    <w:p>
      <w:pPr>
        <w:adjustRightInd w:val="0"/>
        <w:snapToGrid w:val="0"/>
        <w:spacing w:line="360" w:lineRule="auto"/>
        <w:ind w:right="11" w:firstLine="460" w:firstLineChars="192"/>
        <w:outlineLvl w:val="3"/>
        <w:rPr>
          <w:rFonts w:cs="宋体" w:asciiTheme="majorEastAsia" w:hAnsiTheme="majorEastAsia" w:eastAsiaTheme="majorEastAsia"/>
          <w:b/>
          <w:bCs/>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47.8发包人有权依据本合同有关条款的约定部分解除合同或解除合同。</w:t>
      </w:r>
    </w:p>
    <w:p>
      <w:pPr>
        <w:adjustRightInd w:val="0"/>
        <w:snapToGrid w:val="0"/>
        <w:spacing w:line="360" w:lineRule="auto"/>
        <w:ind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47.9部分解除合同</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承包人违约致部分解除合同的条件成就时，承包人在此承诺：</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（1）因承包人违约致部分解除合同的条件成就时，发包人有权向承包人发出部分解除合同的通知，该通知送达承包人时部分解除合同即生效，并立即按照合同专用条款第38.4（4）款的约定执行。</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（2）承包人在接到部分解除合同的通知后，在2天内停止该部分工程的施工，并将机械、材料、物件、人员从该部分工程的施工场地撤离。</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停工3天内，发包人、监理单位会同承包人对已完成工程量进行清点。发包人只承认已发生且符合质量验收标准的部分工程，对于已订货而未到现场或在现场未使用的材料、设备等均不予承认，由承包人自行处理。对于承包人已开工但经检验不合格的工程，承包人在总监理工程师发出通知的限期内拆除，并清运出工地，由此带来的损失由承包人自行承担。</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（4）承包人在收到部分解除合同的通知后，若不按上述约定执行，发包人有权自行处理承包人滞留在施工现场的物品，处理费用及因此所造成的损失由承包人承担。</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（5）部分解除合同的通知送达承包人后，发包人就该部分解除合同的工程即可另行与其他单位签订施工合同，承包人不得阻碍新的单位进场施工。</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（6）当部分解除合同的工程额达到本合同价款的50%时，发包人有权解除合同。</w:t>
      </w:r>
    </w:p>
    <w:p>
      <w:pPr>
        <w:adjustRightInd w:val="0"/>
        <w:snapToGrid w:val="0"/>
        <w:spacing w:line="360" w:lineRule="auto"/>
        <w:ind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47.10解除合同</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承包人违约致解除合同的条件成就时，承包人在此承诺：</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（1）因承包人违约致解除合同的条件成就时，发包人有权向承包人发出解除合同的通知，该通知送达承包人时解除合同即生效，并立即按照合同专用条款第38.4（5）款的约定执行。</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承包人接到解除合同的通知后，必须在2天内停止工程施工，并在10天内将机械、材料、物件、人员从施工现场撤离。停工3天内，发包人、监理单位将会同承包人对已完成工程量进行清点，清点规则比照部分解除合同的情形处理。</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承包人未在规定期限内离场的，发包人有权将其留在现场的材料、设备和其他物件临时转运到其他堆放处，由此产生的搬运、保管费用由承包人负责，在此过程中出现的任何非发包人主观故意引起的损坏、遗失及因此所造成的其他损失全部由承包人自行负责，处理费用由承包人承担。</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（4）解除合同的通知送达承包人后，发包人就该解除合同的工程即可另行与其他单位签订施工合同，承包人不得阻碍新的单位进场施工。</w:t>
      </w:r>
    </w:p>
    <w:p>
      <w:pPr>
        <w:adjustRightInd w:val="0"/>
        <w:snapToGrid w:val="0"/>
        <w:spacing w:line="360" w:lineRule="auto"/>
        <w:ind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47.11承包人在部分解除合同或解除合同后，还必须在规定期限内作好已施工项目技术资料和实物的交底、移交工作。承包人因未履行上述义务而给发包人带来工期延误和其他损失的，应赔偿发包人的实际损失。</w:t>
      </w:r>
      <w:bookmarkStart w:id="667" w:name="_Toc122759216"/>
      <w:bookmarkStart w:id="668" w:name="_Toc115711031"/>
    </w:p>
    <w:p>
      <w:pPr>
        <w:adjustRightInd w:val="0"/>
        <w:snapToGrid w:val="0"/>
        <w:spacing w:line="360" w:lineRule="auto"/>
        <w:ind w:right="11" w:firstLine="463" w:firstLineChars="192"/>
        <w:outlineLvl w:val="2"/>
        <w:rPr>
          <w:rFonts w:cs="宋体" w:asciiTheme="majorEastAsia" w:hAnsiTheme="majorEastAsia" w:eastAsiaTheme="majorEastAsia"/>
          <w:b/>
          <w:bCs/>
          <w:snapToGrid w:val="0"/>
          <w:color w:val="auto"/>
          <w:kern w:val="0"/>
          <w:sz w:val="24"/>
          <w:highlight w:val="none"/>
        </w:rPr>
      </w:pPr>
      <w:bookmarkStart w:id="669" w:name="_Toc140476959"/>
      <w:bookmarkStart w:id="670" w:name="_Toc11893"/>
      <w:bookmarkStart w:id="671" w:name="_Toc397364944"/>
      <w:bookmarkStart w:id="672" w:name="_Toc30997"/>
      <w:r>
        <w:rPr>
          <w:rFonts w:hint="eastAsia" w:cs="宋体" w:asciiTheme="majorEastAsia" w:hAnsiTheme="majorEastAsia" w:eastAsiaTheme="majorEastAsia"/>
          <w:b/>
          <w:bCs/>
          <w:snapToGrid w:val="0"/>
          <w:color w:val="auto"/>
          <w:kern w:val="0"/>
          <w:sz w:val="24"/>
          <w:highlight w:val="none"/>
        </w:rPr>
        <w:t>50、补充条款</w:t>
      </w:r>
      <w:bookmarkEnd w:id="669"/>
      <w:bookmarkEnd w:id="670"/>
      <w:bookmarkEnd w:id="671"/>
      <w:bookmarkEnd w:id="672"/>
    </w:p>
    <w:p>
      <w:pPr>
        <w:adjustRightInd w:val="0"/>
        <w:snapToGrid w:val="0"/>
        <w:spacing w:line="360" w:lineRule="auto"/>
        <w:ind w:right="11"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50.1临水、临电由承包人在施工总承包单位提供的接驳点接入，并完成水、电表安装及承包人施工所需的水、电接驳管（线）敷设，所需费用已包含在合同总价中，发包人不再另行支付。</w:t>
      </w:r>
    </w:p>
    <w:p>
      <w:pPr>
        <w:adjustRightInd w:val="0"/>
        <w:snapToGrid w:val="0"/>
        <w:spacing w:line="360" w:lineRule="auto"/>
        <w:ind w:right="11" w:firstLine="460" w:firstLineChars="192"/>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50.2承包人承诺：严格按照合同和招投标文件规定履行义务，并同意发包人将其执行国家强制性规范、标准和履行合同、招投标文件义务的情况（包括但不限于由发包人组织的考核、考评通报、违约处理决定等）在发包人网站及其他媒体上公开披露，并且不向发包人提出任何赔偿或补偿要求。</w:t>
      </w:r>
    </w:p>
    <w:p>
      <w:pPr>
        <w:adjustRightInd w:val="0"/>
        <w:snapToGrid w:val="0"/>
        <w:spacing w:line="360" w:lineRule="auto"/>
        <w:ind w:right="11" w:firstLine="480" w:firstLineChars="20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50.3双方一致同意，在工程未竣工验收移交前所有工程资料均归发包人所有，并必须在现场存放保管，发包人委托监理单位负责看管，在未得到发包人同意前，上述资料不得移出工地现场。</w:t>
      </w:r>
    </w:p>
    <w:p>
      <w:pPr>
        <w:autoSpaceDE w:val="0"/>
        <w:autoSpaceDN w:val="0"/>
        <w:adjustRightInd w:val="0"/>
        <w:snapToGrid w:val="0"/>
        <w:spacing w:line="360" w:lineRule="auto"/>
        <w:ind w:firstLine="48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50.4承包人必须接受政府有关部门对本工程的监督，并无条件配合政府指定的审计机构的审计。</w:t>
      </w:r>
    </w:p>
    <w:p>
      <w:pPr>
        <w:autoSpaceDE w:val="0"/>
        <w:autoSpaceDN w:val="0"/>
        <w:adjustRightInd w:val="0"/>
        <w:snapToGrid w:val="0"/>
        <w:spacing w:line="360" w:lineRule="auto"/>
        <w:ind w:firstLine="48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50.5综合考评</w:t>
      </w:r>
    </w:p>
    <w:p>
      <w:pPr>
        <w:autoSpaceDE w:val="0"/>
        <w:autoSpaceDN w:val="0"/>
        <w:adjustRightInd w:val="0"/>
        <w:snapToGrid w:val="0"/>
        <w:spacing w:line="360" w:lineRule="auto"/>
        <w:ind w:firstLine="48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鉴于本工程的重要性，为确保本合同工程质量，发包人将对参与本合同项目建设的设计、施工、监理等单位进行综合考评，并根据综合考评的结果按照相关规定执行。</w:t>
      </w:r>
    </w:p>
    <w:p>
      <w:pPr>
        <w:autoSpaceDE w:val="0"/>
        <w:autoSpaceDN w:val="0"/>
        <w:adjustRightInd w:val="0"/>
        <w:snapToGrid w:val="0"/>
        <w:spacing w:line="360" w:lineRule="auto"/>
        <w:ind w:firstLine="48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50.6.补充条款</w:t>
      </w:r>
    </w:p>
    <w:p>
      <w:pPr>
        <w:autoSpaceDE w:val="0"/>
        <w:autoSpaceDN w:val="0"/>
        <w:adjustRightInd w:val="0"/>
        <w:snapToGrid w:val="0"/>
        <w:spacing w:line="360" w:lineRule="auto"/>
        <w:ind w:firstLine="48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50.6.1本着施工企业对所承包的工程质量负责到底的精神，承包人自工程完工并验收合格之日起（或工程未验收之前由发包人通知交付使用之日起）对工程质量实施保修。发包人扣留结算价的3%作为保修期的保证金，待保修期满后再支付给承包人（无息）。保修期内在正常使用的条件下，确因施工方面的原因而发生的工程质量问题，其返修工作及修复费均由承包人负责，为了保证设施的正常使用功能，避免发生事故，承包人在接到返修通知后一星期内必须进场返修，否则，发包人有权安排其它施工单位进场返修，所发生的费用由承包人负责支付。工程验收合格之前，工程的保管责任由承包人负责，工程质量按国务院279号《建筑工程质量管理条例执行》。</w:t>
      </w:r>
    </w:p>
    <w:p>
      <w:pPr>
        <w:autoSpaceDE w:val="0"/>
        <w:autoSpaceDN w:val="0"/>
        <w:adjustRightInd w:val="0"/>
        <w:snapToGrid w:val="0"/>
        <w:spacing w:line="360" w:lineRule="auto"/>
        <w:ind w:firstLine="48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50.6.2承包人的项目经理、副经理以及主要行政与技术领导等，必须常驻工地，不得兼职。合同对承包人的各种人员的到位情况和任职是作为一种条件来要求的（特别是项目经理部的主要管理人员、主要技术人员）。必须保证投标文件中拟定的项目经理及其主要管理人员和技术人员能及时地、始终地参与本工程的施工管理，未经发包人同意，不得随意更换。合同签订后，项目经理、项目班子主要成员不到位，则工程师不签发开工令，工期不顺延；施工中班子主要成员离开工地应向发包人请假，经批准后才能离开，擅自离开工地，工程师将发出停工令，待人员回到岗位后才批准复工，由此产生的工期及经济损失由承包人自负，造成发包人和建设管理方损失的，发包人和建设管理方保留索赔的权利。</w:t>
      </w:r>
    </w:p>
    <w:p>
      <w:pPr>
        <w:autoSpaceDE w:val="0"/>
        <w:autoSpaceDN w:val="0"/>
        <w:adjustRightInd w:val="0"/>
        <w:snapToGrid w:val="0"/>
        <w:spacing w:line="360" w:lineRule="auto"/>
        <w:ind w:firstLine="48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50.6.3已明确架空线、地下管线的，承包人有责任保护其安全，如因施工损坏，由承包人承担相关责任并负责经济赔偿。凡标明有地下管线的地方，应挖探坑查明管线的具体位置并作出保护措施后方可施工。为保护好地下管线，要求承包人在钻桩开钻及排水沟、基坑开挖前，先进行勘探性探测（钻孔桩施工时应挖相当桩截面不少于3.0米深的探坑），确认没有遇到地下任何管线后，才允许开钻及开挖，否则由此引起的一切损失由承包人负责。</w:t>
      </w:r>
    </w:p>
    <w:p>
      <w:pPr>
        <w:autoSpaceDE w:val="0"/>
        <w:autoSpaceDN w:val="0"/>
        <w:adjustRightInd w:val="0"/>
        <w:snapToGrid w:val="0"/>
        <w:spacing w:line="360" w:lineRule="auto"/>
        <w:ind w:firstLine="48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50.6.4施工场地的管理和责任</w:t>
      </w:r>
    </w:p>
    <w:p>
      <w:pPr>
        <w:autoSpaceDE w:val="0"/>
        <w:autoSpaceDN w:val="0"/>
        <w:adjustRightInd w:val="0"/>
        <w:snapToGrid w:val="0"/>
        <w:spacing w:line="360" w:lineRule="auto"/>
        <w:ind w:firstLine="48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（1）承包人只能在发包人提供的施工场地范围内进行布置、安排和组织施工。承包人如需占用发包人提供的施工场地范围以外的场地，须自行办理有关手续及支付相关费用。</w:t>
      </w:r>
    </w:p>
    <w:p>
      <w:pPr>
        <w:autoSpaceDE w:val="0"/>
        <w:autoSpaceDN w:val="0"/>
        <w:adjustRightInd w:val="0"/>
        <w:snapToGrid w:val="0"/>
        <w:spacing w:line="360" w:lineRule="auto"/>
        <w:ind w:firstLine="48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（2）鉴于工程建设项目的特点，发包人可能会分期提供场地，承包人应据此调整施工进度计划。只有承包人提供足够的资料证明发包人拖延其关键工序的开始，这种拖延才被视为补偿事件，并获得发包人批准。</w:t>
      </w:r>
    </w:p>
    <w:p>
      <w:pPr>
        <w:autoSpaceDE w:val="0"/>
        <w:autoSpaceDN w:val="0"/>
        <w:adjustRightInd w:val="0"/>
        <w:snapToGrid w:val="0"/>
        <w:spacing w:line="360" w:lineRule="auto"/>
        <w:ind w:firstLine="48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50.6.5为强化施工现场过程监督，提升工程质量安全和文明施工水平，按相关要求须对工程实行视频监控管理的，视频监控系统应满足高点全局监控，基本无盲点覆盖的要求，具体以建设主管部门及发包人的相关要求为准。</w:t>
      </w:r>
    </w:p>
    <w:p>
      <w:pPr>
        <w:autoSpaceDE w:val="0"/>
        <w:autoSpaceDN w:val="0"/>
        <w:adjustRightInd w:val="0"/>
        <w:snapToGrid w:val="0"/>
        <w:spacing w:line="360" w:lineRule="auto"/>
        <w:ind w:firstLine="48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50.6.6根据《广州市城乡建设委员会关于加强在建重点工程建筑废弃物运输管理的通知》（穗建质[2013]1799号）的要求，承包人应加强对建筑废弃物的运输管理，落实具体管理措施，与具有《广州市建筑废弃物处置证》的运输单位直接签订建筑废弃物运输合同，并认真执行“一不准进、三不准出”的规定（“一不准进”是指无《广州市建筑废弃物运输车辆标识》的车辆不准进入工地现场运输建筑废弃物，“三不准出”是指超载、无遮盖、未冲洗干净车轮和车身的车辆，坚决不准驶出工地）。必须配备施工现场建筑废弃物排放管理人员（建筑废弃物监督员）并履责，监督管理建筑废弃物的装载、运输车辆出入工地等。如因措施不力导致受到个人或有关部门投诉或处罚，发包人经核实后每次处罚承包人违约金5000元并限期整改。</w:t>
      </w:r>
    </w:p>
    <w:p>
      <w:pPr>
        <w:autoSpaceDE w:val="0"/>
        <w:autoSpaceDN w:val="0"/>
        <w:adjustRightInd w:val="0"/>
        <w:snapToGrid w:val="0"/>
        <w:spacing w:line="360" w:lineRule="auto"/>
        <w:ind w:firstLine="480"/>
        <w:outlineLvl w:val="3"/>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50.6.7承包人应严格按照发包人制定的《工程变更管理办法》、《工程竣工验收管理办法》、《工程竣工档案整理验收管理办法》及《市政工程结算工作的规定》等有关规章制度执行。</w:t>
      </w:r>
    </w:p>
    <w:p>
      <w:pPr>
        <w:autoSpaceDE w:val="0"/>
        <w:autoSpaceDN w:val="0"/>
        <w:adjustRightInd w:val="0"/>
        <w:snapToGrid w:val="0"/>
        <w:spacing w:line="360" w:lineRule="auto"/>
        <w:ind w:firstLine="480"/>
        <w:outlineLvl w:val="3"/>
        <w:rPr>
          <w:rFonts w:cs="宋体" w:asciiTheme="majorEastAsia" w:hAnsiTheme="majorEastAsia" w:eastAsiaTheme="majorEastAsia"/>
          <w:snapToGrid w:val="0"/>
          <w:color w:val="auto"/>
          <w:kern w:val="0"/>
          <w:sz w:val="24"/>
          <w:highlight w:val="none"/>
        </w:rPr>
      </w:pPr>
    </w:p>
    <w:bookmarkEnd w:id="667"/>
    <w:bookmarkEnd w:id="668"/>
    <w:p>
      <w:pPr>
        <w:adjustRightInd w:val="0"/>
        <w:snapToGrid w:val="0"/>
        <w:spacing w:line="360" w:lineRule="auto"/>
        <w:jc w:val="center"/>
        <w:outlineLvl w:val="0"/>
        <w:rPr>
          <w:rFonts w:cs="宋体" w:asciiTheme="majorEastAsia" w:hAnsiTheme="majorEastAsia" w:eastAsiaTheme="majorEastAsia"/>
          <w:b/>
          <w:bCs/>
          <w:snapToGrid w:val="0"/>
          <w:color w:val="auto"/>
          <w:kern w:val="0"/>
          <w:sz w:val="44"/>
          <w:szCs w:val="44"/>
          <w:highlight w:val="none"/>
        </w:rPr>
        <w:sectPr>
          <w:pgSz w:w="11907" w:h="16840"/>
          <w:pgMar w:top="1440" w:right="1797" w:bottom="1440" w:left="1797" w:header="851" w:footer="992" w:gutter="0"/>
          <w:cols w:space="720" w:num="1"/>
          <w:docGrid w:type="lines" w:linePitch="312" w:charSpace="0"/>
        </w:sectPr>
      </w:pPr>
      <w:bookmarkStart w:id="673" w:name="_Toc397364945"/>
      <w:bookmarkStart w:id="674" w:name="_Toc25091"/>
      <w:bookmarkStart w:id="675" w:name="_Toc10670"/>
    </w:p>
    <w:p>
      <w:pPr>
        <w:adjustRightInd w:val="0"/>
        <w:snapToGrid w:val="0"/>
        <w:spacing w:line="360" w:lineRule="auto"/>
        <w:jc w:val="center"/>
        <w:outlineLvl w:val="0"/>
        <w:rPr>
          <w:rFonts w:cs="宋体" w:asciiTheme="majorEastAsia" w:hAnsiTheme="majorEastAsia" w:eastAsiaTheme="majorEastAsia"/>
          <w:b/>
          <w:bCs/>
          <w:snapToGrid w:val="0"/>
          <w:color w:val="auto"/>
          <w:kern w:val="0"/>
          <w:sz w:val="44"/>
          <w:szCs w:val="44"/>
          <w:highlight w:val="none"/>
        </w:rPr>
      </w:pPr>
      <w:bookmarkStart w:id="676" w:name="_Toc140476960"/>
      <w:r>
        <w:rPr>
          <w:rFonts w:hint="eastAsia" w:cs="宋体" w:asciiTheme="majorEastAsia" w:hAnsiTheme="majorEastAsia" w:eastAsiaTheme="majorEastAsia"/>
          <w:b/>
          <w:bCs/>
          <w:snapToGrid w:val="0"/>
          <w:color w:val="auto"/>
          <w:kern w:val="0"/>
          <w:sz w:val="44"/>
          <w:szCs w:val="44"/>
          <w:highlight w:val="none"/>
        </w:rPr>
        <w:t>第四部分  合同附件</w:t>
      </w:r>
      <w:bookmarkEnd w:id="673"/>
      <w:bookmarkEnd w:id="674"/>
      <w:bookmarkEnd w:id="675"/>
      <w:bookmarkEnd w:id="676"/>
    </w:p>
    <w:p>
      <w:pPr>
        <w:pStyle w:val="6"/>
        <w:jc w:val="left"/>
        <w:rPr>
          <w:rFonts w:cs="宋体" w:asciiTheme="majorEastAsia" w:hAnsiTheme="majorEastAsia" w:eastAsiaTheme="majorEastAsia"/>
          <w:b/>
          <w:bCs/>
          <w:color w:val="auto"/>
          <w:sz w:val="32"/>
          <w:szCs w:val="32"/>
          <w:highlight w:val="none"/>
        </w:rPr>
      </w:pPr>
      <w:bookmarkStart w:id="677" w:name="_Toc3466"/>
      <w:bookmarkStart w:id="678" w:name="_Toc397364946"/>
      <w:bookmarkStart w:id="679" w:name="_Toc1894"/>
      <w:bookmarkStart w:id="680" w:name="_Toc132199654"/>
      <w:r>
        <w:rPr>
          <w:rFonts w:hint="eastAsia" w:cs="宋体" w:asciiTheme="majorEastAsia" w:hAnsiTheme="majorEastAsia" w:eastAsiaTheme="majorEastAsia"/>
          <w:b/>
          <w:bCs/>
          <w:color w:val="auto"/>
          <w:sz w:val="32"/>
          <w:szCs w:val="32"/>
          <w:highlight w:val="none"/>
        </w:rPr>
        <w:t>附件</w:t>
      </w:r>
    </w:p>
    <w:p>
      <w:pPr>
        <w:adjustRightInd w:val="0"/>
        <w:snapToGrid w:val="0"/>
        <w:spacing w:line="360" w:lineRule="auto"/>
        <w:jc w:val="center"/>
        <w:outlineLvl w:val="1"/>
        <w:rPr>
          <w:rFonts w:cs="宋体" w:asciiTheme="majorEastAsia" w:hAnsiTheme="majorEastAsia" w:eastAsiaTheme="majorEastAsia"/>
          <w:b/>
          <w:bCs/>
          <w:snapToGrid w:val="0"/>
          <w:color w:val="auto"/>
          <w:kern w:val="0"/>
          <w:sz w:val="32"/>
          <w:szCs w:val="32"/>
          <w:highlight w:val="none"/>
        </w:rPr>
      </w:pPr>
      <w:bookmarkStart w:id="681" w:name="_Toc140476961"/>
      <w:r>
        <w:rPr>
          <w:rFonts w:hint="eastAsia" w:cs="宋体" w:asciiTheme="majorEastAsia" w:hAnsiTheme="majorEastAsia" w:eastAsiaTheme="majorEastAsia"/>
          <w:b/>
          <w:bCs/>
          <w:snapToGrid w:val="0"/>
          <w:color w:val="auto"/>
          <w:kern w:val="0"/>
          <w:sz w:val="32"/>
          <w:szCs w:val="32"/>
          <w:highlight w:val="none"/>
        </w:rPr>
        <w:t>1、中标通知书</w:t>
      </w:r>
      <w:bookmarkEnd w:id="677"/>
      <w:bookmarkEnd w:id="678"/>
      <w:bookmarkEnd w:id="679"/>
      <w:bookmarkEnd w:id="681"/>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
        <w:jc w:val="left"/>
        <w:rPr>
          <w:rFonts w:cs="宋体" w:asciiTheme="majorEastAsia" w:hAnsiTheme="majorEastAsia" w:eastAsiaTheme="majorEastAsia"/>
          <w:b/>
          <w:bCs/>
          <w:color w:val="auto"/>
          <w:sz w:val="32"/>
          <w:szCs w:val="32"/>
          <w:highlight w:val="none"/>
        </w:rPr>
      </w:pPr>
      <w:r>
        <w:rPr>
          <w:rFonts w:hint="eastAsia" w:cs="宋体" w:asciiTheme="majorEastAsia" w:hAnsiTheme="majorEastAsia" w:eastAsiaTheme="majorEastAsia"/>
          <w:b/>
          <w:color w:val="auto"/>
          <w:sz w:val="32"/>
          <w:szCs w:val="32"/>
          <w:highlight w:val="none"/>
        </w:rPr>
        <w:br w:type="page"/>
      </w:r>
      <w:bookmarkEnd w:id="680"/>
      <w:bookmarkStart w:id="682" w:name="_Toc132199656"/>
      <w:bookmarkStart w:id="683" w:name="_Toc132199655"/>
      <w:r>
        <w:rPr>
          <w:rFonts w:hint="eastAsia" w:cs="宋体" w:asciiTheme="majorEastAsia" w:hAnsiTheme="majorEastAsia" w:eastAsiaTheme="majorEastAsia"/>
          <w:b/>
          <w:bCs/>
          <w:color w:val="auto"/>
          <w:sz w:val="32"/>
          <w:szCs w:val="32"/>
          <w:highlight w:val="none"/>
        </w:rPr>
        <w:t>附件</w:t>
      </w:r>
    </w:p>
    <w:p>
      <w:pPr>
        <w:adjustRightInd w:val="0"/>
        <w:snapToGrid w:val="0"/>
        <w:spacing w:line="360" w:lineRule="auto"/>
        <w:jc w:val="center"/>
        <w:outlineLvl w:val="1"/>
        <w:rPr>
          <w:rFonts w:cs="宋体" w:asciiTheme="majorEastAsia" w:hAnsiTheme="majorEastAsia" w:eastAsiaTheme="majorEastAsia"/>
          <w:b/>
          <w:bCs/>
          <w:snapToGrid w:val="0"/>
          <w:color w:val="auto"/>
          <w:kern w:val="0"/>
          <w:sz w:val="32"/>
          <w:szCs w:val="32"/>
          <w:highlight w:val="none"/>
        </w:rPr>
      </w:pPr>
      <w:bookmarkStart w:id="684" w:name="_Toc140476962"/>
      <w:bookmarkStart w:id="685" w:name="_Toc8147"/>
      <w:bookmarkStart w:id="686" w:name="_Toc17193"/>
      <w:r>
        <w:rPr>
          <w:rFonts w:hint="eastAsia" w:cs="宋体" w:asciiTheme="majorEastAsia" w:hAnsiTheme="majorEastAsia" w:eastAsiaTheme="majorEastAsia"/>
          <w:b/>
          <w:bCs/>
          <w:snapToGrid w:val="0"/>
          <w:color w:val="auto"/>
          <w:kern w:val="0"/>
          <w:sz w:val="32"/>
          <w:szCs w:val="32"/>
          <w:highlight w:val="none"/>
        </w:rPr>
        <w:t>2</w:t>
      </w:r>
      <w:r>
        <w:rPr>
          <w:rFonts w:cs="宋体" w:asciiTheme="majorEastAsia" w:hAnsiTheme="majorEastAsia" w:eastAsiaTheme="majorEastAsia"/>
          <w:b/>
          <w:bCs/>
          <w:snapToGrid w:val="0"/>
          <w:color w:val="auto"/>
          <w:kern w:val="0"/>
          <w:sz w:val="32"/>
          <w:szCs w:val="32"/>
          <w:highlight w:val="none"/>
        </w:rPr>
        <w:t>、</w:t>
      </w:r>
      <w:r>
        <w:rPr>
          <w:rFonts w:hint="eastAsia" w:cs="宋体" w:asciiTheme="majorEastAsia" w:hAnsiTheme="majorEastAsia" w:eastAsiaTheme="majorEastAsia"/>
          <w:b/>
          <w:bCs/>
          <w:snapToGrid w:val="0"/>
          <w:color w:val="auto"/>
          <w:kern w:val="0"/>
          <w:sz w:val="32"/>
          <w:szCs w:val="32"/>
          <w:highlight w:val="none"/>
        </w:rPr>
        <w:t>施工组织架构图及投入主要人员汇总表</w:t>
      </w:r>
      <w:bookmarkEnd w:id="684"/>
      <w:bookmarkEnd w:id="685"/>
      <w:bookmarkEnd w:id="686"/>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topLinePunct/>
        <w:adjustRightInd w:val="0"/>
        <w:snapToGrid w:val="0"/>
        <w:spacing w:line="360" w:lineRule="auto"/>
        <w:jc w:val="left"/>
        <w:rPr>
          <w:rFonts w:cs="宋体" w:asciiTheme="majorEastAsia" w:hAnsiTheme="majorEastAsia" w:eastAsiaTheme="majorEastAsia"/>
          <w:b/>
          <w:bCs/>
          <w:snapToGrid w:val="0"/>
          <w:color w:val="auto"/>
          <w:kern w:val="0"/>
          <w:sz w:val="32"/>
          <w:szCs w:val="32"/>
          <w:highlight w:val="none"/>
        </w:rPr>
      </w:pPr>
      <w:r>
        <w:rPr>
          <w:rFonts w:hint="eastAsia" w:cs="宋体" w:asciiTheme="majorEastAsia" w:hAnsiTheme="majorEastAsia" w:eastAsiaTheme="majorEastAsia"/>
          <w:snapToGrid w:val="0"/>
          <w:color w:val="auto"/>
          <w:kern w:val="0"/>
          <w:sz w:val="24"/>
          <w:highlight w:val="none"/>
        </w:rPr>
        <w:br w:type="page"/>
      </w:r>
      <w:r>
        <w:rPr>
          <w:rFonts w:hint="eastAsia" w:cs="宋体" w:asciiTheme="majorEastAsia" w:hAnsiTheme="majorEastAsia" w:eastAsiaTheme="majorEastAsia"/>
          <w:b/>
          <w:bCs/>
          <w:snapToGrid w:val="0"/>
          <w:color w:val="auto"/>
          <w:kern w:val="0"/>
          <w:sz w:val="32"/>
          <w:szCs w:val="32"/>
          <w:highlight w:val="none"/>
        </w:rPr>
        <w:t>附件</w:t>
      </w:r>
    </w:p>
    <w:p>
      <w:pPr>
        <w:adjustRightInd w:val="0"/>
        <w:snapToGrid w:val="0"/>
        <w:spacing w:line="360" w:lineRule="auto"/>
        <w:jc w:val="center"/>
        <w:outlineLvl w:val="1"/>
        <w:rPr>
          <w:rFonts w:cs="宋体" w:asciiTheme="majorEastAsia" w:hAnsiTheme="majorEastAsia" w:eastAsiaTheme="majorEastAsia"/>
          <w:b/>
          <w:bCs/>
          <w:snapToGrid w:val="0"/>
          <w:color w:val="auto"/>
          <w:kern w:val="0"/>
          <w:sz w:val="32"/>
          <w:szCs w:val="32"/>
          <w:highlight w:val="none"/>
        </w:rPr>
      </w:pPr>
      <w:bookmarkStart w:id="687" w:name="_Toc140476963"/>
      <w:bookmarkStart w:id="688" w:name="_Toc13065"/>
      <w:bookmarkStart w:id="689" w:name="_Toc30677"/>
      <w:r>
        <w:rPr>
          <w:rFonts w:hint="eastAsia" w:cs="宋体" w:asciiTheme="majorEastAsia" w:hAnsiTheme="majorEastAsia" w:eastAsiaTheme="majorEastAsia"/>
          <w:b/>
          <w:bCs/>
          <w:snapToGrid w:val="0"/>
          <w:color w:val="auto"/>
          <w:kern w:val="0"/>
          <w:sz w:val="32"/>
          <w:szCs w:val="32"/>
          <w:highlight w:val="none"/>
        </w:rPr>
        <w:t>3</w:t>
      </w:r>
      <w:r>
        <w:rPr>
          <w:rFonts w:cs="宋体" w:asciiTheme="majorEastAsia" w:hAnsiTheme="majorEastAsia" w:eastAsiaTheme="majorEastAsia"/>
          <w:b/>
          <w:bCs/>
          <w:snapToGrid w:val="0"/>
          <w:color w:val="auto"/>
          <w:kern w:val="0"/>
          <w:sz w:val="32"/>
          <w:szCs w:val="32"/>
          <w:highlight w:val="none"/>
        </w:rPr>
        <w:t>、</w:t>
      </w:r>
      <w:r>
        <w:rPr>
          <w:rFonts w:hint="eastAsia" w:cs="宋体" w:asciiTheme="majorEastAsia" w:hAnsiTheme="majorEastAsia" w:eastAsiaTheme="majorEastAsia"/>
          <w:b/>
          <w:bCs/>
          <w:snapToGrid w:val="0"/>
          <w:color w:val="auto"/>
          <w:kern w:val="0"/>
          <w:sz w:val="32"/>
          <w:szCs w:val="32"/>
          <w:highlight w:val="none"/>
        </w:rPr>
        <w:t>投入主要施工机械设备表</w:t>
      </w:r>
      <w:bookmarkEnd w:id="687"/>
      <w:bookmarkEnd w:id="688"/>
      <w:bookmarkEnd w:id="689"/>
    </w:p>
    <w:p>
      <w:pPr>
        <w:spacing w:line="360" w:lineRule="auto"/>
        <w:ind w:firstLine="480" w:firstLineChars="200"/>
        <w:rPr>
          <w:rFonts w:cs="仿宋_GB2312" w:asciiTheme="majorEastAsia" w:hAnsiTheme="majorEastAsia" w:eastAsiaTheme="majorEastAsia"/>
          <w:snapToGrid w:val="0"/>
          <w:color w:val="auto"/>
          <w:sz w:val="24"/>
          <w:szCs w:val="20"/>
          <w:highlight w:val="none"/>
        </w:rPr>
      </w:pPr>
    </w:p>
    <w:p>
      <w:pPr>
        <w:spacing w:line="360" w:lineRule="auto"/>
        <w:ind w:firstLine="480" w:firstLineChars="200"/>
        <w:rPr>
          <w:rFonts w:cs="仿宋_GB2312" w:asciiTheme="majorEastAsia" w:hAnsiTheme="majorEastAsia" w:eastAsiaTheme="majorEastAsia"/>
          <w:snapToGrid w:val="0"/>
          <w:color w:val="auto"/>
          <w:sz w:val="24"/>
          <w:szCs w:val="20"/>
          <w:highlight w:val="none"/>
        </w:rPr>
      </w:pPr>
    </w:p>
    <w:p>
      <w:pPr>
        <w:spacing w:line="360" w:lineRule="auto"/>
        <w:ind w:firstLine="480" w:firstLineChars="200"/>
        <w:rPr>
          <w:rFonts w:cs="仿宋_GB2312" w:asciiTheme="majorEastAsia" w:hAnsiTheme="majorEastAsia" w:eastAsiaTheme="majorEastAsia"/>
          <w:snapToGrid w:val="0"/>
          <w:color w:val="auto"/>
          <w:sz w:val="24"/>
          <w:szCs w:val="20"/>
          <w:highlight w:val="none"/>
        </w:rPr>
      </w:pPr>
    </w:p>
    <w:p>
      <w:pPr>
        <w:spacing w:line="360" w:lineRule="auto"/>
        <w:ind w:firstLine="480" w:firstLineChars="200"/>
        <w:rPr>
          <w:rFonts w:cs="仿宋_GB2312" w:asciiTheme="majorEastAsia" w:hAnsiTheme="majorEastAsia" w:eastAsiaTheme="majorEastAsia"/>
          <w:snapToGrid w:val="0"/>
          <w:color w:val="auto"/>
          <w:sz w:val="24"/>
          <w:szCs w:val="20"/>
          <w:highlight w:val="none"/>
        </w:rPr>
      </w:pPr>
    </w:p>
    <w:p>
      <w:pPr>
        <w:spacing w:line="360" w:lineRule="auto"/>
        <w:ind w:firstLine="480" w:firstLineChars="200"/>
        <w:rPr>
          <w:rFonts w:cs="仿宋_GB2312" w:asciiTheme="majorEastAsia" w:hAnsiTheme="majorEastAsia" w:eastAsiaTheme="majorEastAsia"/>
          <w:snapToGrid w:val="0"/>
          <w:color w:val="auto"/>
          <w:sz w:val="24"/>
          <w:szCs w:val="20"/>
          <w:highlight w:val="none"/>
        </w:rPr>
      </w:pPr>
    </w:p>
    <w:p>
      <w:pPr>
        <w:spacing w:line="360" w:lineRule="auto"/>
        <w:ind w:firstLine="480" w:firstLineChars="200"/>
        <w:rPr>
          <w:rFonts w:cs="仿宋_GB2312" w:asciiTheme="majorEastAsia" w:hAnsiTheme="majorEastAsia" w:eastAsiaTheme="majorEastAsia"/>
          <w:snapToGrid w:val="0"/>
          <w:color w:val="auto"/>
          <w:sz w:val="24"/>
          <w:szCs w:val="20"/>
          <w:highlight w:val="none"/>
        </w:rPr>
      </w:pPr>
    </w:p>
    <w:p>
      <w:pPr>
        <w:spacing w:line="360" w:lineRule="auto"/>
        <w:ind w:firstLine="480" w:firstLineChars="200"/>
        <w:rPr>
          <w:rFonts w:cs="仿宋_GB2312" w:asciiTheme="majorEastAsia" w:hAnsiTheme="majorEastAsia" w:eastAsiaTheme="majorEastAsia"/>
          <w:snapToGrid w:val="0"/>
          <w:color w:val="auto"/>
          <w:sz w:val="24"/>
          <w:szCs w:val="20"/>
          <w:highlight w:val="none"/>
        </w:rPr>
      </w:pPr>
    </w:p>
    <w:p>
      <w:pPr>
        <w:spacing w:line="360" w:lineRule="auto"/>
        <w:ind w:firstLine="480" w:firstLineChars="200"/>
        <w:rPr>
          <w:rFonts w:cs="仿宋_GB2312" w:asciiTheme="majorEastAsia" w:hAnsiTheme="majorEastAsia" w:eastAsiaTheme="majorEastAsia"/>
          <w:snapToGrid w:val="0"/>
          <w:color w:val="auto"/>
          <w:sz w:val="24"/>
          <w:szCs w:val="20"/>
          <w:highlight w:val="none"/>
        </w:rPr>
      </w:pPr>
    </w:p>
    <w:p>
      <w:pPr>
        <w:spacing w:line="360" w:lineRule="auto"/>
        <w:ind w:firstLine="480" w:firstLineChars="200"/>
        <w:rPr>
          <w:rFonts w:cs="仿宋_GB2312" w:asciiTheme="majorEastAsia" w:hAnsiTheme="majorEastAsia" w:eastAsiaTheme="majorEastAsia"/>
          <w:snapToGrid w:val="0"/>
          <w:color w:val="auto"/>
          <w:sz w:val="24"/>
          <w:szCs w:val="20"/>
          <w:highlight w:val="none"/>
        </w:rPr>
      </w:pPr>
    </w:p>
    <w:p>
      <w:pPr>
        <w:spacing w:line="360" w:lineRule="auto"/>
        <w:ind w:firstLine="480" w:firstLineChars="200"/>
        <w:rPr>
          <w:rFonts w:cs="仿宋_GB2312" w:asciiTheme="majorEastAsia" w:hAnsiTheme="majorEastAsia" w:eastAsiaTheme="majorEastAsia"/>
          <w:snapToGrid w:val="0"/>
          <w:color w:val="auto"/>
          <w:sz w:val="24"/>
          <w:szCs w:val="20"/>
          <w:highlight w:val="none"/>
        </w:rPr>
      </w:pPr>
    </w:p>
    <w:p>
      <w:pPr>
        <w:spacing w:line="360" w:lineRule="auto"/>
        <w:ind w:firstLine="480" w:firstLineChars="200"/>
        <w:rPr>
          <w:rFonts w:cs="仿宋_GB2312" w:asciiTheme="majorEastAsia" w:hAnsiTheme="majorEastAsia" w:eastAsiaTheme="majorEastAsia"/>
          <w:snapToGrid w:val="0"/>
          <w:color w:val="auto"/>
          <w:sz w:val="24"/>
          <w:szCs w:val="20"/>
          <w:highlight w:val="none"/>
        </w:rPr>
      </w:pPr>
    </w:p>
    <w:p>
      <w:pPr>
        <w:spacing w:line="360" w:lineRule="auto"/>
        <w:ind w:firstLine="480" w:firstLineChars="200"/>
        <w:rPr>
          <w:rFonts w:cs="仿宋_GB2312" w:asciiTheme="majorEastAsia" w:hAnsiTheme="majorEastAsia" w:eastAsiaTheme="majorEastAsia"/>
          <w:snapToGrid w:val="0"/>
          <w:color w:val="auto"/>
          <w:sz w:val="24"/>
          <w:szCs w:val="20"/>
          <w:highlight w:val="none"/>
        </w:rPr>
      </w:pPr>
    </w:p>
    <w:p>
      <w:pPr>
        <w:spacing w:line="360" w:lineRule="auto"/>
        <w:ind w:firstLine="480" w:firstLineChars="200"/>
        <w:rPr>
          <w:rFonts w:cs="仿宋_GB2312" w:asciiTheme="majorEastAsia" w:hAnsiTheme="majorEastAsia" w:eastAsiaTheme="majorEastAsia"/>
          <w:snapToGrid w:val="0"/>
          <w:color w:val="auto"/>
          <w:sz w:val="24"/>
          <w:szCs w:val="20"/>
          <w:highlight w:val="none"/>
        </w:rPr>
      </w:pPr>
    </w:p>
    <w:p>
      <w:pPr>
        <w:spacing w:line="360" w:lineRule="auto"/>
        <w:ind w:firstLine="480" w:firstLineChars="200"/>
        <w:rPr>
          <w:rFonts w:cs="仿宋_GB2312" w:asciiTheme="majorEastAsia" w:hAnsiTheme="majorEastAsia" w:eastAsiaTheme="majorEastAsia"/>
          <w:snapToGrid w:val="0"/>
          <w:color w:val="auto"/>
          <w:sz w:val="24"/>
          <w:szCs w:val="20"/>
          <w:highlight w:val="none"/>
        </w:rPr>
      </w:pPr>
    </w:p>
    <w:p>
      <w:pPr>
        <w:spacing w:line="360" w:lineRule="auto"/>
        <w:ind w:firstLine="480" w:firstLineChars="200"/>
        <w:rPr>
          <w:rFonts w:cs="仿宋_GB2312" w:asciiTheme="majorEastAsia" w:hAnsiTheme="majorEastAsia" w:eastAsiaTheme="majorEastAsia"/>
          <w:snapToGrid w:val="0"/>
          <w:color w:val="auto"/>
          <w:sz w:val="24"/>
          <w:szCs w:val="20"/>
          <w:highlight w:val="none"/>
        </w:rPr>
      </w:pPr>
    </w:p>
    <w:p>
      <w:pPr>
        <w:spacing w:line="360" w:lineRule="auto"/>
        <w:ind w:firstLine="480" w:firstLineChars="200"/>
        <w:rPr>
          <w:rFonts w:cs="仿宋_GB2312" w:asciiTheme="majorEastAsia" w:hAnsiTheme="majorEastAsia" w:eastAsiaTheme="majorEastAsia"/>
          <w:snapToGrid w:val="0"/>
          <w:color w:val="auto"/>
          <w:sz w:val="24"/>
          <w:szCs w:val="20"/>
          <w:highlight w:val="none"/>
        </w:rPr>
      </w:pPr>
    </w:p>
    <w:p>
      <w:pPr>
        <w:spacing w:line="360" w:lineRule="auto"/>
        <w:ind w:firstLine="480" w:firstLineChars="200"/>
        <w:rPr>
          <w:rFonts w:cs="仿宋_GB2312" w:asciiTheme="majorEastAsia" w:hAnsiTheme="majorEastAsia" w:eastAsiaTheme="majorEastAsia"/>
          <w:snapToGrid w:val="0"/>
          <w:color w:val="auto"/>
          <w:sz w:val="24"/>
          <w:szCs w:val="20"/>
          <w:highlight w:val="none"/>
        </w:rPr>
      </w:pPr>
    </w:p>
    <w:p>
      <w:pPr>
        <w:spacing w:line="360" w:lineRule="auto"/>
        <w:ind w:firstLine="480" w:firstLineChars="200"/>
        <w:rPr>
          <w:rFonts w:cs="仿宋_GB2312" w:asciiTheme="majorEastAsia" w:hAnsiTheme="majorEastAsia" w:eastAsiaTheme="majorEastAsia"/>
          <w:snapToGrid w:val="0"/>
          <w:color w:val="auto"/>
          <w:sz w:val="24"/>
          <w:szCs w:val="20"/>
          <w:highlight w:val="none"/>
        </w:rPr>
      </w:pPr>
    </w:p>
    <w:p>
      <w:pPr>
        <w:spacing w:line="360" w:lineRule="auto"/>
        <w:ind w:firstLine="480" w:firstLineChars="200"/>
        <w:rPr>
          <w:rFonts w:cs="仿宋_GB2312" w:asciiTheme="majorEastAsia" w:hAnsiTheme="majorEastAsia" w:eastAsiaTheme="majorEastAsia"/>
          <w:snapToGrid w:val="0"/>
          <w:color w:val="auto"/>
          <w:sz w:val="24"/>
          <w:szCs w:val="20"/>
          <w:highlight w:val="none"/>
        </w:rPr>
      </w:pPr>
    </w:p>
    <w:p>
      <w:pPr>
        <w:spacing w:line="360" w:lineRule="auto"/>
        <w:ind w:firstLine="480" w:firstLineChars="200"/>
        <w:rPr>
          <w:rFonts w:cs="仿宋_GB2312" w:asciiTheme="majorEastAsia" w:hAnsiTheme="majorEastAsia" w:eastAsiaTheme="majorEastAsia"/>
          <w:snapToGrid w:val="0"/>
          <w:color w:val="auto"/>
          <w:sz w:val="24"/>
          <w:szCs w:val="20"/>
          <w:highlight w:val="none"/>
        </w:rPr>
      </w:pPr>
    </w:p>
    <w:p>
      <w:pPr>
        <w:spacing w:line="360" w:lineRule="auto"/>
        <w:ind w:firstLine="480" w:firstLineChars="200"/>
        <w:rPr>
          <w:rFonts w:cs="仿宋_GB2312" w:asciiTheme="majorEastAsia" w:hAnsiTheme="majorEastAsia" w:eastAsiaTheme="majorEastAsia"/>
          <w:snapToGrid w:val="0"/>
          <w:color w:val="auto"/>
          <w:sz w:val="24"/>
          <w:szCs w:val="20"/>
          <w:highlight w:val="none"/>
        </w:rPr>
      </w:pPr>
    </w:p>
    <w:p>
      <w:pPr>
        <w:spacing w:line="360" w:lineRule="auto"/>
        <w:ind w:firstLine="480" w:firstLineChars="200"/>
        <w:rPr>
          <w:rFonts w:cs="仿宋_GB2312" w:asciiTheme="majorEastAsia" w:hAnsiTheme="majorEastAsia" w:eastAsiaTheme="majorEastAsia"/>
          <w:snapToGrid w:val="0"/>
          <w:color w:val="auto"/>
          <w:sz w:val="24"/>
          <w:szCs w:val="20"/>
          <w:highlight w:val="none"/>
        </w:rPr>
      </w:pPr>
    </w:p>
    <w:p>
      <w:pPr>
        <w:spacing w:line="360" w:lineRule="auto"/>
        <w:ind w:firstLine="480" w:firstLineChars="200"/>
        <w:rPr>
          <w:rFonts w:cs="仿宋_GB2312" w:asciiTheme="majorEastAsia" w:hAnsiTheme="majorEastAsia" w:eastAsiaTheme="majorEastAsia"/>
          <w:snapToGrid w:val="0"/>
          <w:color w:val="auto"/>
          <w:sz w:val="24"/>
          <w:szCs w:val="20"/>
          <w:highlight w:val="none"/>
        </w:rPr>
      </w:pPr>
    </w:p>
    <w:p>
      <w:pPr>
        <w:spacing w:line="360" w:lineRule="auto"/>
        <w:ind w:firstLine="480" w:firstLineChars="200"/>
        <w:rPr>
          <w:rFonts w:cs="仿宋_GB2312" w:asciiTheme="majorEastAsia" w:hAnsiTheme="majorEastAsia" w:eastAsiaTheme="majorEastAsia"/>
          <w:snapToGrid w:val="0"/>
          <w:color w:val="auto"/>
          <w:sz w:val="24"/>
          <w:szCs w:val="20"/>
          <w:highlight w:val="none"/>
        </w:rPr>
      </w:pPr>
    </w:p>
    <w:p>
      <w:pPr>
        <w:spacing w:line="360" w:lineRule="auto"/>
        <w:ind w:firstLine="480" w:firstLineChars="200"/>
        <w:rPr>
          <w:rFonts w:cs="仿宋_GB2312" w:asciiTheme="majorEastAsia" w:hAnsiTheme="majorEastAsia" w:eastAsiaTheme="majorEastAsia"/>
          <w:snapToGrid w:val="0"/>
          <w:color w:val="auto"/>
          <w:sz w:val="24"/>
          <w:szCs w:val="20"/>
          <w:highlight w:val="none"/>
        </w:rPr>
      </w:pPr>
    </w:p>
    <w:p>
      <w:pPr>
        <w:pStyle w:val="5"/>
        <w:spacing w:line="360" w:lineRule="auto"/>
        <w:ind w:firstLine="0"/>
        <w:rPr>
          <w:rFonts w:cs="宋体" w:asciiTheme="majorEastAsia" w:hAnsiTheme="majorEastAsia" w:eastAsiaTheme="majorEastAsia"/>
          <w:bCs/>
          <w:snapToGrid w:val="0"/>
          <w:color w:val="auto"/>
          <w:kern w:val="0"/>
          <w:sz w:val="32"/>
          <w:szCs w:val="32"/>
          <w:highlight w:val="none"/>
        </w:rPr>
      </w:pPr>
    </w:p>
    <w:p>
      <w:pPr>
        <w:pStyle w:val="6"/>
        <w:rPr>
          <w:rFonts w:cs="宋体" w:asciiTheme="majorEastAsia" w:hAnsiTheme="majorEastAsia" w:eastAsiaTheme="majorEastAsia"/>
          <w:b/>
          <w:bCs/>
          <w:color w:val="auto"/>
          <w:sz w:val="32"/>
          <w:szCs w:val="32"/>
          <w:highlight w:val="none"/>
        </w:rPr>
      </w:pPr>
      <w:r>
        <w:rPr>
          <w:rFonts w:hint="eastAsia" w:cs="宋体" w:asciiTheme="majorEastAsia" w:hAnsiTheme="majorEastAsia" w:eastAsiaTheme="majorEastAsia"/>
          <w:bCs/>
          <w:color w:val="auto"/>
          <w:sz w:val="32"/>
          <w:szCs w:val="32"/>
          <w:highlight w:val="none"/>
        </w:rPr>
        <w:br w:type="page"/>
      </w:r>
      <w:r>
        <w:rPr>
          <w:rFonts w:hint="eastAsia" w:cs="宋体" w:asciiTheme="majorEastAsia" w:hAnsiTheme="majorEastAsia" w:eastAsiaTheme="majorEastAsia"/>
          <w:b/>
          <w:bCs/>
          <w:color w:val="auto"/>
          <w:sz w:val="32"/>
          <w:szCs w:val="32"/>
          <w:highlight w:val="none"/>
        </w:rPr>
        <w:t>附件</w:t>
      </w:r>
    </w:p>
    <w:p>
      <w:pPr>
        <w:pStyle w:val="69"/>
        <w:rPr>
          <w:rFonts w:cs="仿宋" w:asciiTheme="majorEastAsia" w:hAnsiTheme="majorEastAsia" w:eastAsiaTheme="majorEastAsia"/>
          <w:color w:val="auto"/>
          <w:spacing w:val="0"/>
          <w:sz w:val="28"/>
          <w:szCs w:val="28"/>
          <w:highlight w:val="none"/>
        </w:rPr>
      </w:pPr>
      <w:bookmarkStart w:id="690" w:name="_Toc140476964"/>
      <w:bookmarkStart w:id="691" w:name="_Toc397364948"/>
      <w:bookmarkStart w:id="692" w:name="_Toc27177"/>
      <w:bookmarkStart w:id="693" w:name="_Toc9817"/>
      <w:bookmarkStart w:id="694" w:name="_Toc22609"/>
      <w:r>
        <w:rPr>
          <w:rFonts w:hint="eastAsia" w:cs="宋体" w:asciiTheme="majorEastAsia" w:hAnsiTheme="majorEastAsia" w:eastAsiaTheme="majorEastAsia"/>
          <w:bCs/>
          <w:color w:val="auto"/>
          <w:sz w:val="32"/>
          <w:szCs w:val="32"/>
          <w:highlight w:val="none"/>
        </w:rPr>
        <w:t>4</w:t>
      </w:r>
      <w:r>
        <w:rPr>
          <w:rFonts w:cs="宋体" w:asciiTheme="majorEastAsia" w:hAnsiTheme="majorEastAsia" w:eastAsiaTheme="majorEastAsia"/>
          <w:bCs/>
          <w:color w:val="auto"/>
          <w:sz w:val="32"/>
          <w:szCs w:val="32"/>
          <w:highlight w:val="none"/>
        </w:rPr>
        <w:t>、</w:t>
      </w:r>
      <w:r>
        <w:rPr>
          <w:rFonts w:hint="eastAsia" w:cs="宋体" w:asciiTheme="majorEastAsia" w:hAnsiTheme="majorEastAsia" w:eastAsiaTheme="majorEastAsia"/>
          <w:bCs/>
          <w:color w:val="auto"/>
          <w:sz w:val="32"/>
          <w:szCs w:val="32"/>
          <w:highlight w:val="none"/>
        </w:rPr>
        <w:t>工程建设项目廉政责任书</w:t>
      </w:r>
    </w:p>
    <w:p>
      <w:pPr>
        <w:pStyle w:val="57"/>
        <w:ind w:firstLine="576"/>
        <w:rPr>
          <w:rFonts w:asciiTheme="majorEastAsia" w:hAnsiTheme="majorEastAsia" w:eastAsiaTheme="majorEastAsia"/>
          <w:color w:val="auto"/>
          <w:sz w:val="28"/>
          <w:szCs w:val="28"/>
          <w:highlight w:val="none"/>
        </w:rPr>
      </w:pPr>
    </w:p>
    <w:p>
      <w:pPr>
        <w:pStyle w:val="57"/>
        <w:ind w:firstLine="480"/>
        <w:rPr>
          <w:rFonts w:cs="宋体" w:asciiTheme="majorEastAsia" w:hAnsiTheme="majorEastAsia" w:eastAsiaTheme="majorEastAsia"/>
          <w:color w:val="auto"/>
          <w:spacing w:val="0"/>
          <w:highlight w:val="none"/>
        </w:rPr>
      </w:pPr>
      <w:r>
        <w:rPr>
          <w:rFonts w:hint="eastAsia" w:cs="宋体" w:asciiTheme="majorEastAsia" w:hAnsiTheme="majorEastAsia" w:eastAsiaTheme="majorEastAsia"/>
          <w:color w:val="auto"/>
          <w:spacing w:val="0"/>
          <w:highlight w:val="none"/>
        </w:rPr>
        <w:t>工程名称：</w:t>
      </w:r>
      <w:r>
        <w:rPr>
          <w:rFonts w:hint="eastAsia" w:cs="宋体" w:asciiTheme="majorEastAsia" w:hAnsiTheme="majorEastAsia" w:eastAsiaTheme="majorEastAsia"/>
          <w:color w:val="auto"/>
          <w:spacing w:val="0"/>
          <w:highlight w:val="none"/>
          <w:u w:val="single"/>
        </w:rPr>
        <w:t xml:space="preserve">                            </w:t>
      </w:r>
      <w:r>
        <w:rPr>
          <w:rFonts w:hint="eastAsia" w:cs="宋体" w:asciiTheme="majorEastAsia" w:hAnsiTheme="majorEastAsia" w:eastAsiaTheme="majorEastAsia"/>
          <w:color w:val="auto"/>
          <w:spacing w:val="0"/>
          <w:highlight w:val="none"/>
        </w:rPr>
        <w:t xml:space="preserve"> </w:t>
      </w:r>
    </w:p>
    <w:p>
      <w:pPr>
        <w:pStyle w:val="57"/>
        <w:ind w:firstLine="480"/>
        <w:rPr>
          <w:rFonts w:cs="宋体" w:asciiTheme="majorEastAsia" w:hAnsiTheme="majorEastAsia" w:eastAsiaTheme="majorEastAsia"/>
          <w:color w:val="auto"/>
          <w:spacing w:val="0"/>
          <w:highlight w:val="none"/>
        </w:rPr>
      </w:pPr>
      <w:r>
        <w:rPr>
          <w:rFonts w:hint="eastAsia" w:cs="宋体" w:asciiTheme="majorEastAsia" w:hAnsiTheme="majorEastAsia" w:eastAsiaTheme="majorEastAsia"/>
          <w:color w:val="auto"/>
          <w:spacing w:val="0"/>
          <w:highlight w:val="none"/>
        </w:rPr>
        <w:t>工程地址：</w:t>
      </w:r>
      <w:r>
        <w:rPr>
          <w:rFonts w:hint="eastAsia" w:cs="宋体" w:asciiTheme="majorEastAsia" w:hAnsiTheme="majorEastAsia" w:eastAsiaTheme="majorEastAsia"/>
          <w:color w:val="auto"/>
          <w:kern w:val="1"/>
          <w:highlight w:val="none"/>
          <w:u w:val="single"/>
        </w:rPr>
        <w:t xml:space="preserve">                          </w:t>
      </w:r>
    </w:p>
    <w:p>
      <w:pPr>
        <w:pStyle w:val="57"/>
        <w:ind w:firstLine="480"/>
        <w:rPr>
          <w:rFonts w:cs="宋体" w:asciiTheme="majorEastAsia" w:hAnsiTheme="majorEastAsia" w:eastAsiaTheme="majorEastAsia"/>
          <w:color w:val="auto"/>
          <w:spacing w:val="0"/>
          <w:highlight w:val="none"/>
        </w:rPr>
      </w:pPr>
      <w:r>
        <w:rPr>
          <w:rFonts w:hint="eastAsia" w:cs="宋体" w:asciiTheme="majorEastAsia" w:hAnsiTheme="majorEastAsia" w:eastAsiaTheme="majorEastAsia"/>
          <w:color w:val="auto"/>
          <w:spacing w:val="0"/>
          <w:highlight w:val="none"/>
        </w:rPr>
        <w:t>发包人：</w:t>
      </w:r>
      <w:r>
        <w:rPr>
          <w:rFonts w:hint="eastAsia" w:cs="宋体" w:asciiTheme="majorEastAsia" w:hAnsiTheme="majorEastAsia" w:eastAsiaTheme="majorEastAsia"/>
          <w:color w:val="auto"/>
          <w:spacing w:val="0"/>
          <w:highlight w:val="none"/>
          <w:u w:val="single"/>
        </w:rPr>
        <w:t xml:space="preserve">                             </w:t>
      </w:r>
      <w:r>
        <w:rPr>
          <w:rFonts w:hint="eastAsia" w:cs="宋体" w:asciiTheme="majorEastAsia" w:hAnsiTheme="majorEastAsia" w:eastAsiaTheme="majorEastAsia"/>
          <w:color w:val="auto"/>
          <w:spacing w:val="0"/>
          <w:highlight w:val="none"/>
        </w:rPr>
        <w:t xml:space="preserve"> </w:t>
      </w:r>
    </w:p>
    <w:p>
      <w:pPr>
        <w:pStyle w:val="57"/>
        <w:ind w:firstLine="480"/>
        <w:rPr>
          <w:rFonts w:cs="宋体" w:asciiTheme="majorEastAsia" w:hAnsiTheme="majorEastAsia" w:eastAsiaTheme="majorEastAsia"/>
          <w:color w:val="auto"/>
          <w:spacing w:val="0"/>
          <w:highlight w:val="none"/>
        </w:rPr>
      </w:pPr>
      <w:r>
        <w:rPr>
          <w:rFonts w:hint="eastAsia" w:cs="宋体" w:asciiTheme="majorEastAsia" w:hAnsiTheme="majorEastAsia" w:eastAsiaTheme="majorEastAsia"/>
          <w:color w:val="auto"/>
          <w:spacing w:val="0"/>
          <w:highlight w:val="none"/>
        </w:rPr>
        <w:t>承包人：</w:t>
      </w:r>
      <w:r>
        <w:rPr>
          <w:rFonts w:hint="eastAsia" w:cs="宋体" w:asciiTheme="majorEastAsia" w:hAnsiTheme="majorEastAsia" w:eastAsiaTheme="majorEastAsia"/>
          <w:color w:val="auto"/>
          <w:spacing w:val="0"/>
          <w:highlight w:val="none"/>
          <w:u w:val="single"/>
        </w:rPr>
        <w:t xml:space="preserve">                             </w:t>
      </w:r>
    </w:p>
    <w:p>
      <w:pPr>
        <w:pStyle w:val="57"/>
        <w:ind w:firstLine="480"/>
        <w:rPr>
          <w:rFonts w:cs="宋体" w:asciiTheme="majorEastAsia" w:hAnsiTheme="majorEastAsia" w:eastAsiaTheme="majorEastAsia"/>
          <w:color w:val="auto"/>
          <w:spacing w:val="0"/>
          <w:highlight w:val="none"/>
        </w:rPr>
      </w:pPr>
      <w:r>
        <w:rPr>
          <w:rFonts w:hint="eastAsia" w:cs="宋体" w:asciiTheme="majorEastAsia" w:hAnsiTheme="majorEastAsia" w:eastAsiaTheme="majorEastAsia"/>
          <w:color w:val="auto"/>
          <w:spacing w:val="0"/>
          <w:highlight w:val="none"/>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pPr>
        <w:pStyle w:val="57"/>
        <w:ind w:firstLine="482"/>
        <w:rPr>
          <w:rFonts w:cs="宋体" w:asciiTheme="majorEastAsia" w:hAnsiTheme="majorEastAsia" w:eastAsiaTheme="majorEastAsia"/>
          <w:b/>
          <w:color w:val="auto"/>
          <w:spacing w:val="0"/>
          <w:highlight w:val="none"/>
        </w:rPr>
      </w:pPr>
      <w:r>
        <w:rPr>
          <w:rFonts w:hint="eastAsia" w:cs="宋体" w:asciiTheme="majorEastAsia" w:hAnsiTheme="majorEastAsia" w:eastAsiaTheme="majorEastAsia"/>
          <w:b/>
          <w:color w:val="auto"/>
          <w:spacing w:val="0"/>
          <w:highlight w:val="none"/>
        </w:rPr>
        <w:t>第一条  双方的责任</w:t>
      </w:r>
    </w:p>
    <w:p>
      <w:pPr>
        <w:pStyle w:val="57"/>
        <w:ind w:firstLine="480"/>
        <w:rPr>
          <w:rFonts w:cs="宋体" w:asciiTheme="majorEastAsia" w:hAnsiTheme="majorEastAsia" w:eastAsiaTheme="majorEastAsia"/>
          <w:color w:val="auto"/>
          <w:spacing w:val="0"/>
          <w:highlight w:val="none"/>
        </w:rPr>
      </w:pPr>
      <w:r>
        <w:rPr>
          <w:rFonts w:hint="eastAsia" w:cs="宋体" w:asciiTheme="majorEastAsia" w:hAnsiTheme="majorEastAsia" w:eastAsiaTheme="majorEastAsia"/>
          <w:color w:val="auto"/>
          <w:spacing w:val="0"/>
          <w:highlight w:val="none"/>
        </w:rPr>
        <w:t>（一）应严格遵守国家关于市场准入、项目招标投标、工程建设、施工安装和市场活动等有关法律、法规、相关政策，以及廉政建设的各项规定。</w:t>
      </w:r>
    </w:p>
    <w:p>
      <w:pPr>
        <w:pStyle w:val="57"/>
        <w:ind w:firstLine="480"/>
        <w:rPr>
          <w:rFonts w:cs="宋体" w:asciiTheme="majorEastAsia" w:hAnsiTheme="majorEastAsia" w:eastAsiaTheme="majorEastAsia"/>
          <w:color w:val="auto"/>
          <w:spacing w:val="0"/>
          <w:highlight w:val="none"/>
        </w:rPr>
      </w:pPr>
      <w:r>
        <w:rPr>
          <w:rFonts w:hint="eastAsia" w:cs="宋体" w:asciiTheme="majorEastAsia" w:hAnsiTheme="majorEastAsia" w:eastAsiaTheme="majorEastAsia"/>
          <w:color w:val="auto"/>
          <w:spacing w:val="0"/>
          <w:highlight w:val="none"/>
        </w:rPr>
        <w:t>（二）严格执行建设工程项目承发包合同文件，自觉按合同办事。</w:t>
      </w:r>
    </w:p>
    <w:p>
      <w:pPr>
        <w:pStyle w:val="57"/>
        <w:ind w:firstLine="480"/>
        <w:rPr>
          <w:rFonts w:cs="宋体" w:asciiTheme="majorEastAsia" w:hAnsiTheme="majorEastAsia" w:eastAsiaTheme="majorEastAsia"/>
          <w:color w:val="auto"/>
          <w:spacing w:val="0"/>
          <w:highlight w:val="none"/>
        </w:rPr>
      </w:pPr>
      <w:r>
        <w:rPr>
          <w:rFonts w:hint="eastAsia" w:cs="宋体" w:asciiTheme="majorEastAsia" w:hAnsiTheme="majorEastAsia" w:eastAsiaTheme="majorEastAsia"/>
          <w:color w:val="auto"/>
          <w:spacing w:val="0"/>
          <w:highlight w:val="none"/>
        </w:rPr>
        <w:t>（三）业务活动必须坚持公开、公平、公正、诚信、透明的原则（除法律法规另有规定者外），不得为获取不正当的利益，损害国家、集体和对方利益，不得违反工程建设管理、施工安装和监理的规章制度。</w:t>
      </w:r>
    </w:p>
    <w:p>
      <w:pPr>
        <w:pStyle w:val="57"/>
        <w:ind w:firstLine="480"/>
        <w:rPr>
          <w:rFonts w:cs="宋体" w:asciiTheme="majorEastAsia" w:hAnsiTheme="majorEastAsia" w:eastAsiaTheme="majorEastAsia"/>
          <w:color w:val="auto"/>
          <w:spacing w:val="0"/>
          <w:highlight w:val="none"/>
        </w:rPr>
      </w:pPr>
      <w:r>
        <w:rPr>
          <w:rFonts w:hint="eastAsia" w:cs="宋体" w:asciiTheme="majorEastAsia" w:hAnsiTheme="majorEastAsia" w:eastAsiaTheme="majorEastAsia"/>
          <w:color w:val="auto"/>
          <w:spacing w:val="0"/>
          <w:highlight w:val="none"/>
        </w:rPr>
        <w:t>（四）发现对方在业务活动中有违规、违纪、违法行为的，应及时提醒对方，情节严重的，应向其上级主管部门或纪检监察、司法等有关机关举报。</w:t>
      </w:r>
    </w:p>
    <w:p>
      <w:pPr>
        <w:pStyle w:val="57"/>
        <w:ind w:firstLine="482"/>
        <w:rPr>
          <w:rFonts w:cs="宋体" w:asciiTheme="majorEastAsia" w:hAnsiTheme="majorEastAsia" w:eastAsiaTheme="majorEastAsia"/>
          <w:color w:val="auto"/>
          <w:spacing w:val="0"/>
          <w:highlight w:val="none"/>
        </w:rPr>
      </w:pPr>
      <w:r>
        <w:rPr>
          <w:rFonts w:hint="eastAsia" w:cs="宋体" w:asciiTheme="majorEastAsia" w:hAnsiTheme="majorEastAsia" w:eastAsiaTheme="majorEastAsia"/>
          <w:b/>
          <w:color w:val="auto"/>
          <w:spacing w:val="0"/>
          <w:highlight w:val="none"/>
        </w:rPr>
        <w:t>第二条  发包人的责任</w:t>
      </w:r>
    </w:p>
    <w:p>
      <w:pPr>
        <w:pStyle w:val="57"/>
        <w:ind w:firstLine="480"/>
        <w:rPr>
          <w:rFonts w:cs="宋体" w:asciiTheme="majorEastAsia" w:hAnsiTheme="majorEastAsia" w:eastAsiaTheme="majorEastAsia"/>
          <w:color w:val="auto"/>
          <w:spacing w:val="0"/>
          <w:highlight w:val="none"/>
        </w:rPr>
      </w:pPr>
      <w:r>
        <w:rPr>
          <w:rFonts w:hint="eastAsia" w:cs="宋体" w:asciiTheme="majorEastAsia" w:hAnsiTheme="majorEastAsia" w:eastAsiaTheme="majorEastAsia"/>
          <w:color w:val="auto"/>
          <w:spacing w:val="0"/>
          <w:highlight w:val="none"/>
        </w:rPr>
        <w:t>发包人的领导和从事本建设工程项目的工作人员，在工程建设的事前、事中、事后应遵守以下规定：</w:t>
      </w:r>
    </w:p>
    <w:p>
      <w:pPr>
        <w:pStyle w:val="57"/>
        <w:ind w:firstLine="480"/>
        <w:rPr>
          <w:rFonts w:cs="宋体" w:asciiTheme="majorEastAsia" w:hAnsiTheme="majorEastAsia" w:eastAsiaTheme="majorEastAsia"/>
          <w:color w:val="auto"/>
          <w:spacing w:val="0"/>
          <w:highlight w:val="none"/>
        </w:rPr>
      </w:pPr>
      <w:r>
        <w:rPr>
          <w:rFonts w:hint="eastAsia" w:cs="宋体" w:asciiTheme="majorEastAsia" w:hAnsiTheme="majorEastAsia" w:eastAsiaTheme="majorEastAsia"/>
          <w:color w:val="auto"/>
          <w:spacing w:val="0"/>
          <w:highlight w:val="none"/>
        </w:rPr>
        <w:t>（一）不准向承包人和相关单位索要或接受回扣、礼金、有价证券、贵重物品和好处费、感谢费等。</w:t>
      </w:r>
    </w:p>
    <w:p>
      <w:pPr>
        <w:pStyle w:val="57"/>
        <w:ind w:firstLine="480"/>
        <w:rPr>
          <w:rFonts w:cs="宋体" w:asciiTheme="majorEastAsia" w:hAnsiTheme="majorEastAsia" w:eastAsiaTheme="majorEastAsia"/>
          <w:color w:val="auto"/>
          <w:spacing w:val="0"/>
          <w:highlight w:val="none"/>
        </w:rPr>
      </w:pPr>
      <w:r>
        <w:rPr>
          <w:rFonts w:hint="eastAsia" w:cs="宋体" w:asciiTheme="majorEastAsia" w:hAnsiTheme="majorEastAsia" w:eastAsiaTheme="majorEastAsia"/>
          <w:color w:val="auto"/>
          <w:spacing w:val="0"/>
          <w:highlight w:val="none"/>
        </w:rPr>
        <w:t xml:space="preserve">（二）不准在承包人和相关单位报销任何应由发包人或个人支付的费用。 </w:t>
      </w:r>
    </w:p>
    <w:p>
      <w:pPr>
        <w:pStyle w:val="57"/>
        <w:ind w:firstLine="480"/>
        <w:rPr>
          <w:rFonts w:cs="宋体" w:asciiTheme="majorEastAsia" w:hAnsiTheme="majorEastAsia" w:eastAsiaTheme="majorEastAsia"/>
          <w:color w:val="auto"/>
          <w:spacing w:val="0"/>
          <w:highlight w:val="none"/>
        </w:rPr>
      </w:pPr>
      <w:r>
        <w:rPr>
          <w:rFonts w:hint="eastAsia" w:cs="宋体" w:asciiTheme="majorEastAsia" w:hAnsiTheme="majorEastAsia" w:eastAsiaTheme="majorEastAsia"/>
          <w:color w:val="auto"/>
          <w:spacing w:val="0"/>
          <w:highlight w:val="none"/>
        </w:rPr>
        <w:t>（三）不准要求、暗示或接受承包人和相关单位为个人装修住房、婚丧嫁娶、配偶子女的工作安排以及出国（境）、旅游等提供方便。</w:t>
      </w:r>
    </w:p>
    <w:p>
      <w:pPr>
        <w:pStyle w:val="57"/>
        <w:ind w:firstLine="480"/>
        <w:rPr>
          <w:rFonts w:cs="宋体" w:asciiTheme="majorEastAsia" w:hAnsiTheme="majorEastAsia" w:eastAsiaTheme="majorEastAsia"/>
          <w:color w:val="auto"/>
          <w:spacing w:val="0"/>
          <w:highlight w:val="none"/>
        </w:rPr>
      </w:pPr>
      <w:r>
        <w:rPr>
          <w:rFonts w:hint="eastAsia" w:cs="宋体" w:asciiTheme="majorEastAsia" w:hAnsiTheme="majorEastAsia" w:eastAsiaTheme="majorEastAsia"/>
          <w:color w:val="auto"/>
          <w:spacing w:val="0"/>
          <w:highlight w:val="none"/>
        </w:rPr>
        <w:t>（四）不准参加有可能影响公正执行公务的承包人及相关单位的宴请、健身、娱乐等活动。</w:t>
      </w:r>
    </w:p>
    <w:p>
      <w:pPr>
        <w:pStyle w:val="57"/>
        <w:ind w:firstLine="480"/>
        <w:rPr>
          <w:rFonts w:cs="宋体" w:asciiTheme="majorEastAsia" w:hAnsiTheme="majorEastAsia" w:eastAsiaTheme="majorEastAsia"/>
          <w:color w:val="auto"/>
          <w:spacing w:val="0"/>
          <w:highlight w:val="none"/>
        </w:rPr>
      </w:pPr>
      <w:r>
        <w:rPr>
          <w:rFonts w:hint="eastAsia" w:cs="宋体" w:asciiTheme="majorEastAsia" w:hAnsiTheme="majorEastAsia" w:eastAsiaTheme="majorEastAsia"/>
          <w:color w:val="auto"/>
          <w:spacing w:val="0"/>
          <w:highlight w:val="none"/>
        </w:rPr>
        <w:t>（五）不准向承包人介绍或为配偶、子女、亲属参与同发包人项目工程合同有关的设备、材料、工程分包、劳务等经济活动。不得以任何理由向承包人和相关单位推荐分包单位。</w:t>
      </w:r>
    </w:p>
    <w:p>
      <w:pPr>
        <w:pStyle w:val="57"/>
        <w:ind w:firstLine="482"/>
        <w:rPr>
          <w:rFonts w:cs="宋体" w:asciiTheme="majorEastAsia" w:hAnsiTheme="majorEastAsia" w:eastAsiaTheme="majorEastAsia"/>
          <w:color w:val="auto"/>
          <w:spacing w:val="0"/>
          <w:highlight w:val="none"/>
        </w:rPr>
      </w:pPr>
      <w:r>
        <w:rPr>
          <w:rFonts w:hint="eastAsia" w:cs="宋体" w:asciiTheme="majorEastAsia" w:hAnsiTheme="majorEastAsia" w:eastAsiaTheme="majorEastAsia"/>
          <w:b/>
          <w:color w:val="auto"/>
          <w:spacing w:val="0"/>
          <w:highlight w:val="none"/>
        </w:rPr>
        <w:t>第三条  承包人的责任</w:t>
      </w:r>
    </w:p>
    <w:p>
      <w:pPr>
        <w:pStyle w:val="57"/>
        <w:ind w:firstLine="480"/>
        <w:rPr>
          <w:rFonts w:cs="宋体" w:asciiTheme="majorEastAsia" w:hAnsiTheme="majorEastAsia" w:eastAsiaTheme="majorEastAsia"/>
          <w:color w:val="auto"/>
          <w:spacing w:val="0"/>
          <w:highlight w:val="none"/>
        </w:rPr>
      </w:pPr>
      <w:r>
        <w:rPr>
          <w:rFonts w:hint="eastAsia" w:cs="宋体" w:asciiTheme="majorEastAsia" w:hAnsiTheme="majorEastAsia" w:eastAsiaTheme="majorEastAsia"/>
          <w:color w:val="auto"/>
          <w:spacing w:val="0"/>
          <w:highlight w:val="none"/>
        </w:rPr>
        <w:t>应与发包人保持正常的业务交往，按照有关法律法规和程序开展业务工作，严格执行工程建设和监理的有关方针、政策，尤其是有关建筑施工安装和施工强制性标准和规范，并遵守以下规定：</w:t>
      </w:r>
    </w:p>
    <w:p>
      <w:pPr>
        <w:pStyle w:val="57"/>
        <w:ind w:firstLine="480"/>
        <w:rPr>
          <w:rFonts w:cs="宋体" w:asciiTheme="majorEastAsia" w:hAnsiTheme="majorEastAsia" w:eastAsiaTheme="majorEastAsia"/>
          <w:color w:val="auto"/>
          <w:spacing w:val="0"/>
          <w:highlight w:val="none"/>
        </w:rPr>
      </w:pPr>
      <w:r>
        <w:rPr>
          <w:rFonts w:hint="eastAsia" w:cs="宋体" w:asciiTheme="majorEastAsia" w:hAnsiTheme="majorEastAsia" w:eastAsiaTheme="majorEastAsia"/>
          <w:color w:val="auto"/>
          <w:spacing w:val="0"/>
          <w:highlight w:val="none"/>
        </w:rPr>
        <w:t>（一）不准以任何理由向发包人、相关单位及其工作人员索要、接受或赠送礼金、有价证券、贵重物品及回扣、好处费、感谢费等。</w:t>
      </w:r>
    </w:p>
    <w:p>
      <w:pPr>
        <w:pStyle w:val="57"/>
        <w:ind w:firstLine="480"/>
        <w:rPr>
          <w:rFonts w:cs="宋体" w:asciiTheme="majorEastAsia" w:hAnsiTheme="majorEastAsia" w:eastAsiaTheme="majorEastAsia"/>
          <w:color w:val="auto"/>
          <w:spacing w:val="0"/>
          <w:highlight w:val="none"/>
        </w:rPr>
      </w:pPr>
      <w:r>
        <w:rPr>
          <w:rFonts w:hint="eastAsia" w:cs="宋体" w:asciiTheme="majorEastAsia" w:hAnsiTheme="majorEastAsia" w:eastAsiaTheme="majorEastAsia"/>
          <w:color w:val="auto"/>
          <w:spacing w:val="0"/>
          <w:highlight w:val="none"/>
        </w:rPr>
        <w:t>（二）不准以任何理由为发包人和相关单位报销应由对方或个人支付的费用。</w:t>
      </w:r>
    </w:p>
    <w:p>
      <w:pPr>
        <w:pStyle w:val="57"/>
        <w:ind w:firstLine="480"/>
        <w:rPr>
          <w:rFonts w:cs="宋体" w:asciiTheme="majorEastAsia" w:hAnsiTheme="majorEastAsia" w:eastAsiaTheme="majorEastAsia"/>
          <w:color w:val="auto"/>
          <w:spacing w:val="0"/>
          <w:highlight w:val="none"/>
        </w:rPr>
      </w:pPr>
      <w:r>
        <w:rPr>
          <w:rFonts w:hint="eastAsia" w:cs="宋体" w:asciiTheme="majorEastAsia" w:hAnsiTheme="majorEastAsia" w:eastAsiaTheme="majorEastAsia"/>
          <w:color w:val="auto"/>
          <w:spacing w:val="0"/>
          <w:highlight w:val="none"/>
        </w:rPr>
        <w:t>（三）不准接受或暗示为发包人、相关单位或个人装修住房、婚丧嫁娶、配偶子女的工作安排以及出国（境）、旅游等提供方便。</w:t>
      </w:r>
    </w:p>
    <w:p>
      <w:pPr>
        <w:pStyle w:val="57"/>
        <w:ind w:firstLine="480"/>
        <w:rPr>
          <w:rFonts w:cs="宋体" w:asciiTheme="majorEastAsia" w:hAnsiTheme="majorEastAsia" w:eastAsiaTheme="majorEastAsia"/>
          <w:color w:val="auto"/>
          <w:spacing w:val="0"/>
          <w:highlight w:val="none"/>
        </w:rPr>
      </w:pPr>
      <w:r>
        <w:rPr>
          <w:rFonts w:hint="eastAsia" w:cs="宋体" w:asciiTheme="majorEastAsia" w:hAnsiTheme="majorEastAsia" w:eastAsiaTheme="majorEastAsia"/>
          <w:color w:val="auto"/>
          <w:spacing w:val="0"/>
          <w:highlight w:val="none"/>
        </w:rPr>
        <w:t>（四）不准以任何理由为发包人、相关单位或个人组织有可能影响公正执行公务的宴请、健身、娱乐等活动。</w:t>
      </w:r>
    </w:p>
    <w:p>
      <w:pPr>
        <w:pStyle w:val="57"/>
        <w:ind w:firstLine="482"/>
        <w:rPr>
          <w:rFonts w:cs="宋体" w:asciiTheme="majorEastAsia" w:hAnsiTheme="majorEastAsia" w:eastAsiaTheme="majorEastAsia"/>
          <w:color w:val="auto"/>
          <w:spacing w:val="0"/>
          <w:highlight w:val="none"/>
        </w:rPr>
      </w:pPr>
      <w:r>
        <w:rPr>
          <w:rFonts w:hint="eastAsia" w:cs="宋体" w:asciiTheme="majorEastAsia" w:hAnsiTheme="majorEastAsia" w:eastAsiaTheme="majorEastAsia"/>
          <w:b/>
          <w:color w:val="auto"/>
          <w:spacing w:val="0"/>
          <w:highlight w:val="none"/>
        </w:rPr>
        <w:t>第四条  违约责任</w:t>
      </w:r>
    </w:p>
    <w:p>
      <w:pPr>
        <w:pStyle w:val="57"/>
        <w:ind w:firstLine="480"/>
        <w:rPr>
          <w:rFonts w:cs="宋体" w:asciiTheme="majorEastAsia" w:hAnsiTheme="majorEastAsia" w:eastAsiaTheme="majorEastAsia"/>
          <w:color w:val="auto"/>
          <w:spacing w:val="0"/>
          <w:highlight w:val="none"/>
        </w:rPr>
      </w:pPr>
      <w:r>
        <w:rPr>
          <w:rFonts w:hint="eastAsia" w:cs="宋体" w:asciiTheme="majorEastAsia" w:hAnsiTheme="majorEastAsia" w:eastAsiaTheme="majorEastAsia"/>
          <w:color w:val="auto"/>
          <w:spacing w:val="0"/>
          <w:highlight w:val="none"/>
        </w:rPr>
        <w:t>（一）发包人工作人员有违反本廉政责任书第一、第二条责任行为的，按照管理权限，依据有关法律法规和规定给予党纪、政纪处分或组织处理；涉嫌犯罪的，移交司法机关追究刑事责任；给承包人单位造成经济损失的，应予以赔偿。</w:t>
      </w:r>
    </w:p>
    <w:p>
      <w:pPr>
        <w:pStyle w:val="57"/>
        <w:ind w:firstLine="480"/>
        <w:rPr>
          <w:rFonts w:cs="宋体" w:asciiTheme="majorEastAsia" w:hAnsiTheme="majorEastAsia" w:eastAsiaTheme="majorEastAsia"/>
          <w:color w:val="auto"/>
          <w:spacing w:val="0"/>
          <w:highlight w:val="none"/>
        </w:rPr>
      </w:pPr>
      <w:r>
        <w:rPr>
          <w:rFonts w:hint="eastAsia" w:cs="宋体" w:asciiTheme="majorEastAsia" w:hAnsiTheme="majorEastAsia" w:eastAsiaTheme="majorEastAsia"/>
          <w:color w:val="auto"/>
          <w:spacing w:val="0"/>
          <w:highlight w:val="none"/>
        </w:rPr>
        <w:t>（二）承包人工作人员有违反本廉政责任书第一、三条责任行为的，按照管理权限，依据有关法律法规和规定给予党纪、政纪处分或组织处理；涉嫌犯罪的，移交司法机关追究刑事责任；给发包人单位造成经济损失的，应予以赔偿。</w:t>
      </w:r>
    </w:p>
    <w:p>
      <w:pPr>
        <w:pStyle w:val="57"/>
        <w:ind w:firstLine="482"/>
        <w:rPr>
          <w:rFonts w:cs="宋体" w:asciiTheme="majorEastAsia" w:hAnsiTheme="majorEastAsia" w:eastAsiaTheme="majorEastAsia"/>
          <w:color w:val="auto"/>
          <w:spacing w:val="0"/>
          <w:highlight w:val="none"/>
        </w:rPr>
      </w:pPr>
      <w:r>
        <w:rPr>
          <w:rFonts w:hint="eastAsia" w:cs="宋体" w:asciiTheme="majorEastAsia" w:hAnsiTheme="majorEastAsia" w:eastAsiaTheme="majorEastAsia"/>
          <w:b/>
          <w:color w:val="auto"/>
          <w:spacing w:val="0"/>
          <w:highlight w:val="none"/>
        </w:rPr>
        <w:t xml:space="preserve">第五条  </w:t>
      </w:r>
      <w:r>
        <w:rPr>
          <w:rFonts w:hint="eastAsia" w:cs="宋体" w:asciiTheme="majorEastAsia" w:hAnsiTheme="majorEastAsia" w:eastAsiaTheme="majorEastAsia"/>
          <w:color w:val="auto"/>
          <w:spacing w:val="0"/>
          <w:highlight w:val="none"/>
        </w:rPr>
        <w:t>本廉政责任书作为工程施工合同的附件，与工程施工合同具有同等法律效力，随合同生效而生效。</w:t>
      </w:r>
    </w:p>
    <w:p>
      <w:pPr>
        <w:spacing w:line="360" w:lineRule="auto"/>
        <w:ind w:firstLine="482" w:firstLineChars="2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 xml:space="preserve">第六条  </w:t>
      </w:r>
      <w:r>
        <w:rPr>
          <w:rFonts w:hint="eastAsia" w:cs="宋体" w:asciiTheme="majorEastAsia" w:hAnsiTheme="majorEastAsia" w:eastAsiaTheme="majorEastAsia"/>
          <w:color w:val="auto"/>
          <w:sz w:val="24"/>
          <w:highlight w:val="none"/>
        </w:rPr>
        <w:t>本廉政责任书的有效期与施工合同的有效期相同。</w:t>
      </w:r>
    </w:p>
    <w:bookmarkEnd w:id="690"/>
    <w:bookmarkEnd w:id="691"/>
    <w:bookmarkEnd w:id="692"/>
    <w:bookmarkEnd w:id="693"/>
    <w:bookmarkEnd w:id="694"/>
    <w:p>
      <w:pPr>
        <w:spacing w:line="360" w:lineRule="auto"/>
        <w:rPr>
          <w:rFonts w:asciiTheme="majorEastAsia" w:hAnsiTheme="majorEastAsia" w:eastAsiaTheme="majorEastAsia"/>
          <w:color w:val="auto"/>
          <w:highlight w:val="none"/>
        </w:rPr>
      </w:pPr>
    </w:p>
    <w:p>
      <w:pPr>
        <w:pStyle w:val="5"/>
        <w:spacing w:line="360" w:lineRule="auto"/>
        <w:ind w:firstLine="0"/>
        <w:rPr>
          <w:rFonts w:cs="宋体" w:asciiTheme="majorEastAsia" w:hAnsiTheme="majorEastAsia" w:eastAsiaTheme="majorEastAsia"/>
          <w:bCs/>
          <w:snapToGrid w:val="0"/>
          <w:color w:val="auto"/>
          <w:kern w:val="0"/>
          <w:sz w:val="32"/>
          <w:szCs w:val="32"/>
          <w:highlight w:val="none"/>
        </w:rPr>
      </w:pPr>
    </w:p>
    <w:p>
      <w:pPr>
        <w:pStyle w:val="6"/>
        <w:rPr>
          <w:rFonts w:cs="宋体" w:asciiTheme="majorEastAsia" w:hAnsiTheme="majorEastAsia" w:eastAsiaTheme="majorEastAsia"/>
          <w:b/>
          <w:bCs/>
          <w:color w:val="auto"/>
          <w:sz w:val="32"/>
          <w:szCs w:val="32"/>
          <w:highlight w:val="none"/>
        </w:rPr>
      </w:pPr>
      <w:r>
        <w:rPr>
          <w:rFonts w:hint="eastAsia" w:cs="宋体" w:asciiTheme="majorEastAsia" w:hAnsiTheme="majorEastAsia" w:eastAsiaTheme="majorEastAsia"/>
          <w:bCs/>
          <w:color w:val="auto"/>
          <w:sz w:val="32"/>
          <w:szCs w:val="32"/>
          <w:highlight w:val="none"/>
        </w:rPr>
        <w:br w:type="page"/>
      </w:r>
      <w:r>
        <w:rPr>
          <w:rFonts w:hint="eastAsia" w:cs="宋体" w:asciiTheme="majorEastAsia" w:hAnsiTheme="majorEastAsia" w:eastAsiaTheme="majorEastAsia"/>
          <w:b/>
          <w:bCs/>
          <w:color w:val="auto"/>
          <w:sz w:val="32"/>
          <w:szCs w:val="32"/>
          <w:highlight w:val="none"/>
        </w:rPr>
        <w:t>附件</w:t>
      </w:r>
    </w:p>
    <w:p>
      <w:pPr>
        <w:adjustRightInd w:val="0"/>
        <w:snapToGrid w:val="0"/>
        <w:spacing w:line="360" w:lineRule="auto"/>
        <w:jc w:val="center"/>
        <w:outlineLvl w:val="1"/>
        <w:rPr>
          <w:rFonts w:cs="宋体" w:asciiTheme="majorEastAsia" w:hAnsiTheme="majorEastAsia" w:eastAsiaTheme="majorEastAsia"/>
          <w:b/>
          <w:bCs/>
          <w:snapToGrid w:val="0"/>
          <w:color w:val="auto"/>
          <w:kern w:val="0"/>
          <w:sz w:val="32"/>
          <w:szCs w:val="32"/>
          <w:highlight w:val="none"/>
        </w:rPr>
      </w:pPr>
      <w:bookmarkStart w:id="695" w:name="_Toc140476965"/>
      <w:r>
        <w:rPr>
          <w:rFonts w:hint="eastAsia" w:cs="宋体" w:asciiTheme="majorEastAsia" w:hAnsiTheme="majorEastAsia" w:eastAsiaTheme="majorEastAsia"/>
          <w:b/>
          <w:bCs/>
          <w:snapToGrid w:val="0"/>
          <w:color w:val="auto"/>
          <w:kern w:val="0"/>
          <w:sz w:val="32"/>
          <w:szCs w:val="32"/>
          <w:highlight w:val="none"/>
        </w:rPr>
        <w:t>5</w:t>
      </w:r>
      <w:r>
        <w:rPr>
          <w:rFonts w:cs="宋体" w:asciiTheme="majorEastAsia" w:hAnsiTheme="majorEastAsia" w:eastAsiaTheme="majorEastAsia"/>
          <w:b/>
          <w:bCs/>
          <w:snapToGrid w:val="0"/>
          <w:color w:val="auto"/>
          <w:kern w:val="0"/>
          <w:sz w:val="32"/>
          <w:szCs w:val="32"/>
          <w:highlight w:val="none"/>
        </w:rPr>
        <w:t>、</w:t>
      </w:r>
      <w:r>
        <w:rPr>
          <w:rFonts w:hint="eastAsia" w:cs="宋体" w:asciiTheme="majorEastAsia" w:hAnsiTheme="majorEastAsia" w:eastAsiaTheme="majorEastAsia"/>
          <w:b/>
          <w:bCs/>
          <w:snapToGrid w:val="0"/>
          <w:color w:val="auto"/>
          <w:kern w:val="0"/>
          <w:sz w:val="32"/>
          <w:szCs w:val="32"/>
          <w:highlight w:val="none"/>
        </w:rPr>
        <w:t>保密协议</w:t>
      </w:r>
      <w:bookmarkEnd w:id="695"/>
    </w:p>
    <w:p>
      <w:pPr>
        <w:spacing w:line="360" w:lineRule="auto"/>
        <w:rPr>
          <w:rFonts w:asciiTheme="majorEastAsia" w:hAnsiTheme="majorEastAsia" w:eastAsiaTheme="majorEastAsia"/>
          <w:color w:val="auto"/>
          <w:sz w:val="24"/>
          <w:szCs w:val="28"/>
          <w:highlight w:val="none"/>
        </w:rPr>
      </w:pPr>
    </w:p>
    <w:p>
      <w:pPr>
        <w:spacing w:line="360" w:lineRule="auto"/>
        <w:rPr>
          <w:rFonts w:asciiTheme="majorEastAsia" w:hAnsiTheme="majorEastAsia" w:eastAsiaTheme="majorEastAsia"/>
          <w:color w:val="auto"/>
          <w:sz w:val="24"/>
          <w:szCs w:val="28"/>
          <w:highlight w:val="none"/>
        </w:rPr>
      </w:pPr>
      <w:r>
        <w:rPr>
          <w:rFonts w:hint="eastAsia" w:asciiTheme="majorEastAsia" w:hAnsiTheme="majorEastAsia" w:eastAsiaTheme="majorEastAsia"/>
          <w:color w:val="auto"/>
          <w:sz w:val="24"/>
          <w:szCs w:val="28"/>
          <w:highlight w:val="none"/>
        </w:rPr>
        <w:t>甲方：广州城慧投资发展有限公司</w:t>
      </w:r>
    </w:p>
    <w:p>
      <w:pPr>
        <w:spacing w:line="360" w:lineRule="auto"/>
        <w:rPr>
          <w:rFonts w:asciiTheme="majorEastAsia" w:hAnsiTheme="majorEastAsia" w:eastAsiaTheme="majorEastAsia"/>
          <w:color w:val="auto"/>
          <w:sz w:val="24"/>
          <w:szCs w:val="28"/>
          <w:highlight w:val="none"/>
        </w:rPr>
      </w:pPr>
      <w:r>
        <w:rPr>
          <w:rFonts w:hint="eastAsia" w:asciiTheme="majorEastAsia" w:hAnsiTheme="majorEastAsia" w:eastAsiaTheme="majorEastAsia"/>
          <w:color w:val="auto"/>
          <w:sz w:val="24"/>
          <w:szCs w:val="28"/>
          <w:highlight w:val="none"/>
        </w:rPr>
        <w:t>乙方：【乙方单位名称】</w:t>
      </w:r>
    </w:p>
    <w:p>
      <w:pPr>
        <w:spacing w:line="360" w:lineRule="auto"/>
        <w:ind w:firstLine="424" w:firstLineChars="202"/>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为做好【项目名称】承包合同的</w:t>
      </w:r>
      <w:r>
        <w:rPr>
          <w:rFonts w:asciiTheme="majorEastAsia" w:hAnsiTheme="majorEastAsia" w:eastAsiaTheme="majorEastAsia"/>
          <w:color w:val="auto"/>
          <w:highlight w:val="none"/>
        </w:rPr>
        <w:t>保密</w:t>
      </w:r>
      <w:r>
        <w:rPr>
          <w:rFonts w:hint="eastAsia" w:asciiTheme="majorEastAsia" w:hAnsiTheme="majorEastAsia" w:eastAsiaTheme="majorEastAsia"/>
          <w:color w:val="auto"/>
          <w:highlight w:val="none"/>
        </w:rPr>
        <w:t>工作</w:t>
      </w:r>
      <w:r>
        <w:rPr>
          <w:rFonts w:asciiTheme="majorEastAsia" w:hAnsiTheme="majorEastAsia" w:eastAsiaTheme="majorEastAsia"/>
          <w:color w:val="auto"/>
          <w:highlight w:val="none"/>
        </w:rPr>
        <w:t>，乙方同意遵守下列保密条款：</w:t>
      </w:r>
    </w:p>
    <w:p>
      <w:pPr>
        <w:spacing w:line="360" w:lineRule="auto"/>
        <w:ind w:firstLine="424" w:firstLineChars="202"/>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一、保密信息的范围</w:t>
      </w:r>
    </w:p>
    <w:p>
      <w:pPr>
        <w:spacing w:line="360" w:lineRule="auto"/>
        <w:ind w:firstLine="424" w:firstLineChars="202"/>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保密信息”在本保密协议中是指乙方在为甲方提供服务工作的过程中所获取的重要工作信息。该保密信息包括但不限于投资计划、项目规模、项目计划、项目相关数据和图纸、招标文件资料及信息、合同、价格、成本、研究报告、会议资料和文件。</w:t>
      </w:r>
    </w:p>
    <w:p>
      <w:pPr>
        <w:spacing w:line="360" w:lineRule="auto"/>
        <w:ind w:firstLine="424" w:firstLineChars="202"/>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不论以何种形式或载于何种载体，无论在披露时是否以口头、图像或以书面方式表明其具有保密性，都视为甲方的保密信息。</w:t>
      </w:r>
    </w:p>
    <w:p>
      <w:pPr>
        <w:spacing w:line="360" w:lineRule="auto"/>
        <w:ind w:firstLine="424" w:firstLineChars="202"/>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二、乙方的保密义务</w:t>
      </w:r>
    </w:p>
    <w:p>
      <w:pPr>
        <w:spacing w:line="360" w:lineRule="auto"/>
        <w:ind w:firstLine="424" w:firstLineChars="202"/>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乙方对已知悉的甲方保密信息，在此同意：</w:t>
      </w:r>
    </w:p>
    <w:p>
      <w:pPr>
        <w:spacing w:line="360" w:lineRule="auto"/>
        <w:ind w:firstLine="424" w:firstLineChars="202"/>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（一）未经甲方事前书面批准，不论服务期间或以后，乙方及其工作人员不得以任何方式向任何第三方泄漏甲方的保密信息。</w:t>
      </w:r>
    </w:p>
    <w:p>
      <w:pPr>
        <w:spacing w:line="360" w:lineRule="auto"/>
        <w:ind w:firstLine="424" w:firstLineChars="202"/>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（二）一旦服务工作终止，乙方及其工作人员将退还保存的属于甲方的所有机密资料，如方案、制度、报告、合同等。</w:t>
      </w:r>
    </w:p>
    <w:p>
      <w:pPr>
        <w:spacing w:line="360" w:lineRule="auto"/>
        <w:ind w:firstLine="424" w:firstLineChars="202"/>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（三）严守机密，并采取所有保密措施保护保密信息。</w:t>
      </w:r>
    </w:p>
    <w:p>
      <w:pPr>
        <w:spacing w:line="360" w:lineRule="auto"/>
        <w:ind w:firstLine="424" w:firstLineChars="202"/>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三、保密期限</w:t>
      </w:r>
    </w:p>
    <w:p>
      <w:pPr>
        <w:spacing w:line="360" w:lineRule="auto"/>
        <w:ind w:firstLine="424" w:firstLineChars="202"/>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保密期限包括但不限于：从获知甲方保密信息时起，至保密信息已由甲方通过合法途径让普通公众知悉时止。</w:t>
      </w:r>
    </w:p>
    <w:p>
      <w:pPr>
        <w:spacing w:line="360" w:lineRule="auto"/>
        <w:ind w:firstLine="424" w:firstLineChars="202"/>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四、违约责任</w:t>
      </w:r>
    </w:p>
    <w:p>
      <w:pPr>
        <w:spacing w:line="360" w:lineRule="auto"/>
        <w:ind w:firstLine="424" w:firstLineChars="202"/>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乙方违反本保密协议约定，要承担违约责任，甲方有权通过任何合理方式追究乙方的责任并终止服务合同。造成损失的，甲方有权要求乙方进行赔偿或追究乙方的法律责任。</w:t>
      </w:r>
    </w:p>
    <w:p>
      <w:pPr>
        <w:spacing w:line="360" w:lineRule="auto"/>
        <w:ind w:firstLine="424" w:firstLineChars="202"/>
        <w:rPr>
          <w:rFonts w:asciiTheme="majorEastAsia" w:hAnsiTheme="majorEastAsia" w:eastAsiaTheme="majorEastAsia"/>
          <w:color w:val="auto"/>
          <w:highlight w:val="none"/>
        </w:rPr>
      </w:pPr>
    </w:p>
    <w:p>
      <w:pPr>
        <w:spacing w:line="360" w:lineRule="auto"/>
        <w:ind w:firstLine="424" w:firstLineChars="202"/>
        <w:rPr>
          <w:rFonts w:asciiTheme="majorEastAsia" w:hAnsiTheme="majorEastAsia" w:eastAsiaTheme="majorEastAsia"/>
          <w:color w:val="auto"/>
          <w:highlight w:val="none"/>
        </w:rPr>
      </w:pPr>
    </w:p>
    <w:tbl>
      <w:tblPr>
        <w:tblStyle w:val="40"/>
        <w:tblW w:w="0" w:type="auto"/>
        <w:tblInd w:w="0" w:type="dxa"/>
        <w:tblLayout w:type="fixed"/>
        <w:tblCellMar>
          <w:top w:w="0" w:type="dxa"/>
          <w:left w:w="108" w:type="dxa"/>
          <w:bottom w:w="0" w:type="dxa"/>
          <w:right w:w="108" w:type="dxa"/>
        </w:tblCellMar>
      </w:tblPr>
      <w:tblGrid>
        <w:gridCol w:w="3936"/>
        <w:gridCol w:w="4360"/>
      </w:tblGrid>
      <w:tr>
        <w:tblPrEx>
          <w:tblCellMar>
            <w:top w:w="0" w:type="dxa"/>
            <w:left w:w="108" w:type="dxa"/>
            <w:bottom w:w="0" w:type="dxa"/>
            <w:right w:w="108" w:type="dxa"/>
          </w:tblCellMar>
        </w:tblPrEx>
        <w:tc>
          <w:tcPr>
            <w:tcW w:w="3936" w:type="dxa"/>
          </w:tcPr>
          <w:p>
            <w:pPr>
              <w:spacing w:line="360" w:lineRule="auto"/>
              <w:rPr>
                <w:rFonts w:asciiTheme="majorEastAsia" w:hAnsiTheme="majorEastAsia" w:eastAsiaTheme="majorEastAsia"/>
                <w:color w:val="auto"/>
                <w:sz w:val="24"/>
                <w:szCs w:val="28"/>
                <w:highlight w:val="none"/>
              </w:rPr>
            </w:pPr>
            <w:r>
              <w:rPr>
                <w:rFonts w:hint="eastAsia" w:asciiTheme="majorEastAsia" w:hAnsiTheme="majorEastAsia" w:eastAsiaTheme="majorEastAsia"/>
                <w:color w:val="auto"/>
                <w:sz w:val="24"/>
                <w:szCs w:val="28"/>
                <w:highlight w:val="none"/>
              </w:rPr>
              <w:t>甲方</w:t>
            </w:r>
            <w:r>
              <w:rPr>
                <w:rFonts w:asciiTheme="majorEastAsia" w:hAnsiTheme="majorEastAsia" w:eastAsiaTheme="majorEastAsia"/>
                <w:color w:val="auto"/>
                <w:sz w:val="24"/>
                <w:szCs w:val="28"/>
                <w:highlight w:val="none"/>
              </w:rPr>
              <w:t>：</w:t>
            </w:r>
            <w:r>
              <w:rPr>
                <w:rFonts w:hint="eastAsia" w:asciiTheme="majorEastAsia" w:hAnsiTheme="majorEastAsia" w:eastAsiaTheme="majorEastAsia"/>
                <w:color w:val="auto"/>
                <w:sz w:val="24"/>
                <w:szCs w:val="28"/>
                <w:highlight w:val="none"/>
              </w:rPr>
              <w:t>广州城慧投资发展有限公司</w:t>
            </w:r>
          </w:p>
          <w:p>
            <w:pPr>
              <w:spacing w:line="360" w:lineRule="auto"/>
              <w:rPr>
                <w:rFonts w:asciiTheme="majorEastAsia" w:hAnsiTheme="majorEastAsia" w:eastAsiaTheme="majorEastAsia"/>
                <w:color w:val="auto"/>
                <w:sz w:val="24"/>
                <w:szCs w:val="28"/>
                <w:highlight w:val="none"/>
              </w:rPr>
            </w:pPr>
            <w:r>
              <w:rPr>
                <w:rFonts w:asciiTheme="majorEastAsia" w:hAnsiTheme="majorEastAsia" w:eastAsiaTheme="majorEastAsia"/>
                <w:color w:val="auto"/>
                <w:sz w:val="24"/>
                <w:szCs w:val="28"/>
                <w:highlight w:val="none"/>
              </w:rPr>
              <w:t>（盖章）</w:t>
            </w:r>
          </w:p>
          <w:p>
            <w:pPr>
              <w:spacing w:line="360" w:lineRule="auto"/>
              <w:rPr>
                <w:rFonts w:asciiTheme="majorEastAsia" w:hAnsiTheme="majorEastAsia" w:eastAsiaTheme="majorEastAsia"/>
                <w:color w:val="auto"/>
                <w:sz w:val="24"/>
                <w:szCs w:val="28"/>
                <w:highlight w:val="none"/>
              </w:rPr>
            </w:pPr>
          </w:p>
          <w:p>
            <w:pPr>
              <w:spacing w:line="360" w:lineRule="auto"/>
              <w:rPr>
                <w:rFonts w:asciiTheme="majorEastAsia" w:hAnsiTheme="majorEastAsia" w:eastAsiaTheme="majorEastAsia"/>
                <w:color w:val="auto"/>
                <w:sz w:val="24"/>
                <w:szCs w:val="28"/>
                <w:highlight w:val="none"/>
              </w:rPr>
            </w:pPr>
          </w:p>
        </w:tc>
        <w:tc>
          <w:tcPr>
            <w:tcW w:w="4360" w:type="dxa"/>
          </w:tcPr>
          <w:p>
            <w:pPr>
              <w:spacing w:line="360" w:lineRule="auto"/>
              <w:rPr>
                <w:rFonts w:asciiTheme="majorEastAsia" w:hAnsiTheme="majorEastAsia" w:eastAsiaTheme="majorEastAsia"/>
                <w:color w:val="auto"/>
                <w:sz w:val="24"/>
                <w:szCs w:val="28"/>
                <w:highlight w:val="none"/>
              </w:rPr>
            </w:pPr>
            <w:r>
              <w:rPr>
                <w:rFonts w:asciiTheme="majorEastAsia" w:hAnsiTheme="majorEastAsia" w:eastAsiaTheme="majorEastAsia"/>
                <w:color w:val="auto"/>
                <w:sz w:val="24"/>
                <w:szCs w:val="28"/>
                <w:highlight w:val="none"/>
              </w:rPr>
              <w:t>乙方：</w:t>
            </w:r>
            <w:r>
              <w:rPr>
                <w:rFonts w:hint="eastAsia" w:asciiTheme="majorEastAsia" w:hAnsiTheme="majorEastAsia" w:eastAsiaTheme="majorEastAsia"/>
                <w:color w:val="auto"/>
                <w:sz w:val="24"/>
                <w:szCs w:val="28"/>
                <w:highlight w:val="none"/>
              </w:rPr>
              <w:t>【乙方单位名称】</w:t>
            </w:r>
          </w:p>
          <w:p>
            <w:pPr>
              <w:spacing w:line="360" w:lineRule="auto"/>
              <w:rPr>
                <w:rFonts w:asciiTheme="majorEastAsia" w:hAnsiTheme="majorEastAsia" w:eastAsiaTheme="majorEastAsia"/>
                <w:color w:val="auto"/>
                <w:sz w:val="24"/>
                <w:szCs w:val="28"/>
                <w:highlight w:val="none"/>
              </w:rPr>
            </w:pPr>
            <w:r>
              <w:rPr>
                <w:rFonts w:asciiTheme="majorEastAsia" w:hAnsiTheme="majorEastAsia" w:eastAsiaTheme="majorEastAsia"/>
                <w:color w:val="auto"/>
                <w:sz w:val="24"/>
                <w:szCs w:val="28"/>
                <w:highlight w:val="none"/>
              </w:rPr>
              <w:t>（盖章）</w:t>
            </w:r>
          </w:p>
          <w:p>
            <w:pPr>
              <w:spacing w:line="360" w:lineRule="auto"/>
              <w:rPr>
                <w:rFonts w:asciiTheme="majorEastAsia" w:hAnsiTheme="majorEastAsia" w:eastAsiaTheme="majorEastAsia"/>
                <w:color w:val="auto"/>
                <w:sz w:val="24"/>
                <w:szCs w:val="28"/>
                <w:highlight w:val="none"/>
              </w:rPr>
            </w:pPr>
          </w:p>
          <w:p>
            <w:pPr>
              <w:spacing w:line="360" w:lineRule="auto"/>
              <w:rPr>
                <w:rFonts w:asciiTheme="majorEastAsia" w:hAnsiTheme="majorEastAsia" w:eastAsiaTheme="majorEastAsia"/>
                <w:color w:val="auto"/>
                <w:sz w:val="24"/>
                <w:szCs w:val="28"/>
                <w:highlight w:val="none"/>
              </w:rPr>
            </w:pPr>
          </w:p>
        </w:tc>
      </w:tr>
      <w:tr>
        <w:tblPrEx>
          <w:tblCellMar>
            <w:top w:w="0" w:type="dxa"/>
            <w:left w:w="108" w:type="dxa"/>
            <w:bottom w:w="0" w:type="dxa"/>
            <w:right w:w="108" w:type="dxa"/>
          </w:tblCellMar>
        </w:tblPrEx>
        <w:tc>
          <w:tcPr>
            <w:tcW w:w="3936" w:type="dxa"/>
          </w:tcPr>
          <w:p>
            <w:pPr>
              <w:spacing w:line="360" w:lineRule="auto"/>
              <w:rPr>
                <w:rFonts w:asciiTheme="majorEastAsia" w:hAnsiTheme="majorEastAsia" w:eastAsiaTheme="majorEastAsia"/>
                <w:color w:val="auto"/>
                <w:sz w:val="24"/>
                <w:szCs w:val="28"/>
                <w:highlight w:val="none"/>
              </w:rPr>
            </w:pPr>
            <w:r>
              <w:rPr>
                <w:rFonts w:hint="eastAsia" w:asciiTheme="majorEastAsia" w:hAnsiTheme="majorEastAsia" w:eastAsiaTheme="majorEastAsia"/>
                <w:color w:val="auto"/>
                <w:sz w:val="24"/>
                <w:szCs w:val="28"/>
                <w:highlight w:val="none"/>
              </w:rPr>
              <w:t>负责人：</w:t>
            </w:r>
          </w:p>
          <w:p>
            <w:pPr>
              <w:spacing w:line="360" w:lineRule="auto"/>
              <w:rPr>
                <w:rFonts w:asciiTheme="majorEastAsia" w:hAnsiTheme="majorEastAsia" w:eastAsiaTheme="majorEastAsia"/>
                <w:color w:val="auto"/>
                <w:sz w:val="24"/>
                <w:szCs w:val="28"/>
                <w:highlight w:val="none"/>
              </w:rPr>
            </w:pPr>
            <w:r>
              <w:rPr>
                <w:rFonts w:hint="eastAsia" w:asciiTheme="majorEastAsia" w:hAnsiTheme="majorEastAsia" w:eastAsiaTheme="majorEastAsia"/>
                <w:color w:val="auto"/>
                <w:sz w:val="24"/>
                <w:szCs w:val="28"/>
                <w:highlight w:val="none"/>
              </w:rPr>
              <w:t>（签字）</w:t>
            </w:r>
          </w:p>
          <w:p>
            <w:pPr>
              <w:spacing w:line="360" w:lineRule="auto"/>
              <w:rPr>
                <w:rFonts w:asciiTheme="majorEastAsia" w:hAnsiTheme="majorEastAsia" w:eastAsiaTheme="majorEastAsia"/>
                <w:color w:val="auto"/>
                <w:sz w:val="24"/>
                <w:szCs w:val="28"/>
                <w:highlight w:val="none"/>
              </w:rPr>
            </w:pPr>
          </w:p>
        </w:tc>
        <w:tc>
          <w:tcPr>
            <w:tcW w:w="4360" w:type="dxa"/>
          </w:tcPr>
          <w:p>
            <w:pPr>
              <w:spacing w:line="360" w:lineRule="auto"/>
              <w:rPr>
                <w:rFonts w:asciiTheme="majorEastAsia" w:hAnsiTheme="majorEastAsia" w:eastAsiaTheme="majorEastAsia"/>
                <w:color w:val="auto"/>
                <w:sz w:val="24"/>
                <w:szCs w:val="28"/>
                <w:highlight w:val="none"/>
              </w:rPr>
            </w:pPr>
            <w:r>
              <w:rPr>
                <w:rFonts w:hint="eastAsia" w:asciiTheme="majorEastAsia" w:hAnsiTheme="majorEastAsia" w:eastAsiaTheme="majorEastAsia"/>
                <w:color w:val="auto"/>
                <w:sz w:val="24"/>
                <w:szCs w:val="28"/>
                <w:highlight w:val="none"/>
              </w:rPr>
              <w:t>负责人：</w:t>
            </w:r>
          </w:p>
          <w:p>
            <w:pPr>
              <w:spacing w:line="360" w:lineRule="auto"/>
              <w:rPr>
                <w:rFonts w:asciiTheme="majorEastAsia" w:hAnsiTheme="majorEastAsia" w:eastAsiaTheme="majorEastAsia"/>
                <w:color w:val="auto"/>
                <w:sz w:val="24"/>
                <w:szCs w:val="28"/>
                <w:highlight w:val="none"/>
              </w:rPr>
            </w:pPr>
            <w:r>
              <w:rPr>
                <w:rFonts w:hint="eastAsia" w:asciiTheme="majorEastAsia" w:hAnsiTheme="majorEastAsia" w:eastAsiaTheme="majorEastAsia"/>
                <w:color w:val="auto"/>
                <w:sz w:val="24"/>
                <w:szCs w:val="28"/>
                <w:highlight w:val="none"/>
              </w:rPr>
              <w:t>（签字）</w:t>
            </w:r>
          </w:p>
          <w:p>
            <w:pPr>
              <w:spacing w:line="360" w:lineRule="auto"/>
              <w:rPr>
                <w:rFonts w:asciiTheme="majorEastAsia" w:hAnsiTheme="majorEastAsia" w:eastAsiaTheme="majorEastAsia"/>
                <w:color w:val="auto"/>
                <w:sz w:val="24"/>
                <w:szCs w:val="28"/>
                <w:highlight w:val="none"/>
              </w:rPr>
            </w:pPr>
          </w:p>
        </w:tc>
      </w:tr>
    </w:tbl>
    <w:p>
      <w:pPr>
        <w:adjustRightInd w:val="0"/>
        <w:snapToGrid w:val="0"/>
        <w:spacing w:line="360" w:lineRule="auto"/>
        <w:ind w:right="11" w:firstLine="2317" w:firstLineChars="641"/>
        <w:rPr>
          <w:rFonts w:cs="宋体" w:asciiTheme="majorEastAsia" w:hAnsiTheme="majorEastAsia" w:eastAsiaTheme="majorEastAsia"/>
          <w:b/>
          <w:bCs/>
          <w:snapToGrid w:val="0"/>
          <w:color w:val="auto"/>
          <w:kern w:val="0"/>
          <w:sz w:val="36"/>
          <w:szCs w:val="36"/>
          <w:highlight w:val="none"/>
        </w:rPr>
      </w:pPr>
    </w:p>
    <w:bookmarkEnd w:id="682"/>
    <w:p>
      <w:pPr>
        <w:pStyle w:val="6"/>
        <w:rPr>
          <w:rFonts w:cs="宋体" w:asciiTheme="majorEastAsia" w:hAnsiTheme="majorEastAsia" w:eastAsiaTheme="majorEastAsia"/>
          <w:color w:val="auto"/>
          <w:highlight w:val="none"/>
        </w:rPr>
        <w:sectPr>
          <w:pgSz w:w="11907" w:h="16840"/>
          <w:pgMar w:top="1440" w:right="1797" w:bottom="1440" w:left="1797" w:header="851" w:footer="992" w:gutter="0"/>
          <w:cols w:space="720" w:num="1"/>
          <w:docGrid w:type="lines" w:linePitch="312" w:charSpace="0"/>
        </w:sectPr>
      </w:pPr>
    </w:p>
    <w:p>
      <w:pPr>
        <w:pStyle w:val="6"/>
        <w:rPr>
          <w:rFonts w:cs="宋体" w:asciiTheme="majorEastAsia" w:hAnsiTheme="majorEastAsia" w:eastAsiaTheme="majorEastAsia"/>
          <w:b/>
          <w:bCs/>
          <w:color w:val="auto"/>
          <w:sz w:val="32"/>
          <w:szCs w:val="32"/>
          <w:highlight w:val="none"/>
        </w:rPr>
      </w:pPr>
      <w:r>
        <w:rPr>
          <w:rFonts w:hint="eastAsia" w:cs="宋体" w:asciiTheme="majorEastAsia" w:hAnsiTheme="majorEastAsia" w:eastAsiaTheme="majorEastAsia"/>
          <w:b/>
          <w:bCs/>
          <w:color w:val="auto"/>
          <w:sz w:val="32"/>
          <w:szCs w:val="32"/>
          <w:highlight w:val="none"/>
        </w:rPr>
        <w:t>附件</w:t>
      </w:r>
      <w:bookmarkEnd w:id="683"/>
    </w:p>
    <w:p>
      <w:pPr>
        <w:adjustRightInd w:val="0"/>
        <w:snapToGrid w:val="0"/>
        <w:spacing w:line="360" w:lineRule="auto"/>
        <w:jc w:val="center"/>
        <w:outlineLvl w:val="1"/>
        <w:rPr>
          <w:rFonts w:cs="宋体" w:asciiTheme="majorEastAsia" w:hAnsiTheme="majorEastAsia" w:eastAsiaTheme="majorEastAsia"/>
          <w:b/>
          <w:bCs/>
          <w:snapToGrid w:val="0"/>
          <w:color w:val="auto"/>
          <w:kern w:val="0"/>
          <w:sz w:val="32"/>
          <w:szCs w:val="32"/>
          <w:highlight w:val="none"/>
        </w:rPr>
      </w:pPr>
      <w:bookmarkStart w:id="696" w:name="_Toc140476966"/>
      <w:r>
        <w:rPr>
          <w:rFonts w:hint="eastAsia" w:cs="宋体" w:asciiTheme="majorEastAsia" w:hAnsiTheme="majorEastAsia" w:eastAsiaTheme="majorEastAsia"/>
          <w:b/>
          <w:bCs/>
          <w:snapToGrid w:val="0"/>
          <w:color w:val="auto"/>
          <w:kern w:val="0"/>
          <w:sz w:val="32"/>
          <w:szCs w:val="32"/>
          <w:highlight w:val="none"/>
        </w:rPr>
        <w:t>6</w:t>
      </w:r>
      <w:r>
        <w:rPr>
          <w:rFonts w:cs="宋体" w:asciiTheme="majorEastAsia" w:hAnsiTheme="majorEastAsia" w:eastAsiaTheme="majorEastAsia"/>
          <w:b/>
          <w:bCs/>
          <w:snapToGrid w:val="0"/>
          <w:color w:val="auto"/>
          <w:kern w:val="0"/>
          <w:sz w:val="32"/>
          <w:szCs w:val="32"/>
          <w:highlight w:val="none"/>
        </w:rPr>
        <w:t>、</w:t>
      </w:r>
      <w:r>
        <w:rPr>
          <w:rFonts w:hint="eastAsia" w:cs="宋体" w:asciiTheme="majorEastAsia" w:hAnsiTheme="majorEastAsia" w:eastAsiaTheme="majorEastAsia"/>
          <w:b/>
          <w:bCs/>
          <w:snapToGrid w:val="0"/>
          <w:color w:val="auto"/>
          <w:kern w:val="0"/>
          <w:sz w:val="32"/>
          <w:szCs w:val="32"/>
          <w:highlight w:val="none"/>
        </w:rPr>
        <w:t>安全生产协议书</w:t>
      </w:r>
      <w:bookmarkEnd w:id="696"/>
    </w:p>
    <w:p>
      <w:pPr>
        <w:autoSpaceDE w:val="0"/>
        <w:autoSpaceDN w:val="0"/>
        <w:adjustRightInd w:val="0"/>
        <w:snapToGrid w:val="0"/>
        <w:spacing w:line="360" w:lineRule="auto"/>
        <w:ind w:right="11"/>
        <w:rPr>
          <w:rFonts w:cs="宋体" w:asciiTheme="majorEastAsia" w:hAnsiTheme="majorEastAsia" w:eastAsiaTheme="majorEastAsia"/>
          <w:snapToGrid w:val="0"/>
          <w:color w:val="auto"/>
          <w:kern w:val="0"/>
          <w:sz w:val="24"/>
          <w:highlight w:val="none"/>
          <w:lang w:val="zh-CN"/>
        </w:rPr>
      </w:pPr>
    </w:p>
    <w:p>
      <w:pPr>
        <w:spacing w:line="360" w:lineRule="auto"/>
        <w:rPr>
          <w:rFonts w:asciiTheme="majorEastAsia" w:hAnsiTheme="majorEastAsia" w:eastAsiaTheme="majorEastAsia"/>
          <w:color w:val="auto"/>
          <w:sz w:val="24"/>
          <w:szCs w:val="28"/>
          <w:highlight w:val="none"/>
        </w:rPr>
      </w:pPr>
      <w:r>
        <w:rPr>
          <w:rFonts w:hint="eastAsia" w:asciiTheme="majorEastAsia" w:hAnsiTheme="majorEastAsia" w:eastAsiaTheme="majorEastAsia"/>
          <w:color w:val="auto"/>
          <w:sz w:val="24"/>
          <w:szCs w:val="28"/>
          <w:highlight w:val="none"/>
        </w:rPr>
        <w:t>甲方：广州城慧投资发展有限公司</w:t>
      </w:r>
    </w:p>
    <w:p>
      <w:pPr>
        <w:spacing w:line="360" w:lineRule="auto"/>
        <w:rPr>
          <w:rFonts w:asciiTheme="majorEastAsia" w:hAnsiTheme="majorEastAsia" w:eastAsiaTheme="majorEastAsia"/>
          <w:color w:val="auto"/>
          <w:sz w:val="24"/>
          <w:szCs w:val="28"/>
          <w:highlight w:val="none"/>
        </w:rPr>
      </w:pPr>
      <w:r>
        <w:rPr>
          <w:rFonts w:hint="eastAsia" w:asciiTheme="majorEastAsia" w:hAnsiTheme="majorEastAsia" w:eastAsiaTheme="majorEastAsia"/>
          <w:color w:val="auto"/>
          <w:sz w:val="24"/>
          <w:szCs w:val="28"/>
          <w:highlight w:val="none"/>
        </w:rPr>
        <w:t>乙方：【乙方单位名称】</w:t>
      </w:r>
    </w:p>
    <w:p>
      <w:pPr>
        <w:pStyle w:val="62"/>
        <w:spacing w:line="360" w:lineRule="auto"/>
        <w:rPr>
          <w:rFonts w:asciiTheme="majorEastAsia" w:hAnsiTheme="majorEastAsia" w:eastAsiaTheme="majorEastAsia"/>
          <w:color w:val="auto"/>
          <w:highlight w:val="none"/>
          <w:lang w:val="zh-CN"/>
        </w:rPr>
      </w:pPr>
    </w:p>
    <w:p>
      <w:pPr>
        <w:autoSpaceDE w:val="0"/>
        <w:autoSpaceDN w:val="0"/>
        <w:adjustRightInd w:val="0"/>
        <w:snapToGrid w:val="0"/>
        <w:spacing w:line="360" w:lineRule="auto"/>
        <w:ind w:right="11" w:firstLine="480" w:firstLineChars="200"/>
        <w:rPr>
          <w:rFonts w:cs="宋体" w:asciiTheme="majorEastAsia" w:hAnsiTheme="majorEastAsia" w:eastAsiaTheme="majorEastAsia"/>
          <w:bCs/>
          <w:snapToGrid w:val="0"/>
          <w:color w:val="auto"/>
          <w:kern w:val="0"/>
          <w:sz w:val="24"/>
          <w:highlight w:val="none"/>
          <w:lang w:val="zh-CN"/>
        </w:rPr>
      </w:pPr>
      <w:r>
        <w:rPr>
          <w:rFonts w:hint="eastAsia" w:cs="宋体" w:asciiTheme="majorEastAsia" w:hAnsiTheme="majorEastAsia" w:eastAsiaTheme="majorEastAsia"/>
          <w:bCs/>
          <w:snapToGrid w:val="0"/>
          <w:color w:val="auto"/>
          <w:kern w:val="0"/>
          <w:sz w:val="24"/>
          <w:highlight w:val="none"/>
          <w:lang w:val="zh-CN"/>
        </w:rPr>
        <w:t>为确保</w:t>
      </w:r>
      <w:r>
        <w:rPr>
          <w:rFonts w:hint="eastAsia" w:cs="宋体" w:asciiTheme="majorEastAsia" w:hAnsiTheme="majorEastAsia" w:eastAsiaTheme="majorEastAsia"/>
          <w:bCs/>
          <w:color w:val="auto"/>
          <w:sz w:val="24"/>
          <w:highlight w:val="none"/>
          <w:u w:val="single"/>
        </w:rPr>
        <w:t>【项目名称】承包合同</w:t>
      </w:r>
      <w:r>
        <w:rPr>
          <w:rFonts w:hint="eastAsia" w:cs="宋体" w:asciiTheme="majorEastAsia" w:hAnsiTheme="majorEastAsia" w:eastAsiaTheme="majorEastAsia"/>
          <w:bCs/>
          <w:snapToGrid w:val="0"/>
          <w:color w:val="auto"/>
          <w:kern w:val="0"/>
          <w:sz w:val="24"/>
          <w:highlight w:val="none"/>
          <w:lang w:val="zh-CN"/>
        </w:rPr>
        <w:t>实施过程中的安全，甲、乙双方特签订本安全生产协议书，明确双方职责。</w:t>
      </w:r>
    </w:p>
    <w:p>
      <w:pPr>
        <w:tabs>
          <w:tab w:val="left" w:pos="480"/>
        </w:tabs>
        <w:autoSpaceDE w:val="0"/>
        <w:autoSpaceDN w:val="0"/>
        <w:adjustRightInd w:val="0"/>
        <w:snapToGrid w:val="0"/>
        <w:spacing w:line="360" w:lineRule="auto"/>
        <w:ind w:left="461"/>
        <w:rPr>
          <w:rFonts w:cs="宋体" w:asciiTheme="majorEastAsia" w:hAnsiTheme="majorEastAsia" w:eastAsiaTheme="majorEastAsia"/>
          <w:b/>
          <w:snapToGrid w:val="0"/>
          <w:color w:val="auto"/>
          <w:kern w:val="0"/>
          <w:sz w:val="24"/>
          <w:highlight w:val="none"/>
          <w:lang w:val="zh-CN"/>
        </w:rPr>
      </w:pPr>
      <w:r>
        <w:rPr>
          <w:rFonts w:hint="eastAsia" w:cs="宋体" w:asciiTheme="majorEastAsia" w:hAnsiTheme="majorEastAsia" w:eastAsiaTheme="majorEastAsia"/>
          <w:b/>
          <w:snapToGrid w:val="0"/>
          <w:color w:val="auto"/>
          <w:kern w:val="0"/>
          <w:sz w:val="24"/>
          <w:highlight w:val="none"/>
          <w:lang w:val="zh-CN"/>
        </w:rPr>
        <w:t>一、甲方职责</w:t>
      </w:r>
    </w:p>
    <w:p>
      <w:pPr>
        <w:autoSpaceDE w:val="0"/>
        <w:autoSpaceDN w:val="0"/>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lang w:val="zh-CN"/>
        </w:rPr>
      </w:pPr>
      <w:r>
        <w:rPr>
          <w:rFonts w:hint="eastAsia" w:cs="宋体" w:asciiTheme="majorEastAsia" w:hAnsiTheme="majorEastAsia" w:eastAsiaTheme="majorEastAsia"/>
          <w:snapToGrid w:val="0"/>
          <w:color w:val="auto"/>
          <w:kern w:val="0"/>
          <w:sz w:val="24"/>
          <w:highlight w:val="none"/>
          <w:lang w:val="zh-CN"/>
        </w:rPr>
        <w:t>（一）认真履行《建设工程安全生产管理条例》规定的安全责任及执行工程承包合同中的有关安全条款。</w:t>
      </w:r>
    </w:p>
    <w:p>
      <w:pPr>
        <w:autoSpaceDE w:val="0"/>
        <w:autoSpaceDN w:val="0"/>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lang w:val="zh-CN"/>
        </w:rPr>
      </w:pPr>
      <w:r>
        <w:rPr>
          <w:rFonts w:hint="eastAsia" w:cs="宋体" w:asciiTheme="majorEastAsia" w:hAnsiTheme="majorEastAsia" w:eastAsiaTheme="majorEastAsia"/>
          <w:snapToGrid w:val="0"/>
          <w:color w:val="auto"/>
          <w:kern w:val="0"/>
          <w:sz w:val="24"/>
          <w:highlight w:val="none"/>
          <w:lang w:val="zh-CN"/>
        </w:rPr>
        <w:t>（二）重要的安全设施必须坚持与主体工程“三同时”的原则，即：同时设计、审批；同时施工；同时验收，投入使用。</w:t>
      </w:r>
    </w:p>
    <w:p>
      <w:pPr>
        <w:autoSpaceDE w:val="0"/>
        <w:autoSpaceDN w:val="0"/>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lang w:val="zh-CN"/>
        </w:rPr>
      </w:pPr>
      <w:r>
        <w:rPr>
          <w:rFonts w:hint="eastAsia" w:cs="宋体" w:asciiTheme="majorEastAsia" w:hAnsiTheme="majorEastAsia" w:eastAsiaTheme="majorEastAsia"/>
          <w:snapToGrid w:val="0"/>
          <w:color w:val="auto"/>
          <w:kern w:val="0"/>
          <w:sz w:val="24"/>
          <w:highlight w:val="none"/>
          <w:lang w:val="zh-CN"/>
        </w:rPr>
        <w:t>（三）定期召开安全生产会议，指出施工现场存在的安全隐患，及时传达上级关于安全文明施工的要求。</w:t>
      </w:r>
    </w:p>
    <w:p>
      <w:pPr>
        <w:autoSpaceDE w:val="0"/>
        <w:autoSpaceDN w:val="0"/>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lang w:val="zh-CN"/>
        </w:rPr>
      </w:pPr>
      <w:r>
        <w:rPr>
          <w:rFonts w:hint="eastAsia" w:cs="宋体" w:asciiTheme="majorEastAsia" w:hAnsiTheme="majorEastAsia" w:eastAsiaTheme="majorEastAsia"/>
          <w:snapToGrid w:val="0"/>
          <w:color w:val="auto"/>
          <w:kern w:val="0"/>
          <w:sz w:val="24"/>
          <w:highlight w:val="none"/>
          <w:lang w:val="zh-CN"/>
        </w:rPr>
        <w:t>（四）组织对乙方施工现场安全生产检查，监督乙方及时排除各种安全隐患。</w:t>
      </w:r>
    </w:p>
    <w:p>
      <w:pPr>
        <w:autoSpaceDE w:val="0"/>
        <w:autoSpaceDN w:val="0"/>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lang w:val="zh-CN"/>
        </w:rPr>
      </w:pPr>
      <w:r>
        <w:rPr>
          <w:rFonts w:hint="eastAsia" w:cs="宋体" w:asciiTheme="majorEastAsia" w:hAnsiTheme="majorEastAsia" w:eastAsiaTheme="majorEastAsia"/>
          <w:snapToGrid w:val="0"/>
          <w:color w:val="auto"/>
          <w:kern w:val="0"/>
          <w:sz w:val="24"/>
          <w:highlight w:val="none"/>
          <w:lang w:val="zh-CN"/>
        </w:rPr>
        <w:t>（五）依据甲方制定的</w:t>
      </w:r>
      <w:r>
        <w:rPr>
          <w:rFonts w:hint="eastAsia" w:cs="宋体" w:asciiTheme="majorEastAsia" w:hAnsiTheme="majorEastAsia" w:eastAsiaTheme="majorEastAsia"/>
          <w:snapToGrid w:val="0"/>
          <w:color w:val="auto"/>
          <w:kern w:val="0"/>
          <w:sz w:val="24"/>
          <w:highlight w:val="none"/>
        </w:rPr>
        <w:t>工程管理办法及政府、主管部门相关规定要求</w:t>
      </w:r>
      <w:r>
        <w:rPr>
          <w:rFonts w:hint="eastAsia" w:cs="宋体" w:asciiTheme="majorEastAsia" w:hAnsiTheme="majorEastAsia" w:eastAsiaTheme="majorEastAsia"/>
          <w:snapToGrid w:val="0"/>
          <w:color w:val="auto"/>
          <w:kern w:val="0"/>
          <w:sz w:val="24"/>
          <w:highlight w:val="none"/>
          <w:lang w:val="zh-CN"/>
        </w:rPr>
        <w:t>进行工程项目管理。</w:t>
      </w:r>
    </w:p>
    <w:p>
      <w:pPr>
        <w:autoSpaceDE w:val="0"/>
        <w:autoSpaceDN w:val="0"/>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lang w:val="zh-CN"/>
        </w:rPr>
      </w:pPr>
      <w:r>
        <w:rPr>
          <w:rFonts w:hint="eastAsia" w:cs="宋体" w:asciiTheme="majorEastAsia" w:hAnsiTheme="majorEastAsia" w:eastAsiaTheme="majorEastAsia"/>
          <w:snapToGrid w:val="0"/>
          <w:color w:val="auto"/>
          <w:kern w:val="0"/>
          <w:sz w:val="24"/>
          <w:highlight w:val="none"/>
          <w:lang w:val="zh-CN"/>
        </w:rPr>
        <w:t>（六）协助与促进乙方创建“广州市安全文明施工样板工地”。</w:t>
      </w:r>
    </w:p>
    <w:p>
      <w:pPr>
        <w:autoSpaceDE w:val="0"/>
        <w:autoSpaceDN w:val="0"/>
        <w:adjustRightInd w:val="0"/>
        <w:snapToGrid w:val="0"/>
        <w:spacing w:line="360" w:lineRule="auto"/>
        <w:ind w:firstLine="482" w:firstLineChars="200"/>
        <w:rPr>
          <w:rFonts w:cs="宋体" w:asciiTheme="majorEastAsia" w:hAnsiTheme="majorEastAsia" w:eastAsiaTheme="majorEastAsia"/>
          <w:b/>
          <w:snapToGrid w:val="0"/>
          <w:color w:val="auto"/>
          <w:kern w:val="0"/>
          <w:sz w:val="24"/>
          <w:highlight w:val="none"/>
          <w:lang w:val="zh-CN"/>
        </w:rPr>
      </w:pPr>
      <w:r>
        <w:rPr>
          <w:rFonts w:hint="eastAsia" w:cs="宋体" w:asciiTheme="majorEastAsia" w:hAnsiTheme="majorEastAsia" w:eastAsiaTheme="majorEastAsia"/>
          <w:b/>
          <w:snapToGrid w:val="0"/>
          <w:color w:val="auto"/>
          <w:kern w:val="0"/>
          <w:sz w:val="24"/>
          <w:highlight w:val="none"/>
          <w:lang w:val="zh-CN"/>
        </w:rPr>
        <w:t>二、乙方职责</w:t>
      </w:r>
    </w:p>
    <w:p>
      <w:pPr>
        <w:autoSpaceDE w:val="0"/>
        <w:autoSpaceDN w:val="0"/>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lang w:val="zh-CN"/>
        </w:rPr>
      </w:pPr>
      <w:r>
        <w:rPr>
          <w:rFonts w:hint="eastAsia" w:cs="宋体" w:asciiTheme="majorEastAsia" w:hAnsiTheme="majorEastAsia" w:eastAsiaTheme="majorEastAsia"/>
          <w:snapToGrid w:val="0"/>
          <w:color w:val="auto"/>
          <w:kern w:val="0"/>
          <w:sz w:val="24"/>
          <w:highlight w:val="none"/>
          <w:lang w:val="zh-CN"/>
        </w:rPr>
        <w:t>（一）认真履行《建设工程安全生产管理条例》规定的安全责任及执行工程承包合同中的有关安全条款。</w:t>
      </w:r>
    </w:p>
    <w:p>
      <w:pPr>
        <w:autoSpaceDE w:val="0"/>
        <w:autoSpaceDN w:val="0"/>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lang w:val="zh-CN"/>
        </w:rPr>
      </w:pPr>
      <w:r>
        <w:rPr>
          <w:rFonts w:hint="eastAsia" w:cs="宋体" w:asciiTheme="majorEastAsia" w:hAnsiTheme="majorEastAsia" w:eastAsiaTheme="majorEastAsia"/>
          <w:snapToGrid w:val="0"/>
          <w:color w:val="auto"/>
          <w:kern w:val="0"/>
          <w:sz w:val="24"/>
          <w:highlight w:val="none"/>
          <w:lang w:val="zh-CN"/>
        </w:rPr>
        <w:t>（二）坚持</w:t>
      </w:r>
      <w:r>
        <w:rPr>
          <w:rFonts w:hint="eastAsia" w:cs="宋体" w:asciiTheme="majorEastAsia" w:hAnsiTheme="majorEastAsia" w:eastAsiaTheme="majorEastAsia"/>
          <w:snapToGrid w:val="0"/>
          <w:color w:val="auto"/>
          <w:kern w:val="0"/>
          <w:sz w:val="24"/>
          <w:highlight w:val="none"/>
        </w:rPr>
        <w:t>“</w:t>
      </w:r>
      <w:r>
        <w:rPr>
          <w:rFonts w:hint="eastAsia" w:cs="宋体" w:asciiTheme="majorEastAsia" w:hAnsiTheme="majorEastAsia" w:eastAsiaTheme="majorEastAsia"/>
          <w:snapToGrid w:val="0"/>
          <w:color w:val="auto"/>
          <w:kern w:val="0"/>
          <w:sz w:val="24"/>
          <w:highlight w:val="none"/>
          <w:lang w:val="zh-CN"/>
        </w:rPr>
        <w:t>安全</w:t>
      </w:r>
      <w:r>
        <w:rPr>
          <w:rFonts w:hint="eastAsia" w:cs="宋体" w:asciiTheme="majorEastAsia" w:hAnsiTheme="majorEastAsia" w:eastAsiaTheme="majorEastAsia"/>
          <w:snapToGrid w:val="0"/>
          <w:color w:val="auto"/>
          <w:kern w:val="0"/>
          <w:sz w:val="24"/>
          <w:highlight w:val="none"/>
        </w:rPr>
        <w:t>第一</w:t>
      </w:r>
      <w:r>
        <w:rPr>
          <w:rFonts w:hint="eastAsia" w:cs="宋体" w:asciiTheme="majorEastAsia" w:hAnsiTheme="majorEastAsia" w:eastAsiaTheme="majorEastAsia"/>
          <w:snapToGrid w:val="0"/>
          <w:color w:val="auto"/>
          <w:kern w:val="0"/>
          <w:sz w:val="24"/>
          <w:highlight w:val="none"/>
          <w:lang w:val="zh-CN"/>
        </w:rPr>
        <w:t>、预防为主</w:t>
      </w:r>
      <w:r>
        <w:rPr>
          <w:rFonts w:hint="eastAsia" w:cs="宋体" w:asciiTheme="majorEastAsia" w:hAnsiTheme="majorEastAsia" w:eastAsiaTheme="majorEastAsia"/>
          <w:snapToGrid w:val="0"/>
          <w:color w:val="auto"/>
          <w:kern w:val="0"/>
          <w:sz w:val="24"/>
          <w:highlight w:val="none"/>
        </w:rPr>
        <w:t>”</w:t>
      </w:r>
      <w:r>
        <w:rPr>
          <w:rFonts w:hint="eastAsia" w:cs="宋体" w:asciiTheme="majorEastAsia" w:hAnsiTheme="majorEastAsia" w:eastAsiaTheme="majorEastAsia"/>
          <w:snapToGrid w:val="0"/>
          <w:color w:val="auto"/>
          <w:kern w:val="0"/>
          <w:sz w:val="24"/>
          <w:highlight w:val="none"/>
          <w:lang w:val="zh-CN"/>
        </w:rPr>
        <w:t>和</w:t>
      </w:r>
      <w:r>
        <w:rPr>
          <w:rFonts w:hint="eastAsia" w:cs="宋体" w:asciiTheme="majorEastAsia" w:hAnsiTheme="majorEastAsia" w:eastAsiaTheme="majorEastAsia"/>
          <w:snapToGrid w:val="0"/>
          <w:color w:val="auto"/>
          <w:kern w:val="0"/>
          <w:sz w:val="24"/>
          <w:highlight w:val="none"/>
        </w:rPr>
        <w:t>“</w:t>
      </w:r>
      <w:r>
        <w:rPr>
          <w:rFonts w:hint="eastAsia" w:cs="宋体" w:asciiTheme="majorEastAsia" w:hAnsiTheme="majorEastAsia" w:eastAsiaTheme="majorEastAsia"/>
          <w:snapToGrid w:val="0"/>
          <w:color w:val="auto"/>
          <w:kern w:val="0"/>
          <w:sz w:val="24"/>
          <w:highlight w:val="none"/>
          <w:lang w:val="zh-CN"/>
        </w:rPr>
        <w:t>管生产必须管安全</w:t>
      </w:r>
      <w:r>
        <w:rPr>
          <w:rFonts w:hint="eastAsia" w:cs="宋体" w:asciiTheme="majorEastAsia" w:hAnsiTheme="majorEastAsia" w:eastAsiaTheme="majorEastAsia"/>
          <w:snapToGrid w:val="0"/>
          <w:color w:val="auto"/>
          <w:kern w:val="0"/>
          <w:sz w:val="24"/>
          <w:highlight w:val="none"/>
        </w:rPr>
        <w:t>”</w:t>
      </w:r>
      <w:r>
        <w:rPr>
          <w:rFonts w:hint="eastAsia" w:cs="宋体" w:asciiTheme="majorEastAsia" w:hAnsiTheme="majorEastAsia" w:eastAsiaTheme="majorEastAsia"/>
          <w:snapToGrid w:val="0"/>
          <w:color w:val="auto"/>
          <w:kern w:val="0"/>
          <w:sz w:val="24"/>
          <w:highlight w:val="none"/>
          <w:lang w:val="zh-CN"/>
        </w:rPr>
        <w:t>的原则，加强安全生产宣传教育，增强全员安全生产意识，建立健全各项安全生产管理制度，配备专职安全管理人员，有组织有领导地开展安全生产活动。项目经理、工程技术人员、生产管理人员和具体操作人员，必须熟悉和遵守安全生产的各项规定，做到生产与安全工作同时计划、布置、检查、总结和评比。</w:t>
      </w:r>
    </w:p>
    <w:p>
      <w:pPr>
        <w:autoSpaceDE w:val="0"/>
        <w:autoSpaceDN w:val="0"/>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lang w:val="zh-CN"/>
        </w:rPr>
      </w:pPr>
      <w:r>
        <w:rPr>
          <w:rFonts w:hint="eastAsia" w:cs="宋体" w:asciiTheme="majorEastAsia" w:hAnsiTheme="majorEastAsia" w:eastAsiaTheme="majorEastAsia"/>
          <w:snapToGrid w:val="0"/>
          <w:color w:val="auto"/>
          <w:kern w:val="0"/>
          <w:sz w:val="24"/>
          <w:highlight w:val="none"/>
          <w:lang w:val="zh-CN"/>
        </w:rPr>
        <w:t>（三）建立</w:t>
      </w:r>
      <w:r>
        <w:rPr>
          <w:rFonts w:hint="eastAsia" w:cs="宋体" w:asciiTheme="majorEastAsia" w:hAnsiTheme="majorEastAsia" w:eastAsiaTheme="majorEastAsia"/>
          <w:snapToGrid w:val="0"/>
          <w:color w:val="auto"/>
          <w:kern w:val="0"/>
          <w:sz w:val="24"/>
          <w:highlight w:val="none"/>
        </w:rPr>
        <w:t>安全生产</w:t>
      </w:r>
      <w:r>
        <w:rPr>
          <w:rFonts w:hint="eastAsia" w:cs="宋体" w:asciiTheme="majorEastAsia" w:hAnsiTheme="majorEastAsia" w:eastAsiaTheme="majorEastAsia"/>
          <w:snapToGrid w:val="0"/>
          <w:color w:val="auto"/>
          <w:kern w:val="0"/>
          <w:sz w:val="24"/>
          <w:highlight w:val="none"/>
          <w:lang w:val="zh-CN"/>
        </w:rPr>
        <w:t>保证体系，健全安全生产责任制，从派驻项目的项目经理到生产工人（包括临时雇请的施工人员）及各职能部门都必须有明确的安全责任，项目经理是安全生产的第一责任人。现场设置安全管理机构：应按规定配备足够的专职安全员，专职负责所有的安全和治安保卫工作及预防事故的发生。安全机构人员，有权按有关规定发布指令，并采取保护性措施防止事故发生。</w:t>
      </w:r>
    </w:p>
    <w:p>
      <w:pPr>
        <w:autoSpaceDE w:val="0"/>
        <w:autoSpaceDN w:val="0"/>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lang w:val="zh-CN"/>
        </w:rPr>
        <w:t>（四）</w:t>
      </w:r>
      <w:r>
        <w:rPr>
          <w:rFonts w:hint="eastAsia" w:cs="宋体" w:asciiTheme="majorEastAsia" w:hAnsiTheme="majorEastAsia" w:eastAsiaTheme="majorEastAsia"/>
          <w:snapToGrid w:val="0"/>
          <w:color w:val="auto"/>
          <w:kern w:val="0"/>
          <w:sz w:val="24"/>
          <w:highlight w:val="none"/>
        </w:rPr>
        <w:t>有责任采取各种合理的预防措施，防止其员工发生各种违法、违禁、暴力或妨碍治安的行为。</w:t>
      </w:r>
    </w:p>
    <w:p>
      <w:pPr>
        <w:autoSpaceDE w:val="0"/>
        <w:autoSpaceDN w:val="0"/>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lang w:val="zh-CN"/>
        </w:rPr>
      </w:pPr>
      <w:r>
        <w:rPr>
          <w:rFonts w:hint="eastAsia" w:cs="宋体" w:asciiTheme="majorEastAsia" w:hAnsiTheme="majorEastAsia" w:eastAsiaTheme="majorEastAsia"/>
          <w:snapToGrid w:val="0"/>
          <w:color w:val="auto"/>
          <w:kern w:val="0"/>
          <w:sz w:val="24"/>
          <w:highlight w:val="none"/>
          <w:lang w:val="zh-CN"/>
        </w:rPr>
        <w:t>（五）参加施工的人员，必须接受安全技术教育，熟知和遵守所在岗位（工种）的各项安全技术操作规程，定期进行安全技术考核。对于从事电气、起重、登高作业、焊接等特种作业的人员，须经过专业培训，获得相关《特种作业人员操作证》。施工现场如出现特种作业人员无证上岗时，项目经理必须承担安全管理责任。</w:t>
      </w:r>
    </w:p>
    <w:p>
      <w:pPr>
        <w:autoSpaceDE w:val="0"/>
        <w:autoSpaceDN w:val="0"/>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lang w:val="zh-CN"/>
        </w:rPr>
      </w:pPr>
      <w:r>
        <w:rPr>
          <w:rFonts w:hint="eastAsia" w:cs="宋体" w:asciiTheme="majorEastAsia" w:hAnsiTheme="majorEastAsia" w:eastAsiaTheme="majorEastAsia"/>
          <w:snapToGrid w:val="0"/>
          <w:color w:val="auto"/>
          <w:kern w:val="0"/>
          <w:sz w:val="24"/>
          <w:highlight w:val="none"/>
          <w:lang w:val="zh-CN"/>
        </w:rPr>
        <w:t>（六）对于易燃易爆的材料除应专门妥善保管之外，还应配备足够的消防设施，所有施工人员都应熟悉消防设备的性能和使用方法；乙方不能将任何种类的爆炸物给予、易货或以其他方式转让给任何其他人，或允许、容忍上述同样行为。</w:t>
      </w:r>
    </w:p>
    <w:p>
      <w:pPr>
        <w:autoSpaceDE w:val="0"/>
        <w:autoSpaceDN w:val="0"/>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lang w:val="zh-CN"/>
        </w:rPr>
      </w:pPr>
      <w:r>
        <w:rPr>
          <w:rFonts w:hint="eastAsia" w:cs="宋体" w:asciiTheme="majorEastAsia" w:hAnsiTheme="majorEastAsia" w:eastAsiaTheme="majorEastAsia"/>
          <w:snapToGrid w:val="0"/>
          <w:color w:val="auto"/>
          <w:kern w:val="0"/>
          <w:sz w:val="24"/>
          <w:highlight w:val="none"/>
          <w:lang w:val="zh-CN"/>
        </w:rPr>
        <w:t>（七）操作人员上岗，必须按规定佩带穿戴安全帽等防护用品。项目经理和专职安全员应随时检查劳动防护用品的穿戴情况，不按规定穿戴防护用品的人员不得上岗。</w:t>
      </w:r>
    </w:p>
    <w:p>
      <w:pPr>
        <w:autoSpaceDE w:val="0"/>
        <w:autoSpaceDN w:val="0"/>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lang w:val="zh-CN"/>
        </w:rPr>
      </w:pPr>
      <w:r>
        <w:rPr>
          <w:rFonts w:hint="eastAsia" w:cs="宋体" w:asciiTheme="majorEastAsia" w:hAnsiTheme="majorEastAsia" w:eastAsiaTheme="majorEastAsia"/>
          <w:snapToGrid w:val="0"/>
          <w:color w:val="auto"/>
          <w:kern w:val="0"/>
          <w:sz w:val="24"/>
          <w:highlight w:val="none"/>
          <w:lang w:val="zh-CN"/>
        </w:rPr>
        <w:t>（八）所有施工机具设备和高处作业的设备均应定期检查，并有安全员的签名记录，保证其经常处于完好状态，不合格的机具、设备和劳动保护用品严禁使用。</w:t>
      </w:r>
    </w:p>
    <w:p>
      <w:pPr>
        <w:autoSpaceDE w:val="0"/>
        <w:autoSpaceDN w:val="0"/>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lang w:val="zh-CN"/>
        </w:rPr>
      </w:pPr>
      <w:r>
        <w:rPr>
          <w:rFonts w:hint="eastAsia" w:cs="宋体" w:asciiTheme="majorEastAsia" w:hAnsiTheme="majorEastAsia" w:eastAsiaTheme="majorEastAsia"/>
          <w:snapToGrid w:val="0"/>
          <w:color w:val="auto"/>
          <w:kern w:val="0"/>
          <w:sz w:val="24"/>
          <w:highlight w:val="none"/>
          <w:lang w:val="zh-CN"/>
        </w:rPr>
        <w:t>（九）施工中采用新技术、新工艺、新设备、新材料，必须制定相应的安全技术措施。施工现场必须按规定有针对性地悬挂安全标志牌。</w:t>
      </w:r>
    </w:p>
    <w:p>
      <w:pPr>
        <w:autoSpaceDE w:val="0"/>
        <w:autoSpaceDN w:val="0"/>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lang w:val="zh-CN"/>
        </w:rPr>
      </w:pPr>
      <w:r>
        <w:rPr>
          <w:rFonts w:hint="eastAsia" w:cs="宋体" w:asciiTheme="majorEastAsia" w:hAnsiTheme="majorEastAsia" w:eastAsiaTheme="majorEastAsia"/>
          <w:snapToGrid w:val="0"/>
          <w:color w:val="auto"/>
          <w:kern w:val="0"/>
          <w:sz w:val="24"/>
          <w:highlight w:val="none"/>
          <w:lang w:val="zh-CN"/>
        </w:rPr>
        <w:t>（十）乙方</w:t>
      </w:r>
      <w:r>
        <w:rPr>
          <w:rFonts w:hint="eastAsia" w:cs="宋体" w:asciiTheme="majorEastAsia" w:hAnsiTheme="majorEastAsia" w:eastAsiaTheme="majorEastAsia"/>
          <w:snapToGrid w:val="0"/>
          <w:color w:val="auto"/>
          <w:kern w:val="0"/>
          <w:sz w:val="24"/>
          <w:highlight w:val="none"/>
        </w:rPr>
        <w:t>必须</w:t>
      </w:r>
      <w:r>
        <w:rPr>
          <w:rFonts w:hint="eastAsia" w:cs="宋体" w:asciiTheme="majorEastAsia" w:hAnsiTheme="majorEastAsia" w:eastAsiaTheme="majorEastAsia"/>
          <w:snapToGrid w:val="0"/>
          <w:color w:val="auto"/>
          <w:kern w:val="0"/>
          <w:sz w:val="24"/>
          <w:highlight w:val="none"/>
          <w:lang w:val="zh-CN"/>
        </w:rPr>
        <w:t>按照本工程项目特点，制定安全事故应急救援预案；如果发生安全事故，应按照《建设工程安全管理条例》的有关规定上报有关部门，并按照</w:t>
      </w:r>
      <w:r>
        <w:rPr>
          <w:rFonts w:hint="eastAsia" w:cs="宋体" w:asciiTheme="majorEastAsia" w:hAnsiTheme="majorEastAsia" w:eastAsiaTheme="majorEastAsia"/>
          <w:snapToGrid w:val="0"/>
          <w:color w:val="auto"/>
          <w:kern w:val="0"/>
          <w:sz w:val="24"/>
          <w:highlight w:val="none"/>
        </w:rPr>
        <w:t>“</w:t>
      </w:r>
      <w:r>
        <w:rPr>
          <w:rFonts w:hint="eastAsia" w:cs="宋体" w:asciiTheme="majorEastAsia" w:hAnsiTheme="majorEastAsia" w:eastAsiaTheme="majorEastAsia"/>
          <w:snapToGrid w:val="0"/>
          <w:color w:val="auto"/>
          <w:kern w:val="0"/>
          <w:sz w:val="24"/>
          <w:highlight w:val="none"/>
          <w:lang w:val="zh-CN"/>
        </w:rPr>
        <w:t>四不放过</w:t>
      </w:r>
      <w:r>
        <w:rPr>
          <w:rFonts w:hint="eastAsia" w:cs="宋体" w:asciiTheme="majorEastAsia" w:hAnsiTheme="majorEastAsia" w:eastAsiaTheme="majorEastAsia"/>
          <w:snapToGrid w:val="0"/>
          <w:color w:val="auto"/>
          <w:kern w:val="0"/>
          <w:sz w:val="24"/>
          <w:highlight w:val="none"/>
        </w:rPr>
        <w:t>”</w:t>
      </w:r>
      <w:r>
        <w:rPr>
          <w:rFonts w:hint="eastAsia" w:cs="宋体" w:asciiTheme="majorEastAsia" w:hAnsiTheme="majorEastAsia" w:eastAsiaTheme="majorEastAsia"/>
          <w:snapToGrid w:val="0"/>
          <w:color w:val="auto"/>
          <w:kern w:val="0"/>
          <w:sz w:val="24"/>
          <w:highlight w:val="none"/>
          <w:lang w:val="zh-CN"/>
        </w:rPr>
        <w:t>的原则调查处理。</w:t>
      </w:r>
    </w:p>
    <w:p>
      <w:pPr>
        <w:autoSpaceDE w:val="0"/>
        <w:autoSpaceDN w:val="0"/>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lang w:val="zh-CN"/>
        </w:rPr>
      </w:pPr>
      <w:r>
        <w:rPr>
          <w:rFonts w:hint="eastAsia" w:cs="宋体" w:asciiTheme="majorEastAsia" w:hAnsiTheme="majorEastAsia" w:eastAsiaTheme="majorEastAsia"/>
          <w:snapToGrid w:val="0"/>
          <w:color w:val="auto"/>
          <w:kern w:val="0"/>
          <w:sz w:val="24"/>
          <w:highlight w:val="none"/>
          <w:lang w:val="zh-CN"/>
        </w:rPr>
        <w:t>（十一）遵守甲方</w:t>
      </w:r>
      <w:r>
        <w:rPr>
          <w:rFonts w:hint="eastAsia" w:cs="宋体" w:asciiTheme="majorEastAsia" w:hAnsiTheme="majorEastAsia" w:eastAsiaTheme="majorEastAsia"/>
          <w:snapToGrid w:val="0"/>
          <w:color w:val="auto"/>
          <w:kern w:val="0"/>
          <w:sz w:val="24"/>
          <w:highlight w:val="none"/>
        </w:rPr>
        <w:t>工程管理办法及政府、主管部门</w:t>
      </w:r>
      <w:r>
        <w:rPr>
          <w:rFonts w:hint="eastAsia" w:cs="宋体" w:asciiTheme="majorEastAsia" w:hAnsiTheme="majorEastAsia" w:eastAsiaTheme="majorEastAsia"/>
          <w:snapToGrid w:val="0"/>
          <w:color w:val="auto"/>
          <w:kern w:val="0"/>
          <w:sz w:val="24"/>
          <w:highlight w:val="none"/>
          <w:lang w:val="zh-CN"/>
        </w:rPr>
        <w:t>等相关安全生产管理制度。</w:t>
      </w:r>
    </w:p>
    <w:p>
      <w:pPr>
        <w:autoSpaceDE w:val="0"/>
        <w:autoSpaceDN w:val="0"/>
        <w:adjustRightInd w:val="0"/>
        <w:snapToGrid w:val="0"/>
        <w:spacing w:line="360" w:lineRule="auto"/>
        <w:ind w:firstLine="482" w:firstLineChars="200"/>
        <w:rPr>
          <w:rFonts w:cs="宋体" w:asciiTheme="majorEastAsia" w:hAnsiTheme="majorEastAsia" w:eastAsiaTheme="majorEastAsia"/>
          <w:b/>
          <w:snapToGrid w:val="0"/>
          <w:color w:val="auto"/>
          <w:kern w:val="0"/>
          <w:sz w:val="24"/>
          <w:highlight w:val="none"/>
          <w:lang w:val="zh-CN"/>
        </w:rPr>
      </w:pPr>
      <w:r>
        <w:rPr>
          <w:rFonts w:hint="eastAsia" w:cs="宋体" w:asciiTheme="majorEastAsia" w:hAnsiTheme="majorEastAsia" w:eastAsiaTheme="majorEastAsia"/>
          <w:b/>
          <w:snapToGrid w:val="0"/>
          <w:color w:val="auto"/>
          <w:kern w:val="0"/>
          <w:sz w:val="24"/>
          <w:highlight w:val="none"/>
          <w:lang w:val="zh-CN"/>
        </w:rPr>
        <w:t>三、违约责任</w:t>
      </w:r>
    </w:p>
    <w:p>
      <w:pPr>
        <w:autoSpaceDE w:val="0"/>
        <w:autoSpaceDN w:val="0"/>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lang w:val="zh-CN"/>
        </w:rPr>
      </w:pPr>
      <w:r>
        <w:rPr>
          <w:rFonts w:hint="eastAsia" w:cs="宋体" w:asciiTheme="majorEastAsia" w:hAnsiTheme="majorEastAsia" w:eastAsiaTheme="majorEastAsia"/>
          <w:snapToGrid w:val="0"/>
          <w:color w:val="auto"/>
          <w:kern w:val="0"/>
          <w:sz w:val="24"/>
          <w:highlight w:val="none"/>
          <w:lang w:val="zh-CN"/>
        </w:rPr>
        <w:t>如因甲方或乙方失职违约，将依据《建设工程安全管理条例》、协议书及有关规定追究责任。</w:t>
      </w:r>
    </w:p>
    <w:p>
      <w:pPr>
        <w:adjustRightInd w:val="0"/>
        <w:snapToGrid w:val="0"/>
        <w:spacing w:line="360" w:lineRule="auto"/>
        <w:ind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lang w:val="zh-CN"/>
        </w:rPr>
        <w:t>本安全生产协议书由双方</w:t>
      </w:r>
      <w:r>
        <w:rPr>
          <w:rFonts w:hint="eastAsia" w:cs="宋体" w:asciiTheme="majorEastAsia" w:hAnsiTheme="majorEastAsia" w:eastAsiaTheme="majorEastAsia"/>
          <w:snapToGrid w:val="0"/>
          <w:color w:val="auto"/>
          <w:kern w:val="0"/>
          <w:sz w:val="24"/>
          <w:highlight w:val="none"/>
        </w:rPr>
        <w:t>法定代表人（或委托代理人）签字及加盖单位章或合同专用章</w:t>
      </w:r>
      <w:r>
        <w:rPr>
          <w:rFonts w:hint="eastAsia" w:cs="宋体" w:asciiTheme="majorEastAsia" w:hAnsiTheme="majorEastAsia" w:eastAsiaTheme="majorEastAsia"/>
          <w:snapToGrid w:val="0"/>
          <w:color w:val="auto"/>
          <w:kern w:val="0"/>
          <w:sz w:val="24"/>
          <w:highlight w:val="none"/>
          <w:lang w:val="zh-CN"/>
        </w:rPr>
        <w:t>后生效。工程竣工验收后失效。</w:t>
      </w:r>
    </w:p>
    <w:p>
      <w:pPr>
        <w:adjustRightInd w:val="0"/>
        <w:snapToGrid w:val="0"/>
        <w:spacing w:line="360" w:lineRule="auto"/>
        <w:rPr>
          <w:rFonts w:cs="宋体" w:asciiTheme="majorEastAsia" w:hAnsiTheme="majorEastAsia" w:eastAsiaTheme="majorEastAsia"/>
          <w:snapToGrid w:val="0"/>
          <w:color w:val="auto"/>
          <w:kern w:val="0"/>
          <w:sz w:val="24"/>
          <w:highlight w:val="none"/>
          <w:lang w:val="zh-CN"/>
        </w:rPr>
      </w:pPr>
    </w:p>
    <w:p>
      <w:pPr>
        <w:pStyle w:val="62"/>
        <w:spacing w:line="360" w:lineRule="auto"/>
        <w:rPr>
          <w:rFonts w:asciiTheme="majorEastAsia" w:hAnsiTheme="majorEastAsia" w:eastAsiaTheme="majorEastAsia"/>
          <w:color w:val="auto"/>
          <w:highlight w:val="none"/>
          <w:lang w:val="zh-CN"/>
        </w:rPr>
      </w:pPr>
    </w:p>
    <w:tbl>
      <w:tblPr>
        <w:tblStyle w:val="40"/>
        <w:tblW w:w="0" w:type="auto"/>
        <w:tblInd w:w="0" w:type="dxa"/>
        <w:tblLayout w:type="fixed"/>
        <w:tblCellMar>
          <w:top w:w="0" w:type="dxa"/>
          <w:left w:w="108" w:type="dxa"/>
          <w:bottom w:w="0" w:type="dxa"/>
          <w:right w:w="108" w:type="dxa"/>
        </w:tblCellMar>
      </w:tblPr>
      <w:tblGrid>
        <w:gridCol w:w="3936"/>
        <w:gridCol w:w="4360"/>
      </w:tblGrid>
      <w:tr>
        <w:tblPrEx>
          <w:tblCellMar>
            <w:top w:w="0" w:type="dxa"/>
            <w:left w:w="108" w:type="dxa"/>
            <w:bottom w:w="0" w:type="dxa"/>
            <w:right w:w="108" w:type="dxa"/>
          </w:tblCellMar>
        </w:tblPrEx>
        <w:tc>
          <w:tcPr>
            <w:tcW w:w="3936" w:type="dxa"/>
          </w:tcPr>
          <w:p>
            <w:pPr>
              <w:spacing w:line="360" w:lineRule="auto"/>
              <w:rPr>
                <w:rFonts w:asciiTheme="majorEastAsia" w:hAnsiTheme="majorEastAsia" w:eastAsiaTheme="majorEastAsia"/>
                <w:color w:val="auto"/>
                <w:sz w:val="24"/>
                <w:szCs w:val="28"/>
                <w:highlight w:val="none"/>
              </w:rPr>
            </w:pPr>
            <w:bookmarkStart w:id="697" w:name="_Hlk106789136"/>
            <w:r>
              <w:rPr>
                <w:rFonts w:hint="eastAsia" w:asciiTheme="majorEastAsia" w:hAnsiTheme="majorEastAsia" w:eastAsiaTheme="majorEastAsia"/>
                <w:color w:val="auto"/>
                <w:sz w:val="24"/>
                <w:szCs w:val="28"/>
                <w:highlight w:val="none"/>
              </w:rPr>
              <w:t>甲方</w:t>
            </w:r>
            <w:r>
              <w:rPr>
                <w:rFonts w:asciiTheme="majorEastAsia" w:hAnsiTheme="majorEastAsia" w:eastAsiaTheme="majorEastAsia"/>
                <w:color w:val="auto"/>
                <w:sz w:val="24"/>
                <w:szCs w:val="28"/>
                <w:highlight w:val="none"/>
              </w:rPr>
              <w:t>：</w:t>
            </w:r>
            <w:r>
              <w:rPr>
                <w:rFonts w:hint="eastAsia" w:asciiTheme="majorEastAsia" w:hAnsiTheme="majorEastAsia" w:eastAsiaTheme="majorEastAsia"/>
                <w:color w:val="auto"/>
                <w:sz w:val="24"/>
                <w:szCs w:val="28"/>
                <w:highlight w:val="none"/>
              </w:rPr>
              <w:t>广州城慧投资发展有限公司</w:t>
            </w:r>
          </w:p>
          <w:p>
            <w:pPr>
              <w:spacing w:line="360" w:lineRule="auto"/>
              <w:rPr>
                <w:rFonts w:asciiTheme="majorEastAsia" w:hAnsiTheme="majorEastAsia" w:eastAsiaTheme="majorEastAsia"/>
                <w:color w:val="auto"/>
                <w:sz w:val="24"/>
                <w:szCs w:val="28"/>
                <w:highlight w:val="none"/>
              </w:rPr>
            </w:pPr>
            <w:r>
              <w:rPr>
                <w:rFonts w:asciiTheme="majorEastAsia" w:hAnsiTheme="majorEastAsia" w:eastAsiaTheme="majorEastAsia"/>
                <w:color w:val="auto"/>
                <w:sz w:val="24"/>
                <w:szCs w:val="28"/>
                <w:highlight w:val="none"/>
              </w:rPr>
              <w:t>（盖章）</w:t>
            </w:r>
          </w:p>
          <w:p>
            <w:pPr>
              <w:spacing w:line="360" w:lineRule="auto"/>
              <w:rPr>
                <w:rFonts w:asciiTheme="majorEastAsia" w:hAnsiTheme="majorEastAsia" w:eastAsiaTheme="majorEastAsia"/>
                <w:color w:val="auto"/>
                <w:sz w:val="24"/>
                <w:szCs w:val="28"/>
                <w:highlight w:val="none"/>
              </w:rPr>
            </w:pPr>
          </w:p>
          <w:p>
            <w:pPr>
              <w:spacing w:line="360" w:lineRule="auto"/>
              <w:rPr>
                <w:rFonts w:asciiTheme="majorEastAsia" w:hAnsiTheme="majorEastAsia" w:eastAsiaTheme="majorEastAsia"/>
                <w:color w:val="auto"/>
                <w:sz w:val="24"/>
                <w:szCs w:val="28"/>
                <w:highlight w:val="none"/>
              </w:rPr>
            </w:pPr>
          </w:p>
        </w:tc>
        <w:tc>
          <w:tcPr>
            <w:tcW w:w="4360" w:type="dxa"/>
          </w:tcPr>
          <w:p>
            <w:pPr>
              <w:spacing w:line="360" w:lineRule="auto"/>
              <w:rPr>
                <w:rFonts w:asciiTheme="majorEastAsia" w:hAnsiTheme="majorEastAsia" w:eastAsiaTheme="majorEastAsia"/>
                <w:color w:val="auto"/>
                <w:sz w:val="24"/>
                <w:szCs w:val="28"/>
                <w:highlight w:val="none"/>
              </w:rPr>
            </w:pPr>
            <w:r>
              <w:rPr>
                <w:rFonts w:asciiTheme="majorEastAsia" w:hAnsiTheme="majorEastAsia" w:eastAsiaTheme="majorEastAsia"/>
                <w:color w:val="auto"/>
                <w:sz w:val="24"/>
                <w:szCs w:val="28"/>
                <w:highlight w:val="none"/>
              </w:rPr>
              <w:t>乙方：</w:t>
            </w:r>
            <w:r>
              <w:rPr>
                <w:rFonts w:hint="eastAsia" w:asciiTheme="majorEastAsia" w:hAnsiTheme="majorEastAsia" w:eastAsiaTheme="majorEastAsia"/>
                <w:color w:val="auto"/>
                <w:sz w:val="24"/>
                <w:szCs w:val="28"/>
                <w:highlight w:val="none"/>
              </w:rPr>
              <w:t>【乙方单位名称】</w:t>
            </w:r>
          </w:p>
          <w:p>
            <w:pPr>
              <w:spacing w:line="360" w:lineRule="auto"/>
              <w:rPr>
                <w:rFonts w:asciiTheme="majorEastAsia" w:hAnsiTheme="majorEastAsia" w:eastAsiaTheme="majorEastAsia"/>
                <w:color w:val="auto"/>
                <w:sz w:val="24"/>
                <w:szCs w:val="28"/>
                <w:highlight w:val="none"/>
              </w:rPr>
            </w:pPr>
            <w:r>
              <w:rPr>
                <w:rFonts w:asciiTheme="majorEastAsia" w:hAnsiTheme="majorEastAsia" w:eastAsiaTheme="majorEastAsia"/>
                <w:color w:val="auto"/>
                <w:sz w:val="24"/>
                <w:szCs w:val="28"/>
                <w:highlight w:val="none"/>
              </w:rPr>
              <w:t>（盖章）</w:t>
            </w:r>
          </w:p>
          <w:p>
            <w:pPr>
              <w:spacing w:line="360" w:lineRule="auto"/>
              <w:rPr>
                <w:rFonts w:asciiTheme="majorEastAsia" w:hAnsiTheme="majorEastAsia" w:eastAsiaTheme="majorEastAsia"/>
                <w:color w:val="auto"/>
                <w:sz w:val="24"/>
                <w:szCs w:val="28"/>
                <w:highlight w:val="none"/>
              </w:rPr>
            </w:pPr>
          </w:p>
          <w:p>
            <w:pPr>
              <w:spacing w:line="360" w:lineRule="auto"/>
              <w:rPr>
                <w:rFonts w:asciiTheme="majorEastAsia" w:hAnsiTheme="majorEastAsia" w:eastAsiaTheme="majorEastAsia"/>
                <w:color w:val="auto"/>
                <w:sz w:val="24"/>
                <w:szCs w:val="28"/>
                <w:highlight w:val="none"/>
              </w:rPr>
            </w:pPr>
          </w:p>
        </w:tc>
      </w:tr>
      <w:tr>
        <w:tblPrEx>
          <w:tblCellMar>
            <w:top w:w="0" w:type="dxa"/>
            <w:left w:w="108" w:type="dxa"/>
            <w:bottom w:w="0" w:type="dxa"/>
            <w:right w:w="108" w:type="dxa"/>
          </w:tblCellMar>
        </w:tblPrEx>
        <w:tc>
          <w:tcPr>
            <w:tcW w:w="3936" w:type="dxa"/>
          </w:tcPr>
          <w:p>
            <w:pPr>
              <w:spacing w:line="360" w:lineRule="auto"/>
              <w:rPr>
                <w:rFonts w:asciiTheme="majorEastAsia" w:hAnsiTheme="majorEastAsia" w:eastAsiaTheme="majorEastAsia"/>
                <w:color w:val="auto"/>
                <w:sz w:val="24"/>
                <w:szCs w:val="28"/>
                <w:highlight w:val="none"/>
              </w:rPr>
            </w:pPr>
            <w:r>
              <w:rPr>
                <w:rFonts w:hint="eastAsia" w:asciiTheme="majorEastAsia" w:hAnsiTheme="majorEastAsia" w:eastAsiaTheme="majorEastAsia"/>
                <w:color w:val="auto"/>
                <w:sz w:val="24"/>
                <w:szCs w:val="28"/>
                <w:highlight w:val="none"/>
              </w:rPr>
              <w:t>负责人：</w:t>
            </w:r>
          </w:p>
          <w:p>
            <w:pPr>
              <w:spacing w:line="360" w:lineRule="auto"/>
              <w:rPr>
                <w:rFonts w:asciiTheme="majorEastAsia" w:hAnsiTheme="majorEastAsia" w:eastAsiaTheme="majorEastAsia"/>
                <w:color w:val="auto"/>
                <w:sz w:val="24"/>
                <w:szCs w:val="28"/>
                <w:highlight w:val="none"/>
              </w:rPr>
            </w:pPr>
            <w:r>
              <w:rPr>
                <w:rFonts w:hint="eastAsia" w:asciiTheme="majorEastAsia" w:hAnsiTheme="majorEastAsia" w:eastAsiaTheme="majorEastAsia"/>
                <w:color w:val="auto"/>
                <w:sz w:val="24"/>
                <w:szCs w:val="28"/>
                <w:highlight w:val="none"/>
              </w:rPr>
              <w:t>（签字）</w:t>
            </w:r>
          </w:p>
          <w:p>
            <w:pPr>
              <w:spacing w:line="360" w:lineRule="auto"/>
              <w:rPr>
                <w:rFonts w:asciiTheme="majorEastAsia" w:hAnsiTheme="majorEastAsia" w:eastAsiaTheme="majorEastAsia"/>
                <w:color w:val="auto"/>
                <w:sz w:val="24"/>
                <w:szCs w:val="28"/>
                <w:highlight w:val="none"/>
              </w:rPr>
            </w:pPr>
          </w:p>
          <w:p>
            <w:pPr>
              <w:spacing w:line="360" w:lineRule="auto"/>
              <w:rPr>
                <w:rFonts w:asciiTheme="majorEastAsia" w:hAnsiTheme="majorEastAsia" w:eastAsiaTheme="majorEastAsia"/>
                <w:color w:val="auto"/>
                <w:sz w:val="24"/>
                <w:szCs w:val="28"/>
                <w:highlight w:val="none"/>
              </w:rPr>
            </w:pPr>
          </w:p>
        </w:tc>
        <w:tc>
          <w:tcPr>
            <w:tcW w:w="4360" w:type="dxa"/>
          </w:tcPr>
          <w:p>
            <w:pPr>
              <w:spacing w:line="360" w:lineRule="auto"/>
              <w:rPr>
                <w:rFonts w:asciiTheme="majorEastAsia" w:hAnsiTheme="majorEastAsia" w:eastAsiaTheme="majorEastAsia"/>
                <w:color w:val="auto"/>
                <w:sz w:val="24"/>
                <w:szCs w:val="28"/>
                <w:highlight w:val="none"/>
              </w:rPr>
            </w:pPr>
            <w:r>
              <w:rPr>
                <w:rFonts w:hint="eastAsia" w:asciiTheme="majorEastAsia" w:hAnsiTheme="majorEastAsia" w:eastAsiaTheme="majorEastAsia"/>
                <w:color w:val="auto"/>
                <w:sz w:val="24"/>
                <w:szCs w:val="28"/>
                <w:highlight w:val="none"/>
              </w:rPr>
              <w:t>负责人：</w:t>
            </w:r>
          </w:p>
          <w:p>
            <w:pPr>
              <w:spacing w:line="360" w:lineRule="auto"/>
              <w:rPr>
                <w:rFonts w:asciiTheme="majorEastAsia" w:hAnsiTheme="majorEastAsia" w:eastAsiaTheme="majorEastAsia"/>
                <w:color w:val="auto"/>
                <w:sz w:val="24"/>
                <w:szCs w:val="28"/>
                <w:highlight w:val="none"/>
              </w:rPr>
            </w:pPr>
            <w:r>
              <w:rPr>
                <w:rFonts w:hint="eastAsia" w:asciiTheme="majorEastAsia" w:hAnsiTheme="majorEastAsia" w:eastAsiaTheme="majorEastAsia"/>
                <w:color w:val="auto"/>
                <w:sz w:val="24"/>
                <w:szCs w:val="28"/>
                <w:highlight w:val="none"/>
              </w:rPr>
              <w:t>（签字）</w:t>
            </w:r>
          </w:p>
          <w:p>
            <w:pPr>
              <w:spacing w:line="360" w:lineRule="auto"/>
              <w:rPr>
                <w:rFonts w:asciiTheme="majorEastAsia" w:hAnsiTheme="majorEastAsia" w:eastAsiaTheme="majorEastAsia"/>
                <w:color w:val="auto"/>
                <w:sz w:val="24"/>
                <w:szCs w:val="28"/>
                <w:highlight w:val="none"/>
              </w:rPr>
            </w:pPr>
          </w:p>
          <w:p>
            <w:pPr>
              <w:spacing w:line="360" w:lineRule="auto"/>
              <w:rPr>
                <w:rFonts w:asciiTheme="majorEastAsia" w:hAnsiTheme="majorEastAsia" w:eastAsiaTheme="majorEastAsia"/>
                <w:color w:val="auto"/>
                <w:sz w:val="24"/>
                <w:szCs w:val="28"/>
                <w:highlight w:val="none"/>
              </w:rPr>
            </w:pPr>
          </w:p>
        </w:tc>
      </w:tr>
      <w:bookmarkEnd w:id="697"/>
    </w:tbl>
    <w:p>
      <w:pPr>
        <w:pStyle w:val="62"/>
        <w:spacing w:line="360" w:lineRule="auto"/>
        <w:rPr>
          <w:rFonts w:asciiTheme="majorEastAsia" w:hAnsiTheme="majorEastAsia" w:eastAsiaTheme="majorEastAsia"/>
          <w:b w:val="0"/>
          <w:color w:val="auto"/>
          <w:highlight w:val="none"/>
        </w:rPr>
      </w:pPr>
    </w:p>
    <w:p>
      <w:pPr>
        <w:adjustRightInd w:val="0"/>
        <w:snapToGrid w:val="0"/>
        <w:spacing w:line="360" w:lineRule="auto"/>
        <w:ind w:right="11"/>
        <w:rPr>
          <w:rFonts w:cs="宋体" w:asciiTheme="majorEastAsia" w:hAnsiTheme="majorEastAsia" w:eastAsiaTheme="majorEastAsia"/>
          <w:b/>
          <w:bCs/>
          <w:color w:val="auto"/>
          <w:sz w:val="32"/>
          <w:szCs w:val="32"/>
          <w:highlight w:val="none"/>
        </w:rPr>
      </w:pPr>
      <w:r>
        <w:rPr>
          <w:rFonts w:hint="eastAsia" w:cs="宋体" w:asciiTheme="majorEastAsia" w:hAnsiTheme="majorEastAsia" w:eastAsiaTheme="majorEastAsia"/>
          <w:color w:val="auto"/>
          <w:highlight w:val="none"/>
        </w:rPr>
        <w:br w:type="page"/>
      </w:r>
      <w:r>
        <w:rPr>
          <w:rFonts w:hint="eastAsia" w:cs="宋体" w:asciiTheme="majorEastAsia" w:hAnsiTheme="majorEastAsia" w:eastAsiaTheme="majorEastAsia"/>
          <w:b/>
          <w:bCs/>
          <w:color w:val="auto"/>
          <w:sz w:val="32"/>
          <w:szCs w:val="32"/>
          <w:highlight w:val="none"/>
        </w:rPr>
        <w:t>附件</w:t>
      </w:r>
    </w:p>
    <w:p>
      <w:pPr>
        <w:adjustRightInd w:val="0"/>
        <w:snapToGrid w:val="0"/>
        <w:spacing w:line="360" w:lineRule="auto"/>
        <w:jc w:val="center"/>
        <w:outlineLvl w:val="1"/>
        <w:rPr>
          <w:rFonts w:cs="宋体" w:asciiTheme="majorEastAsia" w:hAnsiTheme="majorEastAsia" w:eastAsiaTheme="majorEastAsia"/>
          <w:b/>
          <w:bCs/>
          <w:snapToGrid w:val="0"/>
          <w:color w:val="auto"/>
          <w:kern w:val="0"/>
          <w:sz w:val="32"/>
          <w:szCs w:val="32"/>
          <w:highlight w:val="none"/>
        </w:rPr>
      </w:pPr>
      <w:bookmarkStart w:id="698" w:name="_Toc1910"/>
      <w:bookmarkStart w:id="699" w:name="_Toc397364949"/>
      <w:bookmarkStart w:id="700" w:name="_Toc14985"/>
      <w:bookmarkStart w:id="701" w:name="_Toc140476967"/>
      <w:bookmarkStart w:id="702" w:name="_Toc1748"/>
      <w:r>
        <w:rPr>
          <w:rFonts w:hint="eastAsia" w:cs="宋体" w:asciiTheme="majorEastAsia" w:hAnsiTheme="majorEastAsia" w:eastAsiaTheme="majorEastAsia"/>
          <w:b/>
          <w:bCs/>
          <w:snapToGrid w:val="0"/>
          <w:color w:val="auto"/>
          <w:kern w:val="0"/>
          <w:sz w:val="32"/>
          <w:szCs w:val="32"/>
          <w:highlight w:val="none"/>
        </w:rPr>
        <w:t>7</w:t>
      </w:r>
      <w:r>
        <w:rPr>
          <w:rFonts w:cs="宋体" w:asciiTheme="majorEastAsia" w:hAnsiTheme="majorEastAsia" w:eastAsiaTheme="majorEastAsia"/>
          <w:b/>
          <w:bCs/>
          <w:snapToGrid w:val="0"/>
          <w:color w:val="auto"/>
          <w:kern w:val="0"/>
          <w:sz w:val="32"/>
          <w:szCs w:val="32"/>
          <w:highlight w:val="none"/>
        </w:rPr>
        <w:t>、</w:t>
      </w:r>
      <w:r>
        <w:rPr>
          <w:rFonts w:hint="eastAsia" w:cs="宋体" w:asciiTheme="majorEastAsia" w:hAnsiTheme="majorEastAsia" w:eastAsiaTheme="majorEastAsia"/>
          <w:b/>
          <w:bCs/>
          <w:snapToGrid w:val="0"/>
          <w:color w:val="auto"/>
          <w:kern w:val="0"/>
          <w:sz w:val="32"/>
          <w:szCs w:val="32"/>
          <w:highlight w:val="none"/>
        </w:rPr>
        <w:t>工程质量保修书</w:t>
      </w:r>
      <w:bookmarkEnd w:id="698"/>
      <w:bookmarkEnd w:id="699"/>
      <w:bookmarkEnd w:id="700"/>
      <w:bookmarkEnd w:id="701"/>
      <w:bookmarkEnd w:id="702"/>
    </w:p>
    <w:p>
      <w:pPr>
        <w:autoSpaceDE w:val="0"/>
        <w:autoSpaceDN w:val="0"/>
        <w:adjustRightInd w:val="0"/>
        <w:snapToGrid w:val="0"/>
        <w:spacing w:line="360" w:lineRule="auto"/>
        <w:ind w:right="11"/>
        <w:rPr>
          <w:rFonts w:cs="宋体" w:asciiTheme="majorEastAsia" w:hAnsiTheme="majorEastAsia" w:eastAsiaTheme="majorEastAsia"/>
          <w:snapToGrid w:val="0"/>
          <w:color w:val="auto"/>
          <w:kern w:val="0"/>
          <w:sz w:val="24"/>
          <w:highlight w:val="none"/>
          <w:lang w:val="zh-CN"/>
        </w:rPr>
      </w:pPr>
    </w:p>
    <w:p>
      <w:pPr>
        <w:adjustRightInd w:val="0"/>
        <w:spacing w:line="360" w:lineRule="auto"/>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发包人（甲方）：广州城慧投资发展有限公司</w:t>
      </w:r>
    </w:p>
    <w:p>
      <w:pPr>
        <w:adjustRightInd w:val="0"/>
        <w:spacing w:line="360" w:lineRule="auto"/>
        <w:rPr>
          <w:rFonts w:cs="宋体" w:asciiTheme="majorEastAsia" w:hAnsiTheme="majorEastAsia" w:eastAsiaTheme="majorEastAsia"/>
          <w:bCs/>
          <w:snapToGrid w:val="0"/>
          <w:color w:val="auto"/>
          <w:kern w:val="0"/>
          <w:sz w:val="24"/>
          <w:highlight w:val="none"/>
        </w:rPr>
      </w:pPr>
      <w:r>
        <w:rPr>
          <w:rFonts w:hint="eastAsia" w:cs="宋体" w:asciiTheme="majorEastAsia" w:hAnsiTheme="majorEastAsia" w:eastAsiaTheme="majorEastAsia"/>
          <w:bCs/>
          <w:snapToGrid w:val="0"/>
          <w:color w:val="auto"/>
          <w:kern w:val="0"/>
          <w:sz w:val="24"/>
          <w:highlight w:val="none"/>
        </w:rPr>
        <w:t>承包人（乙方）：【乙方单位名称】</w:t>
      </w:r>
    </w:p>
    <w:p>
      <w:pPr>
        <w:pStyle w:val="62"/>
        <w:spacing w:line="360" w:lineRule="auto"/>
        <w:rPr>
          <w:rFonts w:asciiTheme="majorEastAsia" w:hAnsiTheme="majorEastAsia" w:eastAsiaTheme="majorEastAsia"/>
          <w:color w:val="auto"/>
          <w:highlight w:val="none"/>
          <w:lang w:val="zh-CN"/>
        </w:rPr>
      </w:pPr>
    </w:p>
    <w:p>
      <w:p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发包人、承包人根据《中华人民共和国建筑法》、《建设工程质量管理条例》和《房屋建筑工程质量保修办法》，经协商一致，就</w:t>
      </w:r>
      <w:r>
        <w:rPr>
          <w:rFonts w:hint="eastAsia" w:cs="宋体" w:asciiTheme="majorEastAsia" w:hAnsiTheme="majorEastAsia" w:eastAsiaTheme="majorEastAsia"/>
          <w:bCs/>
          <w:color w:val="auto"/>
          <w:sz w:val="24"/>
          <w:highlight w:val="none"/>
          <w:u w:val="single"/>
        </w:rPr>
        <w:t>【项目名称】施工合同</w:t>
      </w:r>
      <w:r>
        <w:rPr>
          <w:rFonts w:hint="eastAsia" w:cs="宋体" w:asciiTheme="majorEastAsia" w:hAnsiTheme="majorEastAsia" w:eastAsiaTheme="majorEastAsia"/>
          <w:snapToGrid w:val="0"/>
          <w:color w:val="auto"/>
          <w:kern w:val="0"/>
          <w:sz w:val="24"/>
          <w:highlight w:val="none"/>
        </w:rPr>
        <w:t>签订工程质量保修书。</w:t>
      </w:r>
    </w:p>
    <w:p>
      <w:p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一、工程质量保修范围和内容</w:t>
      </w:r>
    </w:p>
    <w:p>
      <w:p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承包人在质量保修期内，按照有关法律、法规、规章的管理规定和双方约定，承担本工程质量保修责任。</w:t>
      </w:r>
    </w:p>
    <w:p>
      <w:p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质量保修范围按本合同约定工程范围。</w:t>
      </w:r>
    </w:p>
    <w:p>
      <w:p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二、质量保修期</w:t>
      </w:r>
    </w:p>
    <w:p>
      <w:p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质量保修期自工程完工并验收合格之日起（或工程未验收之前由发包人通知交付使用之日起</w:t>
      </w:r>
      <w:r>
        <w:rPr>
          <w:rStyle w:val="47"/>
          <w:rFonts w:hint="eastAsia" w:cs="宋体" w:asciiTheme="majorEastAsia" w:hAnsiTheme="majorEastAsia" w:eastAsiaTheme="majorEastAsia"/>
          <w:snapToGrid w:val="0"/>
          <w:color w:val="auto"/>
          <w:kern w:val="0"/>
          <w:sz w:val="24"/>
          <w:highlight w:val="none"/>
        </w:rPr>
        <w:t>）</w:t>
      </w:r>
      <w:r>
        <w:rPr>
          <w:rFonts w:hint="eastAsia" w:cs="宋体" w:asciiTheme="majorEastAsia" w:hAnsiTheme="majorEastAsia" w:eastAsiaTheme="majorEastAsia"/>
          <w:snapToGrid w:val="0"/>
          <w:color w:val="auto"/>
          <w:kern w:val="0"/>
          <w:sz w:val="24"/>
          <w:highlight w:val="none"/>
        </w:rPr>
        <w:t>计2年。</w:t>
      </w:r>
    </w:p>
    <w:p>
      <w:p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三、质量保修责任</w:t>
      </w:r>
    </w:p>
    <w:p>
      <w:p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1．属于保修范围、内容的项目，承包人应当在接到保修通知之日起7天内派人保修。承包人不在约定期限内派人保修的，发包人可以委托他人修理，产生的费用直接从质量保修金中扣除，不足部分，发包人有权继续向承包人追偿。</w:t>
      </w:r>
    </w:p>
    <w:p>
      <w:p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2．发生紧急抢修事故的，承包人在接到事故通知后，应当2小时内到达事故现场抢修。</w:t>
      </w:r>
    </w:p>
    <w:p>
      <w:p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4．质量保修完成后，由发包人组织验收。</w:t>
      </w:r>
    </w:p>
    <w:p>
      <w:p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四、保修费用</w:t>
      </w:r>
    </w:p>
    <w:p>
      <w:p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保修费用由造成质量缺陷的责任方承担。</w:t>
      </w:r>
    </w:p>
    <w:p>
      <w:p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五、其他</w:t>
      </w:r>
    </w:p>
    <w:p>
      <w:pPr>
        <w:adjustRightInd w:val="0"/>
        <w:snapToGrid w:val="0"/>
        <w:spacing w:line="360" w:lineRule="auto"/>
        <w:ind w:right="11" w:firstLine="480" w:firstLineChars="200"/>
        <w:rPr>
          <w:rFonts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snapToGrid w:val="0"/>
          <w:color w:val="auto"/>
          <w:kern w:val="0"/>
          <w:sz w:val="24"/>
          <w:highlight w:val="none"/>
        </w:rPr>
        <w:t>本工程质量保修书，由施工合同发包人、承包人双方在竣工验收前共同签署，作为施工合同附件其有效期限至保修期满。</w:t>
      </w:r>
    </w:p>
    <w:p>
      <w:pPr>
        <w:pStyle w:val="16"/>
        <w:adjustRightInd w:val="0"/>
        <w:snapToGrid w:val="0"/>
        <w:spacing w:line="360" w:lineRule="auto"/>
        <w:ind w:right="11" w:firstLine="0"/>
        <w:rPr>
          <w:rFonts w:cs="宋体" w:asciiTheme="majorEastAsia" w:hAnsiTheme="majorEastAsia" w:eastAsiaTheme="majorEastAsia"/>
          <w:snapToGrid w:val="0"/>
          <w:color w:val="auto"/>
          <w:kern w:val="0"/>
          <w:sz w:val="24"/>
          <w:szCs w:val="24"/>
          <w:highlight w:val="none"/>
        </w:rPr>
      </w:pPr>
    </w:p>
    <w:p>
      <w:pPr>
        <w:pStyle w:val="16"/>
        <w:adjustRightInd w:val="0"/>
        <w:snapToGrid w:val="0"/>
        <w:spacing w:line="360" w:lineRule="auto"/>
        <w:ind w:right="11" w:firstLine="0"/>
        <w:rPr>
          <w:rFonts w:cs="宋体" w:asciiTheme="majorEastAsia" w:hAnsiTheme="majorEastAsia" w:eastAsiaTheme="majorEastAsia"/>
          <w:snapToGrid w:val="0"/>
          <w:color w:val="auto"/>
          <w:kern w:val="0"/>
          <w:sz w:val="24"/>
          <w:szCs w:val="24"/>
          <w:highlight w:val="none"/>
        </w:rPr>
      </w:pPr>
    </w:p>
    <w:p>
      <w:pPr>
        <w:pStyle w:val="16"/>
        <w:adjustRightInd w:val="0"/>
        <w:snapToGrid w:val="0"/>
        <w:spacing w:line="360" w:lineRule="auto"/>
        <w:ind w:right="11" w:firstLine="0"/>
        <w:rPr>
          <w:rFonts w:cs="宋体" w:asciiTheme="majorEastAsia" w:hAnsiTheme="majorEastAsia" w:eastAsiaTheme="majorEastAsia"/>
          <w:snapToGrid w:val="0"/>
          <w:color w:val="auto"/>
          <w:kern w:val="0"/>
          <w:sz w:val="24"/>
          <w:szCs w:val="24"/>
          <w:highlight w:val="none"/>
        </w:rPr>
      </w:pPr>
    </w:p>
    <w:tbl>
      <w:tblPr>
        <w:tblStyle w:val="40"/>
        <w:tblW w:w="0" w:type="auto"/>
        <w:tblInd w:w="0" w:type="dxa"/>
        <w:tblLayout w:type="fixed"/>
        <w:tblCellMar>
          <w:top w:w="0" w:type="dxa"/>
          <w:left w:w="108" w:type="dxa"/>
          <w:bottom w:w="0" w:type="dxa"/>
          <w:right w:w="108" w:type="dxa"/>
        </w:tblCellMar>
      </w:tblPr>
      <w:tblGrid>
        <w:gridCol w:w="4077"/>
        <w:gridCol w:w="4219"/>
      </w:tblGrid>
      <w:tr>
        <w:tblPrEx>
          <w:tblCellMar>
            <w:top w:w="0" w:type="dxa"/>
            <w:left w:w="108" w:type="dxa"/>
            <w:bottom w:w="0" w:type="dxa"/>
            <w:right w:w="108" w:type="dxa"/>
          </w:tblCellMar>
        </w:tblPrEx>
        <w:tc>
          <w:tcPr>
            <w:tcW w:w="4077" w:type="dxa"/>
          </w:tcPr>
          <w:p>
            <w:pPr>
              <w:spacing w:line="360" w:lineRule="auto"/>
              <w:rPr>
                <w:rFonts w:asciiTheme="majorEastAsia" w:hAnsiTheme="majorEastAsia" w:eastAsiaTheme="majorEastAsia"/>
                <w:color w:val="auto"/>
                <w:sz w:val="24"/>
                <w:szCs w:val="28"/>
                <w:highlight w:val="none"/>
              </w:rPr>
            </w:pPr>
            <w:r>
              <w:rPr>
                <w:rFonts w:hint="eastAsia" w:asciiTheme="majorEastAsia" w:hAnsiTheme="majorEastAsia" w:eastAsiaTheme="majorEastAsia"/>
                <w:color w:val="auto"/>
                <w:sz w:val="24"/>
                <w:szCs w:val="28"/>
                <w:highlight w:val="none"/>
              </w:rPr>
              <w:t>甲方</w:t>
            </w:r>
            <w:r>
              <w:rPr>
                <w:rFonts w:asciiTheme="majorEastAsia" w:hAnsiTheme="majorEastAsia" w:eastAsiaTheme="majorEastAsia"/>
                <w:color w:val="auto"/>
                <w:sz w:val="24"/>
                <w:szCs w:val="28"/>
                <w:highlight w:val="none"/>
              </w:rPr>
              <w:t>：</w:t>
            </w:r>
            <w:r>
              <w:rPr>
                <w:rFonts w:hint="eastAsia" w:asciiTheme="majorEastAsia" w:hAnsiTheme="majorEastAsia" w:eastAsiaTheme="majorEastAsia"/>
                <w:color w:val="auto"/>
                <w:sz w:val="24"/>
                <w:szCs w:val="28"/>
                <w:highlight w:val="none"/>
              </w:rPr>
              <w:t>广州城慧投资发展有限公司</w:t>
            </w:r>
          </w:p>
          <w:p>
            <w:pPr>
              <w:spacing w:line="360" w:lineRule="auto"/>
              <w:rPr>
                <w:rFonts w:asciiTheme="majorEastAsia" w:hAnsiTheme="majorEastAsia" w:eastAsiaTheme="majorEastAsia"/>
                <w:color w:val="auto"/>
                <w:sz w:val="24"/>
                <w:szCs w:val="28"/>
                <w:highlight w:val="none"/>
              </w:rPr>
            </w:pPr>
            <w:r>
              <w:rPr>
                <w:rFonts w:asciiTheme="majorEastAsia" w:hAnsiTheme="majorEastAsia" w:eastAsiaTheme="majorEastAsia"/>
                <w:color w:val="auto"/>
                <w:sz w:val="24"/>
                <w:szCs w:val="28"/>
                <w:highlight w:val="none"/>
              </w:rPr>
              <w:t>（盖章）</w:t>
            </w:r>
          </w:p>
          <w:p>
            <w:pPr>
              <w:spacing w:line="360" w:lineRule="auto"/>
              <w:rPr>
                <w:rFonts w:asciiTheme="majorEastAsia" w:hAnsiTheme="majorEastAsia" w:eastAsiaTheme="majorEastAsia"/>
                <w:color w:val="auto"/>
                <w:sz w:val="24"/>
                <w:szCs w:val="28"/>
                <w:highlight w:val="none"/>
              </w:rPr>
            </w:pPr>
          </w:p>
          <w:p>
            <w:pPr>
              <w:spacing w:line="360" w:lineRule="auto"/>
              <w:rPr>
                <w:rFonts w:asciiTheme="majorEastAsia" w:hAnsiTheme="majorEastAsia" w:eastAsiaTheme="majorEastAsia"/>
                <w:color w:val="auto"/>
                <w:sz w:val="24"/>
                <w:szCs w:val="28"/>
                <w:highlight w:val="none"/>
              </w:rPr>
            </w:pPr>
          </w:p>
        </w:tc>
        <w:tc>
          <w:tcPr>
            <w:tcW w:w="4219" w:type="dxa"/>
          </w:tcPr>
          <w:p>
            <w:pPr>
              <w:spacing w:line="360" w:lineRule="auto"/>
              <w:rPr>
                <w:rFonts w:asciiTheme="majorEastAsia" w:hAnsiTheme="majorEastAsia" w:eastAsiaTheme="majorEastAsia"/>
                <w:color w:val="auto"/>
                <w:sz w:val="24"/>
                <w:szCs w:val="28"/>
                <w:highlight w:val="none"/>
              </w:rPr>
            </w:pPr>
            <w:r>
              <w:rPr>
                <w:rFonts w:asciiTheme="majorEastAsia" w:hAnsiTheme="majorEastAsia" w:eastAsiaTheme="majorEastAsia"/>
                <w:color w:val="auto"/>
                <w:sz w:val="24"/>
                <w:szCs w:val="28"/>
                <w:highlight w:val="none"/>
              </w:rPr>
              <w:t>乙方：</w:t>
            </w:r>
            <w:r>
              <w:rPr>
                <w:rFonts w:hint="eastAsia" w:asciiTheme="majorEastAsia" w:hAnsiTheme="majorEastAsia" w:eastAsiaTheme="majorEastAsia"/>
                <w:color w:val="auto"/>
                <w:sz w:val="24"/>
                <w:szCs w:val="28"/>
                <w:highlight w:val="none"/>
              </w:rPr>
              <w:t>【乙方单位名称】</w:t>
            </w:r>
          </w:p>
          <w:p>
            <w:pPr>
              <w:spacing w:line="360" w:lineRule="auto"/>
              <w:rPr>
                <w:rFonts w:asciiTheme="majorEastAsia" w:hAnsiTheme="majorEastAsia" w:eastAsiaTheme="majorEastAsia"/>
                <w:color w:val="auto"/>
                <w:sz w:val="24"/>
                <w:szCs w:val="28"/>
                <w:highlight w:val="none"/>
              </w:rPr>
            </w:pPr>
            <w:r>
              <w:rPr>
                <w:rFonts w:asciiTheme="majorEastAsia" w:hAnsiTheme="majorEastAsia" w:eastAsiaTheme="majorEastAsia"/>
                <w:color w:val="auto"/>
                <w:sz w:val="24"/>
                <w:szCs w:val="28"/>
                <w:highlight w:val="none"/>
              </w:rPr>
              <w:t>（盖章）</w:t>
            </w:r>
          </w:p>
          <w:p>
            <w:pPr>
              <w:spacing w:line="360" w:lineRule="auto"/>
              <w:rPr>
                <w:rFonts w:asciiTheme="majorEastAsia" w:hAnsiTheme="majorEastAsia" w:eastAsiaTheme="majorEastAsia"/>
                <w:color w:val="auto"/>
                <w:sz w:val="24"/>
                <w:szCs w:val="28"/>
                <w:highlight w:val="none"/>
              </w:rPr>
            </w:pPr>
          </w:p>
          <w:p>
            <w:pPr>
              <w:spacing w:line="360" w:lineRule="auto"/>
              <w:rPr>
                <w:rFonts w:asciiTheme="majorEastAsia" w:hAnsiTheme="majorEastAsia" w:eastAsiaTheme="majorEastAsia"/>
                <w:color w:val="auto"/>
                <w:sz w:val="24"/>
                <w:szCs w:val="28"/>
                <w:highlight w:val="none"/>
              </w:rPr>
            </w:pPr>
          </w:p>
        </w:tc>
      </w:tr>
      <w:tr>
        <w:tblPrEx>
          <w:tblCellMar>
            <w:top w:w="0" w:type="dxa"/>
            <w:left w:w="108" w:type="dxa"/>
            <w:bottom w:w="0" w:type="dxa"/>
            <w:right w:w="108" w:type="dxa"/>
          </w:tblCellMar>
        </w:tblPrEx>
        <w:tc>
          <w:tcPr>
            <w:tcW w:w="4077" w:type="dxa"/>
          </w:tcPr>
          <w:p>
            <w:pPr>
              <w:spacing w:line="360" w:lineRule="auto"/>
              <w:rPr>
                <w:rFonts w:asciiTheme="majorEastAsia" w:hAnsiTheme="majorEastAsia" w:eastAsiaTheme="majorEastAsia"/>
                <w:color w:val="auto"/>
                <w:sz w:val="24"/>
                <w:szCs w:val="28"/>
                <w:highlight w:val="none"/>
              </w:rPr>
            </w:pPr>
            <w:r>
              <w:rPr>
                <w:rFonts w:hint="eastAsia" w:asciiTheme="majorEastAsia" w:hAnsiTheme="majorEastAsia" w:eastAsiaTheme="majorEastAsia"/>
                <w:color w:val="auto"/>
                <w:sz w:val="24"/>
                <w:szCs w:val="28"/>
                <w:highlight w:val="none"/>
              </w:rPr>
              <w:t>负责人：</w:t>
            </w:r>
          </w:p>
          <w:p>
            <w:pPr>
              <w:spacing w:line="360" w:lineRule="auto"/>
              <w:rPr>
                <w:rFonts w:asciiTheme="majorEastAsia" w:hAnsiTheme="majorEastAsia" w:eastAsiaTheme="majorEastAsia"/>
                <w:color w:val="auto"/>
                <w:sz w:val="24"/>
                <w:szCs w:val="28"/>
                <w:highlight w:val="none"/>
              </w:rPr>
            </w:pPr>
            <w:r>
              <w:rPr>
                <w:rFonts w:hint="eastAsia" w:asciiTheme="majorEastAsia" w:hAnsiTheme="majorEastAsia" w:eastAsiaTheme="majorEastAsia"/>
                <w:color w:val="auto"/>
                <w:sz w:val="24"/>
                <w:szCs w:val="28"/>
                <w:highlight w:val="none"/>
              </w:rPr>
              <w:t>（签字）</w:t>
            </w:r>
          </w:p>
          <w:p>
            <w:pPr>
              <w:spacing w:line="360" w:lineRule="auto"/>
              <w:rPr>
                <w:rFonts w:asciiTheme="majorEastAsia" w:hAnsiTheme="majorEastAsia" w:eastAsiaTheme="majorEastAsia"/>
                <w:color w:val="auto"/>
                <w:sz w:val="24"/>
                <w:szCs w:val="28"/>
                <w:highlight w:val="none"/>
              </w:rPr>
            </w:pPr>
          </w:p>
          <w:p>
            <w:pPr>
              <w:spacing w:line="360" w:lineRule="auto"/>
              <w:rPr>
                <w:rFonts w:asciiTheme="majorEastAsia" w:hAnsiTheme="majorEastAsia" w:eastAsiaTheme="majorEastAsia"/>
                <w:color w:val="auto"/>
                <w:sz w:val="24"/>
                <w:szCs w:val="28"/>
                <w:highlight w:val="none"/>
              </w:rPr>
            </w:pPr>
          </w:p>
        </w:tc>
        <w:tc>
          <w:tcPr>
            <w:tcW w:w="4219" w:type="dxa"/>
          </w:tcPr>
          <w:p>
            <w:pPr>
              <w:spacing w:line="360" w:lineRule="auto"/>
              <w:rPr>
                <w:rFonts w:asciiTheme="majorEastAsia" w:hAnsiTheme="majorEastAsia" w:eastAsiaTheme="majorEastAsia"/>
                <w:color w:val="auto"/>
                <w:sz w:val="24"/>
                <w:szCs w:val="28"/>
                <w:highlight w:val="none"/>
              </w:rPr>
            </w:pPr>
            <w:r>
              <w:rPr>
                <w:rFonts w:hint="eastAsia" w:asciiTheme="majorEastAsia" w:hAnsiTheme="majorEastAsia" w:eastAsiaTheme="majorEastAsia"/>
                <w:color w:val="auto"/>
                <w:sz w:val="24"/>
                <w:szCs w:val="28"/>
                <w:highlight w:val="none"/>
              </w:rPr>
              <w:t>负责人：</w:t>
            </w:r>
          </w:p>
          <w:p>
            <w:pPr>
              <w:spacing w:line="360" w:lineRule="auto"/>
              <w:rPr>
                <w:rFonts w:asciiTheme="majorEastAsia" w:hAnsiTheme="majorEastAsia" w:eastAsiaTheme="majorEastAsia"/>
                <w:color w:val="auto"/>
                <w:sz w:val="24"/>
                <w:szCs w:val="28"/>
                <w:highlight w:val="none"/>
              </w:rPr>
            </w:pPr>
            <w:r>
              <w:rPr>
                <w:rFonts w:hint="eastAsia" w:asciiTheme="majorEastAsia" w:hAnsiTheme="majorEastAsia" w:eastAsiaTheme="majorEastAsia"/>
                <w:color w:val="auto"/>
                <w:sz w:val="24"/>
                <w:szCs w:val="28"/>
                <w:highlight w:val="none"/>
              </w:rPr>
              <w:t>（签字）</w:t>
            </w:r>
          </w:p>
          <w:p>
            <w:pPr>
              <w:spacing w:line="360" w:lineRule="auto"/>
              <w:rPr>
                <w:rFonts w:asciiTheme="majorEastAsia" w:hAnsiTheme="majorEastAsia" w:eastAsiaTheme="majorEastAsia"/>
                <w:color w:val="auto"/>
                <w:sz w:val="24"/>
                <w:szCs w:val="28"/>
                <w:highlight w:val="none"/>
              </w:rPr>
            </w:pPr>
          </w:p>
          <w:p>
            <w:pPr>
              <w:spacing w:line="360" w:lineRule="auto"/>
              <w:rPr>
                <w:rFonts w:asciiTheme="majorEastAsia" w:hAnsiTheme="majorEastAsia" w:eastAsiaTheme="majorEastAsia"/>
                <w:color w:val="auto"/>
                <w:sz w:val="24"/>
                <w:szCs w:val="28"/>
                <w:highlight w:val="none"/>
              </w:rPr>
            </w:pPr>
          </w:p>
        </w:tc>
      </w:tr>
    </w:tbl>
    <w:p>
      <w:pPr>
        <w:pStyle w:val="16"/>
        <w:adjustRightInd w:val="0"/>
        <w:snapToGrid w:val="0"/>
        <w:spacing w:line="360" w:lineRule="auto"/>
        <w:ind w:right="11" w:firstLine="0"/>
        <w:rPr>
          <w:rFonts w:cs="宋体" w:asciiTheme="majorEastAsia" w:hAnsiTheme="majorEastAsia" w:eastAsiaTheme="majorEastAsia"/>
          <w:snapToGrid w:val="0"/>
          <w:color w:val="auto"/>
          <w:kern w:val="0"/>
          <w:highlight w:val="none"/>
        </w:rPr>
      </w:pPr>
    </w:p>
    <w:p>
      <w:pPr>
        <w:adjustRightInd w:val="0"/>
        <w:snapToGrid w:val="0"/>
        <w:spacing w:line="360" w:lineRule="auto"/>
        <w:ind w:right="11"/>
        <w:rPr>
          <w:rFonts w:cs="宋体" w:asciiTheme="majorEastAsia" w:hAnsiTheme="majorEastAsia" w:eastAsiaTheme="majorEastAsia"/>
          <w:snapToGrid w:val="0"/>
          <w:color w:val="auto"/>
          <w:spacing w:val="-20"/>
          <w:kern w:val="0"/>
          <w:sz w:val="24"/>
          <w:highlight w:val="none"/>
        </w:rPr>
      </w:pPr>
    </w:p>
    <w:p>
      <w:pPr>
        <w:pStyle w:val="6"/>
        <w:rPr>
          <w:rFonts w:cs="宋体" w:asciiTheme="majorEastAsia" w:hAnsiTheme="majorEastAsia" w:eastAsiaTheme="majorEastAsia"/>
          <w:color w:val="auto"/>
          <w:highlight w:val="none"/>
        </w:rPr>
        <w:sectPr>
          <w:pgSz w:w="11907" w:h="16840"/>
          <w:pgMar w:top="1440" w:right="1797" w:bottom="1440" w:left="1797" w:header="851" w:footer="992" w:gutter="0"/>
          <w:cols w:space="720" w:num="1"/>
          <w:docGrid w:type="lines" w:linePitch="312" w:charSpace="0"/>
        </w:sectPr>
      </w:pPr>
    </w:p>
    <w:p>
      <w:pPr>
        <w:pStyle w:val="6"/>
        <w:rPr>
          <w:rFonts w:cs="宋体" w:asciiTheme="majorEastAsia" w:hAnsiTheme="majorEastAsia" w:eastAsiaTheme="majorEastAsia"/>
          <w:b/>
          <w:bCs/>
          <w:color w:val="auto"/>
          <w:sz w:val="32"/>
          <w:szCs w:val="32"/>
          <w:highlight w:val="none"/>
        </w:rPr>
      </w:pPr>
      <w:r>
        <w:rPr>
          <w:rFonts w:hint="eastAsia" w:cs="宋体" w:asciiTheme="majorEastAsia" w:hAnsiTheme="majorEastAsia" w:eastAsiaTheme="majorEastAsia"/>
          <w:b/>
          <w:bCs/>
          <w:color w:val="auto"/>
          <w:sz w:val="32"/>
          <w:szCs w:val="32"/>
          <w:highlight w:val="none"/>
        </w:rPr>
        <w:t>附件</w:t>
      </w:r>
    </w:p>
    <w:p>
      <w:pPr>
        <w:adjustRightInd w:val="0"/>
        <w:snapToGrid w:val="0"/>
        <w:spacing w:line="360" w:lineRule="auto"/>
        <w:ind w:left="-603" w:leftChars="-287" w:firstLine="183" w:firstLineChars="57"/>
        <w:jc w:val="center"/>
        <w:outlineLvl w:val="1"/>
        <w:rPr>
          <w:rFonts w:cs="宋体" w:asciiTheme="majorEastAsia" w:hAnsiTheme="majorEastAsia" w:eastAsiaTheme="majorEastAsia"/>
          <w:b/>
          <w:bCs/>
          <w:snapToGrid w:val="0"/>
          <w:color w:val="auto"/>
          <w:kern w:val="0"/>
          <w:sz w:val="32"/>
          <w:szCs w:val="32"/>
          <w:highlight w:val="none"/>
        </w:rPr>
      </w:pPr>
      <w:bookmarkStart w:id="703" w:name="_Toc16627"/>
      <w:bookmarkStart w:id="704" w:name="_Toc31568"/>
      <w:bookmarkStart w:id="705" w:name="_Toc27982"/>
      <w:bookmarkStart w:id="706" w:name="_Toc140476968"/>
      <w:bookmarkStart w:id="707" w:name="_Toc397364951"/>
      <w:r>
        <w:rPr>
          <w:rFonts w:hint="eastAsia" w:cs="宋体" w:asciiTheme="majorEastAsia" w:hAnsiTheme="majorEastAsia" w:eastAsiaTheme="majorEastAsia"/>
          <w:b/>
          <w:bCs/>
          <w:snapToGrid w:val="0"/>
          <w:color w:val="auto"/>
          <w:kern w:val="0"/>
          <w:sz w:val="32"/>
          <w:szCs w:val="32"/>
          <w:highlight w:val="none"/>
        </w:rPr>
        <w:t>8</w:t>
      </w:r>
      <w:r>
        <w:rPr>
          <w:rFonts w:cs="宋体" w:asciiTheme="majorEastAsia" w:hAnsiTheme="majorEastAsia" w:eastAsiaTheme="majorEastAsia"/>
          <w:b/>
          <w:bCs/>
          <w:snapToGrid w:val="0"/>
          <w:color w:val="auto"/>
          <w:kern w:val="0"/>
          <w:sz w:val="32"/>
          <w:szCs w:val="32"/>
          <w:highlight w:val="none"/>
        </w:rPr>
        <w:t>、</w:t>
      </w:r>
      <w:r>
        <w:rPr>
          <w:rFonts w:hint="eastAsia" w:cs="宋体" w:asciiTheme="majorEastAsia" w:hAnsiTheme="majorEastAsia" w:eastAsiaTheme="majorEastAsia"/>
          <w:b/>
          <w:bCs/>
          <w:snapToGrid w:val="0"/>
          <w:color w:val="auto"/>
          <w:kern w:val="0"/>
          <w:sz w:val="32"/>
          <w:szCs w:val="32"/>
          <w:highlight w:val="none"/>
        </w:rPr>
        <w:t>招标文件的修改、答疑或澄清（如有）</w:t>
      </w:r>
      <w:bookmarkEnd w:id="703"/>
      <w:bookmarkEnd w:id="704"/>
      <w:bookmarkEnd w:id="705"/>
      <w:bookmarkEnd w:id="706"/>
      <w:bookmarkEnd w:id="707"/>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b w:val="0"/>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
        <w:rPr>
          <w:rFonts w:cs="宋体" w:asciiTheme="majorEastAsia" w:hAnsiTheme="majorEastAsia" w:eastAsiaTheme="majorEastAsia"/>
          <w:b/>
          <w:bCs/>
          <w:color w:val="auto"/>
          <w:sz w:val="32"/>
          <w:szCs w:val="32"/>
          <w:highlight w:val="none"/>
        </w:rPr>
      </w:pPr>
      <w:r>
        <w:rPr>
          <w:rFonts w:hint="eastAsia" w:cs="宋体" w:asciiTheme="majorEastAsia" w:hAnsiTheme="majorEastAsia" w:eastAsiaTheme="majorEastAsia"/>
          <w:b/>
          <w:color w:val="auto"/>
          <w:spacing w:val="4"/>
          <w:sz w:val="36"/>
          <w:szCs w:val="36"/>
          <w:highlight w:val="none"/>
        </w:rPr>
        <w:br w:type="page"/>
      </w:r>
      <w:r>
        <w:rPr>
          <w:rFonts w:hint="eastAsia" w:cs="宋体" w:asciiTheme="majorEastAsia" w:hAnsiTheme="majorEastAsia" w:eastAsiaTheme="majorEastAsia"/>
          <w:b/>
          <w:bCs/>
          <w:color w:val="auto"/>
          <w:sz w:val="32"/>
          <w:szCs w:val="32"/>
          <w:highlight w:val="none"/>
        </w:rPr>
        <w:t>附件</w:t>
      </w:r>
    </w:p>
    <w:p>
      <w:pPr>
        <w:adjustRightInd w:val="0"/>
        <w:snapToGrid w:val="0"/>
        <w:spacing w:line="360" w:lineRule="auto"/>
        <w:ind w:left="-603" w:leftChars="-287" w:firstLine="183" w:firstLineChars="57"/>
        <w:jc w:val="center"/>
        <w:outlineLvl w:val="1"/>
        <w:rPr>
          <w:rFonts w:cs="宋体" w:asciiTheme="majorEastAsia" w:hAnsiTheme="majorEastAsia" w:eastAsiaTheme="majorEastAsia"/>
          <w:b/>
          <w:bCs/>
          <w:snapToGrid w:val="0"/>
          <w:color w:val="auto"/>
          <w:kern w:val="0"/>
          <w:sz w:val="32"/>
          <w:szCs w:val="32"/>
          <w:highlight w:val="none"/>
        </w:rPr>
      </w:pPr>
      <w:bookmarkStart w:id="708" w:name="_Toc140476969"/>
      <w:bookmarkStart w:id="709" w:name="_Toc23059"/>
      <w:bookmarkStart w:id="710" w:name="_Toc20902"/>
      <w:r>
        <w:rPr>
          <w:rFonts w:hint="eastAsia" w:cs="宋体" w:asciiTheme="majorEastAsia" w:hAnsiTheme="majorEastAsia" w:eastAsiaTheme="majorEastAsia"/>
          <w:b/>
          <w:bCs/>
          <w:snapToGrid w:val="0"/>
          <w:color w:val="auto"/>
          <w:kern w:val="0"/>
          <w:sz w:val="32"/>
          <w:szCs w:val="32"/>
          <w:highlight w:val="none"/>
        </w:rPr>
        <w:t>9</w:t>
      </w:r>
      <w:r>
        <w:rPr>
          <w:rFonts w:cs="宋体" w:asciiTheme="majorEastAsia" w:hAnsiTheme="majorEastAsia" w:eastAsiaTheme="majorEastAsia"/>
          <w:b/>
          <w:bCs/>
          <w:snapToGrid w:val="0"/>
          <w:color w:val="auto"/>
          <w:kern w:val="0"/>
          <w:sz w:val="32"/>
          <w:szCs w:val="32"/>
          <w:highlight w:val="none"/>
        </w:rPr>
        <w:t>、</w:t>
      </w:r>
      <w:r>
        <w:rPr>
          <w:rFonts w:hint="eastAsia" w:cs="宋体" w:asciiTheme="majorEastAsia" w:hAnsiTheme="majorEastAsia" w:eastAsiaTheme="majorEastAsia"/>
          <w:b/>
          <w:bCs/>
          <w:snapToGrid w:val="0"/>
          <w:color w:val="auto"/>
          <w:kern w:val="0"/>
          <w:sz w:val="32"/>
          <w:szCs w:val="32"/>
          <w:highlight w:val="none"/>
        </w:rPr>
        <w:t>营业执照及资质证书</w:t>
      </w:r>
      <w:bookmarkEnd w:id="708"/>
      <w:bookmarkEnd w:id="709"/>
      <w:bookmarkEnd w:id="710"/>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adjustRightInd w:val="0"/>
        <w:snapToGrid w:val="0"/>
        <w:spacing w:line="360" w:lineRule="auto"/>
        <w:ind w:left="-603" w:leftChars="-287" w:firstLine="182" w:firstLineChars="57"/>
        <w:jc w:val="center"/>
        <w:outlineLvl w:val="1"/>
        <w:rPr>
          <w:rFonts w:cs="宋体" w:asciiTheme="majorEastAsia" w:hAnsiTheme="majorEastAsia" w:eastAsiaTheme="majorEastAsia"/>
          <w:b/>
          <w:snapToGrid w:val="0"/>
          <w:color w:val="auto"/>
          <w:kern w:val="0"/>
          <w:sz w:val="32"/>
          <w:szCs w:val="32"/>
          <w:highlight w:val="none"/>
        </w:rPr>
      </w:pPr>
      <w:r>
        <w:rPr>
          <w:rFonts w:hint="eastAsia" w:cs="宋体" w:asciiTheme="majorEastAsia" w:hAnsiTheme="majorEastAsia" w:eastAsiaTheme="majorEastAsia"/>
          <w:bCs/>
          <w:snapToGrid w:val="0"/>
          <w:color w:val="auto"/>
          <w:kern w:val="0"/>
          <w:sz w:val="32"/>
          <w:szCs w:val="32"/>
          <w:highlight w:val="none"/>
        </w:rPr>
        <w:br w:type="page"/>
      </w:r>
    </w:p>
    <w:p>
      <w:pPr>
        <w:pStyle w:val="6"/>
        <w:rPr>
          <w:rFonts w:cs="宋体" w:asciiTheme="majorEastAsia" w:hAnsiTheme="majorEastAsia" w:eastAsiaTheme="majorEastAsia"/>
          <w:b/>
          <w:bCs/>
          <w:color w:val="auto"/>
          <w:sz w:val="32"/>
          <w:szCs w:val="32"/>
          <w:highlight w:val="none"/>
        </w:rPr>
      </w:pPr>
      <w:r>
        <w:rPr>
          <w:rFonts w:hint="eastAsia" w:cs="宋体" w:asciiTheme="majorEastAsia" w:hAnsiTheme="majorEastAsia" w:eastAsiaTheme="majorEastAsia"/>
          <w:b/>
          <w:bCs/>
          <w:color w:val="auto"/>
          <w:sz w:val="32"/>
          <w:szCs w:val="32"/>
          <w:highlight w:val="none"/>
        </w:rPr>
        <w:t>附件</w:t>
      </w:r>
    </w:p>
    <w:p>
      <w:pPr>
        <w:adjustRightInd w:val="0"/>
        <w:snapToGrid w:val="0"/>
        <w:spacing w:line="360" w:lineRule="auto"/>
        <w:jc w:val="center"/>
        <w:outlineLvl w:val="1"/>
        <w:rPr>
          <w:rFonts w:cs="宋体" w:asciiTheme="majorEastAsia" w:hAnsiTheme="majorEastAsia" w:eastAsiaTheme="majorEastAsia"/>
          <w:b/>
          <w:bCs/>
          <w:snapToGrid w:val="0"/>
          <w:color w:val="auto"/>
          <w:kern w:val="0"/>
          <w:sz w:val="30"/>
          <w:szCs w:val="30"/>
          <w:highlight w:val="none"/>
        </w:rPr>
      </w:pPr>
      <w:bookmarkStart w:id="711" w:name="_Toc21462"/>
      <w:bookmarkStart w:id="712" w:name="_Toc14705"/>
      <w:bookmarkStart w:id="713" w:name="_Toc27050"/>
      <w:bookmarkStart w:id="714" w:name="_Toc397364952"/>
      <w:bookmarkStart w:id="715" w:name="_Toc140476970"/>
      <w:r>
        <w:rPr>
          <w:rFonts w:hint="eastAsia" w:cs="宋体" w:asciiTheme="majorEastAsia" w:hAnsiTheme="majorEastAsia" w:eastAsiaTheme="majorEastAsia"/>
          <w:b/>
          <w:bCs/>
          <w:snapToGrid w:val="0"/>
          <w:color w:val="auto"/>
          <w:kern w:val="0"/>
          <w:sz w:val="30"/>
          <w:szCs w:val="30"/>
          <w:highlight w:val="none"/>
        </w:rPr>
        <w:t>1</w:t>
      </w:r>
      <w:r>
        <w:rPr>
          <w:rFonts w:cs="宋体" w:asciiTheme="majorEastAsia" w:hAnsiTheme="majorEastAsia" w:eastAsiaTheme="majorEastAsia"/>
          <w:b/>
          <w:bCs/>
          <w:snapToGrid w:val="0"/>
          <w:color w:val="auto"/>
          <w:kern w:val="0"/>
          <w:sz w:val="30"/>
          <w:szCs w:val="30"/>
          <w:highlight w:val="none"/>
        </w:rPr>
        <w:t>0、</w:t>
      </w:r>
      <w:r>
        <w:rPr>
          <w:rFonts w:hint="eastAsia" w:cs="宋体" w:asciiTheme="majorEastAsia" w:hAnsiTheme="majorEastAsia" w:eastAsiaTheme="majorEastAsia"/>
          <w:b/>
          <w:bCs/>
          <w:snapToGrid w:val="0"/>
          <w:color w:val="auto"/>
          <w:kern w:val="0"/>
          <w:sz w:val="30"/>
          <w:szCs w:val="30"/>
          <w:highlight w:val="none"/>
        </w:rPr>
        <w:t>承包人</w:t>
      </w:r>
      <w:bookmarkEnd w:id="711"/>
      <w:bookmarkEnd w:id="712"/>
      <w:bookmarkEnd w:id="713"/>
      <w:bookmarkEnd w:id="714"/>
      <w:r>
        <w:rPr>
          <w:rFonts w:hint="eastAsia" w:cs="宋体" w:asciiTheme="majorEastAsia" w:hAnsiTheme="majorEastAsia" w:eastAsiaTheme="majorEastAsia"/>
          <w:b/>
          <w:bCs/>
          <w:snapToGrid w:val="0"/>
          <w:color w:val="auto"/>
          <w:kern w:val="0"/>
          <w:sz w:val="30"/>
          <w:szCs w:val="30"/>
          <w:highlight w:val="none"/>
        </w:rPr>
        <w:t>项目经理联系方式</w:t>
      </w:r>
      <w:bookmarkEnd w:id="715"/>
    </w:p>
    <w:p>
      <w:pPr>
        <w:autoSpaceDE w:val="0"/>
        <w:autoSpaceDN w:val="0"/>
        <w:adjustRightInd w:val="0"/>
        <w:snapToGrid w:val="0"/>
        <w:spacing w:line="360" w:lineRule="auto"/>
        <w:ind w:firstLine="480"/>
        <w:jc w:val="left"/>
        <w:rPr>
          <w:rFonts w:cs="宋体" w:asciiTheme="majorEastAsia" w:hAnsiTheme="majorEastAsia" w:eastAsiaTheme="majorEastAsia"/>
          <w:snapToGrid w:val="0"/>
          <w:color w:val="auto"/>
          <w:kern w:val="0"/>
          <w:sz w:val="24"/>
          <w:szCs w:val="21"/>
          <w:highlight w:val="none"/>
          <w:lang w:val="zh-CN"/>
        </w:rPr>
      </w:pPr>
    </w:p>
    <w:p>
      <w:pPr>
        <w:autoSpaceDE w:val="0"/>
        <w:autoSpaceDN w:val="0"/>
        <w:adjustRightInd w:val="0"/>
        <w:snapToGrid w:val="0"/>
        <w:spacing w:line="360" w:lineRule="auto"/>
        <w:ind w:firstLine="480"/>
        <w:jc w:val="left"/>
        <w:rPr>
          <w:rFonts w:cs="宋体" w:asciiTheme="majorEastAsia" w:hAnsiTheme="majorEastAsia" w:eastAsiaTheme="majorEastAsia"/>
          <w:snapToGrid w:val="0"/>
          <w:color w:val="auto"/>
          <w:kern w:val="0"/>
          <w:sz w:val="24"/>
          <w:szCs w:val="21"/>
          <w:highlight w:val="none"/>
        </w:rPr>
      </w:pPr>
    </w:p>
    <w:p>
      <w:pPr>
        <w:autoSpaceDE w:val="0"/>
        <w:autoSpaceDN w:val="0"/>
        <w:adjustRightInd w:val="0"/>
        <w:snapToGrid w:val="0"/>
        <w:spacing w:line="360" w:lineRule="auto"/>
        <w:ind w:firstLine="480"/>
        <w:jc w:val="left"/>
        <w:rPr>
          <w:rFonts w:cs="宋体" w:asciiTheme="majorEastAsia" w:hAnsiTheme="majorEastAsia" w:eastAsiaTheme="majorEastAsia"/>
          <w:snapToGrid w:val="0"/>
          <w:color w:val="auto"/>
          <w:kern w:val="0"/>
          <w:sz w:val="24"/>
          <w:szCs w:val="21"/>
          <w:highlight w:val="none"/>
        </w:rPr>
      </w:pPr>
      <w:r>
        <w:rPr>
          <w:rFonts w:hint="eastAsia" w:cs="宋体" w:asciiTheme="majorEastAsia" w:hAnsiTheme="majorEastAsia" w:eastAsiaTheme="majorEastAsia"/>
          <w:snapToGrid w:val="0"/>
          <w:color w:val="auto"/>
          <w:kern w:val="0"/>
          <w:sz w:val="24"/>
          <w:szCs w:val="21"/>
          <w:highlight w:val="none"/>
        </w:rPr>
        <w:t xml:space="preserve"> </w:t>
      </w:r>
      <w:r>
        <w:rPr>
          <w:rFonts w:hint="eastAsia" w:cs="宋体" w:asciiTheme="majorEastAsia" w:hAnsiTheme="majorEastAsia" w:eastAsiaTheme="majorEastAsia"/>
          <w:snapToGrid w:val="0"/>
          <w:color w:val="auto"/>
          <w:kern w:val="0"/>
          <w:sz w:val="24"/>
          <w:szCs w:val="21"/>
          <w:highlight w:val="none"/>
          <w:lang w:val="zh-CN"/>
        </w:rPr>
        <w:t>项目经理：</w:t>
      </w:r>
    </w:p>
    <w:p>
      <w:pPr>
        <w:autoSpaceDE w:val="0"/>
        <w:autoSpaceDN w:val="0"/>
        <w:adjustRightInd w:val="0"/>
        <w:snapToGrid w:val="0"/>
        <w:spacing w:line="360" w:lineRule="auto"/>
        <w:ind w:firstLine="480"/>
        <w:jc w:val="left"/>
        <w:rPr>
          <w:rFonts w:cs="宋体" w:asciiTheme="majorEastAsia" w:hAnsiTheme="majorEastAsia" w:eastAsiaTheme="majorEastAsia"/>
          <w:snapToGrid w:val="0"/>
          <w:color w:val="auto"/>
          <w:kern w:val="0"/>
          <w:sz w:val="24"/>
          <w:szCs w:val="21"/>
          <w:highlight w:val="none"/>
        </w:rPr>
      </w:pPr>
      <w:r>
        <w:rPr>
          <w:rFonts w:hint="eastAsia" w:cs="宋体" w:asciiTheme="majorEastAsia" w:hAnsiTheme="majorEastAsia" w:eastAsiaTheme="majorEastAsia"/>
          <w:snapToGrid w:val="0"/>
          <w:color w:val="auto"/>
          <w:kern w:val="0"/>
          <w:sz w:val="24"/>
          <w:szCs w:val="21"/>
          <w:highlight w:val="none"/>
        </w:rPr>
        <w:t xml:space="preserve"> </w:t>
      </w:r>
      <w:r>
        <w:rPr>
          <w:rFonts w:hint="eastAsia" w:cs="宋体" w:asciiTheme="majorEastAsia" w:hAnsiTheme="majorEastAsia" w:eastAsiaTheme="majorEastAsia"/>
          <w:snapToGrid w:val="0"/>
          <w:color w:val="auto"/>
          <w:kern w:val="0"/>
          <w:sz w:val="24"/>
          <w:szCs w:val="21"/>
          <w:highlight w:val="none"/>
          <w:lang w:val="zh-CN"/>
        </w:rPr>
        <w:t>联系地址：</w:t>
      </w:r>
    </w:p>
    <w:p>
      <w:pPr>
        <w:autoSpaceDE w:val="0"/>
        <w:autoSpaceDN w:val="0"/>
        <w:adjustRightInd w:val="0"/>
        <w:snapToGrid w:val="0"/>
        <w:spacing w:line="360" w:lineRule="auto"/>
        <w:ind w:firstLine="480"/>
        <w:jc w:val="left"/>
        <w:rPr>
          <w:rFonts w:cs="宋体" w:asciiTheme="majorEastAsia" w:hAnsiTheme="majorEastAsia" w:eastAsiaTheme="majorEastAsia"/>
          <w:snapToGrid w:val="0"/>
          <w:color w:val="auto"/>
          <w:kern w:val="0"/>
          <w:sz w:val="24"/>
          <w:szCs w:val="21"/>
          <w:highlight w:val="none"/>
        </w:rPr>
      </w:pPr>
      <w:r>
        <w:rPr>
          <w:rFonts w:hint="eastAsia" w:cs="宋体" w:asciiTheme="majorEastAsia" w:hAnsiTheme="majorEastAsia" w:eastAsiaTheme="majorEastAsia"/>
          <w:snapToGrid w:val="0"/>
          <w:color w:val="auto"/>
          <w:kern w:val="0"/>
          <w:sz w:val="24"/>
          <w:szCs w:val="21"/>
          <w:highlight w:val="none"/>
        </w:rPr>
        <w:t xml:space="preserve"> </w:t>
      </w:r>
      <w:r>
        <w:rPr>
          <w:rFonts w:hint="eastAsia" w:cs="宋体" w:asciiTheme="majorEastAsia" w:hAnsiTheme="majorEastAsia" w:eastAsiaTheme="majorEastAsia"/>
          <w:snapToGrid w:val="0"/>
          <w:color w:val="auto"/>
          <w:kern w:val="0"/>
          <w:sz w:val="24"/>
          <w:szCs w:val="21"/>
          <w:highlight w:val="none"/>
          <w:lang w:val="zh-CN"/>
        </w:rPr>
        <w:t>邮政编码：</w:t>
      </w:r>
    </w:p>
    <w:p>
      <w:pPr>
        <w:autoSpaceDE w:val="0"/>
        <w:autoSpaceDN w:val="0"/>
        <w:adjustRightInd w:val="0"/>
        <w:snapToGrid w:val="0"/>
        <w:spacing w:line="360" w:lineRule="auto"/>
        <w:ind w:firstLine="480"/>
        <w:jc w:val="left"/>
        <w:rPr>
          <w:rFonts w:cs="宋体" w:asciiTheme="majorEastAsia" w:hAnsiTheme="majorEastAsia" w:eastAsiaTheme="majorEastAsia"/>
          <w:snapToGrid w:val="0"/>
          <w:color w:val="auto"/>
          <w:kern w:val="0"/>
          <w:sz w:val="24"/>
          <w:szCs w:val="21"/>
          <w:highlight w:val="none"/>
        </w:rPr>
      </w:pPr>
      <w:r>
        <w:rPr>
          <w:rFonts w:hint="eastAsia" w:cs="宋体" w:asciiTheme="majorEastAsia" w:hAnsiTheme="majorEastAsia" w:eastAsiaTheme="majorEastAsia"/>
          <w:snapToGrid w:val="0"/>
          <w:color w:val="auto"/>
          <w:kern w:val="0"/>
          <w:sz w:val="24"/>
          <w:szCs w:val="21"/>
          <w:highlight w:val="none"/>
        </w:rPr>
        <w:t xml:space="preserve"> </w:t>
      </w:r>
      <w:r>
        <w:rPr>
          <w:rFonts w:hint="eastAsia" w:cs="宋体" w:asciiTheme="majorEastAsia" w:hAnsiTheme="majorEastAsia" w:eastAsiaTheme="majorEastAsia"/>
          <w:snapToGrid w:val="0"/>
          <w:color w:val="auto"/>
          <w:kern w:val="0"/>
          <w:sz w:val="24"/>
          <w:szCs w:val="21"/>
          <w:highlight w:val="none"/>
          <w:lang w:val="zh-CN"/>
        </w:rPr>
        <w:t>联系电话：</w:t>
      </w:r>
    </w:p>
    <w:p>
      <w:pPr>
        <w:pStyle w:val="6"/>
        <w:rPr>
          <w:rFonts w:cs="宋体" w:asciiTheme="majorEastAsia" w:hAnsiTheme="majorEastAsia" w:eastAsiaTheme="majorEastAsia"/>
          <w:b/>
          <w:bCs/>
          <w:color w:val="auto"/>
          <w:sz w:val="32"/>
          <w:szCs w:val="32"/>
          <w:highlight w:val="none"/>
        </w:rPr>
      </w:pPr>
      <w:r>
        <w:rPr>
          <w:rFonts w:hint="eastAsia" w:cs="宋体" w:asciiTheme="majorEastAsia" w:hAnsiTheme="majorEastAsia" w:eastAsiaTheme="majorEastAsia"/>
          <w:b/>
          <w:bCs/>
          <w:color w:val="auto"/>
          <w:highlight w:val="none"/>
        </w:rPr>
        <w:br w:type="page"/>
      </w:r>
      <w:r>
        <w:rPr>
          <w:rFonts w:hint="eastAsia" w:cs="宋体" w:asciiTheme="majorEastAsia" w:hAnsiTheme="majorEastAsia" w:eastAsiaTheme="majorEastAsia"/>
          <w:b/>
          <w:bCs/>
          <w:color w:val="auto"/>
          <w:sz w:val="32"/>
          <w:szCs w:val="32"/>
          <w:highlight w:val="none"/>
        </w:rPr>
        <w:t>附件</w:t>
      </w:r>
    </w:p>
    <w:p>
      <w:pPr>
        <w:adjustRightInd w:val="0"/>
        <w:snapToGrid w:val="0"/>
        <w:spacing w:line="360" w:lineRule="auto"/>
        <w:ind w:firstLine="480"/>
        <w:jc w:val="center"/>
        <w:outlineLvl w:val="1"/>
        <w:rPr>
          <w:rFonts w:cs="宋体" w:asciiTheme="majorEastAsia" w:hAnsiTheme="majorEastAsia" w:eastAsiaTheme="majorEastAsia"/>
          <w:b/>
          <w:bCs/>
          <w:snapToGrid w:val="0"/>
          <w:color w:val="auto"/>
          <w:kern w:val="0"/>
          <w:sz w:val="24"/>
          <w:highlight w:val="none"/>
        </w:rPr>
      </w:pPr>
      <w:bookmarkStart w:id="716" w:name="_Toc140476971"/>
      <w:r>
        <w:rPr>
          <w:rFonts w:hint="eastAsia" w:cs="宋体" w:asciiTheme="majorEastAsia" w:hAnsiTheme="majorEastAsia" w:eastAsiaTheme="majorEastAsia"/>
          <w:b/>
          <w:bCs/>
          <w:snapToGrid w:val="0"/>
          <w:color w:val="auto"/>
          <w:kern w:val="0"/>
          <w:sz w:val="32"/>
          <w:szCs w:val="32"/>
          <w:highlight w:val="none"/>
        </w:rPr>
        <w:t>1</w:t>
      </w:r>
      <w:r>
        <w:rPr>
          <w:rFonts w:cs="宋体" w:asciiTheme="majorEastAsia" w:hAnsiTheme="majorEastAsia" w:eastAsiaTheme="majorEastAsia"/>
          <w:b/>
          <w:bCs/>
          <w:snapToGrid w:val="0"/>
          <w:color w:val="auto"/>
          <w:kern w:val="0"/>
          <w:sz w:val="32"/>
          <w:szCs w:val="32"/>
          <w:highlight w:val="none"/>
        </w:rPr>
        <w:t>1、</w:t>
      </w:r>
      <w:r>
        <w:rPr>
          <w:rFonts w:hint="eastAsia" w:cs="宋体" w:asciiTheme="majorEastAsia" w:hAnsiTheme="majorEastAsia" w:eastAsiaTheme="majorEastAsia"/>
          <w:b/>
          <w:bCs/>
          <w:snapToGrid w:val="0"/>
          <w:color w:val="auto"/>
          <w:kern w:val="0"/>
          <w:sz w:val="32"/>
          <w:szCs w:val="32"/>
          <w:highlight w:val="none"/>
        </w:rPr>
        <w:t>投标报价清单</w:t>
      </w:r>
      <w:bookmarkEnd w:id="716"/>
    </w:p>
    <w:p>
      <w:pPr>
        <w:adjustRightInd w:val="0"/>
        <w:snapToGrid w:val="0"/>
        <w:spacing w:line="360" w:lineRule="auto"/>
        <w:ind w:firstLine="480"/>
        <w:jc w:val="center"/>
        <w:outlineLvl w:val="1"/>
        <w:rPr>
          <w:rFonts w:cs="宋体" w:asciiTheme="majorEastAsia" w:hAnsiTheme="majorEastAsia" w:eastAsiaTheme="majorEastAsia"/>
          <w:snapToGrid w:val="0"/>
          <w:color w:val="auto"/>
          <w:kern w:val="0"/>
          <w:sz w:val="24"/>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autoSpaceDE w:val="0"/>
        <w:autoSpaceDN w:val="0"/>
        <w:adjustRightInd w:val="0"/>
        <w:snapToGrid w:val="0"/>
        <w:spacing w:line="360" w:lineRule="auto"/>
        <w:ind w:firstLine="480"/>
        <w:jc w:val="left"/>
        <w:rPr>
          <w:rFonts w:cs="宋体" w:asciiTheme="majorEastAsia" w:hAnsiTheme="majorEastAsia" w:eastAsiaTheme="majorEastAsia"/>
          <w:snapToGrid w:val="0"/>
          <w:color w:val="auto"/>
          <w:kern w:val="0"/>
          <w:sz w:val="24"/>
          <w:szCs w:val="21"/>
          <w:highlight w:val="none"/>
        </w:rPr>
      </w:pPr>
    </w:p>
    <w:p>
      <w:pPr>
        <w:pStyle w:val="6"/>
        <w:rPr>
          <w:rFonts w:cs="宋体" w:asciiTheme="majorEastAsia" w:hAnsiTheme="majorEastAsia" w:eastAsiaTheme="majorEastAsia"/>
          <w:b/>
          <w:bCs/>
          <w:color w:val="auto"/>
          <w:sz w:val="32"/>
          <w:szCs w:val="32"/>
          <w:highlight w:val="none"/>
        </w:rPr>
      </w:pPr>
      <w:r>
        <w:rPr>
          <w:rFonts w:hint="eastAsia" w:cs="宋体" w:asciiTheme="majorEastAsia" w:hAnsiTheme="majorEastAsia" w:eastAsiaTheme="majorEastAsia"/>
          <w:b/>
          <w:bCs/>
          <w:color w:val="auto"/>
          <w:highlight w:val="none"/>
        </w:rPr>
        <w:br w:type="page"/>
      </w:r>
      <w:r>
        <w:rPr>
          <w:rFonts w:hint="eastAsia" w:cs="宋体" w:asciiTheme="majorEastAsia" w:hAnsiTheme="majorEastAsia" w:eastAsiaTheme="majorEastAsia"/>
          <w:b/>
          <w:bCs/>
          <w:color w:val="auto"/>
          <w:sz w:val="32"/>
          <w:szCs w:val="32"/>
          <w:highlight w:val="none"/>
        </w:rPr>
        <w:t>附件</w:t>
      </w:r>
    </w:p>
    <w:p>
      <w:pPr>
        <w:adjustRightInd w:val="0"/>
        <w:snapToGrid w:val="0"/>
        <w:spacing w:line="360" w:lineRule="auto"/>
        <w:ind w:firstLine="480"/>
        <w:jc w:val="center"/>
        <w:outlineLvl w:val="1"/>
        <w:rPr>
          <w:rFonts w:cs="宋体" w:asciiTheme="majorEastAsia" w:hAnsiTheme="majorEastAsia" w:eastAsiaTheme="majorEastAsia"/>
          <w:b/>
          <w:bCs/>
          <w:snapToGrid w:val="0"/>
          <w:color w:val="auto"/>
          <w:kern w:val="0"/>
          <w:sz w:val="24"/>
          <w:highlight w:val="none"/>
        </w:rPr>
      </w:pPr>
      <w:bookmarkStart w:id="717" w:name="_Toc140476972"/>
      <w:r>
        <w:rPr>
          <w:rFonts w:hint="eastAsia" w:cs="宋体" w:asciiTheme="majorEastAsia" w:hAnsiTheme="majorEastAsia" w:eastAsiaTheme="majorEastAsia"/>
          <w:b/>
          <w:bCs/>
          <w:snapToGrid w:val="0"/>
          <w:color w:val="auto"/>
          <w:kern w:val="0"/>
          <w:sz w:val="32"/>
          <w:szCs w:val="32"/>
          <w:highlight w:val="none"/>
        </w:rPr>
        <w:t>1</w:t>
      </w:r>
      <w:r>
        <w:rPr>
          <w:rFonts w:cs="宋体" w:asciiTheme="majorEastAsia" w:hAnsiTheme="majorEastAsia" w:eastAsiaTheme="majorEastAsia"/>
          <w:b/>
          <w:bCs/>
          <w:snapToGrid w:val="0"/>
          <w:color w:val="auto"/>
          <w:kern w:val="0"/>
          <w:sz w:val="32"/>
          <w:szCs w:val="32"/>
          <w:highlight w:val="none"/>
        </w:rPr>
        <w:t>2、</w:t>
      </w:r>
      <w:r>
        <w:rPr>
          <w:rFonts w:hint="eastAsia" w:cs="宋体" w:asciiTheme="majorEastAsia" w:hAnsiTheme="majorEastAsia" w:eastAsiaTheme="majorEastAsia"/>
          <w:b/>
          <w:bCs/>
          <w:snapToGrid w:val="0"/>
          <w:color w:val="auto"/>
          <w:kern w:val="0"/>
          <w:sz w:val="32"/>
          <w:szCs w:val="32"/>
          <w:highlight w:val="none"/>
        </w:rPr>
        <w:t>危险性较大的分部分项工程清单及超过一定规模的危险性较大的分部分项工程清单</w:t>
      </w:r>
      <w:bookmarkEnd w:id="717"/>
    </w:p>
    <w:p>
      <w:pPr>
        <w:adjustRightInd w:val="0"/>
        <w:snapToGrid w:val="0"/>
        <w:spacing w:line="360" w:lineRule="auto"/>
        <w:ind w:firstLine="480"/>
        <w:jc w:val="center"/>
        <w:outlineLvl w:val="1"/>
        <w:rPr>
          <w:rFonts w:cs="宋体" w:asciiTheme="majorEastAsia" w:hAnsiTheme="majorEastAsia" w:eastAsiaTheme="majorEastAsia"/>
          <w:snapToGrid w:val="0"/>
          <w:color w:val="auto"/>
          <w:kern w:val="0"/>
          <w:sz w:val="24"/>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autoSpaceDE w:val="0"/>
        <w:autoSpaceDN w:val="0"/>
        <w:adjustRightInd w:val="0"/>
        <w:snapToGrid w:val="0"/>
        <w:spacing w:line="360" w:lineRule="auto"/>
        <w:ind w:firstLine="480"/>
        <w:jc w:val="left"/>
        <w:rPr>
          <w:rFonts w:cs="宋体" w:asciiTheme="majorEastAsia" w:hAnsiTheme="majorEastAsia" w:eastAsiaTheme="majorEastAsia"/>
          <w:snapToGrid w:val="0"/>
          <w:color w:val="auto"/>
          <w:kern w:val="0"/>
          <w:sz w:val="24"/>
          <w:szCs w:val="21"/>
          <w:highlight w:val="none"/>
        </w:rPr>
      </w:pPr>
    </w:p>
    <w:p>
      <w:pPr>
        <w:pStyle w:val="6"/>
        <w:rPr>
          <w:rFonts w:cs="宋体" w:asciiTheme="majorEastAsia" w:hAnsiTheme="majorEastAsia" w:eastAsiaTheme="majorEastAsia"/>
          <w:b/>
          <w:bCs/>
          <w:color w:val="auto"/>
          <w:sz w:val="32"/>
          <w:szCs w:val="32"/>
          <w:highlight w:val="none"/>
        </w:rPr>
      </w:pPr>
      <w:r>
        <w:rPr>
          <w:rFonts w:hint="eastAsia" w:cs="宋体" w:asciiTheme="majorEastAsia" w:hAnsiTheme="majorEastAsia" w:eastAsiaTheme="majorEastAsia"/>
          <w:b/>
          <w:bCs/>
          <w:color w:val="auto"/>
          <w:highlight w:val="none"/>
        </w:rPr>
        <w:br w:type="page"/>
      </w:r>
      <w:r>
        <w:rPr>
          <w:rFonts w:hint="eastAsia" w:cs="宋体" w:asciiTheme="majorEastAsia" w:hAnsiTheme="majorEastAsia" w:eastAsiaTheme="majorEastAsia"/>
          <w:b/>
          <w:bCs/>
          <w:color w:val="auto"/>
          <w:sz w:val="32"/>
          <w:szCs w:val="32"/>
          <w:highlight w:val="none"/>
        </w:rPr>
        <w:t>附件</w:t>
      </w:r>
    </w:p>
    <w:p>
      <w:pPr>
        <w:adjustRightInd w:val="0"/>
        <w:snapToGrid w:val="0"/>
        <w:spacing w:line="360" w:lineRule="auto"/>
        <w:ind w:firstLine="480"/>
        <w:jc w:val="center"/>
        <w:outlineLvl w:val="1"/>
        <w:rPr>
          <w:rFonts w:cs="宋体" w:asciiTheme="majorEastAsia" w:hAnsiTheme="majorEastAsia" w:eastAsiaTheme="majorEastAsia"/>
          <w:b/>
          <w:bCs/>
          <w:snapToGrid w:val="0"/>
          <w:color w:val="auto"/>
          <w:kern w:val="0"/>
          <w:sz w:val="24"/>
          <w:highlight w:val="none"/>
        </w:rPr>
      </w:pPr>
      <w:bookmarkStart w:id="718" w:name="_Toc140476973"/>
      <w:r>
        <w:rPr>
          <w:rFonts w:hint="eastAsia" w:cs="宋体" w:asciiTheme="majorEastAsia" w:hAnsiTheme="majorEastAsia" w:eastAsiaTheme="majorEastAsia"/>
          <w:b/>
          <w:bCs/>
          <w:snapToGrid w:val="0"/>
          <w:color w:val="auto"/>
          <w:kern w:val="0"/>
          <w:sz w:val="32"/>
          <w:szCs w:val="32"/>
          <w:highlight w:val="none"/>
        </w:rPr>
        <w:t>1</w:t>
      </w:r>
      <w:r>
        <w:rPr>
          <w:rFonts w:cs="宋体" w:asciiTheme="majorEastAsia" w:hAnsiTheme="majorEastAsia" w:eastAsiaTheme="majorEastAsia"/>
          <w:b/>
          <w:bCs/>
          <w:snapToGrid w:val="0"/>
          <w:color w:val="auto"/>
          <w:kern w:val="0"/>
          <w:sz w:val="32"/>
          <w:szCs w:val="32"/>
          <w:highlight w:val="none"/>
        </w:rPr>
        <w:t>3、</w:t>
      </w:r>
      <w:r>
        <w:rPr>
          <w:rFonts w:hint="eastAsia" w:cs="宋体" w:asciiTheme="majorEastAsia" w:hAnsiTheme="majorEastAsia" w:eastAsiaTheme="majorEastAsia"/>
          <w:b/>
          <w:bCs/>
          <w:snapToGrid w:val="0"/>
          <w:color w:val="auto"/>
          <w:kern w:val="0"/>
          <w:sz w:val="32"/>
          <w:szCs w:val="32"/>
          <w:highlight w:val="none"/>
        </w:rPr>
        <w:t>技术条件（工程建设标准）</w:t>
      </w:r>
      <w:bookmarkEnd w:id="718"/>
    </w:p>
    <w:p>
      <w:pPr>
        <w:adjustRightInd w:val="0"/>
        <w:snapToGrid w:val="0"/>
        <w:spacing w:line="360" w:lineRule="auto"/>
        <w:ind w:firstLine="480"/>
        <w:jc w:val="center"/>
        <w:outlineLvl w:val="1"/>
        <w:rPr>
          <w:rFonts w:cs="宋体" w:asciiTheme="majorEastAsia" w:hAnsiTheme="majorEastAsia" w:eastAsiaTheme="majorEastAsia"/>
          <w:snapToGrid w:val="0"/>
          <w:color w:val="auto"/>
          <w:kern w:val="0"/>
          <w:sz w:val="24"/>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autoSpaceDE w:val="0"/>
        <w:autoSpaceDN w:val="0"/>
        <w:adjustRightInd w:val="0"/>
        <w:snapToGrid w:val="0"/>
        <w:spacing w:line="360" w:lineRule="auto"/>
        <w:ind w:firstLine="480"/>
        <w:jc w:val="left"/>
        <w:rPr>
          <w:rFonts w:cs="宋体" w:asciiTheme="majorEastAsia" w:hAnsiTheme="majorEastAsia" w:eastAsiaTheme="majorEastAsia"/>
          <w:snapToGrid w:val="0"/>
          <w:color w:val="auto"/>
          <w:kern w:val="0"/>
          <w:sz w:val="24"/>
          <w:szCs w:val="21"/>
          <w:highlight w:val="none"/>
        </w:rPr>
      </w:pPr>
    </w:p>
    <w:p>
      <w:pPr>
        <w:pStyle w:val="6"/>
        <w:rPr>
          <w:rFonts w:cs="宋体" w:asciiTheme="majorEastAsia" w:hAnsiTheme="majorEastAsia" w:eastAsiaTheme="majorEastAsia"/>
          <w:b/>
          <w:bCs/>
          <w:color w:val="auto"/>
          <w:sz w:val="32"/>
          <w:szCs w:val="32"/>
          <w:highlight w:val="none"/>
        </w:rPr>
      </w:pPr>
      <w:r>
        <w:rPr>
          <w:rFonts w:hint="eastAsia" w:cs="宋体" w:asciiTheme="majorEastAsia" w:hAnsiTheme="majorEastAsia" w:eastAsiaTheme="majorEastAsia"/>
          <w:b/>
          <w:bCs/>
          <w:color w:val="auto"/>
          <w:highlight w:val="none"/>
        </w:rPr>
        <w:br w:type="page"/>
      </w:r>
      <w:r>
        <w:rPr>
          <w:rFonts w:hint="eastAsia" w:cs="宋体" w:asciiTheme="majorEastAsia" w:hAnsiTheme="majorEastAsia" w:eastAsiaTheme="majorEastAsia"/>
          <w:b/>
          <w:bCs/>
          <w:color w:val="auto"/>
          <w:sz w:val="32"/>
          <w:szCs w:val="32"/>
          <w:highlight w:val="none"/>
        </w:rPr>
        <w:t>附件</w:t>
      </w:r>
    </w:p>
    <w:p>
      <w:pPr>
        <w:adjustRightInd w:val="0"/>
        <w:snapToGrid w:val="0"/>
        <w:spacing w:line="360" w:lineRule="auto"/>
        <w:ind w:firstLine="480"/>
        <w:jc w:val="center"/>
        <w:outlineLvl w:val="1"/>
        <w:rPr>
          <w:rFonts w:cs="宋体" w:asciiTheme="majorEastAsia" w:hAnsiTheme="majorEastAsia" w:eastAsiaTheme="majorEastAsia"/>
          <w:b/>
          <w:bCs/>
          <w:snapToGrid w:val="0"/>
          <w:color w:val="auto"/>
          <w:kern w:val="0"/>
          <w:sz w:val="24"/>
          <w:highlight w:val="none"/>
        </w:rPr>
      </w:pPr>
      <w:bookmarkStart w:id="719" w:name="_Toc140476974"/>
      <w:r>
        <w:rPr>
          <w:rFonts w:hint="eastAsia" w:cs="宋体" w:asciiTheme="majorEastAsia" w:hAnsiTheme="majorEastAsia" w:eastAsiaTheme="majorEastAsia"/>
          <w:b/>
          <w:bCs/>
          <w:snapToGrid w:val="0"/>
          <w:color w:val="auto"/>
          <w:kern w:val="0"/>
          <w:sz w:val="32"/>
          <w:szCs w:val="32"/>
          <w:highlight w:val="none"/>
        </w:rPr>
        <w:t>1</w:t>
      </w:r>
      <w:r>
        <w:rPr>
          <w:rFonts w:cs="宋体" w:asciiTheme="majorEastAsia" w:hAnsiTheme="majorEastAsia" w:eastAsiaTheme="majorEastAsia"/>
          <w:b/>
          <w:bCs/>
          <w:snapToGrid w:val="0"/>
          <w:color w:val="auto"/>
          <w:kern w:val="0"/>
          <w:sz w:val="32"/>
          <w:szCs w:val="32"/>
          <w:highlight w:val="none"/>
        </w:rPr>
        <w:t>4、</w:t>
      </w:r>
      <w:r>
        <w:rPr>
          <w:rFonts w:hint="eastAsia" w:cs="宋体" w:asciiTheme="majorEastAsia" w:hAnsiTheme="majorEastAsia" w:eastAsiaTheme="majorEastAsia"/>
          <w:b/>
          <w:bCs/>
          <w:snapToGrid w:val="0"/>
          <w:color w:val="auto"/>
          <w:kern w:val="0"/>
          <w:sz w:val="32"/>
          <w:szCs w:val="32"/>
          <w:highlight w:val="none"/>
        </w:rPr>
        <w:t>品牌清单</w:t>
      </w:r>
      <w:bookmarkEnd w:id="719"/>
    </w:p>
    <w:p>
      <w:pPr>
        <w:adjustRightInd w:val="0"/>
        <w:snapToGrid w:val="0"/>
        <w:spacing w:line="360" w:lineRule="auto"/>
        <w:ind w:firstLine="480"/>
        <w:jc w:val="center"/>
        <w:outlineLvl w:val="1"/>
        <w:rPr>
          <w:rFonts w:cs="宋体" w:asciiTheme="majorEastAsia" w:hAnsiTheme="majorEastAsia" w:eastAsiaTheme="majorEastAsia"/>
          <w:snapToGrid w:val="0"/>
          <w:color w:val="auto"/>
          <w:kern w:val="0"/>
          <w:sz w:val="24"/>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pStyle w:val="62"/>
        <w:spacing w:line="360" w:lineRule="auto"/>
        <w:rPr>
          <w:rFonts w:asciiTheme="majorEastAsia" w:hAnsiTheme="majorEastAsia" w:eastAsiaTheme="majorEastAsia"/>
          <w:color w:val="auto"/>
          <w:highlight w:val="none"/>
        </w:rPr>
      </w:pPr>
    </w:p>
    <w:p>
      <w:pPr>
        <w:autoSpaceDE w:val="0"/>
        <w:autoSpaceDN w:val="0"/>
        <w:adjustRightInd w:val="0"/>
        <w:snapToGrid w:val="0"/>
        <w:spacing w:line="360" w:lineRule="auto"/>
        <w:ind w:firstLine="480"/>
        <w:jc w:val="left"/>
        <w:rPr>
          <w:rFonts w:cs="宋体" w:asciiTheme="majorEastAsia" w:hAnsiTheme="majorEastAsia" w:eastAsiaTheme="majorEastAsia"/>
          <w:snapToGrid w:val="0"/>
          <w:color w:val="auto"/>
          <w:kern w:val="0"/>
          <w:sz w:val="24"/>
          <w:szCs w:val="21"/>
          <w:highlight w:val="none"/>
        </w:rPr>
      </w:pPr>
    </w:p>
    <w:p>
      <w:pPr>
        <w:pStyle w:val="6"/>
        <w:rPr>
          <w:rFonts w:cs="宋体" w:asciiTheme="majorEastAsia" w:hAnsiTheme="majorEastAsia" w:eastAsiaTheme="majorEastAsia"/>
          <w:b/>
          <w:bCs/>
          <w:color w:val="auto"/>
          <w:sz w:val="32"/>
          <w:szCs w:val="32"/>
          <w:highlight w:val="none"/>
        </w:rPr>
      </w:pPr>
      <w:r>
        <w:rPr>
          <w:rFonts w:hint="eastAsia" w:cs="宋体" w:asciiTheme="majorEastAsia" w:hAnsiTheme="majorEastAsia" w:eastAsiaTheme="majorEastAsia"/>
          <w:b/>
          <w:bCs/>
          <w:color w:val="auto"/>
          <w:highlight w:val="none"/>
        </w:rPr>
        <w:br w:type="page"/>
      </w:r>
      <w:r>
        <w:rPr>
          <w:rFonts w:hint="eastAsia" w:cs="宋体" w:asciiTheme="majorEastAsia" w:hAnsiTheme="majorEastAsia" w:eastAsiaTheme="majorEastAsia"/>
          <w:b/>
          <w:bCs/>
          <w:color w:val="auto"/>
          <w:sz w:val="32"/>
          <w:szCs w:val="32"/>
          <w:highlight w:val="none"/>
        </w:rPr>
        <w:t>附件</w:t>
      </w:r>
    </w:p>
    <w:p>
      <w:pPr>
        <w:spacing w:line="360" w:lineRule="auto"/>
        <w:jc w:val="center"/>
        <w:rPr>
          <w:rFonts w:cs="宋体" w:asciiTheme="majorEastAsia" w:hAnsiTheme="majorEastAsia" w:eastAsiaTheme="majorEastAsia"/>
          <w:b/>
          <w:color w:val="auto"/>
          <w:kern w:val="1"/>
          <w:sz w:val="28"/>
          <w:szCs w:val="28"/>
          <w:highlight w:val="none"/>
        </w:rPr>
      </w:pPr>
      <w:bookmarkStart w:id="720" w:name="_Toc140476975"/>
      <w:r>
        <w:rPr>
          <w:rFonts w:hint="eastAsia" w:cs="宋体" w:asciiTheme="majorEastAsia" w:hAnsiTheme="majorEastAsia" w:eastAsiaTheme="majorEastAsia"/>
          <w:b/>
          <w:bCs/>
          <w:snapToGrid w:val="0"/>
          <w:color w:val="auto"/>
          <w:kern w:val="0"/>
          <w:sz w:val="32"/>
          <w:szCs w:val="32"/>
          <w:highlight w:val="none"/>
        </w:rPr>
        <w:t>1</w:t>
      </w:r>
      <w:r>
        <w:rPr>
          <w:rFonts w:cs="宋体" w:asciiTheme="majorEastAsia" w:hAnsiTheme="majorEastAsia" w:eastAsiaTheme="majorEastAsia"/>
          <w:b/>
          <w:bCs/>
          <w:snapToGrid w:val="0"/>
          <w:color w:val="auto"/>
          <w:kern w:val="0"/>
          <w:sz w:val="32"/>
          <w:szCs w:val="32"/>
          <w:highlight w:val="none"/>
        </w:rPr>
        <w:t>5、</w:t>
      </w:r>
      <w:r>
        <w:rPr>
          <w:rFonts w:hint="eastAsia" w:cs="宋体" w:asciiTheme="majorEastAsia" w:hAnsiTheme="majorEastAsia" w:eastAsiaTheme="majorEastAsia"/>
          <w:b/>
          <w:color w:val="auto"/>
          <w:kern w:val="1"/>
          <w:sz w:val="28"/>
          <w:szCs w:val="28"/>
          <w:highlight w:val="none"/>
        </w:rPr>
        <w:t>履约保函（格式）</w:t>
      </w:r>
    </w:p>
    <w:p>
      <w:pPr>
        <w:adjustRightInd w:val="0"/>
        <w:snapToGrid w:val="0"/>
        <w:spacing w:line="360" w:lineRule="auto"/>
        <w:ind w:firstLine="562" w:firstLineChars="200"/>
        <w:rPr>
          <w:rFonts w:cs="宋体" w:asciiTheme="majorEastAsia" w:hAnsiTheme="majorEastAsia" w:eastAsiaTheme="majorEastAsia"/>
          <w:b/>
          <w:bCs/>
          <w:color w:val="auto"/>
          <w:kern w:val="1"/>
          <w:sz w:val="28"/>
          <w:szCs w:val="28"/>
          <w:highlight w:val="none"/>
        </w:rPr>
      </w:pPr>
    </w:p>
    <w:p>
      <w:pPr>
        <w:spacing w:line="360" w:lineRule="auto"/>
        <w:rPr>
          <w:rFonts w:cs="宋体" w:asciiTheme="majorEastAsia" w:hAnsiTheme="majorEastAsia" w:eastAsiaTheme="majorEastAsia"/>
          <w:color w:val="auto"/>
          <w:kern w:val="1"/>
          <w:sz w:val="24"/>
          <w:highlight w:val="none"/>
        </w:rPr>
      </w:pPr>
      <w:r>
        <w:rPr>
          <w:rFonts w:hint="eastAsia" w:cs="宋体" w:asciiTheme="majorEastAsia" w:hAnsiTheme="majorEastAsia" w:eastAsiaTheme="majorEastAsia"/>
          <w:color w:val="auto"/>
          <w:kern w:val="1"/>
          <w:sz w:val="24"/>
          <w:highlight w:val="none"/>
        </w:rPr>
        <w:t>致：广州城慧投资发展有限公司</w:t>
      </w:r>
    </w:p>
    <w:p>
      <w:pPr>
        <w:spacing w:line="360" w:lineRule="auto"/>
        <w:ind w:firstLine="480" w:firstLineChars="200"/>
        <w:rPr>
          <w:rFonts w:cs="宋体" w:asciiTheme="majorEastAsia" w:hAnsiTheme="majorEastAsia" w:eastAsiaTheme="majorEastAsia"/>
          <w:color w:val="auto"/>
          <w:kern w:val="1"/>
          <w:sz w:val="24"/>
          <w:highlight w:val="none"/>
        </w:rPr>
      </w:pPr>
      <w:r>
        <w:rPr>
          <w:rFonts w:hint="eastAsia" w:cs="宋体" w:asciiTheme="majorEastAsia" w:hAnsiTheme="majorEastAsia" w:eastAsiaTheme="majorEastAsia"/>
          <w:color w:val="auto"/>
          <w:kern w:val="1"/>
          <w:sz w:val="24"/>
          <w:highlight w:val="none"/>
        </w:rPr>
        <w:t>鉴于</w:t>
      </w:r>
      <w:r>
        <w:rPr>
          <w:rFonts w:hint="eastAsia" w:cs="宋体" w:asciiTheme="majorEastAsia" w:hAnsiTheme="majorEastAsia" w:eastAsiaTheme="majorEastAsia"/>
          <w:color w:val="auto"/>
          <w:kern w:val="1"/>
          <w:sz w:val="24"/>
          <w:highlight w:val="none"/>
          <w:u w:val="single"/>
        </w:rPr>
        <w:t xml:space="preserve">              </w:t>
      </w:r>
      <w:r>
        <w:rPr>
          <w:rFonts w:hint="eastAsia" w:cs="宋体" w:asciiTheme="majorEastAsia" w:hAnsiTheme="majorEastAsia" w:eastAsiaTheme="majorEastAsia"/>
          <w:color w:val="auto"/>
          <w:kern w:val="1"/>
          <w:sz w:val="24"/>
          <w:highlight w:val="none"/>
        </w:rPr>
        <w:t>（以下简称“承包人”）已与</w:t>
      </w:r>
      <w:r>
        <w:rPr>
          <w:rFonts w:hint="eastAsia" w:cs="宋体" w:asciiTheme="majorEastAsia" w:hAnsiTheme="majorEastAsia" w:eastAsiaTheme="majorEastAsia"/>
          <w:color w:val="auto"/>
          <w:kern w:val="1"/>
          <w:sz w:val="24"/>
          <w:highlight w:val="none"/>
          <w:u w:val="single"/>
        </w:rPr>
        <w:t xml:space="preserve">              </w:t>
      </w:r>
      <w:r>
        <w:rPr>
          <w:rFonts w:hint="eastAsia" w:cs="宋体" w:asciiTheme="majorEastAsia" w:hAnsiTheme="majorEastAsia" w:eastAsiaTheme="majorEastAsia"/>
          <w:color w:val="auto"/>
          <w:kern w:val="1"/>
          <w:sz w:val="24"/>
          <w:highlight w:val="none"/>
        </w:rPr>
        <w:t>（以下简称“你方”）就</w:t>
      </w:r>
      <w:r>
        <w:rPr>
          <w:rFonts w:hint="eastAsia" w:cs="宋体" w:asciiTheme="majorEastAsia" w:hAnsiTheme="majorEastAsia" w:eastAsiaTheme="majorEastAsia"/>
          <w:color w:val="auto"/>
          <w:kern w:val="1"/>
          <w:sz w:val="24"/>
          <w:highlight w:val="none"/>
          <w:u w:val="single"/>
        </w:rPr>
        <w:t xml:space="preserve">           </w:t>
      </w:r>
      <w:r>
        <w:rPr>
          <w:rFonts w:hint="eastAsia" w:cs="宋体" w:asciiTheme="majorEastAsia" w:hAnsiTheme="majorEastAsia" w:eastAsiaTheme="majorEastAsia"/>
          <w:color w:val="auto"/>
          <w:kern w:val="1"/>
          <w:sz w:val="24"/>
          <w:highlight w:val="none"/>
        </w:rPr>
        <w:t>项目签订了合同（下称“合同”，合同编号：</w:t>
      </w:r>
      <w:r>
        <w:rPr>
          <w:rFonts w:hint="eastAsia" w:cs="宋体" w:asciiTheme="majorEastAsia" w:hAnsiTheme="majorEastAsia" w:eastAsiaTheme="majorEastAsia"/>
          <w:color w:val="auto"/>
          <w:kern w:val="1"/>
          <w:sz w:val="24"/>
          <w:highlight w:val="none"/>
          <w:u w:val="single"/>
        </w:rPr>
        <w:t xml:space="preserve">       </w:t>
      </w:r>
      <w:r>
        <w:rPr>
          <w:rFonts w:hint="eastAsia" w:cs="宋体" w:asciiTheme="majorEastAsia" w:hAnsiTheme="majorEastAsia" w:eastAsiaTheme="majorEastAsia"/>
          <w:color w:val="auto"/>
          <w:kern w:val="1"/>
          <w:sz w:val="24"/>
          <w:highlight w:val="none"/>
        </w:rPr>
        <w:t>）；鉴于你方在合同中要求承包人向你方提交下述金额的银行开具的履约保函，作为承包人履行本合同责任的保证，本银行同意为承包人出具以你方为受益人的不可撤销保函。</w:t>
      </w:r>
    </w:p>
    <w:p>
      <w:pPr>
        <w:spacing w:line="360" w:lineRule="auto"/>
        <w:ind w:firstLine="480" w:firstLineChars="200"/>
        <w:rPr>
          <w:rFonts w:cs="宋体" w:asciiTheme="majorEastAsia" w:hAnsiTheme="majorEastAsia" w:eastAsiaTheme="majorEastAsia"/>
          <w:color w:val="auto"/>
          <w:kern w:val="1"/>
          <w:sz w:val="24"/>
          <w:highlight w:val="none"/>
        </w:rPr>
      </w:pPr>
      <w:r>
        <w:rPr>
          <w:rFonts w:hint="eastAsia" w:cs="宋体" w:asciiTheme="majorEastAsia" w:hAnsiTheme="majorEastAsia" w:eastAsiaTheme="majorEastAsia"/>
          <w:color w:val="auto"/>
          <w:kern w:val="1"/>
          <w:sz w:val="24"/>
          <w:highlight w:val="none"/>
        </w:rPr>
        <w:t>根据本保函，本银行向你方承担支付人民币（大写）     （RMB    元）[合同总价（扣除绿色施工安全防护措施费）的10%]的责任，并无条件受本保函的约束。</w:t>
      </w:r>
    </w:p>
    <w:p>
      <w:pPr>
        <w:spacing w:line="360" w:lineRule="auto"/>
        <w:ind w:firstLine="480" w:firstLineChars="200"/>
        <w:rPr>
          <w:rFonts w:cs="宋体" w:asciiTheme="majorEastAsia" w:hAnsiTheme="majorEastAsia" w:eastAsiaTheme="majorEastAsia"/>
          <w:color w:val="auto"/>
          <w:kern w:val="1"/>
          <w:sz w:val="24"/>
          <w:highlight w:val="none"/>
        </w:rPr>
      </w:pPr>
      <w:r>
        <w:rPr>
          <w:rFonts w:hint="eastAsia" w:cs="宋体" w:asciiTheme="majorEastAsia" w:hAnsiTheme="majorEastAsia" w:eastAsiaTheme="majorEastAsia"/>
          <w:color w:val="auto"/>
          <w:kern w:val="1"/>
          <w:sz w:val="24"/>
          <w:highlight w:val="none"/>
        </w:rPr>
        <w:t>承包人在合同履行过程中，由于资金、技术、质量或非不可抗力等原因违反合同的约定∕未按照合同的约定履行义务，应承担的违约金/给你方造成经济损失时，在你方以书面形式提出要求得到上述金额内的任何付款时，本银行于3日内给予支付，不挑剔、不争辩、也不要求你方出具证明或说明背景、理由。</w:t>
      </w:r>
    </w:p>
    <w:p>
      <w:pPr>
        <w:spacing w:line="360" w:lineRule="auto"/>
        <w:ind w:firstLine="480" w:firstLineChars="200"/>
        <w:rPr>
          <w:rFonts w:cs="宋体" w:asciiTheme="majorEastAsia" w:hAnsiTheme="majorEastAsia" w:eastAsiaTheme="majorEastAsia"/>
          <w:color w:val="auto"/>
          <w:kern w:val="1"/>
          <w:sz w:val="24"/>
          <w:highlight w:val="none"/>
        </w:rPr>
      </w:pPr>
      <w:r>
        <w:rPr>
          <w:rFonts w:hint="eastAsia" w:cs="宋体" w:asciiTheme="majorEastAsia" w:hAnsiTheme="majorEastAsia" w:eastAsiaTheme="majorEastAsia"/>
          <w:color w:val="auto"/>
          <w:kern w:val="1"/>
          <w:sz w:val="24"/>
          <w:highlight w:val="none"/>
        </w:rPr>
        <w:t>本银行放弃你方应先向承包人要求赔偿上述金额然后再向本银行提出要求的权利。</w:t>
      </w:r>
    </w:p>
    <w:p>
      <w:pPr>
        <w:pStyle w:val="16"/>
        <w:spacing w:line="360" w:lineRule="auto"/>
        <w:ind w:firstLine="480" w:firstLineChars="200"/>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本银行还同意在你方和承包人之间的合同条款、合同项下的工程或合同文件发生变化、补充或修改后，本银行承担本保函的责任也不改变，有关上述变化、补充和修改也无须通知我行。</w:t>
      </w:r>
    </w:p>
    <w:p>
      <w:pPr>
        <w:spacing w:line="360" w:lineRule="auto"/>
        <w:ind w:firstLine="480" w:firstLineChars="200"/>
        <w:rPr>
          <w:rFonts w:cs="宋体" w:asciiTheme="majorEastAsia" w:hAnsiTheme="majorEastAsia" w:eastAsiaTheme="majorEastAsia"/>
          <w:color w:val="auto"/>
          <w:kern w:val="1"/>
          <w:sz w:val="24"/>
          <w:highlight w:val="none"/>
        </w:rPr>
      </w:pPr>
      <w:r>
        <w:rPr>
          <w:rFonts w:hint="eastAsia" w:cs="宋体" w:asciiTheme="majorEastAsia" w:hAnsiTheme="majorEastAsia" w:eastAsiaTheme="majorEastAsia"/>
          <w:color w:val="auto"/>
          <w:kern w:val="1"/>
          <w:sz w:val="24"/>
          <w:highlight w:val="none"/>
        </w:rPr>
        <w:t>本保函自我行开立之日起生效，至合同内工程整体通过竣工验收并提交符合你方要求的完整结算资料后二十八天止，最长不超过</w:t>
      </w:r>
      <w:r>
        <w:rPr>
          <w:rFonts w:hint="eastAsia" w:cs="宋体" w:asciiTheme="majorEastAsia" w:hAnsiTheme="majorEastAsia" w:eastAsiaTheme="majorEastAsia"/>
          <w:color w:val="auto"/>
          <w:kern w:val="1"/>
          <w:sz w:val="24"/>
          <w:highlight w:val="none"/>
          <w:u w:val="single"/>
        </w:rPr>
        <w:t xml:space="preserve">   </w:t>
      </w:r>
      <w:r>
        <w:rPr>
          <w:rFonts w:hint="eastAsia" w:cs="宋体" w:asciiTheme="majorEastAsia" w:hAnsiTheme="majorEastAsia" w:eastAsiaTheme="majorEastAsia"/>
          <w:color w:val="auto"/>
          <w:kern w:val="1"/>
          <w:sz w:val="24"/>
          <w:highlight w:val="none"/>
        </w:rPr>
        <w:t>年</w:t>
      </w:r>
      <w:r>
        <w:rPr>
          <w:rFonts w:hint="eastAsia" w:cs="宋体" w:asciiTheme="majorEastAsia" w:hAnsiTheme="majorEastAsia" w:eastAsiaTheme="majorEastAsia"/>
          <w:color w:val="auto"/>
          <w:kern w:val="1"/>
          <w:sz w:val="24"/>
          <w:highlight w:val="none"/>
          <w:u w:val="single"/>
        </w:rPr>
        <w:t xml:space="preserve"> </w:t>
      </w:r>
      <w:r>
        <w:rPr>
          <w:rFonts w:hint="eastAsia" w:cs="宋体" w:asciiTheme="majorEastAsia" w:hAnsiTheme="majorEastAsia" w:eastAsiaTheme="majorEastAsia"/>
          <w:color w:val="auto"/>
          <w:kern w:val="1"/>
          <w:sz w:val="24"/>
          <w:highlight w:val="none"/>
        </w:rPr>
        <w:t xml:space="preserve">  月</w:t>
      </w:r>
      <w:r>
        <w:rPr>
          <w:rFonts w:hint="eastAsia" w:cs="宋体" w:asciiTheme="majorEastAsia" w:hAnsiTheme="majorEastAsia" w:eastAsiaTheme="majorEastAsia"/>
          <w:color w:val="auto"/>
          <w:kern w:val="1"/>
          <w:sz w:val="24"/>
          <w:highlight w:val="none"/>
          <w:u w:val="single"/>
        </w:rPr>
        <w:t xml:space="preserve">   </w:t>
      </w:r>
      <w:r>
        <w:rPr>
          <w:rFonts w:hint="eastAsia" w:cs="宋体" w:asciiTheme="majorEastAsia" w:hAnsiTheme="majorEastAsia" w:eastAsiaTheme="majorEastAsia"/>
          <w:color w:val="auto"/>
          <w:kern w:val="1"/>
          <w:sz w:val="24"/>
          <w:highlight w:val="none"/>
        </w:rPr>
        <w:t>日。</w:t>
      </w:r>
    </w:p>
    <w:p>
      <w:pPr>
        <w:spacing w:line="360" w:lineRule="auto"/>
        <w:ind w:left="1920" w:firstLine="480" w:firstLineChars="200"/>
        <w:rPr>
          <w:rFonts w:cs="宋体" w:asciiTheme="majorEastAsia" w:hAnsiTheme="majorEastAsia" w:eastAsiaTheme="majorEastAsia"/>
          <w:color w:val="auto"/>
          <w:kern w:val="1"/>
          <w:sz w:val="24"/>
          <w:highlight w:val="none"/>
        </w:rPr>
      </w:pPr>
      <w:r>
        <w:rPr>
          <w:rFonts w:hint="eastAsia" w:cs="宋体" w:asciiTheme="majorEastAsia" w:hAnsiTheme="majorEastAsia" w:eastAsiaTheme="majorEastAsia"/>
          <w:color w:val="auto"/>
          <w:kern w:val="1"/>
          <w:sz w:val="24"/>
          <w:highlight w:val="none"/>
        </w:rPr>
        <w:t>银行名称： （盖章）</w:t>
      </w:r>
    </w:p>
    <w:p>
      <w:pPr>
        <w:spacing w:line="360" w:lineRule="auto"/>
        <w:ind w:firstLine="2160" w:firstLineChars="900"/>
        <w:rPr>
          <w:rFonts w:cs="宋体" w:asciiTheme="majorEastAsia" w:hAnsiTheme="majorEastAsia" w:eastAsiaTheme="majorEastAsia"/>
          <w:color w:val="auto"/>
          <w:kern w:val="1"/>
          <w:sz w:val="24"/>
          <w:highlight w:val="none"/>
        </w:rPr>
      </w:pPr>
      <w:r>
        <w:rPr>
          <w:rFonts w:hint="eastAsia" w:cs="宋体" w:asciiTheme="majorEastAsia" w:hAnsiTheme="majorEastAsia" w:eastAsiaTheme="majorEastAsia"/>
          <w:color w:val="auto"/>
          <w:kern w:val="1"/>
          <w:sz w:val="24"/>
          <w:highlight w:val="none"/>
        </w:rPr>
        <w:t xml:space="preserve">银行负责人或委托代理人：         </w:t>
      </w:r>
    </w:p>
    <w:p>
      <w:pPr>
        <w:spacing w:line="360" w:lineRule="auto"/>
        <w:ind w:left="2400" w:firstLine="120" w:firstLineChars="50"/>
        <w:rPr>
          <w:rFonts w:cs="宋体" w:asciiTheme="majorEastAsia" w:hAnsiTheme="majorEastAsia" w:eastAsiaTheme="majorEastAsia"/>
          <w:color w:val="auto"/>
          <w:kern w:val="1"/>
          <w:sz w:val="24"/>
          <w:highlight w:val="none"/>
        </w:rPr>
      </w:pPr>
      <w:r>
        <w:rPr>
          <w:rFonts w:hint="eastAsia" w:cs="宋体" w:asciiTheme="majorEastAsia" w:hAnsiTheme="majorEastAsia" w:eastAsiaTheme="majorEastAsia"/>
          <w:color w:val="auto"/>
          <w:kern w:val="1"/>
          <w:sz w:val="24"/>
          <w:highlight w:val="none"/>
        </w:rPr>
        <w:t>地    址：</w:t>
      </w:r>
      <w:r>
        <w:rPr>
          <w:rFonts w:hint="eastAsia" w:cs="宋体" w:asciiTheme="majorEastAsia" w:hAnsiTheme="majorEastAsia" w:eastAsiaTheme="majorEastAsia"/>
          <w:color w:val="auto"/>
          <w:kern w:val="1"/>
          <w:sz w:val="24"/>
          <w:highlight w:val="none"/>
        </w:rPr>
        <w:tab/>
      </w:r>
      <w:r>
        <w:rPr>
          <w:rFonts w:hint="eastAsia" w:cs="宋体" w:asciiTheme="majorEastAsia" w:hAnsiTheme="majorEastAsia" w:eastAsiaTheme="majorEastAsia"/>
          <w:color w:val="auto"/>
          <w:kern w:val="1"/>
          <w:sz w:val="24"/>
          <w:highlight w:val="none"/>
        </w:rPr>
        <w:tab/>
      </w:r>
      <w:r>
        <w:rPr>
          <w:rFonts w:hint="eastAsia" w:cs="宋体" w:asciiTheme="majorEastAsia" w:hAnsiTheme="majorEastAsia" w:eastAsiaTheme="majorEastAsia"/>
          <w:color w:val="auto"/>
          <w:kern w:val="1"/>
          <w:sz w:val="24"/>
          <w:highlight w:val="none"/>
        </w:rPr>
        <w:tab/>
      </w:r>
      <w:r>
        <w:rPr>
          <w:rFonts w:hint="eastAsia" w:cs="宋体" w:asciiTheme="majorEastAsia" w:hAnsiTheme="majorEastAsia" w:eastAsiaTheme="majorEastAsia"/>
          <w:color w:val="auto"/>
          <w:kern w:val="1"/>
          <w:sz w:val="24"/>
          <w:highlight w:val="none"/>
        </w:rPr>
        <w:t xml:space="preserve">   </w:t>
      </w:r>
      <w:r>
        <w:rPr>
          <w:rFonts w:hint="eastAsia" w:cs="宋体" w:asciiTheme="majorEastAsia" w:hAnsiTheme="majorEastAsia" w:eastAsiaTheme="majorEastAsia"/>
          <w:color w:val="auto"/>
          <w:kern w:val="1"/>
          <w:sz w:val="24"/>
          <w:highlight w:val="none"/>
        </w:rPr>
        <w:tab/>
      </w:r>
      <w:r>
        <w:rPr>
          <w:rFonts w:hint="eastAsia" w:cs="宋体" w:asciiTheme="majorEastAsia" w:hAnsiTheme="majorEastAsia" w:eastAsiaTheme="majorEastAsia"/>
          <w:color w:val="auto"/>
          <w:kern w:val="1"/>
          <w:sz w:val="24"/>
          <w:highlight w:val="none"/>
        </w:rPr>
        <w:tab/>
      </w:r>
      <w:r>
        <w:rPr>
          <w:rFonts w:hint="eastAsia" w:cs="宋体" w:asciiTheme="majorEastAsia" w:hAnsiTheme="majorEastAsia" w:eastAsiaTheme="majorEastAsia"/>
          <w:color w:val="auto"/>
          <w:kern w:val="1"/>
          <w:sz w:val="24"/>
          <w:highlight w:val="none"/>
        </w:rPr>
        <w:tab/>
      </w:r>
      <w:r>
        <w:rPr>
          <w:rFonts w:hint="eastAsia" w:cs="宋体" w:asciiTheme="majorEastAsia" w:hAnsiTheme="majorEastAsia" w:eastAsiaTheme="majorEastAsia"/>
          <w:color w:val="auto"/>
          <w:kern w:val="1"/>
          <w:sz w:val="24"/>
          <w:highlight w:val="none"/>
        </w:rPr>
        <w:tab/>
      </w:r>
    </w:p>
    <w:p>
      <w:pPr>
        <w:spacing w:line="360" w:lineRule="auto"/>
        <w:ind w:left="1440" w:firstLine="960" w:firstLineChars="400"/>
        <w:rPr>
          <w:rFonts w:cs="宋体" w:asciiTheme="majorEastAsia" w:hAnsiTheme="majorEastAsia" w:eastAsiaTheme="majorEastAsia"/>
          <w:color w:val="auto"/>
          <w:kern w:val="1"/>
          <w:sz w:val="24"/>
          <w:highlight w:val="none"/>
        </w:rPr>
      </w:pPr>
      <w:r>
        <w:rPr>
          <w:rFonts w:hint="eastAsia" w:cs="宋体" w:asciiTheme="majorEastAsia" w:hAnsiTheme="majorEastAsia" w:eastAsiaTheme="majorEastAsia"/>
          <w:color w:val="auto"/>
          <w:kern w:val="1"/>
          <w:sz w:val="24"/>
          <w:highlight w:val="none"/>
        </w:rPr>
        <w:t>邮政编码：</w:t>
      </w:r>
      <w:r>
        <w:rPr>
          <w:rFonts w:hint="eastAsia" w:cs="宋体" w:asciiTheme="majorEastAsia" w:hAnsiTheme="majorEastAsia" w:eastAsiaTheme="majorEastAsia"/>
          <w:color w:val="auto"/>
          <w:kern w:val="1"/>
          <w:sz w:val="24"/>
          <w:highlight w:val="none"/>
        </w:rPr>
        <w:tab/>
      </w:r>
      <w:r>
        <w:rPr>
          <w:rFonts w:hint="eastAsia" w:cs="宋体" w:asciiTheme="majorEastAsia" w:hAnsiTheme="majorEastAsia" w:eastAsiaTheme="majorEastAsia"/>
          <w:color w:val="auto"/>
          <w:kern w:val="1"/>
          <w:sz w:val="24"/>
          <w:highlight w:val="none"/>
        </w:rPr>
        <w:tab/>
      </w:r>
      <w:r>
        <w:rPr>
          <w:rFonts w:hint="eastAsia" w:cs="宋体" w:asciiTheme="majorEastAsia" w:hAnsiTheme="majorEastAsia" w:eastAsiaTheme="majorEastAsia"/>
          <w:color w:val="auto"/>
          <w:kern w:val="1"/>
          <w:sz w:val="24"/>
          <w:highlight w:val="none"/>
        </w:rPr>
        <w:tab/>
      </w:r>
      <w:r>
        <w:rPr>
          <w:rFonts w:hint="eastAsia" w:cs="宋体" w:asciiTheme="majorEastAsia" w:hAnsiTheme="majorEastAsia" w:eastAsiaTheme="majorEastAsia"/>
          <w:color w:val="auto"/>
          <w:kern w:val="1"/>
          <w:sz w:val="24"/>
          <w:highlight w:val="none"/>
        </w:rPr>
        <w:tab/>
      </w:r>
      <w:r>
        <w:rPr>
          <w:rFonts w:hint="eastAsia" w:cs="宋体" w:asciiTheme="majorEastAsia" w:hAnsiTheme="majorEastAsia" w:eastAsiaTheme="majorEastAsia"/>
          <w:color w:val="auto"/>
          <w:kern w:val="1"/>
          <w:sz w:val="24"/>
          <w:highlight w:val="none"/>
        </w:rPr>
        <w:tab/>
      </w:r>
      <w:r>
        <w:rPr>
          <w:rFonts w:hint="eastAsia" w:cs="宋体" w:asciiTheme="majorEastAsia" w:hAnsiTheme="majorEastAsia" w:eastAsiaTheme="majorEastAsia"/>
          <w:color w:val="auto"/>
          <w:kern w:val="1"/>
          <w:sz w:val="24"/>
          <w:highlight w:val="none"/>
        </w:rPr>
        <w:tab/>
      </w:r>
      <w:r>
        <w:rPr>
          <w:rFonts w:hint="eastAsia" w:cs="宋体" w:asciiTheme="majorEastAsia" w:hAnsiTheme="majorEastAsia" w:eastAsiaTheme="majorEastAsia"/>
          <w:color w:val="auto"/>
          <w:kern w:val="1"/>
          <w:sz w:val="24"/>
          <w:highlight w:val="none"/>
        </w:rPr>
        <w:tab/>
      </w:r>
    </w:p>
    <w:p>
      <w:pPr>
        <w:spacing w:line="360" w:lineRule="auto"/>
        <w:ind w:left="1440" w:firstLine="960" w:firstLineChars="400"/>
        <w:rPr>
          <w:rFonts w:cs="宋体" w:asciiTheme="majorEastAsia" w:hAnsiTheme="majorEastAsia" w:eastAsiaTheme="majorEastAsia"/>
          <w:color w:val="auto"/>
          <w:kern w:val="1"/>
          <w:sz w:val="24"/>
          <w:highlight w:val="none"/>
        </w:rPr>
      </w:pPr>
      <w:r>
        <w:rPr>
          <w:rFonts w:hint="eastAsia" w:cs="宋体" w:asciiTheme="majorEastAsia" w:hAnsiTheme="majorEastAsia" w:eastAsiaTheme="majorEastAsia"/>
          <w:color w:val="auto"/>
          <w:kern w:val="1"/>
          <w:sz w:val="24"/>
          <w:highlight w:val="none"/>
        </w:rPr>
        <w:t>日期：       年   月      日</w:t>
      </w:r>
    </w:p>
    <w:bookmarkEnd w:id="720"/>
    <w:p>
      <w:pPr>
        <w:pStyle w:val="62"/>
        <w:spacing w:line="360" w:lineRule="auto"/>
        <w:jc w:val="both"/>
        <w:rPr>
          <w:rFonts w:asciiTheme="majorEastAsia" w:hAnsiTheme="majorEastAsia" w:eastAsiaTheme="majorEastAsia"/>
          <w:color w:val="auto"/>
          <w:highlight w:val="none"/>
        </w:rPr>
      </w:pPr>
    </w:p>
    <w:sectPr>
      <w:pgSz w:w="11907" w:h="16840"/>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4"/>
      </w:rPr>
    </w:pPr>
    <w:r>
      <w:fldChar w:fldCharType="begin"/>
    </w:r>
    <w:r>
      <w:rPr>
        <w:rStyle w:val="44"/>
      </w:rPr>
      <w:instrText xml:space="preserve">PAGE  </w:instrText>
    </w:r>
    <w:r>
      <w:fldChar w:fldCharType="separate"/>
    </w:r>
    <w:r>
      <w:rPr>
        <w:rStyle w:val="44"/>
      </w:rPr>
      <w:t>9</w:t>
    </w:r>
    <w:r>
      <w:fldChar w:fldCharType="end"/>
    </w: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rPr>
        <w:rStyle w:val="44"/>
      </w:rPr>
      <w:instrText xml:space="preserve">PAGE  </w:instrText>
    </w:r>
    <w:r>
      <w:fldChar w:fldCharType="separate"/>
    </w:r>
    <w:r>
      <w:rPr>
        <w:rStyle w:val="44"/>
      </w:rPr>
      <w:t>62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0B7623"/>
    <w:multiLevelType w:val="multilevel"/>
    <w:tmpl w:val="120B7623"/>
    <w:lvl w:ilvl="0" w:tentative="0">
      <w:start w:val="1"/>
      <w:numFmt w:val="chineseCountingThousand"/>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chineseCountingThousand"/>
      <w:pStyle w:val="7"/>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59905B5"/>
    <w:multiLevelType w:val="multilevel"/>
    <w:tmpl w:val="259905B5"/>
    <w:lvl w:ilvl="0" w:tentative="0">
      <w:start w:val="1"/>
      <w:numFmt w:val="chineseCountingThousand"/>
      <w:suff w:val="space"/>
      <w:lvlText w:val="第%1章"/>
      <w:lvlJc w:val="left"/>
      <w:pPr>
        <w:ind w:left="567" w:hanging="279"/>
      </w:pPr>
      <w:rPr>
        <w:rFonts w:hint="eastAsia" w:ascii="宋体" w:eastAsia="宋体"/>
        <w:b/>
        <w:i w:val="0"/>
        <w:spacing w:val="0"/>
        <w:position w:val="0"/>
        <w:sz w:val="44"/>
      </w:rPr>
    </w:lvl>
    <w:lvl w:ilvl="1" w:tentative="0">
      <w:start w:val="1"/>
      <w:numFmt w:val="decimal"/>
      <w:suff w:val="space"/>
      <w:lvlText w:val="%2."/>
      <w:lvlJc w:val="left"/>
      <w:pPr>
        <w:ind w:left="454" w:hanging="454"/>
      </w:pPr>
      <w:rPr>
        <w:rFonts w:hint="eastAsia" w:ascii="宋体" w:eastAsia="宋体"/>
        <w:b/>
        <w:i w:val="0"/>
        <w:sz w:val="32"/>
      </w:rPr>
    </w:lvl>
    <w:lvl w:ilvl="2" w:tentative="0">
      <w:start w:val="1"/>
      <w:numFmt w:val="decimal"/>
      <w:suff w:val="space"/>
      <w:lvlText w:val="%2.%3"/>
      <w:lvlJc w:val="left"/>
      <w:pPr>
        <w:ind w:left="454" w:hanging="454"/>
      </w:pPr>
      <w:rPr>
        <w:rFonts w:hint="eastAsia" w:ascii="宋体" w:eastAsia="宋体"/>
        <w:b/>
        <w:i w:val="0"/>
        <w:sz w:val="28"/>
      </w:rPr>
    </w:lvl>
    <w:lvl w:ilvl="3" w:tentative="0">
      <w:start w:val="1"/>
      <w:numFmt w:val="decimal"/>
      <w:suff w:val="space"/>
      <w:lvlText w:val="%2.%3.%4_x0001__x0003_"/>
      <w:lvlJc w:val="left"/>
      <w:pPr>
        <w:ind w:left="284" w:hanging="284"/>
      </w:pPr>
      <w:rPr>
        <w:rFonts w:hint="eastAsia" w:ascii="宋体" w:eastAsia="宋体"/>
        <w:b/>
        <w:i w:val="0"/>
        <w:sz w:val="28"/>
      </w:rPr>
    </w:lvl>
    <w:lvl w:ilvl="4" w:tentative="0">
      <w:start w:val="1"/>
      <w:numFmt w:val="decimal"/>
      <w:isLgl/>
      <w:suff w:val="space"/>
      <w:lvlText w:val="%2.%3.%4.%5"/>
      <w:lvlJc w:val="left"/>
      <w:pPr>
        <w:ind w:left="284" w:hanging="284"/>
      </w:pPr>
      <w:rPr>
        <w:rFonts w:hint="eastAsia" w:ascii="宋体" w:eastAsia="宋体"/>
        <w:b/>
        <w:i w:val="0"/>
        <w:strike w:val="0"/>
        <w:dstrike w:val="0"/>
        <w:sz w:val="28"/>
      </w:rPr>
    </w:lvl>
    <w:lvl w:ilvl="5" w:tentative="0">
      <w:start w:val="1"/>
      <w:numFmt w:val="decimal"/>
      <w:lvlRestart w:val="0"/>
      <w:suff w:val="space"/>
      <w:lvlText w:val="1.1.1.1.1.%6%5"/>
      <w:lvlJc w:val="left"/>
      <w:pPr>
        <w:ind w:left="0" w:firstLine="0"/>
      </w:pPr>
      <w:rPr>
        <w:rFonts w:hint="eastAsia" w:ascii="宋体" w:eastAsia="宋体"/>
        <w:b/>
        <w:i w:val="0"/>
        <w:sz w:val="28"/>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2">
    <w:nsid w:val="547FD2E1"/>
    <w:multiLevelType w:val="singleLevel"/>
    <w:tmpl w:val="547FD2E1"/>
    <w:lvl w:ilvl="0" w:tentative="0">
      <w:start w:val="2"/>
      <w:numFmt w:val="decimal"/>
      <w:suff w:val="nothing"/>
      <w:lvlText w:val="（%1）"/>
      <w:lvlJc w:val="left"/>
    </w:lvl>
  </w:abstractNum>
  <w:abstractNum w:abstractNumId="3">
    <w:nsid w:val="5804883B"/>
    <w:multiLevelType w:val="singleLevel"/>
    <w:tmpl w:val="5804883B"/>
    <w:lvl w:ilvl="0" w:tentative="0">
      <w:start w:val="1"/>
      <w:numFmt w:val="decimal"/>
      <w:suff w:val="nothing"/>
      <w:lvlText w:val="%1）"/>
      <w:lvlJc w:val="left"/>
    </w:lvl>
  </w:abstractNum>
  <w:abstractNum w:abstractNumId="4">
    <w:nsid w:val="74FB0463"/>
    <w:multiLevelType w:val="multilevel"/>
    <w:tmpl w:val="74FB0463"/>
    <w:lvl w:ilvl="0" w:tentative="0">
      <w:start w:val="1"/>
      <w:numFmt w:val="decimal"/>
      <w:suff w:val="nothing"/>
      <w:lvlText w:val="第%1篇"/>
      <w:lvlJc w:val="left"/>
      <w:pPr>
        <w:ind w:left="0" w:firstLine="0"/>
      </w:pPr>
      <w:rPr>
        <w:rFonts w:hint="eastAsia"/>
        <w:spacing w:val="60"/>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center"/>
      <w:pPr>
        <w:ind w:left="0" w:firstLine="288"/>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C45"/>
    <w:rsid w:val="000665D7"/>
    <w:rsid w:val="000914DE"/>
    <w:rsid w:val="000C78C5"/>
    <w:rsid w:val="00200428"/>
    <w:rsid w:val="00264B3D"/>
    <w:rsid w:val="00493FE7"/>
    <w:rsid w:val="00737934"/>
    <w:rsid w:val="00842DE9"/>
    <w:rsid w:val="009D6923"/>
    <w:rsid w:val="00A410EF"/>
    <w:rsid w:val="00A4182B"/>
    <w:rsid w:val="00A85F10"/>
    <w:rsid w:val="00AA2BBC"/>
    <w:rsid w:val="00BD5CB1"/>
    <w:rsid w:val="00C52C45"/>
    <w:rsid w:val="00C576F8"/>
    <w:rsid w:val="00CA6373"/>
    <w:rsid w:val="00DC4114"/>
    <w:rsid w:val="010E0C67"/>
    <w:rsid w:val="048E1E79"/>
    <w:rsid w:val="070F4CA9"/>
    <w:rsid w:val="0AED3815"/>
    <w:rsid w:val="0DC2488E"/>
    <w:rsid w:val="1D9E64ED"/>
    <w:rsid w:val="1F592812"/>
    <w:rsid w:val="20C4437B"/>
    <w:rsid w:val="2E157F0A"/>
    <w:rsid w:val="30B66D47"/>
    <w:rsid w:val="343159BF"/>
    <w:rsid w:val="39383DC6"/>
    <w:rsid w:val="3DAC505F"/>
    <w:rsid w:val="4F455341"/>
    <w:rsid w:val="52990BE4"/>
    <w:rsid w:val="54D9517B"/>
    <w:rsid w:val="567D7806"/>
    <w:rsid w:val="58A860D2"/>
    <w:rsid w:val="5A8C3BCC"/>
    <w:rsid w:val="5DDB5D72"/>
    <w:rsid w:val="61F07FA8"/>
    <w:rsid w:val="64577A83"/>
    <w:rsid w:val="70C15637"/>
    <w:rsid w:val="78067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keepLines/>
      <w:spacing w:after="120" w:line="360" w:lineRule="auto"/>
      <w:outlineLvl w:val="0"/>
    </w:pPr>
    <w:rPr>
      <w:bCs/>
      <w:kern w:val="44"/>
      <w:sz w:val="36"/>
      <w:szCs w:val="36"/>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qFormat/>
    <w:uiPriority w:val="0"/>
    <w:pPr>
      <w:keepNext/>
      <w:keepLines/>
      <w:spacing w:before="156" w:beforeLines="50" w:after="156" w:afterLines="50" w:line="360" w:lineRule="auto"/>
      <w:jc w:val="center"/>
      <w:outlineLvl w:val="2"/>
    </w:pPr>
    <w:rPr>
      <w:b/>
      <w:sz w:val="24"/>
    </w:rPr>
  </w:style>
  <w:style w:type="paragraph" w:styleId="6">
    <w:name w:val="heading 4"/>
    <w:basedOn w:val="4"/>
    <w:next w:val="5"/>
    <w:qFormat/>
    <w:uiPriority w:val="0"/>
    <w:pPr>
      <w:jc w:val="both"/>
      <w:outlineLvl w:val="3"/>
    </w:pPr>
    <w:rPr>
      <w:rFonts w:ascii="Arial" w:hAnsi="Arial"/>
      <w:b w:val="0"/>
      <w:snapToGrid w:val="0"/>
      <w:kern w:val="0"/>
    </w:rPr>
  </w:style>
  <w:style w:type="paragraph" w:styleId="7">
    <w:name w:val="heading 5"/>
    <w:basedOn w:val="6"/>
    <w:next w:val="5"/>
    <w:qFormat/>
    <w:uiPriority w:val="0"/>
    <w:pPr>
      <w:numPr>
        <w:ilvl w:val="2"/>
        <w:numId w:val="1"/>
      </w:numPr>
      <w:tabs>
        <w:tab w:val="left" w:pos="4200"/>
        <w:tab w:val="clear" w:pos="1260"/>
      </w:tabs>
      <w:spacing w:before="0" w:beforeLines="0" w:after="0" w:afterLines="0" w:line="377" w:lineRule="auto"/>
      <w:ind w:left="900" w:hanging="900"/>
      <w:outlineLvl w:val="4"/>
    </w:pPr>
  </w:style>
  <w:style w:type="paragraph" w:styleId="8">
    <w:name w:val="heading 6"/>
    <w:basedOn w:val="1"/>
    <w:next w:val="1"/>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9">
    <w:name w:val="heading 7"/>
    <w:basedOn w:val="1"/>
    <w:next w:val="5"/>
    <w:qFormat/>
    <w:uiPriority w:val="0"/>
    <w:pPr>
      <w:keepNext/>
      <w:keepLines/>
      <w:numPr>
        <w:ilvl w:val="6"/>
        <w:numId w:val="3"/>
      </w:numPr>
      <w:spacing w:before="240" w:after="64" w:line="320" w:lineRule="auto"/>
      <w:outlineLvl w:val="6"/>
    </w:pPr>
    <w:rPr>
      <w:b/>
      <w:sz w:val="24"/>
      <w:szCs w:val="20"/>
    </w:rPr>
  </w:style>
  <w:style w:type="paragraph" w:styleId="10">
    <w:name w:val="heading 8"/>
    <w:basedOn w:val="1"/>
    <w:next w:val="5"/>
    <w:qFormat/>
    <w:uiPriority w:val="0"/>
    <w:pPr>
      <w:keepNext/>
      <w:keepLines/>
      <w:numPr>
        <w:ilvl w:val="7"/>
        <w:numId w:val="3"/>
      </w:numPr>
      <w:spacing w:before="240" w:after="64" w:line="320" w:lineRule="auto"/>
      <w:outlineLvl w:val="7"/>
    </w:pPr>
    <w:rPr>
      <w:rFonts w:ascii="Arial" w:hAnsi="Arial" w:eastAsia="黑体"/>
      <w:sz w:val="24"/>
      <w:szCs w:val="20"/>
    </w:rPr>
  </w:style>
  <w:style w:type="paragraph" w:styleId="11">
    <w:name w:val="heading 9"/>
    <w:basedOn w:val="1"/>
    <w:next w:val="5"/>
    <w:qFormat/>
    <w:uiPriority w:val="0"/>
    <w:pPr>
      <w:keepNext/>
      <w:keepLines/>
      <w:numPr>
        <w:ilvl w:val="8"/>
        <w:numId w:val="3"/>
      </w:numPr>
      <w:spacing w:before="240" w:after="64" w:line="320" w:lineRule="auto"/>
      <w:outlineLvl w:val="8"/>
    </w:pPr>
    <w:rPr>
      <w:rFonts w:ascii="Arial" w:hAnsi="Arial" w:eastAsia="黑体"/>
      <w:szCs w:val="20"/>
    </w:rPr>
  </w:style>
  <w:style w:type="character" w:default="1" w:styleId="42">
    <w:name w:val="Default Paragraph Font"/>
    <w:semiHidden/>
    <w:unhideWhenUsed/>
    <w:uiPriority w:val="1"/>
  </w:style>
  <w:style w:type="table" w:default="1" w:styleId="40">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12">
    <w:name w:val="toc 7"/>
    <w:basedOn w:val="1"/>
    <w:next w:val="1"/>
    <w:qFormat/>
    <w:uiPriority w:val="39"/>
    <w:pPr>
      <w:ind w:left="2520" w:leftChars="1200"/>
    </w:pPr>
  </w:style>
  <w:style w:type="paragraph" w:styleId="13">
    <w:name w:val="Document Map"/>
    <w:basedOn w:val="1"/>
    <w:qFormat/>
    <w:uiPriority w:val="0"/>
    <w:pPr>
      <w:shd w:val="clear" w:color="auto" w:fill="000080"/>
    </w:pPr>
    <w:rPr>
      <w:szCs w:val="20"/>
    </w:rPr>
  </w:style>
  <w:style w:type="paragraph" w:styleId="14">
    <w:name w:val="annotation text"/>
    <w:basedOn w:val="1"/>
    <w:link w:val="49"/>
    <w:qFormat/>
    <w:uiPriority w:val="0"/>
    <w:pPr>
      <w:jc w:val="left"/>
    </w:pPr>
  </w:style>
  <w:style w:type="paragraph" w:styleId="15">
    <w:name w:val="Body Text"/>
    <w:basedOn w:val="1"/>
    <w:qFormat/>
    <w:uiPriority w:val="0"/>
    <w:pPr>
      <w:spacing w:after="120"/>
    </w:pPr>
  </w:style>
  <w:style w:type="paragraph" w:styleId="16">
    <w:name w:val="Body Text Indent"/>
    <w:basedOn w:val="1"/>
    <w:qFormat/>
    <w:uiPriority w:val="0"/>
    <w:pPr>
      <w:ind w:firstLine="570"/>
    </w:pPr>
    <w:rPr>
      <w:sz w:val="28"/>
      <w:szCs w:val="20"/>
    </w:rPr>
  </w:style>
  <w:style w:type="paragraph" w:styleId="17">
    <w:name w:val="Block Text"/>
    <w:basedOn w:val="1"/>
    <w:qFormat/>
    <w:uiPriority w:val="0"/>
    <w:pPr>
      <w:autoSpaceDE w:val="0"/>
      <w:autoSpaceDN w:val="0"/>
      <w:adjustRightInd w:val="0"/>
      <w:spacing w:line="360" w:lineRule="auto"/>
      <w:ind w:left="420" w:leftChars="200" w:right="11" w:firstLine="479" w:firstLineChars="228"/>
    </w:pPr>
    <w:rPr>
      <w:rFonts w:ascii="宋体" w:hAnsi="Arial"/>
      <w:szCs w:val="21"/>
      <w:lang w:val="zh-CN"/>
    </w:rPr>
  </w:style>
  <w:style w:type="paragraph" w:styleId="18">
    <w:name w:val="toc 5"/>
    <w:basedOn w:val="1"/>
    <w:next w:val="1"/>
    <w:qFormat/>
    <w:uiPriority w:val="39"/>
    <w:pPr>
      <w:ind w:left="1680" w:leftChars="800"/>
    </w:pPr>
  </w:style>
  <w:style w:type="paragraph" w:styleId="19">
    <w:name w:val="toc 3"/>
    <w:basedOn w:val="1"/>
    <w:next w:val="1"/>
    <w:qFormat/>
    <w:uiPriority w:val="39"/>
    <w:pPr>
      <w:ind w:left="840" w:leftChars="400"/>
    </w:pPr>
  </w:style>
  <w:style w:type="paragraph" w:styleId="20">
    <w:name w:val="Plain Text"/>
    <w:basedOn w:val="1"/>
    <w:next w:val="1"/>
    <w:link w:val="50"/>
    <w:qFormat/>
    <w:uiPriority w:val="0"/>
    <w:rPr>
      <w:rFonts w:ascii="宋体" w:hAnsi="Courier New"/>
      <w:szCs w:val="20"/>
    </w:rPr>
  </w:style>
  <w:style w:type="paragraph" w:styleId="21">
    <w:name w:val="toc 8"/>
    <w:basedOn w:val="1"/>
    <w:next w:val="1"/>
    <w:qFormat/>
    <w:uiPriority w:val="39"/>
    <w:pPr>
      <w:ind w:left="2940" w:leftChars="1400"/>
    </w:pPr>
  </w:style>
  <w:style w:type="paragraph" w:styleId="22">
    <w:name w:val="Date"/>
    <w:basedOn w:val="1"/>
    <w:next w:val="1"/>
    <w:qFormat/>
    <w:uiPriority w:val="0"/>
    <w:rPr>
      <w:szCs w:val="20"/>
    </w:rPr>
  </w:style>
  <w:style w:type="paragraph" w:styleId="23">
    <w:name w:val="endnote text"/>
    <w:basedOn w:val="1"/>
    <w:link w:val="51"/>
    <w:qFormat/>
    <w:uiPriority w:val="0"/>
    <w:pPr>
      <w:snapToGrid w:val="0"/>
      <w:jc w:val="left"/>
    </w:pPr>
    <w:rPr>
      <w:szCs w:val="20"/>
    </w:rPr>
  </w:style>
  <w:style w:type="paragraph" w:styleId="24">
    <w:name w:val="Balloon Text"/>
    <w:basedOn w:val="1"/>
    <w:qFormat/>
    <w:uiPriority w:val="0"/>
    <w:rPr>
      <w:sz w:val="18"/>
      <w:szCs w:val="18"/>
    </w:rPr>
  </w:style>
  <w:style w:type="paragraph" w:styleId="25">
    <w:name w:val="footer"/>
    <w:basedOn w:val="1"/>
    <w:qFormat/>
    <w:uiPriority w:val="0"/>
    <w:pPr>
      <w:tabs>
        <w:tab w:val="center" w:pos="4153"/>
        <w:tab w:val="right" w:pos="8306"/>
      </w:tabs>
      <w:snapToGrid w:val="0"/>
      <w:jc w:val="left"/>
    </w:pPr>
    <w:rPr>
      <w:sz w:val="18"/>
      <w:szCs w:val="18"/>
    </w:rPr>
  </w:style>
  <w:style w:type="paragraph" w:styleId="26">
    <w:name w:val="envelope return"/>
    <w:basedOn w:val="1"/>
    <w:qFormat/>
    <w:uiPriority w:val="0"/>
    <w:pPr>
      <w:snapToGrid w:val="0"/>
    </w:pPr>
    <w:rPr>
      <w:rFonts w:ascii="Arial" w:hAnsi="Arial"/>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toc 4"/>
    <w:basedOn w:val="1"/>
    <w:next w:val="1"/>
    <w:qFormat/>
    <w:uiPriority w:val="39"/>
    <w:pPr>
      <w:ind w:left="1260" w:leftChars="600"/>
    </w:pPr>
  </w:style>
  <w:style w:type="paragraph" w:styleId="30">
    <w:name w:val="toc 6"/>
    <w:basedOn w:val="1"/>
    <w:next w:val="1"/>
    <w:qFormat/>
    <w:uiPriority w:val="39"/>
    <w:pPr>
      <w:ind w:left="2100" w:leftChars="1000"/>
    </w:pPr>
  </w:style>
  <w:style w:type="paragraph" w:styleId="31">
    <w:name w:val="toc 2"/>
    <w:basedOn w:val="1"/>
    <w:next w:val="1"/>
    <w:qFormat/>
    <w:uiPriority w:val="39"/>
    <w:pPr>
      <w:ind w:left="420" w:leftChars="200"/>
    </w:pPr>
  </w:style>
  <w:style w:type="paragraph" w:styleId="32">
    <w:name w:val="toc 9"/>
    <w:basedOn w:val="1"/>
    <w:next w:val="1"/>
    <w:qFormat/>
    <w:uiPriority w:val="39"/>
    <w:pPr>
      <w:ind w:left="3360" w:leftChars="1600"/>
    </w:pPr>
  </w:style>
  <w:style w:type="paragraph" w:styleId="33">
    <w:name w:val="Body Text 2"/>
    <w:basedOn w:val="1"/>
    <w:qFormat/>
    <w:uiPriority w:val="0"/>
    <w:rPr>
      <w:rFonts w:ascii="宋体" w:hAnsi="宋体"/>
      <w:u w:val="single"/>
    </w:rPr>
  </w:style>
  <w:style w:type="paragraph" w:styleId="3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5">
    <w:name w:val="Normal (Web)"/>
    <w:basedOn w:val="1"/>
    <w:qFormat/>
    <w:uiPriority w:val="0"/>
    <w:pPr>
      <w:widowControl/>
      <w:spacing w:before="100" w:beforeAutospacing="1" w:after="100" w:afterAutospacing="1"/>
      <w:jc w:val="left"/>
    </w:pPr>
    <w:rPr>
      <w:rFonts w:ascii="宋体" w:hAnsi="宋体"/>
      <w:kern w:val="0"/>
      <w:sz w:val="24"/>
    </w:rPr>
  </w:style>
  <w:style w:type="paragraph" w:styleId="36">
    <w:name w:val="Title"/>
    <w:basedOn w:val="1"/>
    <w:link w:val="52"/>
    <w:qFormat/>
    <w:uiPriority w:val="0"/>
    <w:pPr>
      <w:spacing w:before="120" w:after="60"/>
      <w:jc w:val="center"/>
    </w:pPr>
    <w:rPr>
      <w:rFonts w:ascii="Arial" w:hAnsi="Arial"/>
      <w:b/>
      <w:sz w:val="44"/>
      <w:szCs w:val="20"/>
    </w:rPr>
  </w:style>
  <w:style w:type="paragraph" w:styleId="37">
    <w:name w:val="annotation subject"/>
    <w:basedOn w:val="14"/>
    <w:next w:val="14"/>
    <w:link w:val="53"/>
    <w:qFormat/>
    <w:uiPriority w:val="0"/>
    <w:rPr>
      <w:b/>
      <w:bCs/>
    </w:rPr>
  </w:style>
  <w:style w:type="paragraph" w:styleId="38">
    <w:name w:val="Body Text First Indent"/>
    <w:basedOn w:val="15"/>
    <w:link w:val="54"/>
    <w:qFormat/>
    <w:uiPriority w:val="0"/>
    <w:pPr>
      <w:ind w:firstLine="420"/>
    </w:pPr>
    <w:rPr>
      <w:szCs w:val="20"/>
    </w:rPr>
  </w:style>
  <w:style w:type="paragraph" w:styleId="39">
    <w:name w:val="Body Text First Indent 2"/>
    <w:basedOn w:val="16"/>
    <w:qFormat/>
    <w:uiPriority w:val="0"/>
    <w:pPr>
      <w:spacing w:after="120"/>
      <w:ind w:left="420" w:leftChars="200" w:firstLine="420" w:firstLineChars="200"/>
    </w:pPr>
    <w:rPr>
      <w:sz w:val="21"/>
      <w:szCs w:val="24"/>
    </w:rPr>
  </w:style>
  <w:style w:type="table" w:styleId="41">
    <w:name w:val="Table Grid"/>
    <w:basedOn w:val="40"/>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0"/>
    <w:rPr>
      <w:color w:val="000000"/>
      <w:u w:val="none"/>
    </w:rPr>
  </w:style>
  <w:style w:type="character" w:styleId="46">
    <w:name w:val="Hyperlink"/>
    <w:qFormat/>
    <w:uiPriority w:val="99"/>
    <w:rPr>
      <w:color w:val="000000"/>
      <w:u w:val="none"/>
    </w:rPr>
  </w:style>
  <w:style w:type="character" w:styleId="47">
    <w:name w:val="annotation reference"/>
    <w:qFormat/>
    <w:uiPriority w:val="0"/>
    <w:rPr>
      <w:sz w:val="21"/>
      <w:szCs w:val="21"/>
    </w:rPr>
  </w:style>
  <w:style w:type="character" w:customStyle="1" w:styleId="48">
    <w:name w:val="标题 1 字符"/>
    <w:link w:val="2"/>
    <w:qFormat/>
    <w:uiPriority w:val="0"/>
    <w:rPr>
      <w:rFonts w:ascii="Arial" w:hAnsi="Arial" w:eastAsia="宋体"/>
      <w:b/>
      <w:bCs/>
      <w:kern w:val="44"/>
      <w:sz w:val="36"/>
      <w:szCs w:val="36"/>
      <w:lang w:val="en-US" w:eastAsia="zh-CN" w:bidi="ar-SA"/>
    </w:rPr>
  </w:style>
  <w:style w:type="character" w:customStyle="1" w:styleId="49">
    <w:name w:val="批注文字 字符"/>
    <w:link w:val="14"/>
    <w:qFormat/>
    <w:uiPriority w:val="0"/>
    <w:rPr>
      <w:kern w:val="2"/>
      <w:sz w:val="21"/>
      <w:szCs w:val="24"/>
    </w:rPr>
  </w:style>
  <w:style w:type="character" w:customStyle="1" w:styleId="50">
    <w:name w:val="纯文本 字符"/>
    <w:link w:val="20"/>
    <w:qFormat/>
    <w:uiPriority w:val="0"/>
    <w:rPr>
      <w:rFonts w:ascii="宋体" w:hAnsi="Courier New" w:eastAsia="宋体"/>
      <w:kern w:val="2"/>
      <w:sz w:val="21"/>
      <w:lang w:val="en-US" w:eastAsia="zh-CN" w:bidi="ar-SA"/>
    </w:rPr>
  </w:style>
  <w:style w:type="character" w:customStyle="1" w:styleId="51">
    <w:name w:val="尾注文本 字符"/>
    <w:link w:val="23"/>
    <w:qFormat/>
    <w:uiPriority w:val="0"/>
    <w:rPr>
      <w:rFonts w:eastAsia="宋体"/>
      <w:kern w:val="2"/>
      <w:sz w:val="21"/>
      <w:lang w:val="en-US" w:eastAsia="zh-CN" w:bidi="ar-SA"/>
    </w:rPr>
  </w:style>
  <w:style w:type="character" w:customStyle="1" w:styleId="52">
    <w:name w:val="标题 字符"/>
    <w:link w:val="36"/>
    <w:qFormat/>
    <w:uiPriority w:val="0"/>
    <w:rPr>
      <w:rFonts w:ascii="Arial" w:hAnsi="Arial" w:eastAsia="宋体"/>
      <w:b/>
      <w:kern w:val="2"/>
      <w:sz w:val="44"/>
      <w:lang w:val="en-US" w:eastAsia="zh-CN" w:bidi="ar-SA"/>
    </w:rPr>
  </w:style>
  <w:style w:type="character" w:customStyle="1" w:styleId="53">
    <w:name w:val="批注主题 字符"/>
    <w:basedOn w:val="49"/>
    <w:link w:val="37"/>
    <w:qFormat/>
    <w:uiPriority w:val="0"/>
    <w:rPr>
      <w:kern w:val="2"/>
      <w:sz w:val="21"/>
      <w:szCs w:val="24"/>
    </w:rPr>
  </w:style>
  <w:style w:type="character" w:customStyle="1" w:styleId="54">
    <w:name w:val="正文文本首行缩进 字符"/>
    <w:link w:val="38"/>
    <w:qFormat/>
    <w:uiPriority w:val="0"/>
    <w:rPr>
      <w:rFonts w:eastAsia="宋体"/>
      <w:kern w:val="2"/>
      <w:sz w:val="21"/>
      <w:lang w:val="en-US" w:eastAsia="zh-CN" w:bidi="ar-SA"/>
    </w:rPr>
  </w:style>
  <w:style w:type="character" w:customStyle="1" w:styleId="55">
    <w:name w:val="_Style 54"/>
    <w:unhideWhenUsed/>
    <w:qFormat/>
    <w:uiPriority w:val="99"/>
    <w:rPr>
      <w:color w:val="605E5C"/>
      <w:shd w:val="clear" w:color="auto" w:fill="E1DFDD"/>
    </w:rPr>
  </w:style>
  <w:style w:type="character" w:customStyle="1" w:styleId="56">
    <w:name w:val="文一 Char Char"/>
    <w:link w:val="57"/>
    <w:qFormat/>
    <w:uiPriority w:val="0"/>
    <w:rPr>
      <w:rFonts w:eastAsia="宋体"/>
      <w:snapToGrid w:val="0"/>
      <w:spacing w:val="4"/>
      <w:sz w:val="24"/>
      <w:szCs w:val="24"/>
      <w:lang w:val="en-US" w:eastAsia="zh-CN" w:bidi="ar-SA"/>
    </w:rPr>
  </w:style>
  <w:style w:type="paragraph" w:customStyle="1" w:styleId="57">
    <w:name w:val="文一"/>
    <w:basedOn w:val="1"/>
    <w:link w:val="56"/>
    <w:qFormat/>
    <w:uiPriority w:val="0"/>
    <w:pPr>
      <w:topLinePunct/>
      <w:adjustRightInd w:val="0"/>
      <w:snapToGrid w:val="0"/>
      <w:spacing w:line="360" w:lineRule="auto"/>
      <w:ind w:firstLine="200" w:firstLineChars="200"/>
    </w:pPr>
    <w:rPr>
      <w:snapToGrid w:val="0"/>
      <w:spacing w:val="4"/>
      <w:kern w:val="0"/>
      <w:sz w:val="24"/>
    </w:rPr>
  </w:style>
  <w:style w:type="character" w:customStyle="1" w:styleId="58">
    <w:name w:val="hover37"/>
    <w:basedOn w:val="42"/>
    <w:qFormat/>
    <w:uiPriority w:val="0"/>
  </w:style>
  <w:style w:type="character" w:customStyle="1" w:styleId="59">
    <w:name w:val="hover36"/>
    <w:basedOn w:val="42"/>
    <w:qFormat/>
    <w:uiPriority w:val="0"/>
  </w:style>
  <w:style w:type="paragraph" w:customStyle="1" w:styleId="60">
    <w:name w:val="_Style 14"/>
    <w:basedOn w:val="13"/>
    <w:qFormat/>
    <w:uiPriority w:val="0"/>
  </w:style>
  <w:style w:type="paragraph" w:customStyle="1" w:styleId="61">
    <w:name w:val="文二"/>
    <w:basedOn w:val="1"/>
    <w:qFormat/>
    <w:uiPriority w:val="0"/>
    <w:pPr>
      <w:jc w:val="left"/>
    </w:pPr>
    <w:rPr>
      <w:rFonts w:ascii="宋体" w:hAnsi="宋体"/>
      <w:szCs w:val="21"/>
    </w:rPr>
  </w:style>
  <w:style w:type="paragraph" w:customStyle="1" w:styleId="62">
    <w:name w:val="样式 宋体 行距: 1.5 倍行距"/>
    <w:basedOn w:val="1"/>
    <w:qFormat/>
    <w:uiPriority w:val="0"/>
    <w:pPr>
      <w:jc w:val="center"/>
    </w:pPr>
    <w:rPr>
      <w:b/>
    </w:rPr>
  </w:style>
  <w:style w:type="paragraph" w:customStyle="1" w:styleId="63">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64">
    <w:name w:val="_Style 63"/>
    <w:unhideWhenUsed/>
    <w:qFormat/>
    <w:uiPriority w:val="99"/>
    <w:rPr>
      <w:rFonts w:ascii="Times New Roman" w:hAnsi="Times New Roman" w:eastAsia="宋体" w:cs="Times New Roman"/>
      <w:kern w:val="2"/>
      <w:sz w:val="21"/>
      <w:szCs w:val="24"/>
      <w:lang w:val="en-US" w:eastAsia="zh-CN" w:bidi="ar-SA"/>
    </w:rPr>
  </w:style>
  <w:style w:type="character" w:customStyle="1" w:styleId="65">
    <w:name w:val="font21"/>
    <w:qFormat/>
    <w:uiPriority w:val="0"/>
    <w:rPr>
      <w:rFonts w:ascii="宋体" w:hAnsi="宋体" w:eastAsia="宋体" w:cs="宋体"/>
      <w:b/>
      <w:bCs/>
      <w:color w:val="000000"/>
      <w:sz w:val="12"/>
      <w:szCs w:val="12"/>
      <w:u w:val="none"/>
    </w:rPr>
  </w:style>
  <w:style w:type="character" w:customStyle="1" w:styleId="66">
    <w:name w:val="font31"/>
    <w:qFormat/>
    <w:uiPriority w:val="0"/>
    <w:rPr>
      <w:rFonts w:ascii="宋体" w:hAnsi="宋体" w:eastAsia="宋体" w:cs="宋体"/>
      <w:color w:val="000000"/>
      <w:sz w:val="12"/>
      <w:szCs w:val="12"/>
      <w:u w:val="none"/>
    </w:rPr>
  </w:style>
  <w:style w:type="character" w:customStyle="1" w:styleId="67">
    <w:name w:val="font11"/>
    <w:qFormat/>
    <w:uiPriority w:val="0"/>
    <w:rPr>
      <w:rFonts w:ascii="宋体" w:hAnsi="宋体" w:eastAsia="宋体" w:cs="宋体"/>
      <w:b/>
      <w:bCs/>
      <w:color w:val="000000"/>
      <w:sz w:val="12"/>
      <w:szCs w:val="12"/>
      <w:u w:val="none"/>
    </w:rPr>
  </w:style>
  <w:style w:type="character" w:customStyle="1" w:styleId="68">
    <w:name w:val="font01"/>
    <w:qFormat/>
    <w:uiPriority w:val="0"/>
    <w:rPr>
      <w:rFonts w:ascii="宋体" w:hAnsi="宋体" w:eastAsia="宋体" w:cs="宋体"/>
      <w:color w:val="000000"/>
      <w:sz w:val="12"/>
      <w:szCs w:val="12"/>
      <w:u w:val="none"/>
    </w:rPr>
  </w:style>
  <w:style w:type="paragraph" w:customStyle="1" w:styleId="69">
    <w:name w:val="正题"/>
    <w:basedOn w:val="57"/>
    <w:next w:val="57"/>
    <w:qFormat/>
    <w:uiPriority w:val="0"/>
    <w:pPr>
      <w:widowControl/>
      <w:spacing w:after="200"/>
      <w:ind w:firstLine="0" w:firstLineChars="0"/>
      <w:jc w:val="center"/>
    </w:pPr>
    <w:rPr>
      <w:rFonts w:ascii="Calibri" w:hAnsi="Calibri"/>
      <w:b/>
      <w:sz w:val="36"/>
      <w:szCs w:val="36"/>
    </w:rPr>
  </w:style>
  <w:style w:type="paragraph" w:customStyle="1" w:styleId="70">
    <w:name w:val="Char Char Char Char"/>
    <w:basedOn w:val="1"/>
    <w:qFormat/>
    <w:uiPriority w:val="0"/>
    <w:rPr>
      <w:sz w:val="30"/>
    </w:rPr>
  </w:style>
  <w:style w:type="paragraph" w:customStyle="1" w:styleId="71">
    <w:name w:val="列表段落1"/>
    <w:basedOn w:val="1"/>
    <w:qFormat/>
    <w:uiPriority w:val="34"/>
    <w:pPr>
      <w:ind w:firstLine="420" w:firstLineChars="200"/>
    </w:pPr>
    <w:rPr>
      <w:szCs w:val="20"/>
    </w:rPr>
  </w:style>
  <w:style w:type="paragraph" w:customStyle="1" w:styleId="72">
    <w:name w:val="正文1"/>
    <w:qFormat/>
    <w:uiPriority w:val="0"/>
    <w:pPr>
      <w:spacing w:line="360" w:lineRule="auto"/>
      <w:jc w:val="both"/>
    </w:pPr>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124</Pages>
  <Words>12888</Words>
  <Characters>73463</Characters>
  <Lines>612</Lines>
  <Paragraphs>172</Paragraphs>
  <TotalTime>20</TotalTime>
  <ScaleCrop>false</ScaleCrop>
  <LinksUpToDate>false</LinksUpToDate>
  <CharactersWithSpaces>86179</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2025-03-20T06:56:00Z</dcterms:created>
  <dc:creator>何海琼</dc:creator>
  <cp:lastModifiedBy>D</cp:lastModifiedBy>
  <cp:lastPrinted>2023-01-28T19:52:00Z</cp:lastPrinted>
  <dcterms:modified xsi:type="dcterms:W3CDTF">2025-03-21T08:30:11Z</dcterms:modified>
  <dc:title>暨南大学新校区一期工程首批建设项目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9B0E11E088CA29320A3F7F67825CE95B_43</vt:lpwstr>
  </property>
  <property fmtid="{D5CDD505-2E9C-101B-9397-08002B2CF9AE}" pid="4" name="KSOTemplateDocerSaveRecord">
    <vt:lpwstr>eyJoZGlkIjoiNjg3NDdiZmM3MjhkNGRkZDFhNTZkMGNjMTQ2N2E2NTciLCJ1c2VySWQiOiIxMjQ1MzMwOTY4In0=</vt:lpwstr>
  </property>
</Properties>
</file>