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b/>
          <w:color w:val="auto"/>
          <w:sz w:val="44"/>
          <w:szCs w:val="44"/>
          <w:highlight w:val="none"/>
        </w:rPr>
      </w:pPr>
      <w:r>
        <w:rPr>
          <w:rFonts w:hint="eastAsia"/>
          <w:b/>
          <w:color w:val="auto"/>
          <w:sz w:val="44"/>
          <w:szCs w:val="44"/>
          <w:highlight w:val="none"/>
        </w:rPr>
        <w:t xml:space="preserve">                                                                                                                                                                                                                                                                                                                                         </w:t>
      </w:r>
    </w:p>
    <w:p>
      <w:pPr>
        <w:autoSpaceDE w:val="0"/>
        <w:autoSpaceDN w:val="0"/>
        <w:adjustRightInd w:val="0"/>
        <w:spacing w:line="360" w:lineRule="auto"/>
        <w:ind w:left="181" w:leftChars="86"/>
        <w:jc w:val="center"/>
        <w:rPr>
          <w:b/>
          <w:color w:val="auto"/>
          <w:sz w:val="44"/>
          <w:szCs w:val="44"/>
          <w:highlight w:val="none"/>
        </w:rPr>
      </w:pPr>
    </w:p>
    <w:p>
      <w:pPr>
        <w:autoSpaceDE w:val="0"/>
        <w:autoSpaceDN w:val="0"/>
        <w:adjustRightInd w:val="0"/>
        <w:spacing w:line="360" w:lineRule="auto"/>
        <w:jc w:val="center"/>
        <w:rPr>
          <w:rFonts w:hint="eastAsia" w:eastAsia="宋体"/>
          <w:b/>
          <w:color w:val="auto"/>
          <w:sz w:val="44"/>
          <w:szCs w:val="44"/>
          <w:highlight w:val="none"/>
          <w:lang w:eastAsia="zh-CN"/>
        </w:rPr>
      </w:pPr>
      <w:r>
        <w:rPr>
          <w:rFonts w:hint="eastAsia"/>
          <w:b/>
          <w:color w:val="auto"/>
          <w:sz w:val="44"/>
          <w:szCs w:val="44"/>
          <w:highlight w:val="none"/>
          <w:lang w:eastAsia="zh-CN"/>
        </w:rPr>
        <w:t>增城区南部水厂及配套管网建设工程监理</w:t>
      </w:r>
    </w:p>
    <w:p>
      <w:pPr>
        <w:pStyle w:val="16"/>
        <w:ind w:firstLine="883" w:firstLineChars="200"/>
        <w:jc w:val="both"/>
        <w:rPr>
          <w:b/>
          <w:color w:val="auto"/>
          <w:sz w:val="44"/>
          <w:szCs w:val="44"/>
          <w:highlight w:val="none"/>
        </w:rPr>
      </w:pPr>
    </w:p>
    <w:p>
      <w:pPr>
        <w:ind w:firstLine="640" w:firstLineChars="200"/>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（招标编号：</w:t>
      </w:r>
      <w:r>
        <w:rPr>
          <w:rFonts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u w:val="single"/>
        </w:rPr>
        <w:t xml:space="preserve">          </w:t>
      </w:r>
      <w:r>
        <w:rPr>
          <w:rFonts w:ascii="Times New Roman" w:hAnsi="Times New Roman" w:eastAsia="黑体"/>
          <w:color w:val="auto"/>
          <w:sz w:val="32"/>
          <w:szCs w:val="32"/>
          <w:highlight w:val="none"/>
        </w:rPr>
        <w:t>）</w:t>
      </w: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ind w:firstLine="560" w:firstLineChars="200"/>
        <w:rPr>
          <w:rFonts w:ascii="Times New Roman" w:hAnsi="Times New Roman"/>
          <w:color w:val="auto"/>
          <w:sz w:val="28"/>
          <w:szCs w:val="28"/>
          <w:highlight w:val="none"/>
        </w:rPr>
      </w:pPr>
    </w:p>
    <w:p>
      <w:pPr>
        <w:ind w:firstLine="560" w:firstLineChars="200"/>
        <w:rPr>
          <w:rFonts w:ascii="Times New Roman" w:hAnsi="Times New Roman"/>
          <w:color w:val="auto"/>
          <w:sz w:val="28"/>
          <w:szCs w:val="28"/>
          <w:highlight w:val="none"/>
        </w:rPr>
      </w:pPr>
    </w:p>
    <w:p>
      <w:pPr>
        <w:ind w:firstLine="560" w:firstLineChars="200"/>
        <w:rPr>
          <w:rFonts w:ascii="Times New Roman" w:hAnsi="Times New Roman"/>
          <w:color w:val="auto"/>
          <w:sz w:val="28"/>
          <w:szCs w:val="28"/>
          <w:highlight w:val="none"/>
        </w:rPr>
      </w:pPr>
    </w:p>
    <w:p>
      <w:pPr>
        <w:ind w:firstLine="560" w:firstLineChars="200"/>
        <w:rPr>
          <w:rFonts w:ascii="Times New Roman" w:hAnsi="Times New Roman"/>
          <w:color w:val="auto"/>
          <w:sz w:val="28"/>
          <w:szCs w:val="28"/>
          <w:highlight w:val="none"/>
        </w:rPr>
      </w:pPr>
    </w:p>
    <w:p>
      <w:pPr>
        <w:ind w:firstLine="560" w:firstLineChars="200"/>
        <w:rPr>
          <w:rFonts w:ascii="Times New Roman" w:hAnsi="Times New Roman"/>
          <w:color w:val="auto"/>
          <w:sz w:val="28"/>
          <w:highlight w:val="none"/>
        </w:rPr>
      </w:pPr>
    </w:p>
    <w:p>
      <w:pPr>
        <w:ind w:firstLine="1680" w:firstLineChars="200"/>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招</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件</w:t>
      </w:r>
      <w:r>
        <w:rPr>
          <w:rFonts w:hint="eastAsia" w:ascii="Times New Roman" w:hAnsi="Times New Roman" w:eastAsia="黑体"/>
          <w:color w:val="auto"/>
          <w:sz w:val="84"/>
          <w:szCs w:val="84"/>
          <w:highlight w:val="none"/>
        </w:rPr>
        <w:t xml:space="preserve">                                                 </w:t>
      </w: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rPr>
          <w:color w:val="auto"/>
          <w:highlight w:val="none"/>
        </w:rPr>
      </w:pPr>
    </w:p>
    <w:p>
      <w:pPr>
        <w:spacing w:line="400" w:lineRule="exact"/>
        <w:ind w:firstLine="420" w:firstLineChars="200"/>
        <w:rPr>
          <w:rFonts w:ascii="Times New Roman" w:hAnsi="Times New Roman"/>
          <w:color w:val="auto"/>
          <w:highlight w:val="none"/>
        </w:rPr>
      </w:pPr>
    </w:p>
    <w:p>
      <w:pPr>
        <w:spacing w:line="400" w:lineRule="exact"/>
        <w:ind w:firstLine="420" w:firstLineChars="200"/>
        <w:rPr>
          <w:rFonts w:ascii="Times New Roman" w:hAnsi="Times New Roman"/>
          <w:color w:val="auto"/>
          <w:highlight w:val="none"/>
        </w:rPr>
      </w:pPr>
    </w:p>
    <w:p>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 xml:space="preserve">招 标  单 位：广州增城区东进供水有限公司 </w:t>
      </w:r>
    </w:p>
    <w:p>
      <w:pPr>
        <w:spacing w:line="360" w:lineRule="auto"/>
        <w:ind w:firstLine="643"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eastAsia="zh-CN"/>
        </w:rPr>
        <w:t>中通建设工程管理有限公司</w:t>
      </w:r>
    </w:p>
    <w:p>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日        期：二〇二二年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p>
    <w:p>
      <w:pPr>
        <w:pStyle w:val="14"/>
        <w:ind w:firstLine="420" w:firstLineChars="200"/>
        <w:rPr>
          <w:color w:val="auto"/>
          <w:highlight w:val="none"/>
        </w:rPr>
      </w:pPr>
    </w:p>
    <w:p>
      <w:pPr>
        <w:ind w:firstLine="420" w:firstLineChars="200"/>
        <w:rPr>
          <w:color w:val="auto"/>
          <w:highlight w:val="none"/>
        </w:rPr>
      </w:pPr>
    </w:p>
    <w:p>
      <w:pPr>
        <w:rPr>
          <w:rFonts w:asciiTheme="majorEastAsia" w:hAnsiTheme="majorEastAsia" w:eastAsiaTheme="majorEastAsia"/>
          <w:color w:val="auto"/>
          <w:highlight w:val="none"/>
          <w:lang w:val="zh-CN"/>
        </w:rPr>
      </w:pPr>
      <w:bookmarkStart w:id="0" w:name="_Toc152045511"/>
      <w:bookmarkStart w:id="1" w:name="_Toc152042287"/>
      <w:bookmarkStart w:id="2" w:name="_Toc144974479"/>
      <w:r>
        <w:rPr>
          <w:rFonts w:asciiTheme="majorEastAsia" w:hAnsiTheme="majorEastAsia" w:eastAsiaTheme="majorEastAsia"/>
          <w:color w:val="auto"/>
          <w:highlight w:val="none"/>
          <w:lang w:val="zh-CN"/>
        </w:rPr>
        <w:br w:type="page"/>
      </w:r>
    </w:p>
    <w:p>
      <w:pPr>
        <w:pStyle w:val="27"/>
        <w:keepNext w:val="0"/>
        <w:keepLines w:val="0"/>
        <w:widowControl w:val="0"/>
        <w:spacing w:before="0"/>
        <w:jc w:val="center"/>
        <w:rPr>
          <w:rFonts w:asciiTheme="majorEastAsia" w:hAnsiTheme="majorEastAsia" w:eastAsiaTheme="majorEastAsia"/>
          <w:b w:val="0"/>
          <w:color w:val="auto"/>
          <w:highlight w:val="none"/>
        </w:rPr>
      </w:pPr>
      <w:r>
        <w:rPr>
          <w:rFonts w:asciiTheme="majorEastAsia" w:hAnsiTheme="majorEastAsia" w:eastAsiaTheme="majorEastAsia"/>
          <w:b w:val="0"/>
          <w:color w:val="auto"/>
          <w:highlight w:val="none"/>
          <w:lang w:val="zh-CN"/>
        </w:rPr>
        <w:t>目</w:t>
      </w:r>
      <w:r>
        <w:rPr>
          <w:rFonts w:hint="eastAsia" w:asciiTheme="majorEastAsia" w:hAnsiTheme="majorEastAsia" w:eastAsiaTheme="majorEastAsia"/>
          <w:b w:val="0"/>
          <w:color w:val="auto"/>
          <w:highlight w:val="none"/>
          <w:lang w:val="zh-CN"/>
        </w:rPr>
        <w:t xml:space="preserve"> </w:t>
      </w:r>
      <w:r>
        <w:rPr>
          <w:rFonts w:asciiTheme="majorEastAsia" w:hAnsiTheme="majorEastAsia" w:eastAsiaTheme="majorEastAsia"/>
          <w:b w:val="0"/>
          <w:color w:val="auto"/>
          <w:highlight w:val="none"/>
          <w:lang w:val="zh-CN"/>
        </w:rPr>
        <w:t>录</w:t>
      </w:r>
    </w:p>
    <w:p>
      <w:pPr>
        <w:pStyle w:val="18"/>
        <w:tabs>
          <w:tab w:val="right" w:leader="dot" w:pos="8630"/>
        </w:tabs>
        <w:ind w:firstLine="420" w:firstLineChars="200"/>
        <w:rPr>
          <w:rFonts w:ascii="Times New Roman" w:hAnsi="Times New Roman"/>
          <w:color w:val="auto"/>
          <w:highlight w:val="none"/>
        </w:rPr>
      </w:pP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TOC \o "1-3"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"_Toc89870540" </w:instrText>
      </w:r>
      <w:r>
        <w:rPr>
          <w:color w:val="auto"/>
          <w:highlight w:val="none"/>
        </w:rPr>
        <w:fldChar w:fldCharType="separate"/>
      </w:r>
      <w:r>
        <w:rPr>
          <w:rStyle w:val="25"/>
          <w:rFonts w:hint="eastAsia"/>
          <w:color w:val="auto"/>
          <w:sz w:val="24"/>
          <w:szCs w:val="24"/>
          <w:highlight w:val="none"/>
        </w:rPr>
        <w:t>第一章招标公告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_Toc89870540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8"/>
        <w:tabs>
          <w:tab w:val="right" w:leader="dot" w:pos="8630"/>
        </w:tabs>
        <w:spacing w:line="360" w:lineRule="auto"/>
        <w:ind w:firstLine="420" w:firstLineChars="200"/>
        <w:rPr>
          <w:rFonts w:hint="eastAsia" w:eastAsia="宋体" w:asciiTheme="minorHAnsi" w:hAnsiTheme="minorHAnsi" w:cstheme="minorBidi"/>
          <w:color w:val="auto"/>
          <w:sz w:val="24"/>
          <w:szCs w:val="24"/>
          <w:highlight w:val="none"/>
          <w:lang w:eastAsia="zh-CN"/>
        </w:rPr>
      </w:pPr>
      <w:r>
        <w:rPr>
          <w:color w:val="auto"/>
          <w:highlight w:val="none"/>
        </w:rPr>
        <w:fldChar w:fldCharType="begin"/>
      </w:r>
      <w:r>
        <w:rPr>
          <w:color w:val="auto"/>
          <w:highlight w:val="none"/>
        </w:rPr>
        <w:instrText xml:space="preserve"> HYPERLINK \l "_Toc89870548" </w:instrText>
      </w:r>
      <w:r>
        <w:rPr>
          <w:color w:val="auto"/>
          <w:highlight w:val="none"/>
        </w:rPr>
        <w:fldChar w:fldCharType="separate"/>
      </w:r>
      <w:r>
        <w:rPr>
          <w:rStyle w:val="25"/>
          <w:rFonts w:hint="eastAsia"/>
          <w:color w:val="auto"/>
          <w:sz w:val="24"/>
          <w:szCs w:val="24"/>
          <w:highlight w:val="none"/>
        </w:rPr>
        <w:t>第二章投标人须知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_Toc89870548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1</w:t>
      </w:r>
    </w:p>
    <w:p>
      <w:pPr>
        <w:pStyle w:val="18"/>
        <w:tabs>
          <w:tab w:val="right" w:leader="dot" w:pos="8630"/>
        </w:tabs>
        <w:spacing w:line="360" w:lineRule="auto"/>
        <w:ind w:firstLine="420" w:firstLineChars="200"/>
        <w:rPr>
          <w:rFonts w:hint="eastAsia" w:eastAsia="宋体" w:asciiTheme="minorHAnsi" w:hAnsiTheme="minorHAnsi" w:cstheme="minorBidi"/>
          <w:color w:val="auto"/>
          <w:sz w:val="24"/>
          <w:szCs w:val="24"/>
          <w:highlight w:val="none"/>
          <w:lang w:eastAsia="zh-CN"/>
        </w:rPr>
      </w:pPr>
      <w:r>
        <w:rPr>
          <w:color w:val="auto"/>
          <w:highlight w:val="none"/>
        </w:rPr>
        <w:fldChar w:fldCharType="begin"/>
      </w:r>
      <w:r>
        <w:rPr>
          <w:color w:val="auto"/>
          <w:highlight w:val="none"/>
        </w:rPr>
        <w:instrText xml:space="preserve"> HYPERLINK \l "_Toc89870608" </w:instrText>
      </w:r>
      <w:r>
        <w:rPr>
          <w:color w:val="auto"/>
          <w:highlight w:val="none"/>
        </w:rPr>
        <w:fldChar w:fldCharType="separate"/>
      </w:r>
      <w:r>
        <w:rPr>
          <w:rStyle w:val="25"/>
          <w:rFonts w:hint="eastAsia"/>
          <w:color w:val="auto"/>
          <w:sz w:val="24"/>
          <w:szCs w:val="24"/>
          <w:highlight w:val="none"/>
        </w:rPr>
        <w:t>第三章评标办法（综合评估法）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_Toc89870608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8</w:t>
      </w:r>
    </w:p>
    <w:p>
      <w:pPr>
        <w:pStyle w:val="18"/>
        <w:tabs>
          <w:tab w:val="right" w:leader="dot" w:pos="8630"/>
        </w:tabs>
        <w:spacing w:line="360" w:lineRule="auto"/>
        <w:ind w:firstLine="420" w:firstLineChars="200"/>
        <w:rPr>
          <w:rFonts w:hint="eastAsia" w:eastAsia="宋体" w:asciiTheme="minorHAnsi" w:hAnsiTheme="minorHAnsi" w:cstheme="minorBidi"/>
          <w:color w:val="auto"/>
          <w:sz w:val="24"/>
          <w:szCs w:val="24"/>
          <w:highlight w:val="none"/>
          <w:lang w:eastAsia="zh-CN"/>
        </w:rPr>
      </w:pPr>
      <w:r>
        <w:rPr>
          <w:color w:val="auto"/>
          <w:highlight w:val="none"/>
        </w:rPr>
        <w:fldChar w:fldCharType="begin"/>
      </w:r>
      <w:r>
        <w:rPr>
          <w:color w:val="auto"/>
          <w:highlight w:val="none"/>
        </w:rPr>
        <w:instrText xml:space="preserve"> HYPERLINK \l "_Toc89870620" </w:instrText>
      </w:r>
      <w:r>
        <w:rPr>
          <w:color w:val="auto"/>
          <w:highlight w:val="none"/>
        </w:rPr>
        <w:fldChar w:fldCharType="separate"/>
      </w:r>
      <w:r>
        <w:rPr>
          <w:rStyle w:val="25"/>
          <w:rFonts w:hint="eastAsia"/>
          <w:color w:val="auto"/>
          <w:sz w:val="24"/>
          <w:szCs w:val="24"/>
          <w:highlight w:val="none"/>
        </w:rPr>
        <w:t>第四章合同条款及格式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_Toc89870620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5</w:t>
      </w:r>
    </w:p>
    <w:p>
      <w:pPr>
        <w:pStyle w:val="18"/>
        <w:tabs>
          <w:tab w:val="right" w:leader="dot" w:pos="8630"/>
        </w:tabs>
        <w:spacing w:line="360" w:lineRule="auto"/>
        <w:ind w:firstLine="420" w:firstLineChars="200"/>
        <w:rPr>
          <w:rFonts w:hint="default" w:eastAsia="宋体" w:asciiTheme="minorHAnsi" w:hAnsiTheme="minorHAnsi" w:cstheme="minorBidi"/>
          <w:color w:val="auto"/>
          <w:sz w:val="24"/>
          <w:szCs w:val="24"/>
          <w:highlight w:val="none"/>
          <w:lang w:val="en-US" w:eastAsia="zh-CN"/>
        </w:rPr>
      </w:pPr>
      <w:r>
        <w:rPr>
          <w:color w:val="auto"/>
          <w:highlight w:val="none"/>
        </w:rPr>
        <w:fldChar w:fldCharType="begin"/>
      </w:r>
      <w:r>
        <w:rPr>
          <w:color w:val="auto"/>
          <w:highlight w:val="none"/>
        </w:rPr>
        <w:instrText xml:space="preserve"> HYPERLINK \l "_Toc89870622" </w:instrText>
      </w:r>
      <w:r>
        <w:rPr>
          <w:color w:val="auto"/>
          <w:highlight w:val="none"/>
        </w:rPr>
        <w:fldChar w:fldCharType="separate"/>
      </w:r>
      <w:r>
        <w:rPr>
          <w:rStyle w:val="25"/>
          <w:rFonts w:hint="eastAsia"/>
          <w:color w:val="auto"/>
          <w:sz w:val="24"/>
          <w:szCs w:val="24"/>
          <w:highlight w:val="none"/>
        </w:rPr>
        <w:t>第五章委托人要求</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83</w:t>
      </w:r>
    </w:p>
    <w:p>
      <w:pPr>
        <w:pStyle w:val="18"/>
        <w:tabs>
          <w:tab w:val="right" w:leader="dot" w:pos="8630"/>
        </w:tabs>
        <w:spacing w:line="360" w:lineRule="auto"/>
        <w:ind w:firstLine="420" w:firstLineChars="200"/>
        <w:rPr>
          <w:rFonts w:hint="default" w:eastAsia="宋体" w:asciiTheme="minorHAnsi" w:hAnsiTheme="minorHAnsi" w:cstheme="minorBidi"/>
          <w:color w:val="auto"/>
          <w:sz w:val="24"/>
          <w:szCs w:val="24"/>
          <w:highlight w:val="none"/>
          <w:lang w:val="en-US" w:eastAsia="zh-CN"/>
        </w:rPr>
      </w:pPr>
      <w:r>
        <w:rPr>
          <w:color w:val="auto"/>
          <w:highlight w:val="none"/>
        </w:rPr>
        <w:fldChar w:fldCharType="begin"/>
      </w:r>
      <w:r>
        <w:rPr>
          <w:color w:val="auto"/>
          <w:highlight w:val="none"/>
        </w:rPr>
        <w:instrText xml:space="preserve"> HYPERLINK \l "_Toc89870634" </w:instrText>
      </w:r>
      <w:r>
        <w:rPr>
          <w:color w:val="auto"/>
          <w:highlight w:val="none"/>
        </w:rPr>
        <w:fldChar w:fldCharType="separate"/>
      </w:r>
      <w:r>
        <w:rPr>
          <w:rStyle w:val="25"/>
          <w:rFonts w:hint="eastAsia"/>
          <w:color w:val="auto"/>
          <w:sz w:val="24"/>
          <w:szCs w:val="24"/>
          <w:highlight w:val="none"/>
        </w:rPr>
        <w:t>第六章</w:t>
      </w:r>
      <w:r>
        <w:rPr>
          <w:rStyle w:val="25"/>
          <w:color w:val="auto"/>
          <w:sz w:val="24"/>
          <w:szCs w:val="24"/>
          <w:highlight w:val="none"/>
        </w:rPr>
        <w:t xml:space="preserve"> </w:t>
      </w:r>
      <w:r>
        <w:rPr>
          <w:rStyle w:val="25"/>
          <w:rFonts w:hint="eastAsia"/>
          <w:color w:val="auto"/>
          <w:sz w:val="24"/>
          <w:szCs w:val="24"/>
          <w:highlight w:val="none"/>
        </w:rPr>
        <w:t>投标文件格式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95</w:t>
      </w:r>
    </w:p>
    <w:p>
      <w:pPr>
        <w:spacing w:line="360" w:lineRule="auto"/>
        <w:ind w:firstLine="420" w:firstLineChars="200"/>
        <w:rPr>
          <w:color w:val="auto"/>
          <w:highlight w:val="none"/>
        </w:rPr>
        <w:sectPr>
          <w:footerReference r:id="rId3" w:type="default"/>
          <w:pgSz w:w="12240" w:h="15840"/>
          <w:pgMar w:top="1440" w:right="1800" w:bottom="1440" w:left="1800" w:header="720" w:footer="720" w:gutter="0"/>
          <w:pgNumType w:start="1"/>
          <w:cols w:space="720" w:num="1"/>
          <w:docGrid w:linePitch="285" w:charSpace="0"/>
        </w:sectPr>
      </w:pPr>
      <w:r>
        <w:rPr>
          <w:rFonts w:ascii="Times New Roman" w:hAnsi="Times New Roman"/>
          <w:color w:val="auto"/>
          <w:highlight w:val="none"/>
        </w:rPr>
        <w:fldChar w:fldCharType="end"/>
      </w:r>
      <w:bookmarkStart w:id="809" w:name="_GoBack"/>
      <w:bookmarkEnd w:id="809"/>
    </w:p>
    <w:p>
      <w:pPr>
        <w:rPr>
          <w:color w:val="auto"/>
          <w:highlight w:val="none"/>
        </w:rPr>
      </w:pPr>
      <w:bookmarkStart w:id="3" w:name="_Toc511557024"/>
      <w:bookmarkStart w:id="4" w:name="_Toc89870539"/>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ind w:left="181" w:leftChars="86"/>
        <w:rPr>
          <w:color w:val="auto"/>
          <w:highlight w:val="none"/>
        </w:rPr>
      </w:pPr>
    </w:p>
    <w:p>
      <w:pPr>
        <w:pStyle w:val="4"/>
        <w:keepNext w:val="0"/>
        <w:keepLines w:val="0"/>
        <w:spacing w:before="0" w:after="0" w:line="240" w:lineRule="auto"/>
        <w:jc w:val="center"/>
        <w:rPr>
          <w:color w:val="auto"/>
          <w:highlight w:val="none"/>
        </w:rPr>
      </w:pPr>
      <w:r>
        <w:rPr>
          <w:color w:val="auto"/>
          <w:highlight w:val="none"/>
        </w:rPr>
        <w:t>第</w:t>
      </w:r>
      <w:bookmarkEnd w:id="0"/>
      <w:bookmarkEnd w:id="1"/>
      <w:bookmarkEnd w:id="2"/>
      <w:bookmarkEnd w:id="3"/>
      <w:r>
        <w:rPr>
          <w:color w:val="auto"/>
          <w:highlight w:val="none"/>
        </w:rPr>
        <w:t>一卷</w:t>
      </w:r>
      <w:bookmarkEnd w:id="4"/>
    </w:p>
    <w:p>
      <w:pPr>
        <w:ind w:firstLine="420" w:firstLineChars="200"/>
        <w:rPr>
          <w:color w:val="auto"/>
          <w:highlight w:val="none"/>
        </w:rPr>
      </w:pPr>
      <w:bookmarkStart w:id="5" w:name="_Toc89870540"/>
      <w:r>
        <w:rPr>
          <w:rFonts w:hint="eastAsia"/>
          <w:color w:val="auto"/>
          <w:highlight w:val="none"/>
        </w:rPr>
        <w:br w:type="page"/>
      </w:r>
    </w:p>
    <w:p>
      <w:pPr>
        <w:pStyle w:val="4"/>
        <w:keepNext w:val="0"/>
        <w:keepLines w:val="0"/>
        <w:spacing w:before="0" w:after="360" w:afterLines="150" w:line="240" w:lineRule="auto"/>
        <w:jc w:val="center"/>
        <w:rPr>
          <w:color w:val="auto"/>
          <w:highlight w:val="none"/>
        </w:rPr>
      </w:pPr>
      <w:r>
        <w:rPr>
          <w:rFonts w:hint="eastAsia"/>
          <w:color w:val="auto"/>
          <w:highlight w:val="none"/>
        </w:rPr>
        <w:t xml:space="preserve">第一章 </w:t>
      </w:r>
      <w:r>
        <w:rPr>
          <w:color w:val="auto"/>
          <w:highlight w:val="none"/>
        </w:rPr>
        <w:t>招标公告</w:t>
      </w:r>
      <w:bookmarkEnd w:id="5"/>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bookmarkStart w:id="6" w:name="_Toc7437"/>
      <w:bookmarkStart w:id="7" w:name="_Toc2170"/>
      <w:bookmarkStart w:id="8" w:name="_Toc514170118"/>
      <w:bookmarkStart w:id="9" w:name="_Toc610"/>
      <w:bookmarkStart w:id="10" w:name="_Toc1036"/>
      <w:bookmarkStart w:id="11" w:name="_Toc13962"/>
      <w:bookmarkStart w:id="12" w:name="_Toc16720"/>
      <w:r>
        <w:rPr>
          <w:rFonts w:hint="eastAsia" w:ascii="宋体" w:hAnsi="宋体" w:cs="宋体"/>
          <w:b/>
          <w:color w:val="auto"/>
          <w:sz w:val="32"/>
          <w:szCs w:val="32"/>
          <w:highlight w:val="none"/>
          <w:lang w:eastAsia="zh-CN"/>
        </w:rPr>
        <w:t>增城区南部水厂及配套管网建设工程监理</w:t>
      </w: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招标公告</w:t>
      </w:r>
    </w:p>
    <w:bookmarkEnd w:id="6"/>
    <w:bookmarkEnd w:id="7"/>
    <w:bookmarkEnd w:id="8"/>
    <w:bookmarkEnd w:id="9"/>
    <w:bookmarkEnd w:id="10"/>
    <w:bookmarkEnd w:id="11"/>
    <w:bookmarkEnd w:id="12"/>
    <w:p>
      <w:pPr>
        <w:spacing w:line="360" w:lineRule="auto"/>
        <w:ind w:firstLine="643" w:firstLineChars="200"/>
        <w:outlineLvl w:val="1"/>
        <w:rPr>
          <w:rFonts w:eastAsia="黑体"/>
          <w:b/>
          <w:color w:val="auto"/>
          <w:sz w:val="32"/>
          <w:szCs w:val="24"/>
          <w:highlight w:val="none"/>
        </w:rPr>
      </w:pPr>
      <w:bookmarkStart w:id="13" w:name="_Toc47694115"/>
      <w:bookmarkStart w:id="14" w:name="_Toc515033010"/>
      <w:bookmarkStart w:id="15" w:name="_Toc7705"/>
      <w:bookmarkStart w:id="16" w:name="_Toc89870541"/>
      <w:bookmarkStart w:id="17" w:name="_Toc511557025"/>
      <w:bookmarkStart w:id="18" w:name="_Toc47621265"/>
      <w:r>
        <w:rPr>
          <w:rFonts w:eastAsia="黑体"/>
          <w:b/>
          <w:color w:val="auto"/>
          <w:sz w:val="32"/>
          <w:szCs w:val="24"/>
          <w:highlight w:val="none"/>
        </w:rPr>
        <w:t xml:space="preserve">1. </w:t>
      </w:r>
      <w:r>
        <w:rPr>
          <w:rFonts w:hint="eastAsia" w:eastAsia="黑体"/>
          <w:b/>
          <w:color w:val="auto"/>
          <w:sz w:val="32"/>
          <w:szCs w:val="24"/>
          <w:highlight w:val="none"/>
        </w:rPr>
        <w:t>招标条件</w:t>
      </w:r>
      <w:bookmarkEnd w:id="13"/>
      <w:bookmarkEnd w:id="14"/>
      <w:bookmarkEnd w:id="15"/>
      <w:bookmarkEnd w:id="16"/>
      <w:bookmarkEnd w:id="17"/>
      <w:bookmarkEnd w:id="18"/>
    </w:p>
    <w:p>
      <w:pPr>
        <w:widowControl w:val="0"/>
        <w:adjustRightInd w:val="0"/>
        <w:snapToGrid w:val="0"/>
        <w:spacing w:line="360" w:lineRule="auto"/>
        <w:ind w:firstLine="480" w:firstLineChars="200"/>
        <w:jc w:val="both"/>
        <w:rPr>
          <w:color w:val="auto"/>
          <w:kern w:val="2"/>
          <w:sz w:val="24"/>
          <w:szCs w:val="24"/>
          <w:highlight w:val="none"/>
        </w:rPr>
      </w:pPr>
      <w:r>
        <w:rPr>
          <w:rFonts w:hint="eastAsia"/>
          <w:color w:val="auto"/>
          <w:kern w:val="2"/>
          <w:sz w:val="24"/>
          <w:szCs w:val="24"/>
          <w:highlight w:val="none"/>
        </w:rPr>
        <w:t>本招标项目</w:t>
      </w:r>
      <w:r>
        <w:rPr>
          <w:rFonts w:hint="eastAsia" w:ascii="宋体" w:hAnsi="宋体" w:cs="宋体"/>
          <w:color w:val="auto"/>
          <w:kern w:val="2"/>
          <w:sz w:val="24"/>
          <w:szCs w:val="22"/>
          <w:highlight w:val="none"/>
          <w:u w:val="single"/>
          <w:lang w:val="en-US" w:eastAsia="zh-CN" w:bidi="ar-SA"/>
        </w:rPr>
        <w:t>增城区南部水厂及配套管网建设工程项目</w:t>
      </w:r>
      <w:r>
        <w:rPr>
          <w:rFonts w:hint="eastAsia"/>
          <w:color w:val="auto"/>
          <w:kern w:val="2"/>
          <w:sz w:val="24"/>
          <w:szCs w:val="24"/>
          <w:highlight w:val="none"/>
        </w:rPr>
        <w:t>已由</w:t>
      </w:r>
      <w:r>
        <w:rPr>
          <w:rFonts w:hint="eastAsia" w:ascii="宋体" w:hAnsi="宋体" w:eastAsia="宋体" w:cs="宋体"/>
          <w:color w:val="auto"/>
          <w:kern w:val="2"/>
          <w:sz w:val="24"/>
          <w:szCs w:val="22"/>
          <w:highlight w:val="none"/>
          <w:u w:val="single"/>
          <w:lang w:val="en-US" w:eastAsia="zh-CN" w:bidi="ar-SA"/>
        </w:rPr>
        <w:t>穗增发改投</w:t>
      </w:r>
      <w:r>
        <w:rPr>
          <w:rFonts w:hint="eastAsia" w:ascii="宋体" w:hAnsi="宋体" w:cs="宋体"/>
          <w:color w:val="auto"/>
          <w:kern w:val="2"/>
          <w:sz w:val="24"/>
          <w:szCs w:val="22"/>
          <w:highlight w:val="none"/>
          <w:u w:val="single"/>
          <w:lang w:val="en-US" w:eastAsia="zh-CN" w:bidi="ar-SA"/>
        </w:rPr>
        <w:t>核</w:t>
      </w:r>
      <w:r>
        <w:rPr>
          <w:rFonts w:hint="eastAsia" w:ascii="宋体" w:hAnsi="宋体" w:eastAsia="宋体" w:cs="宋体"/>
          <w:color w:val="auto"/>
          <w:kern w:val="2"/>
          <w:sz w:val="24"/>
          <w:szCs w:val="22"/>
          <w:highlight w:val="none"/>
          <w:u w:val="single"/>
          <w:lang w:val="en-US" w:eastAsia="zh-CN" w:bidi="ar-SA"/>
        </w:rPr>
        <w:t>[202</w:t>
      </w:r>
      <w:r>
        <w:rPr>
          <w:rFonts w:hint="eastAsia" w:ascii="宋体" w:hAnsi="宋体" w:cs="宋体"/>
          <w:color w:val="auto"/>
          <w:kern w:val="2"/>
          <w:sz w:val="24"/>
          <w:szCs w:val="22"/>
          <w:highlight w:val="none"/>
          <w:u w:val="single"/>
          <w:lang w:val="en-US" w:eastAsia="zh-CN" w:bidi="ar-SA"/>
        </w:rPr>
        <w:t>2</w:t>
      </w:r>
      <w:r>
        <w:rPr>
          <w:rFonts w:hint="eastAsia" w:ascii="宋体" w:hAnsi="宋体" w:eastAsia="宋体" w:cs="宋体"/>
          <w:color w:val="auto"/>
          <w:kern w:val="2"/>
          <w:sz w:val="24"/>
          <w:szCs w:val="22"/>
          <w:highlight w:val="none"/>
          <w:u w:val="single"/>
          <w:lang w:val="en-US" w:eastAsia="zh-CN" w:bidi="ar-SA"/>
        </w:rPr>
        <w:t>]</w:t>
      </w:r>
      <w:r>
        <w:rPr>
          <w:rFonts w:hint="eastAsia" w:ascii="宋体" w:hAnsi="宋体" w:cs="宋体"/>
          <w:color w:val="auto"/>
          <w:kern w:val="2"/>
          <w:sz w:val="24"/>
          <w:szCs w:val="22"/>
          <w:highlight w:val="none"/>
          <w:u w:val="single"/>
          <w:lang w:val="en-US" w:eastAsia="zh-CN" w:bidi="ar-SA"/>
        </w:rPr>
        <w:t>2</w:t>
      </w:r>
      <w:r>
        <w:rPr>
          <w:rFonts w:hint="eastAsia" w:ascii="宋体" w:hAnsi="宋体" w:eastAsia="宋体" w:cs="宋体"/>
          <w:color w:val="auto"/>
          <w:kern w:val="2"/>
          <w:sz w:val="24"/>
          <w:szCs w:val="22"/>
          <w:highlight w:val="none"/>
          <w:u w:val="single"/>
          <w:lang w:val="en-US" w:eastAsia="zh-CN" w:bidi="ar-SA"/>
        </w:rPr>
        <w:t>号</w:t>
      </w:r>
      <w:r>
        <w:rPr>
          <w:rFonts w:hint="eastAsia"/>
          <w:color w:val="auto"/>
          <w:kern w:val="2"/>
          <w:sz w:val="24"/>
          <w:szCs w:val="24"/>
          <w:highlight w:val="none"/>
        </w:rPr>
        <w:t>批准建设，</w:t>
      </w:r>
      <w:r>
        <w:rPr>
          <w:rFonts w:hint="eastAsia" w:ascii="宋体" w:hAnsi="宋体"/>
          <w:color w:val="auto"/>
          <w:kern w:val="2"/>
          <w:sz w:val="24"/>
          <w:szCs w:val="24"/>
          <w:highlight w:val="none"/>
        </w:rPr>
        <w:t>建设资金为</w:t>
      </w:r>
      <w:r>
        <w:rPr>
          <w:rFonts w:hint="eastAsia" w:ascii="宋体" w:hAnsi="宋体"/>
          <w:color w:val="auto"/>
          <w:kern w:val="2"/>
          <w:sz w:val="24"/>
          <w:szCs w:val="24"/>
          <w:highlight w:val="none"/>
          <w:u w:val="single"/>
        </w:rPr>
        <w:t>自</w:t>
      </w:r>
      <w:r>
        <w:rPr>
          <w:rFonts w:hint="eastAsia" w:ascii="宋体" w:hAnsi="宋体"/>
          <w:color w:val="auto"/>
          <w:kern w:val="2"/>
          <w:sz w:val="24"/>
          <w:szCs w:val="24"/>
          <w:highlight w:val="none"/>
          <w:u w:val="single"/>
          <w:lang w:val="en-US" w:eastAsia="zh-CN"/>
        </w:rPr>
        <w:t>有</w:t>
      </w:r>
      <w:r>
        <w:rPr>
          <w:rFonts w:hint="eastAsia" w:ascii="宋体" w:hAnsi="宋体"/>
          <w:color w:val="auto"/>
          <w:kern w:val="2"/>
          <w:sz w:val="24"/>
          <w:szCs w:val="24"/>
          <w:highlight w:val="none"/>
          <w:u w:val="single"/>
        </w:rPr>
        <w:t>资</w:t>
      </w:r>
      <w:r>
        <w:rPr>
          <w:rFonts w:hint="eastAsia" w:ascii="宋体" w:hAnsi="宋体" w:cs="宋体"/>
          <w:color w:val="auto"/>
          <w:kern w:val="2"/>
          <w:sz w:val="24"/>
          <w:szCs w:val="24"/>
          <w:highlight w:val="none"/>
          <w:u w:val="single"/>
        </w:rPr>
        <w:t>金</w:t>
      </w:r>
      <w:r>
        <w:rPr>
          <w:rFonts w:hint="eastAsia" w:ascii="宋体" w:hAnsi="宋体" w:cs="宋体"/>
          <w:color w:val="auto"/>
          <w:kern w:val="2"/>
          <w:sz w:val="24"/>
          <w:szCs w:val="24"/>
          <w:highlight w:val="none"/>
          <w:u w:val="single"/>
          <w:lang w:val="en-US" w:eastAsia="zh-CN"/>
        </w:rPr>
        <w:t>出资与融资出资</w:t>
      </w:r>
      <w:r>
        <w:rPr>
          <w:rFonts w:hint="eastAsia" w:ascii="宋体" w:hAnsi="宋体" w:cs="宋体"/>
          <w:color w:val="auto"/>
          <w:kern w:val="2"/>
          <w:sz w:val="24"/>
          <w:szCs w:val="24"/>
          <w:highlight w:val="none"/>
        </w:rPr>
        <w:t>，出资比例为</w:t>
      </w:r>
      <w:r>
        <w:rPr>
          <w:rFonts w:hint="eastAsia" w:ascii="宋体" w:hAnsi="宋体" w:cs="宋体"/>
          <w:color w:val="auto"/>
          <w:kern w:val="2"/>
          <w:sz w:val="24"/>
          <w:szCs w:val="24"/>
          <w:highlight w:val="none"/>
          <w:u w:val="single"/>
          <w:lang w:val="en-US" w:eastAsia="zh-CN"/>
        </w:rPr>
        <w:t>自有资本金</w:t>
      </w:r>
      <w:r>
        <w:rPr>
          <w:rFonts w:hint="eastAsia" w:ascii="宋体" w:hAnsi="宋体"/>
          <w:color w:val="auto"/>
          <w:kern w:val="2"/>
          <w:sz w:val="24"/>
          <w:szCs w:val="24"/>
          <w:highlight w:val="none"/>
          <w:u w:val="single"/>
          <w:lang w:val="en-US" w:eastAsia="zh-CN"/>
        </w:rPr>
        <w:t>24.87</w:t>
      </w:r>
      <w:r>
        <w:rPr>
          <w:rFonts w:hint="eastAsia" w:ascii="宋体" w:hAnsi="宋体"/>
          <w:color w:val="auto"/>
          <w:kern w:val="2"/>
          <w:sz w:val="24"/>
          <w:szCs w:val="24"/>
          <w:highlight w:val="none"/>
          <w:u w:val="single"/>
        </w:rPr>
        <w:t>%</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lang w:val="en-US" w:eastAsia="zh-CN"/>
        </w:rPr>
        <w:t>资本金以外资金通过融资解决</w:t>
      </w:r>
      <w:r>
        <w:rPr>
          <w:rFonts w:hint="eastAsia"/>
          <w:color w:val="auto"/>
          <w:kern w:val="2"/>
          <w:sz w:val="24"/>
          <w:szCs w:val="24"/>
          <w:highlight w:val="none"/>
        </w:rPr>
        <w:t>，招标人为</w:t>
      </w:r>
      <w:r>
        <w:rPr>
          <w:rFonts w:hint="eastAsia" w:ascii="宋体" w:hAnsi="宋体" w:cs="宋体"/>
          <w:color w:val="auto"/>
          <w:kern w:val="2"/>
          <w:sz w:val="24"/>
          <w:szCs w:val="22"/>
          <w:highlight w:val="none"/>
          <w:u w:val="single"/>
          <w:lang w:val="en-US" w:eastAsia="zh-CN" w:bidi="ar-SA"/>
        </w:rPr>
        <w:t>广州增城区东进供水有限公司</w:t>
      </w:r>
      <w:r>
        <w:rPr>
          <w:rFonts w:hint="eastAsia"/>
          <w:color w:val="auto"/>
          <w:kern w:val="2"/>
          <w:sz w:val="24"/>
          <w:szCs w:val="24"/>
          <w:highlight w:val="none"/>
        </w:rPr>
        <w:t>，项目已具备招标条件，现对该项目的</w:t>
      </w:r>
      <w:r>
        <w:rPr>
          <w:rFonts w:hint="eastAsia"/>
          <w:color w:val="auto"/>
          <w:kern w:val="2"/>
          <w:sz w:val="24"/>
          <w:szCs w:val="24"/>
          <w:highlight w:val="none"/>
          <w:lang w:val="en-US" w:eastAsia="zh-CN"/>
        </w:rPr>
        <w:t>监理</w:t>
      </w:r>
      <w:r>
        <w:rPr>
          <w:rFonts w:hint="eastAsia"/>
          <w:color w:val="auto"/>
          <w:kern w:val="2"/>
          <w:sz w:val="24"/>
          <w:szCs w:val="24"/>
          <w:highlight w:val="none"/>
        </w:rPr>
        <w:t>进行公开招标。</w:t>
      </w:r>
    </w:p>
    <w:p>
      <w:pPr>
        <w:spacing w:line="360" w:lineRule="auto"/>
        <w:ind w:firstLine="643" w:firstLineChars="200"/>
        <w:outlineLvl w:val="1"/>
        <w:rPr>
          <w:rFonts w:eastAsia="黑体"/>
          <w:b/>
          <w:color w:val="auto"/>
          <w:sz w:val="32"/>
          <w:szCs w:val="24"/>
          <w:highlight w:val="none"/>
        </w:rPr>
      </w:pPr>
      <w:bookmarkStart w:id="19" w:name="_Toc511557026"/>
      <w:bookmarkStart w:id="20" w:name="_Toc89870542"/>
      <w:bookmarkStart w:id="21" w:name="_Toc7708"/>
      <w:bookmarkStart w:id="22" w:name="_Toc515033011"/>
      <w:bookmarkStart w:id="23" w:name="_Toc47621266"/>
      <w:bookmarkStart w:id="24" w:name="_Toc47694116"/>
      <w:r>
        <w:rPr>
          <w:rFonts w:eastAsia="黑体"/>
          <w:b/>
          <w:color w:val="auto"/>
          <w:sz w:val="32"/>
          <w:szCs w:val="24"/>
          <w:highlight w:val="none"/>
        </w:rPr>
        <w:t xml:space="preserve">2. </w:t>
      </w:r>
      <w:r>
        <w:rPr>
          <w:rFonts w:hint="eastAsia" w:eastAsia="黑体"/>
          <w:b/>
          <w:color w:val="auto"/>
          <w:sz w:val="32"/>
          <w:szCs w:val="24"/>
          <w:highlight w:val="none"/>
        </w:rPr>
        <w:t>项目概况与招标范围</w:t>
      </w:r>
      <w:bookmarkEnd w:id="19"/>
      <w:bookmarkEnd w:id="20"/>
      <w:bookmarkEnd w:id="21"/>
      <w:bookmarkEnd w:id="22"/>
      <w:bookmarkEnd w:id="23"/>
      <w:bookmarkEnd w:id="24"/>
    </w:p>
    <w:p>
      <w:pPr>
        <w:spacing w:line="360" w:lineRule="auto"/>
        <w:ind w:firstLine="480" w:firstLineChars="200"/>
        <w:rPr>
          <w:color w:val="auto"/>
          <w:sz w:val="24"/>
          <w:szCs w:val="24"/>
          <w:highlight w:val="none"/>
        </w:rPr>
      </w:pPr>
      <w:r>
        <w:rPr>
          <w:rFonts w:ascii="宋体" w:hAnsi="宋体" w:cs="宋体"/>
          <w:color w:val="auto"/>
          <w:sz w:val="24"/>
          <w:highlight w:val="none"/>
        </w:rPr>
        <w:t>2.1</w:t>
      </w:r>
      <w:r>
        <w:rPr>
          <w:rFonts w:hint="eastAsia"/>
          <w:color w:val="auto"/>
          <w:sz w:val="24"/>
          <w:szCs w:val="24"/>
          <w:highlight w:val="none"/>
        </w:rPr>
        <w:t>招标项目概况</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highlight w:val="none"/>
        </w:rPr>
        <w:t>2.1.1</w:t>
      </w:r>
      <w:r>
        <w:rPr>
          <w:rFonts w:hint="eastAsia"/>
          <w:color w:val="auto"/>
          <w:sz w:val="24"/>
          <w:szCs w:val="24"/>
          <w:highlight w:val="none"/>
        </w:rPr>
        <w:t>项目名称：</w:t>
      </w:r>
      <w:r>
        <w:rPr>
          <w:rFonts w:hint="eastAsia" w:ascii="宋体" w:hAnsi="宋体" w:cs="宋体"/>
          <w:color w:val="auto"/>
          <w:sz w:val="24"/>
          <w:szCs w:val="24"/>
          <w:highlight w:val="none"/>
          <w:u w:val="single"/>
          <w:lang w:eastAsia="zh-CN"/>
        </w:rPr>
        <w:t>增城区南部水厂及配套管网建设工程监理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2.1.2</w:t>
      </w:r>
      <w:r>
        <w:rPr>
          <w:rFonts w:hint="eastAsia"/>
          <w:color w:val="auto"/>
          <w:sz w:val="24"/>
          <w:szCs w:val="24"/>
          <w:highlight w:val="none"/>
        </w:rPr>
        <w:t>建设地点：</w:t>
      </w:r>
      <w:r>
        <w:rPr>
          <w:rFonts w:hint="eastAsia" w:ascii="宋体" w:hAnsi="宋体" w:eastAsia="宋体" w:cs="宋体"/>
          <w:color w:val="auto"/>
          <w:kern w:val="0"/>
          <w:sz w:val="24"/>
          <w:szCs w:val="24"/>
          <w:highlight w:val="none"/>
          <w:u w:val="single"/>
          <w:lang w:val="en-US" w:eastAsia="zh-CN" w:bidi="ar"/>
        </w:rPr>
        <w:t>增城区</w:t>
      </w:r>
      <w:r>
        <w:rPr>
          <w:rFonts w:hint="eastAsia" w:ascii="宋体" w:hAnsi="宋体" w:cs="宋体"/>
          <w:color w:val="auto"/>
          <w:kern w:val="2"/>
          <w:sz w:val="24"/>
          <w:szCs w:val="22"/>
          <w:highlight w:val="none"/>
          <w:u w:val="single"/>
          <w:lang w:val="en-US" w:eastAsia="zh-CN" w:bidi="ar-SA"/>
        </w:rPr>
        <w:t>南部水厂厂区位于新塘镇官道村，万田水库东南侧；取水泵房位于石滩镇岳埔村</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2"/>
          <w:highlight w:val="none"/>
          <w:u w:val="single"/>
          <w:lang w:val="en-US" w:eastAsia="zh-CN"/>
        </w:rPr>
      </w:pPr>
      <w:r>
        <w:rPr>
          <w:rFonts w:ascii="宋体" w:hAnsi="宋体" w:cs="宋体"/>
          <w:color w:val="auto"/>
          <w:sz w:val="24"/>
          <w:highlight w:val="none"/>
        </w:rPr>
        <w:t>2.1.3</w:t>
      </w:r>
      <w:r>
        <w:rPr>
          <w:rFonts w:hint="eastAsia"/>
          <w:color w:val="auto"/>
          <w:sz w:val="24"/>
          <w:szCs w:val="24"/>
          <w:highlight w:val="none"/>
        </w:rPr>
        <w:t>项目规模：</w:t>
      </w:r>
      <w:r>
        <w:rPr>
          <w:rFonts w:hint="eastAsia" w:ascii="宋体" w:hAnsi="宋体" w:eastAsia="宋体" w:cs="宋体"/>
          <w:color w:val="auto"/>
          <w:sz w:val="24"/>
          <w:szCs w:val="22"/>
          <w:highlight w:val="none"/>
          <w:u w:val="single"/>
          <w:lang w:val="en-US" w:eastAsia="zh-CN"/>
        </w:rPr>
        <w:t>项目一期供水规模30万m3/d，部分建(构)筑物土建按远期50万m³/d规模，设备按30万m³/d规模安装;取水泵房土建按55万 m³/d规模，设备按33万m³/d规模安装。</w:t>
      </w:r>
    </w:p>
    <w:p>
      <w:pPr>
        <w:spacing w:line="360" w:lineRule="auto"/>
        <w:ind w:firstLine="480" w:firstLineChars="200"/>
        <w:rPr>
          <w:rFonts w:hint="eastAsia"/>
          <w:color w:val="auto"/>
          <w:sz w:val="24"/>
          <w:szCs w:val="24"/>
          <w:highlight w:val="none"/>
          <w:u w:val="single"/>
          <w:lang w:eastAsia="zh-CN"/>
        </w:rPr>
      </w:pPr>
      <w:r>
        <w:rPr>
          <w:rFonts w:hint="eastAsia" w:ascii="宋体" w:hAnsi="宋体" w:eastAsia="宋体" w:cs="宋体"/>
          <w:color w:val="auto"/>
          <w:sz w:val="24"/>
          <w:szCs w:val="22"/>
          <w:highlight w:val="none"/>
          <w:u w:val="single"/>
          <w:lang w:val="en-US" w:eastAsia="zh-CN"/>
        </w:rPr>
        <w:t>项目总建筑面积70648平方米，其中厂区建筑面积65968平方米，取水泵房建筑面积4680平方米。主要建设内容:新建厂区内配水井及细格栅、吸水井及送水泵房、污泥调质池及脱水机房、加药间、变配电中心、分配电间、综合楼、中试车间、机修及仓库、门卫等建(构)筑物，土建按远期50万m³/d规模，设备按30万m³/d规模安装;新建混凝池及沉淀池、砂滤池及反冲洗泵房、清水池、排水池及排泥池、浓缩池等建(构)筑物，土建及设备安装按30万 m³/d规模;泵站内包括取水泵房、配电房和管理用房、加药间等建筑，土建按55万m³/d规模，设备按33万m3/d规模安装;原水管管径2xDN1800双管布置，总长24千米;清水配水管网管径 DN1200~DN1800，总长13.7千米</w:t>
      </w:r>
      <w:r>
        <w:rPr>
          <w:rFonts w:hint="eastAsia"/>
          <w:color w:val="auto"/>
          <w:sz w:val="24"/>
          <w:szCs w:val="24"/>
          <w:highlight w:val="none"/>
          <w:u w:val="single"/>
          <w:lang w:eastAsia="zh-CN"/>
        </w:rPr>
        <w:t>。</w:t>
      </w:r>
    </w:p>
    <w:p>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2.1.4</w:t>
      </w:r>
      <w:r>
        <w:rPr>
          <w:rFonts w:hint="eastAsia" w:ascii="宋体" w:hAnsi="宋体" w:cs="宋体"/>
          <w:color w:val="auto"/>
          <w:kern w:val="2"/>
          <w:sz w:val="24"/>
          <w:szCs w:val="24"/>
          <w:highlight w:val="none"/>
          <w:u w:val="single"/>
        </w:rPr>
        <w:t>项目总投资为</w:t>
      </w:r>
      <w:r>
        <w:rPr>
          <w:rFonts w:hint="eastAsia" w:ascii="宋体" w:hAnsi="宋体" w:cs="宋体"/>
          <w:color w:val="auto"/>
          <w:sz w:val="24"/>
          <w:szCs w:val="22"/>
          <w:highlight w:val="none"/>
          <w:u w:val="single"/>
          <w:lang w:val="en-US" w:eastAsia="zh-CN"/>
        </w:rPr>
        <w:t>257402.81</w:t>
      </w:r>
      <w:r>
        <w:rPr>
          <w:rFonts w:hint="eastAsia" w:ascii="宋体" w:hAnsi="宋体" w:cs="宋体"/>
          <w:color w:val="auto"/>
          <w:kern w:val="2"/>
          <w:sz w:val="24"/>
          <w:szCs w:val="24"/>
          <w:highlight w:val="none"/>
          <w:u w:val="single"/>
        </w:rPr>
        <w:t>万元，</w:t>
      </w:r>
      <w:r>
        <w:rPr>
          <w:rFonts w:hint="eastAsia" w:ascii="宋体" w:hAnsi="宋体" w:cs="宋体"/>
          <w:color w:val="auto"/>
          <w:kern w:val="2"/>
          <w:sz w:val="24"/>
          <w:szCs w:val="24"/>
          <w:highlight w:val="none"/>
          <w:u w:val="single"/>
          <w:lang w:val="en-US" w:eastAsia="zh-CN"/>
        </w:rPr>
        <w:t>其中工程费用156945.98万元，工程建设其他费75420.72万元，预备费为8815.42万元，建设期贷款利息为15770.69万元，铺底流动资金为450.00万元。</w:t>
      </w:r>
      <w:r>
        <w:rPr>
          <w:rFonts w:hint="eastAsia" w:ascii="宋体" w:hAnsi="宋体" w:cs="宋体"/>
          <w:b/>
          <w:bCs/>
          <w:color w:val="auto"/>
          <w:kern w:val="2"/>
          <w:sz w:val="24"/>
          <w:szCs w:val="24"/>
          <w:highlight w:val="none"/>
          <w:u w:val="single"/>
          <w:lang w:val="en-US" w:eastAsia="zh-CN"/>
        </w:rPr>
        <w:t>（</w:t>
      </w:r>
      <w:r>
        <w:rPr>
          <w:rFonts w:hint="eastAsia" w:ascii="宋体" w:hAnsi="宋体" w:cs="宋体"/>
          <w:b w:val="0"/>
          <w:bCs w:val="0"/>
          <w:color w:val="auto"/>
          <w:kern w:val="2"/>
          <w:sz w:val="24"/>
          <w:szCs w:val="24"/>
          <w:highlight w:val="none"/>
          <w:u w:val="single"/>
          <w:lang w:val="en-US" w:eastAsia="zh-CN"/>
        </w:rPr>
        <w:t>项目资本金为64007.12万元，资本金比例为</w:t>
      </w:r>
      <w:r>
        <w:rPr>
          <w:rFonts w:hint="eastAsia" w:ascii="宋体" w:hAnsi="宋体"/>
          <w:b w:val="0"/>
          <w:bCs w:val="0"/>
          <w:color w:val="auto"/>
          <w:kern w:val="2"/>
          <w:sz w:val="24"/>
          <w:szCs w:val="24"/>
          <w:highlight w:val="none"/>
          <w:u w:val="single"/>
          <w:lang w:val="en-US" w:eastAsia="zh-CN"/>
        </w:rPr>
        <w:t>24.87</w:t>
      </w:r>
      <w:r>
        <w:rPr>
          <w:rFonts w:hint="eastAsia" w:ascii="宋体" w:hAnsi="宋体"/>
          <w:b w:val="0"/>
          <w:bCs w:val="0"/>
          <w:color w:val="auto"/>
          <w:kern w:val="2"/>
          <w:sz w:val="24"/>
          <w:szCs w:val="24"/>
          <w:highlight w:val="none"/>
          <w:u w:val="single"/>
        </w:rPr>
        <w:t>%</w:t>
      </w:r>
      <w:r>
        <w:rPr>
          <w:rFonts w:hint="eastAsia" w:ascii="宋体" w:hAnsi="宋体"/>
          <w:b w:val="0"/>
          <w:bCs w:val="0"/>
          <w:color w:val="auto"/>
          <w:kern w:val="2"/>
          <w:sz w:val="24"/>
          <w:szCs w:val="24"/>
          <w:highlight w:val="none"/>
          <w:u w:val="single"/>
          <w:lang w:eastAsia="zh-CN"/>
        </w:rPr>
        <w:t>，</w:t>
      </w:r>
      <w:r>
        <w:rPr>
          <w:rFonts w:hint="eastAsia" w:ascii="宋体" w:hAnsi="宋体"/>
          <w:b w:val="0"/>
          <w:bCs w:val="0"/>
          <w:color w:val="auto"/>
          <w:kern w:val="2"/>
          <w:sz w:val="24"/>
          <w:szCs w:val="24"/>
          <w:highlight w:val="none"/>
          <w:u w:val="single"/>
          <w:lang w:val="en-US" w:eastAsia="zh-CN"/>
        </w:rPr>
        <w:t>由项目建设单位以自有资金出资，资本金以外资金通过融资解决。）</w:t>
      </w:r>
      <w:r>
        <w:rPr>
          <w:rFonts w:hint="eastAsia"/>
          <w:color w:val="auto"/>
          <w:sz w:val="24"/>
          <w:szCs w:val="24"/>
          <w:highlight w:val="none"/>
        </w:rPr>
        <w:t>。</w:t>
      </w:r>
    </w:p>
    <w:p>
      <w:pPr>
        <w:spacing w:line="360" w:lineRule="auto"/>
        <w:ind w:firstLine="480" w:firstLineChars="200"/>
        <w:rPr>
          <w:color w:val="auto"/>
          <w:sz w:val="24"/>
          <w:szCs w:val="24"/>
          <w:highlight w:val="none"/>
          <w:u w:val="single"/>
        </w:rPr>
      </w:pPr>
      <w:r>
        <w:rPr>
          <w:rFonts w:ascii="宋体" w:hAnsi="宋体" w:cs="宋体"/>
          <w:color w:val="auto"/>
          <w:sz w:val="24"/>
          <w:highlight w:val="none"/>
        </w:rPr>
        <w:t>2.2</w:t>
      </w:r>
      <w:r>
        <w:rPr>
          <w:rFonts w:hint="eastAsia"/>
          <w:color w:val="auto"/>
          <w:sz w:val="24"/>
          <w:szCs w:val="24"/>
          <w:highlight w:val="none"/>
        </w:rPr>
        <w:t>招标范围</w:t>
      </w:r>
    </w:p>
    <w:p>
      <w:pPr>
        <w:spacing w:line="360" w:lineRule="auto"/>
        <w:ind w:firstLine="480" w:firstLineChars="200"/>
        <w:rPr>
          <w:color w:val="auto"/>
          <w:sz w:val="24"/>
          <w:szCs w:val="24"/>
          <w:highlight w:val="none"/>
          <w:u w:val="single"/>
        </w:rPr>
      </w:pPr>
      <w:r>
        <w:rPr>
          <w:rFonts w:ascii="宋体" w:hAnsi="宋体" w:cs="宋体"/>
          <w:color w:val="auto"/>
          <w:sz w:val="24"/>
          <w:highlight w:val="none"/>
        </w:rPr>
        <w:t>2.2.1</w:t>
      </w:r>
      <w:r>
        <w:rPr>
          <w:rFonts w:hint="eastAsia" w:ascii="宋体" w:hAnsi="宋体"/>
          <w:color w:val="auto"/>
          <w:sz w:val="24"/>
          <w:szCs w:val="24"/>
          <w:highlight w:val="none"/>
        </w:rPr>
        <w:t>标段划分：本项目设</w:t>
      </w:r>
      <w:r>
        <w:rPr>
          <w:rFonts w:ascii="宋体" w:hAnsi="宋体"/>
          <w:color w:val="auto"/>
          <w:sz w:val="24"/>
          <w:szCs w:val="24"/>
          <w:highlight w:val="none"/>
          <w:u w:val="single"/>
        </w:rPr>
        <w:t>1</w:t>
      </w:r>
      <w:r>
        <w:rPr>
          <w:rFonts w:hint="eastAsia" w:ascii="宋体" w:hAnsi="宋体"/>
          <w:color w:val="auto"/>
          <w:sz w:val="24"/>
          <w:szCs w:val="24"/>
          <w:highlight w:val="none"/>
        </w:rPr>
        <w:t>个标段。</w:t>
      </w:r>
      <w:bookmarkStart w:id="25" w:name="OLE_LINK16"/>
      <w:bookmarkStart w:id="26" w:name="OLE_LINK17"/>
    </w:p>
    <w:p>
      <w:pPr>
        <w:pStyle w:val="20"/>
        <w:spacing w:line="360" w:lineRule="auto"/>
        <w:ind w:firstLine="480" w:firstLineChars="200"/>
        <w:jc w:val="both"/>
        <w:rPr>
          <w:rFonts w:ascii="Calibri" w:hAnsi="Calibri" w:eastAsia="宋体" w:cs="Times New Roman"/>
          <w:color w:val="auto"/>
          <w:kern w:val="2"/>
          <w:highlight w:val="none"/>
          <w:u w:val="single"/>
        </w:rPr>
      </w:pPr>
      <w:r>
        <w:rPr>
          <w:rFonts w:ascii="宋体" w:hAnsi="宋体" w:eastAsia="宋体"/>
          <w:color w:val="auto"/>
          <w:kern w:val="2"/>
          <w:szCs w:val="22"/>
          <w:highlight w:val="none"/>
        </w:rPr>
        <w:t>2.2.2</w:t>
      </w:r>
      <w:r>
        <w:rPr>
          <w:rFonts w:hint="eastAsia" w:ascii="Calibri" w:hAnsi="Calibri" w:eastAsia="宋体" w:cs="Times New Roman"/>
          <w:color w:val="auto"/>
          <w:kern w:val="2"/>
          <w:highlight w:val="none"/>
        </w:rPr>
        <w:t>监理范围：</w:t>
      </w:r>
      <w:bookmarkEnd w:id="25"/>
      <w:bookmarkEnd w:id="26"/>
      <w:r>
        <w:rPr>
          <w:rFonts w:hint="eastAsia" w:ascii="Calibri" w:hAnsi="Calibri" w:eastAsia="宋体" w:cs="Times New Roman"/>
          <w:color w:val="auto"/>
          <w:kern w:val="2"/>
          <w:highlight w:val="none"/>
          <w:u w:val="single"/>
        </w:rPr>
        <w:t>包括但不限于以下内容：本工程的</w:t>
      </w:r>
      <w:r>
        <w:rPr>
          <w:rFonts w:hint="eastAsia" w:ascii="Calibri" w:hAnsi="Calibri" w:eastAsia="宋体" w:cs="Times New Roman"/>
          <w:color w:val="auto"/>
          <w:kern w:val="2"/>
          <w:highlight w:val="none"/>
          <w:u w:val="single"/>
          <w:lang w:val="en-US" w:eastAsia="zh-CN"/>
        </w:rPr>
        <w:t>前期准备阶段（勘察设计报审、勘察设计监理等）</w:t>
      </w:r>
      <w:r>
        <w:rPr>
          <w:rFonts w:hint="eastAsia" w:ascii="Calibri" w:hAnsi="Calibri" w:eastAsia="宋体" w:cs="Times New Roman"/>
          <w:color w:val="auto"/>
          <w:kern w:val="2"/>
          <w:highlight w:val="none"/>
          <w:u w:val="single"/>
        </w:rPr>
        <w:t>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w:t>
      </w:r>
    </w:p>
    <w:p>
      <w:pPr>
        <w:spacing w:line="360" w:lineRule="auto"/>
        <w:ind w:firstLine="480" w:firstLineChars="200"/>
        <w:rPr>
          <w:rFonts w:ascii="宋体" w:hAnsi="宋体"/>
          <w:color w:val="auto"/>
          <w:sz w:val="24"/>
          <w:szCs w:val="24"/>
          <w:highlight w:val="none"/>
        </w:rPr>
      </w:pPr>
      <w:r>
        <w:rPr>
          <w:rFonts w:ascii="宋体" w:hAnsi="宋体" w:cs="宋体"/>
          <w:color w:val="auto"/>
          <w:sz w:val="24"/>
          <w:highlight w:val="none"/>
        </w:rPr>
        <w:t>2.2.3</w:t>
      </w:r>
      <w:r>
        <w:rPr>
          <w:rFonts w:hint="eastAsia" w:ascii="宋体" w:hAnsi="宋体"/>
          <w:color w:val="auto"/>
          <w:sz w:val="24"/>
          <w:szCs w:val="24"/>
          <w:highlight w:val="none"/>
        </w:rPr>
        <w:t>监理服务期限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施工准备阶段：</w:t>
      </w:r>
      <w:r>
        <w:rPr>
          <w:rFonts w:hint="eastAsia" w:ascii="宋体" w:hAnsi="宋体"/>
          <w:color w:val="auto"/>
          <w:sz w:val="24"/>
          <w:szCs w:val="24"/>
          <w:highlight w:val="none"/>
          <w:u w:val="single"/>
        </w:rPr>
        <w:t>从中标通知书发出到工程开工之日</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施工阶段监理服务期：</w:t>
      </w:r>
      <w:r>
        <w:rPr>
          <w:rFonts w:hint="eastAsia" w:ascii="宋体" w:hAnsi="宋体"/>
          <w:color w:val="auto"/>
          <w:sz w:val="24"/>
          <w:szCs w:val="24"/>
          <w:highlight w:val="none"/>
          <w:u w:val="single"/>
        </w:rPr>
        <w:t>从业主下达开工令或开工报告审批之日起至施工项目全部完工并办理竣工验收、竣工结算、备案管理为止</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工程收尾阶段：</w:t>
      </w:r>
      <w:r>
        <w:rPr>
          <w:rFonts w:hint="eastAsia" w:ascii="宋体" w:hAnsi="宋体" w:cs="宋体"/>
          <w:color w:val="auto"/>
          <w:sz w:val="24"/>
          <w:szCs w:val="24"/>
          <w:highlight w:val="none"/>
          <w:u w:val="single"/>
        </w:rPr>
        <w:t>包括竣工收尾、验收、整改、移交、结算、考核评价等方面的监理工作完成为止</w:t>
      </w:r>
      <w:r>
        <w:rPr>
          <w:rFonts w:hint="eastAsia" w:ascii="宋体" w:hAnsi="宋体" w:cs="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缺陷责任期阶段监理服务期：</w:t>
      </w:r>
      <w:r>
        <w:rPr>
          <w:rFonts w:hint="eastAsia" w:ascii="宋体" w:hAnsi="宋体"/>
          <w:color w:val="auto"/>
          <w:sz w:val="24"/>
          <w:szCs w:val="24"/>
          <w:highlight w:val="none"/>
          <w:u w:val="single"/>
        </w:rPr>
        <w:t>从工程竣工验收合格之日起</w:t>
      </w:r>
      <w:r>
        <w:rPr>
          <w:rFonts w:ascii="宋体" w:hAnsi="宋体"/>
          <w:color w:val="auto"/>
          <w:sz w:val="24"/>
          <w:szCs w:val="24"/>
          <w:highlight w:val="none"/>
          <w:u w:val="single"/>
        </w:rPr>
        <w:t>2年</w:t>
      </w:r>
      <w:r>
        <w:rPr>
          <w:rFonts w:ascii="宋体" w:hAnsi="宋体"/>
          <w:color w:val="auto"/>
          <w:sz w:val="24"/>
          <w:szCs w:val="24"/>
          <w:highlight w:val="none"/>
        </w:rPr>
        <w:t>。</w:t>
      </w:r>
    </w:p>
    <w:p>
      <w:pPr>
        <w:spacing w:line="360" w:lineRule="auto"/>
        <w:ind w:firstLine="480" w:firstLineChars="200"/>
        <w:rPr>
          <w:color w:val="auto"/>
          <w:highlight w:val="none"/>
        </w:rPr>
      </w:pPr>
      <w:r>
        <w:rPr>
          <w:rFonts w:ascii="宋体" w:hAnsi="宋体" w:cs="宋体"/>
          <w:color w:val="auto"/>
          <w:sz w:val="24"/>
          <w:highlight w:val="none"/>
        </w:rPr>
        <w:t>2.2.4</w:t>
      </w:r>
      <w:r>
        <w:rPr>
          <w:rFonts w:hint="eastAsia" w:ascii="宋体" w:hAnsi="宋体"/>
          <w:color w:val="auto"/>
          <w:sz w:val="24"/>
          <w:szCs w:val="24"/>
          <w:highlight w:val="none"/>
        </w:rPr>
        <w:t>监理服务最高投标限价：</w:t>
      </w:r>
      <w:r>
        <w:rPr>
          <w:rFonts w:hint="eastAsia" w:ascii="宋体" w:hAnsi="宋体"/>
          <w:color w:val="auto"/>
          <w:sz w:val="24"/>
          <w:szCs w:val="24"/>
          <w:highlight w:val="none"/>
          <w:u w:val="single"/>
          <w:lang w:val="en-US" w:eastAsia="zh-CN"/>
        </w:rPr>
        <w:t>1665.22</w:t>
      </w:r>
      <w:r>
        <w:rPr>
          <w:rFonts w:hint="eastAsia" w:ascii="宋体" w:hAnsi="宋体"/>
          <w:color w:val="auto"/>
          <w:sz w:val="24"/>
          <w:szCs w:val="24"/>
          <w:highlight w:val="none"/>
        </w:rPr>
        <w:t>万元。</w:t>
      </w:r>
      <w:r>
        <w:rPr>
          <w:rFonts w:ascii="宋体" w:hAnsi="宋体"/>
          <w:color w:val="auto"/>
          <w:sz w:val="24"/>
          <w:szCs w:val="24"/>
          <w:highlight w:val="none"/>
        </w:rPr>
        <w:t xml:space="preserve">  </w:t>
      </w:r>
    </w:p>
    <w:p>
      <w:pPr>
        <w:numPr>
          <w:ilvl w:val="0"/>
          <w:numId w:val="1"/>
        </w:numPr>
        <w:spacing w:line="360" w:lineRule="auto"/>
        <w:ind w:firstLine="643" w:firstLineChars="200"/>
        <w:outlineLvl w:val="1"/>
        <w:rPr>
          <w:rFonts w:eastAsia="黑体"/>
          <w:b/>
          <w:color w:val="auto"/>
          <w:sz w:val="32"/>
          <w:szCs w:val="24"/>
          <w:highlight w:val="none"/>
        </w:rPr>
      </w:pPr>
      <w:bookmarkStart w:id="27" w:name="_Toc47694117"/>
      <w:bookmarkStart w:id="28" w:name="_Toc515033012"/>
      <w:bookmarkStart w:id="29" w:name="_Toc511557027"/>
      <w:bookmarkStart w:id="30" w:name="_Toc6736"/>
      <w:bookmarkStart w:id="31" w:name="_Toc89870543"/>
      <w:bookmarkStart w:id="32" w:name="_Toc47621267"/>
      <w:r>
        <w:rPr>
          <w:rFonts w:hint="eastAsia" w:eastAsia="黑体"/>
          <w:b/>
          <w:color w:val="auto"/>
          <w:sz w:val="32"/>
          <w:szCs w:val="24"/>
          <w:highlight w:val="none"/>
        </w:rPr>
        <w:t>投标人资格要求</w:t>
      </w:r>
      <w:bookmarkEnd w:id="27"/>
      <w:bookmarkEnd w:id="28"/>
      <w:bookmarkEnd w:id="29"/>
      <w:bookmarkEnd w:id="30"/>
      <w:bookmarkEnd w:id="31"/>
      <w:bookmarkEnd w:id="32"/>
    </w:p>
    <w:p>
      <w:pPr>
        <w:tabs>
          <w:tab w:val="left" w:pos="751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3.1投标人参加投标的意思表达清楚，投标人代表被授权有效。 </w:t>
      </w:r>
    </w:p>
    <w:p>
      <w:pPr>
        <w:tabs>
          <w:tab w:val="left" w:pos="7513"/>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3.2投标人均具有独立法人资格，持有工商行政管理部门核发的法人营业执照，按国家法律经营。</w:t>
      </w:r>
    </w:p>
    <w:p>
      <w:pPr>
        <w:tabs>
          <w:tab w:val="left" w:pos="7513"/>
        </w:tabs>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3.3投标人须具备建设行政主管部门颁发的</w:t>
      </w:r>
      <w:r>
        <w:rPr>
          <w:rFonts w:hint="eastAsia" w:ascii="宋体" w:hAnsi="宋体" w:cs="宋体"/>
          <w:color w:val="auto"/>
          <w:sz w:val="24"/>
          <w:highlight w:val="none"/>
        </w:rPr>
        <w:t>工程监理综合资质或市政公用工程监理</w:t>
      </w:r>
      <w:r>
        <w:rPr>
          <w:rFonts w:hint="eastAsia" w:ascii="宋体" w:hAnsi="宋体" w:cs="宋体"/>
          <w:color w:val="auto"/>
          <w:sz w:val="24"/>
          <w:highlight w:val="none"/>
          <w:lang w:val="en-US" w:eastAsia="zh-CN"/>
        </w:rPr>
        <w:t>甲</w:t>
      </w:r>
      <w:r>
        <w:rPr>
          <w:rFonts w:hint="eastAsia" w:ascii="宋体" w:hAnsi="宋体" w:cs="宋体"/>
          <w:color w:val="auto"/>
          <w:sz w:val="24"/>
          <w:highlight w:val="none"/>
        </w:rPr>
        <w:t>级资质。</w:t>
      </w:r>
    </w:p>
    <w:p>
      <w:pPr>
        <w:tabs>
          <w:tab w:val="left" w:pos="7513"/>
        </w:tabs>
        <w:spacing w:line="49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2020〕1号，详见链接：</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"http://zfcxjst.gd.gov.cn/xxgk/wjtz/content/post_3137220.html），" </w:instrText>
      </w:r>
      <w:r>
        <w:rPr>
          <w:rFonts w:ascii="Times New Roman" w:hAnsi="Times New Roman" w:cs="Times New Roman"/>
          <w:color w:val="auto"/>
          <w:highlight w:val="none"/>
        </w:rPr>
        <w:fldChar w:fldCharType="separate"/>
      </w:r>
      <w:r>
        <w:rPr>
          <w:rFonts w:ascii="Times New Roman" w:hAnsi="Times New Roman" w:cs="Times New Roman"/>
          <w:color w:val="auto"/>
          <w:sz w:val="24"/>
          <w:highlight w:val="none"/>
        </w:rPr>
        <w:t>http://zfcxjst.gd.gov.cn/xxgk/wjtz/content/post_3137220.html），</w:t>
      </w:r>
      <w:r>
        <w:rPr>
          <w:rFonts w:ascii="Times New Roman" w:hAnsi="Times New Roman" w:cs="Times New Roman"/>
          <w:color w:val="auto"/>
          <w:sz w:val="24"/>
          <w:highlight w:val="none"/>
        </w:rPr>
        <w:fldChar w:fldCharType="end"/>
      </w:r>
      <w:r>
        <w:rPr>
          <w:rFonts w:hint="eastAsia" w:ascii="宋体" w:hAnsi="宋体" w:cs="宋体"/>
          <w:color w:val="auto"/>
          <w:sz w:val="24"/>
          <w:highlight w:val="none"/>
        </w:rPr>
        <w:t>自</w:t>
      </w:r>
      <w:r>
        <w:rPr>
          <w:rFonts w:ascii="宋体" w:hAnsi="宋体" w:cs="宋体"/>
          <w:color w:val="auto"/>
          <w:sz w:val="24"/>
          <w:highlight w:val="none"/>
        </w:rPr>
        <w:t>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参与本次投标的，应按招标文件要求提供满足评审的相关证明文件。</w:t>
      </w:r>
    </w:p>
    <w:p>
      <w:pPr>
        <w:tabs>
          <w:tab w:val="left" w:pos="7513"/>
        </w:tabs>
        <w:spacing w:line="490" w:lineRule="exact"/>
        <w:ind w:firstLine="480" w:firstLineChars="200"/>
        <w:rPr>
          <w:rFonts w:ascii="宋体" w:hAnsi="宋体" w:cs="宋体"/>
          <w:color w:val="auto"/>
          <w:sz w:val="24"/>
          <w:highlight w:val="none"/>
        </w:rPr>
      </w:pPr>
      <w:r>
        <w:rPr>
          <w:rFonts w:ascii="宋体" w:hAnsi="宋体" w:cs="宋体"/>
          <w:color w:val="auto"/>
          <w:sz w:val="24"/>
          <w:highlight w:val="none"/>
        </w:rPr>
        <w:t>3.4拟派总监理工程师须具有建设部2006年4月1日后颁发的中华人民共和国注册监理工程师注册执业证书，</w:t>
      </w:r>
      <w:r>
        <w:rPr>
          <w:rFonts w:hint="eastAsia" w:ascii="宋体" w:hAnsi="宋体" w:cs="宋体"/>
          <w:color w:val="auto"/>
          <w:sz w:val="24"/>
          <w:highlight w:val="none"/>
        </w:rPr>
        <w:t>且注册专业为市政公用工程并具备本科或以上学历，注册执业单位为投标人。或在广东省住房和城乡建设主管部门备案且备案的业务范围符合本招标项目对总监理工程师要求的香港专业人士。</w:t>
      </w:r>
    </w:p>
    <w:p>
      <w:pPr>
        <w:tabs>
          <w:tab w:val="left" w:pos="7513"/>
        </w:tabs>
        <w:spacing w:line="49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注：香港专业人士的备案业务范围依据《广东省住房和城乡建设厅关于印发香港工程建设咨询企业和专业人士在粤港澳大湾区内地城市开业执业试点管理暂行办法的通知》（粤建规范〔2020〕1号）确定。</w:t>
      </w:r>
    </w:p>
    <w:p>
      <w:pPr>
        <w:pStyle w:val="28"/>
        <w:spacing w:before="0" w:after="0" w:line="490" w:lineRule="exact"/>
        <w:ind w:firstLine="480" w:firstLineChars="200"/>
        <w:jc w:val="both"/>
        <w:rPr>
          <w:color w:val="auto"/>
          <w:highlight w:val="none"/>
        </w:rPr>
      </w:pPr>
      <w:r>
        <w:rPr>
          <w:rFonts w:hint="eastAsia"/>
          <w:color w:val="auto"/>
          <w:highlight w:val="none"/>
        </w:rPr>
        <w:t>3.5投标登记前，投标人已在广州公共资源交易中心办理企业信息登记及拟担任本工程总监理工程师须是本单位在企业库中的在册人员。</w:t>
      </w:r>
    </w:p>
    <w:p>
      <w:pPr>
        <w:pStyle w:val="28"/>
        <w:spacing w:before="0" w:after="0" w:line="490" w:lineRule="exact"/>
        <w:ind w:firstLine="480" w:firstLineChars="200"/>
        <w:jc w:val="both"/>
        <w:rPr>
          <w:color w:val="auto"/>
          <w:highlight w:val="none"/>
        </w:rPr>
      </w:pPr>
      <w:r>
        <w:rPr>
          <w:rFonts w:hint="eastAsia"/>
          <w:color w:val="auto"/>
          <w:highlight w:val="none"/>
        </w:rPr>
        <w:t>3.6投标人已按规定格式签名盖章《投标人声明》（格式详见招标公告附件一）。</w:t>
      </w:r>
    </w:p>
    <w:p>
      <w:pPr>
        <w:tabs>
          <w:tab w:val="left" w:pos="7513"/>
        </w:tabs>
        <w:spacing w:line="49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投标人应未被纳入国家、市、区的失信联合惩戒名单且被限制参加建设工程投标（具体名单以递交投标文件截止时间“信用广州”https://credit1.gz.gov.cn/sgs/sgsXkNew公布的“失信黑名单”为准。不包含限制参加财政投资工程或政府投资工程的投标）。</w:t>
      </w:r>
    </w:p>
    <w:p>
      <w:pPr>
        <w:tabs>
          <w:tab w:val="left" w:pos="7513"/>
        </w:tabs>
        <w:spacing w:line="49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3.8本项目</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pPr>
        <w:wordWrap w:val="0"/>
        <w:topLinePunct/>
        <w:adjustRightInd w:val="0"/>
        <w:snapToGrid w:val="0"/>
        <w:spacing w:line="490" w:lineRule="exact"/>
        <w:ind w:firstLine="480" w:firstLineChars="200"/>
        <w:rPr>
          <w:color w:val="auto"/>
          <w:highlight w:val="none"/>
        </w:rPr>
      </w:pPr>
      <w:r>
        <w:rPr>
          <w:rFonts w:hint="eastAsia" w:ascii="宋体" w:hAnsi="宋体" w:cs="宋体"/>
          <w:color w:val="auto"/>
          <w:sz w:val="24"/>
          <w:highlight w:val="none"/>
        </w:rPr>
        <w:t>注：未在招标公告第三条单列的投标人资格要求条件，不作为资审不合格的依据。</w:t>
      </w:r>
    </w:p>
    <w:p>
      <w:pPr>
        <w:numPr>
          <w:ilvl w:val="0"/>
          <w:numId w:val="2"/>
        </w:numPr>
        <w:spacing w:line="490" w:lineRule="exact"/>
        <w:ind w:firstLine="643" w:firstLineChars="200"/>
        <w:outlineLvl w:val="1"/>
        <w:rPr>
          <w:rFonts w:eastAsia="黑体"/>
          <w:b/>
          <w:color w:val="auto"/>
          <w:sz w:val="32"/>
          <w:szCs w:val="24"/>
          <w:highlight w:val="none"/>
        </w:rPr>
      </w:pPr>
      <w:bookmarkStart w:id="33" w:name="_Toc47694118"/>
      <w:bookmarkStart w:id="34" w:name="_Toc47621268"/>
      <w:bookmarkStart w:id="35" w:name="_Toc24551"/>
      <w:bookmarkStart w:id="36" w:name="_Toc89870544"/>
      <w:bookmarkStart w:id="37" w:name="_Toc515033014"/>
      <w:bookmarkStart w:id="38" w:name="_Toc511557029"/>
      <w:r>
        <w:rPr>
          <w:rFonts w:hint="eastAsia" w:eastAsia="黑体"/>
          <w:b/>
          <w:color w:val="auto"/>
          <w:sz w:val="32"/>
          <w:szCs w:val="24"/>
          <w:highlight w:val="none"/>
        </w:rPr>
        <w:t>招标文件的获取</w:t>
      </w:r>
      <w:bookmarkEnd w:id="33"/>
      <w:bookmarkEnd w:id="34"/>
      <w:bookmarkEnd w:id="35"/>
      <w:bookmarkEnd w:id="36"/>
    </w:p>
    <w:p>
      <w:pPr>
        <w:spacing w:line="490" w:lineRule="exact"/>
        <w:ind w:firstLine="480" w:firstLineChars="200"/>
        <w:rPr>
          <w:color w:val="auto"/>
          <w:sz w:val="24"/>
          <w:szCs w:val="24"/>
          <w:highlight w:val="none"/>
        </w:rPr>
      </w:pPr>
      <w:bookmarkStart w:id="39" w:name="_Toc5049"/>
      <w:bookmarkStart w:id="40" w:name="_Toc47621269"/>
      <w:bookmarkStart w:id="41" w:name="_Toc47694119"/>
      <w:r>
        <w:rPr>
          <w:rFonts w:hint="eastAsia" w:ascii="宋体" w:hAnsi="宋体" w:cs="宋体"/>
          <w:color w:val="auto"/>
          <w:sz w:val="24"/>
          <w:highlight w:val="none"/>
        </w:rPr>
        <w:t>4.1</w:t>
      </w:r>
      <w:r>
        <w:rPr>
          <w:rFonts w:hint="eastAsia"/>
          <w:color w:val="auto"/>
          <w:sz w:val="24"/>
          <w:szCs w:val="24"/>
          <w:highlight w:val="none"/>
        </w:rPr>
        <w:t>（B）凡有意参加投标者，请于</w:t>
      </w:r>
      <w:r>
        <w:rPr>
          <w:rFonts w:hint="eastAsia"/>
          <w:color w:val="auto"/>
          <w:sz w:val="24"/>
          <w:szCs w:val="24"/>
          <w:highlight w:val="none"/>
          <w:u w:val="single"/>
        </w:rPr>
        <w:t xml:space="preserve">  年  月  日  时  分</w:t>
      </w:r>
      <w:r>
        <w:rPr>
          <w:rFonts w:hint="eastAsia"/>
          <w:color w:val="auto"/>
          <w:sz w:val="24"/>
          <w:szCs w:val="24"/>
          <w:highlight w:val="none"/>
        </w:rPr>
        <w:t>至</w:t>
      </w:r>
      <w:r>
        <w:rPr>
          <w:rFonts w:hint="eastAsia"/>
          <w:color w:val="auto"/>
          <w:sz w:val="24"/>
          <w:szCs w:val="24"/>
          <w:highlight w:val="none"/>
          <w:u w:val="single"/>
        </w:rPr>
        <w:t xml:space="preserve">  年  月  日  时  分</w:t>
      </w:r>
      <w:r>
        <w:rPr>
          <w:rFonts w:hint="eastAsia"/>
          <w:color w:val="auto"/>
          <w:sz w:val="24"/>
          <w:szCs w:val="24"/>
          <w:highlight w:val="none"/>
        </w:rPr>
        <w:t>(北京时间，下同)，登录</w:t>
      </w:r>
      <w:r>
        <w:rPr>
          <w:rFonts w:hint="eastAsia"/>
          <w:color w:val="auto"/>
          <w:sz w:val="24"/>
          <w:szCs w:val="24"/>
          <w:highlight w:val="none"/>
          <w:u w:val="single"/>
        </w:rPr>
        <w:t>广州公共资源交易中心网</w:t>
      </w:r>
      <w:r>
        <w:rPr>
          <w:rFonts w:hint="eastAsia"/>
          <w:color w:val="auto"/>
          <w:sz w:val="24"/>
          <w:szCs w:val="24"/>
          <w:highlight w:val="none"/>
        </w:rPr>
        <w:t>（http//www.gzggzy.cn）下载电子招标文件。</w:t>
      </w:r>
    </w:p>
    <w:p>
      <w:pPr>
        <w:spacing w:line="49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w:t>
      </w:r>
      <w:r>
        <w:rPr>
          <w:rFonts w:hint="eastAsia"/>
          <w:color w:val="auto"/>
          <w:sz w:val="24"/>
          <w:szCs w:val="24"/>
          <w:highlight w:val="none"/>
        </w:rPr>
        <w:t xml:space="preserve"> 本项目设立投标登记环节，采取</w:t>
      </w:r>
      <w:r>
        <w:rPr>
          <w:rFonts w:hint="eastAsia"/>
          <w:color w:val="auto"/>
          <w:sz w:val="24"/>
          <w:szCs w:val="24"/>
          <w:highlight w:val="none"/>
          <w:u w:val="single"/>
        </w:rPr>
        <w:t>网上登记</w:t>
      </w:r>
      <w:r>
        <w:rPr>
          <w:rFonts w:hint="eastAsia"/>
          <w:color w:val="auto"/>
          <w:sz w:val="24"/>
          <w:szCs w:val="24"/>
          <w:highlight w:val="none"/>
        </w:rPr>
        <w:t>方式进行投标登记。不接受现场投标登记（参加投标登记之前，投标人应查询本企业在广州公共资源交易中心的信息登记的状态，确保一切信息都是真实的、在有效期内的，以免出现相关信息不能被使用的情况。上述情况有可能导致投标信息无法录入广州公共资源交易中心信息系统。如出现上述情况，投标人有可能失去投标机会，因其可能所引起的一切后果由投标人承担。）。</w:t>
      </w:r>
    </w:p>
    <w:p>
      <w:pPr>
        <w:spacing w:line="360" w:lineRule="auto"/>
        <w:ind w:firstLine="480" w:firstLineChars="200"/>
        <w:rPr>
          <w:color w:val="auto"/>
          <w:sz w:val="24"/>
          <w:szCs w:val="24"/>
          <w:highlight w:val="none"/>
        </w:rPr>
      </w:pPr>
      <w:r>
        <w:rPr>
          <w:rFonts w:hint="eastAsia" w:ascii="宋体" w:hAnsi="宋体" w:cs="宋体"/>
          <w:color w:val="auto"/>
          <w:sz w:val="24"/>
          <w:highlight w:val="none"/>
        </w:rPr>
        <w:t>4.2.1</w:t>
      </w:r>
      <w:r>
        <w:rPr>
          <w:rFonts w:hint="eastAsia"/>
          <w:color w:val="auto"/>
          <w:sz w:val="24"/>
          <w:szCs w:val="24"/>
          <w:highlight w:val="none"/>
        </w:rPr>
        <w:t>投标登记时间：</w:t>
      </w:r>
      <w:r>
        <w:rPr>
          <w:rFonts w:hint="eastAsia"/>
          <w:color w:val="auto"/>
          <w:sz w:val="24"/>
          <w:szCs w:val="24"/>
          <w:highlight w:val="none"/>
          <w:u w:val="single"/>
        </w:rPr>
        <w:t xml:space="preserve">  年  月  日  时  分</w:t>
      </w:r>
      <w:r>
        <w:rPr>
          <w:rFonts w:hint="eastAsia"/>
          <w:color w:val="auto"/>
          <w:sz w:val="24"/>
          <w:szCs w:val="24"/>
          <w:highlight w:val="none"/>
        </w:rPr>
        <w:t>至</w:t>
      </w:r>
      <w:r>
        <w:rPr>
          <w:rFonts w:hint="eastAsia"/>
          <w:color w:val="auto"/>
          <w:sz w:val="24"/>
          <w:szCs w:val="24"/>
          <w:highlight w:val="none"/>
          <w:u w:val="single"/>
        </w:rPr>
        <w:t xml:space="preserve">  年  月  日  时  分</w:t>
      </w:r>
      <w:r>
        <w:rPr>
          <w:rFonts w:hint="eastAsia"/>
          <w:color w:val="auto"/>
          <w:sz w:val="24"/>
          <w:szCs w:val="24"/>
          <w:highlight w:val="none"/>
        </w:rPr>
        <w:t>。</w:t>
      </w:r>
    </w:p>
    <w:p>
      <w:pPr>
        <w:spacing w:line="360" w:lineRule="auto"/>
        <w:ind w:firstLine="480" w:firstLineChars="200"/>
        <w:rPr>
          <w:color w:val="auto"/>
          <w:sz w:val="24"/>
          <w:szCs w:val="24"/>
          <w:highlight w:val="none"/>
        </w:rPr>
      </w:pPr>
      <w:r>
        <w:rPr>
          <w:rFonts w:hint="eastAsia" w:ascii="宋体" w:hAnsi="宋体" w:cs="宋体"/>
          <w:color w:val="auto"/>
          <w:sz w:val="24"/>
          <w:highlight w:val="none"/>
        </w:rPr>
        <w:t>4.3</w:t>
      </w:r>
      <w:r>
        <w:rPr>
          <w:rFonts w:hint="eastAsia"/>
          <w:color w:val="auto"/>
          <w:sz w:val="24"/>
          <w:szCs w:val="24"/>
          <w:highlight w:val="none"/>
        </w:rPr>
        <w:t xml:space="preserve"> 本项目采用资格后审方式。</w:t>
      </w:r>
    </w:p>
    <w:p>
      <w:pPr>
        <w:spacing w:line="360" w:lineRule="auto"/>
        <w:ind w:firstLine="480" w:firstLineChars="200"/>
        <w:rPr>
          <w:color w:val="auto"/>
          <w:sz w:val="24"/>
          <w:szCs w:val="24"/>
          <w:highlight w:val="none"/>
        </w:rPr>
      </w:pPr>
      <w:r>
        <w:rPr>
          <w:rFonts w:hint="eastAsia"/>
          <w:color w:val="auto"/>
          <w:sz w:val="24"/>
          <w:szCs w:val="24"/>
          <w:highlight w:val="none"/>
        </w:rPr>
        <w:t>注：电子招投标操作流程详见广州公共资源交易中心网站发布的最新版操作指引。</w:t>
      </w:r>
    </w:p>
    <w:p>
      <w:pPr>
        <w:spacing w:line="360" w:lineRule="auto"/>
        <w:ind w:firstLine="643" w:firstLineChars="200"/>
        <w:outlineLvl w:val="1"/>
        <w:rPr>
          <w:rFonts w:eastAsia="黑体"/>
          <w:b/>
          <w:color w:val="auto"/>
          <w:sz w:val="32"/>
          <w:szCs w:val="24"/>
          <w:highlight w:val="none"/>
        </w:rPr>
      </w:pPr>
      <w:bookmarkStart w:id="42" w:name="_Toc89870545"/>
      <w:r>
        <w:rPr>
          <w:rFonts w:eastAsia="黑体"/>
          <w:b/>
          <w:color w:val="auto"/>
          <w:sz w:val="32"/>
          <w:szCs w:val="24"/>
          <w:highlight w:val="none"/>
        </w:rPr>
        <w:t>5.</w:t>
      </w:r>
      <w:r>
        <w:rPr>
          <w:rFonts w:hint="eastAsia" w:eastAsia="黑体"/>
          <w:b/>
          <w:color w:val="auto"/>
          <w:sz w:val="32"/>
          <w:szCs w:val="24"/>
          <w:highlight w:val="none"/>
        </w:rPr>
        <w:t xml:space="preserve"> 投标文件的递交</w:t>
      </w:r>
      <w:bookmarkEnd w:id="39"/>
      <w:bookmarkEnd w:id="40"/>
      <w:bookmarkEnd w:id="41"/>
      <w:bookmarkEnd w:id="4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lang w:bidi="ar"/>
        </w:rPr>
        <w:t>5.1发布</w:t>
      </w:r>
      <w:r>
        <w:rPr>
          <w:rFonts w:hint="eastAsia" w:ascii="宋体" w:hAnsi="宋体" w:cs="宋体"/>
          <w:color w:val="auto"/>
          <w:sz w:val="24"/>
          <w:szCs w:val="24"/>
          <w:highlight w:val="none"/>
        </w:rPr>
        <w:t>招标公告时间（含本日）：</w:t>
      </w:r>
      <w:r>
        <w:rPr>
          <w:rFonts w:ascii="宋体" w:hAnsi="宋体" w:cs="宋体"/>
          <w:color w:val="auto"/>
          <w:sz w:val="24"/>
          <w:szCs w:val="24"/>
          <w:highlight w:val="none"/>
          <w:u w:val="single"/>
        </w:rPr>
        <w:t xml:space="preserve">   </w:t>
      </w:r>
      <w:r>
        <w:rPr>
          <w:rFonts w:hint="eastAsia"/>
          <w:color w:val="auto"/>
          <w:sz w:val="24"/>
          <w:szCs w:val="24"/>
          <w:highlight w:val="none"/>
          <w:u w:val="single"/>
        </w:rPr>
        <w:t>年  月  日  时  分至</w:t>
      </w:r>
      <w:r>
        <w:rPr>
          <w:color w:val="auto"/>
          <w:sz w:val="24"/>
          <w:szCs w:val="24"/>
          <w:highlight w:val="none"/>
          <w:u w:val="single"/>
        </w:rPr>
        <w:t xml:space="preserve">   </w:t>
      </w:r>
      <w:r>
        <w:rPr>
          <w:rFonts w:hint="eastAsia"/>
          <w:color w:val="auto"/>
          <w:sz w:val="24"/>
          <w:szCs w:val="24"/>
          <w:highlight w:val="none"/>
          <w:u w:val="single"/>
        </w:rPr>
        <w:t>年 月  日 时  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5.2递</w:t>
      </w:r>
      <w:r>
        <w:rPr>
          <w:rFonts w:hint="eastAsia" w:ascii="宋体" w:hAnsi="宋体" w:cs="宋体"/>
          <w:color w:val="auto"/>
          <w:sz w:val="24"/>
          <w:szCs w:val="24"/>
          <w:highlight w:val="none"/>
        </w:rPr>
        <w:t>交投标文件时间：</w:t>
      </w:r>
      <w:r>
        <w:rPr>
          <w:rFonts w:ascii="宋体" w:hAnsi="宋体" w:cs="宋体"/>
          <w:color w:val="auto"/>
          <w:sz w:val="24"/>
          <w:szCs w:val="24"/>
          <w:highlight w:val="none"/>
          <w:u w:val="single"/>
        </w:rPr>
        <w:t xml:space="preserve">   </w:t>
      </w:r>
      <w:r>
        <w:rPr>
          <w:rFonts w:hint="eastAsia"/>
          <w:color w:val="auto"/>
          <w:sz w:val="24"/>
          <w:szCs w:val="24"/>
          <w:highlight w:val="none"/>
          <w:u w:val="single"/>
        </w:rPr>
        <w:t>年  月  日  时  分至</w:t>
      </w:r>
      <w:r>
        <w:rPr>
          <w:color w:val="auto"/>
          <w:sz w:val="24"/>
          <w:szCs w:val="24"/>
          <w:highlight w:val="none"/>
          <w:u w:val="single"/>
        </w:rPr>
        <w:t xml:space="preserve"> </w:t>
      </w:r>
      <w:r>
        <w:rPr>
          <w:rFonts w:hint="eastAsia"/>
          <w:color w:val="auto"/>
          <w:sz w:val="24"/>
          <w:szCs w:val="24"/>
          <w:highlight w:val="none"/>
          <w:u w:val="single"/>
        </w:rPr>
        <w:t xml:space="preserve">  年  月  日  时  分</w:t>
      </w:r>
      <w:r>
        <w:rPr>
          <w:rFonts w:hint="eastAsia" w:ascii="宋体" w:hAnsi="宋体" w:cs="宋体"/>
          <w:color w:val="auto"/>
          <w:sz w:val="24"/>
          <w:szCs w:val="24"/>
          <w:highlight w:val="none"/>
        </w:rPr>
        <w:t>。投标人通过</w:t>
      </w:r>
      <w:r>
        <w:rPr>
          <w:rFonts w:hint="eastAsia" w:ascii="宋体" w:hAnsi="宋体" w:cs="宋体"/>
          <w:color w:val="auto"/>
          <w:sz w:val="24"/>
          <w:szCs w:val="24"/>
          <w:highlight w:val="none"/>
          <w:u w:val="single"/>
        </w:rPr>
        <w:t>广州公共资源交易中心网站（网址：http://www.gzggzy.cn/）</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广州公共资源交易中心网站</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广州公共资源交易中心网站首页-服务指南。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5.3投标文件备用光盘递交时间：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时</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分至</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时</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分；地点为广州公共资源交易中心增城交易部</w:t>
      </w:r>
      <w:r>
        <w:rPr>
          <w:rFonts w:hint="eastAsia" w:ascii="宋体" w:hAnsi="宋体" w:cs="宋体"/>
          <w:color w:val="auto"/>
          <w:sz w:val="24"/>
          <w:szCs w:val="24"/>
          <w:highlight w:val="none"/>
        </w:rPr>
        <w:t>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w:t>
      </w:r>
      <w:r>
        <w:rPr>
          <w:rFonts w:hint="eastAsia" w:ascii="宋体" w:hAnsi="宋体" w:cs="宋体"/>
          <w:color w:val="auto"/>
          <w:sz w:val="24"/>
          <w:highlight w:val="none"/>
          <w:lang w:bidi="ar"/>
        </w:rPr>
        <w:t>（增城区增城大道2号金河湾3栋108）。</w:t>
      </w:r>
      <w:r>
        <w:rPr>
          <w:rFonts w:hint="eastAsia" w:ascii="Times New Roman" w:hAnsi="Times New Roman" w:cs="宋体"/>
          <w:color w:val="auto"/>
          <w:sz w:val="24"/>
          <w:szCs w:val="24"/>
          <w:highlight w:val="none"/>
          <w:lang w:bidi="ar"/>
        </w:rPr>
        <w:t>（电子光盘需按规定封装。投标人将数据刻录到光盘之后，应在投标前自行检查文件是否可以读取。）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lang w:bidi="ar"/>
        </w:rPr>
        <w:t>5.4</w:t>
      </w:r>
      <w:r>
        <w:rPr>
          <w:rFonts w:hint="eastAsia" w:ascii="宋体" w:hAnsi="宋体" w:cs="宋体"/>
          <w:color w:val="auto"/>
          <w:sz w:val="24"/>
          <w:szCs w:val="24"/>
          <w:highlight w:val="none"/>
        </w:rPr>
        <w:t>逾期送达的投标文件，电子招标投标交易平台将予以拒收。逾期未上传成功的电子投标文件，招标人拒绝接收。逾期或未在指定地点递交投标文件光盘的,招标人拒绝接收其投标文件光盘。</w:t>
      </w:r>
    </w:p>
    <w:p>
      <w:pPr>
        <w:tabs>
          <w:tab w:val="left" w:pos="360"/>
        </w:tabs>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5.5 开标时间：</w:t>
      </w:r>
      <w:r>
        <w:rPr>
          <w:rFonts w:hint="eastAsia" w:ascii="宋体" w:hAnsi="宋体" w:cs="宋体"/>
          <w:color w:val="auto"/>
          <w:sz w:val="24"/>
          <w:szCs w:val="24"/>
          <w:highlight w:val="none"/>
          <w:u w:val="single"/>
        </w:rPr>
        <w:t xml:space="preserve">    </w:t>
      </w:r>
      <w:r>
        <w:rPr>
          <w:rFonts w:hint="eastAsia"/>
          <w:color w:val="auto"/>
          <w:sz w:val="24"/>
          <w:szCs w:val="24"/>
          <w:highlight w:val="none"/>
          <w:u w:val="single"/>
        </w:rPr>
        <w:t>年  月  日  时  分</w:t>
      </w:r>
      <w:r>
        <w:rPr>
          <w:rFonts w:hint="eastAsia" w:ascii="宋体" w:hAnsi="宋体" w:cs="宋体"/>
          <w:color w:val="auto"/>
          <w:sz w:val="24"/>
          <w:szCs w:val="24"/>
          <w:highlight w:val="none"/>
        </w:rPr>
        <w:t>。地点：广州公共资源交易中心增城交易部第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w:t>
      </w:r>
    </w:p>
    <w:p>
      <w:pPr>
        <w:spacing w:line="360" w:lineRule="auto"/>
        <w:ind w:firstLine="643" w:firstLineChars="200"/>
        <w:outlineLvl w:val="1"/>
        <w:rPr>
          <w:rFonts w:ascii="楷体" w:hAnsi="楷体" w:eastAsia="楷体" w:cs="楷体"/>
          <w:b/>
          <w:color w:val="auto"/>
          <w:sz w:val="32"/>
          <w:szCs w:val="24"/>
          <w:highlight w:val="none"/>
        </w:rPr>
      </w:pPr>
      <w:bookmarkStart w:id="43" w:name="_Toc47621270"/>
      <w:bookmarkStart w:id="44" w:name="_Toc4336"/>
      <w:bookmarkStart w:id="45" w:name="_Toc47694120"/>
      <w:bookmarkStart w:id="46" w:name="_Toc89870546"/>
      <w:r>
        <w:rPr>
          <w:rFonts w:hint="eastAsia" w:eastAsia="黑体"/>
          <w:b/>
          <w:color w:val="auto"/>
          <w:sz w:val="32"/>
          <w:szCs w:val="24"/>
          <w:highlight w:val="none"/>
        </w:rPr>
        <w:t>6. 发布公告的媒介</w:t>
      </w:r>
      <w:bookmarkEnd w:id="43"/>
      <w:bookmarkEnd w:id="44"/>
      <w:bookmarkEnd w:id="45"/>
      <w:bookmarkEnd w:id="46"/>
    </w:p>
    <w:bookmarkEnd w:id="37"/>
    <w:bookmarkEnd w:id="38"/>
    <w:p>
      <w:pPr>
        <w:spacing w:line="360" w:lineRule="auto"/>
        <w:ind w:firstLine="480" w:firstLineChars="200"/>
        <w:rPr>
          <w:color w:val="auto"/>
          <w:sz w:val="24"/>
          <w:szCs w:val="24"/>
          <w:highlight w:val="none"/>
        </w:rPr>
      </w:pPr>
      <w:bookmarkStart w:id="47" w:name="_Toc47694121"/>
      <w:bookmarkStart w:id="48" w:name="_Toc511557031"/>
      <w:bookmarkStart w:id="49" w:name="_Toc47621271"/>
      <w:bookmarkStart w:id="50" w:name="_Toc7161"/>
      <w:bookmarkStart w:id="51" w:name="_Toc515033016"/>
      <w:r>
        <w:rPr>
          <w:color w:val="auto"/>
          <w:sz w:val="24"/>
          <w:szCs w:val="24"/>
          <w:highlight w:val="none"/>
        </w:rPr>
        <w:t>本次招标公告同时在</w:t>
      </w:r>
      <w:r>
        <w:rPr>
          <w:rFonts w:hint="eastAsia" w:ascii="Times New Roman" w:hAnsi="Times New Roman"/>
          <w:color w:val="auto"/>
          <w:sz w:val="24"/>
          <w:szCs w:val="24"/>
          <w:highlight w:val="none"/>
          <w:u w:val="single"/>
        </w:rPr>
        <w:t>广州公共资源交易中心（网址：</w:t>
      </w:r>
      <w:r>
        <w:rPr>
          <w:rFonts w:ascii="Times New Roman" w:hAnsi="Times New Roman"/>
          <w:color w:val="auto"/>
          <w:sz w:val="24"/>
          <w:szCs w:val="24"/>
          <w:highlight w:val="none"/>
          <w:u w:val="single"/>
        </w:rPr>
        <w:t>http://www.gzggzy.cn/</w:t>
      </w:r>
      <w:r>
        <w:rPr>
          <w:rFonts w:hint="eastAsia" w:ascii="Times New Roman" w:hAnsi="Times New Roman"/>
          <w:color w:val="auto"/>
          <w:sz w:val="24"/>
          <w:szCs w:val="24"/>
          <w:highlight w:val="none"/>
          <w:u w:val="single"/>
        </w:rPr>
        <w:t>）、广东省招标投标监管网（网址：</w:t>
      </w:r>
      <w:r>
        <w:rPr>
          <w:rFonts w:ascii="Times New Roman" w:hAnsi="Times New Roman"/>
          <w:color w:val="auto"/>
          <w:sz w:val="24"/>
          <w:szCs w:val="24"/>
          <w:highlight w:val="none"/>
          <w:u w:val="single"/>
        </w:rPr>
        <w:t>http://zbtb.gd.gov.cn/</w:t>
      </w:r>
      <w:r>
        <w:rPr>
          <w:rFonts w:hint="eastAsia" w:ascii="Times New Roman" w:hAnsi="Times New Roman"/>
          <w:color w:val="auto"/>
          <w:sz w:val="24"/>
          <w:szCs w:val="24"/>
          <w:highlight w:val="none"/>
          <w:u w:val="single"/>
        </w:rPr>
        <w:t>）、中国招标投标公共服务平台（网址：</w:t>
      </w:r>
      <w:r>
        <w:rPr>
          <w:rFonts w:ascii="Times New Roman" w:hAnsi="Times New Roman"/>
          <w:color w:val="auto"/>
          <w:sz w:val="24"/>
          <w:szCs w:val="24"/>
          <w:highlight w:val="none"/>
          <w:u w:val="single"/>
        </w:rPr>
        <w:t>http://www.cebpubservice.com/</w:t>
      </w:r>
      <w:r>
        <w:rPr>
          <w:rFonts w:hint="eastAsia" w:ascii="Times New Roman" w:hAnsi="Times New Roman"/>
          <w:color w:val="auto"/>
          <w:sz w:val="24"/>
          <w:szCs w:val="24"/>
          <w:highlight w:val="none"/>
          <w:u w:val="single"/>
        </w:rPr>
        <w:t>）和广州市增城区人民政府门户网站（网址：</w:t>
      </w:r>
      <w:r>
        <w:rPr>
          <w:rFonts w:ascii="Times New Roman" w:hAnsi="Times New Roman"/>
          <w:color w:val="auto"/>
          <w:sz w:val="24"/>
          <w:szCs w:val="24"/>
          <w:highlight w:val="none"/>
          <w:u w:val="single"/>
        </w:rPr>
        <w:t>http://www.zc.gov.cn/</w:t>
      </w:r>
      <w:r>
        <w:rPr>
          <w:rFonts w:hint="eastAsia" w:ascii="Times New Roman" w:hAnsi="Times New Roman"/>
          <w:color w:val="auto"/>
          <w:sz w:val="24"/>
          <w:szCs w:val="24"/>
          <w:highlight w:val="none"/>
          <w:u w:val="single"/>
        </w:rPr>
        <w:t xml:space="preserve"> “首页</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公开</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公共资源配置领域</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工程建设项目招投标”）</w:t>
      </w:r>
      <w:r>
        <w:rPr>
          <w:rFonts w:hint="eastAsia" w:ascii="Times New Roman" w:hAnsi="Times New Roman"/>
          <w:color w:val="auto"/>
          <w:sz w:val="24"/>
          <w:szCs w:val="24"/>
          <w:highlight w:val="none"/>
        </w:rPr>
        <w:t>栏目发布，</w:t>
      </w:r>
      <w:r>
        <w:rPr>
          <w:rFonts w:hint="eastAsia" w:ascii="宋体" w:hAnsi="宋体" w:cs="宋体"/>
          <w:color w:val="auto"/>
          <w:sz w:val="24"/>
          <w:szCs w:val="24"/>
          <w:highlight w:val="none"/>
        </w:rPr>
        <w:t>本公告的修改、补充，在广州公共资源交易中心网站</w:t>
      </w:r>
      <w:r>
        <w:rPr>
          <w:color w:val="auto"/>
          <w:sz w:val="24"/>
          <w:szCs w:val="24"/>
          <w:highlight w:val="none"/>
        </w:rPr>
        <w:t>上发布。</w:t>
      </w:r>
    </w:p>
    <w:p>
      <w:pPr>
        <w:spacing w:line="360" w:lineRule="auto"/>
        <w:ind w:firstLine="643" w:firstLineChars="200"/>
        <w:rPr>
          <w:rFonts w:ascii="宋体" w:hAnsi="宋体"/>
          <w:color w:val="auto"/>
          <w:sz w:val="24"/>
          <w:highlight w:val="none"/>
          <w:u w:val="single"/>
        </w:rPr>
      </w:pPr>
      <w:bookmarkStart w:id="52" w:name="_Toc89870547"/>
      <w:r>
        <w:rPr>
          <w:rFonts w:hint="eastAsia" w:eastAsia="黑体"/>
          <w:b/>
          <w:color w:val="auto"/>
          <w:sz w:val="32"/>
          <w:szCs w:val="24"/>
          <w:highlight w:val="none"/>
        </w:rPr>
        <w:t>7</w:t>
      </w:r>
      <w:r>
        <w:rPr>
          <w:rFonts w:eastAsia="黑体"/>
          <w:b/>
          <w:color w:val="auto"/>
          <w:sz w:val="32"/>
          <w:szCs w:val="24"/>
          <w:highlight w:val="none"/>
        </w:rPr>
        <w:t xml:space="preserve">. </w:t>
      </w:r>
      <w:r>
        <w:rPr>
          <w:rFonts w:hint="eastAsia" w:eastAsia="黑体"/>
          <w:b/>
          <w:color w:val="auto"/>
          <w:sz w:val="32"/>
          <w:szCs w:val="24"/>
          <w:highlight w:val="none"/>
        </w:rPr>
        <w:t>联系方式</w:t>
      </w:r>
      <w:bookmarkEnd w:id="47"/>
      <w:bookmarkEnd w:id="48"/>
      <w:bookmarkEnd w:id="49"/>
      <w:bookmarkEnd w:id="50"/>
      <w:bookmarkEnd w:id="51"/>
      <w:bookmarkEnd w:id="52"/>
    </w:p>
    <w:p>
      <w:pPr>
        <w:spacing w:line="360" w:lineRule="auto"/>
        <w:ind w:firstLine="480" w:firstLineChars="200"/>
        <w:rPr>
          <w:rFonts w:ascii="宋体" w:hAnsi="宋体" w:cs="宋体"/>
          <w:color w:val="auto"/>
          <w:sz w:val="24"/>
          <w:szCs w:val="24"/>
          <w:highlight w:val="none"/>
          <w:u w:val="single"/>
        </w:rPr>
      </w:pPr>
      <w:bookmarkStart w:id="53" w:name="_Toc352691455"/>
      <w:bookmarkEnd w:id="53"/>
      <w:bookmarkStart w:id="54" w:name="_Toc361508563"/>
      <w:bookmarkEnd w:id="54"/>
      <w:bookmarkStart w:id="55" w:name="_Toc361508562"/>
      <w:bookmarkEnd w:id="55"/>
      <w:bookmarkStart w:id="56" w:name="_Toc384308185"/>
      <w:bookmarkEnd w:id="56"/>
      <w:bookmarkStart w:id="57" w:name="_Toc352691453"/>
      <w:bookmarkEnd w:id="57"/>
      <w:bookmarkStart w:id="58" w:name="_Toc369531497"/>
      <w:bookmarkEnd w:id="58"/>
      <w:bookmarkStart w:id="59" w:name="_Toc144974481"/>
      <w:bookmarkEnd w:id="59"/>
      <w:bookmarkStart w:id="60" w:name="_Toc10785"/>
      <w:bookmarkEnd w:id="60"/>
      <w:bookmarkStart w:id="61" w:name="_Toc300834927"/>
      <w:bookmarkEnd w:id="61"/>
      <w:bookmarkStart w:id="62" w:name="_Toc352691456"/>
      <w:bookmarkEnd w:id="62"/>
      <w:bookmarkStart w:id="63" w:name="_Toc247513934"/>
      <w:bookmarkEnd w:id="63"/>
      <w:bookmarkStart w:id="64" w:name="_Toc152045513"/>
      <w:bookmarkEnd w:id="64"/>
      <w:bookmarkStart w:id="65" w:name="_Toc144974480"/>
      <w:bookmarkEnd w:id="65"/>
      <w:bookmarkStart w:id="66" w:name="_Toc247527536"/>
      <w:bookmarkEnd w:id="66"/>
      <w:bookmarkStart w:id="67" w:name="_Toc384308188"/>
      <w:bookmarkEnd w:id="67"/>
      <w:bookmarkStart w:id="68" w:name="_Toc152042289"/>
      <w:bookmarkEnd w:id="68"/>
      <w:bookmarkStart w:id="69" w:name="_Toc247527535"/>
      <w:bookmarkEnd w:id="69"/>
      <w:bookmarkStart w:id="70" w:name="_Toc30817"/>
      <w:bookmarkEnd w:id="70"/>
      <w:bookmarkStart w:id="71" w:name="_Toc369531495"/>
      <w:bookmarkEnd w:id="71"/>
      <w:bookmarkStart w:id="72" w:name="_Toc152045512"/>
      <w:bookmarkEnd w:id="72"/>
      <w:bookmarkStart w:id="73" w:name="_Toc247513935"/>
      <w:bookmarkEnd w:id="73"/>
      <w:bookmarkStart w:id="74" w:name="_Toc369531498"/>
      <w:bookmarkEnd w:id="74"/>
      <w:bookmarkStart w:id="75" w:name="_Toc361508560"/>
      <w:bookmarkEnd w:id="75"/>
      <w:bookmarkStart w:id="76" w:name="_Toc300834929"/>
      <w:bookmarkEnd w:id="76"/>
      <w:bookmarkStart w:id="77" w:name="_Toc384308187"/>
      <w:bookmarkEnd w:id="77"/>
      <w:bookmarkStart w:id="78" w:name="_Toc300834930"/>
      <w:bookmarkEnd w:id="78"/>
      <w:bookmarkStart w:id="79" w:name="_Toc17972"/>
      <w:bookmarkEnd w:id="79"/>
      <w:bookmarkStart w:id="80" w:name="_Toc152042288"/>
      <w:bookmarkEnd w:id="80"/>
      <w:r>
        <w:rPr>
          <w:rFonts w:hint="eastAsia" w:ascii="宋体" w:hAnsi="宋体" w:cs="宋体"/>
          <w:color w:val="auto"/>
          <w:sz w:val="24"/>
          <w:szCs w:val="24"/>
          <w:highlight w:val="none"/>
        </w:rPr>
        <w:t>招 标 人：</w:t>
      </w:r>
      <w:r>
        <w:rPr>
          <w:rFonts w:hint="eastAsia" w:ascii="宋体" w:hAnsi="宋体" w:cs="宋体"/>
          <w:color w:val="auto"/>
          <w:sz w:val="24"/>
          <w:szCs w:val="24"/>
          <w:highlight w:val="none"/>
          <w:u w:val="single"/>
        </w:rPr>
        <w:t>广州增城区东进供水有限公司</w:t>
      </w:r>
      <w:r>
        <w:rPr>
          <w:rFonts w:ascii="宋体" w:hAnsi="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地    址：</w:t>
      </w:r>
      <w:r>
        <w:rPr>
          <w:rFonts w:hint="eastAsia" w:ascii="宋体" w:hAnsi="宋体"/>
          <w:color w:val="auto"/>
          <w:sz w:val="24"/>
          <w:highlight w:val="none"/>
          <w:u w:val="single"/>
          <w:lang w:eastAsia="zh-CN"/>
        </w:rPr>
        <w:t>广州市增城区荔城街民乐路20号阳光国际大厦801房</w:t>
      </w:r>
    </w:p>
    <w:p>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lang w:val="en-US" w:eastAsia="zh-CN"/>
        </w:rPr>
        <w:t>陈工</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电    话：</w:t>
      </w:r>
      <w:r>
        <w:rPr>
          <w:rFonts w:hint="eastAsia" w:ascii="宋体" w:hAnsi="宋体"/>
          <w:color w:val="auto"/>
          <w:sz w:val="24"/>
          <w:highlight w:val="none"/>
          <w:u w:val="single"/>
        </w:rPr>
        <w:t>020-82622803</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中通建设工程管理有限公司</w:t>
      </w:r>
    </w:p>
    <w:p>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广州市天河区华夏路49号之一津滨腾越大厦南塔2706室</w:t>
      </w:r>
      <w:r>
        <w:rPr>
          <w:rFonts w:hint="eastAsia" w:ascii="宋体" w:hAnsi="宋体" w:cs="宋体"/>
          <w:color w:val="auto"/>
          <w:sz w:val="24"/>
          <w:szCs w:val="24"/>
          <w:highlight w:val="none"/>
          <w:u w:val="single"/>
          <w:lang w:val="en-US" w:eastAsia="zh-CN"/>
        </w:rPr>
        <w:t xml:space="preserve">                       </w:t>
      </w:r>
    </w:p>
    <w:p>
      <w:pPr>
        <w:spacing w:line="360" w:lineRule="auto"/>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lang w:val="en-US" w:eastAsia="zh-CN"/>
        </w:rPr>
        <w:t xml:space="preserve">  黄工      </w:t>
      </w:r>
    </w:p>
    <w:p>
      <w:pPr>
        <w:pStyle w:val="22"/>
        <w:spacing w:after="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u w:val="single"/>
          <w:lang w:val="en-US" w:eastAsia="zh-CN"/>
        </w:rPr>
        <w:t xml:space="preserve">  020-85272361         </w:t>
      </w:r>
    </w:p>
    <w:p>
      <w:pPr>
        <w:wordWrap w:val="0"/>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广州增城区东进供水有限公司</w:t>
      </w:r>
    </w:p>
    <w:p>
      <w:pPr>
        <w:wordWrap w:val="0"/>
        <w:topLinePunct/>
        <w:spacing w:line="440" w:lineRule="exact"/>
        <w:ind w:firstLine="480" w:firstLineChars="200"/>
        <w:rPr>
          <w:rFonts w:hint="eastAsia" w:ascii="宋体" w:hAnsi="宋体" w:cs="宋体"/>
          <w:color w:val="auto"/>
          <w:sz w:val="24"/>
          <w:szCs w:val="24"/>
          <w:highlight w:val="none"/>
          <w:u w:val="single"/>
          <w:shd w:val="clear" w:color="auto" w:fill="FFFFFF"/>
          <w:lang w:val="en-US" w:eastAsia="zh-CN"/>
        </w:rPr>
      </w:pPr>
      <w:r>
        <w:rPr>
          <w:rFonts w:hint="eastAsia" w:ascii="宋体" w:hAnsi="宋体" w:cs="宋体"/>
          <w:color w:val="auto"/>
          <w:sz w:val="24"/>
          <w:szCs w:val="24"/>
          <w:highlight w:val="none"/>
          <w:u w:val="none"/>
          <w:shd w:val="clear" w:color="auto" w:fill="FFFFFF"/>
          <w:lang w:val="en-US" w:eastAsia="zh-CN"/>
        </w:rPr>
        <w:t>地    址：</w:t>
      </w:r>
      <w:r>
        <w:rPr>
          <w:rFonts w:hint="eastAsia" w:ascii="宋体" w:hAnsi="宋体" w:cs="宋体"/>
          <w:color w:val="auto"/>
          <w:sz w:val="24"/>
          <w:szCs w:val="24"/>
          <w:highlight w:val="none"/>
          <w:u w:val="single"/>
          <w:shd w:val="clear" w:color="auto" w:fill="FFFFFF"/>
          <w:lang w:val="en-US" w:eastAsia="zh-CN"/>
        </w:rPr>
        <w:t>广州市增城区荔城街民乐路20号阳光国际大厦801房</w:t>
      </w:r>
    </w:p>
    <w:p>
      <w:pPr>
        <w:wordWrap w:val="0"/>
        <w:topLinePunct/>
        <w:spacing w:line="440" w:lineRule="exact"/>
        <w:ind w:firstLine="480" w:firstLineChars="200"/>
        <w:rPr>
          <w:rFonts w:hint="eastAsia" w:ascii="宋体" w:hAnsi="宋体" w:cs="宋体"/>
          <w:color w:val="auto"/>
          <w:sz w:val="24"/>
          <w:szCs w:val="24"/>
          <w:highlight w:val="none"/>
          <w:u w:val="single"/>
          <w:shd w:val="clear" w:color="auto" w:fill="FFFFFF"/>
          <w:lang w:val="en-US" w:eastAsia="zh-CN"/>
        </w:rPr>
      </w:pPr>
      <w:r>
        <w:rPr>
          <w:rFonts w:hint="eastAsia" w:ascii="宋体" w:hAnsi="宋体" w:cs="宋体"/>
          <w:color w:val="auto"/>
          <w:sz w:val="24"/>
          <w:szCs w:val="24"/>
          <w:highlight w:val="none"/>
          <w:u w:val="none"/>
          <w:shd w:val="clear" w:color="auto" w:fill="FFFFFF"/>
          <w:lang w:val="en-US" w:eastAsia="zh-CN"/>
        </w:rPr>
        <w:t>联 系 人：</w:t>
      </w:r>
      <w:r>
        <w:rPr>
          <w:rFonts w:hint="eastAsia" w:ascii="宋体" w:hAnsi="宋体" w:cs="宋体"/>
          <w:color w:val="auto"/>
          <w:sz w:val="24"/>
          <w:szCs w:val="24"/>
          <w:highlight w:val="none"/>
          <w:u w:val="single"/>
          <w:shd w:val="clear" w:color="auto" w:fill="FFFFFF"/>
          <w:lang w:val="en-US" w:eastAsia="zh-CN"/>
        </w:rPr>
        <w:t>陈工</w:t>
      </w:r>
    </w:p>
    <w:p>
      <w:pPr>
        <w:wordWrap w:val="0"/>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none"/>
          <w:shd w:val="clear" w:color="auto" w:fill="FFFFFF"/>
          <w:lang w:val="en-US" w:eastAsia="zh-CN"/>
        </w:rPr>
        <w:t>电    话：</w:t>
      </w:r>
      <w:r>
        <w:rPr>
          <w:rFonts w:hint="eastAsia" w:ascii="宋体" w:hAnsi="宋体" w:cs="宋体"/>
          <w:color w:val="auto"/>
          <w:sz w:val="24"/>
          <w:szCs w:val="24"/>
          <w:highlight w:val="none"/>
          <w:u w:val="single"/>
          <w:shd w:val="clear" w:color="auto" w:fill="FFFFFF"/>
          <w:lang w:val="en-US" w:eastAsia="zh-CN"/>
        </w:rPr>
        <w:t xml:space="preserve">020-82622803 </w:t>
      </w:r>
    </w:p>
    <w:p>
      <w:pPr>
        <w:wordWrap w:val="0"/>
        <w:topLinePunct/>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广州市增城区水务局</w:t>
      </w:r>
    </w:p>
    <w:p>
      <w:pPr>
        <w:wordWrap w:val="0"/>
        <w:topLinePunct/>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auto"/>
          <w:sz w:val="24"/>
          <w:szCs w:val="24"/>
          <w:highlight w:val="none"/>
          <w:u w:val="single"/>
        </w:rPr>
        <w:t>广州市增城区荔城街园圃路</w:t>
      </w:r>
      <w:r>
        <w:rPr>
          <w:rFonts w:ascii="宋体" w:hAnsi="宋体" w:cs="宋体"/>
          <w:color w:val="auto"/>
          <w:sz w:val="24"/>
          <w:szCs w:val="24"/>
          <w:highlight w:val="none"/>
          <w:u w:val="single"/>
        </w:rPr>
        <w:t>4号</w:t>
      </w:r>
    </w:p>
    <w:p>
      <w:pPr>
        <w:wordWrap w:val="0"/>
        <w:topLinePunct/>
        <w:spacing w:line="440" w:lineRule="exact"/>
        <w:ind w:firstLine="480" w:firstLineChars="200"/>
        <w:rPr>
          <w:color w:val="auto"/>
          <w:highlight w:val="none"/>
        </w:rPr>
      </w:pPr>
      <w:r>
        <w:rPr>
          <w:rFonts w:hint="eastAsia" w:ascii="宋体" w:hAnsi="宋体"/>
          <w:color w:val="auto"/>
          <w:sz w:val="24"/>
          <w:szCs w:val="24"/>
          <w:highlight w:val="none"/>
        </w:rPr>
        <w:t xml:space="preserve">电 </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ascii="宋体" w:hAnsi="宋体"/>
          <w:color w:val="auto"/>
          <w:sz w:val="24"/>
          <w:szCs w:val="24"/>
          <w:highlight w:val="none"/>
          <w:u w:val="single"/>
        </w:rPr>
        <w:t>020-82639502</w:t>
      </w:r>
    </w:p>
    <w:p>
      <w:pPr>
        <w:topLinePunct/>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topLinePunct/>
        <w:spacing w:line="360" w:lineRule="auto"/>
        <w:jc w:val="center"/>
        <w:rPr>
          <w:rFonts w:ascii="Times New Roman" w:hAnsi="Times New Roman"/>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招 标 </w:t>
      </w:r>
      <w:r>
        <w:rPr>
          <w:rFonts w:hint="eastAsia" w:ascii="宋体" w:hAnsi="宋体"/>
          <w:color w:val="auto"/>
          <w:sz w:val="24"/>
          <w:szCs w:val="24"/>
          <w:highlight w:val="none"/>
        </w:rPr>
        <w:t>人：</w:t>
      </w:r>
      <w:r>
        <w:rPr>
          <w:rFonts w:hint="eastAsia" w:ascii="Times New Roman" w:hAnsi="Times New Roman"/>
          <w:color w:val="auto"/>
          <w:sz w:val="24"/>
          <w:szCs w:val="24"/>
          <w:highlight w:val="none"/>
        </w:rPr>
        <w:t xml:space="preserve">广州增城区东进供水有限公司 </w:t>
      </w:r>
    </w:p>
    <w:p>
      <w:pPr>
        <w:topLinePunct/>
        <w:spacing w:line="360" w:lineRule="auto"/>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招标代理机构：</w:t>
      </w:r>
      <w:r>
        <w:rPr>
          <w:rFonts w:hint="eastAsia" w:ascii="宋体" w:hAnsi="宋体"/>
          <w:color w:val="auto"/>
          <w:sz w:val="24"/>
          <w:szCs w:val="24"/>
          <w:highlight w:val="none"/>
          <w:lang w:eastAsia="zh-CN"/>
        </w:rPr>
        <w:t>中通建设工程管理有限公司</w:t>
      </w:r>
    </w:p>
    <w:p>
      <w:pPr>
        <w:spacing w:line="360" w:lineRule="auto"/>
        <w:ind w:firstLine="4080" w:firstLineChars="1700"/>
        <w:jc w:val="left"/>
        <w:rPr>
          <w:rFonts w:ascii="宋体" w:hAnsi="宋体" w:cs="宋体"/>
          <w:color w:val="auto"/>
          <w:kern w:val="0"/>
          <w:sz w:val="24"/>
          <w:highlight w:val="non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2022年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hAnsi="宋体"/>
          <w:b/>
          <w:color w:val="auto"/>
          <w:sz w:val="30"/>
          <w:szCs w:val="30"/>
          <w:highlight w:val="none"/>
        </w:rPr>
        <w:t xml:space="preserve"> </w:t>
      </w:r>
      <w:r>
        <w:rPr>
          <w:rFonts w:ascii="Arial" w:hAnsi="宋体" w:eastAsia="黑体"/>
          <w:b/>
          <w:color w:val="auto"/>
          <w:sz w:val="32"/>
          <w:szCs w:val="24"/>
          <w:highlight w:val="none"/>
        </w:rPr>
        <w:br w:type="page"/>
      </w:r>
      <w:r>
        <w:rPr>
          <w:rFonts w:hint="eastAsia" w:ascii="宋体" w:hAnsi="宋体" w:cs="宋体"/>
          <w:color w:val="auto"/>
          <w:kern w:val="0"/>
          <w:sz w:val="24"/>
          <w:highlight w:val="none"/>
        </w:rPr>
        <w:t>附件一：</w:t>
      </w:r>
    </w:p>
    <w:p>
      <w:pPr>
        <w:widowControl/>
        <w:snapToGrid w:val="0"/>
        <w:ind w:firstLine="640" w:firstLineChars="200"/>
        <w:jc w:val="center"/>
        <w:rPr>
          <w:rFonts w:ascii="方正小标宋_GBK" w:hAnsi="宋体" w:eastAsia="方正小标宋_GBK" w:cs="宋体"/>
          <w:color w:val="auto"/>
          <w:kern w:val="0"/>
          <w:sz w:val="32"/>
          <w:szCs w:val="32"/>
          <w:highlight w:val="none"/>
        </w:rPr>
      </w:pPr>
      <w:r>
        <w:rPr>
          <w:rFonts w:hint="eastAsia" w:ascii="方正小标宋_GBK" w:hAnsi="宋体" w:eastAsia="方正小标宋_GBK" w:cs="宋体"/>
          <w:color w:val="auto"/>
          <w:kern w:val="0"/>
          <w:sz w:val="32"/>
          <w:szCs w:val="32"/>
          <w:highlight w:val="none"/>
        </w:rPr>
        <w:t>投标人声明</w:t>
      </w:r>
    </w:p>
    <w:p>
      <w:pPr>
        <w:snapToGrid w:val="0"/>
        <w:spacing w:line="360" w:lineRule="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广州市住房和城乡建设局、本招标项目招标人及招标监管机构：</w:t>
      </w:r>
    </w:p>
    <w:p>
      <w:pPr>
        <w:snapToGrid w:val="0"/>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本公司就参加</w:t>
      </w:r>
      <w:r>
        <w:rPr>
          <w:rFonts w:hint="eastAsia" w:ascii="仿宋_GB2312" w:hAnsi="宋体" w:eastAsia="仿宋_GB2312" w:cs="宋体"/>
          <w:color w:val="auto"/>
          <w:kern w:val="0"/>
          <w:sz w:val="24"/>
          <w:szCs w:val="24"/>
          <w:highlight w:val="none"/>
          <w:u w:val="single"/>
        </w:rPr>
        <w:t>                </w:t>
      </w:r>
      <w:r>
        <w:rPr>
          <w:rFonts w:hint="eastAsia" w:ascii="仿宋_GB2312" w:hAnsi="宋体" w:eastAsia="仿宋_GB2312" w:cs="宋体"/>
          <w:color w:val="auto"/>
          <w:kern w:val="0"/>
          <w:sz w:val="24"/>
          <w:szCs w:val="24"/>
          <w:highlight w:val="none"/>
        </w:rPr>
        <w:t>项目投标工作，作出郑重声明：</w:t>
      </w:r>
    </w:p>
    <w:p>
      <w:pPr>
        <w:snapToGrid w:val="0"/>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pPr>
        <w:snapToGrid w:val="0"/>
        <w:spacing w:line="360" w:lineRule="auto"/>
        <w:ind w:firstLine="482" w:firstLineChars="200"/>
        <w:rPr>
          <w:rFonts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二、本公司承诺遵循</w:t>
      </w:r>
      <w:r>
        <w:rPr>
          <w:rFonts w:ascii="仿宋_GB2312" w:hAnsi="宋体" w:eastAsia="仿宋_GB2312" w:cs="宋体"/>
          <w:b/>
          <w:color w:val="auto"/>
          <w:kern w:val="0"/>
          <w:sz w:val="24"/>
          <w:szCs w:val="24"/>
          <w:highlight w:val="none"/>
        </w:rPr>
        <w:t>公平公正、公开、诚实信用原则，如实投标，真实反映企业实力，公平竞争，不弄虚作假，不</w:t>
      </w:r>
      <w:r>
        <w:rPr>
          <w:rFonts w:hint="eastAsia" w:ascii="仿宋_GB2312" w:hAnsi="宋体" w:eastAsia="仿宋_GB2312" w:cs="宋体"/>
          <w:b/>
          <w:color w:val="auto"/>
          <w:kern w:val="0"/>
          <w:sz w:val="24"/>
          <w:szCs w:val="24"/>
          <w:highlight w:val="none"/>
        </w:rPr>
        <w:t>以</w:t>
      </w:r>
      <w:r>
        <w:rPr>
          <w:rFonts w:ascii="仿宋_GB2312" w:hAnsi="宋体" w:eastAsia="仿宋_GB2312" w:cs="宋体"/>
          <w:b/>
          <w:color w:val="auto"/>
          <w:kern w:val="0"/>
          <w:sz w:val="24"/>
          <w:szCs w:val="24"/>
          <w:highlight w:val="none"/>
        </w:rPr>
        <w:t>低于监理企业成本价</w:t>
      </w:r>
      <w:r>
        <w:rPr>
          <w:rFonts w:hint="eastAsia" w:ascii="仿宋_GB2312" w:hAnsi="宋体" w:eastAsia="仿宋_GB2312" w:cs="宋体"/>
          <w:b/>
          <w:color w:val="auto"/>
          <w:kern w:val="0"/>
          <w:sz w:val="24"/>
          <w:szCs w:val="24"/>
          <w:highlight w:val="none"/>
        </w:rPr>
        <w:t>竞标</w:t>
      </w:r>
      <w:r>
        <w:rPr>
          <w:rFonts w:ascii="仿宋_GB2312" w:hAnsi="宋体" w:eastAsia="仿宋_GB2312" w:cs="宋体"/>
          <w:b/>
          <w:color w:val="auto"/>
          <w:kern w:val="0"/>
          <w:sz w:val="24"/>
          <w:szCs w:val="24"/>
          <w:highlight w:val="none"/>
        </w:rPr>
        <w:t>而降低监理服务质量，不</w:t>
      </w:r>
      <w:r>
        <w:rPr>
          <w:rFonts w:hint="eastAsia" w:ascii="仿宋_GB2312" w:hAnsi="宋体" w:eastAsia="仿宋_GB2312" w:cs="宋体"/>
          <w:b/>
          <w:color w:val="auto"/>
          <w:kern w:val="0"/>
          <w:sz w:val="24"/>
          <w:szCs w:val="24"/>
          <w:highlight w:val="none"/>
        </w:rPr>
        <w:t>与</w:t>
      </w:r>
      <w:r>
        <w:rPr>
          <w:rFonts w:ascii="仿宋_GB2312" w:hAnsi="宋体" w:eastAsia="仿宋_GB2312" w:cs="宋体"/>
          <w:b/>
          <w:color w:val="auto"/>
          <w:kern w:val="0"/>
          <w:sz w:val="24"/>
          <w:szCs w:val="24"/>
          <w:highlight w:val="none"/>
        </w:rPr>
        <w:t>任何建设单位订立违背监理企业成本取费标准及相关规定的“</w:t>
      </w:r>
      <w:r>
        <w:rPr>
          <w:rFonts w:hint="eastAsia" w:ascii="仿宋_GB2312" w:hAnsi="宋体" w:eastAsia="仿宋_GB2312" w:cs="宋体"/>
          <w:b/>
          <w:color w:val="auto"/>
          <w:kern w:val="0"/>
          <w:sz w:val="24"/>
          <w:szCs w:val="24"/>
          <w:highlight w:val="none"/>
        </w:rPr>
        <w:t>阴阳合同</w:t>
      </w:r>
      <w:r>
        <w:rPr>
          <w:rFonts w:ascii="仿宋_GB2312" w:hAnsi="宋体" w:eastAsia="仿宋_GB2312" w:cs="宋体"/>
          <w:b/>
          <w:color w:val="auto"/>
          <w:kern w:val="0"/>
          <w:sz w:val="24"/>
          <w:szCs w:val="24"/>
          <w:highlight w:val="none"/>
        </w:rPr>
        <w:t>”</w:t>
      </w:r>
      <w:r>
        <w:rPr>
          <w:rFonts w:hint="eastAsia" w:ascii="仿宋_GB2312" w:hAnsi="宋体" w:eastAsia="仿宋_GB2312" w:cs="宋体"/>
          <w:b/>
          <w:color w:val="auto"/>
          <w:kern w:val="0"/>
          <w:sz w:val="24"/>
          <w:szCs w:val="24"/>
          <w:highlight w:val="none"/>
        </w:rPr>
        <w:t>进行恶性</w:t>
      </w:r>
      <w:r>
        <w:rPr>
          <w:rFonts w:ascii="仿宋_GB2312" w:hAnsi="宋体" w:eastAsia="仿宋_GB2312" w:cs="宋体"/>
          <w:b/>
          <w:color w:val="auto"/>
          <w:kern w:val="0"/>
          <w:sz w:val="24"/>
          <w:szCs w:val="24"/>
          <w:highlight w:val="none"/>
        </w:rPr>
        <w:t>竞争，扰乱市场秩序</w:t>
      </w:r>
      <w:r>
        <w:rPr>
          <w:rFonts w:hint="eastAsia" w:ascii="仿宋_GB2312" w:hAnsi="宋体" w:eastAsia="仿宋_GB2312" w:cs="宋体"/>
          <w:b/>
          <w:color w:val="auto"/>
          <w:kern w:val="0"/>
          <w:sz w:val="24"/>
          <w:szCs w:val="24"/>
          <w:highlight w:val="none"/>
        </w:rPr>
        <w:t>，不与其他单位串通投标</w:t>
      </w:r>
      <w:r>
        <w:rPr>
          <w:rFonts w:ascii="仿宋_GB2312" w:hAnsi="宋体" w:eastAsia="仿宋_GB2312" w:cs="宋体"/>
          <w:b/>
          <w:color w:val="auto"/>
          <w:kern w:val="0"/>
          <w:sz w:val="24"/>
          <w:szCs w:val="24"/>
          <w:highlight w:val="none"/>
        </w:rPr>
        <w:t>或以</w:t>
      </w:r>
      <w:r>
        <w:rPr>
          <w:rFonts w:hint="eastAsia" w:ascii="仿宋_GB2312" w:hAnsi="宋体" w:eastAsia="仿宋_GB2312" w:cs="宋体"/>
          <w:b/>
          <w:color w:val="auto"/>
          <w:kern w:val="0"/>
          <w:sz w:val="24"/>
          <w:szCs w:val="24"/>
          <w:highlight w:val="none"/>
        </w:rPr>
        <w:t>行贿手段</w:t>
      </w:r>
      <w:r>
        <w:rPr>
          <w:rFonts w:ascii="仿宋_GB2312" w:hAnsi="宋体" w:eastAsia="仿宋_GB2312" w:cs="宋体"/>
          <w:b/>
          <w:color w:val="auto"/>
          <w:kern w:val="0"/>
          <w:sz w:val="24"/>
          <w:szCs w:val="24"/>
          <w:highlight w:val="none"/>
        </w:rPr>
        <w:t>谋取中标</w:t>
      </w:r>
      <w:r>
        <w:rPr>
          <w:rFonts w:hint="eastAsia" w:ascii="仿宋_GB2312" w:hAnsi="宋体" w:eastAsia="仿宋_GB2312" w:cs="宋体"/>
          <w:b/>
          <w:color w:val="auto"/>
          <w:kern w:val="0"/>
          <w:sz w:val="24"/>
          <w:szCs w:val="24"/>
          <w:highlight w:val="none"/>
        </w:rPr>
        <w:t>，不出借资质</w:t>
      </w:r>
      <w:r>
        <w:rPr>
          <w:rFonts w:ascii="仿宋_GB2312" w:hAnsi="宋体" w:eastAsia="仿宋_GB2312" w:cs="宋体"/>
          <w:b/>
          <w:color w:val="auto"/>
          <w:kern w:val="0"/>
          <w:sz w:val="24"/>
          <w:szCs w:val="24"/>
          <w:highlight w:val="none"/>
        </w:rPr>
        <w:t>、</w:t>
      </w:r>
      <w:r>
        <w:rPr>
          <w:rFonts w:hint="eastAsia" w:ascii="仿宋_GB2312" w:hAnsi="宋体" w:eastAsia="仿宋_GB2312" w:cs="宋体"/>
          <w:b/>
          <w:color w:val="auto"/>
          <w:kern w:val="0"/>
          <w:sz w:val="24"/>
          <w:szCs w:val="24"/>
          <w:highlight w:val="none"/>
        </w:rPr>
        <w:t>转包或</w:t>
      </w:r>
      <w:r>
        <w:rPr>
          <w:rFonts w:ascii="仿宋_GB2312" w:hAnsi="宋体" w:eastAsia="仿宋_GB2312" w:cs="宋体"/>
          <w:b/>
          <w:color w:val="auto"/>
          <w:kern w:val="0"/>
          <w:sz w:val="24"/>
          <w:szCs w:val="24"/>
          <w:highlight w:val="none"/>
        </w:rPr>
        <w:t>违法分包</w:t>
      </w:r>
      <w:r>
        <w:rPr>
          <w:rFonts w:hint="eastAsia" w:ascii="仿宋_GB2312" w:hAnsi="宋体" w:eastAsia="仿宋_GB2312" w:cs="宋体"/>
          <w:b/>
          <w:color w:val="auto"/>
          <w:kern w:val="0"/>
          <w:sz w:val="24"/>
          <w:szCs w:val="24"/>
          <w:highlight w:val="none"/>
        </w:rPr>
        <w:t>监理</w:t>
      </w:r>
      <w:r>
        <w:rPr>
          <w:rFonts w:ascii="仿宋_GB2312" w:hAnsi="宋体" w:eastAsia="仿宋_GB2312" w:cs="宋体"/>
          <w:b/>
          <w:color w:val="auto"/>
          <w:kern w:val="0"/>
          <w:sz w:val="24"/>
          <w:szCs w:val="24"/>
          <w:highlight w:val="none"/>
        </w:rPr>
        <w:t>业务</w:t>
      </w:r>
      <w:r>
        <w:rPr>
          <w:rFonts w:hint="eastAsia" w:ascii="仿宋_GB2312" w:hAnsi="宋体" w:eastAsia="仿宋_GB2312" w:cs="宋体"/>
          <w:b/>
          <w:color w:val="auto"/>
          <w:kern w:val="0"/>
          <w:sz w:val="24"/>
          <w:szCs w:val="24"/>
          <w:highlight w:val="none"/>
        </w:rPr>
        <w:t>。</w:t>
      </w:r>
    </w:p>
    <w:p>
      <w:pPr>
        <w:snapToGrid w:val="0"/>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三、本公司不存在招标文件第二章投标人须知第1.4.3项所规定的任何一种情形。</w:t>
      </w:r>
    </w:p>
    <w:p>
      <w:pPr>
        <w:snapToGrid w:val="0"/>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五、本公司承诺，中标后严格执行安全生产相关管理规定。</w:t>
      </w:r>
    </w:p>
    <w:p>
      <w:pPr>
        <w:snapToGrid w:val="0"/>
        <w:spacing w:line="360" w:lineRule="auto"/>
        <w:ind w:firstLine="482" w:firstLineChars="200"/>
        <w:rPr>
          <w:rFonts w:ascii="仿宋_GB2312" w:hAnsi="宋体" w:eastAsia="仿宋_GB2312" w:cs="宋体"/>
          <w:color w:val="auto"/>
          <w:kern w:val="0"/>
          <w:sz w:val="24"/>
          <w:szCs w:val="24"/>
          <w:highlight w:val="none"/>
        </w:rPr>
      </w:pPr>
      <w:r>
        <w:rPr>
          <w:rFonts w:hint="eastAsia" w:ascii="仿宋_GB2312" w:hAnsi="宋体" w:eastAsia="仿宋_GB2312" w:cs="宋体"/>
          <w:b/>
          <w:color w:val="auto"/>
          <w:kern w:val="0"/>
          <w:sz w:val="24"/>
          <w:szCs w:val="24"/>
          <w:highlight w:val="none"/>
        </w:rPr>
        <w:t>本公司违反上述承诺，或本声明陈述与事实不符，经查实，本公司愿意接受公开通报，愿意按照《广州市建筑市场信用管理办法》（穗建规字</w:t>
      </w:r>
      <w:r>
        <w:rPr>
          <w:rFonts w:hint="eastAsia" w:ascii="微软雅黑" w:hAnsi="微软雅黑" w:eastAsia="微软雅黑" w:cs="微软雅黑"/>
          <w:b/>
          <w:color w:val="auto"/>
          <w:kern w:val="0"/>
          <w:sz w:val="24"/>
          <w:szCs w:val="24"/>
          <w:highlight w:val="none"/>
        </w:rPr>
        <w:t>﹝</w:t>
      </w:r>
      <w:r>
        <w:rPr>
          <w:rFonts w:hint="eastAsia" w:ascii="仿宋_GB2312" w:hAnsi="宋体" w:eastAsia="仿宋_GB2312" w:cs="宋体"/>
          <w:b/>
          <w:color w:val="auto"/>
          <w:kern w:val="0"/>
          <w:sz w:val="24"/>
          <w:szCs w:val="24"/>
          <w:highlight w:val="none"/>
        </w:rPr>
        <w:t>2019</w:t>
      </w:r>
      <w:r>
        <w:rPr>
          <w:rFonts w:hint="eastAsia" w:ascii="微软雅黑" w:hAnsi="微软雅黑" w:eastAsia="微软雅黑" w:cs="微软雅黑"/>
          <w:b/>
          <w:color w:val="auto"/>
          <w:kern w:val="0"/>
          <w:sz w:val="24"/>
          <w:szCs w:val="24"/>
          <w:highlight w:val="none"/>
        </w:rPr>
        <w:t>﹞</w:t>
      </w:r>
      <w:r>
        <w:rPr>
          <w:rFonts w:hint="eastAsia" w:ascii="仿宋_GB2312" w:hAnsi="宋体" w:eastAsia="仿宋_GB2312" w:cs="宋体"/>
          <w:b/>
          <w:color w:val="auto"/>
          <w:kern w:val="0"/>
          <w:sz w:val="24"/>
          <w:szCs w:val="24"/>
          <w:highlight w:val="none"/>
        </w:rPr>
        <w:t>16号）的规定被记录为失信信息，</w:t>
      </w:r>
      <w:r>
        <w:rPr>
          <w:rFonts w:hint="eastAsia" w:ascii="仿宋_GB2312" w:hAnsi="宋体" w:eastAsia="仿宋_GB2312" w:cs="宋体"/>
          <w:color w:val="auto"/>
          <w:kern w:val="0"/>
          <w:sz w:val="24"/>
          <w:szCs w:val="24"/>
          <w:highlight w:val="none"/>
        </w:rPr>
        <w:t>承担由此带来的一切后果，并自愿停止参加广州市行政辖区内的招标投标活动三个月。</w:t>
      </w:r>
    </w:p>
    <w:p>
      <w:pPr>
        <w:widowControl/>
        <w:shd w:val="clear" w:color="auto" w:fill="FFFFFF"/>
        <w:spacing w:line="360" w:lineRule="auto"/>
        <w:ind w:firstLine="480" w:firstLineChars="200"/>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特此声明。</w:t>
      </w:r>
    </w:p>
    <w:p>
      <w:pPr>
        <w:snapToGrid w:val="0"/>
        <w:spacing w:line="360" w:lineRule="auto"/>
        <w:ind w:firstLine="480" w:firstLineChars="200"/>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声明企业：            (企业公章)</w:t>
      </w:r>
    </w:p>
    <w:p>
      <w:pPr>
        <w:snapToGrid w:val="0"/>
        <w:spacing w:line="360" w:lineRule="auto"/>
        <w:ind w:firstLine="480" w:firstLineChars="200"/>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总监理工程师：         （签字）</w:t>
      </w:r>
    </w:p>
    <w:p>
      <w:pPr>
        <w:snapToGrid w:val="0"/>
        <w:spacing w:line="360" w:lineRule="auto"/>
        <w:ind w:firstLine="480" w:firstLineChars="200"/>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法定代表人签字：</w:t>
      </w:r>
    </w:p>
    <w:p>
      <w:pPr>
        <w:ind w:firstLine="480" w:firstLineChars="200"/>
        <w:jc w:val="right"/>
        <w:rPr>
          <w:color w:val="auto"/>
          <w:highlight w:val="none"/>
        </w:rPr>
      </w:pPr>
      <w:r>
        <w:rPr>
          <w:rFonts w:hint="eastAsia" w:ascii="仿宋_GB2312" w:hAnsi="宋体" w:eastAsia="仿宋_GB2312" w:cs="宋体"/>
          <w:color w:val="auto"/>
          <w:kern w:val="0"/>
          <w:sz w:val="24"/>
          <w:szCs w:val="24"/>
          <w:highlight w:val="none"/>
        </w:rPr>
        <w:t>年   月   日</w:t>
      </w:r>
    </w:p>
    <w:p>
      <w:pPr>
        <w:pStyle w:val="14"/>
        <w:rPr>
          <w:color w:val="auto"/>
          <w:highlight w:val="none"/>
        </w:rPr>
      </w:pPr>
    </w:p>
    <w:p>
      <w:pPr>
        <w:widowControl/>
        <w:jc w:val="left"/>
        <w:rPr>
          <w:rFonts w:ascii="Times New Roman" w:hAnsi="Times New Roman"/>
          <w:b/>
          <w:color w:val="auto"/>
          <w:kern w:val="44"/>
          <w:sz w:val="44"/>
          <w:szCs w:val="20"/>
          <w:highlight w:val="none"/>
        </w:rPr>
      </w:pPr>
      <w:bookmarkStart w:id="81" w:name="_Toc89870548"/>
      <w:r>
        <w:rPr>
          <w:color w:val="auto"/>
          <w:highlight w:val="none"/>
        </w:rPr>
        <w:br w:type="page"/>
      </w:r>
    </w:p>
    <w:p>
      <w:pPr>
        <w:pStyle w:val="4"/>
        <w:keepNext w:val="0"/>
        <w:keepLines w:val="0"/>
        <w:spacing w:before="100" w:after="100" w:line="360" w:lineRule="auto"/>
        <w:jc w:val="center"/>
        <w:rPr>
          <w:color w:val="auto"/>
          <w:highlight w:val="none"/>
        </w:rPr>
      </w:pPr>
      <w:r>
        <w:rPr>
          <w:color w:val="auto"/>
          <w:highlight w:val="none"/>
        </w:rPr>
        <w:t>第二章投标人须知</w:t>
      </w:r>
      <w:bookmarkEnd w:id="81"/>
    </w:p>
    <w:p>
      <w:pPr>
        <w:pStyle w:val="5"/>
        <w:keepNext w:val="0"/>
        <w:keepLines w:val="0"/>
        <w:spacing w:before="20" w:after="0" w:line="360" w:lineRule="auto"/>
        <w:jc w:val="center"/>
        <w:rPr>
          <w:rFonts w:ascii="Times New Roman" w:hAnsi="Times New Roman"/>
          <w:color w:val="auto"/>
          <w:highlight w:val="none"/>
        </w:rPr>
      </w:pPr>
      <w:bookmarkStart w:id="82" w:name="_Toc89870549"/>
      <w:r>
        <w:rPr>
          <w:rFonts w:ascii="Times New Roman" w:hAnsi="Times New Roman"/>
          <w:color w:val="auto"/>
          <w:highlight w:val="none"/>
        </w:rPr>
        <w:t>投标人须知前附表</w:t>
      </w:r>
      <w:bookmarkEnd w:id="82"/>
    </w:p>
    <w:tbl>
      <w:tblPr>
        <w:tblStyle w:val="23"/>
        <w:tblW w:w="9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2187"/>
        <w:gridCol w:w="64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5" w:hRule="atLeast"/>
          <w:tblHeader/>
          <w:jc w:val="center"/>
        </w:trPr>
        <w:tc>
          <w:tcPr>
            <w:tcW w:w="1182" w:type="dxa"/>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2187" w:type="dxa"/>
            <w:vAlign w:val="center"/>
          </w:tcPr>
          <w:p>
            <w:pPr>
              <w:snapToGrid w:val="0"/>
              <w:jc w:val="center"/>
              <w:rPr>
                <w:rFonts w:ascii="宋体" w:hAnsi="宋体"/>
                <w:b/>
                <w:color w:val="auto"/>
                <w:szCs w:val="21"/>
                <w:highlight w:val="none"/>
              </w:rPr>
            </w:pPr>
            <w:r>
              <w:rPr>
                <w:rFonts w:ascii="宋体" w:hAnsi="宋体"/>
                <w:b/>
                <w:color w:val="auto"/>
                <w:szCs w:val="21"/>
                <w:highlight w:val="none"/>
              </w:rPr>
              <w:t>条款名称</w:t>
            </w:r>
          </w:p>
        </w:tc>
        <w:tc>
          <w:tcPr>
            <w:tcW w:w="6415" w:type="dxa"/>
            <w:vAlign w:val="center"/>
          </w:tcPr>
          <w:p>
            <w:pPr>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招标人</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 xml:space="preserve">招 标 人：广州增城区东进供水有限公司 </w:t>
            </w:r>
          </w:p>
          <w:p>
            <w:pPr>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广州市增城区荔城街民乐路20号阳光国际大厦801房</w:t>
            </w:r>
          </w:p>
          <w:p>
            <w:pPr>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val="en-US" w:eastAsia="zh-CN"/>
              </w:rPr>
              <w:t>陈工</w:t>
            </w:r>
          </w:p>
          <w:p>
            <w:pPr>
              <w:snapToGrid w:val="0"/>
              <w:jc w:val="left"/>
              <w:rPr>
                <w:rFonts w:ascii="宋体" w:hAnsi="宋体"/>
                <w:color w:val="auto"/>
                <w:szCs w:val="21"/>
                <w:highlight w:val="none"/>
                <w:u w:val="singl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lang w:val="en-US" w:eastAsia="zh-CN"/>
              </w:rPr>
              <w:t>020-82622803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招标代理机构</w:t>
            </w:r>
          </w:p>
        </w:tc>
        <w:tc>
          <w:tcPr>
            <w:tcW w:w="6415" w:type="dxa"/>
            <w:vAlign w:val="center"/>
          </w:tcPr>
          <w:p>
            <w:pPr>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中通建设工程管理有限公司</w:t>
            </w:r>
          </w:p>
          <w:p>
            <w:pPr>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广州市天河区华夏路49号之一津滨腾越大厦南塔2706室</w:t>
            </w:r>
          </w:p>
          <w:p>
            <w:pPr>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黄工 </w:t>
            </w:r>
          </w:p>
          <w:p>
            <w:pPr>
              <w:snapToGrid w:val="0"/>
              <w:jc w:val="left"/>
              <w:rPr>
                <w:rFonts w:hint="eastAsia" w:eastAsia="宋体"/>
                <w:color w:val="auto"/>
                <w:szCs w:val="21"/>
                <w:highlight w:val="none"/>
                <w:lang w:eastAsia="zh-CN"/>
              </w:rPr>
            </w:pPr>
            <w:r>
              <w:rPr>
                <w:rFonts w:hint="eastAsia" w:ascii="宋体" w:hAnsi="宋体"/>
                <w:color w:val="auto"/>
                <w:szCs w:val="21"/>
                <w:highlight w:val="none"/>
              </w:rPr>
              <w:t>电   话：020-85272361</w:t>
            </w: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1.1.4</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招标项目名称</w:t>
            </w:r>
          </w:p>
        </w:tc>
        <w:tc>
          <w:tcPr>
            <w:tcW w:w="6415" w:type="dxa"/>
            <w:vAlign w:val="center"/>
          </w:tcPr>
          <w:p>
            <w:pPr>
              <w:snapToGrid w:val="0"/>
              <w:rPr>
                <w:rFonts w:hint="eastAsia" w:ascii="宋体" w:hAnsi="宋体" w:eastAsia="宋体"/>
                <w:color w:val="auto"/>
                <w:szCs w:val="21"/>
                <w:highlight w:val="none"/>
                <w:lang w:val="en-US" w:eastAsia="zh-CN"/>
              </w:rPr>
            </w:pPr>
            <w:r>
              <w:rPr>
                <w:rFonts w:hint="eastAsia"/>
                <w:color w:val="auto"/>
                <w:szCs w:val="21"/>
                <w:highlight w:val="none"/>
                <w:lang w:eastAsia="zh-CN"/>
              </w:rPr>
              <w:t>增城区南部水厂及配套管网建设工程监理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1.1.5</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项目建设地点</w:t>
            </w:r>
          </w:p>
        </w:tc>
        <w:tc>
          <w:tcPr>
            <w:tcW w:w="6415" w:type="dxa"/>
            <w:vAlign w:val="center"/>
          </w:tcPr>
          <w:p>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详见本工程招标公告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1.1.6</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项目建设规模</w:t>
            </w:r>
          </w:p>
        </w:tc>
        <w:tc>
          <w:tcPr>
            <w:tcW w:w="6415" w:type="dxa"/>
            <w:vAlign w:val="center"/>
          </w:tcPr>
          <w:p>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详见本工程招标公告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1.1.7</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工程项目施工预计开工日期和建设周期</w:t>
            </w:r>
          </w:p>
        </w:tc>
        <w:tc>
          <w:tcPr>
            <w:tcW w:w="6415" w:type="dxa"/>
            <w:vAlign w:val="center"/>
          </w:tcPr>
          <w:p>
            <w:pPr>
              <w:snapToGrid w:val="0"/>
              <w:jc w:val="left"/>
              <w:rPr>
                <w:rFonts w:hint="eastAsia" w:eastAsia="宋体"/>
                <w:color w:val="auto"/>
                <w:szCs w:val="21"/>
                <w:highlight w:val="none"/>
                <w:u w:val="single"/>
                <w:lang w:eastAsia="zh-CN"/>
              </w:rPr>
            </w:pPr>
            <w:r>
              <w:rPr>
                <w:rFonts w:hint="eastAsia"/>
                <w:color w:val="auto"/>
                <w:szCs w:val="21"/>
                <w:highlight w:val="none"/>
              </w:rPr>
              <w:t>预计开工日期：</w:t>
            </w:r>
            <w:r>
              <w:rPr>
                <w:rFonts w:hint="eastAsia"/>
                <w:color w:val="auto"/>
                <w:szCs w:val="21"/>
                <w:highlight w:val="none"/>
                <w:u w:val="single"/>
              </w:rPr>
              <w:t>具体开工时间以业主的书面通知为准</w:t>
            </w:r>
            <w:r>
              <w:rPr>
                <w:rFonts w:hint="eastAsia"/>
                <w:color w:val="auto"/>
                <w:szCs w:val="21"/>
                <w:highlight w:val="none"/>
                <w:u w:val="single"/>
                <w:lang w:eastAsia="zh-CN"/>
              </w:rPr>
              <w:t>。</w:t>
            </w:r>
          </w:p>
          <w:p>
            <w:pPr>
              <w:snapToGrid w:val="0"/>
              <w:jc w:val="left"/>
              <w:rPr>
                <w:rFonts w:hint="eastAsia" w:ascii="宋体" w:hAnsi="宋体" w:eastAsia="宋体" w:cs="宋体"/>
                <w:color w:val="auto"/>
                <w:szCs w:val="21"/>
                <w:highlight w:val="none"/>
                <w:lang w:eastAsia="zh-CN"/>
              </w:rPr>
            </w:pPr>
            <w:r>
              <w:rPr>
                <w:rFonts w:hint="eastAsia"/>
                <w:color w:val="auto"/>
                <w:szCs w:val="21"/>
                <w:highlight w:val="none"/>
              </w:rPr>
              <w:t>建设周期：暂定</w:t>
            </w:r>
            <w:r>
              <w:rPr>
                <w:rFonts w:hint="eastAsia"/>
                <w:color w:val="auto"/>
                <w:highlight w:val="none"/>
                <w:lang w:val="en-US" w:eastAsia="zh-CN"/>
              </w:rPr>
              <w:t>37</w:t>
            </w:r>
            <w:r>
              <w:rPr>
                <w:rFonts w:hint="eastAsia"/>
                <w:color w:val="auto"/>
                <w:highlight w:val="none"/>
              </w:rPr>
              <w:t>个月（具体以实际工期为准）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1.1.8</w:t>
            </w:r>
          </w:p>
        </w:tc>
        <w:tc>
          <w:tcPr>
            <w:tcW w:w="2187" w:type="dxa"/>
            <w:vAlign w:val="center"/>
          </w:tcPr>
          <w:p>
            <w:pPr>
              <w:snapToGrid w:val="0"/>
              <w:jc w:val="center"/>
              <w:rPr>
                <w:rFonts w:ascii="宋体" w:cs="宋体"/>
                <w:color w:val="auto"/>
                <w:kern w:val="0"/>
                <w:szCs w:val="21"/>
                <w:highlight w:val="none"/>
              </w:rPr>
            </w:pPr>
            <w:r>
              <w:rPr>
                <w:rFonts w:hint="eastAsia" w:ascii="宋体" w:cs="宋体"/>
                <w:color w:val="auto"/>
                <w:kern w:val="0"/>
                <w:szCs w:val="21"/>
                <w:highlight w:val="none"/>
              </w:rPr>
              <w:t>建筑安装工程费/工程概算</w:t>
            </w:r>
          </w:p>
        </w:tc>
        <w:tc>
          <w:tcPr>
            <w:tcW w:w="6415" w:type="dxa"/>
            <w:vAlign w:val="center"/>
          </w:tcPr>
          <w:p>
            <w:pPr>
              <w:snapToGrid w:val="0"/>
              <w:jc w:val="left"/>
              <w:rPr>
                <w:rFonts w:hint="eastAsia" w:ascii="宋体" w:eastAsia="宋体" w:cs="宋体"/>
                <w:color w:val="auto"/>
                <w:kern w:val="0"/>
                <w:szCs w:val="21"/>
                <w:highlight w:val="none"/>
                <w:lang w:eastAsia="zh-CN"/>
              </w:rPr>
            </w:pPr>
            <w:r>
              <w:rPr>
                <w:rFonts w:hint="eastAsia" w:ascii="宋体" w:hAnsi="宋体" w:cs="宋体"/>
                <w:color w:val="auto"/>
                <w:szCs w:val="21"/>
                <w:highlight w:val="none"/>
              </w:rPr>
              <w:t>详见本工程招标公告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资金来源及比例</w:t>
            </w:r>
          </w:p>
        </w:tc>
        <w:tc>
          <w:tcPr>
            <w:tcW w:w="6415" w:type="dxa"/>
            <w:vAlign w:val="center"/>
          </w:tcPr>
          <w:p>
            <w:pPr>
              <w:snapToGrid w:val="0"/>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详见本工程招标公告</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1.2.2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资金落实情况</w:t>
            </w:r>
          </w:p>
        </w:tc>
        <w:tc>
          <w:tcPr>
            <w:tcW w:w="6415" w:type="dxa"/>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已落实</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1.3.1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招标范围</w:t>
            </w:r>
          </w:p>
        </w:tc>
        <w:tc>
          <w:tcPr>
            <w:tcW w:w="6415" w:type="dxa"/>
            <w:vAlign w:val="center"/>
          </w:tcPr>
          <w:p>
            <w:pPr>
              <w:snapToGrid w:val="0"/>
              <w:ind w:right="106"/>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详见本工程招标公告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1.3.2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监理服务期限</w:t>
            </w:r>
          </w:p>
        </w:tc>
        <w:tc>
          <w:tcPr>
            <w:tcW w:w="6415" w:type="dxa"/>
            <w:vAlign w:val="center"/>
          </w:tcPr>
          <w:p>
            <w:pPr>
              <w:snapToGrid w:val="0"/>
              <w:ind w:right="106"/>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详见本工程招标公告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1.3.3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质量标准</w:t>
            </w:r>
          </w:p>
        </w:tc>
        <w:tc>
          <w:tcPr>
            <w:tcW w:w="6415" w:type="dxa"/>
            <w:vAlign w:val="center"/>
          </w:tcPr>
          <w:p>
            <w:pPr>
              <w:snapToGrid w:val="0"/>
              <w:rPr>
                <w:rFonts w:hint="eastAsia" w:ascii="宋体" w:hAnsi="宋体" w:eastAsia="宋体" w:cs="宋体"/>
                <w:color w:val="auto"/>
                <w:szCs w:val="21"/>
                <w:highlight w:val="none"/>
                <w:lang w:eastAsia="zh-CN"/>
              </w:rPr>
            </w:pPr>
            <w:r>
              <w:rPr>
                <w:rFonts w:hint="eastAsia" w:ascii="宋体" w:hAnsi="宋体"/>
                <w:color w:val="auto"/>
                <w:szCs w:val="21"/>
                <w:highlight w:val="none"/>
              </w:rPr>
              <w:t>按国家相关规定执行的合格标准</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1.4.1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投标人资质条件、能力、信誉</w:t>
            </w:r>
          </w:p>
        </w:tc>
        <w:tc>
          <w:tcPr>
            <w:tcW w:w="6415" w:type="dxa"/>
            <w:vAlign w:val="center"/>
          </w:tcPr>
          <w:p>
            <w:pPr>
              <w:snapToGrid w:val="0"/>
              <w:rPr>
                <w:rFonts w:hint="eastAsia" w:ascii="宋体" w:hAnsi="宋体" w:eastAsia="宋体"/>
                <w:color w:val="auto"/>
                <w:szCs w:val="21"/>
                <w:highlight w:val="none"/>
                <w:lang w:eastAsia="zh-CN"/>
              </w:rPr>
            </w:pPr>
            <w:r>
              <w:rPr>
                <w:rFonts w:hint="eastAsia" w:ascii="宋体" w:hAnsi="宋体" w:cs="宋体"/>
                <w:color w:val="auto"/>
                <w:szCs w:val="21"/>
                <w:highlight w:val="none"/>
              </w:rPr>
              <w:t>详见招标公告第3点“投标人资格要求”</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1.4.2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是否接受联合体投标</w:t>
            </w:r>
          </w:p>
        </w:tc>
        <w:tc>
          <w:tcPr>
            <w:tcW w:w="6415" w:type="dxa"/>
            <w:vAlign w:val="center"/>
          </w:tcPr>
          <w:p>
            <w:pPr>
              <w:spacing w:line="280" w:lineRule="exact"/>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不接受</w:t>
            </w:r>
            <w:r>
              <w:rPr>
                <w:rFonts w:ascii="宋体" w:hAnsi="宋体"/>
                <w:color w:val="auto"/>
                <w:szCs w:val="21"/>
                <w:highlight w:val="none"/>
              </w:rPr>
              <w:t xml:space="preserve"> </w:t>
            </w:r>
          </w:p>
          <w:p>
            <w:pPr>
              <w:spacing w:line="280" w:lineRule="exact"/>
              <w:rPr>
                <w:rFonts w:hint="eastAsia" w:ascii="宋体" w:hAnsi="宋体" w:eastAsia="宋体"/>
                <w:color w:val="auto"/>
                <w:szCs w:val="21"/>
                <w:highlight w:val="none"/>
                <w:lang w:eastAsia="zh-CN"/>
              </w:rPr>
            </w:pPr>
            <w:r>
              <w:rPr>
                <w:rFonts w:ascii="宋体" w:hAnsi="宋体"/>
                <w:color w:val="auto"/>
                <w:szCs w:val="21"/>
                <w:highlight w:val="none"/>
              </w:rPr>
              <w:sym w:font="Wingdings 2" w:char="00A3"/>
            </w:r>
            <w:r>
              <w:rPr>
                <w:rFonts w:hint="eastAsia" w:ascii="宋体" w:hAnsi="宋体"/>
                <w:color w:val="auto"/>
                <w:szCs w:val="21"/>
                <w:highlight w:val="none"/>
              </w:rPr>
              <w:t>接受，应满足下列要求:</w:t>
            </w:r>
            <w:r>
              <w:rPr>
                <w:rFonts w:hint="eastAsia" w:ascii="宋体" w:hAnsi="宋体" w:cs="宋体"/>
                <w:color w:val="auto"/>
                <w:szCs w:val="21"/>
                <w:highlight w:val="none"/>
              </w:rPr>
              <w:t>详见招标公告</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1.4.3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投标人不得存在的</w:t>
            </w:r>
            <w:r>
              <w:rPr>
                <w:rFonts w:hint="eastAsia" w:ascii="宋体" w:hAnsi="宋体"/>
                <w:color w:val="auto"/>
                <w:szCs w:val="21"/>
                <w:highlight w:val="none"/>
              </w:rPr>
              <w:t>其他</w:t>
            </w:r>
            <w:r>
              <w:rPr>
                <w:rFonts w:ascii="宋体" w:hAnsi="宋体"/>
                <w:color w:val="auto"/>
                <w:szCs w:val="21"/>
                <w:highlight w:val="none"/>
              </w:rPr>
              <w:t>情形</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1.9.1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踏勘现场</w:t>
            </w:r>
          </w:p>
        </w:tc>
        <w:tc>
          <w:tcPr>
            <w:tcW w:w="6415" w:type="dxa"/>
            <w:vAlign w:val="center"/>
          </w:tcPr>
          <w:p>
            <w:pPr>
              <w:pStyle w:val="11"/>
              <w:topLinePunct/>
              <w:snapToGrid w:val="0"/>
              <w:rPr>
                <w:rFonts w:hint="eastAsia" w:hAnsi="宋体" w:eastAsia="宋体"/>
                <w:color w:val="auto"/>
                <w:sz w:val="21"/>
                <w:szCs w:val="21"/>
                <w:highlight w:val="none"/>
                <w:lang w:eastAsia="zh-CN"/>
              </w:rPr>
            </w:pPr>
            <w:r>
              <w:rPr>
                <w:rFonts w:hint="eastAsia"/>
                <w:color w:val="auto"/>
                <w:sz w:val="21"/>
                <w:szCs w:val="21"/>
                <w:highlight w:val="none"/>
              </w:rPr>
              <w:t>■</w:t>
            </w:r>
            <w:r>
              <w:rPr>
                <w:rFonts w:hAnsi="宋体"/>
                <w:color w:val="auto"/>
                <w:sz w:val="21"/>
                <w:szCs w:val="21"/>
                <w:highlight w:val="none"/>
              </w:rPr>
              <w:t>不组织</w:t>
            </w:r>
            <w:r>
              <w:rPr>
                <w:rFonts w:hint="eastAsia" w:hAnsi="宋体"/>
                <w:color w:val="auto"/>
                <w:sz w:val="21"/>
                <w:szCs w:val="21"/>
                <w:highlight w:val="none"/>
              </w:rPr>
              <w:t>，由投标人自行现场考察</w:t>
            </w:r>
            <w:r>
              <w:rPr>
                <w:rFonts w:hint="eastAsia" w:hAnsi="宋体"/>
                <w:color w:val="auto"/>
                <w:sz w:val="21"/>
                <w:szCs w:val="21"/>
                <w:highlight w:val="none"/>
                <w:lang w:eastAsia="zh-CN"/>
              </w:rPr>
              <w:t>。</w:t>
            </w:r>
          </w:p>
          <w:p>
            <w:pPr>
              <w:pStyle w:val="11"/>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组织，踏勘时间：</w:t>
            </w:r>
            <w:r>
              <w:rPr>
                <w:rFonts w:hint="eastAsia" w:hAnsi="宋体"/>
                <w:color w:val="auto"/>
                <w:sz w:val="21"/>
                <w:szCs w:val="21"/>
                <w:highlight w:val="none"/>
                <w:u w:val="single"/>
              </w:rPr>
              <w:t xml:space="preserve"> / </w:t>
            </w:r>
          </w:p>
          <w:p>
            <w:pPr>
              <w:pStyle w:val="11"/>
              <w:topLinePunct/>
              <w:snapToGrid w:val="0"/>
              <w:ind w:firstLine="840" w:firstLineChars="400"/>
              <w:rPr>
                <w:rFonts w:hAnsi="宋体"/>
                <w:color w:val="auto"/>
                <w:sz w:val="21"/>
                <w:szCs w:val="21"/>
                <w:highlight w:val="none"/>
              </w:rPr>
            </w:pPr>
            <w:r>
              <w:rPr>
                <w:rFonts w:hAnsi="宋体"/>
                <w:color w:val="auto"/>
                <w:sz w:val="21"/>
                <w:szCs w:val="21"/>
                <w:highlight w:val="none"/>
              </w:rPr>
              <w:t>踏勘集中地点：</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1.10.1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投标预备会</w:t>
            </w:r>
          </w:p>
        </w:tc>
        <w:tc>
          <w:tcPr>
            <w:tcW w:w="6415" w:type="dxa"/>
            <w:vAlign w:val="center"/>
          </w:tcPr>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不召开</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召开，召开时间：</w:t>
            </w:r>
            <w:r>
              <w:rPr>
                <w:rFonts w:hint="eastAsia" w:ascii="宋体" w:hAnsi="宋体"/>
                <w:color w:val="auto"/>
                <w:szCs w:val="21"/>
                <w:highlight w:val="none"/>
                <w:u w:val="single"/>
              </w:rPr>
              <w:t xml:space="preserve"> / </w:t>
            </w:r>
          </w:p>
          <w:p>
            <w:pPr>
              <w:snapToGrid w:val="0"/>
              <w:ind w:firstLine="840" w:firstLineChars="400"/>
              <w:rPr>
                <w:rFonts w:ascii="宋体" w:hAnsi="宋体"/>
                <w:color w:val="auto"/>
                <w:szCs w:val="21"/>
                <w:highlight w:val="none"/>
              </w:rPr>
            </w:pPr>
            <w:r>
              <w:rPr>
                <w:rFonts w:ascii="宋体" w:hAnsi="宋体"/>
                <w:color w:val="auto"/>
                <w:szCs w:val="21"/>
                <w:highlight w:val="none"/>
              </w:rPr>
              <w:t>召开地点：</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82"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1.10.2</w:t>
            </w:r>
          </w:p>
        </w:tc>
        <w:tc>
          <w:tcPr>
            <w:tcW w:w="2187"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投标人在投标预备会前提出问题</w:t>
            </w:r>
          </w:p>
        </w:tc>
        <w:tc>
          <w:tcPr>
            <w:tcW w:w="6415" w:type="dxa"/>
            <w:vAlign w:val="center"/>
          </w:tcPr>
          <w:p>
            <w:pPr>
              <w:snapToGrid w:val="0"/>
              <w:rPr>
                <w:rFonts w:ascii="宋体" w:hAnsi="宋体"/>
                <w:color w:val="auto"/>
                <w:szCs w:val="21"/>
                <w:highlight w:val="none"/>
              </w:rPr>
            </w:pPr>
            <w:r>
              <w:rPr>
                <w:rFonts w:ascii="宋体" w:hAnsi="宋体"/>
                <w:color w:val="auto"/>
                <w:szCs w:val="21"/>
                <w:highlight w:val="none"/>
              </w:rPr>
              <w:t>时间：</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1182" w:type="dxa"/>
            <w:vMerge w:val="continue"/>
            <w:vAlign w:val="center"/>
          </w:tcPr>
          <w:p>
            <w:pPr>
              <w:snapToGrid w:val="0"/>
              <w:ind w:firstLine="420" w:firstLineChars="200"/>
              <w:rPr>
                <w:rFonts w:ascii="宋体" w:hAnsi="宋体"/>
                <w:color w:val="auto"/>
                <w:szCs w:val="21"/>
                <w:highlight w:val="none"/>
              </w:rPr>
            </w:pPr>
          </w:p>
        </w:tc>
        <w:tc>
          <w:tcPr>
            <w:tcW w:w="2187" w:type="dxa"/>
            <w:vMerge w:val="continue"/>
            <w:vAlign w:val="center"/>
          </w:tcPr>
          <w:p>
            <w:pPr>
              <w:snapToGrid w:val="0"/>
              <w:ind w:firstLine="420" w:firstLineChars="200"/>
              <w:rPr>
                <w:rFonts w:ascii="宋体" w:hAnsi="宋体"/>
                <w:color w:val="auto"/>
                <w:szCs w:val="21"/>
                <w:highlight w:val="none"/>
              </w:rPr>
            </w:pPr>
          </w:p>
        </w:tc>
        <w:tc>
          <w:tcPr>
            <w:tcW w:w="6415" w:type="dxa"/>
            <w:vAlign w:val="center"/>
          </w:tcPr>
          <w:p>
            <w:pPr>
              <w:snapToGrid w:val="0"/>
              <w:rPr>
                <w:rFonts w:ascii="宋体" w:hAnsi="宋体"/>
                <w:color w:val="auto"/>
                <w:szCs w:val="21"/>
                <w:highlight w:val="none"/>
              </w:rPr>
            </w:pPr>
            <w:r>
              <w:rPr>
                <w:rFonts w:ascii="宋体" w:hAnsi="宋体"/>
                <w:color w:val="auto"/>
                <w:szCs w:val="21"/>
                <w:highlight w:val="none"/>
              </w:rPr>
              <w:t>形式：</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1.10.3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招标文件澄清发出的形式</w:t>
            </w:r>
          </w:p>
        </w:tc>
        <w:tc>
          <w:tcPr>
            <w:tcW w:w="6415" w:type="dxa"/>
            <w:vAlign w:val="center"/>
          </w:tcPr>
          <w:p>
            <w:pPr>
              <w:snapToGri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在广州公共资源交易中心网站“招标答疑”专区发布，一经发布，视作已发放给所有投标人</w:t>
            </w:r>
            <w:r>
              <w:rPr>
                <w:rFonts w:hint="eastAsia" w:ascii="宋体" w:hAnsi="宋体"/>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实质性要求和条件</w:t>
            </w:r>
          </w:p>
        </w:tc>
        <w:tc>
          <w:tcPr>
            <w:tcW w:w="6415" w:type="dxa"/>
            <w:vAlign w:val="center"/>
          </w:tcPr>
          <w:p>
            <w:pPr>
              <w:pStyle w:val="11"/>
              <w:topLinePunct/>
              <w:snapToGrid w:val="0"/>
              <w:rPr>
                <w:rFonts w:hint="eastAsia" w:hAnsi="宋体" w:eastAsia="宋体"/>
                <w:color w:val="auto"/>
                <w:sz w:val="21"/>
                <w:szCs w:val="21"/>
                <w:highlight w:val="none"/>
                <w:lang w:eastAsia="zh-CN"/>
              </w:rPr>
            </w:pPr>
            <w:r>
              <w:rPr>
                <w:rFonts w:hint="eastAsia" w:hAnsi="宋体"/>
                <w:color w:val="auto"/>
                <w:sz w:val="21"/>
                <w:szCs w:val="21"/>
                <w:highlight w:val="none"/>
                <w:u w:val="single"/>
              </w:rPr>
              <w:t>详见评标办法前附表中2.1.1、2.1.2、2.1.3的评审标准</w:t>
            </w:r>
            <w:r>
              <w:rPr>
                <w:rFonts w:hint="eastAsia" w:hAnsi="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1.12.3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偏差</w:t>
            </w:r>
          </w:p>
        </w:tc>
        <w:tc>
          <w:tcPr>
            <w:tcW w:w="6415" w:type="dxa"/>
            <w:vAlign w:val="center"/>
          </w:tcPr>
          <w:p>
            <w:pPr>
              <w:snapToGrid w:val="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不允许</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允许，偏差范围：</w:t>
            </w:r>
            <w:r>
              <w:rPr>
                <w:rFonts w:hint="eastAsia" w:ascii="宋体" w:hAnsi="宋体"/>
                <w:color w:val="auto"/>
                <w:szCs w:val="21"/>
                <w:highlight w:val="none"/>
                <w:u w:val="single"/>
              </w:rPr>
              <w:t xml:space="preserve"> / </w:t>
            </w:r>
          </w:p>
          <w:p>
            <w:pPr>
              <w:pStyle w:val="11"/>
              <w:topLinePunct/>
              <w:snapToGrid w:val="0"/>
              <w:ind w:firstLine="840" w:firstLineChars="400"/>
              <w:rPr>
                <w:rFonts w:hAnsi="宋体"/>
                <w:color w:val="auto"/>
                <w:sz w:val="21"/>
                <w:szCs w:val="21"/>
                <w:highlight w:val="none"/>
              </w:rPr>
            </w:pPr>
            <w:r>
              <w:rPr>
                <w:rFonts w:hAnsi="宋体"/>
                <w:color w:val="auto"/>
                <w:sz w:val="21"/>
                <w:szCs w:val="21"/>
                <w:highlight w:val="none"/>
              </w:rPr>
              <w:t>偏差幅度：</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构成招标文件的其他资料</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2.2.1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投标人要求澄清招标文件</w:t>
            </w:r>
          </w:p>
        </w:tc>
        <w:tc>
          <w:tcPr>
            <w:tcW w:w="6415" w:type="dxa"/>
            <w:vAlign w:val="center"/>
          </w:tcPr>
          <w:p>
            <w:pPr>
              <w:snapToGrid w:val="0"/>
              <w:rPr>
                <w:rFonts w:hint="eastAsia" w:ascii="宋体" w:hAnsi="宋体" w:eastAsia="宋体"/>
                <w:color w:val="auto"/>
                <w:szCs w:val="21"/>
                <w:highlight w:val="none"/>
                <w:u w:val="single"/>
                <w:lang w:eastAsia="zh-CN"/>
              </w:rPr>
            </w:pPr>
            <w:r>
              <w:rPr>
                <w:rFonts w:ascii="宋体" w:hAnsi="宋体"/>
                <w:color w:val="auto"/>
                <w:szCs w:val="21"/>
                <w:highlight w:val="none"/>
                <w:u w:val="single"/>
              </w:rPr>
              <w:t>时间：</w:t>
            </w:r>
            <w:r>
              <w:rPr>
                <w:rFonts w:hint="eastAsia" w:ascii="宋体" w:hAnsi="宋体"/>
                <w:color w:val="auto"/>
                <w:szCs w:val="21"/>
                <w:highlight w:val="none"/>
                <w:u w:val="single"/>
              </w:rPr>
              <w:t>在投标截止日期前18日</w:t>
            </w:r>
            <w:r>
              <w:rPr>
                <w:rFonts w:hint="eastAsia" w:ascii="宋体" w:hAnsi="宋体"/>
                <w:color w:val="auto"/>
                <w:szCs w:val="21"/>
                <w:highlight w:val="none"/>
                <w:u w:val="single"/>
                <w:lang w:eastAsia="zh-CN"/>
              </w:rPr>
              <w:t>。</w:t>
            </w:r>
          </w:p>
          <w:p>
            <w:pPr>
              <w:pStyle w:val="22"/>
              <w:snapToGrid w:val="0"/>
              <w:spacing w:after="0" w:line="240" w:lineRule="auto"/>
              <w:ind w:firstLine="0"/>
              <w:rPr>
                <w:rFonts w:ascii="宋体" w:hAnsi="宋体"/>
                <w:color w:val="auto"/>
                <w:szCs w:val="21"/>
                <w:highlight w:val="none"/>
                <w:u w:val="single"/>
              </w:rPr>
            </w:pPr>
            <w:r>
              <w:rPr>
                <w:rFonts w:ascii="宋体" w:hAnsi="宋体"/>
                <w:color w:val="auto"/>
                <w:szCs w:val="21"/>
                <w:highlight w:val="none"/>
                <w:u w:val="single"/>
              </w:rPr>
              <w:t>形式：1</w:t>
            </w:r>
            <w:r>
              <w:rPr>
                <w:rFonts w:hint="eastAsia" w:ascii="宋体" w:hAnsi="宋体"/>
                <w:color w:val="auto"/>
                <w:szCs w:val="21"/>
                <w:highlight w:val="none"/>
                <w:u w:val="single"/>
              </w:rPr>
              <w:t>、招标答疑采用网上答疑方式进行。投标人若对招标文件有疑问的，可在规定的时间内通过广州公共资源交易中心网站凭密码进入提问区域将问题提交给招标人或招标代理人，提交问题时一律不得署名。</w:t>
            </w:r>
          </w:p>
          <w:p>
            <w:pPr>
              <w:pStyle w:val="22"/>
              <w:snapToGrid w:val="0"/>
              <w:spacing w:after="0" w:line="240" w:lineRule="auto"/>
              <w:ind w:firstLineChars="200"/>
              <w:rPr>
                <w:rFonts w:ascii="宋体" w:hAnsi="宋体"/>
                <w:color w:val="auto"/>
                <w:szCs w:val="21"/>
                <w:highlight w:val="none"/>
                <w:u w:val="single"/>
              </w:rPr>
            </w:pPr>
            <w:r>
              <w:rPr>
                <w:rFonts w:hint="eastAsia" w:ascii="宋体" w:hAnsi="宋体"/>
                <w:color w:val="auto"/>
                <w:szCs w:val="21"/>
                <w:highlight w:val="none"/>
                <w:u w:val="single"/>
              </w:rPr>
              <w:t>网上答疑的操作指南为：登陆广州公共资源交易中心网站→进入“项目招标答疑”专区→通过项目编号或名称找到所需的项目→在上述的答疑时间内点击“提问”→输入密码（密码为：</w:t>
            </w:r>
            <w:r>
              <w:rPr>
                <w:rFonts w:ascii="宋体" w:hAnsi="宋体"/>
                <w:color w:val="auto"/>
                <w:szCs w:val="21"/>
                <w:highlight w:val="none"/>
                <w:u w:val="single"/>
              </w:rPr>
              <w:t>123456</w:t>
            </w:r>
            <w:r>
              <w:rPr>
                <w:rFonts w:hint="eastAsia" w:ascii="宋体" w:hAnsi="宋体"/>
                <w:color w:val="auto"/>
                <w:szCs w:val="21"/>
                <w:highlight w:val="none"/>
                <w:u w:val="single"/>
              </w:rPr>
              <w:t>）进入到提问区域→无记名或匿名提出问题以及查看所有的问题。</w:t>
            </w:r>
          </w:p>
          <w:p>
            <w:pPr>
              <w:pStyle w:val="22"/>
              <w:snapToGrid w:val="0"/>
              <w:spacing w:after="0" w:line="240" w:lineRule="auto"/>
              <w:ind w:firstLine="0"/>
              <w:rPr>
                <w:rFonts w:ascii="宋体" w:hAnsi="宋体"/>
                <w:color w:val="auto"/>
                <w:szCs w:val="21"/>
                <w:highlight w:val="none"/>
                <w:u w:val="single"/>
              </w:rPr>
            </w:pPr>
            <w:r>
              <w:rPr>
                <w:rFonts w:ascii="宋体" w:hAnsi="宋体"/>
                <w:color w:val="auto"/>
                <w:szCs w:val="21"/>
                <w:highlight w:val="none"/>
                <w:u w:val="single"/>
              </w:rPr>
              <w:t>2</w:t>
            </w:r>
            <w:r>
              <w:rPr>
                <w:rFonts w:hint="eastAsia" w:ascii="宋体" w:hAnsi="宋体"/>
                <w:color w:val="auto"/>
                <w:szCs w:val="21"/>
                <w:highlight w:val="none"/>
                <w:u w:val="single"/>
              </w:rPr>
              <w:t>、投标人应在投标截止时间</w:t>
            </w:r>
            <w:r>
              <w:rPr>
                <w:rFonts w:ascii="宋体" w:hAnsi="宋体"/>
                <w:color w:val="auto"/>
                <w:szCs w:val="21"/>
                <w:highlight w:val="none"/>
                <w:u w:val="single"/>
              </w:rPr>
              <w:t>18</w:t>
            </w:r>
            <w:r>
              <w:rPr>
                <w:rFonts w:hint="eastAsia" w:ascii="宋体" w:hAnsi="宋体"/>
                <w:color w:val="auto"/>
                <w:szCs w:val="21"/>
                <w:highlight w:val="none"/>
                <w:u w:val="single"/>
              </w:rPr>
              <w:t>日前停止质疑。招标人应在投标截止时间</w:t>
            </w:r>
            <w:r>
              <w:rPr>
                <w:rFonts w:ascii="宋体" w:hAnsi="宋体"/>
                <w:color w:val="auto"/>
                <w:szCs w:val="21"/>
                <w:highlight w:val="none"/>
                <w:u w:val="single"/>
              </w:rPr>
              <w:t>15</w:t>
            </w:r>
            <w:r>
              <w:rPr>
                <w:rFonts w:hint="eastAsia" w:ascii="宋体" w:hAnsi="宋体"/>
                <w:color w:val="auto"/>
                <w:szCs w:val="21"/>
                <w:highlight w:val="none"/>
                <w:u w:val="single"/>
              </w:rPr>
              <w:t>日前解答投标人对招标文件提出的疑问，形成答疑纪要，并经招标监管机构备案后，方可在广州公共资源交易中心网站项目答疑专区发布。</w:t>
            </w:r>
          </w:p>
          <w:p>
            <w:pPr>
              <w:pStyle w:val="22"/>
              <w:snapToGrid w:val="0"/>
              <w:spacing w:after="0" w:line="240" w:lineRule="auto"/>
              <w:ind w:firstLine="0"/>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、招标答疑纪要一经在广州公共资源交易中心网站发布，视作已发放给所有投标人。</w:t>
            </w:r>
          </w:p>
          <w:p>
            <w:pPr>
              <w:snapToGrid w:val="0"/>
              <w:rPr>
                <w:rFonts w:ascii="宋体" w:hAnsi="宋体"/>
                <w:color w:val="auto"/>
                <w:szCs w:val="21"/>
                <w:highlight w:val="none"/>
                <w:u w:val="single"/>
              </w:rPr>
            </w:pPr>
            <w:r>
              <w:rPr>
                <w:rFonts w:ascii="宋体" w:hAnsi="宋体"/>
                <w:color w:val="auto"/>
                <w:szCs w:val="21"/>
                <w:highlight w:val="none"/>
                <w:u w:val="single"/>
              </w:rPr>
              <w:t>4</w:t>
            </w:r>
            <w:r>
              <w:rPr>
                <w:rFonts w:hint="eastAsia" w:ascii="宋体" w:hAnsi="宋体"/>
                <w:color w:val="auto"/>
                <w:szCs w:val="21"/>
                <w:highlight w:val="none"/>
                <w:u w:val="single"/>
              </w:rPr>
              <w:t>、招标答疑纪要为招标文件的一部分。投标人可在广州公共资源交易中心网站浏览、下载招标答疑纪要。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2.2.2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招标文件澄清发出的形式</w:t>
            </w:r>
          </w:p>
        </w:tc>
        <w:tc>
          <w:tcPr>
            <w:tcW w:w="6415" w:type="dxa"/>
            <w:vAlign w:val="center"/>
          </w:tcPr>
          <w:p>
            <w:pPr>
              <w:snapToGri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在广州公共资源交易中心网站项目答疑专区发布</w:t>
            </w:r>
            <w:r>
              <w:rPr>
                <w:rFonts w:hint="eastAsia" w:ascii="宋体" w:hAnsi="宋体"/>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2.2.3</w:t>
            </w:r>
          </w:p>
        </w:tc>
        <w:tc>
          <w:tcPr>
            <w:tcW w:w="2187"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投标人确认收到招标文件澄清</w:t>
            </w:r>
          </w:p>
        </w:tc>
        <w:tc>
          <w:tcPr>
            <w:tcW w:w="6415" w:type="dxa"/>
            <w:vAlign w:val="center"/>
          </w:tcPr>
          <w:p>
            <w:pPr>
              <w:snapToGrid w:val="0"/>
              <w:rPr>
                <w:rFonts w:hint="eastAsia" w:ascii="宋体" w:hAnsi="宋体" w:eastAsia="宋体"/>
                <w:color w:val="auto"/>
                <w:szCs w:val="21"/>
                <w:highlight w:val="none"/>
                <w:lang w:eastAsia="zh-CN"/>
              </w:rPr>
            </w:pPr>
            <w:r>
              <w:rPr>
                <w:rFonts w:ascii="宋体" w:hAnsi="宋体"/>
                <w:color w:val="auto"/>
                <w:szCs w:val="21"/>
                <w:highlight w:val="none"/>
              </w:rPr>
              <w:t>时间：</w:t>
            </w:r>
            <w:r>
              <w:rPr>
                <w:rFonts w:hint="eastAsia" w:ascii="宋体" w:hAnsi="宋体"/>
                <w:color w:val="auto"/>
                <w:szCs w:val="21"/>
                <w:highlight w:val="none"/>
                <w:u w:val="single"/>
              </w:rPr>
              <w:t>招标文件澄清一经在广州公共资源交易中心网站发布，视作已发放给所有投标人</w:t>
            </w:r>
            <w:r>
              <w:rPr>
                <w:rFonts w:hint="eastAsia" w:ascii="宋体" w:hAnsi="宋体"/>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82" w:type="dxa"/>
            <w:vMerge w:val="continue"/>
            <w:vAlign w:val="center"/>
          </w:tcPr>
          <w:p>
            <w:pPr>
              <w:snapToGrid w:val="0"/>
              <w:ind w:firstLine="420" w:firstLineChars="200"/>
              <w:rPr>
                <w:rFonts w:ascii="宋体" w:hAnsi="宋体"/>
                <w:color w:val="auto"/>
                <w:szCs w:val="21"/>
                <w:highlight w:val="none"/>
              </w:rPr>
            </w:pPr>
          </w:p>
        </w:tc>
        <w:tc>
          <w:tcPr>
            <w:tcW w:w="2187" w:type="dxa"/>
            <w:vMerge w:val="continue"/>
            <w:vAlign w:val="center"/>
          </w:tcPr>
          <w:p>
            <w:pPr>
              <w:snapToGrid w:val="0"/>
              <w:ind w:firstLine="420" w:firstLineChars="200"/>
              <w:rPr>
                <w:rFonts w:ascii="宋体" w:hAnsi="宋体"/>
                <w:color w:val="auto"/>
                <w:szCs w:val="21"/>
                <w:highlight w:val="none"/>
              </w:rPr>
            </w:pPr>
          </w:p>
        </w:tc>
        <w:tc>
          <w:tcPr>
            <w:tcW w:w="6415" w:type="dxa"/>
            <w:vAlign w:val="center"/>
          </w:tcPr>
          <w:p>
            <w:pPr>
              <w:snapToGrid w:val="0"/>
              <w:rPr>
                <w:rFonts w:ascii="宋体" w:hAnsi="宋体"/>
                <w:color w:val="auto"/>
                <w:szCs w:val="21"/>
                <w:highlight w:val="none"/>
              </w:rPr>
            </w:pPr>
            <w:r>
              <w:rPr>
                <w:rFonts w:ascii="宋体" w:hAnsi="宋体"/>
                <w:color w:val="auto"/>
                <w:szCs w:val="21"/>
                <w:highlight w:val="none"/>
              </w:rPr>
              <w:t>形式：</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2.3.1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招标文件修改发出的形式</w:t>
            </w:r>
          </w:p>
        </w:tc>
        <w:tc>
          <w:tcPr>
            <w:tcW w:w="6415" w:type="dxa"/>
            <w:vAlign w:val="center"/>
          </w:tcPr>
          <w:p>
            <w:pPr>
              <w:snapToGrid w:val="0"/>
              <w:rPr>
                <w:rFonts w:hint="eastAsia" w:ascii="宋体" w:hAnsi="宋体" w:eastAsia="宋体"/>
                <w:color w:val="auto"/>
                <w:szCs w:val="21"/>
                <w:highlight w:val="none"/>
                <w:lang w:eastAsia="zh-CN"/>
              </w:rPr>
            </w:pPr>
            <w:r>
              <w:rPr>
                <w:rFonts w:hint="eastAsia" w:ascii="宋体" w:hAnsi="宋体"/>
                <w:color w:val="auto"/>
                <w:szCs w:val="21"/>
                <w:highlight w:val="none"/>
                <w:u w:val="single"/>
              </w:rPr>
              <w:t>在广州公共资源交易中心网站项目答疑专区或以补充公告形式发布</w:t>
            </w:r>
            <w:r>
              <w:rPr>
                <w:rFonts w:hint="eastAsia" w:ascii="宋体" w:hAnsi="宋体"/>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2.3.2</w:t>
            </w:r>
          </w:p>
        </w:tc>
        <w:tc>
          <w:tcPr>
            <w:tcW w:w="2187"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投标人确认收到招标文件修改</w:t>
            </w:r>
          </w:p>
        </w:tc>
        <w:tc>
          <w:tcPr>
            <w:tcW w:w="6415" w:type="dxa"/>
            <w:vAlign w:val="center"/>
          </w:tcPr>
          <w:p>
            <w:pPr>
              <w:snapToGrid w:val="0"/>
              <w:ind w:right="-101"/>
              <w:rPr>
                <w:rFonts w:hint="eastAsia" w:ascii="宋体" w:hAnsi="宋体" w:eastAsia="宋体"/>
                <w:color w:val="auto"/>
                <w:szCs w:val="21"/>
                <w:highlight w:val="none"/>
                <w:u w:val="single"/>
                <w:lang w:eastAsia="zh-CN"/>
              </w:rPr>
            </w:pPr>
            <w:r>
              <w:rPr>
                <w:rFonts w:ascii="宋体" w:hAnsi="宋体"/>
                <w:color w:val="auto"/>
                <w:szCs w:val="21"/>
                <w:highlight w:val="none"/>
              </w:rPr>
              <w:t>时间：</w:t>
            </w:r>
            <w:r>
              <w:rPr>
                <w:rFonts w:hint="eastAsia" w:ascii="宋体" w:hAnsi="宋体"/>
                <w:color w:val="auto"/>
                <w:szCs w:val="21"/>
                <w:highlight w:val="none"/>
                <w:u w:val="single"/>
              </w:rPr>
              <w:t>招标文件修改一经在广州公共资源交易中心网站发布，视作已发放给所有投标人</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182" w:type="dxa"/>
            <w:vMerge w:val="continue"/>
            <w:vAlign w:val="center"/>
          </w:tcPr>
          <w:p>
            <w:pPr>
              <w:snapToGrid w:val="0"/>
              <w:ind w:firstLine="420" w:firstLineChars="200"/>
              <w:rPr>
                <w:rFonts w:ascii="宋体" w:hAnsi="宋体"/>
                <w:color w:val="auto"/>
                <w:szCs w:val="21"/>
                <w:highlight w:val="none"/>
              </w:rPr>
            </w:pPr>
          </w:p>
        </w:tc>
        <w:tc>
          <w:tcPr>
            <w:tcW w:w="2187" w:type="dxa"/>
            <w:vMerge w:val="continue"/>
            <w:vAlign w:val="center"/>
          </w:tcPr>
          <w:p>
            <w:pPr>
              <w:snapToGrid w:val="0"/>
              <w:ind w:firstLine="420" w:firstLineChars="200"/>
              <w:rPr>
                <w:rFonts w:ascii="宋体" w:hAnsi="宋体"/>
                <w:color w:val="auto"/>
                <w:szCs w:val="21"/>
                <w:highlight w:val="none"/>
              </w:rPr>
            </w:pPr>
          </w:p>
        </w:tc>
        <w:tc>
          <w:tcPr>
            <w:tcW w:w="6415" w:type="dxa"/>
            <w:vAlign w:val="center"/>
          </w:tcPr>
          <w:p>
            <w:pPr>
              <w:snapToGrid w:val="0"/>
              <w:rPr>
                <w:rFonts w:ascii="宋体" w:hAnsi="宋体"/>
                <w:color w:val="auto"/>
                <w:szCs w:val="21"/>
                <w:highlight w:val="none"/>
              </w:rPr>
            </w:pPr>
            <w:r>
              <w:rPr>
                <w:rFonts w:ascii="宋体" w:hAnsi="宋体"/>
                <w:color w:val="auto"/>
                <w:szCs w:val="21"/>
                <w:highlight w:val="none"/>
              </w:rPr>
              <w:t>形式：</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3.1.1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构成投标文件的其他资料</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增值税税金的计算方法</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3.2.3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报价方式</w:t>
            </w:r>
          </w:p>
        </w:tc>
        <w:tc>
          <w:tcPr>
            <w:tcW w:w="6415" w:type="dxa"/>
            <w:vAlign w:val="center"/>
          </w:tcPr>
          <w:p>
            <w:pPr>
              <w:snapToGrid w:val="0"/>
              <w:rPr>
                <w:rFonts w:ascii="宋体" w:hAnsi="宋体"/>
                <w:color w:val="auto"/>
                <w:szCs w:val="21"/>
                <w:highlight w:val="none"/>
              </w:rPr>
            </w:pPr>
            <w:r>
              <w:rPr>
                <w:rFonts w:hint="eastAsia" w:ascii="宋体" w:cs="宋体"/>
                <w:color w:val="auto"/>
                <w:szCs w:val="21"/>
                <w:highlight w:val="none"/>
                <w:lang w:val="zh-CN"/>
              </w:rPr>
              <w:t>投标人结合招标文件规定自行报价（小数点后保留二位有效数字，第三位小数四舍五入）。投标报价超过最高投标限价的投标文件将被否决</w:t>
            </w:r>
            <w:r>
              <w:rPr>
                <w:rFonts w:hint="eastAsia" w:ascii="宋体" w:hAnsi="宋体"/>
                <w:color w:val="auto"/>
                <w:szCs w:val="21"/>
                <w:highlight w:val="none"/>
              </w:rPr>
              <w:t>。（如下浮率报价和数值报价不一致时，以下浮率报价为准）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3.2.4</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最高投标限价</w:t>
            </w:r>
          </w:p>
        </w:tc>
        <w:tc>
          <w:tcPr>
            <w:tcW w:w="6415" w:type="dxa"/>
            <w:vAlign w:val="center"/>
          </w:tcPr>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无</w:t>
            </w:r>
          </w:p>
          <w:p>
            <w:pPr>
              <w:snapToGrid w:val="0"/>
              <w:rPr>
                <w:rFonts w:ascii="宋体" w:hAnsi="宋体"/>
                <w:color w:val="auto"/>
                <w:szCs w:val="21"/>
                <w:highlight w:val="none"/>
                <w:u w:val="single"/>
              </w:rPr>
            </w:pPr>
            <w:r>
              <w:rPr>
                <w:rFonts w:hint="eastAsia"/>
                <w:color w:val="auto"/>
                <w:szCs w:val="21"/>
                <w:highlight w:val="none"/>
              </w:rPr>
              <w:t>■</w:t>
            </w:r>
            <w:r>
              <w:rPr>
                <w:rFonts w:ascii="宋体" w:hAnsi="宋体"/>
                <w:color w:val="auto"/>
                <w:szCs w:val="21"/>
                <w:highlight w:val="none"/>
              </w:rPr>
              <w:t>有，最高投标限价</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1665.22</w:t>
            </w:r>
            <w:r>
              <w:rPr>
                <w:rFonts w:hint="eastAsia" w:ascii="宋体" w:hAnsi="宋体"/>
                <w:color w:val="auto"/>
                <w:szCs w:val="21"/>
                <w:highlight w:val="none"/>
              </w:rPr>
              <w:t>万元，投标报价不得超过最高投标限价。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3.2.5</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投标报价的其他要求</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3.3.1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投标有效期</w:t>
            </w:r>
          </w:p>
        </w:tc>
        <w:tc>
          <w:tcPr>
            <w:tcW w:w="6415" w:type="dxa"/>
            <w:vAlign w:val="center"/>
          </w:tcPr>
          <w:p>
            <w:pPr>
              <w:snapToGrid w:val="0"/>
              <w:rPr>
                <w:rFonts w:ascii="宋体" w:hAnsi="宋体"/>
                <w:color w:val="auto"/>
                <w:szCs w:val="21"/>
                <w:highlight w:val="none"/>
              </w:rPr>
            </w:pPr>
            <w:bookmarkStart w:id="83" w:name="_Toc300834946"/>
            <w:bookmarkStart w:id="84" w:name="_Toc1789"/>
            <w:bookmarkStart w:id="85" w:name="_Toc352691470"/>
            <w:bookmarkStart w:id="86" w:name="_Toc361508582"/>
            <w:bookmarkStart w:id="87" w:name="_Toc369531512"/>
            <w:bookmarkStart w:id="88" w:name="_Toc384308207"/>
            <w:r>
              <w:rPr>
                <w:rFonts w:hint="eastAsia" w:ascii="宋体" w:hAnsi="宋体"/>
                <w:color w:val="auto"/>
                <w:szCs w:val="21"/>
                <w:highlight w:val="none"/>
                <w:u w:val="single"/>
              </w:rPr>
              <w:t>90</w:t>
            </w:r>
            <w:r>
              <w:rPr>
                <w:rFonts w:hint="eastAsia" w:ascii="宋体" w:hAnsi="宋体"/>
                <w:color w:val="auto"/>
                <w:szCs w:val="21"/>
                <w:highlight w:val="none"/>
              </w:rPr>
              <w:t>日历天（从投标截止之日算起）</w:t>
            </w:r>
          </w:p>
        </w:tc>
      </w:tr>
      <w:bookmarkEnd w:id="83"/>
      <w:bookmarkEnd w:id="84"/>
      <w:bookmarkEnd w:id="85"/>
      <w:bookmarkEnd w:id="86"/>
      <w:bookmarkEnd w:id="87"/>
      <w:bookmarkEnd w:id="8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3.4.1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投标保证金</w:t>
            </w:r>
          </w:p>
        </w:tc>
        <w:tc>
          <w:tcPr>
            <w:tcW w:w="6415" w:type="dxa"/>
            <w:vAlign w:val="center"/>
          </w:tcPr>
          <w:p>
            <w:pPr>
              <w:pStyle w:val="11"/>
              <w:topLinePunct/>
              <w:snapToGrid w:val="0"/>
              <w:rPr>
                <w:rFonts w:hAnsi="宋体"/>
                <w:color w:val="auto"/>
                <w:sz w:val="21"/>
                <w:szCs w:val="21"/>
                <w:highlight w:val="none"/>
              </w:rPr>
            </w:pPr>
            <w:r>
              <w:rPr>
                <w:rFonts w:hAnsi="宋体"/>
                <w:color w:val="auto"/>
                <w:sz w:val="21"/>
                <w:szCs w:val="21"/>
                <w:highlight w:val="none"/>
              </w:rPr>
              <w:t>是否要求投标人递交投标保证金：</w:t>
            </w:r>
          </w:p>
          <w:p>
            <w:pPr>
              <w:pStyle w:val="11"/>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不要求</w:t>
            </w:r>
          </w:p>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要求，</w:t>
            </w:r>
            <w:r>
              <w:rPr>
                <w:rFonts w:hAnsi="宋体"/>
                <w:b/>
                <w:color w:val="auto"/>
                <w:sz w:val="21"/>
                <w:szCs w:val="21"/>
                <w:highlight w:val="none"/>
              </w:rPr>
              <w:t>投标保证金的形式：</w:t>
            </w:r>
            <w:r>
              <w:rPr>
                <w:rFonts w:hint="eastAsia" w:hAnsi="宋体"/>
                <w:b/>
                <w:color w:val="auto"/>
                <w:sz w:val="21"/>
                <w:szCs w:val="21"/>
                <w:highlight w:val="none"/>
              </w:rPr>
              <w:t>投标保证金可采用现金、支票、</w:t>
            </w:r>
            <w:r>
              <w:rPr>
                <w:rFonts w:hint="eastAsia" w:hAnsi="宋体"/>
                <w:b/>
                <w:bCs/>
                <w:color w:val="auto"/>
                <w:sz w:val="21"/>
                <w:szCs w:val="21"/>
                <w:highlight w:val="none"/>
              </w:rPr>
              <w:t>银行保函、保证保险、专业工程担保公司担保</w:t>
            </w:r>
            <w:r>
              <w:rPr>
                <w:rFonts w:hint="eastAsia" w:hAnsi="宋体"/>
                <w:b/>
                <w:color w:val="auto"/>
                <w:sz w:val="21"/>
                <w:szCs w:val="21"/>
                <w:highlight w:val="none"/>
              </w:rPr>
              <w:t>形式，须在递交投标文件截止时间前完成缴纳。</w:t>
            </w:r>
          </w:p>
          <w:p>
            <w:pPr>
              <w:pStyle w:val="11"/>
              <w:topLinePunct/>
              <w:snapToGrid w:val="0"/>
              <w:rPr>
                <w:rFonts w:hAnsi="宋体"/>
                <w:color w:val="auto"/>
                <w:sz w:val="21"/>
                <w:szCs w:val="21"/>
                <w:highlight w:val="none"/>
              </w:rPr>
            </w:pPr>
            <w:r>
              <w:rPr>
                <w:rFonts w:hint="eastAsia" w:hAnsi="宋体"/>
                <w:color w:val="auto"/>
                <w:sz w:val="21"/>
                <w:szCs w:val="21"/>
                <w:highlight w:val="none"/>
              </w:rPr>
              <w:t>1、投标担保额度：人民币</w:t>
            </w:r>
            <w:r>
              <w:rPr>
                <w:rFonts w:hint="eastAsia" w:hAnsi="宋体"/>
                <w:color w:val="auto"/>
                <w:sz w:val="21"/>
                <w:szCs w:val="21"/>
                <w:highlight w:val="none"/>
                <w:u w:val="single"/>
                <w:lang w:val="en-US" w:eastAsia="zh-CN"/>
              </w:rPr>
              <w:t>10</w:t>
            </w:r>
            <w:r>
              <w:rPr>
                <w:rFonts w:hint="eastAsia" w:hAnsi="宋体"/>
                <w:color w:val="auto"/>
                <w:sz w:val="21"/>
                <w:szCs w:val="21"/>
                <w:highlight w:val="none"/>
              </w:rPr>
              <w:t>万元。</w:t>
            </w:r>
          </w:p>
          <w:p>
            <w:pPr>
              <w:pStyle w:val="11"/>
              <w:topLinePunct/>
              <w:snapToGrid w:val="0"/>
              <w:rPr>
                <w:rFonts w:hAnsi="宋体"/>
                <w:color w:val="auto"/>
                <w:sz w:val="21"/>
                <w:szCs w:val="21"/>
                <w:highlight w:val="none"/>
              </w:rPr>
            </w:pPr>
            <w:r>
              <w:rPr>
                <w:rFonts w:hint="eastAsia" w:hAnsi="宋体"/>
                <w:color w:val="auto"/>
                <w:sz w:val="21"/>
                <w:szCs w:val="21"/>
                <w:highlight w:val="none"/>
              </w:rPr>
              <w:t xml:space="preserve">   投标保证金有效期：长于或等于投标有效期。</w:t>
            </w:r>
          </w:p>
          <w:p>
            <w:pPr>
              <w:pStyle w:val="11"/>
              <w:topLinePunct/>
              <w:snapToGrid w:val="0"/>
              <w:rPr>
                <w:rFonts w:hAnsi="宋体"/>
                <w:color w:val="auto"/>
                <w:sz w:val="21"/>
                <w:szCs w:val="21"/>
                <w:highlight w:val="none"/>
              </w:rPr>
            </w:pPr>
            <w:r>
              <w:rPr>
                <w:rFonts w:hint="eastAsia" w:hAnsi="宋体"/>
                <w:color w:val="auto"/>
                <w:sz w:val="21"/>
                <w:szCs w:val="21"/>
                <w:highlight w:val="none"/>
              </w:rPr>
              <w:t>2、收取方式：</w:t>
            </w:r>
          </w:p>
          <w:p>
            <w:pPr>
              <w:snapToGrid w:val="0"/>
              <w:ind w:firstLine="420" w:firstLineChars="200"/>
              <w:rPr>
                <w:rFonts w:ascii="宋体" w:hAnsi="宋体"/>
                <w:color w:val="auto"/>
                <w:highlight w:val="none"/>
                <w:u w:val="single"/>
              </w:rPr>
            </w:pPr>
            <w:r>
              <w:rPr>
                <w:rFonts w:hint="eastAsia" w:ascii="宋体" w:hAnsi="宋体"/>
                <w:color w:val="auto"/>
                <w:highlight w:val="none"/>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napToGrid w:val="0"/>
              <w:rPr>
                <w:rFonts w:ascii="宋体" w:hAnsi="宋体"/>
                <w:color w:val="auto"/>
                <w:highlight w:val="none"/>
                <w:u w:val="single"/>
              </w:rPr>
            </w:pPr>
            <w:r>
              <w:rPr>
                <w:rFonts w:hint="eastAsia" w:ascii="宋体" w:hAnsi="宋体"/>
                <w:color w:val="auto"/>
                <w:highlight w:val="none"/>
                <w:u w:val="single"/>
              </w:rPr>
              <w:t>投标人需在交易系统中将汇入投标保证金与投标项目进行绑定，绑定成功后才能被认定为完成缴交投标保证金义务。</w:t>
            </w:r>
          </w:p>
          <w:p>
            <w:pPr>
              <w:snapToGrid w:val="0"/>
              <w:ind w:firstLine="420" w:firstLineChars="200"/>
              <w:rPr>
                <w:rFonts w:ascii="宋体" w:hAnsi="宋体"/>
                <w:color w:val="auto"/>
                <w:highlight w:val="none"/>
                <w:u w:val="single"/>
              </w:rPr>
            </w:pPr>
            <w:r>
              <w:rPr>
                <w:rFonts w:hint="eastAsia" w:ascii="宋体" w:hAnsi="宋体"/>
                <w:color w:val="auto"/>
                <w:highlight w:val="none"/>
                <w:u w:val="single"/>
              </w:rPr>
              <w:t>（2）如采用非电子形式的银行保函、专业工程担保公司担保或保证保险等形式提交投标保证金的，银行保函需开具给招标人，银行保函有效期不少于投标有效期。专业工程担保公司担保或保证保险需开具给招标人（受益人也必须是招标人），有效期不少于投标有效期。在开标前不强制要求投标人提交纸质原件，由中标候选人在中标候选人公示前提交并在网上公示，但投标人应在投标文件中提交保函、担保或保证保险扫描件并加盖投标人电子印章。如投标人选择在开标前提交纸质原件的，可在投标截止时间前15分钟单独密封递交至开标室。</w:t>
            </w:r>
          </w:p>
          <w:p>
            <w:pPr>
              <w:snapToGrid w:val="0"/>
              <w:ind w:firstLine="420" w:firstLineChars="200"/>
              <w:rPr>
                <w:rFonts w:ascii="宋体" w:hAnsi="宋体"/>
                <w:color w:val="auto"/>
                <w:highlight w:val="none"/>
                <w:u w:val="single"/>
              </w:rPr>
            </w:pPr>
            <w:r>
              <w:rPr>
                <w:rFonts w:hint="eastAsia" w:ascii="宋体" w:hAnsi="宋体"/>
                <w:color w:val="auto"/>
                <w:highlight w:val="none"/>
                <w:u w:val="single"/>
              </w:rPr>
              <w:t>（3）如采用电子形式的保函、担保或保证保险提交投标保证金的，详见广州公共资源交易中心相关操作指引。（本条适用于交易中心系统支持采用电子保函方式递交的情形）</w:t>
            </w:r>
          </w:p>
          <w:p>
            <w:pPr>
              <w:snapToGrid w:val="0"/>
              <w:ind w:firstLine="422" w:firstLineChars="200"/>
              <w:rPr>
                <w:rFonts w:ascii="宋体" w:hAnsi="宋体"/>
                <w:b/>
                <w:color w:val="auto"/>
                <w:highlight w:val="none"/>
                <w:u w:val="single"/>
              </w:rPr>
            </w:pPr>
            <w:r>
              <w:rPr>
                <w:rFonts w:hint="eastAsia" w:ascii="宋体" w:hAnsi="宋体"/>
                <w:b/>
                <w:color w:val="auto"/>
                <w:highlight w:val="none"/>
                <w:u w:val="single"/>
              </w:rPr>
              <w:t>（4）为降低投标人的交易成本，扩大信用承诺制的应用范围，信用良好企业或中小企业在提供相关资料后可无需缴纳投标保证金：</w:t>
            </w:r>
          </w:p>
          <w:p>
            <w:pPr>
              <w:snapToGrid w:val="0"/>
              <w:ind w:firstLine="422" w:firstLineChars="200"/>
              <w:rPr>
                <w:rFonts w:ascii="宋体" w:hAnsi="宋体"/>
                <w:color w:val="auto"/>
                <w:highlight w:val="none"/>
                <w:u w:val="single"/>
              </w:rPr>
            </w:pPr>
            <w:r>
              <w:rPr>
                <w:rFonts w:hint="eastAsia" w:ascii="宋体" w:hAnsi="宋体"/>
                <w:b/>
                <w:color w:val="auto"/>
                <w:highlight w:val="none"/>
                <w:u w:val="single"/>
              </w:rPr>
              <w:t>1）信用良好的投标人需提供信用状况良好的相关证明：</w:t>
            </w:r>
            <w:r>
              <w:rPr>
                <w:rFonts w:hint="eastAsia" w:ascii="宋体" w:hAnsi="宋体"/>
                <w:color w:val="auto"/>
                <w:highlight w:val="none"/>
                <w:u w:val="single"/>
              </w:rPr>
              <w:t>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w:t>
            </w:r>
          </w:p>
          <w:p>
            <w:pPr>
              <w:snapToGrid w:val="0"/>
              <w:ind w:firstLine="422" w:firstLineChars="200"/>
              <w:rPr>
                <w:rFonts w:ascii="宋体" w:hAnsi="宋体"/>
                <w:color w:val="auto"/>
                <w:highlight w:val="none"/>
                <w:u w:val="single"/>
              </w:rPr>
            </w:pPr>
            <w:r>
              <w:rPr>
                <w:rFonts w:hint="eastAsia" w:ascii="宋体" w:hAnsi="宋体"/>
                <w:b/>
                <w:color w:val="auto"/>
                <w:highlight w:val="none"/>
                <w:u w:val="single"/>
              </w:rPr>
              <w:t>2）属于中小企业（包括中型、小型和微型企业）的投标人需提供属于中小企业的资料：</w:t>
            </w:r>
            <w:r>
              <w:rPr>
                <w:rFonts w:hint="eastAsia" w:ascii="宋体" w:hAnsi="宋体"/>
                <w:color w:val="auto"/>
                <w:highlight w:val="none"/>
                <w:u w:val="single"/>
              </w:rPr>
              <w:t>要求投标人提供自行查询企业划型截图和《中小企业声明函》（详见“第六章  投标文件格式”）。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w:t>
            </w:r>
          </w:p>
          <w:p>
            <w:pPr>
              <w:pStyle w:val="11"/>
              <w:topLinePunct/>
              <w:snapToGrid w:val="0"/>
              <w:ind w:firstLine="422" w:firstLineChars="200"/>
              <w:rPr>
                <w:rFonts w:hAnsi="宋体"/>
                <w:color w:val="auto"/>
                <w:sz w:val="21"/>
                <w:szCs w:val="21"/>
                <w:highlight w:val="none"/>
              </w:rPr>
            </w:pPr>
            <w:r>
              <w:rPr>
                <w:rFonts w:hint="eastAsia" w:hAnsi="宋体"/>
                <w:b/>
                <w:color w:val="auto"/>
                <w:sz w:val="21"/>
                <w:szCs w:val="22"/>
                <w:highlight w:val="none"/>
                <w:u w:val="single"/>
              </w:rPr>
              <w:t>3）免交投标保证金的投标人还需同时提供《关于投标保证金的承诺》（详见“第六章  投标文件格式”）。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3.4.4</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其他可以不予退还投标保证金的情形</w:t>
            </w:r>
          </w:p>
        </w:tc>
        <w:tc>
          <w:tcPr>
            <w:tcW w:w="6415" w:type="dxa"/>
            <w:vAlign w:val="center"/>
          </w:tcPr>
          <w:p>
            <w:pPr>
              <w:snapToGrid w:val="0"/>
              <w:rPr>
                <w:color w:val="auto"/>
                <w:highlight w:val="none"/>
              </w:rPr>
            </w:pPr>
            <w:r>
              <w:rPr>
                <w:rFonts w:hint="eastAsia"/>
                <w:color w:val="auto"/>
                <w:highlight w:val="none"/>
              </w:rPr>
              <w:t>1、投标人在招标文件规定的投标有效期内撤回其投标；中标人在规定期限内未能根据规定签订合同；或者根据规定接受对错误的修正；根据规定提交履约保证金；</w:t>
            </w:r>
          </w:p>
          <w:p>
            <w:pPr>
              <w:rPr>
                <w:color w:val="auto"/>
                <w:highlight w:val="none"/>
              </w:rPr>
            </w:pPr>
            <w:r>
              <w:rPr>
                <w:rFonts w:hint="eastAsia"/>
                <w:color w:val="auto"/>
                <w:highlight w:val="none"/>
              </w:rPr>
              <w:t>2、投标人采用不正当的手段骗取中标。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3.5</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资格审查资料的特殊要求</w:t>
            </w:r>
          </w:p>
        </w:tc>
        <w:tc>
          <w:tcPr>
            <w:tcW w:w="6415" w:type="dxa"/>
            <w:vAlign w:val="center"/>
          </w:tcPr>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无</w:t>
            </w:r>
          </w:p>
          <w:p>
            <w:pPr>
              <w:pStyle w:val="11"/>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3.5.2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近年财务状况的年份要求</w:t>
            </w:r>
          </w:p>
        </w:tc>
        <w:tc>
          <w:tcPr>
            <w:tcW w:w="6415"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 xml:space="preserve"> / </w:t>
            </w:r>
            <w:r>
              <w:rPr>
                <w:rFonts w:ascii="宋体" w:hAnsi="宋体"/>
                <w:color w:val="auto"/>
                <w:szCs w:val="21"/>
                <w:highlight w:val="none"/>
              </w:rPr>
              <w:t>年至</w:t>
            </w:r>
            <w:r>
              <w:rPr>
                <w:rFonts w:hint="eastAsia" w:ascii="宋体" w:hAnsi="宋体"/>
                <w:color w:val="auto"/>
                <w:szCs w:val="21"/>
                <w:highlight w:val="none"/>
                <w:u w:val="single"/>
              </w:rPr>
              <w:t xml:space="preserve"> / </w:t>
            </w:r>
            <w:r>
              <w:rPr>
                <w:rFonts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3.5.3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近年完成的类似项目情况</w:t>
            </w:r>
            <w:r>
              <w:rPr>
                <w:rFonts w:hint="eastAsia" w:ascii="宋体" w:hAnsi="宋体"/>
                <w:color w:val="auto"/>
                <w:szCs w:val="21"/>
                <w:highlight w:val="none"/>
              </w:rPr>
              <w:t>的</w:t>
            </w:r>
            <w:r>
              <w:rPr>
                <w:rFonts w:ascii="宋体" w:hAnsi="宋体"/>
                <w:color w:val="auto"/>
                <w:szCs w:val="21"/>
                <w:highlight w:val="none"/>
              </w:rPr>
              <w:t>时间要求</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3.5.5</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近年发生的诉讼及仲裁情况的时间要求</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 </w:t>
            </w:r>
            <w:r>
              <w:rPr>
                <w:rFonts w:ascii="宋体" w:hAnsi="宋体"/>
                <w:color w:val="auto"/>
                <w:szCs w:val="21"/>
                <w:highlight w:val="none"/>
              </w:rPr>
              <w:t>日至</w:t>
            </w:r>
            <w:r>
              <w:rPr>
                <w:rFonts w:hint="eastAsia" w:ascii="宋体" w:hAnsi="宋体"/>
                <w:color w:val="auto"/>
                <w:szCs w:val="21"/>
                <w:highlight w:val="none"/>
                <w:u w:val="single"/>
              </w:rPr>
              <w:t xml:space="preserve"> / </w:t>
            </w:r>
            <w:r>
              <w:rPr>
                <w:rFonts w:ascii="宋体" w:hAnsi="宋体"/>
                <w:color w:val="auto"/>
                <w:szCs w:val="21"/>
                <w:highlight w:val="none"/>
              </w:rPr>
              <w:t>年</w:t>
            </w:r>
            <w:r>
              <w:rPr>
                <w:rFonts w:hint="eastAsia" w:ascii="宋体" w:hAnsi="宋体"/>
                <w:color w:val="auto"/>
                <w:szCs w:val="21"/>
                <w:highlight w:val="none"/>
                <w:u w:val="single"/>
              </w:rPr>
              <w:t xml:space="preserve"> / </w:t>
            </w:r>
            <w:r>
              <w:rPr>
                <w:rFonts w:ascii="宋体" w:hAnsi="宋体"/>
                <w:color w:val="auto"/>
                <w:szCs w:val="21"/>
                <w:highlight w:val="none"/>
              </w:rPr>
              <w:t>月</w:t>
            </w:r>
            <w:r>
              <w:rPr>
                <w:rFonts w:hint="eastAsia" w:ascii="宋体" w:hAnsi="宋体"/>
                <w:color w:val="auto"/>
                <w:szCs w:val="21"/>
                <w:highlight w:val="none"/>
                <w:u w:val="single"/>
              </w:rPr>
              <w:t xml:space="preserve"> / </w:t>
            </w:r>
            <w:r>
              <w:rPr>
                <w:rFonts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3.6.1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是否允许递交备选投标方案</w:t>
            </w:r>
          </w:p>
        </w:tc>
        <w:tc>
          <w:tcPr>
            <w:tcW w:w="6415" w:type="dxa"/>
            <w:vAlign w:val="center"/>
          </w:tcPr>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不允许</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3.7.3A（2）</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投标文件副本份数及其他要求</w:t>
            </w:r>
          </w:p>
        </w:tc>
        <w:tc>
          <w:tcPr>
            <w:tcW w:w="6415"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中标单位在发放中标通知书后三日内提供三套与电子投标文件相符的纸质版投标文件给招标人。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3.7.3A（3）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投标文件是否需分册装订</w:t>
            </w:r>
          </w:p>
        </w:tc>
        <w:tc>
          <w:tcPr>
            <w:tcW w:w="6415"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3.7.3（B）</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投标文件所附证书证件要求</w:t>
            </w:r>
          </w:p>
        </w:tc>
        <w:tc>
          <w:tcPr>
            <w:tcW w:w="6415" w:type="dxa"/>
            <w:vAlign w:val="center"/>
          </w:tcPr>
          <w:p>
            <w:pPr>
              <w:pStyle w:val="11"/>
              <w:topLinePunct/>
              <w:snapToGrid w:val="0"/>
              <w:rPr>
                <w:rFonts w:hAnsi="宋体"/>
                <w:color w:val="auto"/>
                <w:sz w:val="21"/>
                <w:szCs w:val="21"/>
                <w:highlight w:val="none"/>
              </w:rPr>
            </w:pPr>
            <w:r>
              <w:rPr>
                <w:rFonts w:hint="eastAsia" w:hAnsi="宋体"/>
                <w:color w:val="auto"/>
                <w:sz w:val="21"/>
                <w:szCs w:val="21"/>
                <w:highlight w:val="none"/>
                <w:u w:val="single"/>
              </w:rPr>
              <w:t>证书证件需为原件清晰扫描件，并采用单位数字证书，按照招标文件要求在相应位置加盖电子印章。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3.7.3（B）</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投标文件签字或盖章要求</w:t>
            </w:r>
          </w:p>
        </w:tc>
        <w:tc>
          <w:tcPr>
            <w:tcW w:w="6415" w:type="dxa"/>
            <w:vAlign w:val="center"/>
          </w:tcPr>
          <w:p>
            <w:pPr>
              <w:pStyle w:val="11"/>
              <w:topLinePunct/>
              <w:snapToGrid w:val="0"/>
              <w:rPr>
                <w:color w:val="auto"/>
                <w:sz w:val="21"/>
                <w:szCs w:val="21"/>
                <w:highlight w:val="none"/>
                <w:u w:val="single"/>
              </w:rPr>
            </w:pPr>
            <w:r>
              <w:rPr>
                <w:rFonts w:hint="eastAsia"/>
                <w:color w:val="auto"/>
                <w:sz w:val="21"/>
                <w:szCs w:val="21"/>
                <w:highlight w:val="none"/>
                <w:u w:val="single"/>
              </w:rPr>
              <w:t>取消在招标文件中采用个人数字证书和加盖个人电子印章要求，投标文件中需个人签字或盖章的，应手签或盖章后扫描上传。投标文件按招标文件要求加盖单位电子印章。具体操作详见广州公共资源交易中心发布的最新版本《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4.1.1（B）</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投标文件加密要求</w:t>
            </w:r>
          </w:p>
        </w:tc>
        <w:tc>
          <w:tcPr>
            <w:tcW w:w="6415" w:type="dxa"/>
            <w:vAlign w:val="center"/>
          </w:tcPr>
          <w:p>
            <w:pPr>
              <w:pStyle w:val="11"/>
              <w:topLinePunct/>
              <w:snapToGrid w:val="0"/>
              <w:rPr>
                <w:rFonts w:hint="eastAsia" w:hAnsi="宋体" w:eastAsia="宋体"/>
                <w:color w:val="auto"/>
                <w:szCs w:val="21"/>
                <w:highlight w:val="none"/>
                <w:u w:val="single"/>
                <w:lang w:eastAsia="zh-CN"/>
              </w:rPr>
            </w:pPr>
            <w:r>
              <w:rPr>
                <w:rFonts w:hint="eastAsia"/>
                <w:color w:val="auto"/>
                <w:sz w:val="21"/>
                <w:szCs w:val="21"/>
                <w:highlight w:val="none"/>
              </w:rPr>
              <w:t>网上递交的电子投标文件须进行加密。具体操作详见广州公共资源交易中心发布的最新版本《房屋建筑和市政基础设施工程全流程电子化项目专章》</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4.1.2</w:t>
            </w:r>
          </w:p>
        </w:tc>
        <w:tc>
          <w:tcPr>
            <w:tcW w:w="2187" w:type="dxa"/>
            <w:vAlign w:val="center"/>
          </w:tcPr>
          <w:p>
            <w:pPr>
              <w:snapToGrid w:val="0"/>
              <w:jc w:val="center"/>
              <w:rPr>
                <w:rFonts w:ascii="宋体" w:hAnsi="宋体"/>
                <w:color w:val="auto"/>
                <w:szCs w:val="21"/>
                <w:highlight w:val="none"/>
                <w:shd w:val="clear" w:color="FFFFFF" w:fill="D9D9D9"/>
              </w:rPr>
            </w:pPr>
            <w:r>
              <w:rPr>
                <w:rFonts w:hint="eastAsia" w:ascii="宋体" w:hAnsi="宋体"/>
                <w:color w:val="auto"/>
                <w:szCs w:val="21"/>
                <w:highlight w:val="none"/>
              </w:rPr>
              <w:t>封套上应载明的信息</w:t>
            </w:r>
          </w:p>
        </w:tc>
        <w:tc>
          <w:tcPr>
            <w:tcW w:w="6415" w:type="dxa"/>
            <w:vAlign w:val="center"/>
          </w:tcPr>
          <w:p>
            <w:pPr>
              <w:pStyle w:val="11"/>
              <w:topLinePunct/>
              <w:snapToGrid w:val="0"/>
              <w:rPr>
                <w:rFonts w:hAnsi="宋体"/>
                <w:color w:val="auto"/>
                <w:sz w:val="21"/>
                <w:szCs w:val="21"/>
                <w:highlight w:val="none"/>
              </w:rPr>
            </w:pPr>
            <w:r>
              <w:rPr>
                <w:rFonts w:hint="eastAsia" w:hAnsi="宋体"/>
                <w:color w:val="auto"/>
                <w:sz w:val="21"/>
                <w:szCs w:val="21"/>
                <w:highlight w:val="none"/>
              </w:rPr>
              <w:t>如有提交投标文件光盘备用，封套上应注明如下信息：</w:t>
            </w:r>
          </w:p>
          <w:p>
            <w:pPr>
              <w:pStyle w:val="11"/>
              <w:topLinePunct/>
              <w:snapToGrid w:val="0"/>
              <w:rPr>
                <w:color w:val="auto"/>
                <w:sz w:val="21"/>
                <w:szCs w:val="21"/>
                <w:highlight w:val="none"/>
              </w:rPr>
            </w:pPr>
            <w:r>
              <w:rPr>
                <w:rFonts w:hint="eastAsia" w:hAnsi="宋体"/>
                <w:color w:val="auto"/>
                <w:sz w:val="21"/>
                <w:szCs w:val="21"/>
                <w:highlight w:val="none"/>
              </w:rPr>
              <w:t>招标人名称：</w:t>
            </w:r>
            <w:r>
              <w:rPr>
                <w:rFonts w:hint="eastAsia"/>
                <w:color w:val="auto"/>
                <w:sz w:val="21"/>
                <w:szCs w:val="21"/>
                <w:highlight w:val="none"/>
              </w:rPr>
              <w:t>广州增城区东进供水有限公司</w:t>
            </w:r>
          </w:p>
          <w:p>
            <w:pPr>
              <w:pStyle w:val="11"/>
              <w:rPr>
                <w:rFonts w:hint="eastAsia" w:eastAsia="宋体"/>
                <w:color w:val="auto"/>
                <w:sz w:val="21"/>
                <w:szCs w:val="21"/>
                <w:highlight w:val="none"/>
                <w:lang w:eastAsia="zh-CN"/>
              </w:rPr>
            </w:pPr>
            <w:r>
              <w:rPr>
                <w:rFonts w:hint="eastAsia"/>
                <w:color w:val="auto"/>
                <w:sz w:val="21"/>
                <w:szCs w:val="21"/>
                <w:highlight w:val="none"/>
              </w:rPr>
              <w:t>招标人地址：</w:t>
            </w:r>
            <w:r>
              <w:rPr>
                <w:rFonts w:hint="eastAsia"/>
                <w:color w:val="auto"/>
                <w:sz w:val="21"/>
                <w:szCs w:val="21"/>
                <w:highlight w:val="none"/>
                <w:lang w:eastAsia="zh-CN"/>
              </w:rPr>
              <w:t>广州市增城区荔城街民乐路20号阳光国际大厦801房</w:t>
            </w:r>
          </w:p>
          <w:p>
            <w:pPr>
              <w:pStyle w:val="11"/>
              <w:topLinePunct/>
              <w:snapToGrid w:val="0"/>
              <w:rPr>
                <w:rFonts w:hAnsi="宋体"/>
                <w:color w:val="auto"/>
                <w:sz w:val="21"/>
                <w:szCs w:val="21"/>
                <w:highlight w:val="none"/>
              </w:rPr>
            </w:pPr>
            <w:r>
              <w:rPr>
                <w:rFonts w:hint="eastAsia" w:hAnsi="宋体"/>
                <w:color w:val="auto"/>
                <w:sz w:val="21"/>
                <w:szCs w:val="21"/>
                <w:highlight w:val="none"/>
                <w:u w:val="single"/>
                <w:lang w:eastAsia="zh-CN"/>
              </w:rPr>
              <w:t>增城区南部水厂及配套管网建设工程监理</w:t>
            </w:r>
            <w:r>
              <w:rPr>
                <w:rFonts w:hint="eastAsia" w:hAnsi="宋体"/>
                <w:color w:val="auto"/>
                <w:sz w:val="21"/>
                <w:szCs w:val="21"/>
                <w:highlight w:val="none"/>
                <w:u w:val="single"/>
              </w:rPr>
              <w:t>投标文件</w:t>
            </w:r>
          </w:p>
          <w:p>
            <w:pPr>
              <w:pStyle w:val="11"/>
              <w:topLinePunct/>
              <w:snapToGrid w:val="0"/>
              <w:rPr>
                <w:rFonts w:hAnsi="宋体"/>
                <w:color w:val="auto"/>
                <w:sz w:val="21"/>
                <w:szCs w:val="21"/>
                <w:highlight w:val="none"/>
              </w:rPr>
            </w:pPr>
            <w:r>
              <w:rPr>
                <w:rFonts w:hint="eastAsia" w:hAnsi="宋体"/>
                <w:color w:val="auto"/>
                <w:sz w:val="21"/>
                <w:szCs w:val="21"/>
                <w:highlight w:val="none"/>
              </w:rPr>
              <w:t xml:space="preserve">招标项目编号：              </w:t>
            </w:r>
          </w:p>
          <w:p>
            <w:pPr>
              <w:pStyle w:val="11"/>
              <w:topLinePunct/>
              <w:snapToGrid w:val="0"/>
              <w:rPr>
                <w:rFonts w:hAnsi="宋体"/>
                <w:color w:val="auto"/>
                <w:szCs w:val="21"/>
                <w:highlight w:val="none"/>
              </w:rPr>
            </w:pPr>
            <w:r>
              <w:rPr>
                <w:rFonts w:hint="eastAsia" w:hAnsi="宋体"/>
                <w:color w:val="auto"/>
                <w:sz w:val="21"/>
                <w:szCs w:val="21"/>
                <w:highlight w:val="none"/>
              </w:rPr>
              <w:t>在</w:t>
            </w:r>
            <w:r>
              <w:rPr>
                <w:rFonts w:hint="eastAsia" w:hAnsi="宋体"/>
                <w:color w:val="auto"/>
                <w:szCs w:val="21"/>
                <w:highlight w:val="none"/>
                <w:u w:val="single"/>
              </w:rPr>
              <w:t xml:space="preserve">   </w:t>
            </w:r>
            <w:r>
              <w:rPr>
                <w:rFonts w:hint="eastAsia" w:hAnsi="宋体"/>
                <w:color w:val="auto"/>
                <w:sz w:val="21"/>
                <w:szCs w:val="21"/>
                <w:highlight w:val="none"/>
              </w:rPr>
              <w:t>年</w:t>
            </w:r>
            <w:r>
              <w:rPr>
                <w:rFonts w:hint="eastAsia" w:hAnsi="宋体"/>
                <w:color w:val="auto"/>
                <w:szCs w:val="21"/>
                <w:highlight w:val="none"/>
                <w:u w:val="single"/>
              </w:rPr>
              <w:t xml:space="preserve">  </w:t>
            </w:r>
            <w:r>
              <w:rPr>
                <w:rFonts w:hint="eastAsia" w:hAnsi="宋体"/>
                <w:color w:val="auto"/>
                <w:sz w:val="21"/>
                <w:szCs w:val="21"/>
                <w:highlight w:val="none"/>
              </w:rPr>
              <w:t>月</w:t>
            </w:r>
            <w:r>
              <w:rPr>
                <w:rFonts w:hint="eastAsia" w:hAnsi="宋体"/>
                <w:color w:val="auto"/>
                <w:szCs w:val="21"/>
                <w:highlight w:val="none"/>
                <w:u w:val="single"/>
              </w:rPr>
              <w:t xml:space="preserve">  </w:t>
            </w:r>
            <w:r>
              <w:rPr>
                <w:rFonts w:hint="eastAsia" w:hAnsi="宋体"/>
                <w:color w:val="auto"/>
                <w:sz w:val="21"/>
                <w:szCs w:val="21"/>
                <w:highlight w:val="none"/>
              </w:rPr>
              <w:t>日</w:t>
            </w:r>
            <w:r>
              <w:rPr>
                <w:rFonts w:hint="eastAsia" w:hAnsi="宋体"/>
                <w:color w:val="auto"/>
                <w:szCs w:val="21"/>
                <w:highlight w:val="none"/>
                <w:u w:val="single"/>
              </w:rPr>
              <w:t xml:space="preserve">  </w:t>
            </w:r>
            <w:r>
              <w:rPr>
                <w:rFonts w:hint="eastAsia" w:hAnsi="宋体"/>
                <w:color w:val="auto"/>
                <w:sz w:val="21"/>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4.2.1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投标截止时间</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4.2.2（A）</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递交投标文件</w:t>
            </w:r>
            <w:r>
              <w:rPr>
                <w:rFonts w:hint="eastAsia" w:ascii="宋体" w:hAnsi="宋体"/>
                <w:color w:val="auto"/>
                <w:szCs w:val="21"/>
                <w:highlight w:val="none"/>
              </w:rPr>
              <w:t>时间和</w:t>
            </w:r>
            <w:r>
              <w:rPr>
                <w:rFonts w:ascii="宋体" w:hAnsi="宋体"/>
                <w:color w:val="auto"/>
                <w:szCs w:val="21"/>
                <w:highlight w:val="none"/>
              </w:rPr>
              <w:t>地点</w:t>
            </w:r>
          </w:p>
        </w:tc>
        <w:tc>
          <w:tcPr>
            <w:tcW w:w="6415" w:type="dxa"/>
            <w:vAlign w:val="center"/>
          </w:tcPr>
          <w:p>
            <w:pPr>
              <w:snapToGrid w:val="0"/>
              <w:jc w:val="left"/>
              <w:rPr>
                <w:color w:val="auto"/>
                <w:highlight w:val="none"/>
              </w:rPr>
            </w:pPr>
            <w:r>
              <w:rPr>
                <w:rFonts w:hint="eastAsia" w:ascii="宋体" w:hAnsi="宋体"/>
                <w:color w:val="auto"/>
                <w:szCs w:val="21"/>
                <w:highlight w:val="none"/>
                <w:u w:val="single"/>
              </w:rPr>
              <w:t>1.递交方式：网上递交投标文件</w:t>
            </w:r>
          </w:p>
          <w:p>
            <w:pPr>
              <w:snapToGrid w:val="0"/>
              <w:jc w:val="left"/>
              <w:rPr>
                <w:rFonts w:ascii="宋体" w:hAnsi="宋体"/>
                <w:color w:val="auto"/>
                <w:szCs w:val="21"/>
                <w:highlight w:val="none"/>
                <w:u w:val="single"/>
              </w:rPr>
            </w:pPr>
            <w:r>
              <w:rPr>
                <w:rFonts w:hint="eastAsia" w:ascii="宋体" w:hAnsi="宋体"/>
                <w:color w:val="auto"/>
                <w:szCs w:val="21"/>
                <w:highlight w:val="none"/>
                <w:u w:val="single"/>
              </w:rPr>
              <w:t>2.文件的递交截止时间：同投标截止时间。</w:t>
            </w:r>
          </w:p>
          <w:p>
            <w:pPr>
              <w:snapToGrid w:val="0"/>
              <w:jc w:val="left"/>
              <w:rPr>
                <w:rFonts w:ascii="宋体" w:hAnsi="宋体"/>
                <w:color w:val="auto"/>
                <w:szCs w:val="21"/>
                <w:highlight w:val="none"/>
                <w:u w:val="single"/>
              </w:rPr>
            </w:pPr>
            <w:r>
              <w:rPr>
                <w:rFonts w:hint="eastAsia" w:ascii="宋体" w:hAnsi="宋体"/>
                <w:color w:val="auto"/>
                <w:szCs w:val="21"/>
                <w:highlight w:val="none"/>
                <w:u w:val="single"/>
              </w:rPr>
              <w:t>3.地点：广州公共资源交易中心网站。</w:t>
            </w:r>
          </w:p>
          <w:p>
            <w:pPr>
              <w:snapToGrid w:val="0"/>
              <w:jc w:val="left"/>
              <w:rPr>
                <w:rFonts w:ascii="宋体" w:hAnsi="宋体"/>
                <w:color w:val="auto"/>
                <w:szCs w:val="21"/>
                <w:highlight w:val="none"/>
                <w:u w:val="single"/>
              </w:rPr>
            </w:pPr>
            <w:r>
              <w:rPr>
                <w:rFonts w:hint="eastAsia" w:ascii="宋体" w:hAnsi="宋体"/>
                <w:color w:val="auto"/>
                <w:szCs w:val="21"/>
                <w:highlight w:val="none"/>
                <w:u w:val="single"/>
              </w:rPr>
              <w:t>4.上述时间及地点是否有改变，请密切留意招标答疑纪要的相关信息。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4.2.3</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投标文件是否退还</w:t>
            </w:r>
          </w:p>
        </w:tc>
        <w:tc>
          <w:tcPr>
            <w:tcW w:w="6415" w:type="dxa"/>
            <w:vAlign w:val="center"/>
          </w:tcPr>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否</w:t>
            </w:r>
          </w:p>
          <w:p>
            <w:pPr>
              <w:pStyle w:val="11"/>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是，退还时间：</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B</w:t>
            </w:r>
            <w:r>
              <w:rPr>
                <w:rFonts w:ascii="宋体" w:hAnsi="宋体"/>
                <w:color w:val="auto"/>
                <w:szCs w:val="21"/>
                <w:highlight w:val="none"/>
              </w:rPr>
              <w:t>）</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开标时间和地点</w:t>
            </w:r>
          </w:p>
        </w:tc>
        <w:tc>
          <w:tcPr>
            <w:tcW w:w="6415" w:type="dxa"/>
            <w:vAlign w:val="center"/>
          </w:tcPr>
          <w:p>
            <w:pPr>
              <w:pStyle w:val="11"/>
              <w:topLinePunct/>
              <w:snapToGrid w:val="0"/>
              <w:rPr>
                <w:color w:val="auto"/>
                <w:sz w:val="21"/>
                <w:szCs w:val="21"/>
                <w:highlight w:val="none"/>
                <w:u w:val="single"/>
              </w:rPr>
            </w:pPr>
            <w:r>
              <w:rPr>
                <w:rFonts w:hint="eastAsia"/>
                <w:color w:val="auto"/>
                <w:sz w:val="21"/>
                <w:szCs w:val="21"/>
                <w:highlight w:val="none"/>
              </w:rPr>
              <w:t>开标时间：</w:t>
            </w:r>
            <w:r>
              <w:rPr>
                <w:rFonts w:hint="eastAsia"/>
                <w:color w:val="auto"/>
                <w:sz w:val="21"/>
                <w:szCs w:val="21"/>
                <w:highlight w:val="none"/>
                <w:u w:val="single"/>
              </w:rPr>
              <w:t>同投标截止时间</w:t>
            </w:r>
          </w:p>
          <w:p>
            <w:pPr>
              <w:pStyle w:val="11"/>
              <w:topLinePunct/>
              <w:snapToGrid w:val="0"/>
              <w:rPr>
                <w:color w:val="auto"/>
                <w:sz w:val="21"/>
                <w:szCs w:val="21"/>
                <w:highlight w:val="none"/>
              </w:rPr>
            </w:pPr>
            <w:r>
              <w:rPr>
                <w:rFonts w:hint="eastAsia"/>
                <w:color w:val="auto"/>
                <w:sz w:val="21"/>
                <w:szCs w:val="21"/>
                <w:highlight w:val="none"/>
              </w:rPr>
              <w:t>开标地点：本项目具体的招投标活动日程安排及场地安排以广州市公共资源交易中心网站公布的为准。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B</w:t>
            </w:r>
            <w:r>
              <w:rPr>
                <w:rFonts w:ascii="宋体" w:hAnsi="宋体"/>
                <w:color w:val="auto"/>
                <w:szCs w:val="21"/>
                <w:highlight w:val="none"/>
              </w:rPr>
              <w:t>）</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开标程序</w:t>
            </w:r>
          </w:p>
        </w:tc>
        <w:tc>
          <w:tcPr>
            <w:tcW w:w="6415" w:type="dxa"/>
            <w:vAlign w:val="center"/>
          </w:tcPr>
          <w:p>
            <w:pPr>
              <w:pStyle w:val="11"/>
              <w:topLinePunct/>
              <w:snapToGrid w:val="0"/>
              <w:rPr>
                <w:color w:val="auto"/>
                <w:sz w:val="21"/>
                <w:szCs w:val="21"/>
                <w:highlight w:val="none"/>
              </w:rPr>
            </w:pPr>
            <w:r>
              <w:rPr>
                <w:rFonts w:hint="eastAsia"/>
                <w:color w:val="auto"/>
                <w:sz w:val="21"/>
                <w:szCs w:val="21"/>
                <w:highlight w:val="none"/>
              </w:rPr>
              <w:t>电子招投标项目开标按下列程序进行：</w:t>
            </w:r>
          </w:p>
          <w:p>
            <w:pPr>
              <w:pStyle w:val="11"/>
              <w:topLinePunct/>
              <w:snapToGrid w:val="0"/>
              <w:rPr>
                <w:color w:val="auto"/>
                <w:sz w:val="21"/>
                <w:szCs w:val="21"/>
                <w:highlight w:val="none"/>
              </w:rPr>
            </w:pPr>
            <w:r>
              <w:rPr>
                <w:color w:val="auto"/>
                <w:sz w:val="21"/>
                <w:szCs w:val="21"/>
                <w:highlight w:val="none"/>
              </w:rPr>
              <w:t>5.2.1</w:t>
            </w:r>
            <w:r>
              <w:rPr>
                <w:rFonts w:hint="eastAsia"/>
                <w:color w:val="auto"/>
                <w:sz w:val="21"/>
                <w:szCs w:val="21"/>
                <w:highlight w:val="none"/>
              </w:rPr>
              <w:t>主持人按下列程序进行开标：</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）宣布开标纪律；</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）公布在投标截止时间前递交投标文件的投标人名称；</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）宣布开标人、唱标人、记录人、监标人等有关人员姓名；</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w:t>
            </w:r>
            <w:r>
              <w:rPr>
                <w:color w:val="auto"/>
                <w:sz w:val="21"/>
                <w:szCs w:val="21"/>
                <w:highlight w:val="none"/>
              </w:rPr>
              <w:t>B</w:t>
            </w:r>
            <w:r>
              <w:rPr>
                <w:rFonts w:hint="eastAsia"/>
                <w:color w:val="auto"/>
                <w:sz w:val="21"/>
                <w:szCs w:val="21"/>
                <w:highlight w:val="none"/>
              </w:rPr>
              <w:t>）投标人通过电子招标投标交易平台对已递交的电子投标文件进行解密，公布招标项目名称、投标人名称、投标保证金的递交情况、投标报价、监理服务期限及其他内容，并记录在案；</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w:t>
            </w:r>
            <w:r>
              <w:rPr>
                <w:color w:val="auto"/>
                <w:sz w:val="21"/>
                <w:szCs w:val="21"/>
                <w:highlight w:val="none"/>
              </w:rPr>
              <w:t>B</w:t>
            </w:r>
            <w:r>
              <w:rPr>
                <w:rFonts w:hint="eastAsia"/>
                <w:color w:val="auto"/>
                <w:sz w:val="21"/>
                <w:szCs w:val="21"/>
                <w:highlight w:val="none"/>
              </w:rPr>
              <w:t>）投标人代表、招标人代表、监标人、记录人等有关人员在开标记录上签字确认；若有关人员不签字的，不影响开标程序；</w:t>
            </w:r>
          </w:p>
          <w:p>
            <w:pPr>
              <w:pStyle w:val="11"/>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）开标结束。</w:t>
            </w:r>
          </w:p>
          <w:p>
            <w:pPr>
              <w:pStyle w:val="11"/>
              <w:topLinePunct/>
              <w:snapToGrid w:val="0"/>
              <w:rPr>
                <w:color w:val="auto"/>
                <w:sz w:val="21"/>
                <w:szCs w:val="21"/>
                <w:highlight w:val="none"/>
              </w:rPr>
            </w:pPr>
            <w:r>
              <w:rPr>
                <w:color w:val="auto"/>
                <w:sz w:val="21"/>
                <w:szCs w:val="21"/>
                <w:highlight w:val="none"/>
              </w:rPr>
              <w:t>5.2.2</w:t>
            </w:r>
            <w:r>
              <w:rPr>
                <w:rFonts w:hint="eastAsia"/>
                <w:color w:val="auto"/>
                <w:sz w:val="21"/>
                <w:szCs w:val="21"/>
                <w:highlight w:val="none"/>
              </w:rPr>
              <w:t>投标截止时间前未完成投标文件传输的或因投标人之外的原因造成投标文件未解密的，视为投标人撤回投标文件。因投标人原因造成投标文件未解密的或未在投标截止时间后</w:t>
            </w:r>
            <w:r>
              <w:rPr>
                <w:color w:val="auto"/>
                <w:sz w:val="21"/>
                <w:szCs w:val="21"/>
                <w:highlight w:val="none"/>
              </w:rPr>
              <w:t>1</w:t>
            </w:r>
            <w:r>
              <w:rPr>
                <w:rFonts w:hint="eastAsia"/>
                <w:color w:val="auto"/>
                <w:sz w:val="21"/>
                <w:szCs w:val="21"/>
                <w:highlight w:val="none"/>
              </w:rPr>
              <w:t>小时解密的，视为撤销其投标文件。</w:t>
            </w:r>
          </w:p>
          <w:p>
            <w:pPr>
              <w:pStyle w:val="11"/>
              <w:topLinePunct/>
              <w:snapToGrid w:val="0"/>
              <w:rPr>
                <w:color w:val="auto"/>
                <w:sz w:val="21"/>
                <w:szCs w:val="21"/>
                <w:highlight w:val="none"/>
              </w:rPr>
            </w:pPr>
            <w:r>
              <w:rPr>
                <w:color w:val="auto"/>
                <w:sz w:val="21"/>
                <w:szCs w:val="21"/>
                <w:highlight w:val="none"/>
              </w:rPr>
              <w:t>5.2.3</w:t>
            </w:r>
            <w:r>
              <w:rPr>
                <w:rFonts w:hint="eastAsia"/>
                <w:color w:val="auto"/>
                <w:sz w:val="21"/>
                <w:szCs w:val="21"/>
                <w:highlight w:val="none"/>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6.1.1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评标委员会的组建</w:t>
            </w:r>
          </w:p>
        </w:tc>
        <w:tc>
          <w:tcPr>
            <w:tcW w:w="6415" w:type="dxa"/>
            <w:vAlign w:val="center"/>
          </w:tcPr>
          <w:p>
            <w:pPr>
              <w:snapToGrid w:val="0"/>
              <w:rPr>
                <w:rFonts w:hint="eastAsia" w:ascii="宋体" w:hAnsi="宋体" w:eastAsia="宋体"/>
                <w:color w:val="auto"/>
                <w:szCs w:val="21"/>
                <w:highlight w:val="none"/>
                <w:lang w:eastAsia="zh-CN"/>
              </w:rPr>
            </w:pPr>
            <w:r>
              <w:rPr>
                <w:rFonts w:ascii="宋体" w:hAnsi="宋体"/>
                <w:color w:val="auto"/>
                <w:szCs w:val="21"/>
                <w:highlight w:val="none"/>
              </w:rPr>
              <w:t>评标委员会构成：</w:t>
            </w:r>
            <w:r>
              <w:rPr>
                <w:rFonts w:hint="eastAsia" w:ascii="宋体" w:hAnsi="宋体"/>
                <w:color w:val="auto"/>
                <w:szCs w:val="21"/>
                <w:highlight w:val="none"/>
                <w:u w:val="single"/>
              </w:rPr>
              <w:t xml:space="preserve">   </w:t>
            </w:r>
            <w:r>
              <w:rPr>
                <w:rFonts w:ascii="宋体" w:hAnsi="宋体"/>
                <w:color w:val="auto"/>
                <w:szCs w:val="21"/>
                <w:highlight w:val="none"/>
              </w:rPr>
              <w:t>人</w:t>
            </w:r>
            <w:r>
              <w:rPr>
                <w:rFonts w:hint="eastAsia" w:ascii="宋体" w:hAnsi="宋体"/>
                <w:color w:val="auto"/>
                <w:szCs w:val="21"/>
                <w:highlight w:val="none"/>
                <w:lang w:eastAsia="zh-CN"/>
              </w:rPr>
              <w:t>。</w:t>
            </w:r>
          </w:p>
          <w:p>
            <w:pPr>
              <w:snapToGrid w:val="0"/>
              <w:rPr>
                <w:rFonts w:ascii="宋体" w:hAnsi="宋体"/>
                <w:color w:val="auto"/>
                <w:szCs w:val="21"/>
                <w:highlight w:val="none"/>
              </w:rPr>
            </w:pPr>
            <w:r>
              <w:rPr>
                <w:rFonts w:ascii="宋体" w:hAnsi="宋体"/>
                <w:color w:val="auto"/>
                <w:szCs w:val="21"/>
                <w:highlight w:val="none"/>
              </w:rPr>
              <w:t>其中招标人代表</w:t>
            </w:r>
            <w:r>
              <w:rPr>
                <w:rFonts w:hint="eastAsia" w:ascii="宋体" w:hAnsi="宋体"/>
                <w:color w:val="auto"/>
                <w:szCs w:val="21"/>
                <w:highlight w:val="none"/>
                <w:u w:val="single"/>
              </w:rPr>
              <w:t xml:space="preserve">   </w:t>
            </w:r>
            <w:r>
              <w:rPr>
                <w:rFonts w:ascii="宋体" w:hAnsi="宋体"/>
                <w:color w:val="auto"/>
                <w:szCs w:val="21"/>
                <w:highlight w:val="none"/>
              </w:rPr>
              <w:t>人，专家</w:t>
            </w:r>
            <w:r>
              <w:rPr>
                <w:rFonts w:hint="eastAsia" w:ascii="宋体" w:hAnsi="宋体"/>
                <w:color w:val="auto"/>
                <w:szCs w:val="21"/>
                <w:highlight w:val="none"/>
                <w:u w:val="single"/>
              </w:rPr>
              <w:t xml:space="preserve">   </w:t>
            </w:r>
            <w:r>
              <w:rPr>
                <w:rFonts w:ascii="宋体" w:hAnsi="宋体"/>
                <w:color w:val="auto"/>
                <w:szCs w:val="21"/>
                <w:highlight w:val="none"/>
              </w:rPr>
              <w:t>人；</w:t>
            </w:r>
          </w:p>
          <w:p>
            <w:pPr>
              <w:snapToGrid w:val="0"/>
              <w:rPr>
                <w:rFonts w:ascii="宋体" w:hAnsi="宋体"/>
                <w:color w:val="auto"/>
                <w:szCs w:val="21"/>
                <w:highlight w:val="none"/>
              </w:rPr>
            </w:pPr>
            <w:r>
              <w:rPr>
                <w:rFonts w:hint="eastAsia" w:ascii="宋体" w:hAnsi="宋体"/>
                <w:color w:val="auto"/>
                <w:szCs w:val="21"/>
                <w:highlight w:val="none"/>
              </w:rPr>
              <w:t>评标专家确定方式：由招标人在开标前按照有关规定依法组建评标委员会。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6.3.2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评标委员会推荐中标候选人的人数</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rPr>
              <w:t>推荐的中标候选人数：</w:t>
            </w:r>
            <w:r>
              <w:rPr>
                <w:rFonts w:hint="eastAsia" w:ascii="宋体" w:hAnsi="宋体"/>
                <w:color w:val="auto"/>
                <w:szCs w:val="21"/>
                <w:highlight w:val="none"/>
                <w:u w:val="single"/>
              </w:rPr>
              <w:t xml:space="preserve"> 3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7.1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中标候选人公示媒介及期限</w:t>
            </w:r>
          </w:p>
        </w:tc>
        <w:tc>
          <w:tcPr>
            <w:tcW w:w="6415" w:type="dxa"/>
            <w:vAlign w:val="center"/>
          </w:tcPr>
          <w:p>
            <w:pPr>
              <w:snapToGrid w:val="0"/>
              <w:ind w:right="106"/>
              <w:rPr>
                <w:rFonts w:ascii="宋体" w:hAnsi="宋体"/>
                <w:color w:val="auto"/>
                <w:szCs w:val="21"/>
                <w:highlight w:val="none"/>
                <w:u w:val="single"/>
              </w:rPr>
            </w:pPr>
            <w:r>
              <w:rPr>
                <w:rFonts w:ascii="宋体" w:hAnsi="宋体"/>
                <w:color w:val="auto"/>
                <w:szCs w:val="21"/>
                <w:highlight w:val="none"/>
              </w:rPr>
              <w:t>公示媒介：</w:t>
            </w:r>
            <w:r>
              <w:rPr>
                <w:rFonts w:hint="eastAsia" w:ascii="宋体" w:hAnsi="宋体"/>
                <w:color w:val="auto"/>
                <w:szCs w:val="21"/>
                <w:highlight w:val="none"/>
                <w:u w:val="single"/>
              </w:rPr>
              <w:t>广州公共资源交易中心网站、广东省招标投标监管网、中国招标投标公共服务平台和广州市增城区人民政府门户网站（</w:t>
            </w:r>
            <w:r>
              <w:rPr>
                <w:rFonts w:ascii="宋体" w:hAnsi="宋体"/>
                <w:color w:val="auto"/>
                <w:szCs w:val="21"/>
                <w:highlight w:val="none"/>
                <w:u w:val="single"/>
              </w:rPr>
              <w:t>http://www.zc.gov.cn/的“首页&gt;</w:t>
            </w:r>
            <w:r>
              <w:rPr>
                <w:rFonts w:hint="eastAsia" w:ascii="宋体" w:hAnsi="宋体"/>
                <w:color w:val="auto"/>
                <w:szCs w:val="21"/>
                <w:highlight w:val="none"/>
                <w:u w:val="single"/>
              </w:rPr>
              <w:t>公开</w:t>
            </w:r>
            <w:r>
              <w:rPr>
                <w:rFonts w:ascii="宋体" w:hAnsi="宋体"/>
                <w:color w:val="auto"/>
                <w:szCs w:val="21"/>
                <w:highlight w:val="none"/>
                <w:u w:val="single"/>
              </w:rPr>
              <w:t>&gt;</w:t>
            </w:r>
            <w:r>
              <w:rPr>
                <w:rFonts w:hint="eastAsia" w:ascii="宋体" w:hAnsi="宋体"/>
                <w:color w:val="auto"/>
                <w:szCs w:val="21"/>
                <w:highlight w:val="none"/>
                <w:u w:val="single"/>
              </w:rPr>
              <w:t>公共资源配置领域</w:t>
            </w:r>
            <w:r>
              <w:rPr>
                <w:rFonts w:ascii="宋体" w:hAnsi="宋体"/>
                <w:color w:val="auto"/>
                <w:szCs w:val="21"/>
                <w:highlight w:val="none"/>
                <w:u w:val="single"/>
              </w:rPr>
              <w:t>&gt;</w:t>
            </w:r>
            <w:r>
              <w:rPr>
                <w:rFonts w:hint="eastAsia" w:ascii="宋体" w:hAnsi="宋体"/>
                <w:color w:val="auto"/>
                <w:szCs w:val="21"/>
                <w:highlight w:val="none"/>
                <w:u w:val="single"/>
              </w:rPr>
              <w:t>工程建设项目招投标”栏目）公示。</w:t>
            </w:r>
          </w:p>
          <w:p>
            <w:pPr>
              <w:snapToGrid w:val="0"/>
              <w:ind w:right="106"/>
              <w:rPr>
                <w:rFonts w:ascii="宋体" w:hAnsi="宋体"/>
                <w:color w:val="auto"/>
                <w:szCs w:val="21"/>
                <w:highlight w:val="none"/>
              </w:rPr>
            </w:pPr>
            <w:r>
              <w:rPr>
                <w:rFonts w:ascii="宋体" w:hAnsi="宋体"/>
                <w:color w:val="auto"/>
                <w:szCs w:val="21"/>
                <w:highlight w:val="none"/>
              </w:rPr>
              <w:t>公示期限：</w:t>
            </w:r>
            <w:r>
              <w:rPr>
                <w:rFonts w:hint="eastAsia" w:ascii="宋体" w:hAnsi="宋体"/>
                <w:color w:val="auto"/>
                <w:szCs w:val="21"/>
                <w:highlight w:val="none"/>
              </w:rPr>
              <w:t>自发布公示之日起</w:t>
            </w:r>
            <w:r>
              <w:rPr>
                <w:rFonts w:hint="eastAsia" w:ascii="宋体" w:hAnsi="宋体"/>
                <w:color w:val="auto"/>
                <w:szCs w:val="21"/>
                <w:highlight w:val="none"/>
                <w:u w:val="single"/>
              </w:rPr>
              <w:t>3</w:t>
            </w:r>
            <w:r>
              <w:rPr>
                <w:rFonts w:hint="eastAsia" w:ascii="宋体" w:hAnsi="宋体"/>
                <w:color w:val="auto"/>
                <w:szCs w:val="21"/>
                <w:highlight w:val="none"/>
              </w:rPr>
              <w:t>天（最后一天需为工作日，如非工作日则顺延至下个工作日）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7.4</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是否授权评标委员会确定中标人</w:t>
            </w:r>
          </w:p>
        </w:tc>
        <w:tc>
          <w:tcPr>
            <w:tcW w:w="6415" w:type="dxa"/>
            <w:vAlign w:val="center"/>
          </w:tcPr>
          <w:p>
            <w:pPr>
              <w:snapToGrid w:val="0"/>
              <w:ind w:left="108" w:right="106"/>
              <w:rPr>
                <w:color w:val="auto"/>
                <w:highlight w:val="none"/>
              </w:rPr>
            </w:pPr>
            <w:r>
              <w:rPr>
                <w:color w:val="auto"/>
                <w:highlight w:val="none"/>
              </w:rPr>
              <w:sym w:font="Wingdings 2" w:char="00A3"/>
            </w:r>
            <w:r>
              <w:rPr>
                <w:color w:val="auto"/>
                <w:highlight w:val="none"/>
              </w:rPr>
              <w:t>是</w:t>
            </w:r>
          </w:p>
          <w:p>
            <w:pPr>
              <w:snapToGrid w:val="0"/>
              <w:ind w:left="108" w:right="106"/>
              <w:rPr>
                <w:color w:val="auto"/>
                <w:highlight w:val="none"/>
              </w:rPr>
            </w:pPr>
            <w:r>
              <w:rPr>
                <w:rFonts w:hint="eastAsia"/>
                <w:color w:val="auto"/>
                <w:highlight w:val="none"/>
              </w:rPr>
              <w:t>■</w:t>
            </w:r>
            <w:r>
              <w:rPr>
                <w:color w:val="auto"/>
                <w:highlight w:val="none"/>
              </w:rPr>
              <w:t>否</w:t>
            </w:r>
          </w:p>
          <w:p>
            <w:pPr>
              <w:snapToGrid w:val="0"/>
              <w:ind w:left="108" w:right="10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招标人依据评标委员会推荐的中标候选人确定中标人。</w:t>
            </w:r>
          </w:p>
          <w:p>
            <w:pPr>
              <w:snapToGrid w:val="0"/>
              <w:ind w:left="108" w:right="106"/>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依法必须进行公开招标的项目，招标人确定排名第一的中标候选人为中标人。</w:t>
            </w:r>
          </w:p>
          <w:p>
            <w:pPr>
              <w:snapToGrid w:val="0"/>
              <w:ind w:left="108" w:right="106"/>
              <w:rPr>
                <w:color w:val="auto"/>
                <w:highlight w:val="none"/>
              </w:rPr>
            </w:pPr>
            <w:r>
              <w:rPr>
                <w:rFonts w:hint="eastAsia" w:ascii="宋体" w:hAnsi="宋体"/>
                <w:color w:val="auto"/>
                <w:szCs w:val="21"/>
                <w:highlight w:val="none"/>
              </w:rPr>
              <w:t>3、</w:t>
            </w:r>
            <w:r>
              <w:rPr>
                <w:rFonts w:ascii="宋体" w:hAnsi="宋体"/>
                <w:color w:val="auto"/>
                <w:szCs w:val="21"/>
                <w:highlight w:val="none"/>
              </w:rPr>
              <w:t>排名第一的中标候选人放弃中标、或被取消中标资格，或因不可抗力提出不能履行合同，或者招标文件规定应当提交履约担保而在规定的期限内未能提交的，或经核查发现委派的总监理工程师不符合任职数量规定的，招标人可以按照中标候选人顺序依次上升替补定标，以此类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7.6.1</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履约保证金</w:t>
            </w:r>
          </w:p>
        </w:tc>
        <w:tc>
          <w:tcPr>
            <w:tcW w:w="6415" w:type="dxa"/>
            <w:vAlign w:val="center"/>
          </w:tcPr>
          <w:p>
            <w:pPr>
              <w:pStyle w:val="11"/>
              <w:topLinePunct/>
              <w:snapToGrid w:val="0"/>
              <w:rPr>
                <w:rFonts w:hAnsi="宋体"/>
                <w:color w:val="auto"/>
                <w:sz w:val="21"/>
                <w:szCs w:val="21"/>
                <w:highlight w:val="none"/>
              </w:rPr>
            </w:pPr>
            <w:r>
              <w:rPr>
                <w:rFonts w:hAnsi="宋体"/>
                <w:color w:val="auto"/>
                <w:sz w:val="21"/>
                <w:szCs w:val="21"/>
                <w:highlight w:val="none"/>
              </w:rPr>
              <w:t>是否要求中标人提交履约保证金：</w:t>
            </w:r>
          </w:p>
          <w:p>
            <w:pPr>
              <w:pStyle w:val="11"/>
              <w:topLinePunct/>
              <w:snapToGrid w:val="0"/>
              <w:rPr>
                <w:rFonts w:hAnsi="宋体"/>
                <w:color w:val="auto"/>
                <w:sz w:val="21"/>
                <w:szCs w:val="21"/>
                <w:highlight w:val="none"/>
              </w:rPr>
            </w:pPr>
            <w:r>
              <w:rPr>
                <w:color w:val="auto"/>
                <w:highlight w:val="none"/>
              </w:rPr>
              <w:sym w:font="Wingdings 2" w:char="00A3"/>
            </w:r>
            <w:r>
              <w:rPr>
                <w:rFonts w:hAnsi="宋体"/>
                <w:color w:val="auto"/>
                <w:sz w:val="21"/>
                <w:szCs w:val="21"/>
                <w:highlight w:val="none"/>
              </w:rPr>
              <w:t>要求</w:t>
            </w:r>
            <w:r>
              <w:rPr>
                <w:rFonts w:hint="eastAsia" w:hAnsi="宋体"/>
                <w:color w:val="auto"/>
                <w:sz w:val="21"/>
                <w:szCs w:val="21"/>
                <w:highlight w:val="none"/>
              </w:rPr>
              <w:t>：投标人提供的履约保证金额为中标价款（人民币）的10%，以银行保函形式提供，履约保函有效期至项目竣工验收为止。</w:t>
            </w:r>
          </w:p>
          <w:p>
            <w:pPr>
              <w:pStyle w:val="11"/>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36"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9</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是否采用电子招标投标</w:t>
            </w:r>
          </w:p>
        </w:tc>
        <w:tc>
          <w:tcPr>
            <w:tcW w:w="6415" w:type="dxa"/>
            <w:vAlign w:val="center"/>
          </w:tcPr>
          <w:p>
            <w:pPr>
              <w:rPr>
                <w:color w:val="auto"/>
                <w:highlight w:val="none"/>
              </w:rPr>
            </w:pPr>
          </w:p>
          <w:p>
            <w:pPr>
              <w:pStyle w:val="11"/>
              <w:topLinePunct/>
              <w:snapToGrid w:val="0"/>
              <w:rPr>
                <w:color w:val="auto"/>
                <w:sz w:val="21"/>
                <w:szCs w:val="21"/>
                <w:highlight w:val="none"/>
              </w:rPr>
            </w:pPr>
            <w:r>
              <w:rPr>
                <w:color w:val="auto"/>
                <w:sz w:val="21"/>
                <w:szCs w:val="21"/>
                <w:highlight w:val="none"/>
              </w:rPr>
              <w:sym w:font="Wingdings 2" w:char="00A3"/>
            </w:r>
            <w:r>
              <w:rPr>
                <w:rFonts w:hint="eastAsia"/>
                <w:color w:val="auto"/>
                <w:sz w:val="21"/>
                <w:szCs w:val="21"/>
                <w:highlight w:val="none"/>
              </w:rPr>
              <w:t>否</w:t>
            </w:r>
          </w:p>
          <w:p>
            <w:pPr>
              <w:pStyle w:val="11"/>
              <w:topLinePunct/>
              <w:snapToGrid w:val="0"/>
              <w:rPr>
                <w:color w:val="auto"/>
                <w:sz w:val="21"/>
                <w:szCs w:val="21"/>
                <w:highlight w:val="none"/>
              </w:rPr>
            </w:pPr>
            <w:r>
              <w:rPr>
                <w:rFonts w:hint="eastAsia"/>
                <w:color w:val="auto"/>
                <w:sz w:val="21"/>
                <w:szCs w:val="21"/>
                <w:highlight w:val="none"/>
              </w:rPr>
              <w:t>■是，具体要求：</w:t>
            </w:r>
          </w:p>
          <w:p>
            <w:pPr>
              <w:pStyle w:val="11"/>
              <w:topLinePunct/>
              <w:snapToGrid w:val="0"/>
              <w:rPr>
                <w:color w:val="auto"/>
                <w:sz w:val="21"/>
                <w:szCs w:val="21"/>
                <w:highlight w:val="none"/>
              </w:rPr>
            </w:pPr>
            <w:r>
              <w:rPr>
                <w:rFonts w:hint="eastAsia"/>
                <w:color w:val="auto"/>
                <w:sz w:val="21"/>
                <w:szCs w:val="21"/>
                <w:highlight w:val="none"/>
              </w:rPr>
              <w:t>1、具体操作详见广州公共资源交易中心发布的最新版本《房屋建筑和市政基础设施工程全流程电子化项目专章》。</w:t>
            </w:r>
          </w:p>
          <w:p>
            <w:pPr>
              <w:pStyle w:val="11"/>
              <w:topLinePunct/>
              <w:snapToGrid w:val="0"/>
              <w:rPr>
                <w:color w:val="auto"/>
                <w:sz w:val="21"/>
                <w:szCs w:val="21"/>
                <w:highlight w:val="none"/>
              </w:rPr>
            </w:pPr>
            <w:r>
              <w:rPr>
                <w:rFonts w:hint="eastAsia"/>
                <w:color w:val="auto"/>
                <w:sz w:val="21"/>
                <w:szCs w:val="21"/>
                <w:highlight w:val="none"/>
              </w:rPr>
              <w:t>2、提交投标文件光盘备用</w:t>
            </w:r>
          </w:p>
          <w:p>
            <w:pPr>
              <w:pStyle w:val="11"/>
              <w:topLinePunct/>
              <w:snapToGrid w:val="0"/>
              <w:rPr>
                <w:color w:val="auto"/>
                <w:sz w:val="21"/>
                <w:szCs w:val="21"/>
                <w:highlight w:val="none"/>
              </w:rPr>
            </w:pPr>
            <w:r>
              <w:rPr>
                <w:rFonts w:hint="eastAsia"/>
                <w:color w:val="auto"/>
                <w:sz w:val="21"/>
                <w:szCs w:val="21"/>
                <w:highlight w:val="none"/>
              </w:rPr>
              <w:t>投标人将按广州公共资源交易中心发布的最新版本《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pStyle w:val="11"/>
              <w:topLinePunct/>
              <w:snapToGrid w:val="0"/>
              <w:rPr>
                <w:color w:val="auto"/>
                <w:sz w:val="21"/>
                <w:szCs w:val="21"/>
                <w:highlight w:val="none"/>
              </w:rPr>
            </w:pPr>
            <w:r>
              <w:rPr>
                <w:rFonts w:hint="eastAsia"/>
                <w:color w:val="auto"/>
                <w:sz w:val="21"/>
                <w:szCs w:val="21"/>
                <w:highlight w:val="none"/>
              </w:rPr>
              <w:t>3、补救方案</w:t>
            </w:r>
          </w:p>
          <w:p>
            <w:pPr>
              <w:pStyle w:val="11"/>
              <w:topLinePunct/>
              <w:snapToGrid w:val="0"/>
              <w:rPr>
                <w:color w:val="auto"/>
                <w:sz w:val="21"/>
                <w:szCs w:val="21"/>
                <w:highlight w:val="none"/>
              </w:rPr>
            </w:pPr>
            <w:r>
              <w:rPr>
                <w:rFonts w:hint="eastAsia"/>
                <w:color w:val="auto"/>
                <w:sz w:val="21"/>
                <w:szCs w:val="21"/>
                <w:highlight w:val="none"/>
              </w:rPr>
              <w:t>（1）投标文件解密失败的补救方案</w:t>
            </w:r>
          </w:p>
          <w:p>
            <w:pPr>
              <w:pStyle w:val="11"/>
              <w:topLinePunct/>
              <w:snapToGrid w:val="0"/>
              <w:rPr>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Style w:val="11"/>
              <w:topLinePunct/>
              <w:snapToGrid w:val="0"/>
              <w:rPr>
                <w:color w:val="auto"/>
                <w:sz w:val="21"/>
                <w:szCs w:val="21"/>
                <w:highlight w:val="none"/>
              </w:rPr>
            </w:pPr>
            <w:r>
              <w:rPr>
                <w:rFonts w:hint="eastAsia"/>
                <w:color w:val="auto"/>
                <w:sz w:val="21"/>
                <w:szCs w:val="21"/>
                <w:highlight w:val="none"/>
              </w:rPr>
              <w:t>（2）评标时突发情况的补救方案</w:t>
            </w:r>
          </w:p>
          <w:p>
            <w:pPr>
              <w:pStyle w:val="11"/>
              <w:topLinePunct/>
              <w:snapToGrid w:val="0"/>
              <w:rPr>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pPr>
              <w:pStyle w:val="11"/>
              <w:topLinePunct/>
              <w:snapToGrid w:val="0"/>
              <w:rPr>
                <w:rFonts w:hAnsi="宋体"/>
                <w:color w:val="auto"/>
                <w:szCs w:val="21"/>
                <w:highlight w:val="none"/>
              </w:rPr>
            </w:pPr>
            <w:r>
              <w:rPr>
                <w:rFonts w:hint="eastAsia"/>
                <w:color w:val="auto"/>
                <w:sz w:val="21"/>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82" w:type="dxa"/>
            <w:vAlign w:val="center"/>
          </w:tcPr>
          <w:p>
            <w:pPr>
              <w:snapToGrid w:val="0"/>
              <w:jc w:val="center"/>
              <w:rPr>
                <w:rFonts w:ascii="宋体" w:hAnsi="宋体"/>
                <w:color w:val="auto"/>
                <w:szCs w:val="21"/>
                <w:highlight w:val="none"/>
              </w:rPr>
            </w:pPr>
            <w:r>
              <w:rPr>
                <w:rFonts w:ascii="宋体" w:hAnsi="宋体"/>
                <w:color w:val="auto"/>
                <w:szCs w:val="21"/>
                <w:highlight w:val="none"/>
              </w:rPr>
              <w:t>10</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需要补充的其他内容</w:t>
            </w:r>
          </w:p>
        </w:tc>
        <w:tc>
          <w:tcPr>
            <w:tcW w:w="6415" w:type="dxa"/>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10.1</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监理费支付</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监理费由招标人支付。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10.2</w:t>
            </w:r>
          </w:p>
        </w:tc>
        <w:tc>
          <w:tcPr>
            <w:tcW w:w="2187" w:type="dxa"/>
            <w:vAlign w:val="center"/>
          </w:tcPr>
          <w:p>
            <w:pPr>
              <w:snapToGrid w:val="0"/>
              <w:jc w:val="center"/>
              <w:rPr>
                <w:rFonts w:ascii="宋体" w:hAnsi="宋体"/>
                <w:color w:val="auto"/>
                <w:szCs w:val="21"/>
                <w:highlight w:val="none"/>
              </w:rPr>
            </w:pPr>
            <w:r>
              <w:rPr>
                <w:rFonts w:ascii="宋体" w:hAnsi="宋体"/>
                <w:color w:val="auto"/>
                <w:szCs w:val="21"/>
                <w:highlight w:val="none"/>
              </w:rPr>
              <w:t>其他费用</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交易服务费：根据</w:t>
            </w:r>
            <w:r>
              <w:rPr>
                <w:rFonts w:hint="eastAsia" w:ascii="宋体" w:hAnsi="宋体"/>
                <w:color w:val="auto"/>
                <w:szCs w:val="21"/>
                <w:highlight w:val="none"/>
                <w:lang w:val="en-US" w:eastAsia="zh-CN"/>
              </w:rPr>
              <w:t>广州公共资源交易中心</w:t>
            </w:r>
            <w:r>
              <w:rPr>
                <w:rFonts w:hint="eastAsia" w:ascii="宋体" w:hAnsi="宋体"/>
                <w:color w:val="auto"/>
                <w:szCs w:val="21"/>
                <w:highlight w:val="none"/>
              </w:rPr>
              <w:t>相关文件规定缴纳。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10.3</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潜在投标人或利害关系人对本招标公告及招标文件内容异议的，向招标人书面提出。</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1）异议受理部门：</w:t>
            </w:r>
            <w:r>
              <w:rPr>
                <w:rFonts w:hint="eastAsia" w:ascii="宋体" w:hAnsi="宋体"/>
                <w:color w:val="auto"/>
                <w:szCs w:val="21"/>
                <w:highlight w:val="none"/>
                <w:u w:val="single"/>
              </w:rPr>
              <w:t>广州增城区东进供水有限公司</w:t>
            </w:r>
            <w:r>
              <w:rPr>
                <w:rFonts w:hint="eastAsia" w:ascii="宋体" w:hAnsi="宋体"/>
                <w:color w:val="auto"/>
                <w:szCs w:val="21"/>
                <w:highlight w:val="none"/>
              </w:rPr>
              <w:t>；</w:t>
            </w:r>
          </w:p>
          <w:p>
            <w:pPr>
              <w:snapToGrid w:val="0"/>
              <w:jc w:val="left"/>
              <w:rPr>
                <w:rFonts w:ascii="宋体" w:hAnsi="宋体"/>
                <w:color w:val="auto"/>
                <w:szCs w:val="21"/>
                <w:highlight w:val="none"/>
              </w:rPr>
            </w:pPr>
            <w:r>
              <w:rPr>
                <w:rFonts w:ascii="宋体" w:hAnsi="宋体"/>
                <w:color w:val="auto"/>
                <w:szCs w:val="21"/>
                <w:highlight w:val="none"/>
              </w:rPr>
              <w:t>2）联系电话：</w:t>
            </w:r>
            <w:r>
              <w:rPr>
                <w:rFonts w:hint="eastAsia" w:ascii="宋体" w:hAnsi="宋体"/>
                <w:color w:val="auto"/>
                <w:szCs w:val="21"/>
                <w:highlight w:val="none"/>
                <w:u w:val="single"/>
                <w:lang w:val="en-US" w:eastAsia="zh-CN"/>
              </w:rPr>
              <w:t>020-82622803</w:t>
            </w:r>
            <w:r>
              <w:rPr>
                <w:rFonts w:hint="eastAsia" w:ascii="宋体" w:hAnsi="宋体"/>
                <w:color w:val="auto"/>
                <w:szCs w:val="21"/>
                <w:highlight w:val="none"/>
              </w:rPr>
              <w:t>；</w:t>
            </w:r>
          </w:p>
          <w:p>
            <w:pPr>
              <w:snapToGrid w:val="0"/>
              <w:jc w:val="left"/>
              <w:rPr>
                <w:rFonts w:hint="eastAsia" w:ascii="宋体" w:hAnsi="宋体" w:eastAsia="宋体"/>
                <w:color w:val="auto"/>
                <w:szCs w:val="21"/>
                <w:highlight w:val="none"/>
                <w:lang w:val="en-US" w:eastAsia="zh-CN"/>
              </w:rPr>
            </w:pPr>
            <w:r>
              <w:rPr>
                <w:rFonts w:ascii="宋体" w:hAnsi="宋体"/>
                <w:color w:val="auto"/>
                <w:szCs w:val="21"/>
                <w:highlight w:val="none"/>
              </w:rPr>
              <w:t>3）地址：</w:t>
            </w:r>
            <w:r>
              <w:rPr>
                <w:rFonts w:hint="eastAsia" w:ascii="宋体" w:hAnsi="宋体"/>
                <w:color w:val="auto"/>
                <w:szCs w:val="21"/>
                <w:highlight w:val="none"/>
                <w:lang w:eastAsia="zh-CN"/>
              </w:rPr>
              <w:t>广州市增城区荔城街民乐路20号阳光国际大厦801房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10.4</w:t>
            </w:r>
          </w:p>
        </w:tc>
        <w:tc>
          <w:tcPr>
            <w:tcW w:w="2187"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招标监督机构</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招标监督机构：广州市增城区水务局</w:t>
            </w:r>
          </w:p>
          <w:p>
            <w:pPr>
              <w:snapToGrid w:val="0"/>
              <w:jc w:val="left"/>
              <w:rPr>
                <w:rFonts w:ascii="宋体" w:hAnsi="宋体"/>
                <w:color w:val="auto"/>
                <w:szCs w:val="21"/>
                <w:highlight w:val="none"/>
              </w:rPr>
            </w:pPr>
            <w:r>
              <w:rPr>
                <w:rFonts w:hint="eastAsia" w:ascii="宋体" w:hAnsi="宋体"/>
                <w:color w:val="auto"/>
                <w:szCs w:val="21"/>
                <w:highlight w:val="none"/>
              </w:rPr>
              <w:t>监管电话：</w:t>
            </w:r>
            <w:r>
              <w:rPr>
                <w:rFonts w:ascii="宋体" w:hAnsi="宋体"/>
                <w:color w:val="auto"/>
                <w:szCs w:val="21"/>
                <w:highlight w:val="none"/>
              </w:rPr>
              <w:t>020-82639502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10.5</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资格审查方式</w:t>
            </w:r>
          </w:p>
        </w:tc>
        <w:tc>
          <w:tcPr>
            <w:tcW w:w="6415" w:type="dxa"/>
            <w:vAlign w:val="center"/>
          </w:tcPr>
          <w:p>
            <w:pPr>
              <w:snapToGrid w:val="0"/>
              <w:rPr>
                <w:rFonts w:ascii="宋体" w:hAnsi="宋体"/>
                <w:color w:val="auto"/>
                <w:szCs w:val="21"/>
                <w:highlight w:val="none"/>
              </w:rPr>
            </w:pPr>
            <w:r>
              <w:rPr>
                <w:rFonts w:hint="eastAsia" w:ascii="宋体" w:hAnsi="宋体"/>
                <w:color w:val="auto"/>
                <w:szCs w:val="21"/>
                <w:highlight w:val="none"/>
              </w:rPr>
              <w:t>1）本项目采用资格后审方式，满足资格审查合格条件的投标申请人不足3名时为招标失败。招标人分析招标失败原因，修正招标方案，报有关管理部门核准后，重新组织招标。</w:t>
            </w:r>
          </w:p>
          <w:p>
            <w:pPr>
              <w:snapToGrid w:val="0"/>
              <w:rPr>
                <w:rFonts w:ascii="宋体" w:hAnsi="宋体"/>
                <w:color w:val="auto"/>
                <w:szCs w:val="21"/>
                <w:highlight w:val="none"/>
              </w:rPr>
            </w:pPr>
            <w:r>
              <w:rPr>
                <w:rFonts w:hint="eastAsia" w:ascii="宋体" w:hAnsi="宋体"/>
                <w:color w:val="auto"/>
                <w:szCs w:val="21"/>
                <w:highlight w:val="none"/>
              </w:rPr>
              <w:t>2）招标人因两次或多次招标失败，需申请改变招标方式或不招标的，应按《广东省实施〈中华人民共和国招标投标法〉办法》（省第十届人大常委会第二次会议通过2003.4.2）的第四十条规定执行。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4"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10.6</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特别提示</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1）《投诉处理决定书》和《行政处理决定书》在广州市住房和城乡建设局网站上公布的，视为送达其他与决定书有关的当事人。</w:t>
            </w:r>
          </w:p>
          <w:p>
            <w:pPr>
              <w:snapToGrid w:val="0"/>
              <w:jc w:val="left"/>
              <w:rPr>
                <w:rFonts w:ascii="宋体" w:hAnsi="宋体"/>
                <w:color w:val="auto"/>
                <w:szCs w:val="21"/>
                <w:highlight w:val="none"/>
              </w:rPr>
            </w:pPr>
            <w:r>
              <w:rPr>
                <w:rFonts w:hint="eastAsia" w:ascii="宋体" w:hAnsi="宋体"/>
                <w:color w:val="auto"/>
                <w:szCs w:val="21"/>
                <w:highlight w:val="none"/>
              </w:rPr>
              <w:t>2）投标人在本项目招标人的工程项目中存在下列行为的，将被拒绝一年内参与我单位后续工程投标。</w:t>
            </w:r>
          </w:p>
          <w:p>
            <w:pPr>
              <w:snapToGrid w:val="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将中标工程转包或者违法分包的</w:t>
            </w:r>
            <w:r>
              <w:rPr>
                <w:rFonts w:hint="eastAsia" w:ascii="宋体" w:hAnsi="宋体"/>
                <w:color w:val="auto"/>
                <w:szCs w:val="21"/>
                <w:highlight w:val="none"/>
                <w:lang w:eastAsia="zh-CN"/>
              </w:rPr>
              <w:t>。</w:t>
            </w:r>
          </w:p>
          <w:p>
            <w:pPr>
              <w:snapToGrid w:val="0"/>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在中标工程中不执行质量、安全生产相关规定的，造成质量或安全事故的</w:t>
            </w:r>
            <w:r>
              <w:rPr>
                <w:rFonts w:hint="eastAsia" w:ascii="宋体" w:hAnsi="宋体"/>
                <w:color w:val="auto"/>
                <w:szCs w:val="21"/>
                <w:highlight w:val="none"/>
                <w:lang w:eastAsia="zh-CN"/>
              </w:rPr>
              <w:t>。</w:t>
            </w:r>
          </w:p>
          <w:p>
            <w:pPr>
              <w:snapToGrid w:val="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存在围标或串标情形的</w:t>
            </w:r>
            <w:r>
              <w:rPr>
                <w:rFonts w:hint="eastAsia" w:ascii="宋体" w:hAnsi="宋体"/>
                <w:color w:val="auto"/>
                <w:szCs w:val="21"/>
                <w:highlight w:val="none"/>
                <w:lang w:eastAsia="zh-CN"/>
              </w:rPr>
              <w:t>。</w:t>
            </w:r>
          </w:p>
          <w:p>
            <w:pPr>
              <w:snapToGrid w:val="0"/>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存在弄虚作假骗取中标情形的</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18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10.7</w:t>
            </w:r>
          </w:p>
        </w:tc>
        <w:tc>
          <w:tcPr>
            <w:tcW w:w="2187"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其他</w:t>
            </w:r>
          </w:p>
        </w:tc>
        <w:tc>
          <w:tcPr>
            <w:tcW w:w="6415"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1）在产生中标候选人后，招标人将中标候选人的投标文件商务部分的电子版（报价清单、方案等涉及商业秘密的内容除外）在广州公共资源交易中心网站公开。</w:t>
            </w:r>
          </w:p>
          <w:p>
            <w:pPr>
              <w:snapToGrid w:val="0"/>
              <w:jc w:val="left"/>
              <w:rPr>
                <w:color w:val="auto"/>
                <w:highlight w:val="none"/>
              </w:rPr>
            </w:pPr>
            <w:r>
              <w:rPr>
                <w:rFonts w:hint="eastAsia" w:ascii="宋体" w:hAnsi="宋体"/>
                <w:color w:val="auto"/>
                <w:szCs w:val="21"/>
                <w:highlight w:val="none"/>
              </w:rPr>
              <w:t>2）</w:t>
            </w:r>
            <w:r>
              <w:rPr>
                <w:rFonts w:hint="eastAsia"/>
                <w:color w:val="auto"/>
                <w:szCs w:val="21"/>
                <w:highlight w:val="none"/>
              </w:rPr>
              <w:t>本项目招标代理报酬由中标单位按照招标人与招标代理单位签订的招标代理合同的约定支付。</w:t>
            </w:r>
          </w:p>
        </w:tc>
      </w:tr>
    </w:tbl>
    <w:p>
      <w:pPr>
        <w:snapToGrid w:val="0"/>
        <w:spacing w:line="360" w:lineRule="auto"/>
        <w:rPr>
          <w:rFonts w:ascii="Times New Roman" w:hAnsi="Times New Roman"/>
          <w:color w:val="auto"/>
          <w:highlight w:val="none"/>
        </w:rPr>
      </w:pPr>
      <w:r>
        <w:rPr>
          <w:rFonts w:hint="eastAsia" w:ascii="宋体" w:hAnsi="宋体"/>
          <w:color w:val="auto"/>
          <w:sz w:val="24"/>
          <w:szCs w:val="24"/>
          <w:highlight w:val="none"/>
        </w:rPr>
        <w:br w:type="page"/>
      </w:r>
      <w:bookmarkStart w:id="89" w:name="_Toc20742"/>
      <w:bookmarkStart w:id="90" w:name="_Toc527028502"/>
      <w:bookmarkStart w:id="91" w:name="_Toc527028679"/>
      <w:bookmarkStart w:id="92" w:name="_Toc520310853"/>
      <w:bookmarkStart w:id="93" w:name="_Toc527028850"/>
      <w:r>
        <w:rPr>
          <w:rFonts w:hint="eastAsia" w:ascii="宋体" w:hAnsi="宋体"/>
          <w:color w:val="auto"/>
          <w:sz w:val="24"/>
          <w:szCs w:val="24"/>
          <w:highlight w:val="none"/>
        </w:rPr>
        <w:t xml:space="preserve">    </w:t>
      </w:r>
      <w:r>
        <w:rPr>
          <w:rFonts w:ascii="Times New Roman" w:hAnsi="Times New Roman"/>
          <w:b/>
          <w:color w:val="auto"/>
          <w:kern w:val="44"/>
          <w:sz w:val="44"/>
          <w:szCs w:val="20"/>
          <w:highlight w:val="none"/>
        </w:rPr>
        <w:t>1. 总则</w:t>
      </w:r>
      <w:bookmarkEnd w:id="89"/>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94" w:name="_Toc89870550"/>
      <w:bookmarkStart w:id="95" w:name="_Toc24358"/>
      <w:r>
        <w:rPr>
          <w:rFonts w:ascii="Times New Roman" w:hAnsi="Times New Roman"/>
          <w:color w:val="auto"/>
          <w:sz w:val="24"/>
          <w:szCs w:val="24"/>
          <w:highlight w:val="none"/>
        </w:rPr>
        <w:t>1.1 招标项目概况</w:t>
      </w:r>
      <w:bookmarkEnd w:id="94"/>
      <w:bookmarkEnd w:id="95"/>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 招标人：见投标人须知前附表。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1.1.3 招标代理机构：见投标人须知前附表。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1.1.4 招标项目名称：见投标人须知前附表。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1.1.5 项目建设地点：见投标人须知前附表。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1.1.6 项目建设规模：见投标人须知前附表。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1.1.7 </w:t>
      </w:r>
      <w:r>
        <w:rPr>
          <w:rFonts w:hint="eastAsia" w:ascii="Times New Roman" w:hAnsi="Times New Roman"/>
          <w:color w:val="auto"/>
          <w:sz w:val="24"/>
          <w:szCs w:val="24"/>
          <w:highlight w:val="none"/>
        </w:rPr>
        <w:t>工程项目施工预计开工日期和建设周期：见投标人须知前附表。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1.1.8 </w:t>
      </w:r>
      <w:r>
        <w:rPr>
          <w:rFonts w:hint="eastAsia" w:ascii="Times New Roman" w:hAnsi="Times New Roman"/>
          <w:color w:val="auto"/>
          <w:sz w:val="24"/>
          <w:szCs w:val="24"/>
          <w:highlight w:val="none"/>
        </w:rPr>
        <w:t>建筑安装工程费</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工程概算：见投标人须知前附表。</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96" w:name="_Toc3884"/>
      <w:bookmarkStart w:id="97" w:name="_Toc89870551"/>
      <w:r>
        <w:rPr>
          <w:rFonts w:ascii="Times New Roman" w:hAnsi="Times New Roman"/>
          <w:color w:val="auto"/>
          <w:sz w:val="24"/>
          <w:szCs w:val="24"/>
          <w:highlight w:val="none"/>
        </w:rPr>
        <w:t>1.2 招标项目的资金来源和落实情况</w:t>
      </w:r>
      <w:bookmarkEnd w:id="96"/>
      <w:bookmarkEnd w:id="97"/>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 资金来源及比例：见投标人须知前附表。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 资金落实情况：见投标人须知前附表。</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98" w:name="_Toc89870552"/>
      <w:bookmarkStart w:id="99" w:name="_Toc18715"/>
      <w:r>
        <w:rPr>
          <w:rFonts w:ascii="Times New Roman" w:hAnsi="Times New Roman"/>
          <w:color w:val="auto"/>
          <w:sz w:val="24"/>
          <w:szCs w:val="24"/>
          <w:highlight w:val="none"/>
        </w:rPr>
        <w:t>1.3招标范围、监理服务期限和质量标准</w:t>
      </w:r>
      <w:bookmarkEnd w:id="98"/>
      <w:bookmarkEnd w:id="99"/>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 招标范围：见投标人须知前附表。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 监理服务期限：见投标人须知前附表。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 质量标准：见投标人须知前附表。</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00" w:name="_Toc29112"/>
      <w:bookmarkStart w:id="101" w:name="_Toc89870553"/>
      <w:r>
        <w:rPr>
          <w:rFonts w:ascii="Times New Roman" w:hAnsi="Times New Roman"/>
          <w:color w:val="auto"/>
          <w:sz w:val="24"/>
          <w:szCs w:val="24"/>
          <w:highlight w:val="none"/>
        </w:rPr>
        <w:t>1.4投标人资格要求</w:t>
      </w:r>
      <w:bookmarkEnd w:id="100"/>
      <w:bookmarkEnd w:id="10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1.4.1 投标人应具备承担本招标项目资质条件、能力和信誉：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（1）资质要求：见投标人须知前附表；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（2）财务要求：见投标人须知前附表；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（3）业绩要求：见投标人须知前附表；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（4）信誉要求：见投标人须知前附表；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（5）总监理工程师的资格要求：应当具备工程注册监理工程师执业资格</w:t>
      </w:r>
      <w:r>
        <w:rPr>
          <w:rFonts w:hint="eastAsia" w:ascii="Times New Roman" w:hAnsi="Times New Roman"/>
          <w:color w:val="auto"/>
          <w:sz w:val="24"/>
          <w:szCs w:val="24"/>
          <w:highlight w:val="none"/>
        </w:rPr>
        <w:t>（如有）</w:t>
      </w:r>
      <w:r>
        <w:rPr>
          <w:rFonts w:ascii="Times New Roman" w:hAnsi="Times New Roman"/>
          <w:color w:val="auto"/>
          <w:sz w:val="24"/>
          <w:szCs w:val="24"/>
          <w:highlight w:val="none"/>
        </w:rPr>
        <w:t>，具体要求见投标人须知前附表；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（6）其他主要人员要求：见投标人须知前附表</w:t>
      </w:r>
      <w:r>
        <w:rPr>
          <w:rFonts w:hint="eastAsia" w:ascii="Times New Roman" w:hAnsi="Times New Roman"/>
          <w:color w:val="auto"/>
          <w:sz w:val="24"/>
          <w:szCs w:val="24"/>
          <w:highlight w:val="none"/>
          <w:lang w:eastAsia="zh-CN"/>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（7）试验检测仪器设备要求：见投标人须知前附表</w:t>
      </w:r>
      <w:r>
        <w:rPr>
          <w:rFonts w:hint="eastAsia" w:ascii="Times New Roman" w:hAnsi="Times New Roman"/>
          <w:color w:val="auto"/>
          <w:sz w:val="24"/>
          <w:szCs w:val="24"/>
          <w:highlight w:val="none"/>
          <w:lang w:eastAsia="zh-CN"/>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（8）其他要求：见投标人须知前附表。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需要提交的相关证明材料见本章第3.5款的规定。</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w:t>
      </w:r>
      <w:r>
        <w:rPr>
          <w:rFonts w:hint="eastAsia" w:ascii="Times New Roman" w:hAnsi="Times New Roman"/>
          <w:color w:val="auto"/>
          <w:sz w:val="24"/>
          <w:szCs w:val="24"/>
          <w:highlight w:val="none"/>
        </w:rPr>
        <w:t>投标人须知前附表规定接受联合体投标的，联合体除应符合本章第</w:t>
      </w:r>
      <w:r>
        <w:rPr>
          <w:rFonts w:ascii="Times New Roman" w:hAnsi="Times New Roman"/>
          <w:color w:val="auto"/>
          <w:sz w:val="24"/>
          <w:szCs w:val="24"/>
          <w:highlight w:val="none"/>
        </w:rPr>
        <w:t>1.4.1</w:t>
      </w:r>
      <w:r>
        <w:rPr>
          <w:rFonts w:hint="eastAsia" w:ascii="Times New Roman" w:hAnsi="Times New Roman"/>
          <w:color w:val="auto"/>
          <w:sz w:val="24"/>
          <w:szCs w:val="24"/>
          <w:highlight w:val="none"/>
        </w:rPr>
        <w:t>项和投标人须知前附表的要求外，还应遵守以下规定：</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）联合体各方应按招标文件提供的格式签订联合体协议书，明确联合体牵头人和各方权利义务，并承诺就中标项目向招标人承担连带责任；</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）由同一专业的单位组成的联合体，按照资质等级较低的单位确定资质等级；</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）联合体各方不得再以自己名义单独或参加其他联合体在本招标项目中投标，否则各相关投标均无效。</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 投标人不得存在下列情形之一：</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（1）为招标人不具有独立法人资格的附属机构（单位）；</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（2）与招标人存在利害关系且可能影响招标公正性；</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（3）与本招标项目的其他投标人为同一个单位负责人；</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（4）与本招标项目的其他投标人存在控股、管理关系；</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（5）为本招标项目的代建人；</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（6）为本招标项目的招标代理机构；</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（7）与本招标项目的代建人或招标代理机构同为一个法定代表人；</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（8）与本招标项目的代建人或招标代理机构存在控股或参股关系；</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与</w:t>
      </w:r>
      <w:r>
        <w:rPr>
          <w:rFonts w:ascii="Times New Roman" w:hAnsi="Times New Roman"/>
          <w:color w:val="auto"/>
          <w:sz w:val="24"/>
          <w:szCs w:val="24"/>
          <w:highlight w:val="none"/>
        </w:rPr>
        <w:t>本招标项目</w:t>
      </w:r>
      <w:r>
        <w:rPr>
          <w:rFonts w:hint="eastAsia" w:ascii="Times New Roman" w:hAnsi="Times New Roman"/>
          <w:color w:val="auto"/>
          <w:sz w:val="24"/>
          <w:szCs w:val="24"/>
          <w:highlight w:val="none"/>
        </w:rPr>
        <w:t>的施工承包人以</w:t>
      </w:r>
      <w:r>
        <w:rPr>
          <w:rFonts w:ascii="Times New Roman" w:hAnsi="Times New Roman"/>
          <w:color w:val="auto"/>
          <w:sz w:val="24"/>
          <w:szCs w:val="24"/>
          <w:highlight w:val="none"/>
        </w:rPr>
        <w:t>及建筑材料、建筑构配件和设备供应商有隶属关系或者其他利害关系；</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（10）被依法暂停或者取消投标资格；</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（11）被责令停产停业、暂扣或者吊销许可证、暂扣或者吊销执照；</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（12）进入清算程序，或被宣告破产，或其他丧失履约能力的情形；</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（13）在最近三年内发生重大监理质量问题（以相关行业主管部门的行政处罚决定或司法机关出具的有关法律文书为准）；</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（14）被工商行政管理机关在全国企业信用信息公示系统中列入严重违法失信企业名单；</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（15）被最高人民法院在</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信用中国</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网站（www.creditchina.gov.cn）或各级信用信息共享平台中列入失信被执行人名单；</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（16） 在近三年内投标人或其法定代表人、拟委任的总监理工程师有行贿犯罪行为的；</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）法律法规或投标人须知前附表规定的其他情形。</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02" w:name="_Toc5975"/>
      <w:bookmarkStart w:id="103" w:name="_Toc89870554"/>
      <w:r>
        <w:rPr>
          <w:rFonts w:ascii="Times New Roman" w:hAnsi="Times New Roman"/>
          <w:color w:val="auto"/>
          <w:sz w:val="24"/>
          <w:szCs w:val="24"/>
          <w:highlight w:val="none"/>
        </w:rPr>
        <w:t xml:space="preserve">1.5 </w:t>
      </w:r>
      <w:r>
        <w:rPr>
          <w:rFonts w:hint="eastAsia" w:ascii="Times New Roman" w:hAnsi="Times New Roman"/>
          <w:color w:val="auto"/>
          <w:sz w:val="24"/>
          <w:szCs w:val="24"/>
          <w:highlight w:val="none"/>
        </w:rPr>
        <w:t>费用承担</w:t>
      </w:r>
      <w:bookmarkEnd w:id="102"/>
      <w:bookmarkEnd w:id="10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投标人准备和参加投标活动发生的费用自理。</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04" w:name="_Toc89870555"/>
      <w:bookmarkStart w:id="105" w:name="_Toc8200"/>
      <w:r>
        <w:rPr>
          <w:rFonts w:ascii="Times New Roman" w:hAnsi="Times New Roman"/>
          <w:color w:val="auto"/>
          <w:sz w:val="24"/>
          <w:szCs w:val="24"/>
          <w:highlight w:val="none"/>
        </w:rPr>
        <w:t>1.6</w:t>
      </w:r>
      <w:r>
        <w:rPr>
          <w:rFonts w:hint="eastAsia" w:ascii="Times New Roman" w:hAnsi="Times New Roman"/>
          <w:color w:val="auto"/>
          <w:sz w:val="24"/>
          <w:szCs w:val="24"/>
          <w:highlight w:val="none"/>
        </w:rPr>
        <w:t>保密</w:t>
      </w:r>
      <w:bookmarkEnd w:id="104"/>
      <w:bookmarkEnd w:id="105"/>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参与招标投标活动的各方应对招标文件和投标文件中</w:t>
      </w:r>
      <w:bookmarkStart w:id="106" w:name="_Toc369531519"/>
      <w:bookmarkStart w:id="107" w:name="_Toc352691477"/>
      <w:bookmarkStart w:id="108" w:name="_Toc361508589"/>
      <w:bookmarkStart w:id="109" w:name="_Toc384308214"/>
      <w:bookmarkStart w:id="110" w:name="_Toc5326"/>
      <w:r>
        <w:rPr>
          <w:rFonts w:ascii="Times New Roman" w:hAnsi="Times New Roman"/>
          <w:color w:val="auto"/>
          <w:sz w:val="24"/>
          <w:szCs w:val="24"/>
          <w:highlight w:val="none"/>
        </w:rPr>
        <w:t>的商业和技术等秘密保密</w:t>
      </w:r>
      <w:bookmarkEnd w:id="106"/>
      <w:bookmarkEnd w:id="107"/>
      <w:bookmarkEnd w:id="108"/>
      <w:bookmarkEnd w:id="109"/>
      <w:bookmarkEnd w:id="110"/>
      <w:r>
        <w:rPr>
          <w:rFonts w:ascii="Times New Roman" w:hAnsi="Times New Roman"/>
          <w:color w:val="auto"/>
          <w:sz w:val="24"/>
          <w:szCs w:val="24"/>
          <w:highlight w:val="none"/>
        </w:rPr>
        <w:t>，否则应承担相应的法律责任。</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11" w:name="_Toc20852"/>
      <w:bookmarkStart w:id="112" w:name="_Toc89870556"/>
      <w:r>
        <w:rPr>
          <w:rFonts w:ascii="Times New Roman" w:hAnsi="Times New Roman"/>
          <w:color w:val="auto"/>
          <w:sz w:val="24"/>
          <w:szCs w:val="24"/>
          <w:highlight w:val="none"/>
        </w:rPr>
        <w:t>1.7 语言文字</w:t>
      </w:r>
      <w:bookmarkEnd w:id="111"/>
      <w:bookmarkEnd w:id="112"/>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招标投标文件使用的语言文字为中文。专用术语使用外文的，应附有中文注释。</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13" w:name="_Toc89870557"/>
      <w:bookmarkStart w:id="114" w:name="_Toc29220"/>
      <w:r>
        <w:rPr>
          <w:rFonts w:ascii="Times New Roman" w:hAnsi="Times New Roman"/>
          <w:color w:val="auto"/>
          <w:sz w:val="24"/>
          <w:szCs w:val="24"/>
          <w:highlight w:val="none"/>
        </w:rPr>
        <w:t>1.8计量单位</w:t>
      </w:r>
      <w:bookmarkEnd w:id="113"/>
      <w:bookmarkEnd w:id="114"/>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所有计量均采用中华人民共和国法定计量单位。</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15" w:name="_Toc300834959"/>
      <w:bookmarkStart w:id="116" w:name="_Toc247513962"/>
      <w:bookmarkStart w:id="117" w:name="_Toc391393967"/>
      <w:bookmarkStart w:id="118" w:name="_Toc144974507"/>
      <w:bookmarkStart w:id="119" w:name="_Toc27371"/>
      <w:bookmarkStart w:id="120" w:name="_Toc482188480"/>
      <w:bookmarkStart w:id="121" w:name="_Toc370676289"/>
      <w:bookmarkStart w:id="122" w:name="_Toc89870558"/>
      <w:bookmarkStart w:id="123" w:name="_Toc361508594"/>
      <w:bookmarkStart w:id="124" w:name="_Toc152045539"/>
      <w:bookmarkStart w:id="125" w:name="_Toc152042315"/>
      <w:bookmarkStart w:id="126" w:name="_Toc384308219"/>
      <w:bookmarkStart w:id="127" w:name="_Toc247527563"/>
      <w:r>
        <w:rPr>
          <w:rFonts w:ascii="Times New Roman" w:hAnsi="Times New Roman"/>
          <w:color w:val="auto"/>
          <w:sz w:val="24"/>
          <w:szCs w:val="24"/>
          <w:highlight w:val="none"/>
        </w:rPr>
        <w:t xml:space="preserve">1.9 </w:t>
      </w:r>
      <w:r>
        <w:rPr>
          <w:rFonts w:hint="eastAsia" w:ascii="Times New Roman" w:hAnsi="Times New Roman"/>
          <w:color w:val="auto"/>
          <w:sz w:val="24"/>
          <w:szCs w:val="24"/>
          <w:highlight w:val="none"/>
        </w:rPr>
        <w:t>踏勘现场</w:t>
      </w:r>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1.9.2 投标人踏勘现场发生的费用自理。</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1.9.3 除招标人的原因外，投标人自行负责在踏勘现场中所发生的人员伤亡和财产损失。</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1.9.4 招标人在踏勘现场中介绍的工程场地和相关的周边环境情况，供投标人在编制投标文件时参考，招标人不对投标人据此作出的判断和决策负责。</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28" w:name="_Toc17151"/>
      <w:bookmarkStart w:id="129" w:name="_Toc89870559"/>
      <w:r>
        <w:rPr>
          <w:rFonts w:ascii="Times New Roman" w:hAnsi="Times New Roman"/>
          <w:color w:val="auto"/>
          <w:sz w:val="24"/>
          <w:szCs w:val="24"/>
          <w:highlight w:val="none"/>
        </w:rPr>
        <w:t>1.10投标预备会</w:t>
      </w:r>
      <w:bookmarkEnd w:id="128"/>
      <w:bookmarkEnd w:id="129"/>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1.10.2 投标人应按投标人须知前附表规定的时间和形式将提出的问题送达招标人，以便招标人在会议期间澄清。</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1.10.3 投标预备会后，招标人将对投标人所提问题的澄清，以投标人须知前附表规定的形式通知所有购买招标文件的投标人。该澄清内容为招标文件的组成部分。</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30" w:name="_Toc89870560"/>
      <w:bookmarkStart w:id="131" w:name="_Toc15034"/>
      <w:r>
        <w:rPr>
          <w:rFonts w:ascii="Times New Roman" w:hAnsi="Times New Roman"/>
          <w:color w:val="auto"/>
          <w:sz w:val="24"/>
          <w:szCs w:val="24"/>
          <w:highlight w:val="none"/>
        </w:rPr>
        <w:t>1.11 分包</w:t>
      </w:r>
      <w:bookmarkEnd w:id="130"/>
      <w:bookmarkEnd w:id="13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本项目严禁分包。</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32" w:name="_Toc89870561"/>
      <w:bookmarkStart w:id="133" w:name="_Toc15891"/>
      <w:r>
        <w:rPr>
          <w:rFonts w:ascii="Times New Roman" w:hAnsi="Times New Roman"/>
          <w:color w:val="auto"/>
          <w:sz w:val="24"/>
          <w:szCs w:val="24"/>
          <w:highlight w:val="none"/>
        </w:rPr>
        <w:t>1.12响应和偏差</w:t>
      </w:r>
      <w:bookmarkEnd w:id="132"/>
      <w:bookmarkEnd w:id="13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1.12.2 投标人应根据招标文件的要求提供投标监理大纲等内容以对招标文件作出响应。</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1.12.3投标人须知前附表允许投标文件偏离招标文件某些要求的，偏差应当符合招标文件规定的偏差范围和幅度。</w:t>
      </w:r>
    </w:p>
    <w:p>
      <w:pPr>
        <w:pStyle w:val="5"/>
        <w:keepNext w:val="0"/>
        <w:keepLines w:val="0"/>
        <w:spacing w:before="0" w:after="0" w:line="360" w:lineRule="auto"/>
        <w:ind w:firstLine="643" w:firstLineChars="200"/>
        <w:rPr>
          <w:rFonts w:ascii="Times New Roman" w:hAnsi="Times New Roman"/>
          <w:color w:val="auto"/>
          <w:highlight w:val="none"/>
        </w:rPr>
      </w:pPr>
      <w:bookmarkStart w:id="134" w:name="_Toc89870562"/>
      <w:bookmarkStart w:id="135" w:name="_Toc29981"/>
      <w:r>
        <w:rPr>
          <w:rFonts w:ascii="Times New Roman" w:hAnsi="Times New Roman"/>
          <w:color w:val="auto"/>
          <w:highlight w:val="none"/>
        </w:rPr>
        <w:t>2. 招标文件</w:t>
      </w:r>
      <w:bookmarkEnd w:id="134"/>
      <w:bookmarkEnd w:id="135"/>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36" w:name="_Toc19114"/>
      <w:bookmarkStart w:id="137" w:name="_Toc89870563"/>
      <w:r>
        <w:rPr>
          <w:rFonts w:ascii="Times New Roman" w:hAnsi="Times New Roman"/>
          <w:color w:val="auto"/>
          <w:sz w:val="24"/>
          <w:szCs w:val="24"/>
          <w:highlight w:val="none"/>
        </w:rPr>
        <w:t>2.1 招标文件的组成</w:t>
      </w:r>
      <w:bookmarkEnd w:id="136"/>
      <w:bookmarkEnd w:id="137"/>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本招标文件包括：</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（1）招标公告（或投标邀请书）；</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（2）投标人须知；</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（3）评标办法；</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（4）合同条款及格式；</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（5）委托人要求；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（6）投标文件格式；</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（7）投标人须知前附表规定的其他资料。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根据本章第1.10款、第2.2款和第2.3款对招标文件所作的澄清、修改，构成招标文件的组成部分。</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38" w:name="_Toc89870564"/>
      <w:bookmarkStart w:id="139" w:name="_Toc24624"/>
      <w:r>
        <w:rPr>
          <w:rFonts w:ascii="Times New Roman" w:hAnsi="Times New Roman"/>
          <w:color w:val="auto"/>
          <w:sz w:val="24"/>
          <w:szCs w:val="24"/>
          <w:highlight w:val="none"/>
        </w:rPr>
        <w:t>2.2 招标文件的澄清</w:t>
      </w:r>
      <w:bookmarkEnd w:id="138"/>
      <w:bookmarkEnd w:id="139"/>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2.2.3 除非招标人认为确有必要答复，否则，招标人有权拒绝回复投标人在</w:t>
      </w:r>
      <w:r>
        <w:rPr>
          <w:rFonts w:hint="eastAsia" w:ascii="Times New Roman" w:hAnsi="Times New Roman"/>
          <w:color w:val="auto"/>
          <w:sz w:val="24"/>
          <w:szCs w:val="24"/>
          <w:highlight w:val="none"/>
        </w:rPr>
        <w:t>本章第2.2.1项</w:t>
      </w:r>
      <w:r>
        <w:rPr>
          <w:rFonts w:ascii="Times New Roman" w:hAnsi="Times New Roman"/>
          <w:color w:val="auto"/>
          <w:sz w:val="24"/>
          <w:szCs w:val="24"/>
          <w:highlight w:val="none"/>
        </w:rPr>
        <w:t>规定的时间后的任何澄清要求。</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40" w:name="_Toc89870565"/>
      <w:bookmarkStart w:id="141" w:name="_Toc2698"/>
      <w:bookmarkStart w:id="142" w:name="_Toc352691479"/>
      <w:r>
        <w:rPr>
          <w:rFonts w:ascii="Times New Roman" w:hAnsi="Times New Roman"/>
          <w:color w:val="auto"/>
          <w:sz w:val="24"/>
          <w:szCs w:val="24"/>
          <w:highlight w:val="none"/>
        </w:rPr>
        <w:t>2.3 招标文件的修</w:t>
      </w:r>
      <w:bookmarkStart w:id="143" w:name="_Toc16514"/>
      <w:bookmarkStart w:id="144" w:name="_Toc369531521"/>
      <w:r>
        <w:rPr>
          <w:rFonts w:ascii="Times New Roman" w:hAnsi="Times New Roman"/>
          <w:color w:val="auto"/>
          <w:sz w:val="24"/>
          <w:szCs w:val="24"/>
          <w:highlight w:val="none"/>
        </w:rPr>
        <w:t>改</w:t>
      </w:r>
      <w:bookmarkEnd w:id="140"/>
      <w:bookmarkEnd w:id="14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2.3.1招标人以投标人须知前附表规定的形式修改招标文件，并由潜在投标人自行下载。修改招标文件的时间距本章第4.2.1项规定的投标截止时间不足15日的，并且修改内容可能影响投标文件编制的，将相应延长投标截止时间。</w:t>
      </w:r>
    </w:p>
    <w:bookmarkEnd w:id="142"/>
    <w:bookmarkEnd w:id="143"/>
    <w:bookmarkEnd w:id="144"/>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2.3.2 投标人收到修改内容</w:t>
      </w:r>
      <w:bookmarkStart w:id="145" w:name="_Toc152045538"/>
      <w:bookmarkStart w:id="146" w:name="_Toc384308218"/>
      <w:bookmarkStart w:id="147" w:name="_Toc247527562"/>
      <w:bookmarkStart w:id="148" w:name="_Toc352691482"/>
      <w:bookmarkStart w:id="149" w:name="_Toc369531524"/>
      <w:bookmarkStart w:id="150" w:name="_Toc361508593"/>
      <w:bookmarkStart w:id="151" w:name="_Toc152042314"/>
      <w:bookmarkStart w:id="152" w:name="_Toc300834958"/>
      <w:bookmarkStart w:id="153" w:name="_Toc247513961"/>
      <w:bookmarkStart w:id="154" w:name="_Toc24632"/>
      <w:bookmarkStart w:id="155" w:name="_Toc144974506"/>
      <w:r>
        <w:rPr>
          <w:rFonts w:ascii="Times New Roman" w:hAnsi="Times New Roman"/>
          <w:color w:val="auto"/>
          <w:sz w:val="24"/>
          <w:szCs w:val="24"/>
          <w:highlight w:val="none"/>
        </w:rPr>
        <w:t>后，</w:t>
      </w:r>
      <w:bookmarkEnd w:id="145"/>
      <w:bookmarkEnd w:id="146"/>
      <w:bookmarkEnd w:id="147"/>
      <w:bookmarkEnd w:id="148"/>
      <w:bookmarkEnd w:id="149"/>
      <w:bookmarkEnd w:id="150"/>
      <w:bookmarkEnd w:id="151"/>
      <w:bookmarkEnd w:id="152"/>
      <w:bookmarkEnd w:id="153"/>
      <w:bookmarkEnd w:id="154"/>
      <w:bookmarkEnd w:id="155"/>
      <w:bookmarkStart w:id="156" w:name="_Toc152045540"/>
      <w:bookmarkStart w:id="157" w:name="_Toc361508595"/>
      <w:bookmarkStart w:id="158" w:name="_Toc384308220"/>
      <w:bookmarkStart w:id="159" w:name="_Toc369531526"/>
      <w:bookmarkStart w:id="160" w:name="_Toc16623"/>
      <w:bookmarkStart w:id="161" w:name="_Toc247527564"/>
      <w:bookmarkStart w:id="162" w:name="_Toc144974508"/>
      <w:bookmarkStart w:id="163" w:name="_Toc300834960"/>
      <w:bookmarkStart w:id="164" w:name="_Toc352691484"/>
      <w:bookmarkStart w:id="165" w:name="_Toc247513963"/>
      <w:bookmarkStart w:id="166" w:name="_Toc152042316"/>
      <w:r>
        <w:rPr>
          <w:rFonts w:ascii="Times New Roman" w:hAnsi="Times New Roman"/>
          <w:color w:val="auto"/>
          <w:sz w:val="24"/>
          <w:szCs w:val="24"/>
          <w:highlight w:val="none"/>
        </w:rPr>
        <w:t>应按投标人须知前附表规定的时间和形式通知招标人，确认已收到该修改。</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67" w:name="_Toc622"/>
      <w:bookmarkStart w:id="168" w:name="_Toc89870566"/>
      <w:r>
        <w:rPr>
          <w:rFonts w:ascii="Times New Roman" w:hAnsi="Times New Roman"/>
          <w:color w:val="auto"/>
          <w:sz w:val="24"/>
          <w:szCs w:val="24"/>
          <w:highlight w:val="none"/>
        </w:rPr>
        <w:t>2.</w:t>
      </w:r>
      <w:bookmarkEnd w:id="156"/>
      <w:bookmarkEnd w:id="157"/>
      <w:bookmarkEnd w:id="158"/>
      <w:bookmarkEnd w:id="159"/>
      <w:bookmarkEnd w:id="160"/>
      <w:bookmarkEnd w:id="161"/>
      <w:bookmarkEnd w:id="162"/>
      <w:bookmarkEnd w:id="163"/>
      <w:bookmarkEnd w:id="164"/>
      <w:bookmarkEnd w:id="165"/>
      <w:bookmarkEnd w:id="166"/>
      <w:r>
        <w:rPr>
          <w:rFonts w:ascii="Times New Roman" w:hAnsi="Times New Roman"/>
          <w:color w:val="auto"/>
          <w:sz w:val="24"/>
          <w:szCs w:val="24"/>
          <w:highlight w:val="none"/>
        </w:rPr>
        <w:t>4 招标文件的异议</w:t>
      </w:r>
      <w:bookmarkEnd w:id="167"/>
      <w:bookmarkEnd w:id="168"/>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5"/>
        <w:keepNext w:val="0"/>
        <w:keepLines w:val="0"/>
        <w:spacing w:before="0" w:after="0" w:line="360" w:lineRule="auto"/>
        <w:ind w:firstLine="643" w:firstLineChars="200"/>
        <w:rPr>
          <w:rFonts w:ascii="Times New Roman" w:hAnsi="Times New Roman"/>
          <w:color w:val="auto"/>
          <w:highlight w:val="none"/>
        </w:rPr>
      </w:pPr>
      <w:bookmarkStart w:id="169" w:name="_Toc20188"/>
      <w:bookmarkStart w:id="170" w:name="_Toc89870567"/>
      <w:r>
        <w:rPr>
          <w:rFonts w:ascii="Times New Roman" w:hAnsi="Times New Roman"/>
          <w:color w:val="auto"/>
          <w:highlight w:val="none"/>
        </w:rPr>
        <w:t>3. 投标文件</w:t>
      </w:r>
      <w:bookmarkEnd w:id="169"/>
      <w:bookmarkEnd w:id="170"/>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71" w:name="_Toc89870568"/>
      <w:bookmarkStart w:id="172" w:name="_Toc17006"/>
      <w:r>
        <w:rPr>
          <w:rFonts w:ascii="Times New Roman" w:hAnsi="Times New Roman"/>
          <w:color w:val="auto"/>
          <w:sz w:val="24"/>
          <w:szCs w:val="24"/>
          <w:highlight w:val="none"/>
        </w:rPr>
        <w:t>3.1 投标文件的组成</w:t>
      </w:r>
      <w:bookmarkEnd w:id="171"/>
      <w:bookmarkEnd w:id="172"/>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3.1.1 投标文件应包括下列内容：</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（1）投标函及投标函附录、</w:t>
      </w:r>
      <w:r>
        <w:rPr>
          <w:rFonts w:ascii="Times New Roman" w:hAnsi="Times New Roman"/>
          <w:color w:val="auto"/>
          <w:highlight w:val="none"/>
        </w:rPr>
        <w:t>投标报价书</w:t>
      </w:r>
      <w:r>
        <w:rPr>
          <w:rFonts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（2）法定代表人身份证明或授权委托书；</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）联合体协议书</w:t>
      </w:r>
      <w:r>
        <w:rPr>
          <w:rFonts w:ascii="Times New Roman" w:hAnsi="Times New Roman"/>
          <w:color w:val="auto"/>
          <w:sz w:val="24"/>
          <w:szCs w:val="24"/>
          <w:highlight w:val="none"/>
        </w:rPr>
        <w:t>（本项目不接受联合体投标，无需提供）；</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）投标保证金；</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广州建设工程监理投标书</w:t>
      </w:r>
      <w:r>
        <w:rPr>
          <w:rFonts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r>
        <w:rPr>
          <w:rFonts w:hint="eastAsia" w:ascii="Times New Roman" w:hAnsi="Times New Roman"/>
          <w:color w:val="auto"/>
          <w:sz w:val="24"/>
          <w:szCs w:val="24"/>
          <w:highlight w:val="none"/>
        </w:rPr>
        <w:t>6</w:t>
      </w:r>
      <w:r>
        <w:rPr>
          <w:rFonts w:ascii="Times New Roman" w:hAnsi="Times New Roman"/>
          <w:color w:val="auto"/>
          <w:sz w:val="24"/>
          <w:szCs w:val="24"/>
          <w:highlight w:val="none"/>
        </w:rPr>
        <w:t>）资格审查资料；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）监理大纲；</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r>
        <w:rPr>
          <w:rFonts w:hint="eastAsia" w:ascii="Times New Roman" w:hAnsi="Times New Roman"/>
          <w:color w:val="auto"/>
          <w:sz w:val="24"/>
          <w:szCs w:val="24"/>
          <w:highlight w:val="none"/>
        </w:rPr>
        <w:t>8</w:t>
      </w:r>
      <w:r>
        <w:rPr>
          <w:rFonts w:ascii="Times New Roman" w:hAnsi="Times New Roman"/>
          <w:color w:val="auto"/>
          <w:sz w:val="24"/>
          <w:szCs w:val="24"/>
          <w:highlight w:val="none"/>
        </w:rPr>
        <w:t>）投标人须知前附表规定的其他资料。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投标人在评标过程中作出的符合法律法规和招标文件规定的澄清确认，构成投标文件的组成部分。</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 投标人须知前附表规定不接受联合体投标的，或投标人没有组成联合体的，投标文件不包括本章第3.1.1（3）目所指的联合体协议书。</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投标人须知前附表未要求提交投标保证金的，投标文件不包括本章第3.1.1（4）目所指的投标保证金。</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73" w:name="_Toc15761"/>
      <w:bookmarkStart w:id="174" w:name="_Toc89870569"/>
      <w:r>
        <w:rPr>
          <w:rFonts w:ascii="Times New Roman" w:hAnsi="Times New Roman"/>
          <w:color w:val="auto"/>
          <w:sz w:val="24"/>
          <w:szCs w:val="24"/>
          <w:highlight w:val="none"/>
        </w:rPr>
        <w:t>3.2 投标报价</w:t>
      </w:r>
      <w:bookmarkEnd w:id="173"/>
      <w:bookmarkEnd w:id="174"/>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3.2.1</w:t>
      </w:r>
      <w:r>
        <w:rPr>
          <w:rFonts w:hint="eastAsia" w:ascii="Times New Roman" w:hAnsi="Times New Roman"/>
          <w:color w:val="auto"/>
          <w:sz w:val="24"/>
          <w:szCs w:val="24"/>
          <w:highlight w:val="none"/>
        </w:rPr>
        <w:t>投标报价应包括国家规定的增值税税金，除投标人须知前附表另有规定外，增值税税金按一般计税方法计算。投标人应按第六章“投标文件格式”的要求在投标函及投标函附录、</w:t>
      </w:r>
      <w:r>
        <w:rPr>
          <w:rFonts w:ascii="Times New Roman" w:hAnsi="Times New Roman"/>
          <w:color w:val="auto"/>
          <w:sz w:val="24"/>
          <w:highlight w:val="none"/>
        </w:rPr>
        <w:t>投标报价书</w:t>
      </w:r>
      <w:r>
        <w:rPr>
          <w:rFonts w:hint="eastAsia" w:ascii="Times New Roman" w:hAnsi="Times New Roman"/>
          <w:color w:val="auto"/>
          <w:sz w:val="24"/>
          <w:szCs w:val="24"/>
          <w:highlight w:val="none"/>
        </w:rPr>
        <w:t>中进行报价</w:t>
      </w:r>
      <w:r>
        <w:rPr>
          <w:rFonts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3.2.2 投标人应充分了解该项目的总体情况以及影响投标报价的其他要素。</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3.2.3</w:t>
      </w:r>
      <w:bookmarkStart w:id="175" w:name="_Toc15242"/>
      <w:bookmarkEnd w:id="175"/>
      <w:bookmarkStart w:id="176" w:name="_Toc152042319"/>
      <w:bookmarkEnd w:id="176"/>
      <w:bookmarkStart w:id="177" w:name="_Toc144974511"/>
      <w:bookmarkEnd w:id="177"/>
      <w:bookmarkStart w:id="178" w:name="_Toc152045543"/>
      <w:bookmarkEnd w:id="178"/>
      <w:bookmarkStart w:id="179" w:name="_Toc247527568"/>
      <w:bookmarkEnd w:id="179"/>
      <w:bookmarkStart w:id="180" w:name="_Toc369531530"/>
      <w:bookmarkEnd w:id="180"/>
      <w:bookmarkStart w:id="181" w:name="_Toc361508599"/>
      <w:bookmarkEnd w:id="181"/>
      <w:bookmarkStart w:id="182" w:name="_Toc247513967"/>
      <w:bookmarkEnd w:id="182"/>
      <w:bookmarkStart w:id="183" w:name="_Toc384308224"/>
      <w:bookmarkEnd w:id="183"/>
      <w:bookmarkStart w:id="184" w:name="_Toc352691487"/>
      <w:bookmarkEnd w:id="184"/>
      <w:bookmarkStart w:id="185" w:name="_Toc300834964"/>
      <w:bookmarkEnd w:id="185"/>
      <w:r>
        <w:rPr>
          <w:rFonts w:hint="eastAsia" w:ascii="Times New Roman" w:hAnsi="Times New Roman"/>
          <w:color w:val="auto"/>
          <w:sz w:val="24"/>
          <w:szCs w:val="24"/>
          <w:highlight w:val="none"/>
        </w:rPr>
        <w:t xml:space="preserve"> </w:t>
      </w:r>
      <w:r>
        <w:rPr>
          <w:rFonts w:hint="eastAsia" w:ascii="宋体" w:hAnsi="宋体" w:cs="宋体"/>
          <w:color w:val="auto"/>
          <w:kern w:val="0"/>
          <w:sz w:val="24"/>
          <w:szCs w:val="24"/>
          <w:highlight w:val="none"/>
        </w:rPr>
        <w:t>本项目的报价方式见投标人须知前附表。投标人在投标截止时间前修改投标函中的投标报价总额须符合本章第4.3款的有关要求</w:t>
      </w:r>
      <w:r>
        <w:rPr>
          <w:rFonts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3.2.4 招标人设有最高投标限价的，投标人的投标报价不得超过最高投标限价，最高投标限价在投标</w:t>
      </w:r>
      <w:bookmarkStart w:id="186" w:name="_Toc247527569"/>
      <w:bookmarkStart w:id="187" w:name="_Toc361508600"/>
      <w:bookmarkStart w:id="188" w:name="_Toc144974512"/>
      <w:bookmarkStart w:id="189" w:name="_Toc384308225"/>
      <w:bookmarkStart w:id="190" w:name="_Toc152042320"/>
      <w:bookmarkStart w:id="191" w:name="_Toc247513968"/>
      <w:bookmarkStart w:id="192" w:name="_Toc352691488"/>
      <w:bookmarkStart w:id="193" w:name="_Toc300834965"/>
      <w:bookmarkStart w:id="194" w:name="_Toc152045544"/>
      <w:bookmarkStart w:id="195" w:name="_Toc10429"/>
      <w:bookmarkStart w:id="196" w:name="_Toc369531531"/>
      <w:r>
        <w:rPr>
          <w:rFonts w:ascii="Times New Roman" w:hAnsi="Times New Roman"/>
          <w:color w:val="auto"/>
          <w:sz w:val="24"/>
          <w:szCs w:val="24"/>
          <w:highlight w:val="none"/>
        </w:rPr>
        <w:t>人须知前附表中载明。</w:t>
      </w:r>
      <w:bookmarkEnd w:id="186"/>
      <w:bookmarkEnd w:id="187"/>
      <w:bookmarkEnd w:id="188"/>
      <w:bookmarkEnd w:id="189"/>
      <w:bookmarkEnd w:id="190"/>
      <w:bookmarkEnd w:id="191"/>
      <w:bookmarkEnd w:id="192"/>
      <w:bookmarkEnd w:id="193"/>
      <w:bookmarkEnd w:id="194"/>
      <w:bookmarkEnd w:id="195"/>
      <w:bookmarkEnd w:id="196"/>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3.2.5 投标报价的其他要求见投标人须知前附表。</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97" w:name="_Toc89870570"/>
      <w:bookmarkStart w:id="198" w:name="_Toc26962"/>
      <w:r>
        <w:rPr>
          <w:rFonts w:ascii="Times New Roman" w:hAnsi="Times New Roman"/>
          <w:color w:val="auto"/>
          <w:sz w:val="24"/>
          <w:szCs w:val="24"/>
          <w:highlight w:val="none"/>
        </w:rPr>
        <w:t>3.3 投标有效期</w:t>
      </w:r>
      <w:bookmarkEnd w:id="197"/>
      <w:bookmarkEnd w:id="198"/>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3.3.1 除投标人须知前附表另有规定外，投标有效期为</w:t>
      </w:r>
      <w:r>
        <w:rPr>
          <w:rFonts w:hint="eastAsia" w:ascii="Times New Roman" w:hAnsi="Times New Roman"/>
          <w:color w:val="auto"/>
          <w:sz w:val="24"/>
          <w:szCs w:val="24"/>
          <w:highlight w:val="none"/>
        </w:rPr>
        <w:t>90</w:t>
      </w:r>
      <w:r>
        <w:rPr>
          <w:rFonts w:ascii="Times New Roman" w:hAnsi="Times New Roman"/>
          <w:color w:val="auto"/>
          <w:sz w:val="24"/>
          <w:szCs w:val="24"/>
          <w:highlight w:val="none"/>
        </w:rPr>
        <w:t>天。</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3.3.2 在投标有效期内，投标人撤销投标文件的，应承担招标文件和法律规定的责任。</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199" w:name="_Toc89870571"/>
      <w:bookmarkStart w:id="200" w:name="_Toc29318"/>
      <w:r>
        <w:rPr>
          <w:rFonts w:ascii="Times New Roman" w:hAnsi="Times New Roman"/>
          <w:color w:val="auto"/>
          <w:sz w:val="24"/>
          <w:szCs w:val="24"/>
          <w:highlight w:val="none"/>
        </w:rPr>
        <w:t>3.4 投标保证金</w:t>
      </w:r>
      <w:bookmarkEnd w:id="199"/>
      <w:bookmarkEnd w:id="200"/>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3.4.1 投标人在递交投标文件的同时，应按投标人须知前附表规定的金额</w:t>
      </w:r>
      <w:bookmarkStart w:id="201" w:name="_Toc369531532"/>
      <w:bookmarkStart w:id="202" w:name="_Toc300834966"/>
      <w:bookmarkStart w:id="203" w:name="_Toc247513969"/>
      <w:bookmarkStart w:id="204" w:name="_Toc152045545"/>
      <w:bookmarkStart w:id="205" w:name="_Toc144974513"/>
      <w:bookmarkStart w:id="206" w:name="_Toc4592"/>
      <w:bookmarkStart w:id="207" w:name="_Toc152042321"/>
      <w:bookmarkStart w:id="208" w:name="_Toc247527570"/>
      <w:bookmarkStart w:id="209" w:name="_Toc352691489"/>
      <w:bookmarkStart w:id="210" w:name="_Toc384308226"/>
      <w:bookmarkStart w:id="211" w:name="_Toc361508601"/>
      <w:r>
        <w:rPr>
          <w:rFonts w:ascii="Times New Roman" w:hAnsi="Times New Roman"/>
          <w:color w:val="auto"/>
          <w:sz w:val="24"/>
          <w:szCs w:val="24"/>
          <w:highlight w:val="none"/>
        </w:rPr>
        <w:t>、形式和第六章</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投标文</w:t>
      </w:r>
      <w:bookmarkEnd w:id="201"/>
      <w:bookmarkEnd w:id="202"/>
      <w:bookmarkEnd w:id="203"/>
      <w:bookmarkEnd w:id="204"/>
      <w:bookmarkEnd w:id="205"/>
      <w:bookmarkEnd w:id="206"/>
      <w:bookmarkEnd w:id="207"/>
      <w:bookmarkEnd w:id="208"/>
      <w:bookmarkEnd w:id="209"/>
      <w:bookmarkEnd w:id="210"/>
      <w:bookmarkEnd w:id="211"/>
      <w:r>
        <w:rPr>
          <w:rFonts w:ascii="Times New Roman" w:hAnsi="Times New Roman"/>
          <w:color w:val="auto"/>
          <w:sz w:val="24"/>
          <w:szCs w:val="24"/>
          <w:highlight w:val="none"/>
        </w:rPr>
        <w:t>件格式</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3.4.2 投标人不按本章第3.4.1项</w:t>
      </w:r>
      <w:bookmarkStart w:id="212" w:name="_Toc369531533"/>
      <w:bookmarkStart w:id="213" w:name="_Toc29025"/>
      <w:bookmarkStart w:id="214" w:name="_Toc361508602"/>
      <w:bookmarkStart w:id="215" w:name="_Toc352691490"/>
      <w:bookmarkStart w:id="216" w:name="_Toc384308227"/>
      <w:r>
        <w:rPr>
          <w:rFonts w:ascii="Times New Roman" w:hAnsi="Times New Roman"/>
          <w:color w:val="auto"/>
          <w:sz w:val="24"/>
          <w:szCs w:val="24"/>
          <w:highlight w:val="none"/>
        </w:rPr>
        <w:t>要求提交投标保证金的，</w:t>
      </w:r>
      <w:bookmarkEnd w:id="212"/>
      <w:bookmarkEnd w:id="213"/>
      <w:bookmarkEnd w:id="214"/>
      <w:bookmarkEnd w:id="215"/>
      <w:bookmarkEnd w:id="216"/>
      <w:r>
        <w:rPr>
          <w:rFonts w:ascii="Times New Roman" w:hAnsi="Times New Roman"/>
          <w:color w:val="auto"/>
          <w:sz w:val="24"/>
          <w:szCs w:val="24"/>
          <w:highlight w:val="none"/>
        </w:rPr>
        <w:t>评标委员会将否决其投标。</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3.4.3 招标人最迟将在与中标人</w:t>
      </w:r>
      <w:bookmarkStart w:id="217" w:name="_Toc152045546"/>
      <w:bookmarkStart w:id="218" w:name="_Toc152042322"/>
      <w:bookmarkStart w:id="219" w:name="_Toc144974514"/>
      <w:bookmarkStart w:id="220" w:name="_Toc247527571"/>
      <w:bookmarkStart w:id="221" w:name="_Toc247513970"/>
      <w:bookmarkStart w:id="222" w:name="_Toc14751"/>
      <w:bookmarkStart w:id="223" w:name="_Toc369531534"/>
      <w:bookmarkStart w:id="224" w:name="_Toc384308228"/>
      <w:bookmarkStart w:id="225" w:name="_Toc361508603"/>
      <w:bookmarkStart w:id="226" w:name="_Toc352691491"/>
      <w:bookmarkStart w:id="227" w:name="_Toc300834967"/>
      <w:r>
        <w:rPr>
          <w:rFonts w:ascii="Times New Roman" w:hAnsi="Times New Roman"/>
          <w:color w:val="auto"/>
          <w:sz w:val="24"/>
          <w:szCs w:val="24"/>
          <w:highlight w:val="none"/>
        </w:rPr>
        <w:t>签订合同后5日</w:t>
      </w:r>
      <w:bookmarkEnd w:id="217"/>
      <w:bookmarkEnd w:id="218"/>
      <w:bookmarkEnd w:id="219"/>
      <w:bookmarkEnd w:id="220"/>
      <w:bookmarkEnd w:id="221"/>
      <w:bookmarkEnd w:id="222"/>
      <w:bookmarkEnd w:id="223"/>
      <w:bookmarkEnd w:id="224"/>
      <w:bookmarkEnd w:id="225"/>
      <w:bookmarkEnd w:id="226"/>
      <w:bookmarkEnd w:id="227"/>
      <w:r>
        <w:rPr>
          <w:rFonts w:ascii="Times New Roman" w:hAnsi="Times New Roman"/>
          <w:color w:val="auto"/>
          <w:sz w:val="24"/>
          <w:szCs w:val="24"/>
          <w:highlight w:val="none"/>
        </w:rPr>
        <w:t>内</w:t>
      </w:r>
      <w:bookmarkStart w:id="228" w:name="_Toc152042323"/>
      <w:bookmarkStart w:id="229" w:name="_Toc384308229"/>
      <w:bookmarkStart w:id="230" w:name="_Toc152045547"/>
      <w:bookmarkStart w:id="231" w:name="_Toc300834968"/>
      <w:bookmarkStart w:id="232" w:name="_Toc361508604"/>
      <w:bookmarkStart w:id="233" w:name="_Toc17952"/>
      <w:bookmarkStart w:id="234" w:name="_Toc352691492"/>
      <w:bookmarkStart w:id="235" w:name="_Toc247513971"/>
      <w:bookmarkStart w:id="236" w:name="_Toc144974515"/>
      <w:bookmarkStart w:id="237" w:name="_Toc247527572"/>
      <w:bookmarkStart w:id="238" w:name="_Toc369531535"/>
      <w:r>
        <w:rPr>
          <w:rFonts w:ascii="Times New Roman" w:hAnsi="Times New Roman"/>
          <w:color w:val="auto"/>
          <w:sz w:val="24"/>
          <w:szCs w:val="24"/>
          <w:highlight w:val="none"/>
        </w:rPr>
        <w:t>，向未中标的投标人和中</w:t>
      </w:r>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color w:val="auto"/>
          <w:sz w:val="24"/>
          <w:szCs w:val="24"/>
          <w:highlight w:val="none"/>
        </w:rPr>
        <w:t>标人退还投标保证金。投标保证金以现金或者支票形式递交的，还应退还银行同期存款利息。</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3.4.4 有下列情形之一的，投标保证金将不予退还：</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（1）投标人在投标有效期内撤销投标文件；</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（3）发生投标人须知前附表规定的其他可以不予退还投标保证金的情形。</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39" w:name="_Toc17845"/>
      <w:bookmarkStart w:id="240" w:name="_Toc89870572"/>
      <w:r>
        <w:rPr>
          <w:rFonts w:ascii="Times New Roman" w:hAnsi="Times New Roman"/>
          <w:color w:val="auto"/>
          <w:sz w:val="24"/>
          <w:szCs w:val="24"/>
          <w:highlight w:val="none"/>
        </w:rPr>
        <w:t>3.5 资格审查资料（适用于未进行资格预审的）</w:t>
      </w:r>
      <w:bookmarkEnd w:id="239"/>
      <w:bookmarkEnd w:id="240"/>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3.5.1</w:t>
      </w:r>
      <w:r>
        <w:rPr>
          <w:rFonts w:hint="eastAsia" w:ascii="宋体" w:hAnsi="宋体" w:cs="宋体"/>
          <w:color w:val="auto"/>
          <w:sz w:val="24"/>
          <w:highlight w:val="none"/>
        </w:rPr>
        <w:t>投标人参加投标的意思表达清楚，投标人代表被授权有效。</w:t>
      </w:r>
      <w:r>
        <w:rPr>
          <w:rFonts w:hint="eastAsia" w:ascii="Times New Roman" w:hAnsi="Times New Roman"/>
          <w:color w:val="auto"/>
          <w:sz w:val="24"/>
          <w:szCs w:val="24"/>
          <w:highlight w:val="none"/>
        </w:rPr>
        <w:t xml:space="preserve"> </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3.5.2</w:t>
      </w:r>
      <w:r>
        <w:rPr>
          <w:rFonts w:hint="eastAsia" w:ascii="宋体" w:hAnsi="宋体" w:cs="宋体"/>
          <w:color w:val="auto"/>
          <w:sz w:val="24"/>
          <w:highlight w:val="none"/>
        </w:rPr>
        <w:t>投标人均具有独立法人资格，持有工商行政管理部门核发的法人营业执照，按国家法律经营。</w:t>
      </w:r>
    </w:p>
    <w:p>
      <w:pPr>
        <w:tabs>
          <w:tab w:val="left" w:pos="7513"/>
        </w:tabs>
        <w:spacing w:line="360" w:lineRule="auto"/>
        <w:ind w:firstLine="480" w:firstLineChars="200"/>
        <w:rPr>
          <w:rFonts w:ascii="宋体" w:hAnsi="宋体" w:cs="宋体"/>
          <w:color w:val="auto"/>
          <w:sz w:val="24"/>
          <w:highlight w:val="none"/>
        </w:rPr>
      </w:pPr>
      <w:r>
        <w:rPr>
          <w:rFonts w:hint="eastAsia" w:ascii="Times New Roman" w:hAnsi="Times New Roman"/>
          <w:color w:val="auto"/>
          <w:sz w:val="24"/>
          <w:szCs w:val="24"/>
          <w:highlight w:val="none"/>
        </w:rPr>
        <w:t>3.5.3</w:t>
      </w:r>
      <w:r>
        <w:rPr>
          <w:rFonts w:ascii="宋体" w:hAnsi="宋体" w:cs="宋体"/>
          <w:color w:val="auto"/>
          <w:sz w:val="24"/>
          <w:highlight w:val="none"/>
        </w:rPr>
        <w:t>投标人须具备建设行政主管部门颁发的</w:t>
      </w:r>
      <w:r>
        <w:rPr>
          <w:rFonts w:hint="eastAsia" w:ascii="宋体" w:hAnsi="宋体" w:cs="宋体"/>
          <w:color w:val="auto"/>
          <w:sz w:val="24"/>
          <w:highlight w:val="none"/>
        </w:rPr>
        <w:t>工程监理综合资质或市政公用工程监理</w:t>
      </w:r>
      <w:r>
        <w:rPr>
          <w:rFonts w:hint="eastAsia" w:ascii="宋体" w:hAnsi="宋体" w:cs="宋体"/>
          <w:color w:val="auto"/>
          <w:sz w:val="24"/>
          <w:highlight w:val="none"/>
          <w:lang w:val="en-US" w:eastAsia="zh-CN"/>
        </w:rPr>
        <w:t>甲</w:t>
      </w:r>
      <w:r>
        <w:rPr>
          <w:rFonts w:hint="eastAsia" w:ascii="宋体" w:hAnsi="宋体" w:cs="宋体"/>
          <w:color w:val="auto"/>
          <w:sz w:val="24"/>
          <w:highlight w:val="none"/>
        </w:rPr>
        <w:t>级资质。</w:t>
      </w: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注：依据《广东省住房和城乡建设厅关于印发香港工程建设咨询企业和专业人士在粤港澳大湾区内地城市开业执业试点管理暂行办法的通知》（粤建规范〔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2020〕1号，详见链接：</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"http://zfcxjst.gd.gov.cn/xxgk/wjtz/content/post_3137220.html），" </w:instrText>
      </w:r>
      <w:r>
        <w:rPr>
          <w:rFonts w:ascii="Times New Roman" w:hAnsi="Times New Roman" w:cs="Times New Roman"/>
          <w:color w:val="auto"/>
          <w:highlight w:val="none"/>
        </w:rPr>
        <w:fldChar w:fldCharType="separate"/>
      </w:r>
      <w:r>
        <w:rPr>
          <w:rFonts w:ascii="Times New Roman" w:hAnsi="Times New Roman" w:cs="Times New Roman"/>
          <w:color w:val="auto"/>
          <w:sz w:val="24"/>
          <w:highlight w:val="none"/>
        </w:rPr>
        <w:t>http://zfcxjst.gd.gov.cn/xxgk/wjtz/content/post_3137220.html），</w:t>
      </w:r>
      <w:r>
        <w:rPr>
          <w:rFonts w:ascii="Times New Roman" w:hAnsi="Times New Roman" w:cs="Times New Roman"/>
          <w:color w:val="auto"/>
          <w:sz w:val="24"/>
          <w:highlight w:val="none"/>
        </w:rPr>
        <w:fldChar w:fldCharType="end"/>
      </w:r>
      <w:r>
        <w:rPr>
          <w:rFonts w:hint="eastAsia" w:ascii="宋体" w:hAnsi="宋体" w:cs="宋体"/>
          <w:color w:val="auto"/>
          <w:sz w:val="24"/>
          <w:highlight w:val="none"/>
        </w:rPr>
        <w:t>自</w:t>
      </w:r>
      <w:r>
        <w:rPr>
          <w:rFonts w:ascii="宋体" w:hAnsi="宋体" w:cs="宋体"/>
          <w:color w:val="auto"/>
          <w:sz w:val="24"/>
          <w:highlight w:val="none"/>
        </w:rPr>
        <w:t>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参与本次投标的，应按招标文件要求提供满足评审的相关证明文件。</w:t>
      </w:r>
    </w:p>
    <w:p>
      <w:pPr>
        <w:adjustRightInd w:val="0"/>
        <w:snapToGrid w:val="0"/>
        <w:spacing w:line="360" w:lineRule="auto"/>
        <w:ind w:firstLine="480" w:firstLineChars="200"/>
        <w:rPr>
          <w:rFonts w:ascii="宋体" w:hAnsi="宋体" w:cs="宋体"/>
          <w:color w:val="auto"/>
          <w:sz w:val="24"/>
          <w:highlight w:val="none"/>
          <w:u w:val="single"/>
        </w:rPr>
      </w:pPr>
      <w:r>
        <w:rPr>
          <w:rFonts w:ascii="Times New Roman" w:hAnsi="Times New Roman"/>
          <w:color w:val="auto"/>
          <w:sz w:val="24"/>
          <w:szCs w:val="24"/>
          <w:highlight w:val="none"/>
          <w:u w:val="single"/>
        </w:rPr>
        <w:t>3.5.4</w:t>
      </w:r>
      <w:r>
        <w:rPr>
          <w:rFonts w:hint="eastAsia" w:ascii="宋体" w:hAnsi="宋体" w:cs="宋体"/>
          <w:color w:val="auto"/>
          <w:sz w:val="24"/>
          <w:highlight w:val="none"/>
          <w:u w:val="single"/>
        </w:rPr>
        <w:t>项目总监理工程师须具有建设部</w:t>
      </w:r>
      <w:r>
        <w:rPr>
          <w:rFonts w:ascii="宋体" w:hAnsi="宋体" w:cs="宋体"/>
          <w:color w:val="auto"/>
          <w:sz w:val="24"/>
          <w:highlight w:val="none"/>
          <w:u w:val="single"/>
        </w:rPr>
        <w:t>2006年4月1日后颁发的中华人民共和国注册监理工程师注册执业证书，</w:t>
      </w:r>
      <w:r>
        <w:rPr>
          <w:rFonts w:hint="eastAsia" w:ascii="宋体" w:hAnsi="宋体" w:cs="宋体"/>
          <w:color w:val="auto"/>
          <w:sz w:val="24"/>
          <w:highlight w:val="none"/>
          <w:u w:val="single"/>
        </w:rPr>
        <w:t>且其注册证书专业为市政公用工程并具备本科或以上学历，注册执业单位为本公司，或在广东省住房和城乡建设主管部门备案且备案的业务范围符合本招标项目对总监理工程师要求的香港专业人士。</w:t>
      </w: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u w:val="single"/>
        </w:rPr>
        <w:t>2020〕1号）确定。</w:t>
      </w:r>
    </w:p>
    <w:p>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3.5.5投标登记前，投标人已在广州公共资源交易中心办理企业信息登记及拟担任本工程总监理工程师须是本单位在企业库中的在册人员。</w:t>
      </w:r>
    </w:p>
    <w:p>
      <w:pPr>
        <w:spacing w:line="360" w:lineRule="auto"/>
        <w:ind w:firstLine="480" w:firstLineChars="200"/>
        <w:rPr>
          <w:rFonts w:ascii="宋体" w:hAnsi="宋体" w:cs="宋体"/>
          <w:color w:val="auto"/>
          <w:sz w:val="24"/>
          <w:highlight w:val="none"/>
        </w:rPr>
      </w:pPr>
      <w:r>
        <w:rPr>
          <w:rFonts w:hint="eastAsia" w:ascii="Times New Roman" w:hAnsi="Times New Roman"/>
          <w:color w:val="auto"/>
          <w:sz w:val="24"/>
          <w:szCs w:val="24"/>
          <w:highlight w:val="none"/>
        </w:rPr>
        <w:t>3.5.6</w:t>
      </w:r>
      <w:r>
        <w:rPr>
          <w:rFonts w:hint="eastAsia" w:ascii="宋体" w:hAnsi="宋体" w:cs="宋体"/>
          <w:color w:val="auto"/>
          <w:sz w:val="24"/>
          <w:highlight w:val="none"/>
        </w:rPr>
        <w:t xml:space="preserve"> 投标人已按规定格式签名盖章《投标人声明》（格式详见招标公告附件一）。</w:t>
      </w:r>
    </w:p>
    <w:p>
      <w:pPr>
        <w:spacing w:line="360" w:lineRule="auto"/>
        <w:ind w:firstLine="480" w:firstLineChars="200"/>
        <w:rPr>
          <w:rFonts w:ascii="宋体" w:hAnsi="宋体" w:cs="宋体"/>
          <w:color w:val="auto"/>
          <w:sz w:val="24"/>
          <w:highlight w:val="none"/>
          <w:u w:val="single"/>
        </w:rPr>
      </w:pPr>
      <w:r>
        <w:rPr>
          <w:rFonts w:hint="eastAsia" w:ascii="Times New Roman" w:hAnsi="Times New Roman"/>
          <w:color w:val="auto"/>
          <w:sz w:val="24"/>
          <w:szCs w:val="24"/>
          <w:highlight w:val="none"/>
        </w:rPr>
        <w:t>3.5.7</w:t>
      </w:r>
      <w:r>
        <w:rPr>
          <w:rFonts w:hint="eastAsia" w:ascii="宋体" w:hAnsi="宋体" w:cs="宋体"/>
          <w:color w:val="auto"/>
          <w:sz w:val="24"/>
          <w:highlight w:val="none"/>
          <w:u w:val="single"/>
        </w:rPr>
        <w:t>未被纳入国家、市、区的失信联合惩戒名单且被限制参加建设工程投标的（具体名单以递交投标文件截止时间“信用广州”https://credit1.gz.gov.cn/sgs/sgsXkNew公布的 “失信黑名单”为准。不包含限制参加财政投资工程或政府投资工程的投标）。</w:t>
      </w:r>
    </w:p>
    <w:p>
      <w:pPr>
        <w:spacing w:line="360" w:lineRule="auto"/>
        <w:ind w:firstLine="480" w:firstLineChars="200"/>
        <w:rPr>
          <w:rFonts w:ascii="宋体" w:hAnsi="宋体" w:cs="宋体"/>
          <w:color w:val="auto"/>
          <w:sz w:val="24"/>
          <w:highlight w:val="none"/>
        </w:rPr>
      </w:pPr>
      <w:r>
        <w:rPr>
          <w:rFonts w:hint="eastAsia" w:ascii="Times New Roman" w:hAnsi="Times New Roman"/>
          <w:color w:val="auto"/>
          <w:sz w:val="24"/>
          <w:szCs w:val="24"/>
          <w:highlight w:val="none"/>
        </w:rPr>
        <w:t>3.5.8</w:t>
      </w:r>
      <w:r>
        <w:rPr>
          <w:rFonts w:hint="eastAsia" w:ascii="宋体" w:hAnsi="宋体" w:cs="宋体"/>
          <w:color w:val="auto"/>
          <w:sz w:val="24"/>
          <w:highlight w:val="none"/>
        </w:rPr>
        <w:t>本项目</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pPr>
        <w:wordWrap w:val="0"/>
        <w:topLinePunct/>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注：未在招标公告第三条单列的投标人资格要求条件，不作为资审不合格的依据。</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41" w:name="_Toc89870573"/>
      <w:bookmarkStart w:id="242" w:name="_Toc824"/>
      <w:r>
        <w:rPr>
          <w:rFonts w:ascii="Times New Roman" w:hAnsi="Times New Roman"/>
          <w:color w:val="auto"/>
          <w:sz w:val="24"/>
          <w:szCs w:val="24"/>
          <w:highlight w:val="none"/>
        </w:rPr>
        <w:t>3.6 备选投标方案</w:t>
      </w:r>
      <w:bookmarkEnd w:id="241"/>
      <w:bookmarkEnd w:id="242"/>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3.6.1 除投标人须知前附表规定允许外，投标人不得递交备选投标方案，否则其投标将被否决。</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3.6.3 投标人提供两个或两个以上投标报价，或者在投标文件中提供一个报价，但同时提供两个或两个以上</w:t>
      </w:r>
      <w:bookmarkStart w:id="243" w:name="_Toc144974518"/>
      <w:bookmarkStart w:id="244" w:name="_Toc247513974"/>
      <w:bookmarkStart w:id="245" w:name="_Toc152045550"/>
      <w:bookmarkStart w:id="246" w:name="_Toc247527575"/>
      <w:bookmarkStart w:id="247" w:name="_Toc369531538"/>
      <w:bookmarkStart w:id="248" w:name="_Toc352691495"/>
      <w:bookmarkStart w:id="249" w:name="_Toc361508607"/>
      <w:bookmarkStart w:id="250" w:name="_Toc152042326"/>
      <w:bookmarkStart w:id="251" w:name="_Toc384308232"/>
      <w:bookmarkStart w:id="252" w:name="_Toc29902"/>
      <w:bookmarkStart w:id="253" w:name="_Toc300834971"/>
      <w:r>
        <w:rPr>
          <w:rFonts w:ascii="Times New Roman" w:hAnsi="Times New Roman"/>
          <w:color w:val="auto"/>
          <w:sz w:val="24"/>
          <w:szCs w:val="24"/>
          <w:highlight w:val="none"/>
        </w:rPr>
        <w:t>监理方案的</w:t>
      </w:r>
      <w:bookmarkEnd w:id="243"/>
      <w:bookmarkEnd w:id="244"/>
      <w:bookmarkEnd w:id="245"/>
      <w:bookmarkEnd w:id="246"/>
      <w:bookmarkEnd w:id="247"/>
      <w:bookmarkEnd w:id="248"/>
      <w:bookmarkEnd w:id="249"/>
      <w:bookmarkEnd w:id="250"/>
      <w:bookmarkEnd w:id="251"/>
      <w:bookmarkEnd w:id="252"/>
      <w:bookmarkEnd w:id="253"/>
      <w:r>
        <w:rPr>
          <w:rFonts w:ascii="Times New Roman" w:hAnsi="Times New Roman"/>
          <w:color w:val="auto"/>
          <w:sz w:val="24"/>
          <w:szCs w:val="24"/>
          <w:highlight w:val="none"/>
        </w:rPr>
        <w:t>，视为提供备选方案。</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54" w:name="_Toc23337"/>
      <w:bookmarkStart w:id="255" w:name="_Toc89870574"/>
      <w:r>
        <w:rPr>
          <w:rFonts w:ascii="Times New Roman" w:hAnsi="Times New Roman"/>
          <w:color w:val="auto"/>
          <w:sz w:val="24"/>
          <w:szCs w:val="24"/>
          <w:highlight w:val="none"/>
        </w:rPr>
        <w:t>3.7 投标文件的编制</w:t>
      </w:r>
      <w:bookmarkEnd w:id="254"/>
      <w:bookmarkEnd w:id="255"/>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3.7.1 投标文件应按第六章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投标文件格式</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3.7.2 投标文件应当对招标文件有关监理服务期限、投标有效期、委托人要求、招标范围等实质性内容作出响应。</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3.7.3（A）（1）投标文件应用不褪色的材料书写或打印，投标函</w:t>
      </w:r>
      <w:r>
        <w:rPr>
          <w:rFonts w:hint="eastAsia" w:ascii="Times New Roman" w:hAnsi="Times New Roman"/>
          <w:strike/>
          <w:color w:val="auto"/>
          <w:sz w:val="24"/>
          <w:szCs w:val="24"/>
          <w:highlight w:val="none"/>
        </w:rPr>
        <w:t>、投标函附录</w:t>
      </w:r>
      <w:r>
        <w:rPr>
          <w:rFonts w:ascii="Times New Roman" w:hAnsi="Times New Roman"/>
          <w:strike/>
          <w:color w:val="auto"/>
          <w:sz w:val="24"/>
          <w:szCs w:val="24"/>
          <w:highlight w:val="none"/>
        </w:rPr>
        <w:t>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投标文件格式</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的要求。投标文件应尽量避免涂改、行间插字或删除。如果出现上述情况，改动之处应由投标人的法定代表人或其授权的代理人签字或盖单位章。</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（2）投标文件正本一份，副本份数见投标人须知前附表。正本和副本的封面</w:t>
      </w:r>
      <w:r>
        <w:rPr>
          <w:rStyle w:val="26"/>
          <w:rFonts w:ascii="Times New Roman" w:hAnsi="Times New Roman"/>
          <w:strike/>
          <w:color w:val="auto"/>
          <w:kern w:val="0"/>
          <w:sz w:val="24"/>
          <w:szCs w:val="24"/>
          <w:highlight w:val="none"/>
        </w:rPr>
        <w:t>右上角</w:t>
      </w:r>
      <w:r>
        <w:rPr>
          <w:rFonts w:ascii="Times New Roman" w:hAnsi="Times New Roman"/>
          <w:strike/>
          <w:color w:val="auto"/>
          <w:sz w:val="24"/>
          <w:szCs w:val="24"/>
          <w:highlight w:val="none"/>
        </w:rPr>
        <w:t>上应清楚地标记</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正本</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或</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副本</w:t>
      </w:r>
      <w:r>
        <w:rPr>
          <w:rFonts w:hint="eastAsia" w:ascii="Times New Roman" w:hAnsi="Times New Roman"/>
          <w:strike/>
          <w:color w:val="auto"/>
          <w:sz w:val="24"/>
          <w:szCs w:val="24"/>
          <w:highlight w:val="none"/>
          <w:lang w:eastAsia="zh-CN"/>
        </w:rPr>
        <w:t>”</w:t>
      </w:r>
      <w:r>
        <w:rPr>
          <w:rFonts w:ascii="Times New Roman" w:hAnsi="Times New Roman"/>
          <w:strike/>
          <w:color w:val="auto"/>
          <w:sz w:val="24"/>
          <w:szCs w:val="24"/>
          <w:highlight w:val="none"/>
        </w:rPr>
        <w:t>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（3）投标文件的正本与副本应分别装订，并编制目录，投标文件需分册装订的，具体分册装订要求见投标人须知前附表规定。</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3.7.3（B）投标文件全部采用电子文档，除投标人须知前附表另有规定外，投标文件所附证书证件均为</w:t>
      </w:r>
      <w:r>
        <w:rPr>
          <w:rFonts w:hint="eastAsia" w:ascii="Times New Roman" w:hAnsi="Times New Roman"/>
          <w:b/>
          <w:color w:val="auto"/>
          <w:sz w:val="24"/>
          <w:szCs w:val="24"/>
          <w:highlight w:val="none"/>
        </w:rPr>
        <w:t>原件清晰彩色扫描件</w:t>
      </w:r>
      <w:r>
        <w:rPr>
          <w:rFonts w:ascii="Times New Roman" w:hAnsi="Times New Roman"/>
          <w:color w:val="auto"/>
          <w:sz w:val="24"/>
          <w:szCs w:val="24"/>
          <w:highlight w:val="none"/>
        </w:rPr>
        <w:t>，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5"/>
        <w:keepNext w:val="0"/>
        <w:keepLines w:val="0"/>
        <w:spacing w:before="0" w:after="0" w:line="360" w:lineRule="auto"/>
        <w:ind w:firstLine="643" w:firstLineChars="200"/>
        <w:rPr>
          <w:rFonts w:ascii="Times New Roman" w:hAnsi="Times New Roman"/>
          <w:color w:val="auto"/>
          <w:highlight w:val="none"/>
        </w:rPr>
      </w:pPr>
      <w:bookmarkStart w:id="256" w:name="_Toc16599"/>
      <w:bookmarkStart w:id="257" w:name="_Toc89870575"/>
      <w:r>
        <w:rPr>
          <w:rFonts w:ascii="Times New Roman" w:hAnsi="Times New Roman"/>
          <w:color w:val="auto"/>
          <w:highlight w:val="none"/>
        </w:rPr>
        <w:t>4. 投标</w:t>
      </w:r>
      <w:bookmarkEnd w:id="256"/>
      <w:bookmarkEnd w:id="257"/>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58" w:name="_Toc89870576"/>
      <w:bookmarkStart w:id="259" w:name="_Toc10880"/>
      <w:r>
        <w:rPr>
          <w:rFonts w:ascii="Times New Roman" w:hAnsi="Times New Roman"/>
          <w:color w:val="auto"/>
          <w:sz w:val="24"/>
          <w:szCs w:val="24"/>
          <w:highlight w:val="none"/>
        </w:rPr>
        <w:t>4.1 投标文件的密封和标记</w:t>
      </w:r>
      <w:bookmarkEnd w:id="258"/>
      <w:bookmarkEnd w:id="259"/>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4.1.1 （A）投标文件应密封包装，并在封套的封口处加盖投标人单位章或由投标人的法定代表人或其授权的代理人签字。</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4.1.1 （B）投标人应当按照招标文件和电子招标投标交易平台的要求加密投标文件，具体要求见投标人须知前附表。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4.1.2 投标文件封套上应写明的内容见投标人须知前附表。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4.1.3 未按本章第4.1.1项要求密封的投标文件，招标人将予以拒收。</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60" w:name="_Toc89870577"/>
      <w:bookmarkStart w:id="261" w:name="_Toc13276"/>
      <w:r>
        <w:rPr>
          <w:rFonts w:ascii="Times New Roman" w:hAnsi="Times New Roman"/>
          <w:color w:val="auto"/>
          <w:sz w:val="24"/>
          <w:szCs w:val="24"/>
          <w:highlight w:val="none"/>
        </w:rPr>
        <w:t>4.2 投标文件的递交</w:t>
      </w:r>
      <w:bookmarkEnd w:id="260"/>
      <w:bookmarkEnd w:id="26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4.2.1 投标人应在投标人须知前附表规定的投标截止时间前递交投标文件。</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4.2.2 （A）投标人递交投标文件的地点：见投标人须知前附表。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4.2.2 （B）</w:t>
      </w:r>
      <w:r>
        <w:rPr>
          <w:rFonts w:ascii="Times New Roman" w:hAnsi="Times New Roman"/>
          <w:bCs/>
          <w:iCs/>
          <w:color w:val="auto"/>
          <w:sz w:val="24"/>
          <w:szCs w:val="24"/>
          <w:highlight w:val="none"/>
        </w:rPr>
        <w:t>投标人通过下载招标文件的电子招标投标交易平台递交电子投标文件。</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4.2.3 除投标人须知前附表另有规定外，投标人所递交的投标文件不予退还。</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4.2.4 （A）招标人收到投标文件后，向投标人出具签收凭证。</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4.2.4 （B）投标人完成电子投标文件上传后，</w:t>
      </w:r>
      <w:r>
        <w:rPr>
          <w:rFonts w:ascii="Times New Roman" w:hAnsi="Times New Roman"/>
          <w:bCs/>
          <w:iCs/>
          <w:color w:val="auto"/>
          <w:sz w:val="24"/>
          <w:szCs w:val="24"/>
          <w:highlight w:val="none"/>
        </w:rPr>
        <w:t>电子招标投标交易平台</w:t>
      </w:r>
      <w:r>
        <w:rPr>
          <w:rFonts w:ascii="Times New Roman" w:hAnsi="Times New Roman"/>
          <w:color w:val="auto"/>
          <w:sz w:val="24"/>
          <w:szCs w:val="24"/>
          <w:highlight w:val="none"/>
        </w:rPr>
        <w:t>即时向投标人发出递交回执通知。递交时间以递交回执通知载明的传输完成时间为准。</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4.2.5 （A）逾期送达的投标文件，招标人将予以拒收。</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4.2.5 （B）逾期送达的投标文件，电子招标投标交易平台将予以拒收。</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62" w:name="_Toc16752"/>
      <w:bookmarkStart w:id="263" w:name="_Toc89870578"/>
      <w:r>
        <w:rPr>
          <w:rFonts w:ascii="Times New Roman" w:hAnsi="Times New Roman"/>
          <w:color w:val="auto"/>
          <w:sz w:val="24"/>
          <w:szCs w:val="24"/>
          <w:highlight w:val="none"/>
        </w:rPr>
        <w:t>4.3 投标文件的修改与撤回</w:t>
      </w:r>
      <w:bookmarkEnd w:id="262"/>
      <w:bookmarkEnd w:id="26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4.3.1 在本章第4.2.1项规定的投标截止时间前，投标人可以修改或撤回已递交的投标文件，但应以书面形式通知招标人。</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4.3.2 （A）投标人修改或撤回已递交投标文件的书面通知应按照本章第3.7.3（A）项的要求签字或盖章。招标人收到书面通知后，向投标人出具签收凭证。</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4.3.2 （B）投标人修改或撤回已递交投标文件的通知，应按照本章第3.7.3（B）项的要求加盖电子印章。</w:t>
      </w:r>
      <w:r>
        <w:rPr>
          <w:rFonts w:ascii="Times New Roman" w:hAnsi="Times New Roman"/>
          <w:bCs/>
          <w:iCs/>
          <w:color w:val="auto"/>
          <w:sz w:val="24"/>
          <w:szCs w:val="24"/>
          <w:highlight w:val="none"/>
        </w:rPr>
        <w:t>电子招标投标交易平台收到通知后，</w:t>
      </w:r>
      <w:r>
        <w:rPr>
          <w:rFonts w:ascii="Times New Roman" w:hAnsi="Times New Roman"/>
          <w:color w:val="auto"/>
          <w:sz w:val="24"/>
          <w:szCs w:val="24"/>
          <w:highlight w:val="none"/>
        </w:rPr>
        <w:t>即时向投标人发出确认回执通知。</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4.3.3 投标人撤回投标文件的，招标人自收到投标人书面撤回通知之日起5日内退还已收取的投标保证金。</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4.3.</w:t>
      </w:r>
      <w:bookmarkStart w:id="264" w:name="_Toc352691497"/>
      <w:bookmarkStart w:id="265" w:name="_Toc361508610"/>
      <w:bookmarkStart w:id="266" w:name="_Toc300834974"/>
      <w:bookmarkStart w:id="267" w:name="_Toc19203"/>
      <w:bookmarkStart w:id="268" w:name="_Toc369531541"/>
      <w:bookmarkStart w:id="269" w:name="_Toc247513977"/>
      <w:bookmarkStart w:id="270" w:name="_Toc152042329"/>
      <w:bookmarkStart w:id="271" w:name="_Toc384308235"/>
      <w:bookmarkStart w:id="272" w:name="_Toc144974521"/>
      <w:bookmarkStart w:id="273" w:name="_Toc247527578"/>
      <w:bookmarkStart w:id="274" w:name="_Toc152045553"/>
      <w:r>
        <w:rPr>
          <w:rFonts w:ascii="Times New Roman" w:hAnsi="Times New Roman"/>
          <w:color w:val="auto"/>
          <w:sz w:val="24"/>
          <w:szCs w:val="24"/>
          <w:highlight w:val="none"/>
        </w:rPr>
        <w:t>4 修改的内容为投标</w:t>
      </w:r>
      <w:bookmarkEnd w:id="264"/>
      <w:bookmarkEnd w:id="265"/>
      <w:bookmarkEnd w:id="266"/>
      <w:bookmarkEnd w:id="267"/>
      <w:bookmarkEnd w:id="268"/>
      <w:bookmarkEnd w:id="269"/>
      <w:bookmarkEnd w:id="270"/>
      <w:bookmarkEnd w:id="271"/>
      <w:bookmarkEnd w:id="272"/>
      <w:bookmarkEnd w:id="273"/>
      <w:bookmarkEnd w:id="274"/>
      <w:r>
        <w:rPr>
          <w:rFonts w:ascii="Times New Roman" w:hAnsi="Times New Roman"/>
          <w:color w:val="auto"/>
          <w:sz w:val="24"/>
          <w:szCs w:val="24"/>
          <w:highlight w:val="none"/>
        </w:rPr>
        <w:t>文件的组成部分。修改的投标文件应按照本章第3条、第4条的规定进行编制、密封、标记和递交，并标明</w:t>
      </w:r>
      <w:r>
        <w:rPr>
          <w:rFonts w:hint="eastAsia" w:ascii="Times New Roman" w:hAnsi="Times New Roman"/>
          <w:color w:val="auto"/>
          <w:sz w:val="24"/>
          <w:szCs w:val="24"/>
          <w:highlight w:val="none"/>
        </w:rPr>
        <w:t>“修</w:t>
      </w:r>
      <w:r>
        <w:rPr>
          <w:rFonts w:ascii="Times New Roman" w:hAnsi="Times New Roman"/>
          <w:color w:val="auto"/>
          <w:sz w:val="24"/>
          <w:szCs w:val="24"/>
          <w:highlight w:val="none"/>
        </w:rPr>
        <w:t>改</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字样。</w:t>
      </w:r>
    </w:p>
    <w:p>
      <w:pPr>
        <w:pStyle w:val="5"/>
        <w:keepNext w:val="0"/>
        <w:keepLines w:val="0"/>
        <w:spacing w:before="0" w:after="0" w:line="360" w:lineRule="auto"/>
        <w:ind w:firstLine="643" w:firstLineChars="200"/>
        <w:rPr>
          <w:rFonts w:ascii="Times New Roman" w:hAnsi="Times New Roman"/>
          <w:color w:val="auto"/>
          <w:highlight w:val="none"/>
        </w:rPr>
      </w:pPr>
      <w:bookmarkStart w:id="275" w:name="_Toc89870579"/>
      <w:bookmarkStart w:id="276" w:name="_Toc26023"/>
      <w:r>
        <w:rPr>
          <w:rFonts w:ascii="Times New Roman" w:hAnsi="Times New Roman"/>
          <w:color w:val="auto"/>
          <w:highlight w:val="none"/>
        </w:rPr>
        <w:t>5. 开标</w:t>
      </w:r>
      <w:bookmarkEnd w:id="275"/>
      <w:bookmarkEnd w:id="276"/>
    </w:p>
    <w:p>
      <w:pPr>
        <w:pStyle w:val="6"/>
        <w:keepNext w:val="0"/>
        <w:keepLines w:val="0"/>
        <w:spacing w:before="0" w:after="0" w:line="490" w:lineRule="exact"/>
        <w:ind w:firstLine="480" w:firstLineChars="200"/>
        <w:rPr>
          <w:rFonts w:ascii="Times New Roman" w:hAnsi="Times New Roman"/>
          <w:strike/>
          <w:color w:val="auto"/>
          <w:sz w:val="24"/>
          <w:szCs w:val="24"/>
          <w:highlight w:val="none"/>
        </w:rPr>
      </w:pPr>
      <w:bookmarkStart w:id="277" w:name="_Toc29787"/>
      <w:bookmarkStart w:id="278" w:name="_Toc89870580"/>
      <w:r>
        <w:rPr>
          <w:rFonts w:ascii="Times New Roman" w:hAnsi="Times New Roman"/>
          <w:strike/>
          <w:color w:val="auto"/>
          <w:sz w:val="24"/>
          <w:szCs w:val="24"/>
          <w:highlight w:val="none"/>
        </w:rPr>
        <w:t>5.1 开标时间和地点（A）</w:t>
      </w:r>
      <w:bookmarkEnd w:id="277"/>
      <w:bookmarkEnd w:id="278"/>
    </w:p>
    <w:p>
      <w:pPr>
        <w:spacing w:line="490" w:lineRule="exact"/>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招标人在本章第4.2.1项规定的投标截止时间（开标时间）和投标人须知前附表规定的地点公开开标，并邀请所有投标人的法定代表人或其委托代理人准时参加。</w:t>
      </w:r>
    </w:p>
    <w:p>
      <w:pPr>
        <w:pStyle w:val="6"/>
        <w:keepNext w:val="0"/>
        <w:keepLines w:val="0"/>
        <w:spacing w:before="0" w:after="0" w:line="490" w:lineRule="exact"/>
        <w:ind w:firstLine="480" w:firstLineChars="200"/>
        <w:rPr>
          <w:rFonts w:ascii="Times New Roman" w:hAnsi="Times New Roman"/>
          <w:color w:val="auto"/>
          <w:sz w:val="24"/>
          <w:szCs w:val="24"/>
          <w:highlight w:val="none"/>
        </w:rPr>
      </w:pPr>
      <w:bookmarkStart w:id="279" w:name="_Toc89870581"/>
      <w:bookmarkStart w:id="280" w:name="_Toc28583"/>
      <w:r>
        <w:rPr>
          <w:rFonts w:ascii="Times New Roman" w:hAnsi="Times New Roman"/>
          <w:color w:val="auto"/>
          <w:sz w:val="24"/>
          <w:szCs w:val="24"/>
          <w:highlight w:val="none"/>
        </w:rPr>
        <w:t>5.1 开标时间和地点（B）</w:t>
      </w:r>
      <w:bookmarkEnd w:id="279"/>
      <w:bookmarkEnd w:id="280"/>
    </w:p>
    <w:p>
      <w:pPr>
        <w:pStyle w:val="14"/>
        <w:spacing w:line="490" w:lineRule="exact"/>
        <w:rPr>
          <w:color w:val="auto"/>
          <w:highlight w:val="none"/>
        </w:rPr>
      </w:pPr>
      <w:r>
        <w:rPr>
          <w:rFonts w:ascii="Times New Roman" w:hAnsi="Times New Roman"/>
          <w:color w:val="auto"/>
          <w:sz w:val="24"/>
          <w:szCs w:val="24"/>
          <w:highlight w:val="none"/>
        </w:rPr>
        <w:t>招标人在本章第4.2.1项规定的投标截止时间（开标时间）</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通过电子招标投标交易平台公开开标，所有投标人的法定代表人或其委托代理人应当准时参加。如未按规定时间参加的，视为默认其开标结果。</w:t>
      </w:r>
    </w:p>
    <w:p>
      <w:pPr>
        <w:pStyle w:val="6"/>
        <w:keepNext w:val="0"/>
        <w:keepLines w:val="0"/>
        <w:spacing w:before="0" w:after="0" w:line="490" w:lineRule="exact"/>
        <w:ind w:firstLine="480" w:firstLineChars="200"/>
        <w:rPr>
          <w:rFonts w:ascii="Times New Roman" w:hAnsi="Times New Roman"/>
          <w:color w:val="auto"/>
          <w:sz w:val="24"/>
          <w:szCs w:val="24"/>
          <w:highlight w:val="none"/>
        </w:rPr>
      </w:pPr>
      <w:bookmarkStart w:id="281" w:name="_Toc89870582"/>
      <w:bookmarkStart w:id="282" w:name="_Toc31545"/>
      <w:r>
        <w:rPr>
          <w:rFonts w:ascii="Times New Roman" w:hAnsi="Times New Roman"/>
          <w:color w:val="auto"/>
          <w:sz w:val="24"/>
          <w:szCs w:val="24"/>
          <w:highlight w:val="none"/>
        </w:rPr>
        <w:t>5.2 开标程序</w:t>
      </w:r>
      <w:bookmarkEnd w:id="281"/>
      <w:bookmarkEnd w:id="282"/>
    </w:p>
    <w:p>
      <w:pPr>
        <w:spacing w:line="49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主持人按下列程序进行开标：</w:t>
      </w:r>
    </w:p>
    <w:p>
      <w:pPr>
        <w:spacing w:line="49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（1）宣布开标纪律；</w:t>
      </w:r>
    </w:p>
    <w:p>
      <w:pPr>
        <w:spacing w:line="49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（2）公布在投标截止时间前递交投标文件的投标人名称；</w:t>
      </w:r>
    </w:p>
    <w:p>
      <w:pPr>
        <w:spacing w:line="49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（3）宣布</w:t>
      </w:r>
      <w:bookmarkStart w:id="283" w:name="_Toc247513978"/>
      <w:bookmarkStart w:id="284" w:name="_Toc384308236"/>
      <w:bookmarkStart w:id="285" w:name="_Toc247527579"/>
      <w:bookmarkStart w:id="286" w:name="_Toc152042330"/>
      <w:bookmarkStart w:id="287" w:name="_Toc352691498"/>
      <w:bookmarkStart w:id="288" w:name="_Toc152045554"/>
      <w:bookmarkStart w:id="289" w:name="_Toc22119"/>
      <w:bookmarkStart w:id="290" w:name="_Toc144974522"/>
      <w:bookmarkStart w:id="291" w:name="_Toc300834975"/>
      <w:bookmarkStart w:id="292" w:name="_Toc361508611"/>
      <w:bookmarkStart w:id="293" w:name="_Toc369531542"/>
      <w:r>
        <w:rPr>
          <w:rFonts w:ascii="Times New Roman" w:hAnsi="Times New Roman"/>
          <w:color w:val="auto"/>
          <w:sz w:val="24"/>
          <w:szCs w:val="24"/>
          <w:highlight w:val="none"/>
        </w:rPr>
        <w:t>开标人、唱标人、记录人</w:t>
      </w:r>
      <w:bookmarkEnd w:id="283"/>
      <w:bookmarkEnd w:id="284"/>
      <w:bookmarkEnd w:id="285"/>
      <w:bookmarkEnd w:id="286"/>
      <w:bookmarkEnd w:id="287"/>
      <w:bookmarkEnd w:id="288"/>
      <w:bookmarkEnd w:id="289"/>
      <w:bookmarkEnd w:id="290"/>
      <w:bookmarkEnd w:id="291"/>
      <w:bookmarkEnd w:id="292"/>
      <w:bookmarkEnd w:id="293"/>
      <w:r>
        <w:rPr>
          <w:rFonts w:ascii="Times New Roman" w:hAnsi="Times New Roman"/>
          <w:color w:val="auto"/>
          <w:sz w:val="24"/>
          <w:szCs w:val="24"/>
          <w:highlight w:val="none"/>
        </w:rPr>
        <w:t>、监标人等有关人员姓名；</w:t>
      </w:r>
    </w:p>
    <w:p>
      <w:pPr>
        <w:spacing w:line="490" w:lineRule="exact"/>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49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（4）（B）投标人通过电子招标投标交易平台对已递交的电子投标文件进行解密，公布招标项目名称、投标人名称、投标保证金的递交情况、投标报价、监理服务期限及其他内容，并记录在案；</w:t>
      </w:r>
    </w:p>
    <w:p>
      <w:pPr>
        <w:spacing w:line="360" w:lineRule="auto"/>
        <w:ind w:firstLine="480" w:firstLineChars="200"/>
        <w:rPr>
          <w:rFonts w:ascii="Times New Roman" w:hAnsi="Times New Roman"/>
          <w:strike/>
          <w:color w:val="auto"/>
          <w:sz w:val="24"/>
          <w:szCs w:val="24"/>
          <w:highlight w:val="none"/>
        </w:rPr>
      </w:pPr>
      <w:r>
        <w:rPr>
          <w:rFonts w:ascii="Times New Roman" w:hAnsi="Times New Roman"/>
          <w:strike/>
          <w:color w:val="auto"/>
          <w:sz w:val="24"/>
          <w:szCs w:val="24"/>
          <w:highlight w:val="none"/>
        </w:rPr>
        <w:t>（5）（A）投标人代表、招标人代表、监标人、记录人等有关人员在开标记录上签字确认；</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（5）（B）投标人代表、招标人代表、监标人、记录人等有关人员使用本人的电子印章在开标记录上签字确认；</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（6）开标结束。</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94" w:name="_Toc89870583"/>
      <w:bookmarkStart w:id="295" w:name="_Toc17685"/>
      <w:r>
        <w:rPr>
          <w:rFonts w:ascii="Times New Roman" w:hAnsi="Times New Roman"/>
          <w:color w:val="auto"/>
          <w:sz w:val="24"/>
          <w:szCs w:val="24"/>
          <w:highlight w:val="none"/>
        </w:rPr>
        <w:t>5.3 开标异议</w:t>
      </w:r>
      <w:bookmarkEnd w:id="294"/>
      <w:bookmarkEnd w:id="295"/>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投标人对开标有异议的，应当在开标现场提出，招标人当场作出答复，并制作记录。</w:t>
      </w:r>
    </w:p>
    <w:p>
      <w:pPr>
        <w:pStyle w:val="5"/>
        <w:keepNext w:val="0"/>
        <w:keepLines w:val="0"/>
        <w:spacing w:before="0" w:after="0" w:line="360" w:lineRule="auto"/>
        <w:ind w:firstLine="643" w:firstLineChars="200"/>
        <w:rPr>
          <w:rFonts w:ascii="Times New Roman" w:hAnsi="Times New Roman"/>
          <w:color w:val="auto"/>
          <w:highlight w:val="none"/>
        </w:rPr>
      </w:pPr>
      <w:bookmarkStart w:id="296" w:name="_Toc13048"/>
      <w:bookmarkStart w:id="297" w:name="_Toc89870584"/>
      <w:r>
        <w:rPr>
          <w:rFonts w:ascii="Times New Roman" w:hAnsi="Times New Roman"/>
          <w:color w:val="auto"/>
          <w:highlight w:val="none"/>
        </w:rPr>
        <w:t>6. 评标</w:t>
      </w:r>
      <w:bookmarkEnd w:id="296"/>
      <w:bookmarkEnd w:id="297"/>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298" w:name="_Toc89870585"/>
      <w:bookmarkStart w:id="299" w:name="_Toc4950"/>
      <w:r>
        <w:rPr>
          <w:rFonts w:ascii="Times New Roman" w:hAnsi="Times New Roman"/>
          <w:color w:val="auto"/>
          <w:sz w:val="24"/>
          <w:szCs w:val="24"/>
          <w:highlight w:val="none"/>
        </w:rPr>
        <w:t>6.1 评标委员会</w:t>
      </w:r>
      <w:bookmarkEnd w:id="298"/>
      <w:bookmarkEnd w:id="299"/>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6.1.2 评标委员会成员有下列情形之一的，应当回避：</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（1）投标人或投标人主要负责人的近亲属；</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（2）项目主管部门或者行政监督部门的人员；</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（3）与投标人有经济利益关系，可能影响对投标公正评审的；</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（4）曾因在招标、评</w:t>
      </w:r>
      <w:bookmarkStart w:id="300" w:name="_Toc369531543"/>
      <w:bookmarkStart w:id="301" w:name="_Toc152042331"/>
      <w:bookmarkStart w:id="302" w:name="_Toc6230"/>
      <w:bookmarkStart w:id="303" w:name="_Toc352691499"/>
      <w:bookmarkStart w:id="304" w:name="_Toc300834976"/>
      <w:bookmarkStart w:id="305" w:name="_Toc361508612"/>
      <w:bookmarkStart w:id="306" w:name="_Toc152045555"/>
      <w:bookmarkStart w:id="307" w:name="_Toc144974523"/>
      <w:bookmarkStart w:id="308" w:name="_Toc384308237"/>
      <w:bookmarkStart w:id="309" w:name="_Toc247513979"/>
      <w:bookmarkStart w:id="310" w:name="_Toc247527580"/>
      <w:r>
        <w:rPr>
          <w:rFonts w:ascii="Times New Roman" w:hAnsi="Times New Roman"/>
          <w:color w:val="auto"/>
          <w:sz w:val="24"/>
          <w:szCs w:val="24"/>
          <w:highlight w:val="none"/>
        </w:rPr>
        <w:t>标以及其他</w:t>
      </w:r>
      <w:bookmarkEnd w:id="300"/>
      <w:bookmarkEnd w:id="301"/>
      <w:bookmarkEnd w:id="302"/>
      <w:bookmarkEnd w:id="303"/>
      <w:bookmarkEnd w:id="304"/>
      <w:bookmarkEnd w:id="305"/>
      <w:bookmarkEnd w:id="306"/>
      <w:bookmarkEnd w:id="307"/>
      <w:bookmarkEnd w:id="308"/>
      <w:bookmarkEnd w:id="309"/>
      <w:bookmarkEnd w:id="310"/>
      <w:r>
        <w:rPr>
          <w:rFonts w:ascii="Times New Roman" w:hAnsi="Times New Roman"/>
          <w:color w:val="auto"/>
          <w:sz w:val="24"/>
          <w:szCs w:val="24"/>
          <w:highlight w:val="none"/>
        </w:rPr>
        <w:t>与</w:t>
      </w:r>
      <w:bookmarkStart w:id="311" w:name="_Toc247513980"/>
      <w:bookmarkStart w:id="312" w:name="_Toc247527581"/>
      <w:bookmarkStart w:id="313" w:name="_Toc384308238"/>
      <w:bookmarkStart w:id="314" w:name="_Toc152045556"/>
      <w:bookmarkStart w:id="315" w:name="_Toc369531544"/>
      <w:bookmarkStart w:id="316" w:name="_Toc144974524"/>
      <w:bookmarkStart w:id="317" w:name="_Toc352691500"/>
      <w:bookmarkStart w:id="318" w:name="_Toc17703"/>
      <w:bookmarkStart w:id="319" w:name="_Toc300834977"/>
      <w:bookmarkStart w:id="320" w:name="_Toc361508613"/>
      <w:bookmarkStart w:id="321" w:name="_Toc152042332"/>
      <w:r>
        <w:rPr>
          <w:rFonts w:ascii="Times New Roman" w:hAnsi="Times New Roman"/>
          <w:color w:val="auto"/>
          <w:sz w:val="24"/>
          <w:szCs w:val="24"/>
          <w:highlight w:val="none"/>
        </w:rPr>
        <w:t>招标投标有关活动中从事违法行</w:t>
      </w:r>
      <w:bookmarkEnd w:id="311"/>
      <w:bookmarkEnd w:id="312"/>
      <w:bookmarkEnd w:id="313"/>
      <w:bookmarkEnd w:id="314"/>
      <w:bookmarkEnd w:id="315"/>
      <w:bookmarkEnd w:id="316"/>
      <w:bookmarkEnd w:id="317"/>
      <w:bookmarkEnd w:id="318"/>
      <w:bookmarkEnd w:id="319"/>
      <w:bookmarkEnd w:id="320"/>
      <w:bookmarkEnd w:id="321"/>
      <w:r>
        <w:rPr>
          <w:rFonts w:ascii="Times New Roman" w:hAnsi="Times New Roman"/>
          <w:color w:val="auto"/>
          <w:sz w:val="24"/>
          <w:szCs w:val="24"/>
          <w:highlight w:val="none"/>
        </w:rPr>
        <w:t>为而受过行政处罚或刑事处罚的；</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（5）与投标人有其他利害关系。</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22" w:name="_Toc89870586"/>
      <w:bookmarkStart w:id="323" w:name="_Toc3800"/>
      <w:r>
        <w:rPr>
          <w:rFonts w:ascii="Times New Roman" w:hAnsi="Times New Roman"/>
          <w:color w:val="auto"/>
          <w:sz w:val="24"/>
          <w:szCs w:val="24"/>
          <w:highlight w:val="none"/>
        </w:rPr>
        <w:t>6.2 评标原则</w:t>
      </w:r>
      <w:bookmarkEnd w:id="322"/>
      <w:bookmarkEnd w:id="32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评标活动遵循公平、公正、科学和择优的原</w:t>
      </w:r>
      <w:bookmarkStart w:id="324" w:name="_Toc152042333"/>
      <w:bookmarkStart w:id="325" w:name="_Toc247527582"/>
      <w:bookmarkStart w:id="326" w:name="_Toc361508614"/>
      <w:bookmarkStart w:id="327" w:name="_Toc352691501"/>
      <w:bookmarkStart w:id="328" w:name="_Toc369531545"/>
      <w:bookmarkStart w:id="329" w:name="_Toc144974525"/>
      <w:bookmarkStart w:id="330" w:name="_Toc18949"/>
      <w:bookmarkStart w:id="331" w:name="_Toc247513981"/>
      <w:bookmarkStart w:id="332" w:name="_Toc300834978"/>
      <w:bookmarkStart w:id="333" w:name="_Toc384308239"/>
      <w:bookmarkStart w:id="334" w:name="_Toc152045557"/>
      <w:r>
        <w:rPr>
          <w:rFonts w:ascii="Times New Roman" w:hAnsi="Times New Roman"/>
          <w:color w:val="auto"/>
          <w:sz w:val="24"/>
          <w:szCs w:val="24"/>
          <w:highlight w:val="none"/>
        </w:rPr>
        <w:t>则。</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35" w:name="_Toc13935"/>
      <w:bookmarkStart w:id="336" w:name="_Toc89870587"/>
      <w:r>
        <w:rPr>
          <w:rFonts w:ascii="Times New Roman" w:hAnsi="Times New Roman"/>
          <w:color w:val="auto"/>
          <w:sz w:val="24"/>
          <w:szCs w:val="24"/>
          <w:highlight w:val="none"/>
        </w:rPr>
        <w:t>6.3 评标</w:t>
      </w:r>
      <w:bookmarkEnd w:id="335"/>
      <w:bookmarkEnd w:id="336"/>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color w:val="auto"/>
          <w:sz w:val="24"/>
          <w:szCs w:val="24"/>
          <w:highlight w:val="none"/>
        </w:rPr>
        <w:t>.3.1评标委员会按照第三章</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评标办法</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规定的方法、评审因素、标准和程序对投标文件进行评审。第三章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评标办法</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没有规定的方法、评审因素和标准，不作为评标依据。</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6.3.2评标完成后，评标委员会应当向招标人提交书面评标报告和中标候选人名单。评标委员会推荐中标</w:t>
      </w:r>
      <w:bookmarkStart w:id="337" w:name="_Toc300834979"/>
      <w:bookmarkStart w:id="338" w:name="_Toc12259"/>
      <w:bookmarkStart w:id="339" w:name="_Toc384308240"/>
      <w:bookmarkStart w:id="340" w:name="_Toc247513982"/>
      <w:bookmarkStart w:id="341" w:name="_Toc369531546"/>
      <w:bookmarkStart w:id="342" w:name="_Toc361508615"/>
      <w:bookmarkStart w:id="343" w:name="_Toc352691502"/>
      <w:bookmarkStart w:id="344" w:name="_Toc144974526"/>
      <w:bookmarkStart w:id="345" w:name="_Toc152045558"/>
      <w:bookmarkStart w:id="346" w:name="_Toc152042334"/>
      <w:bookmarkStart w:id="347" w:name="_Toc247527583"/>
      <w:r>
        <w:rPr>
          <w:rFonts w:ascii="Times New Roman" w:hAnsi="Times New Roman"/>
          <w:color w:val="auto"/>
          <w:sz w:val="24"/>
          <w:szCs w:val="24"/>
          <w:highlight w:val="none"/>
        </w:rPr>
        <w:t>候选人的人数见投标人须知前附</w:t>
      </w:r>
      <w:bookmarkEnd w:id="337"/>
      <w:bookmarkEnd w:id="338"/>
      <w:bookmarkEnd w:id="339"/>
      <w:bookmarkEnd w:id="340"/>
      <w:bookmarkEnd w:id="341"/>
      <w:bookmarkEnd w:id="342"/>
      <w:bookmarkEnd w:id="343"/>
      <w:bookmarkEnd w:id="344"/>
      <w:bookmarkEnd w:id="345"/>
      <w:bookmarkEnd w:id="346"/>
      <w:bookmarkEnd w:id="347"/>
      <w:r>
        <w:rPr>
          <w:rFonts w:ascii="Times New Roman" w:hAnsi="Times New Roman"/>
          <w:color w:val="auto"/>
          <w:sz w:val="24"/>
          <w:szCs w:val="24"/>
          <w:highlight w:val="none"/>
        </w:rPr>
        <w:t>表。</w:t>
      </w:r>
    </w:p>
    <w:p>
      <w:pPr>
        <w:pStyle w:val="5"/>
        <w:keepNext w:val="0"/>
        <w:keepLines w:val="0"/>
        <w:spacing w:before="0" w:after="0" w:line="360" w:lineRule="auto"/>
        <w:ind w:firstLine="643" w:firstLineChars="200"/>
        <w:rPr>
          <w:rFonts w:ascii="Times New Roman" w:hAnsi="Times New Roman"/>
          <w:color w:val="auto"/>
          <w:highlight w:val="none"/>
        </w:rPr>
      </w:pPr>
      <w:bookmarkStart w:id="348" w:name="_Toc89870588"/>
      <w:bookmarkStart w:id="349" w:name="_Toc24960"/>
      <w:r>
        <w:rPr>
          <w:rFonts w:ascii="Times New Roman" w:hAnsi="Times New Roman"/>
          <w:color w:val="auto"/>
          <w:highlight w:val="none"/>
        </w:rPr>
        <w:t>7. 合同授予</w:t>
      </w:r>
      <w:bookmarkEnd w:id="348"/>
      <w:bookmarkEnd w:id="349"/>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50" w:name="_Toc27199"/>
      <w:bookmarkStart w:id="351" w:name="_Toc89870589"/>
      <w:r>
        <w:rPr>
          <w:rFonts w:ascii="Times New Roman" w:hAnsi="Times New Roman"/>
          <w:color w:val="auto"/>
          <w:sz w:val="24"/>
          <w:szCs w:val="24"/>
          <w:highlight w:val="none"/>
        </w:rPr>
        <w:t>7.1 中标候选人公示</w:t>
      </w:r>
      <w:bookmarkEnd w:id="350"/>
      <w:bookmarkEnd w:id="35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招标人在收到评标报告之日起3日内，按照投标人须知前附表规定的公示媒介和期限公示中标候选人，公示期3天</w:t>
      </w:r>
      <w:r>
        <w:rPr>
          <w:rFonts w:hint="eastAsia" w:ascii="Times New Roman" w:hAnsi="Times New Roman"/>
          <w:color w:val="auto"/>
          <w:sz w:val="24"/>
          <w:szCs w:val="24"/>
          <w:highlight w:val="none"/>
        </w:rPr>
        <w:t>（最后一天为工作日）</w:t>
      </w:r>
      <w:r>
        <w:rPr>
          <w:rFonts w:ascii="Times New Roman" w:hAnsi="Times New Roman"/>
          <w:color w:val="auto"/>
          <w:sz w:val="24"/>
          <w:szCs w:val="24"/>
          <w:highlight w:val="none"/>
        </w:rPr>
        <w:t>。</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52" w:name="_Toc9184"/>
      <w:bookmarkStart w:id="353" w:name="_Toc89870590"/>
      <w:r>
        <w:rPr>
          <w:rFonts w:ascii="Times New Roman" w:hAnsi="Times New Roman"/>
          <w:color w:val="auto"/>
          <w:sz w:val="24"/>
          <w:szCs w:val="24"/>
          <w:highlight w:val="none"/>
        </w:rPr>
        <w:t>7.2 评标结果异议</w:t>
      </w:r>
      <w:bookmarkEnd w:id="352"/>
      <w:bookmarkEnd w:id="353"/>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投标人或者其他利</w:t>
      </w:r>
      <w:bookmarkStart w:id="354" w:name="_Toc369531549"/>
      <w:bookmarkStart w:id="355" w:name="_Toc352691505"/>
      <w:bookmarkStart w:id="356" w:name="_Toc247513985"/>
      <w:bookmarkStart w:id="357" w:name="_Toc300834982"/>
      <w:bookmarkStart w:id="358" w:name="_Toc30095"/>
      <w:bookmarkStart w:id="359" w:name="_Toc247527586"/>
      <w:bookmarkStart w:id="360" w:name="_Toc152045561"/>
      <w:bookmarkStart w:id="361" w:name="_Toc144974529"/>
      <w:bookmarkStart w:id="362" w:name="_Toc152042337"/>
      <w:bookmarkStart w:id="363" w:name="_Toc361508618"/>
      <w:bookmarkStart w:id="364" w:name="_Toc384308243"/>
      <w:r>
        <w:rPr>
          <w:rFonts w:ascii="Times New Roman" w:hAnsi="Times New Roman"/>
          <w:color w:val="auto"/>
          <w:sz w:val="24"/>
          <w:szCs w:val="24"/>
          <w:highlight w:val="none"/>
        </w:rPr>
        <w:t>害关系人对评标结</w:t>
      </w:r>
      <w:bookmarkEnd w:id="354"/>
      <w:bookmarkEnd w:id="355"/>
      <w:bookmarkEnd w:id="356"/>
      <w:bookmarkEnd w:id="357"/>
      <w:bookmarkEnd w:id="358"/>
      <w:bookmarkEnd w:id="359"/>
      <w:bookmarkEnd w:id="360"/>
      <w:bookmarkEnd w:id="361"/>
      <w:bookmarkEnd w:id="362"/>
      <w:bookmarkEnd w:id="363"/>
      <w:bookmarkEnd w:id="364"/>
      <w:r>
        <w:rPr>
          <w:rFonts w:ascii="Times New Roman" w:hAnsi="Times New Roman"/>
          <w:color w:val="auto"/>
          <w:sz w:val="24"/>
          <w:szCs w:val="24"/>
          <w:highlight w:val="none"/>
        </w:rPr>
        <w:t>果有异议的，应当在中标候选人公示期间提出。招标人将在收到异议之日起3日内作出答复；作出答复前，将暂停招标投标活动。</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65" w:name="_Toc89870591"/>
      <w:bookmarkStart w:id="366" w:name="_Toc26195"/>
      <w:r>
        <w:rPr>
          <w:rFonts w:ascii="Times New Roman" w:hAnsi="Times New Roman"/>
          <w:color w:val="auto"/>
          <w:sz w:val="24"/>
          <w:szCs w:val="24"/>
          <w:highlight w:val="none"/>
        </w:rPr>
        <w:t>7.3 中标候选人履约能力审查</w:t>
      </w:r>
      <w:bookmarkEnd w:id="365"/>
      <w:bookmarkEnd w:id="366"/>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67" w:name="_Toc89870592"/>
      <w:bookmarkStart w:id="368" w:name="_Toc20519"/>
      <w:r>
        <w:rPr>
          <w:rFonts w:ascii="Times New Roman" w:hAnsi="Times New Roman"/>
          <w:color w:val="auto"/>
          <w:sz w:val="24"/>
          <w:szCs w:val="24"/>
          <w:highlight w:val="none"/>
        </w:rPr>
        <w:t>7.4 定标</w:t>
      </w:r>
      <w:bookmarkEnd w:id="367"/>
      <w:bookmarkEnd w:id="368"/>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按照投标人须知前附表的规定，招标人或招标人授权的评标委员会依法确定中标人。</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69" w:name="_Toc89870593"/>
      <w:bookmarkStart w:id="370" w:name="_Toc16786"/>
      <w:r>
        <w:rPr>
          <w:rFonts w:ascii="Times New Roman" w:hAnsi="Times New Roman"/>
          <w:color w:val="auto"/>
          <w:sz w:val="24"/>
          <w:szCs w:val="24"/>
          <w:highlight w:val="none"/>
        </w:rPr>
        <w:t>7.5 中标通知</w:t>
      </w:r>
      <w:bookmarkEnd w:id="369"/>
      <w:bookmarkEnd w:id="370"/>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在本章第3.3款规定的投标有效期内，招标人以书面形式向中标人发出中标</w:t>
      </w:r>
      <w:bookmarkStart w:id="371" w:name="_Toc300834983"/>
      <w:bookmarkStart w:id="372" w:name="_Toc352691506"/>
      <w:bookmarkStart w:id="373" w:name="_Toc384308244"/>
      <w:bookmarkStart w:id="374" w:name="_Toc369531550"/>
      <w:bookmarkStart w:id="375" w:name="_Toc5668"/>
      <w:bookmarkStart w:id="376" w:name="_Toc361508619"/>
      <w:r>
        <w:rPr>
          <w:rFonts w:ascii="Times New Roman" w:hAnsi="Times New Roman"/>
          <w:color w:val="auto"/>
          <w:sz w:val="24"/>
          <w:szCs w:val="24"/>
          <w:highlight w:val="none"/>
        </w:rPr>
        <w:t>通知书，同时将中</w:t>
      </w:r>
      <w:bookmarkEnd w:id="371"/>
      <w:bookmarkEnd w:id="372"/>
      <w:bookmarkEnd w:id="373"/>
      <w:bookmarkEnd w:id="374"/>
      <w:bookmarkEnd w:id="375"/>
      <w:bookmarkEnd w:id="376"/>
      <w:r>
        <w:rPr>
          <w:rFonts w:ascii="Times New Roman" w:hAnsi="Times New Roman"/>
          <w:color w:val="auto"/>
          <w:sz w:val="24"/>
          <w:szCs w:val="24"/>
          <w:highlight w:val="none"/>
        </w:rPr>
        <w:t>标结果通知未中标的投标人。</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77" w:name="_Toc22862"/>
      <w:bookmarkStart w:id="378" w:name="_Toc89870594"/>
      <w:r>
        <w:rPr>
          <w:rFonts w:ascii="Times New Roman" w:hAnsi="Times New Roman"/>
          <w:color w:val="auto"/>
          <w:sz w:val="24"/>
          <w:szCs w:val="24"/>
          <w:highlight w:val="none"/>
        </w:rPr>
        <w:t>7.6 履约保证金</w:t>
      </w:r>
      <w:bookmarkEnd w:id="377"/>
      <w:bookmarkEnd w:id="378"/>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7.6.1 </w:t>
      </w:r>
      <w:r>
        <w:rPr>
          <w:rFonts w:hint="eastAsia" w:ascii="Times New Roman" w:hAnsi="Times New Roman"/>
          <w:color w:val="auto"/>
          <w:sz w:val="24"/>
          <w:szCs w:val="24"/>
          <w:highlight w:val="none"/>
        </w:rPr>
        <w:t>在签订合同前，</w:t>
      </w:r>
      <w:r>
        <w:rPr>
          <w:rFonts w:ascii="Times New Roman" w:hAnsi="Times New Roman"/>
          <w:color w:val="auto"/>
          <w:sz w:val="24"/>
          <w:szCs w:val="24"/>
          <w:highlight w:val="none"/>
        </w:rPr>
        <w:t>中标人应按投标人须知前附表规定的形式、金额和招标文件第四章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合同条款及格式</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Times New Roman" w:hAnsi="Times New Roman"/>
          <w:color w:val="auto"/>
          <w:szCs w:val="21"/>
          <w:highlight w:val="none"/>
        </w:rPr>
      </w:pPr>
      <w:r>
        <w:rPr>
          <w:rFonts w:ascii="Times New Roman" w:hAnsi="Times New Roman"/>
          <w:color w:val="auto"/>
          <w:sz w:val="24"/>
          <w:szCs w:val="24"/>
          <w:highlight w:val="none"/>
        </w:rPr>
        <w:t>7.6.2 中标人不能按本章第7.6.1项要求提交履约保证金的，视为放弃中标，其投标保证金不予退还，给招标人造成的损失超过投标保证金数额的，中标人还应当对超过部分予以赔偿。</w:t>
      </w:r>
    </w:p>
    <w:p>
      <w:pPr>
        <w:pStyle w:val="6"/>
        <w:keepNext w:val="0"/>
        <w:keepLines w:val="0"/>
        <w:spacing w:before="0" w:after="0" w:line="360" w:lineRule="auto"/>
        <w:ind w:firstLine="480" w:firstLineChars="200"/>
        <w:rPr>
          <w:rFonts w:ascii="Times New Roman" w:hAnsi="Times New Roman"/>
          <w:color w:val="auto"/>
          <w:sz w:val="24"/>
          <w:szCs w:val="24"/>
          <w:highlight w:val="none"/>
        </w:rPr>
      </w:pPr>
      <w:bookmarkStart w:id="379" w:name="_Toc9236"/>
      <w:bookmarkStart w:id="380" w:name="_Toc89870595"/>
      <w:r>
        <w:rPr>
          <w:rFonts w:ascii="Times New Roman" w:hAnsi="Times New Roman"/>
          <w:color w:val="auto"/>
          <w:sz w:val="24"/>
          <w:szCs w:val="24"/>
          <w:highlight w:val="none"/>
        </w:rPr>
        <w:t>7.7 签订合同</w:t>
      </w:r>
      <w:bookmarkEnd w:id="379"/>
      <w:bookmarkEnd w:id="380"/>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7.7.1 招标人和中标人应当在中标通知书发出之日起30日内，根据招标文件和中标人的投标文件订立书面合同。中标人</w:t>
      </w:r>
      <w:r>
        <w:rPr>
          <w:color w:val="auto"/>
          <w:sz w:val="24"/>
          <w:szCs w:val="24"/>
          <w:highlight w:val="none"/>
        </w:rPr>
        <w:t>无正当理由</w:t>
      </w:r>
      <w:r>
        <w:rPr>
          <w:rFonts w:hint="eastAsia"/>
          <w:color w:val="auto"/>
          <w:sz w:val="24"/>
          <w:szCs w:val="24"/>
          <w:highlight w:val="none"/>
        </w:rPr>
        <w:t>拒签</w:t>
      </w:r>
      <w:r>
        <w:rPr>
          <w:color w:val="auto"/>
          <w:sz w:val="24"/>
          <w:szCs w:val="24"/>
          <w:highlight w:val="none"/>
        </w:rPr>
        <w:t>合同，在签订合同时向招标人提出附加条件，或者不按照招标文件要求提交履约保证金的</w:t>
      </w:r>
      <w:r>
        <w:rPr>
          <w:rFonts w:ascii="Times New Roman" w:hAnsi="Times New Roman"/>
          <w:color w:val="auto"/>
          <w:sz w:val="24"/>
          <w:szCs w:val="24"/>
          <w:highlight w:val="none"/>
        </w:rPr>
        <w:t>，招标人有权取消其中标资格，其投标保证金不予退还；给招标人造成的损失超过投标保证金数额的，中标人还应当对超过部分予以赔偿。</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7.7.2 发出中标通知书后，招标人无正当理由拒签合同，或者</w:t>
      </w:r>
      <w:r>
        <w:rPr>
          <w:color w:val="auto"/>
          <w:sz w:val="24"/>
          <w:szCs w:val="24"/>
          <w:highlight w:val="none"/>
        </w:rPr>
        <w:t>在签订合同时</w:t>
      </w:r>
      <w:r>
        <w:rPr>
          <w:rFonts w:hint="eastAsia"/>
          <w:color w:val="auto"/>
          <w:sz w:val="24"/>
          <w:szCs w:val="24"/>
          <w:highlight w:val="none"/>
        </w:rPr>
        <w:t>向中标人</w:t>
      </w:r>
      <w:r>
        <w:rPr>
          <w:rFonts w:ascii="Times New Roman" w:hAnsi="Times New Roman"/>
          <w:color w:val="auto"/>
          <w:sz w:val="24"/>
          <w:szCs w:val="24"/>
          <w:highlight w:val="none"/>
        </w:rPr>
        <w:t>提出附加条件的，招标人向中标人退还投标保证金；给中标人造成损失的，还应当赔偿损失。</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7.7.3 联合体中标的，联合体各方应当共同与招标人签订合同，就中标项目向招标人承担连带责任。</w:t>
      </w:r>
    </w:p>
    <w:p>
      <w:pPr>
        <w:pStyle w:val="5"/>
        <w:keepNext w:val="0"/>
        <w:keepLines w:val="0"/>
        <w:spacing w:before="0" w:after="0" w:line="460" w:lineRule="exact"/>
        <w:ind w:firstLine="643" w:firstLineChars="200"/>
        <w:rPr>
          <w:rFonts w:ascii="Times New Roman" w:hAnsi="Times New Roman"/>
          <w:color w:val="auto"/>
          <w:highlight w:val="none"/>
        </w:rPr>
      </w:pPr>
      <w:bookmarkStart w:id="381" w:name="_Toc384308252"/>
      <w:bookmarkStart w:id="382" w:name="_Toc361508627"/>
      <w:bookmarkStart w:id="383" w:name="_Toc24067"/>
      <w:bookmarkStart w:id="384" w:name="_Toc19459"/>
      <w:bookmarkStart w:id="385" w:name="_Toc89870596"/>
      <w:bookmarkStart w:id="386" w:name="_Toc300834991"/>
      <w:bookmarkStart w:id="387" w:name="_Toc144974536"/>
      <w:bookmarkStart w:id="388" w:name="_Toc152045568"/>
      <w:bookmarkStart w:id="389" w:name="_Toc247527593"/>
      <w:bookmarkStart w:id="390" w:name="_Toc152042344"/>
      <w:bookmarkStart w:id="391" w:name="_Toc247513992"/>
      <w:r>
        <w:rPr>
          <w:rFonts w:ascii="Times New Roman" w:hAnsi="Times New Roman"/>
          <w:color w:val="auto"/>
          <w:highlight w:val="none"/>
        </w:rPr>
        <w:t>8.</w:t>
      </w:r>
      <w:bookmarkEnd w:id="381"/>
      <w:bookmarkEnd w:id="382"/>
      <w:bookmarkEnd w:id="383"/>
      <w:r>
        <w:rPr>
          <w:rFonts w:ascii="Times New Roman" w:hAnsi="Times New Roman"/>
          <w:color w:val="auto"/>
          <w:highlight w:val="none"/>
        </w:rPr>
        <w:t>纪律和监督</w:t>
      </w:r>
      <w:bookmarkEnd w:id="384"/>
      <w:bookmarkEnd w:id="385"/>
    </w:p>
    <w:p>
      <w:pPr>
        <w:pStyle w:val="6"/>
        <w:keepNext w:val="0"/>
        <w:keepLines w:val="0"/>
        <w:spacing w:before="0" w:after="0" w:line="460" w:lineRule="exact"/>
        <w:ind w:firstLine="480" w:firstLineChars="200"/>
        <w:rPr>
          <w:rFonts w:ascii="Times New Roman" w:hAnsi="Times New Roman"/>
          <w:color w:val="auto"/>
          <w:sz w:val="24"/>
          <w:szCs w:val="24"/>
          <w:highlight w:val="none"/>
        </w:rPr>
      </w:pPr>
      <w:bookmarkStart w:id="392" w:name="_Toc89870597"/>
      <w:bookmarkStart w:id="393" w:name="_Toc16607"/>
      <w:r>
        <w:rPr>
          <w:rFonts w:ascii="Times New Roman" w:hAnsi="Times New Roman"/>
          <w:color w:val="auto"/>
          <w:sz w:val="24"/>
          <w:szCs w:val="24"/>
          <w:highlight w:val="none"/>
        </w:rPr>
        <w:t>8.1 对招标人的纪律要求</w:t>
      </w:r>
      <w:bookmarkEnd w:id="392"/>
      <w:bookmarkEnd w:id="393"/>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招标人不得泄露招标投标活动中应当保密的情况和资料，不得与投标人串通损害国家利益、社会公共利益或者他人合法权益。</w:t>
      </w:r>
    </w:p>
    <w:p>
      <w:pPr>
        <w:pStyle w:val="6"/>
        <w:keepNext w:val="0"/>
        <w:keepLines w:val="0"/>
        <w:spacing w:before="0" w:after="0" w:line="460" w:lineRule="exact"/>
        <w:ind w:firstLine="480" w:firstLineChars="200"/>
        <w:rPr>
          <w:rFonts w:ascii="Times New Roman" w:hAnsi="Times New Roman"/>
          <w:color w:val="auto"/>
          <w:sz w:val="24"/>
          <w:szCs w:val="24"/>
          <w:highlight w:val="none"/>
        </w:rPr>
      </w:pPr>
      <w:bookmarkStart w:id="394" w:name="_Toc7775"/>
      <w:bookmarkStart w:id="395" w:name="_Toc89870598"/>
      <w:r>
        <w:rPr>
          <w:rFonts w:ascii="Times New Roman" w:hAnsi="Times New Roman"/>
          <w:color w:val="auto"/>
          <w:sz w:val="24"/>
          <w:szCs w:val="24"/>
          <w:highlight w:val="none"/>
        </w:rPr>
        <w:t>8.2 对投标人的纪律要求</w:t>
      </w:r>
      <w:bookmarkEnd w:id="394"/>
      <w:bookmarkEnd w:id="395"/>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spacing w:before="0" w:after="0" w:line="460" w:lineRule="exact"/>
        <w:ind w:firstLine="480" w:firstLineChars="200"/>
        <w:rPr>
          <w:rFonts w:ascii="Times New Roman" w:hAnsi="Times New Roman"/>
          <w:color w:val="auto"/>
          <w:sz w:val="24"/>
          <w:szCs w:val="24"/>
          <w:highlight w:val="none"/>
        </w:rPr>
      </w:pPr>
      <w:bookmarkStart w:id="396" w:name="_Toc89870599"/>
      <w:bookmarkStart w:id="397" w:name="_Toc31006"/>
      <w:r>
        <w:rPr>
          <w:rFonts w:ascii="Times New Roman" w:hAnsi="Times New Roman"/>
          <w:color w:val="auto"/>
          <w:sz w:val="24"/>
          <w:szCs w:val="24"/>
          <w:highlight w:val="none"/>
        </w:rPr>
        <w:t>8.3 对评标委员会成员的纪律要求</w:t>
      </w:r>
      <w:bookmarkEnd w:id="396"/>
      <w:bookmarkEnd w:id="397"/>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评标委员会成员不得收受他人的财物或者其他好处，不得向他人透露对投标文件的评审</w:t>
      </w:r>
      <w:bookmarkStart w:id="398" w:name="_Toc352691515"/>
      <w:bookmarkStart w:id="399" w:name="_Toc361508628"/>
      <w:bookmarkStart w:id="400" w:name="_Toc13644"/>
      <w:bookmarkStart w:id="401" w:name="_Toc384308253"/>
      <w:bookmarkStart w:id="402" w:name="_Toc369531559"/>
      <w:r>
        <w:rPr>
          <w:rFonts w:ascii="Times New Roman" w:hAnsi="Times New Roman"/>
          <w:color w:val="auto"/>
          <w:sz w:val="24"/>
          <w:szCs w:val="24"/>
          <w:highlight w:val="none"/>
        </w:rPr>
        <w:t>和比较、中标候选人</w:t>
      </w:r>
      <w:bookmarkEnd w:id="386"/>
      <w:bookmarkEnd w:id="387"/>
      <w:bookmarkEnd w:id="388"/>
      <w:bookmarkEnd w:id="389"/>
      <w:bookmarkEnd w:id="390"/>
      <w:bookmarkEnd w:id="391"/>
      <w:bookmarkEnd w:id="398"/>
      <w:bookmarkEnd w:id="399"/>
      <w:bookmarkEnd w:id="400"/>
      <w:bookmarkEnd w:id="401"/>
      <w:bookmarkEnd w:id="402"/>
      <w:r>
        <w:rPr>
          <w:rFonts w:ascii="Times New Roman" w:hAnsi="Times New Roman"/>
          <w:color w:val="auto"/>
          <w:sz w:val="24"/>
          <w:szCs w:val="24"/>
          <w:highlight w:val="none"/>
        </w:rPr>
        <w:t>的推荐情况以及评标有关的其他情况。在评标活动中，评标委员会成员应当客观、公正地履行职责，遵守职业道德，不得擅离职守，影响评标程序正常进行，不得使用第三章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评标办法</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没有规定的评审因素和标准进行评标。</w:t>
      </w:r>
    </w:p>
    <w:p>
      <w:pPr>
        <w:pStyle w:val="6"/>
        <w:keepNext w:val="0"/>
        <w:keepLines w:val="0"/>
        <w:spacing w:before="0" w:after="0" w:line="460" w:lineRule="exact"/>
        <w:ind w:firstLine="480" w:firstLineChars="200"/>
        <w:rPr>
          <w:rFonts w:ascii="Times New Roman" w:hAnsi="Times New Roman"/>
          <w:color w:val="auto"/>
          <w:sz w:val="24"/>
          <w:szCs w:val="24"/>
          <w:highlight w:val="none"/>
        </w:rPr>
      </w:pPr>
      <w:bookmarkStart w:id="403" w:name="_Toc11224"/>
      <w:bookmarkStart w:id="404" w:name="_Toc89870600"/>
      <w:r>
        <w:rPr>
          <w:rFonts w:ascii="Times New Roman" w:hAnsi="Times New Roman"/>
          <w:color w:val="auto"/>
          <w:sz w:val="24"/>
          <w:szCs w:val="24"/>
          <w:highlight w:val="none"/>
        </w:rPr>
        <w:t>8.4 对与评标活动有关的工作人员的纪律要求</w:t>
      </w:r>
      <w:bookmarkEnd w:id="403"/>
      <w:bookmarkEnd w:id="404"/>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与评标活动有关的工作人员不得收受他人的财物或者其他好处，不得向他人透露对投标文件</w:t>
      </w:r>
      <w:bookmarkStart w:id="405" w:name="_Toc247513993"/>
      <w:bookmarkStart w:id="406" w:name="_Toc361508629"/>
      <w:bookmarkStart w:id="407" w:name="_Toc384308254"/>
      <w:bookmarkStart w:id="408" w:name="_Toc152042345"/>
      <w:bookmarkStart w:id="409" w:name="_Toc247527594"/>
      <w:bookmarkStart w:id="410" w:name="_Toc152045569"/>
      <w:bookmarkStart w:id="411" w:name="_Toc352691516"/>
      <w:bookmarkStart w:id="412" w:name="_Toc300834992"/>
      <w:bookmarkStart w:id="413" w:name="_Toc144974537"/>
      <w:bookmarkStart w:id="414" w:name="_Toc19429"/>
      <w:bookmarkStart w:id="415" w:name="_Toc369531560"/>
      <w:r>
        <w:rPr>
          <w:rFonts w:ascii="Times New Roman" w:hAnsi="Times New Roman"/>
          <w:color w:val="auto"/>
          <w:sz w:val="24"/>
          <w:szCs w:val="24"/>
          <w:highlight w:val="none"/>
        </w:rPr>
        <w:t>的评审和比较、中标</w:t>
      </w:r>
      <w:bookmarkEnd w:id="405"/>
      <w:bookmarkEnd w:id="406"/>
      <w:bookmarkEnd w:id="407"/>
      <w:bookmarkEnd w:id="408"/>
      <w:bookmarkEnd w:id="409"/>
      <w:bookmarkEnd w:id="410"/>
      <w:bookmarkEnd w:id="411"/>
      <w:bookmarkEnd w:id="412"/>
      <w:bookmarkEnd w:id="413"/>
      <w:bookmarkEnd w:id="414"/>
      <w:bookmarkEnd w:id="415"/>
      <w:r>
        <w:rPr>
          <w:rFonts w:ascii="Times New Roman" w:hAnsi="Times New Roman"/>
          <w:color w:val="auto"/>
          <w:sz w:val="24"/>
          <w:szCs w:val="24"/>
          <w:highlight w:val="none"/>
        </w:rPr>
        <w:t>候选人的推荐情况以及评标有关的其他情况。在评标活动中，与评标活动有关的工作人员不得擅离职守，影响评标程序正常进行。</w:t>
      </w:r>
    </w:p>
    <w:p>
      <w:pPr>
        <w:pStyle w:val="6"/>
        <w:keepNext w:val="0"/>
        <w:keepLines w:val="0"/>
        <w:spacing w:before="0" w:after="0" w:line="460" w:lineRule="exact"/>
        <w:ind w:firstLine="480" w:firstLineChars="200"/>
        <w:rPr>
          <w:rFonts w:ascii="Times New Roman" w:hAnsi="Times New Roman"/>
          <w:color w:val="auto"/>
          <w:sz w:val="24"/>
          <w:szCs w:val="24"/>
          <w:highlight w:val="none"/>
        </w:rPr>
      </w:pPr>
      <w:bookmarkStart w:id="416" w:name="_Toc89870601"/>
      <w:bookmarkStart w:id="417" w:name="_Toc24952"/>
      <w:r>
        <w:rPr>
          <w:rFonts w:ascii="Times New Roman" w:hAnsi="Times New Roman"/>
          <w:color w:val="auto"/>
          <w:sz w:val="24"/>
          <w:szCs w:val="24"/>
          <w:highlight w:val="none"/>
        </w:rPr>
        <w:t>8.5 投诉</w:t>
      </w:r>
      <w:bookmarkEnd w:id="416"/>
      <w:bookmarkEnd w:id="417"/>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w:t>
      </w:r>
      <w:bookmarkStart w:id="418" w:name="_Toc12776"/>
      <w:bookmarkStart w:id="419" w:name="_Toc300834993"/>
      <w:bookmarkStart w:id="420" w:name="_Toc384308255"/>
      <w:bookmarkStart w:id="421" w:name="_Toc247513994"/>
      <w:bookmarkStart w:id="422" w:name="_Toc144974538"/>
      <w:bookmarkStart w:id="423" w:name="_Toc361508630"/>
      <w:bookmarkStart w:id="424" w:name="_Toc247527595"/>
      <w:bookmarkStart w:id="425" w:name="_Toc152045570"/>
      <w:bookmarkStart w:id="426" w:name="_Toc152042346"/>
      <w:bookmarkStart w:id="427" w:name="_Toc369531561"/>
      <w:bookmarkStart w:id="428" w:name="_Toc352691517"/>
      <w:r>
        <w:rPr>
          <w:rFonts w:ascii="Times New Roman" w:hAnsi="Times New Roman"/>
          <w:color w:val="auto"/>
          <w:sz w:val="24"/>
          <w:szCs w:val="24"/>
          <w:highlight w:val="none"/>
        </w:rPr>
        <w:t>不计算在第8.5.</w:t>
      </w:r>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color w:val="auto"/>
          <w:sz w:val="24"/>
          <w:szCs w:val="24"/>
          <w:highlight w:val="none"/>
        </w:rPr>
        <w:t>1项规定的期限内。</w:t>
      </w:r>
    </w:p>
    <w:p>
      <w:pPr>
        <w:pStyle w:val="5"/>
        <w:keepNext w:val="0"/>
        <w:keepLines w:val="0"/>
        <w:spacing w:before="0" w:after="120" w:afterLines="50" w:line="460" w:lineRule="exact"/>
        <w:ind w:firstLine="643" w:firstLineChars="200"/>
        <w:rPr>
          <w:rFonts w:ascii="Times New Roman" w:hAnsi="Times New Roman"/>
          <w:color w:val="auto"/>
          <w:highlight w:val="none"/>
        </w:rPr>
      </w:pPr>
      <w:bookmarkStart w:id="429" w:name="_Toc89870602"/>
      <w:bookmarkStart w:id="430" w:name="_Toc477134992"/>
      <w:bookmarkStart w:id="431" w:name="_Toc21279"/>
      <w:r>
        <w:rPr>
          <w:rFonts w:ascii="Times New Roman" w:hAnsi="Times New Roman"/>
          <w:color w:val="auto"/>
          <w:highlight w:val="none"/>
        </w:rPr>
        <w:t>9. 是否采用电子招标投标</w:t>
      </w:r>
      <w:bookmarkEnd w:id="429"/>
      <w:bookmarkEnd w:id="430"/>
      <w:bookmarkEnd w:id="43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本招标项目是否采用电子招标投标方式，见投标人须知前附表。</w:t>
      </w:r>
    </w:p>
    <w:p>
      <w:pPr>
        <w:pStyle w:val="5"/>
        <w:keepNext w:val="0"/>
        <w:keepLines w:val="0"/>
        <w:spacing w:before="0" w:after="0" w:line="460" w:lineRule="exact"/>
        <w:ind w:firstLine="643" w:firstLineChars="200"/>
        <w:rPr>
          <w:rFonts w:ascii="Times New Roman" w:hAnsi="Times New Roman"/>
          <w:color w:val="auto"/>
          <w:highlight w:val="none"/>
        </w:rPr>
      </w:pPr>
      <w:bookmarkStart w:id="432" w:name="_Toc4810"/>
      <w:bookmarkStart w:id="433" w:name="_Toc89870603"/>
      <w:r>
        <w:rPr>
          <w:rFonts w:ascii="Times New Roman" w:hAnsi="Times New Roman"/>
          <w:color w:val="auto"/>
          <w:highlight w:val="none"/>
        </w:rPr>
        <w:t>10. 需要补充的其他内容</w:t>
      </w:r>
      <w:bookmarkEnd w:id="432"/>
      <w:bookmarkEnd w:id="433"/>
    </w:p>
    <w:bookmarkEnd w:id="90"/>
    <w:bookmarkEnd w:id="91"/>
    <w:bookmarkEnd w:id="92"/>
    <w:bookmarkEnd w:id="93"/>
    <w:p>
      <w:pPr>
        <w:spacing w:line="360" w:lineRule="auto"/>
        <w:ind w:firstLine="480" w:firstLineChars="200"/>
        <w:rPr>
          <w:rFonts w:ascii="Times New Roman" w:hAnsi="Times New Roman"/>
          <w:color w:val="auto"/>
          <w:sz w:val="24"/>
          <w:szCs w:val="24"/>
          <w:highlight w:val="none"/>
        </w:rPr>
      </w:pPr>
      <w:r>
        <w:rPr>
          <w:rFonts w:hint="default" w:ascii="Times New Roman" w:hAnsi="Times New Roman"/>
          <w:color w:val="auto"/>
          <w:sz w:val="24"/>
          <w:szCs w:val="24"/>
          <w:highlight w:val="none"/>
        </w:rPr>
        <w:t>需要补充的其他内容：见投标人须知前附表。</w:t>
      </w:r>
    </w:p>
    <w:p>
      <w:pPr>
        <w:ind w:firstLine="420" w:firstLineChars="200"/>
        <w:rPr>
          <w:rFonts w:ascii="Times New Roman" w:hAnsi="Times New Roman"/>
          <w:color w:val="auto"/>
          <w:highlight w:val="none"/>
        </w:rPr>
      </w:pPr>
    </w:p>
    <w:p>
      <w:pPr>
        <w:rPr>
          <w:rFonts w:ascii="Times New Roman" w:hAnsi="Times New Roman"/>
          <w:color w:val="auto"/>
          <w:highlight w:val="none"/>
        </w:rPr>
      </w:pPr>
      <w:bookmarkStart w:id="434" w:name="_Toc89870604"/>
      <w:bookmarkStart w:id="435" w:name="_Toc527028503"/>
      <w:r>
        <w:rPr>
          <w:rFonts w:ascii="Times New Roman" w:hAnsi="Times New Roman"/>
          <w:color w:val="auto"/>
          <w:highlight w:val="none"/>
        </w:rPr>
        <w:br w:type="page"/>
      </w:r>
    </w:p>
    <w:p>
      <w:pPr>
        <w:pStyle w:val="6"/>
        <w:keepNext w:val="0"/>
        <w:keepLines w:val="0"/>
        <w:spacing w:before="0" w:after="0"/>
        <w:ind w:firstLine="560" w:firstLineChars="200"/>
        <w:rPr>
          <w:rFonts w:ascii="Times New Roman" w:hAnsi="Times New Roman"/>
          <w:color w:val="auto"/>
          <w:highlight w:val="none"/>
        </w:rPr>
      </w:pPr>
      <w:r>
        <w:rPr>
          <w:rFonts w:ascii="Times New Roman" w:hAnsi="Times New Roman"/>
          <w:color w:val="auto"/>
          <w:highlight w:val="none"/>
        </w:rPr>
        <w:t>附件一：开标记录表</w:t>
      </w:r>
      <w:bookmarkEnd w:id="434"/>
      <w:bookmarkEnd w:id="435"/>
    </w:p>
    <w:p>
      <w:pPr>
        <w:spacing w:line="440" w:lineRule="exact"/>
        <w:ind w:firstLine="560" w:firstLineChars="200"/>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开标时间：</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ascii="Times New Roman" w:hAnsi="Times New Roman"/>
          <w:color w:val="auto"/>
          <w:highlight w:val="none"/>
        </w:rPr>
        <w:t>分</w:t>
      </w:r>
    </w:p>
    <w:tbl>
      <w:tblPr>
        <w:tblStyle w:val="23"/>
        <w:tblW w:w="8850" w:type="dxa"/>
        <w:tblInd w:w="0" w:type="dxa"/>
        <w:tblLayout w:type="fixed"/>
        <w:tblCellMar>
          <w:top w:w="0" w:type="dxa"/>
          <w:left w:w="108" w:type="dxa"/>
          <w:bottom w:w="0" w:type="dxa"/>
          <w:right w:w="108" w:type="dxa"/>
        </w:tblCellMar>
      </w:tblPr>
      <w:tblGrid>
        <w:gridCol w:w="494"/>
        <w:gridCol w:w="777"/>
        <w:gridCol w:w="756"/>
        <w:gridCol w:w="816"/>
        <w:gridCol w:w="913"/>
        <w:gridCol w:w="933"/>
        <w:gridCol w:w="793"/>
        <w:gridCol w:w="885"/>
        <w:gridCol w:w="915"/>
        <w:gridCol w:w="653"/>
        <w:gridCol w:w="915"/>
      </w:tblGrid>
      <w:tr>
        <w:tblPrEx>
          <w:tblCellMar>
            <w:top w:w="0" w:type="dxa"/>
            <w:left w:w="108" w:type="dxa"/>
            <w:bottom w:w="0" w:type="dxa"/>
            <w:right w:w="108" w:type="dxa"/>
          </w:tblCellMar>
        </w:tblPrEx>
        <w:trPr>
          <w:trHeight w:val="1019" w:hRule="atLeast"/>
        </w:trPr>
        <w:tc>
          <w:tcPr>
            <w:tcW w:w="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200"/>
              <w:jc w:val="center"/>
              <w:rPr>
                <w:rFonts w:ascii="Times New Roman" w:hAnsi="Times New Roman"/>
                <w:color w:val="auto"/>
                <w:sz w:val="18"/>
                <w:highlight w:val="none"/>
              </w:rPr>
            </w:pPr>
            <w:r>
              <w:rPr>
                <w:rFonts w:ascii="Times New Roman" w:hAnsi="Times New Roman"/>
                <w:color w:val="auto"/>
                <w:sz w:val="18"/>
                <w:highlight w:val="none"/>
              </w:rPr>
              <w:t>序</w:t>
            </w:r>
            <w:r>
              <w:rPr>
                <w:rFonts w:hint="eastAsia" w:ascii="Times New Roman" w:hAnsi="Times New Roman"/>
                <w:color w:val="auto"/>
                <w:sz w:val="18"/>
                <w:highlight w:val="none"/>
              </w:rPr>
              <w:t>序</w:t>
            </w:r>
            <w:r>
              <w:rPr>
                <w:rFonts w:ascii="Times New Roman" w:hAnsi="Times New Roman"/>
                <w:color w:val="auto"/>
                <w:sz w:val="18"/>
                <w:highlight w:val="none"/>
              </w:rPr>
              <w:t>号</w:t>
            </w:r>
          </w:p>
        </w:tc>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投标人</w:t>
            </w:r>
          </w:p>
        </w:tc>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密封情况</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投标保证金</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投标报价（万元）</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总监理工程师</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监理服务期限</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投标文件递交情况</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投标文件解密情况</w:t>
            </w: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备注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ascii="Times New Roman" w:hAnsi="Times New Roman"/>
                <w:color w:val="auto"/>
                <w:sz w:val="18"/>
                <w:highlight w:val="none"/>
              </w:rPr>
              <w:t>投标人代表签名</w:t>
            </w: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16"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bookmarkStart w:id="436" w:name="_Toc17638"/>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p>
        </w:tc>
      </w:tr>
      <w:bookmarkEnd w:id="436"/>
      <w:tr>
        <w:tblPrEx>
          <w:tblCellMar>
            <w:top w:w="0" w:type="dxa"/>
            <w:left w:w="108" w:type="dxa"/>
            <w:bottom w:w="0" w:type="dxa"/>
            <w:right w:w="108" w:type="dxa"/>
          </w:tblCellMar>
        </w:tblPrEx>
        <w:trPr>
          <w:trHeight w:val="517" w:hRule="atLeast"/>
        </w:trPr>
        <w:tc>
          <w:tcPr>
            <w:tcW w:w="8850" w:type="dxa"/>
            <w:gridSpan w:val="11"/>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highlight w:val="none"/>
              </w:rPr>
            </w:pPr>
            <w:r>
              <w:rPr>
                <w:rFonts w:ascii="Times New Roman" w:hAnsi="Times New Roman"/>
                <w:color w:val="auto"/>
                <w:highlight w:val="none"/>
              </w:rPr>
              <w:t>最高投标限价：</w:t>
            </w:r>
          </w:p>
        </w:tc>
      </w:tr>
    </w:tbl>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p>
      <w:pPr>
        <w:spacing w:line="620" w:lineRule="exact"/>
        <w:ind w:firstLine="420" w:firstLineChars="200"/>
        <w:rPr>
          <w:rFonts w:ascii="Times New Roman" w:hAnsi="Times New Roman"/>
          <w:color w:val="auto"/>
          <w:highlight w:val="none"/>
        </w:rPr>
      </w:pPr>
      <w:r>
        <w:rPr>
          <w:rFonts w:ascii="Times New Roman" w:hAnsi="Times New Roman"/>
          <w:color w:val="auto"/>
          <w:highlight w:val="none"/>
        </w:rPr>
        <w:t>招标人代表：</w:t>
      </w:r>
      <w:r>
        <w:rPr>
          <w:rFonts w:ascii="Times New Roman" w:hAnsi="Times New Roman"/>
          <w:color w:val="auto"/>
          <w:highlight w:val="none"/>
          <w:u w:val="single"/>
        </w:rPr>
        <w:t xml:space="preserve">       </w:t>
      </w:r>
      <w:r>
        <w:rPr>
          <w:rFonts w:ascii="Times New Roman" w:hAnsi="Times New Roman"/>
          <w:color w:val="auto"/>
          <w:highlight w:val="none"/>
        </w:rPr>
        <w:t xml:space="preserve">        记录人：</w:t>
      </w:r>
      <w:r>
        <w:rPr>
          <w:rFonts w:ascii="Times New Roman" w:hAnsi="Times New Roman"/>
          <w:color w:val="auto"/>
          <w:highlight w:val="none"/>
          <w:u w:val="single"/>
        </w:rPr>
        <w:t xml:space="preserve">       </w:t>
      </w:r>
      <w:r>
        <w:rPr>
          <w:rFonts w:ascii="Times New Roman" w:hAnsi="Times New Roman"/>
          <w:color w:val="auto"/>
          <w:highlight w:val="none"/>
        </w:rPr>
        <w:t xml:space="preserve">       监标人：</w:t>
      </w:r>
      <w:r>
        <w:rPr>
          <w:rFonts w:ascii="Times New Roman" w:hAnsi="Times New Roman"/>
          <w:color w:val="auto"/>
          <w:highlight w:val="none"/>
          <w:u w:val="single"/>
        </w:rPr>
        <w:t xml:space="preserve">       </w:t>
      </w:r>
    </w:p>
    <w:p>
      <w:pPr>
        <w:spacing w:line="620" w:lineRule="exact"/>
        <w:ind w:firstLine="420" w:firstLineChars="200"/>
        <w:rPr>
          <w:rFonts w:ascii="Times New Roman" w:hAnsi="Times New Roman"/>
          <w:color w:val="auto"/>
          <w:sz w:val="20"/>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p>
    <w:p>
      <w:pPr>
        <w:widowControl/>
        <w:jc w:val="left"/>
        <w:rPr>
          <w:rFonts w:ascii="Times New Roman" w:hAnsi="Times New Roman" w:eastAsia="黑体"/>
          <w:color w:val="auto"/>
          <w:sz w:val="28"/>
          <w:szCs w:val="20"/>
          <w:highlight w:val="none"/>
        </w:rPr>
      </w:pPr>
      <w:bookmarkStart w:id="437" w:name="_Toc527028504"/>
      <w:bookmarkStart w:id="438" w:name="_Toc89870605"/>
      <w:r>
        <w:rPr>
          <w:rFonts w:ascii="Times New Roman" w:hAnsi="Times New Roman"/>
          <w:color w:val="auto"/>
          <w:highlight w:val="none"/>
        </w:rPr>
        <w:br w:type="page"/>
      </w:r>
    </w:p>
    <w:p>
      <w:pPr>
        <w:pStyle w:val="6"/>
        <w:keepNext w:val="0"/>
        <w:keepLines w:val="0"/>
        <w:spacing w:before="0" w:after="0" w:line="413" w:lineRule="auto"/>
        <w:ind w:firstLine="560" w:firstLineChars="200"/>
        <w:rPr>
          <w:rFonts w:ascii="Times New Roman" w:hAnsi="Times New Roman"/>
          <w:color w:val="auto"/>
          <w:highlight w:val="none"/>
        </w:rPr>
      </w:pPr>
      <w:r>
        <w:rPr>
          <w:rFonts w:ascii="Times New Roman" w:hAnsi="Times New Roman"/>
          <w:color w:val="auto"/>
          <w:highlight w:val="none"/>
        </w:rPr>
        <w:t>附件二：问题澄清通知</w:t>
      </w:r>
      <w:bookmarkEnd w:id="437"/>
      <w:bookmarkEnd w:id="438"/>
    </w:p>
    <w:p>
      <w:pPr>
        <w:spacing w:line="440" w:lineRule="exact"/>
        <w:ind w:firstLine="420" w:firstLineChars="200"/>
        <w:rPr>
          <w:rFonts w:ascii="Times New Roman" w:hAnsi="Times New Roman"/>
          <w:color w:val="auto"/>
          <w:highlight w:val="none"/>
        </w:rPr>
      </w:pPr>
    </w:p>
    <w:p>
      <w:pPr>
        <w:spacing w:line="440" w:lineRule="exact"/>
        <w:ind w:firstLine="560" w:firstLineChars="200"/>
        <w:jc w:val="center"/>
        <w:rPr>
          <w:rFonts w:ascii="Times New Roman" w:hAnsi="Times New Roman" w:eastAsia="黑体"/>
          <w:color w:val="auto"/>
          <w:sz w:val="28"/>
          <w:highlight w:val="none"/>
        </w:rPr>
      </w:pPr>
      <w:r>
        <w:rPr>
          <w:rFonts w:ascii="Times New Roman" w:hAnsi="Times New Roman" w:eastAsia="黑体"/>
          <w:color w:val="auto"/>
          <w:sz w:val="28"/>
          <w:highlight w:val="none"/>
        </w:rPr>
        <w:t>问题澄清通知</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（投标人名称）：</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评标委员会对你方的投标文件进行了仔细的审查，现需你方对下列问题以书</w:t>
      </w:r>
      <w:bookmarkStart w:id="439" w:name="_Toc300834996"/>
      <w:bookmarkStart w:id="440" w:name="_Toc152045576"/>
      <w:bookmarkStart w:id="441" w:name="_Toc23050"/>
      <w:bookmarkStart w:id="442" w:name="_Toc247527601"/>
      <w:bookmarkStart w:id="443" w:name="_Toc352691521"/>
      <w:bookmarkStart w:id="444" w:name="_Toc384308260"/>
      <w:bookmarkStart w:id="445" w:name="_Toc369531565"/>
      <w:bookmarkStart w:id="446" w:name="_Toc361508634"/>
      <w:bookmarkStart w:id="447" w:name="_Toc144974544"/>
      <w:bookmarkStart w:id="448" w:name="_Toc152042352"/>
      <w:bookmarkStart w:id="449" w:name="_Toc247514000"/>
      <w:r>
        <w:rPr>
          <w:rFonts w:ascii="Times New Roman" w:hAnsi="Times New Roman"/>
          <w:color w:val="auto"/>
          <w:highlight w:val="none"/>
        </w:rPr>
        <w:t>面形式予以澄清、说明或补正：</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bookmarkEnd w:id="439"/>
    <w:bookmarkEnd w:id="440"/>
    <w:bookmarkEnd w:id="441"/>
    <w:bookmarkEnd w:id="442"/>
    <w:bookmarkEnd w:id="443"/>
    <w:bookmarkEnd w:id="444"/>
    <w:bookmarkEnd w:id="445"/>
    <w:bookmarkEnd w:id="446"/>
    <w:bookmarkEnd w:id="447"/>
    <w:bookmarkEnd w:id="448"/>
    <w:bookmarkEnd w:id="449"/>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xml:space="preserve">    1.</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xml:space="preserve">    2.</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xml:space="preserve">     ......   </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请将上述问题的澄清、说明或补正于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时前递交至</w:t>
      </w:r>
      <w:bookmarkStart w:id="450" w:name="_Toc361508635"/>
      <w:bookmarkStart w:id="451" w:name="_Toc247514001"/>
      <w:bookmarkStart w:id="452" w:name="_Toc144974545"/>
      <w:bookmarkStart w:id="453" w:name="_Toc28385"/>
      <w:bookmarkStart w:id="454" w:name="_Toc152042353"/>
      <w:bookmarkStart w:id="455" w:name="_Toc152045577"/>
      <w:bookmarkStart w:id="456" w:name="_Toc352691522"/>
      <w:bookmarkStart w:id="457" w:name="_Toc384308261"/>
      <w:bookmarkStart w:id="458" w:name="_Toc369531566"/>
      <w:bookmarkStart w:id="459" w:name="_Toc247527602"/>
      <w:bookmarkStart w:id="460" w:name="_Toc300834997"/>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（详细地址）或传真至</w:t>
      </w:r>
      <w:bookmarkEnd w:id="450"/>
      <w:bookmarkEnd w:id="451"/>
      <w:bookmarkEnd w:id="452"/>
      <w:bookmarkEnd w:id="453"/>
      <w:bookmarkEnd w:id="454"/>
      <w:bookmarkEnd w:id="455"/>
      <w:bookmarkEnd w:id="456"/>
      <w:bookmarkEnd w:id="457"/>
      <w:bookmarkEnd w:id="458"/>
      <w:bookmarkEnd w:id="459"/>
      <w:bookmarkEnd w:id="460"/>
      <w:r>
        <w:rPr>
          <w:rFonts w:ascii="Times New Roman" w:hAnsi="Times New Roman"/>
          <w:color w:val="auto"/>
          <w:highlight w:val="none"/>
          <w:u w:val="single"/>
        </w:rPr>
        <w:t xml:space="preserve">                     </w:t>
      </w:r>
      <w:r>
        <w:rPr>
          <w:rFonts w:ascii="Times New Roman" w:hAnsi="Times New Roman"/>
          <w:color w:val="auto"/>
          <w:highlight w:val="none"/>
        </w:rPr>
        <w:t>（传真号码）或通过下载招标文件的电子招标交易平台上传。采用传真方式的，应在</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时前将原件递交至</w:t>
      </w:r>
      <w:r>
        <w:rPr>
          <w:rFonts w:ascii="Times New Roman" w:hAnsi="Times New Roman"/>
          <w:color w:val="auto"/>
          <w:highlight w:val="none"/>
          <w:u w:val="single"/>
        </w:rPr>
        <w:t xml:space="preserve">                     </w:t>
      </w:r>
      <w:r>
        <w:rPr>
          <w:rFonts w:ascii="Times New Roman" w:hAnsi="Times New Roman"/>
          <w:color w:val="auto"/>
          <w:highlight w:val="none"/>
        </w:rPr>
        <w:t>（详细地址）。</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p>
    <w:p>
      <w:pPr>
        <w:spacing w:line="440" w:lineRule="exact"/>
        <w:ind w:firstLine="420" w:firstLineChars="200"/>
        <w:jc w:val="right"/>
        <w:rPr>
          <w:rFonts w:ascii="Times New Roman" w:hAnsi="Times New Roman"/>
          <w:color w:val="auto"/>
          <w:highlight w:val="none"/>
        </w:rPr>
      </w:pPr>
      <w:r>
        <w:rPr>
          <w:rFonts w:ascii="Times New Roman" w:hAnsi="Times New Roman"/>
          <w:color w:val="auto"/>
          <w:highlight w:val="none"/>
        </w:rPr>
        <w:t>评标委员会授权的招标人或招标代理机构：</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（签字或盖章）</w:t>
      </w:r>
      <w:bookmarkStart w:id="461" w:name="_Toc384308262"/>
      <w:bookmarkStart w:id="462" w:name="_Toc6580"/>
      <w:bookmarkStart w:id="463" w:name="_Toc369531567"/>
      <w:bookmarkStart w:id="464" w:name="_Toc300834998"/>
      <w:bookmarkStart w:id="465" w:name="_Toc247514002"/>
      <w:bookmarkStart w:id="466" w:name="_Toc152045578"/>
      <w:bookmarkStart w:id="467" w:name="_Toc361508636"/>
      <w:bookmarkStart w:id="468" w:name="_Toc352691523"/>
      <w:bookmarkStart w:id="469" w:name="_Toc247527603"/>
      <w:bookmarkStart w:id="470" w:name="_Toc152042354"/>
      <w:bookmarkStart w:id="471" w:name="_Toc144974546"/>
    </w:p>
    <w:bookmarkEnd w:id="461"/>
    <w:bookmarkEnd w:id="462"/>
    <w:bookmarkEnd w:id="463"/>
    <w:bookmarkEnd w:id="464"/>
    <w:bookmarkEnd w:id="465"/>
    <w:bookmarkEnd w:id="466"/>
    <w:bookmarkEnd w:id="467"/>
    <w:bookmarkEnd w:id="468"/>
    <w:bookmarkEnd w:id="469"/>
    <w:bookmarkEnd w:id="470"/>
    <w:p>
      <w:pPr>
        <w:spacing w:line="440" w:lineRule="exact"/>
        <w:ind w:firstLine="420" w:firstLineChars="200"/>
        <w:rPr>
          <w:rFonts w:ascii="Times New Roman" w:hAnsi="Times New Roman"/>
          <w:color w:val="auto"/>
          <w:highlight w:val="none"/>
        </w:rPr>
      </w:pPr>
      <w:bookmarkStart w:id="472" w:name="_Toc152042355"/>
    </w:p>
    <w:p>
      <w:pPr>
        <w:spacing w:line="440" w:lineRule="exact"/>
        <w:ind w:firstLine="420" w:firstLineChars="20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rPr>
          <w:rFonts w:ascii="Times New Roman" w:hAnsi="Times New Roman"/>
          <w:color w:val="auto"/>
          <w:highlight w:val="none"/>
        </w:rPr>
      </w:pPr>
      <w:bookmarkStart w:id="473" w:name="_Toc89870606"/>
      <w:bookmarkStart w:id="474" w:name="_Toc527028505"/>
      <w:r>
        <w:rPr>
          <w:rFonts w:ascii="Times New Roman" w:hAnsi="Times New Roman"/>
          <w:color w:val="auto"/>
          <w:highlight w:val="none"/>
        </w:rPr>
        <w:br w:type="page"/>
      </w:r>
    </w:p>
    <w:p>
      <w:pPr>
        <w:pStyle w:val="6"/>
        <w:keepNext w:val="0"/>
        <w:keepLines w:val="0"/>
        <w:spacing w:before="0" w:after="0" w:line="413" w:lineRule="auto"/>
        <w:ind w:firstLine="560" w:firstLineChars="200"/>
        <w:rPr>
          <w:rFonts w:ascii="Times New Roman" w:hAnsi="Times New Roman"/>
          <w:color w:val="auto"/>
          <w:highlight w:val="none"/>
        </w:rPr>
      </w:pPr>
      <w:r>
        <w:rPr>
          <w:rFonts w:ascii="Times New Roman" w:hAnsi="Times New Roman"/>
          <w:color w:val="auto"/>
          <w:highlight w:val="none"/>
        </w:rPr>
        <w:t>附件三：问题的澄清</w:t>
      </w:r>
      <w:bookmarkEnd w:id="473"/>
      <w:bookmarkEnd w:id="474"/>
    </w:p>
    <w:p>
      <w:pPr>
        <w:spacing w:line="400" w:lineRule="exact"/>
        <w:ind w:firstLine="560" w:firstLineChars="200"/>
        <w:rPr>
          <w:rFonts w:ascii="Times New Roman" w:hAnsi="Times New Roman" w:eastAsia="黑体"/>
          <w:color w:val="auto"/>
          <w:sz w:val="28"/>
          <w:highlight w:val="none"/>
        </w:rPr>
      </w:pPr>
    </w:p>
    <w:p>
      <w:pPr>
        <w:spacing w:line="400" w:lineRule="exact"/>
        <w:ind w:firstLine="560" w:firstLineChars="200"/>
        <w:jc w:val="center"/>
        <w:rPr>
          <w:rFonts w:ascii="Times New Roman" w:hAnsi="Times New Roman" w:eastAsia="黑体"/>
          <w:color w:val="auto"/>
          <w:sz w:val="28"/>
          <w:highlight w:val="none"/>
        </w:rPr>
      </w:pPr>
      <w:r>
        <w:rPr>
          <w:rFonts w:ascii="Times New Roman" w:hAnsi="Times New Roman" w:eastAsia="黑体"/>
          <w:color w:val="auto"/>
          <w:sz w:val="28"/>
          <w:highlight w:val="none"/>
        </w:rPr>
        <w:t>问</w:t>
      </w:r>
      <w:bookmarkEnd w:id="472"/>
      <w:r>
        <w:rPr>
          <w:rFonts w:ascii="Times New Roman" w:hAnsi="Times New Roman" w:eastAsia="黑体"/>
          <w:color w:val="auto"/>
          <w:sz w:val="28"/>
          <w:highlight w:val="none"/>
        </w:rPr>
        <w:t>题</w:t>
      </w:r>
      <w:bookmarkStart w:id="475" w:name="_Toc361508637"/>
      <w:bookmarkStart w:id="476" w:name="_Toc152045579"/>
      <w:bookmarkStart w:id="477" w:name="_Toc152042356"/>
      <w:bookmarkStart w:id="478" w:name="_Toc3622"/>
      <w:bookmarkStart w:id="479" w:name="_Toc352691524"/>
      <w:bookmarkStart w:id="480" w:name="_Toc384308263"/>
      <w:bookmarkStart w:id="481" w:name="_Toc300834999"/>
      <w:bookmarkStart w:id="482" w:name="_Toc247514003"/>
      <w:bookmarkStart w:id="483" w:name="_Toc369531568"/>
      <w:bookmarkStart w:id="484" w:name="_Toc247527604"/>
      <w:r>
        <w:rPr>
          <w:rFonts w:ascii="Times New Roman" w:hAnsi="Times New Roman" w:eastAsia="黑体"/>
          <w:color w:val="auto"/>
          <w:sz w:val="28"/>
          <w:highlight w:val="none"/>
        </w:rPr>
        <w:t>的澄清</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（编号</w:t>
      </w:r>
      <w:bookmarkEnd w:id="471"/>
      <w:bookmarkEnd w:id="475"/>
      <w:bookmarkEnd w:id="476"/>
      <w:bookmarkEnd w:id="477"/>
      <w:bookmarkEnd w:id="478"/>
      <w:bookmarkEnd w:id="479"/>
      <w:bookmarkEnd w:id="480"/>
      <w:bookmarkEnd w:id="481"/>
      <w:bookmarkEnd w:id="482"/>
      <w:bookmarkEnd w:id="483"/>
      <w:bookmarkEnd w:id="484"/>
      <w:r>
        <w:rPr>
          <w:rFonts w:ascii="Times New Roman" w:hAnsi="Times New Roman"/>
          <w:color w:val="auto"/>
          <w:highlight w:val="none"/>
        </w:rPr>
        <w:t>：</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评标委员会：</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问题澄清通知（编号：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）已收悉，现澄清、说明或补正如下：</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1.</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2.</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上述问题澄清、说明或补正，不改变我方投标文件的实质性内容，构成我方投标文件的组成部分。</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p>
    <w:p>
      <w:pPr>
        <w:spacing w:line="480" w:lineRule="auto"/>
        <w:ind w:firstLine="420" w:firstLineChars="200"/>
        <w:rPr>
          <w:rFonts w:ascii="Times New Roman" w:hAnsi="Times New Roman"/>
          <w:color w:val="auto"/>
          <w:highlight w:val="none"/>
        </w:rPr>
      </w:pPr>
      <w:r>
        <w:rPr>
          <w:rFonts w:ascii="Times New Roman" w:hAnsi="Times New Roman"/>
          <w:color w:val="auto"/>
          <w:highlight w:val="none"/>
        </w:rPr>
        <w:t>　　　　　　　　　　　　　　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420" w:firstLineChars="200"/>
        <w:jc w:val="right"/>
        <w:rPr>
          <w:rFonts w:ascii="Times New Roman" w:hAnsi="Times New Roman"/>
          <w:color w:val="auto"/>
          <w:highlight w:val="none"/>
        </w:rPr>
      </w:pPr>
      <w:r>
        <w:rPr>
          <w:rFonts w:hint="eastAsia" w:ascii="Times New Roman" w:hAnsi="Times New Roman"/>
          <w:color w:val="auto"/>
          <w:highlight w:val="none"/>
        </w:rPr>
        <w:t xml:space="preserve"> </w:t>
      </w:r>
      <w:r>
        <w:rPr>
          <w:rFonts w:ascii="Times New Roman" w:hAnsi="Times New Roman"/>
          <w:color w:val="auto"/>
          <w:highlight w:val="none"/>
        </w:rPr>
        <w:t>法定代表人或其委托代理人：</w:t>
      </w:r>
      <w:r>
        <w:rPr>
          <w:rFonts w:ascii="Times New Roman" w:hAnsi="Times New Roman"/>
          <w:color w:val="auto"/>
          <w:highlight w:val="none"/>
          <w:u w:val="single"/>
        </w:rPr>
        <w:t xml:space="preserve">        </w:t>
      </w:r>
      <w:r>
        <w:rPr>
          <w:rFonts w:ascii="Times New Roman" w:hAnsi="Times New Roman"/>
          <w:color w:val="auto"/>
          <w:highlight w:val="none"/>
        </w:rPr>
        <w:t>（签字）</w:t>
      </w:r>
    </w:p>
    <w:p>
      <w:pPr>
        <w:spacing w:line="440" w:lineRule="exact"/>
        <w:ind w:firstLine="420" w:firstLineChars="200"/>
        <w:jc w:val="right"/>
        <w:rPr>
          <w:rFonts w:ascii="Times New Roman" w:hAnsi="Times New Roman"/>
          <w:color w:val="auto"/>
          <w:highlight w:val="none"/>
        </w:rPr>
      </w:pPr>
      <w:r>
        <w:rPr>
          <w:rFonts w:ascii="Times New Roman" w:hAnsi="Times New Roman"/>
          <w:color w:val="auto"/>
          <w:highlight w:val="none"/>
        </w:rPr>
        <w:t>　　　　　　　　</w:t>
      </w:r>
      <w:r>
        <w:rPr>
          <w:rFonts w:ascii="Times New Roman" w:hAnsi="Times New Roman"/>
          <w:color w:val="auto"/>
          <w:highlight w:val="none"/>
          <w:u w:val="single"/>
        </w:rPr>
        <w:t xml:space="preserve">        </w:t>
      </w:r>
      <w:r>
        <w:rPr>
          <w:rFonts w:ascii="Times New Roman" w:hAnsi="Times New Roman"/>
          <w:color w:val="auto"/>
          <w:highlight w:val="none"/>
        </w:rPr>
        <w:t>年</w:t>
      </w:r>
      <w:bookmarkStart w:id="485" w:name="_Toc361508640"/>
      <w:bookmarkStart w:id="486" w:name="_Toc152042358"/>
      <w:bookmarkStart w:id="487" w:name="_Toc384308266"/>
      <w:bookmarkStart w:id="488" w:name="_Toc352691527"/>
      <w:bookmarkStart w:id="489" w:name="_Toc144974548"/>
      <w:bookmarkStart w:id="490" w:name="_Toc15139"/>
      <w:bookmarkStart w:id="491" w:name="_Toc152045581"/>
      <w:bookmarkStart w:id="492" w:name="_Toc369531571"/>
      <w:bookmarkStart w:id="493" w:name="_Toc300835002"/>
      <w:bookmarkStart w:id="494" w:name="_Toc247514005"/>
      <w:bookmarkStart w:id="495" w:name="_Toc247527606"/>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bookmarkEnd w:id="485"/>
    <w:bookmarkEnd w:id="486"/>
    <w:bookmarkEnd w:id="487"/>
    <w:bookmarkEnd w:id="488"/>
    <w:bookmarkEnd w:id="489"/>
    <w:bookmarkEnd w:id="490"/>
    <w:bookmarkEnd w:id="491"/>
    <w:bookmarkEnd w:id="492"/>
    <w:bookmarkEnd w:id="493"/>
    <w:bookmarkEnd w:id="494"/>
    <w:bookmarkEnd w:id="495"/>
    <w:p>
      <w:pPr>
        <w:spacing w:line="400" w:lineRule="exact"/>
        <w:ind w:firstLine="420" w:firstLineChars="200"/>
        <w:rPr>
          <w:rFonts w:ascii="Times New Roman" w:hAnsi="Times New Roman"/>
          <w:color w:val="auto"/>
          <w:highlight w:val="none"/>
        </w:rPr>
      </w:pPr>
    </w:p>
    <w:p>
      <w:pPr>
        <w:pStyle w:val="6"/>
        <w:keepNext w:val="0"/>
        <w:keepLines w:val="0"/>
        <w:spacing w:before="0" w:after="0" w:line="413" w:lineRule="auto"/>
        <w:ind w:firstLine="560" w:firstLineChars="200"/>
        <w:rPr>
          <w:rFonts w:ascii="Times New Roman" w:hAnsi="Times New Roman"/>
          <w:color w:val="auto"/>
          <w:highlight w:val="none"/>
        </w:rPr>
      </w:pPr>
      <w:r>
        <w:rPr>
          <w:rFonts w:ascii="Times New Roman" w:hAnsi="Times New Roman"/>
          <w:color w:val="auto"/>
          <w:highlight w:val="none"/>
        </w:rPr>
        <w:br w:type="page"/>
      </w:r>
      <w:bookmarkStart w:id="496" w:name="_Toc527028506"/>
      <w:bookmarkStart w:id="497" w:name="_Toc89870607"/>
      <w:r>
        <w:rPr>
          <w:rFonts w:ascii="Times New Roman" w:hAnsi="Times New Roman"/>
          <w:color w:val="auto"/>
          <w:highlight w:val="none"/>
        </w:rPr>
        <w:t>附件</w:t>
      </w:r>
      <w:r>
        <w:rPr>
          <w:rFonts w:hint="eastAsia" w:ascii="Times New Roman" w:hAnsi="Times New Roman"/>
          <w:color w:val="auto"/>
          <w:highlight w:val="none"/>
        </w:rPr>
        <w:t>四</w:t>
      </w:r>
      <w:r>
        <w:rPr>
          <w:rFonts w:ascii="Times New Roman" w:hAnsi="Times New Roman"/>
          <w:color w:val="auto"/>
          <w:highlight w:val="none"/>
        </w:rPr>
        <w:t>：确认通知</w:t>
      </w:r>
      <w:bookmarkEnd w:id="496"/>
      <w:bookmarkEnd w:id="497"/>
    </w:p>
    <w:p>
      <w:pPr>
        <w:spacing w:line="400" w:lineRule="exact"/>
        <w:ind w:firstLine="420" w:firstLineChars="200"/>
        <w:rPr>
          <w:rFonts w:ascii="Times New Roman" w:hAnsi="Times New Roman"/>
          <w:color w:val="auto"/>
          <w:highlight w:val="none"/>
        </w:rPr>
      </w:pPr>
    </w:p>
    <w:p>
      <w:pPr>
        <w:spacing w:line="400" w:lineRule="exact"/>
        <w:ind w:firstLine="560" w:firstLineChars="200"/>
        <w:jc w:val="center"/>
        <w:rPr>
          <w:rFonts w:ascii="Times New Roman" w:hAnsi="Times New Roman" w:eastAsia="黑体"/>
          <w:color w:val="auto"/>
          <w:sz w:val="28"/>
          <w:highlight w:val="none"/>
        </w:rPr>
      </w:pPr>
      <w:r>
        <w:rPr>
          <w:rFonts w:ascii="Times New Roman" w:hAnsi="Times New Roman" w:eastAsia="黑体"/>
          <w:color w:val="auto"/>
          <w:sz w:val="28"/>
          <w:highlight w:val="none"/>
        </w:rPr>
        <w:t>确认通知</w:t>
      </w:r>
    </w:p>
    <w:p>
      <w:pPr>
        <w:spacing w:line="40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（招标人名称）：</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你方于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日发出的</w:t>
      </w:r>
      <w:r>
        <w:rPr>
          <w:rFonts w:ascii="Times New Roman" w:hAnsi="Times New Roman"/>
          <w:color w:val="auto"/>
          <w:highlight w:val="none"/>
          <w:u w:val="single"/>
        </w:rPr>
        <w:t xml:space="preserve">         </w:t>
      </w:r>
      <w:r>
        <w:rPr>
          <w:rFonts w:hint="eastAsia" w:ascii="Times New Roman" w:hAnsi="Times New Roman"/>
          <w:color w:val="auto"/>
          <w:highlight w:val="none"/>
        </w:rPr>
        <w:t>（项目名称）</w:t>
      </w:r>
      <w:r>
        <w:rPr>
          <w:rFonts w:ascii="Times New Roman" w:hAnsi="Times New Roman"/>
          <w:color w:val="auto"/>
          <w:highlight w:val="none"/>
        </w:rPr>
        <w:t>招标关于</w:t>
      </w:r>
      <w:r>
        <w:rPr>
          <w:rFonts w:ascii="Times New Roman" w:hAnsi="Times New Roman"/>
          <w:color w:val="auto"/>
          <w:highlight w:val="none"/>
          <w:u w:val="single"/>
        </w:rPr>
        <w:t>招标文件的澄清/修改</w:t>
      </w:r>
      <w:r>
        <w:rPr>
          <w:rFonts w:ascii="Times New Roman" w:hAnsi="Times New Roman"/>
          <w:color w:val="auto"/>
          <w:highlight w:val="none"/>
        </w:rPr>
        <w:t>的通知，我方已于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日收到。</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　　特此确认。</w:t>
      </w:r>
    </w:p>
    <w:p>
      <w:pPr>
        <w:spacing w:line="440" w:lineRule="exact"/>
        <w:ind w:firstLine="420" w:firstLineChars="200"/>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p>
    <w:p>
      <w:pPr>
        <w:spacing w:line="480" w:lineRule="auto"/>
        <w:ind w:firstLine="420" w:firstLineChars="200"/>
        <w:jc w:val="right"/>
        <w:rPr>
          <w:rFonts w:ascii="Times New Roman" w:hAnsi="Times New Roman"/>
          <w:color w:val="auto"/>
          <w:highlight w:val="none"/>
        </w:rPr>
      </w:pPr>
      <w:r>
        <w:rPr>
          <w:rFonts w:ascii="Times New Roman" w:hAnsi="Times New Roman"/>
          <w:color w:val="auto"/>
          <w:highlight w:val="none"/>
        </w:rPr>
        <w:t>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420" w:firstLineChars="200"/>
        <w:jc w:val="right"/>
        <w:rPr>
          <w:rFonts w:ascii="Times New Roman" w:hAnsi="Times New Roman"/>
          <w:color w:val="auto"/>
          <w:highlight w:val="none"/>
        </w:rPr>
      </w:pPr>
      <w:r>
        <w:rPr>
          <w:rFonts w:ascii="Times New Roman" w:hAnsi="Times New Roman"/>
          <w:color w:val="auto"/>
          <w:highlight w:val="none"/>
        </w:rPr>
        <w:t>法定代表人或委托代理人：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w:t>
      </w:r>
    </w:p>
    <w:p>
      <w:pPr>
        <w:spacing w:line="440" w:lineRule="exact"/>
        <w:ind w:firstLine="420" w:firstLineChars="20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ind w:firstLine="420" w:firstLineChars="200"/>
        <w:rPr>
          <w:rFonts w:ascii="Times New Roman" w:hAnsi="Times New Roman"/>
          <w:color w:val="auto"/>
          <w:highlight w:val="none"/>
        </w:rPr>
      </w:pPr>
    </w:p>
    <w:p>
      <w:pPr>
        <w:ind w:firstLine="420" w:firstLineChars="200"/>
        <w:rPr>
          <w:color w:val="auto"/>
          <w:highlight w:val="none"/>
        </w:rPr>
      </w:pPr>
    </w:p>
    <w:p>
      <w:pPr>
        <w:ind w:firstLine="420" w:firstLineChars="200"/>
        <w:rPr>
          <w:color w:val="auto"/>
          <w:highlight w:val="none"/>
        </w:rPr>
      </w:pPr>
    </w:p>
    <w:p>
      <w:pPr>
        <w:pStyle w:val="4"/>
        <w:keepNext w:val="0"/>
        <w:keepLines w:val="0"/>
        <w:spacing w:before="100" w:after="100" w:line="360" w:lineRule="auto"/>
        <w:jc w:val="center"/>
        <w:rPr>
          <w:color w:val="auto"/>
          <w:highlight w:val="none"/>
        </w:rPr>
      </w:pPr>
      <w:r>
        <w:rPr>
          <w:color w:val="auto"/>
          <w:highlight w:val="none"/>
        </w:rPr>
        <w:br w:type="page"/>
      </w:r>
      <w:bookmarkStart w:id="498" w:name="_Toc89870608"/>
      <w:r>
        <w:rPr>
          <w:color w:val="auto"/>
          <w:highlight w:val="none"/>
        </w:rPr>
        <w:t>第三章</w:t>
      </w:r>
      <w:r>
        <w:rPr>
          <w:rFonts w:hint="eastAsia"/>
          <w:color w:val="auto"/>
          <w:highlight w:val="none"/>
        </w:rPr>
        <w:t xml:space="preserve"> </w:t>
      </w:r>
      <w:r>
        <w:rPr>
          <w:color w:val="auto"/>
          <w:highlight w:val="none"/>
        </w:rPr>
        <w:t>评标办法（综合评估法）</w:t>
      </w:r>
      <w:bookmarkEnd w:id="498"/>
    </w:p>
    <w:p>
      <w:pPr>
        <w:pStyle w:val="4"/>
        <w:keepNext w:val="0"/>
        <w:keepLines w:val="0"/>
        <w:spacing w:before="0" w:after="0" w:line="460" w:lineRule="exact"/>
        <w:ind w:firstLine="723" w:firstLineChars="200"/>
        <w:rPr>
          <w:color w:val="auto"/>
          <w:sz w:val="36"/>
          <w:szCs w:val="36"/>
          <w:highlight w:val="none"/>
        </w:rPr>
      </w:pPr>
      <w:bookmarkStart w:id="499" w:name="_Toc89870609"/>
      <w:r>
        <w:rPr>
          <w:color w:val="auto"/>
          <w:sz w:val="36"/>
          <w:szCs w:val="36"/>
          <w:highlight w:val="none"/>
        </w:rPr>
        <w:t>评标办法前附表</w:t>
      </w:r>
      <w:bookmarkEnd w:id="499"/>
    </w:p>
    <w:tbl>
      <w:tblPr>
        <w:tblStyle w:val="2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9"/>
        <w:gridCol w:w="1098"/>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3"/>
            <w:vAlign w:val="center"/>
          </w:tcPr>
          <w:p>
            <w:pPr>
              <w:snapToGrid w:val="0"/>
              <w:ind w:firstLine="422" w:firstLineChars="200"/>
              <w:rPr>
                <w:rFonts w:ascii="宋体" w:hAnsi="宋体"/>
                <w:b/>
                <w:color w:val="auto"/>
                <w:szCs w:val="21"/>
                <w:highlight w:val="none"/>
              </w:rPr>
            </w:pPr>
            <w:r>
              <w:rPr>
                <w:rFonts w:ascii="宋体" w:hAnsi="宋体"/>
                <w:b/>
                <w:color w:val="auto"/>
                <w:szCs w:val="21"/>
                <w:highlight w:val="none"/>
              </w:rPr>
              <w:t>条款号</w:t>
            </w:r>
          </w:p>
        </w:tc>
        <w:tc>
          <w:tcPr>
            <w:tcW w:w="2132" w:type="dxa"/>
            <w:vAlign w:val="center"/>
          </w:tcPr>
          <w:p>
            <w:pPr>
              <w:snapToGrid w:val="0"/>
              <w:ind w:firstLine="422" w:firstLineChars="200"/>
              <w:rPr>
                <w:rFonts w:ascii="宋体" w:hAnsi="宋体"/>
                <w:b/>
                <w:color w:val="auto"/>
                <w:szCs w:val="21"/>
                <w:highlight w:val="none"/>
              </w:rPr>
            </w:pPr>
            <w:r>
              <w:rPr>
                <w:rFonts w:ascii="宋体" w:hAnsi="宋体"/>
                <w:b/>
                <w:color w:val="auto"/>
                <w:szCs w:val="21"/>
                <w:highlight w:val="none"/>
              </w:rPr>
              <w:t>评审因素</w:t>
            </w:r>
          </w:p>
        </w:tc>
        <w:tc>
          <w:tcPr>
            <w:tcW w:w="5252" w:type="dxa"/>
            <w:vAlign w:val="center"/>
          </w:tcPr>
          <w:p>
            <w:pPr>
              <w:snapToGrid w:val="0"/>
              <w:ind w:firstLine="422" w:firstLineChars="200"/>
              <w:rPr>
                <w:rFonts w:ascii="宋体" w:hAnsi="宋体"/>
                <w:b/>
                <w:color w:val="auto"/>
                <w:szCs w:val="21"/>
                <w:highlight w:val="none"/>
              </w:rPr>
            </w:pPr>
            <w:r>
              <w:rPr>
                <w:rFonts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0" w:type="dxa"/>
            <w:gridSpan w:val="2"/>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1098" w:type="dxa"/>
            <w:vAlign w:val="center"/>
          </w:tcPr>
          <w:p>
            <w:pPr>
              <w:snapToGrid w:val="0"/>
              <w:jc w:val="center"/>
              <w:rPr>
                <w:rFonts w:ascii="宋体" w:hAnsi="宋体"/>
                <w:color w:val="auto"/>
                <w:szCs w:val="21"/>
                <w:highlight w:val="none"/>
              </w:rPr>
            </w:pPr>
            <w:r>
              <w:rPr>
                <w:rFonts w:ascii="宋体" w:hAnsi="宋体"/>
                <w:color w:val="auto"/>
                <w:szCs w:val="21"/>
                <w:highlight w:val="none"/>
              </w:rPr>
              <w:t>评标方法</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中标候选人排序方法</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本次评标采用综合评估法。评标委员会对满足招标文件实质性要求的投标文件，按照本招标文件规定的评分标准进行打分，</w:t>
            </w:r>
            <w:r>
              <w:rPr>
                <w:rFonts w:ascii="宋体" w:hAnsi="宋体"/>
                <w:color w:val="auto"/>
                <w:szCs w:val="21"/>
                <w:highlight w:val="none"/>
              </w:rPr>
              <w:t>投标人</w:t>
            </w:r>
            <w:r>
              <w:rPr>
                <w:rFonts w:hint="eastAsia" w:ascii="宋体" w:hAnsi="宋体"/>
                <w:color w:val="auto"/>
                <w:szCs w:val="21"/>
                <w:highlight w:val="none"/>
              </w:rPr>
              <w:t>综合评分由高到低排序前</w:t>
            </w:r>
            <w:r>
              <w:rPr>
                <w:rFonts w:ascii="宋体" w:hAnsi="宋体"/>
                <w:color w:val="auto"/>
                <w:szCs w:val="21"/>
                <w:highlight w:val="none"/>
              </w:rPr>
              <w:t>3</w:t>
            </w:r>
            <w:r>
              <w:rPr>
                <w:rFonts w:hint="eastAsia" w:ascii="宋体" w:hAnsi="宋体"/>
                <w:color w:val="auto"/>
                <w:szCs w:val="21"/>
                <w:highlight w:val="none"/>
              </w:rPr>
              <w:t>名作为第一、第二、第三中标候选人，</w:t>
            </w:r>
            <w:r>
              <w:rPr>
                <w:rFonts w:ascii="宋体" w:hAnsi="宋体"/>
                <w:color w:val="auto"/>
                <w:szCs w:val="21"/>
                <w:highlight w:val="none"/>
              </w:rPr>
              <w:t>综合评分相等时，以投标报价低的优先； 投标报价也相等的，以监理大纲得分高的优先；监理大纲得分也相等</w:t>
            </w:r>
            <w:r>
              <w:rPr>
                <w:rFonts w:hint="eastAsia" w:ascii="宋体" w:hAnsi="宋体"/>
                <w:color w:val="auto"/>
                <w:szCs w:val="21"/>
                <w:highlight w:val="none"/>
              </w:rPr>
              <w:t>的，以资信业绩得分高的优先；如果仍存在相同情况，由评标委员会采用记名投票方式，以得票多的优先。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2.1.1</w:t>
            </w:r>
          </w:p>
        </w:tc>
        <w:tc>
          <w:tcPr>
            <w:tcW w:w="1098"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形式评审标准</w:t>
            </w:r>
          </w:p>
        </w:tc>
        <w:tc>
          <w:tcPr>
            <w:tcW w:w="2132" w:type="dxa"/>
            <w:vAlign w:val="center"/>
          </w:tcPr>
          <w:p>
            <w:pPr>
              <w:snapToGrid w:val="0"/>
              <w:jc w:val="both"/>
              <w:rPr>
                <w:rFonts w:ascii="宋体" w:hAnsi="宋体"/>
                <w:color w:val="auto"/>
                <w:szCs w:val="21"/>
                <w:highlight w:val="none"/>
              </w:rPr>
            </w:pPr>
            <w:r>
              <w:rPr>
                <w:rFonts w:ascii="宋体" w:hAnsi="宋体"/>
                <w:color w:val="auto"/>
                <w:szCs w:val="21"/>
                <w:highlight w:val="none"/>
              </w:rPr>
              <w:t>投标人名称</w:t>
            </w:r>
          </w:p>
        </w:tc>
        <w:tc>
          <w:tcPr>
            <w:tcW w:w="5252" w:type="dxa"/>
            <w:vAlign w:val="center"/>
          </w:tcPr>
          <w:p>
            <w:pPr>
              <w:snapToGrid w:val="0"/>
              <w:jc w:val="left"/>
              <w:rPr>
                <w:rFonts w:ascii="宋体" w:hAnsi="宋体"/>
                <w:color w:val="auto"/>
                <w:szCs w:val="21"/>
                <w:highlight w:val="none"/>
              </w:rPr>
            </w:pPr>
            <w:r>
              <w:rPr>
                <w:rFonts w:ascii="宋体" w:hAnsi="宋体"/>
                <w:color w:val="auto"/>
                <w:szCs w:val="21"/>
                <w:highlight w:val="none"/>
              </w:rPr>
              <w:t>与</w:t>
            </w:r>
            <w:r>
              <w:rPr>
                <w:rFonts w:hint="eastAsia" w:ascii="宋体" w:hAnsi="宋体"/>
                <w:color w:val="auto"/>
                <w:szCs w:val="21"/>
                <w:highlight w:val="none"/>
              </w:rPr>
              <w:t>营业执照（或事业单位法人证书）</w:t>
            </w:r>
            <w:r>
              <w:rPr>
                <w:rFonts w:ascii="宋体" w:hAnsi="宋体"/>
                <w:color w:val="auto"/>
                <w:szCs w:val="21"/>
                <w:highlight w:val="none"/>
              </w:rPr>
              <w:t>、资质证书一致</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rPr>
                <w:rFonts w:ascii="宋体" w:hAnsi="宋体"/>
                <w:color w:val="auto"/>
                <w:szCs w:val="21"/>
                <w:highlight w:val="none"/>
              </w:rPr>
            </w:pPr>
            <w:bookmarkStart w:id="500" w:name="_Hlk108684318"/>
            <w:r>
              <w:rPr>
                <w:rFonts w:ascii="宋体" w:hAnsi="宋体"/>
                <w:color w:val="auto"/>
                <w:szCs w:val="21"/>
                <w:highlight w:val="none"/>
              </w:rPr>
              <w:t>投标函</w:t>
            </w:r>
            <w:r>
              <w:rPr>
                <w:rFonts w:hint="eastAsia" w:ascii="宋体" w:hAnsi="宋体"/>
                <w:color w:val="auto"/>
                <w:szCs w:val="21"/>
                <w:highlight w:val="none"/>
              </w:rPr>
              <w:t>及投标函附录、</w:t>
            </w:r>
            <w:r>
              <w:rPr>
                <w:rFonts w:ascii="宋体" w:hAnsi="宋体"/>
                <w:color w:val="auto"/>
                <w:sz w:val="21"/>
                <w:szCs w:val="21"/>
                <w:highlight w:val="none"/>
              </w:rPr>
              <w:t>投标报价书</w:t>
            </w:r>
            <w:r>
              <w:rPr>
                <w:rFonts w:ascii="宋体" w:hAnsi="宋体"/>
                <w:color w:val="auto"/>
                <w:szCs w:val="21"/>
                <w:highlight w:val="none"/>
              </w:rPr>
              <w:t>签字盖章</w:t>
            </w:r>
            <w:bookmarkEnd w:id="500"/>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由</w:t>
            </w:r>
            <w:r>
              <w:rPr>
                <w:rFonts w:ascii="宋体" w:hAnsi="宋体"/>
                <w:color w:val="auto"/>
                <w:szCs w:val="21"/>
                <w:highlight w:val="none"/>
              </w:rPr>
              <w:t>有法定代表人或其委托代理人签字</w:t>
            </w:r>
            <w:r>
              <w:rPr>
                <w:rFonts w:hint="eastAsia" w:ascii="宋体" w:hAnsi="宋体"/>
                <w:color w:val="auto"/>
                <w:szCs w:val="21"/>
                <w:highlight w:val="none"/>
              </w:rPr>
              <w:t>（或盖章），并</w:t>
            </w:r>
            <w:r>
              <w:rPr>
                <w:rFonts w:ascii="宋体" w:hAnsi="宋体"/>
                <w:color w:val="auto"/>
                <w:szCs w:val="21"/>
                <w:highlight w:val="none"/>
              </w:rPr>
              <w:t>加盖单位章。由法定代表人签字</w:t>
            </w:r>
            <w:r>
              <w:rPr>
                <w:rFonts w:hint="eastAsia" w:ascii="宋体" w:hAnsi="宋体"/>
                <w:color w:val="auto"/>
                <w:szCs w:val="21"/>
                <w:highlight w:val="none"/>
              </w:rPr>
              <w:t>（或盖章）</w:t>
            </w:r>
            <w:r>
              <w:rPr>
                <w:rFonts w:ascii="宋体" w:hAnsi="宋体"/>
                <w:color w:val="auto"/>
                <w:szCs w:val="21"/>
                <w:highlight w:val="none"/>
              </w:rPr>
              <w:t>的，应附法定代表人身份证明，由代理人签字</w:t>
            </w:r>
            <w:r>
              <w:rPr>
                <w:rFonts w:hint="eastAsia" w:ascii="宋体" w:hAnsi="宋体"/>
                <w:color w:val="auto"/>
                <w:szCs w:val="21"/>
                <w:highlight w:val="none"/>
              </w:rPr>
              <w:t>（或盖章）</w:t>
            </w:r>
            <w:r>
              <w:rPr>
                <w:rFonts w:ascii="宋体" w:hAnsi="宋体"/>
                <w:color w:val="auto"/>
                <w:szCs w:val="21"/>
                <w:highlight w:val="none"/>
              </w:rPr>
              <w:t>的，应附授权委托书，身份证明或授权委托书应符合第六章“投标文件格式”的规定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投标文件格式</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ind w:firstLine="0" w:firstLineChars="0"/>
              <w:rPr>
                <w:rFonts w:ascii="宋体" w:hAnsi="宋体"/>
                <w:color w:val="auto"/>
                <w:szCs w:val="21"/>
                <w:highlight w:val="none"/>
              </w:rPr>
            </w:pPr>
            <w:r>
              <w:rPr>
                <w:color w:val="auto"/>
                <w:highlight w:val="none"/>
              </w:rPr>
              <w:t>联合体投标人</w:t>
            </w:r>
          </w:p>
        </w:tc>
        <w:tc>
          <w:tcPr>
            <w:tcW w:w="5252" w:type="dxa"/>
            <w:vAlign w:val="center"/>
          </w:tcPr>
          <w:p>
            <w:pPr>
              <w:snapToGrid w:val="0"/>
              <w:rPr>
                <w:rFonts w:ascii="宋体" w:hAnsi="宋体"/>
                <w:color w:val="auto"/>
                <w:szCs w:val="21"/>
                <w:highlight w:val="none"/>
              </w:rPr>
            </w:pPr>
            <w:r>
              <w:rPr>
                <w:rFonts w:hint="eastAsia" w:ascii="宋体" w:hAnsi="Courier New" w:cs="Arial"/>
                <w:color w:val="auto"/>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hint="eastAsia" w:ascii="宋体" w:hAnsi="宋体"/>
                <w:color w:val="auto"/>
                <w:szCs w:val="21"/>
                <w:highlight w:val="none"/>
              </w:rPr>
              <w:t>投标人机器码</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不同投标人机器码相同，视为不合格。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备选投标方案</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2.1.2</w:t>
            </w:r>
          </w:p>
        </w:tc>
        <w:tc>
          <w:tcPr>
            <w:tcW w:w="1098" w:type="dxa"/>
            <w:vMerge w:val="restart"/>
            <w:vAlign w:val="center"/>
          </w:tcPr>
          <w:p>
            <w:pPr>
              <w:snapToGrid w:val="0"/>
              <w:jc w:val="center"/>
              <w:rPr>
                <w:rFonts w:ascii="宋体" w:hAnsi="宋体"/>
                <w:color w:val="auto"/>
                <w:szCs w:val="21"/>
                <w:highlight w:val="none"/>
              </w:rPr>
            </w:pPr>
            <w:r>
              <w:rPr>
                <w:rFonts w:hint="eastAsia" w:ascii="宋体" w:hAnsi="宋体"/>
                <w:color w:val="auto"/>
                <w:szCs w:val="21"/>
                <w:highlight w:val="none"/>
              </w:rPr>
              <w:t>资格评审标准</w:t>
            </w:r>
          </w:p>
        </w:tc>
        <w:tc>
          <w:tcPr>
            <w:tcW w:w="2132" w:type="dxa"/>
            <w:vAlign w:val="center"/>
          </w:tcPr>
          <w:p>
            <w:pPr>
              <w:snapToGrid w:val="0"/>
              <w:jc w:val="left"/>
              <w:rPr>
                <w:rFonts w:ascii="宋体" w:hAnsi="宋体"/>
                <w:color w:val="auto"/>
                <w:szCs w:val="21"/>
                <w:highlight w:val="none"/>
              </w:rPr>
            </w:pPr>
            <w:r>
              <w:rPr>
                <w:rFonts w:ascii="宋体" w:hAnsi="宋体"/>
                <w:color w:val="auto"/>
                <w:szCs w:val="21"/>
                <w:highlight w:val="none"/>
              </w:rPr>
              <w:t>营业执照和组织机构代码证</w:t>
            </w:r>
          </w:p>
        </w:tc>
        <w:tc>
          <w:tcPr>
            <w:tcW w:w="5252" w:type="dxa"/>
            <w:vAlign w:val="center"/>
          </w:tcPr>
          <w:p>
            <w:pPr>
              <w:snapToGrid w:val="0"/>
              <w:jc w:val="left"/>
              <w:rPr>
                <w:rFonts w:ascii="宋体" w:hAnsi="宋体"/>
                <w:color w:val="auto"/>
                <w:szCs w:val="21"/>
                <w:highlight w:val="none"/>
              </w:rPr>
            </w:pPr>
            <w:r>
              <w:rPr>
                <w:rFonts w:ascii="宋体" w:hAnsi="宋体"/>
                <w:color w:val="auto"/>
                <w:szCs w:val="21"/>
                <w:highlight w:val="none"/>
              </w:rPr>
              <w:t>符合第二章“投标人须知”第</w:t>
            </w:r>
            <w:r>
              <w:rPr>
                <w:rFonts w:hint="eastAsia" w:ascii="宋体" w:hAnsi="宋体"/>
                <w:color w:val="auto"/>
                <w:szCs w:val="21"/>
                <w:highlight w:val="none"/>
              </w:rPr>
              <w:t>3.5.2</w:t>
            </w:r>
            <w:r>
              <w:rPr>
                <w:rFonts w:ascii="宋体" w:hAnsi="宋体"/>
                <w:color w:val="auto"/>
                <w:szCs w:val="21"/>
                <w:highlight w:val="none"/>
              </w:rPr>
              <w:t>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资质要求</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hint="eastAsia" w:ascii="宋体" w:hAnsi="宋体"/>
                <w:color w:val="auto"/>
                <w:szCs w:val="21"/>
                <w:highlight w:val="none"/>
              </w:rPr>
              <w:t>总监理工程师</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其他要求</w:t>
            </w:r>
          </w:p>
        </w:tc>
        <w:tc>
          <w:tcPr>
            <w:tcW w:w="5252" w:type="dxa"/>
            <w:vAlign w:val="center"/>
          </w:tcPr>
          <w:p>
            <w:pPr>
              <w:snapToGrid w:val="0"/>
              <w:rPr>
                <w:color w:val="auto"/>
                <w:highlight w:val="none"/>
              </w:rPr>
            </w:pPr>
            <w:r>
              <w:rPr>
                <w:rFonts w:hint="eastAsia"/>
                <w:color w:val="auto"/>
                <w:highlight w:val="none"/>
              </w:rPr>
              <w:t>1）投标人已按照招标公告附件一要求的内容签署盖章的《投标人声明》。</w:t>
            </w:r>
          </w:p>
          <w:p>
            <w:pPr>
              <w:pStyle w:val="14"/>
              <w:rPr>
                <w:rFonts w:ascii="Calibri"/>
                <w:color w:val="auto"/>
                <w:highlight w:val="none"/>
              </w:rPr>
            </w:pPr>
            <w:r>
              <w:rPr>
                <w:rFonts w:hint="eastAsia" w:ascii="Calibri"/>
                <w:color w:val="auto"/>
                <w:highlight w:val="none"/>
              </w:rPr>
              <w:t>2）投标登记前，投标人已在广州公共资源交易中心办理企业信息登记及拟担任本工程总监理工程师须是本单位在企业库中的在册人员。</w:t>
            </w:r>
          </w:p>
          <w:p>
            <w:pPr>
              <w:pStyle w:val="14"/>
              <w:rPr>
                <w:color w:val="auto"/>
                <w:highlight w:val="none"/>
              </w:rPr>
            </w:pPr>
            <w:r>
              <w:rPr>
                <w:rFonts w:hint="eastAsia" w:ascii="Calibri"/>
                <w:color w:val="auto"/>
                <w:highlight w:val="none"/>
              </w:rPr>
              <w:t>3）未被纳入国家、市、区的失信联合惩戒名单且被限制参加建设工程投标（具体名单以递交投标文件截止时间“信用广州”</w:t>
            </w:r>
            <w:r>
              <w:rPr>
                <w:rFonts w:hint="eastAsia" w:hAnsi="Courier New" w:cs="Arial"/>
                <w:color w:val="auto"/>
                <w:szCs w:val="21"/>
                <w:highlight w:val="none"/>
              </w:rPr>
              <w:t>https://credit1.gz.gov.cn/sgs/sgsXkNew公布的 “失信黑名单”为准。不包含限制参加财政投资工程或政府投资工程的投标）。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snapToGrid w:val="0"/>
              <w:ind w:firstLine="420" w:firstLineChars="200"/>
              <w:rPr>
                <w:rFonts w:ascii="宋体" w:hAnsi="宋体"/>
                <w:color w:val="auto"/>
                <w:szCs w:val="21"/>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联合体投标人</w:t>
            </w:r>
          </w:p>
        </w:tc>
        <w:tc>
          <w:tcPr>
            <w:tcW w:w="5252" w:type="dxa"/>
            <w:vAlign w:val="center"/>
          </w:tcPr>
          <w:p>
            <w:pPr>
              <w:snapToGrid w:val="0"/>
              <w:rPr>
                <w:rFonts w:ascii="宋体" w:hAnsi="宋体"/>
                <w:color w:val="auto"/>
                <w:szCs w:val="21"/>
                <w:highlight w:val="none"/>
              </w:rPr>
            </w:pPr>
            <w:r>
              <w:rPr>
                <w:rFonts w:hint="eastAsia" w:ascii="宋体" w:hAnsi="Courier New" w:cs="Arial"/>
                <w:color w:val="auto"/>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rPr>
                <w:rFonts w:ascii="宋体" w:hAnsi="宋体"/>
                <w:color w:val="auto"/>
                <w:szCs w:val="21"/>
                <w:highlight w:val="none"/>
              </w:rPr>
            </w:pPr>
            <w:r>
              <w:rPr>
                <w:rFonts w:ascii="宋体" w:hAnsi="宋体"/>
                <w:color w:val="auto"/>
                <w:szCs w:val="21"/>
                <w:highlight w:val="none"/>
              </w:rPr>
              <w:t>不存在禁止投标的情形</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不存在第二章“投标人须知”第1.4.3项规定的任何一种情形</w:t>
            </w:r>
            <w:r>
              <w:rPr>
                <w:rFonts w:hint="eastAsia" w:ascii="宋体" w:hAnsi="宋体" w:cs="宋体"/>
                <w:color w:val="auto"/>
                <w:highlight w:val="none"/>
              </w:rPr>
              <w:t>（以招标公告投标人声明为准）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2.1.3</w:t>
            </w:r>
          </w:p>
        </w:tc>
        <w:tc>
          <w:tcPr>
            <w:tcW w:w="1098" w:type="dxa"/>
            <w:vMerge w:val="restart"/>
            <w:vAlign w:val="center"/>
          </w:tcPr>
          <w:p>
            <w:pPr>
              <w:jc w:val="center"/>
              <w:rPr>
                <w:rFonts w:ascii="Times New Roman" w:hAnsi="Times New Roman"/>
                <w:color w:val="auto"/>
                <w:highlight w:val="none"/>
              </w:rPr>
            </w:pPr>
            <w:r>
              <w:rPr>
                <w:rFonts w:ascii="Times New Roman" w:hAnsi="Times New Roman"/>
                <w:color w:val="auto"/>
                <w:highlight w:val="none"/>
              </w:rPr>
              <w:t>响应性评审标准</w:t>
            </w:r>
          </w:p>
        </w:tc>
        <w:tc>
          <w:tcPr>
            <w:tcW w:w="2132" w:type="dxa"/>
            <w:vAlign w:val="center"/>
          </w:tcPr>
          <w:p>
            <w:pPr>
              <w:snapToGrid w:val="0"/>
              <w:jc w:val="both"/>
              <w:rPr>
                <w:rFonts w:ascii="宋体" w:hAnsi="宋体"/>
                <w:color w:val="auto"/>
                <w:szCs w:val="21"/>
                <w:highlight w:val="none"/>
              </w:rPr>
            </w:pPr>
            <w:r>
              <w:rPr>
                <w:rFonts w:ascii="宋体" w:hAnsi="宋体"/>
                <w:color w:val="auto"/>
                <w:szCs w:val="21"/>
                <w:highlight w:val="none"/>
              </w:rPr>
              <w:t>投标报价</w:t>
            </w:r>
          </w:p>
        </w:tc>
        <w:tc>
          <w:tcPr>
            <w:tcW w:w="5252" w:type="dxa"/>
            <w:vAlign w:val="center"/>
          </w:tcPr>
          <w:p>
            <w:pPr>
              <w:snapToGrid w:val="0"/>
              <w:jc w:val="left"/>
              <w:rPr>
                <w:rFonts w:ascii="宋体" w:hAnsi="宋体"/>
                <w:color w:val="auto"/>
                <w:szCs w:val="21"/>
                <w:highlight w:val="none"/>
              </w:rPr>
            </w:pPr>
            <w:r>
              <w:rPr>
                <w:rFonts w:ascii="宋体" w:hAnsi="宋体"/>
                <w:color w:val="auto"/>
                <w:szCs w:val="21"/>
                <w:highlight w:val="none"/>
              </w:rPr>
              <w:t>符合第二章“投标人须知”第3.2款规定</w:t>
            </w:r>
            <w:r>
              <w:rPr>
                <w:rFonts w:hint="eastAsia" w:ascii="宋体" w:hAnsi="宋体"/>
                <w:color w:val="auto"/>
                <w:szCs w:val="21"/>
                <w:highlight w:val="none"/>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投标内容</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符合第二章“投标人须知”第 1.3.1 项规定；投标文件按规定的格式填写，内容齐全或关键字迹清晰、容易辨认。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监理服务期限</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符合第二章“投标人须知”第1.3.2项规定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hint="eastAsia" w:ascii="宋体" w:hAnsi="宋体"/>
                <w:color w:val="auto"/>
                <w:szCs w:val="21"/>
                <w:highlight w:val="none"/>
              </w:rPr>
              <w:t>质量标准</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投标有效期</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ascii="宋体" w:hAnsi="宋体"/>
                <w:color w:val="auto"/>
                <w:szCs w:val="21"/>
                <w:highlight w:val="none"/>
              </w:rPr>
              <w:t>投标保证金</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 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80" w:type="dxa"/>
            <w:gridSpan w:val="2"/>
            <w:vMerge w:val="continue"/>
            <w:vAlign w:val="center"/>
          </w:tcPr>
          <w:p>
            <w:pPr>
              <w:ind w:firstLine="420" w:firstLineChars="200"/>
              <w:rPr>
                <w:rFonts w:ascii="Times New Roman" w:hAnsi="Times New Roman"/>
                <w:color w:val="auto"/>
                <w:highlight w:val="none"/>
              </w:rPr>
            </w:pPr>
          </w:p>
        </w:tc>
        <w:tc>
          <w:tcPr>
            <w:tcW w:w="1098" w:type="dxa"/>
            <w:vMerge w:val="continue"/>
            <w:vAlign w:val="center"/>
          </w:tcPr>
          <w:p>
            <w:pPr>
              <w:ind w:firstLine="420" w:firstLineChars="200"/>
              <w:rPr>
                <w:rFonts w:ascii="Times New Roman" w:hAnsi="Times New Roman"/>
                <w:color w:val="auto"/>
                <w:highlight w:val="none"/>
              </w:rPr>
            </w:pPr>
          </w:p>
        </w:tc>
        <w:tc>
          <w:tcPr>
            <w:tcW w:w="2132" w:type="dxa"/>
            <w:vAlign w:val="center"/>
          </w:tcPr>
          <w:p>
            <w:pPr>
              <w:snapToGrid w:val="0"/>
              <w:ind w:firstLine="0" w:firstLineChars="0"/>
              <w:rPr>
                <w:rFonts w:ascii="宋体" w:hAnsi="宋体"/>
                <w:color w:val="auto"/>
                <w:szCs w:val="21"/>
                <w:highlight w:val="none"/>
              </w:rPr>
            </w:pPr>
            <w:r>
              <w:rPr>
                <w:rFonts w:hint="eastAsia" w:ascii="宋体" w:hAnsi="宋体"/>
                <w:color w:val="auto"/>
                <w:szCs w:val="21"/>
                <w:highlight w:val="none"/>
              </w:rPr>
              <w:t>串通投标情形</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8" w:type="dxa"/>
            <w:gridSpan w:val="3"/>
            <w:vAlign w:val="center"/>
          </w:tcPr>
          <w:p>
            <w:pPr>
              <w:snapToGrid w:val="0"/>
              <w:ind w:firstLine="422" w:firstLineChars="200"/>
              <w:rPr>
                <w:rFonts w:ascii="宋体" w:hAnsi="宋体"/>
                <w:b/>
                <w:color w:val="auto"/>
                <w:szCs w:val="21"/>
                <w:highlight w:val="none"/>
              </w:rPr>
            </w:pPr>
            <w:r>
              <w:rPr>
                <w:rFonts w:ascii="宋体" w:hAnsi="宋体"/>
                <w:b/>
                <w:color w:val="auto"/>
                <w:szCs w:val="21"/>
                <w:highlight w:val="none"/>
              </w:rPr>
              <w:t>条款号</w:t>
            </w:r>
          </w:p>
        </w:tc>
        <w:tc>
          <w:tcPr>
            <w:tcW w:w="2132" w:type="dxa"/>
            <w:vAlign w:val="center"/>
          </w:tcPr>
          <w:p>
            <w:pPr>
              <w:snapToGrid w:val="0"/>
              <w:ind w:firstLine="422" w:firstLineChars="200"/>
              <w:rPr>
                <w:rFonts w:ascii="宋体" w:hAnsi="宋体"/>
                <w:b/>
                <w:color w:val="auto"/>
                <w:szCs w:val="21"/>
                <w:highlight w:val="none"/>
              </w:rPr>
            </w:pPr>
            <w:r>
              <w:rPr>
                <w:rFonts w:ascii="宋体" w:hAnsi="宋体"/>
                <w:b/>
                <w:color w:val="auto"/>
                <w:szCs w:val="21"/>
                <w:highlight w:val="none"/>
              </w:rPr>
              <w:t>条款内容</w:t>
            </w:r>
          </w:p>
        </w:tc>
        <w:tc>
          <w:tcPr>
            <w:tcW w:w="5252" w:type="dxa"/>
            <w:vAlign w:val="center"/>
          </w:tcPr>
          <w:p>
            <w:pPr>
              <w:snapToGrid w:val="0"/>
              <w:ind w:firstLine="422" w:firstLineChars="20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978" w:type="dxa"/>
            <w:gridSpan w:val="3"/>
            <w:vAlign w:val="center"/>
          </w:tcPr>
          <w:p>
            <w:pPr>
              <w:jc w:val="center"/>
              <w:rPr>
                <w:rFonts w:ascii="Times New Roman" w:hAnsi="Times New Roman"/>
                <w:color w:val="auto"/>
                <w:highlight w:val="none"/>
              </w:rPr>
            </w:pPr>
            <w:r>
              <w:rPr>
                <w:rFonts w:ascii="Times New Roman" w:hAnsi="Times New Roman"/>
                <w:color w:val="auto"/>
                <w:highlight w:val="none"/>
              </w:rPr>
              <w:t>2.2.1</w:t>
            </w:r>
          </w:p>
        </w:tc>
        <w:tc>
          <w:tcPr>
            <w:tcW w:w="2132" w:type="dxa"/>
            <w:vAlign w:val="center"/>
          </w:tcPr>
          <w:p>
            <w:pPr>
              <w:snapToGrid w:val="0"/>
              <w:jc w:val="both"/>
              <w:rPr>
                <w:rFonts w:ascii="宋体" w:hAnsi="宋体"/>
                <w:color w:val="auto"/>
                <w:szCs w:val="21"/>
                <w:highlight w:val="none"/>
              </w:rPr>
            </w:pPr>
            <w:r>
              <w:rPr>
                <w:rFonts w:ascii="宋体" w:hAnsi="宋体"/>
                <w:color w:val="auto"/>
                <w:szCs w:val="21"/>
                <w:highlight w:val="none"/>
              </w:rPr>
              <w:t>分值构成(总分100分)</w:t>
            </w:r>
          </w:p>
        </w:tc>
        <w:tc>
          <w:tcPr>
            <w:tcW w:w="5252" w:type="dxa"/>
            <w:vAlign w:val="center"/>
          </w:tcPr>
          <w:p>
            <w:pPr>
              <w:rPr>
                <w:rFonts w:ascii="宋体" w:hAnsi="宋体" w:cs="宋体"/>
                <w:color w:val="auto"/>
                <w:szCs w:val="21"/>
                <w:highlight w:val="none"/>
              </w:rPr>
            </w:pPr>
            <w:r>
              <w:rPr>
                <w:rFonts w:hint="eastAsia" w:ascii="宋体" w:hAnsi="宋体" w:cs="宋体"/>
                <w:color w:val="auto"/>
                <w:szCs w:val="21"/>
                <w:highlight w:val="none"/>
              </w:rPr>
              <w:t>A.资信业绩部分</w:t>
            </w:r>
            <w:r>
              <w:rPr>
                <w:rFonts w:hint="eastAsia"/>
                <w:color w:val="auto"/>
                <w:szCs w:val="21"/>
                <w:highlight w:val="none"/>
              </w:rPr>
              <w:t>：</w:t>
            </w:r>
            <w:r>
              <w:rPr>
                <w:rFonts w:hint="eastAsia" w:ascii="宋体" w:hAnsi="宋体" w:cs="宋体"/>
                <w:color w:val="auto"/>
                <w:szCs w:val="21"/>
                <w:highlight w:val="none"/>
              </w:rPr>
              <w:t>40分</w:t>
            </w:r>
          </w:p>
          <w:p>
            <w:pPr>
              <w:rPr>
                <w:rFonts w:ascii="宋体" w:hAnsi="宋体" w:cs="宋体"/>
                <w:color w:val="auto"/>
                <w:szCs w:val="21"/>
                <w:highlight w:val="none"/>
              </w:rPr>
            </w:pPr>
            <w:r>
              <w:rPr>
                <w:rFonts w:hint="eastAsia" w:ascii="宋体" w:hAnsi="宋体" w:cs="宋体"/>
                <w:color w:val="auto"/>
                <w:szCs w:val="21"/>
                <w:highlight w:val="none"/>
              </w:rPr>
              <w:t>B.监理大纲部分</w:t>
            </w:r>
            <w:r>
              <w:rPr>
                <w:rFonts w:hint="eastAsia"/>
                <w:color w:val="auto"/>
                <w:szCs w:val="21"/>
                <w:highlight w:val="none"/>
              </w:rPr>
              <w:t>：</w:t>
            </w:r>
            <w:r>
              <w:rPr>
                <w:rFonts w:hint="eastAsia" w:ascii="宋体" w:hAnsi="宋体" w:cs="宋体"/>
                <w:color w:val="auto"/>
                <w:szCs w:val="21"/>
                <w:highlight w:val="none"/>
              </w:rPr>
              <w:t>40分</w:t>
            </w:r>
          </w:p>
          <w:p>
            <w:pPr>
              <w:rPr>
                <w:rFonts w:ascii="宋体" w:hAnsi="宋体" w:cs="宋体"/>
                <w:color w:val="auto"/>
                <w:szCs w:val="21"/>
                <w:highlight w:val="none"/>
              </w:rPr>
            </w:pPr>
            <w:r>
              <w:rPr>
                <w:rFonts w:hint="eastAsia" w:ascii="宋体" w:hAnsi="宋体" w:cs="宋体"/>
                <w:color w:val="auto"/>
                <w:szCs w:val="21"/>
                <w:highlight w:val="none"/>
              </w:rPr>
              <w:t>C.投标报价</w:t>
            </w:r>
            <w:r>
              <w:rPr>
                <w:rFonts w:hint="eastAsia"/>
                <w:color w:val="auto"/>
                <w:szCs w:val="21"/>
                <w:highlight w:val="none"/>
              </w:rPr>
              <w:t>：</w:t>
            </w:r>
            <w:r>
              <w:rPr>
                <w:rFonts w:hint="eastAsia" w:ascii="宋体" w:hAnsi="宋体" w:cs="宋体"/>
                <w:color w:val="auto"/>
                <w:szCs w:val="21"/>
                <w:highlight w:val="none"/>
              </w:rPr>
              <w:t>20分</w:t>
            </w:r>
          </w:p>
          <w:p>
            <w:pPr>
              <w:rPr>
                <w:rFonts w:ascii="宋体" w:hAnsi="宋体" w:cs="宋体"/>
                <w:strike/>
                <w:color w:val="auto"/>
                <w:szCs w:val="21"/>
                <w:highlight w:val="none"/>
              </w:rPr>
            </w:pPr>
            <w:r>
              <w:rPr>
                <w:rFonts w:hint="eastAsia" w:ascii="宋体" w:hAnsi="宋体" w:cs="宋体"/>
                <w:color w:val="auto"/>
                <w:szCs w:val="21"/>
                <w:highlight w:val="none"/>
              </w:rPr>
              <w:t>D.其他评分因素：企业诚信综合评价排名得分</w:t>
            </w:r>
          </w:p>
          <w:p>
            <w:pPr>
              <w:rPr>
                <w:rFonts w:ascii="宋体" w:hAnsi="宋体" w:cs="宋体"/>
                <w:color w:val="auto"/>
                <w:szCs w:val="21"/>
                <w:highlight w:val="none"/>
              </w:rPr>
            </w:pPr>
            <w:r>
              <w:rPr>
                <w:rFonts w:hint="eastAsia" w:ascii="宋体" w:hAnsi="宋体" w:cs="宋体"/>
                <w:color w:val="auto"/>
                <w:szCs w:val="21"/>
                <w:highlight w:val="none"/>
              </w:rPr>
              <w:t>注：</w:t>
            </w:r>
          </w:p>
          <w:p>
            <w:pPr>
              <w:rPr>
                <w:rFonts w:ascii="宋体" w:hAnsi="宋体" w:cs="宋体"/>
                <w:color w:val="auto"/>
                <w:szCs w:val="21"/>
                <w:highlight w:val="none"/>
              </w:rPr>
            </w:pPr>
            <w:r>
              <w:rPr>
                <w:rFonts w:hint="eastAsia" w:ascii="宋体" w:hAnsi="宋体" w:cs="宋体"/>
                <w:color w:val="auto"/>
                <w:szCs w:val="21"/>
                <w:highlight w:val="none"/>
              </w:rPr>
              <w:t>1）投标人综合得分为各评委的评分去掉一个最高分和一个最低分后计取的算术平均分（分数出现小数点时，保留小数点后二位，第三位小数四舍五入）。</w:t>
            </w:r>
          </w:p>
          <w:p>
            <w:pPr>
              <w:rPr>
                <w:rFonts w:ascii="宋体" w:hAnsi="宋体" w:cs="宋体"/>
                <w:color w:val="auto"/>
                <w:szCs w:val="21"/>
                <w:highlight w:val="none"/>
              </w:rPr>
            </w:pPr>
            <w:r>
              <w:rPr>
                <w:rFonts w:hint="eastAsia" w:ascii="宋体" w:hAnsi="宋体" w:cs="宋体"/>
                <w:color w:val="auto"/>
                <w:szCs w:val="21"/>
                <w:highlight w:val="none"/>
              </w:rPr>
              <w:t>2）投标人综合得分权重95%；企业诚信综合评价排名得分权重5%；</w:t>
            </w:r>
          </w:p>
          <w:p>
            <w:pPr>
              <w:rPr>
                <w:rFonts w:ascii="宋体" w:hAnsi="宋体" w:cs="宋体"/>
                <w:color w:val="auto"/>
                <w:szCs w:val="21"/>
                <w:highlight w:val="none"/>
              </w:rPr>
            </w:pPr>
            <w:r>
              <w:rPr>
                <w:rFonts w:hint="eastAsia" w:ascii="宋体" w:hAnsi="宋体" w:cs="宋体"/>
                <w:color w:val="auto"/>
                <w:szCs w:val="21"/>
                <w:highlight w:val="none"/>
              </w:rPr>
              <w:t>3）投标人总得分=投标人综合得分（</w:t>
            </w:r>
            <w:r>
              <w:rPr>
                <w:rFonts w:ascii="宋体" w:hAnsi="宋体" w:cs="宋体"/>
                <w:color w:val="auto"/>
                <w:szCs w:val="21"/>
                <w:highlight w:val="none"/>
              </w:rPr>
              <w:t>A+B+C</w:t>
            </w:r>
            <w:r>
              <w:rPr>
                <w:rFonts w:hint="eastAsia" w:ascii="宋体" w:hAnsi="宋体" w:cs="宋体"/>
                <w:color w:val="auto"/>
                <w:szCs w:val="21"/>
                <w:highlight w:val="none"/>
              </w:rPr>
              <w:t>）*95%+企业诚信得分D*5%。（综合得分乘权重后最高得分为95分，诚信综合评价排名得分乘权重后最高得分为5分。）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978" w:type="dxa"/>
            <w:gridSpan w:val="3"/>
            <w:vAlign w:val="center"/>
          </w:tcPr>
          <w:p>
            <w:pPr>
              <w:jc w:val="center"/>
              <w:rPr>
                <w:rFonts w:ascii="Times New Roman" w:hAnsi="Times New Roman"/>
                <w:color w:val="auto"/>
                <w:highlight w:val="none"/>
              </w:rPr>
            </w:pPr>
            <w:r>
              <w:rPr>
                <w:rFonts w:ascii="Times New Roman" w:hAnsi="Times New Roman"/>
                <w:color w:val="auto"/>
                <w:highlight w:val="none"/>
              </w:rPr>
              <w:t>2.2.2</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评标基准价计算方法</w:t>
            </w:r>
          </w:p>
        </w:tc>
        <w:tc>
          <w:tcPr>
            <w:tcW w:w="5252" w:type="dxa"/>
            <w:vAlign w:val="center"/>
          </w:tcPr>
          <w:p>
            <w:pPr>
              <w:autoSpaceDE w:val="0"/>
              <w:autoSpaceDN w:val="0"/>
              <w:adjustRightInd w:val="0"/>
              <w:jc w:val="left"/>
              <w:rPr>
                <w:rFonts w:ascii="宋体" w:hAnsi="Times New Roman" w:cs="宋体"/>
                <w:color w:val="auto"/>
                <w:kern w:val="0"/>
                <w:szCs w:val="21"/>
                <w:highlight w:val="none"/>
              </w:rPr>
            </w:pPr>
            <w:r>
              <w:rPr>
                <w:rFonts w:hint="eastAsia" w:ascii="宋体" w:hAnsi="Times New Roman" w:cs="宋体"/>
                <w:color w:val="auto"/>
                <w:kern w:val="0"/>
                <w:szCs w:val="21"/>
                <w:highlight w:val="none"/>
              </w:rPr>
              <w:t>当通过形式评审、资格评审、响应性评审的有效投标人大于或等于</w:t>
            </w:r>
            <w:r>
              <w:rPr>
                <w:rFonts w:ascii="宋体" w:hAnsi="Times New Roman" w:cs="宋体"/>
                <w:color w:val="auto"/>
                <w:kern w:val="0"/>
                <w:szCs w:val="21"/>
                <w:highlight w:val="none"/>
              </w:rPr>
              <w:t xml:space="preserve">5 </w:t>
            </w:r>
            <w:r>
              <w:rPr>
                <w:rFonts w:hint="eastAsia" w:ascii="宋体" w:hAnsi="Times New Roman" w:cs="宋体"/>
                <w:color w:val="auto"/>
                <w:kern w:val="0"/>
                <w:szCs w:val="21"/>
                <w:highlight w:val="none"/>
              </w:rPr>
              <w:t>名且投标报价为有效投标价时，去掉一个最高价和一个最低价，取余下有效投标价的算术平均值作为评标基准价。当通过形式评审、资格评审、响应性评审的有效投标人小于</w:t>
            </w:r>
            <w:r>
              <w:rPr>
                <w:rFonts w:ascii="宋体" w:hAnsi="Times New Roman" w:cs="宋体"/>
                <w:color w:val="auto"/>
                <w:kern w:val="0"/>
                <w:szCs w:val="21"/>
                <w:highlight w:val="none"/>
              </w:rPr>
              <w:t xml:space="preserve">5 </w:t>
            </w:r>
            <w:r>
              <w:rPr>
                <w:rFonts w:hint="eastAsia" w:ascii="宋体" w:hAnsi="Times New Roman" w:cs="宋体"/>
                <w:color w:val="auto"/>
                <w:kern w:val="0"/>
                <w:szCs w:val="21"/>
                <w:highlight w:val="none"/>
              </w:rPr>
              <w:t>名时，取所有入围的有效投标价的算术平均值作为评标基准价。</w:t>
            </w:r>
            <w:r>
              <w:rPr>
                <w:rFonts w:ascii="宋体" w:hAnsi="Times New Roman" w:cs="宋体"/>
                <w:color w:val="auto"/>
                <w:kern w:val="0"/>
                <w:szCs w:val="21"/>
                <w:highlight w:val="none"/>
              </w:rPr>
              <w:t>(</w:t>
            </w:r>
            <w:r>
              <w:rPr>
                <w:rFonts w:hint="eastAsia" w:ascii="宋体" w:hAnsi="Times New Roman" w:cs="宋体"/>
                <w:color w:val="auto"/>
                <w:kern w:val="0"/>
                <w:szCs w:val="21"/>
                <w:highlight w:val="none"/>
              </w:rPr>
              <w:t>有效报价范围为</w:t>
            </w:r>
            <w:r>
              <w:rPr>
                <w:rFonts w:ascii="宋体" w:hAnsi="Times New Roman" w:cs="宋体"/>
                <w:color w:val="auto"/>
                <w:kern w:val="0"/>
                <w:szCs w:val="21"/>
                <w:highlight w:val="none"/>
              </w:rPr>
              <w:t>[</w:t>
            </w:r>
            <w:r>
              <w:rPr>
                <w:rFonts w:hint="eastAsia" w:ascii="宋体" w:hAnsi="Times New Roman" w:cs="宋体"/>
                <w:color w:val="auto"/>
                <w:kern w:val="0"/>
                <w:szCs w:val="21"/>
                <w:highlight w:val="none"/>
              </w:rPr>
              <w:t>最高投标限价×</w:t>
            </w:r>
            <w:r>
              <w:rPr>
                <w:rFonts w:ascii="宋体" w:hAnsi="Times New Roman" w:cs="宋体"/>
                <w:color w:val="auto"/>
                <w:kern w:val="0"/>
                <w:szCs w:val="21"/>
                <w:highlight w:val="none"/>
              </w:rPr>
              <w:t>80%</w:t>
            </w:r>
            <w:r>
              <w:rPr>
                <w:rFonts w:hint="eastAsia" w:ascii="宋体" w:hAnsi="Times New Roman" w:cs="宋体"/>
                <w:color w:val="auto"/>
                <w:kern w:val="0"/>
                <w:szCs w:val="21"/>
                <w:highlight w:val="none"/>
              </w:rPr>
              <w:t>，最高投标限价</w:t>
            </w:r>
            <w:r>
              <w:rPr>
                <w:rFonts w:ascii="宋体" w:hAnsi="Times New Roman" w:cs="宋体"/>
                <w:color w:val="auto"/>
                <w:kern w:val="0"/>
                <w:szCs w:val="21"/>
                <w:highlight w:val="none"/>
              </w:rPr>
              <w:t>]</w:t>
            </w:r>
            <w:r>
              <w:rPr>
                <w:rFonts w:hint="eastAsia" w:ascii="宋体" w:hAnsi="Times New Roman" w:cs="宋体"/>
                <w:color w:val="auto"/>
                <w:kern w:val="0"/>
                <w:szCs w:val="21"/>
                <w:highlight w:val="none"/>
              </w:rPr>
              <w:t>，超过此范围的报价不参与评标基准价的计算</w:t>
            </w:r>
            <w:r>
              <w:rPr>
                <w:rFonts w:ascii="宋体" w:hAnsi="Times New Roman" w:cs="宋体"/>
                <w:color w:val="auto"/>
                <w:kern w:val="0"/>
                <w:szCs w:val="21"/>
                <w:highlight w:val="none"/>
              </w:rPr>
              <w:t>)</w:t>
            </w:r>
            <w:r>
              <w:rPr>
                <w:rFonts w:hint="eastAsia" w:ascii="宋体" w:hAnsi="Times New Roman"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78" w:type="dxa"/>
            <w:gridSpan w:val="3"/>
            <w:vAlign w:val="center"/>
          </w:tcPr>
          <w:p>
            <w:pPr>
              <w:jc w:val="center"/>
              <w:rPr>
                <w:rFonts w:ascii="Times New Roman" w:hAnsi="Times New Roman"/>
                <w:color w:val="auto"/>
                <w:highlight w:val="none"/>
              </w:rPr>
            </w:pPr>
            <w:r>
              <w:rPr>
                <w:rFonts w:ascii="Times New Roman" w:hAnsi="Times New Roman"/>
                <w:color w:val="auto"/>
                <w:highlight w:val="none"/>
              </w:rPr>
              <w:t>2.2.3</w:t>
            </w:r>
          </w:p>
        </w:tc>
        <w:tc>
          <w:tcPr>
            <w:tcW w:w="2132" w:type="dxa"/>
            <w:vAlign w:val="center"/>
          </w:tcPr>
          <w:p>
            <w:pPr>
              <w:snapToGrid w:val="0"/>
              <w:jc w:val="left"/>
              <w:rPr>
                <w:rFonts w:ascii="Times New Roman" w:hAnsi="Times New Roman"/>
                <w:color w:val="auto"/>
                <w:highlight w:val="none"/>
              </w:rPr>
            </w:pPr>
            <w:r>
              <w:rPr>
                <w:rFonts w:ascii="宋体" w:hAnsi="宋体"/>
                <w:color w:val="auto"/>
                <w:szCs w:val="21"/>
                <w:highlight w:val="none"/>
              </w:rPr>
              <w:t>投标报价的偏差率计算公式</w:t>
            </w:r>
          </w:p>
        </w:tc>
        <w:tc>
          <w:tcPr>
            <w:tcW w:w="5252" w:type="dxa"/>
            <w:vAlign w:val="center"/>
          </w:tcPr>
          <w:p>
            <w:pPr>
              <w:snapToGrid w:val="0"/>
              <w:jc w:val="left"/>
              <w:rPr>
                <w:rFonts w:ascii="宋体" w:hAnsi="宋体"/>
                <w:color w:val="auto"/>
                <w:spacing w:val="-3"/>
                <w:highlight w:val="none"/>
              </w:rPr>
            </w:pPr>
            <w:r>
              <w:rPr>
                <w:rFonts w:ascii="宋体" w:hAnsi="宋体"/>
                <w:color w:val="auto"/>
                <w:spacing w:val="-3"/>
                <w:highlight w:val="none"/>
              </w:rPr>
              <w:t>偏差率=100% ×|（投标人报价-评标基准价）|/评标基准价（偏差率出现小数点时，保留小数点后2位，第三位小数四舍五入。</w:t>
            </w:r>
            <w:r>
              <w:rPr>
                <w:rFonts w:hint="eastAsia" w:ascii="宋体" w:hAnsi="Courier New"/>
                <w:color w:val="auto"/>
                <w:szCs w:val="21"/>
                <w:highlight w:val="none"/>
              </w:rPr>
              <w:t>报价偏差率不足1%的，按直线内插法计算投标报价得分</w:t>
            </w:r>
            <w:r>
              <w:rPr>
                <w:rFonts w:ascii="宋体" w:hAnsi="宋体"/>
                <w:color w:val="auto"/>
                <w:spacing w:val="-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978" w:type="dxa"/>
            <w:gridSpan w:val="3"/>
            <w:vAlign w:val="center"/>
          </w:tcPr>
          <w:p>
            <w:pPr>
              <w:pStyle w:val="29"/>
              <w:kinsoku w:val="0"/>
              <w:overflowPunct w:val="0"/>
              <w:spacing w:before="71"/>
              <w:ind w:right="309"/>
              <w:jc w:val="center"/>
              <w:rPr>
                <w:rFonts w:hint="default"/>
                <w:color w:val="auto"/>
                <w:highlight w:val="none"/>
              </w:rPr>
            </w:pPr>
            <w:r>
              <w:rPr>
                <w:rFonts w:ascii="宋体" w:hAnsi="宋体"/>
                <w:color w:val="auto"/>
                <w:highlight w:val="none"/>
              </w:rPr>
              <w:t>条款号</w:t>
            </w:r>
          </w:p>
        </w:tc>
        <w:tc>
          <w:tcPr>
            <w:tcW w:w="2132" w:type="dxa"/>
            <w:vAlign w:val="center"/>
          </w:tcPr>
          <w:p>
            <w:pPr>
              <w:pStyle w:val="29"/>
              <w:kinsoku w:val="0"/>
              <w:overflowPunct w:val="0"/>
              <w:spacing w:before="71"/>
              <w:jc w:val="center"/>
              <w:rPr>
                <w:rFonts w:hint="default"/>
                <w:color w:val="auto"/>
                <w:highlight w:val="none"/>
              </w:rPr>
            </w:pPr>
            <w:r>
              <w:rPr>
                <w:rFonts w:ascii="宋体" w:hAnsi="宋体"/>
                <w:color w:val="auto"/>
                <w:highlight w:val="none"/>
              </w:rPr>
              <w:t>评分因素（偏差率）</w:t>
            </w:r>
          </w:p>
        </w:tc>
        <w:tc>
          <w:tcPr>
            <w:tcW w:w="5252" w:type="dxa"/>
            <w:vAlign w:val="center"/>
          </w:tcPr>
          <w:p>
            <w:pPr>
              <w:pStyle w:val="29"/>
              <w:kinsoku w:val="0"/>
              <w:overflowPunct w:val="0"/>
              <w:spacing w:before="71"/>
              <w:ind w:left="1895" w:right="1655"/>
              <w:jc w:val="left"/>
              <w:rPr>
                <w:rFonts w:hint="default"/>
                <w:color w:val="auto"/>
                <w:highlight w:val="none"/>
              </w:rPr>
            </w:pPr>
            <w:r>
              <w:rPr>
                <w:rFonts w:ascii="宋体" w:hAnsi="宋体"/>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1" w:type="dxa"/>
            <w:vMerge w:val="restart"/>
            <w:vAlign w:val="center"/>
          </w:tcPr>
          <w:p>
            <w:pPr>
              <w:pStyle w:val="29"/>
              <w:kinsoku w:val="0"/>
              <w:overflowPunct w:val="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29"/>
              <w:kinsoku w:val="0"/>
              <w:overflowPunct w:val="0"/>
              <w:spacing w:before="6" w:line="110" w:lineRule="exact"/>
              <w:ind w:left="-63" w:leftChars="-30" w:right="-111" w:rightChars="-53" w:firstLine="33" w:firstLineChars="30"/>
              <w:jc w:val="center"/>
              <w:rPr>
                <w:rFonts w:hint="default"/>
                <w:color w:val="auto"/>
                <w:sz w:val="11"/>
                <w:highlight w:val="none"/>
              </w:rPr>
            </w:pPr>
          </w:p>
          <w:p>
            <w:pPr>
              <w:pStyle w:val="29"/>
              <w:kinsoku w:val="0"/>
              <w:overflowPunct w:val="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1</w:t>
            </w:r>
            <w:r>
              <w:rPr>
                <w:rFonts w:ascii="宋体" w:hAnsi="宋体"/>
                <w:color w:val="auto"/>
                <w:highlight w:val="none"/>
              </w:rPr>
              <w:t>）</w:t>
            </w:r>
          </w:p>
        </w:tc>
        <w:tc>
          <w:tcPr>
            <w:tcW w:w="1287" w:type="dxa"/>
            <w:gridSpan w:val="2"/>
            <w:vMerge w:val="restart"/>
            <w:vAlign w:val="center"/>
          </w:tcPr>
          <w:p>
            <w:pPr>
              <w:ind w:left="315" w:hanging="315" w:hangingChars="150"/>
              <w:jc w:val="center"/>
              <w:rPr>
                <w:rFonts w:ascii="宋体" w:hAnsi="宋体"/>
                <w:color w:val="auto"/>
                <w:highlight w:val="none"/>
              </w:rPr>
            </w:pPr>
            <w:bookmarkStart w:id="501" w:name="_Hlk108684420"/>
            <w:r>
              <w:rPr>
                <w:rFonts w:hint="eastAsia" w:ascii="宋体" w:hAnsi="宋体"/>
                <w:color w:val="auto"/>
                <w:highlight w:val="none"/>
              </w:rPr>
              <w:t>资信</w:t>
            </w:r>
            <w:r>
              <w:rPr>
                <w:rFonts w:hint="eastAsia" w:ascii="宋体" w:hAnsi="宋体"/>
                <w:color w:val="auto"/>
                <w:spacing w:val="-3"/>
                <w:highlight w:val="none"/>
              </w:rPr>
              <w:t>业</w:t>
            </w:r>
            <w:r>
              <w:rPr>
                <w:rFonts w:hint="eastAsia" w:ascii="宋体" w:hAnsi="宋体"/>
                <w:color w:val="auto"/>
                <w:highlight w:val="none"/>
              </w:rPr>
              <w:t>绩</w:t>
            </w:r>
          </w:p>
          <w:p>
            <w:pPr>
              <w:ind w:left="315" w:hanging="315" w:hangingChars="150"/>
              <w:jc w:val="center"/>
              <w:rPr>
                <w:rFonts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pStyle w:val="29"/>
              <w:kinsoku w:val="0"/>
              <w:overflowPunct w:val="0"/>
              <w:spacing w:line="342" w:lineRule="auto"/>
              <w:ind w:left="-115" w:leftChars="-55" w:right="-122" w:rightChars="-58"/>
              <w:jc w:val="center"/>
              <w:rPr>
                <w:rFonts w:hint="default"/>
                <w:color w:val="auto"/>
                <w:highlight w:val="none"/>
              </w:rPr>
            </w:pPr>
            <w:r>
              <w:rPr>
                <w:rFonts w:ascii="宋体" w:hAnsi="宋体"/>
                <w:color w:val="auto"/>
                <w:highlight w:val="none"/>
              </w:rPr>
              <w:t>（40分）</w:t>
            </w:r>
            <w:bookmarkEnd w:id="501"/>
          </w:p>
        </w:tc>
        <w:tc>
          <w:tcPr>
            <w:tcW w:w="2132" w:type="dxa"/>
            <w:vAlign w:val="center"/>
          </w:tcPr>
          <w:p>
            <w:pPr>
              <w:snapToGrid w:val="0"/>
              <w:jc w:val="both"/>
              <w:rPr>
                <w:rFonts w:ascii="宋体" w:hAnsi="宋体"/>
                <w:color w:val="auto"/>
                <w:spacing w:val="-3"/>
                <w:highlight w:val="none"/>
                <w:lang w:val="zh-CN"/>
              </w:rPr>
            </w:pPr>
            <w:r>
              <w:rPr>
                <w:rFonts w:ascii="宋体" w:hAnsi="宋体"/>
                <w:color w:val="auto"/>
                <w:spacing w:val="-3"/>
                <w:highlight w:val="none"/>
                <w:lang w:val="zh-CN"/>
              </w:rPr>
              <w:t>类似</w:t>
            </w:r>
            <w:r>
              <w:rPr>
                <w:rFonts w:hint="eastAsia" w:ascii="宋体" w:hAnsi="宋体"/>
                <w:color w:val="auto"/>
                <w:spacing w:val="-3"/>
                <w:highlight w:val="none"/>
                <w:lang w:val="zh-CN"/>
              </w:rPr>
              <w:t>项目</w:t>
            </w:r>
            <w:r>
              <w:rPr>
                <w:rFonts w:ascii="宋体" w:hAnsi="宋体"/>
                <w:color w:val="auto"/>
                <w:spacing w:val="-3"/>
                <w:highlight w:val="none"/>
                <w:lang w:val="zh-CN"/>
              </w:rPr>
              <w:t>业绩（</w:t>
            </w:r>
            <w:r>
              <w:rPr>
                <w:rFonts w:hint="eastAsia" w:ascii="宋体" w:hAnsi="宋体"/>
                <w:color w:val="auto"/>
                <w:spacing w:val="-3"/>
                <w:highlight w:val="none"/>
                <w:lang w:val="en-US" w:eastAsia="zh-CN"/>
              </w:rPr>
              <w:t>4</w:t>
            </w:r>
            <w:r>
              <w:rPr>
                <w:rFonts w:ascii="宋体" w:hAnsi="宋体"/>
                <w:color w:val="auto"/>
                <w:spacing w:val="-3"/>
                <w:highlight w:val="none"/>
                <w:lang w:val="zh-CN"/>
              </w:rPr>
              <w:t>分）</w:t>
            </w:r>
          </w:p>
        </w:tc>
        <w:tc>
          <w:tcPr>
            <w:tcW w:w="5252" w:type="dxa"/>
            <w:vAlign w:val="center"/>
          </w:tcPr>
          <w:p>
            <w:pPr>
              <w:topLinePunct/>
              <w:spacing w:line="300" w:lineRule="auto"/>
              <w:rPr>
                <w:color w:val="auto"/>
                <w:highlight w:val="none"/>
              </w:rPr>
            </w:pPr>
            <w:r>
              <w:rPr>
                <w:rFonts w:hint="eastAsia" w:ascii="宋体" w:hAnsi="宋体" w:cs="宋体"/>
                <w:color w:val="auto"/>
                <w:szCs w:val="21"/>
                <w:highlight w:val="none"/>
              </w:rPr>
              <w:t>类似监理业绩：自2017年1月1日至今完成过质量合格的类似工程，一项得</w:t>
            </w:r>
            <w:r>
              <w:rPr>
                <w:rFonts w:ascii="宋体" w:hAnsi="宋体" w:cs="宋体"/>
                <w:color w:val="auto"/>
                <w:szCs w:val="21"/>
                <w:highlight w:val="none"/>
              </w:rPr>
              <w:t>1</w:t>
            </w:r>
            <w:r>
              <w:rPr>
                <w:rFonts w:hint="eastAsia" w:ascii="宋体" w:hAnsi="宋体" w:cs="宋体"/>
                <w:color w:val="auto"/>
                <w:szCs w:val="21"/>
                <w:highlight w:val="none"/>
              </w:rPr>
              <w:t>分。本项最多得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snapToGrid w:val="0"/>
              <w:rPr>
                <w:rFonts w:ascii="宋体" w:hAnsi="宋体"/>
                <w:color w:val="auto"/>
                <w:spacing w:val="-3"/>
                <w:highlight w:val="none"/>
                <w:lang w:val="zh-CN"/>
              </w:rPr>
            </w:pPr>
            <w:r>
              <w:rPr>
                <w:rFonts w:hint="eastAsia" w:ascii="宋体" w:hAnsi="宋体"/>
                <w:color w:val="auto"/>
                <w:spacing w:val="-3"/>
                <w:highlight w:val="none"/>
                <w:lang w:val="zh-CN"/>
              </w:rPr>
              <w:t>获奖监理业绩</w:t>
            </w:r>
            <w:r>
              <w:rPr>
                <w:rFonts w:ascii="宋体" w:hAnsi="宋体"/>
                <w:color w:val="auto"/>
                <w:spacing w:val="-3"/>
                <w:highlight w:val="none"/>
                <w:lang w:val="zh-CN"/>
              </w:rPr>
              <w:t>（</w:t>
            </w:r>
            <w:r>
              <w:rPr>
                <w:rFonts w:hint="eastAsia" w:ascii="宋体" w:hAnsi="宋体"/>
                <w:color w:val="auto"/>
                <w:spacing w:val="-3"/>
                <w:highlight w:val="none"/>
                <w:lang w:val="en-US" w:eastAsia="zh-CN"/>
              </w:rPr>
              <w:t>6</w:t>
            </w:r>
            <w:r>
              <w:rPr>
                <w:rFonts w:ascii="宋体" w:hAnsi="宋体"/>
                <w:color w:val="auto"/>
                <w:spacing w:val="-3"/>
                <w:highlight w:val="none"/>
                <w:lang w:val="zh-CN"/>
              </w:rPr>
              <w:t>分）</w:t>
            </w:r>
          </w:p>
        </w:tc>
        <w:tc>
          <w:tcPr>
            <w:tcW w:w="5252" w:type="dxa"/>
            <w:vAlign w:val="center"/>
          </w:tcPr>
          <w:p>
            <w:pPr>
              <w:contextualSpacing/>
              <w:rPr>
                <w:rFonts w:ascii="宋体" w:hAnsi="宋体" w:cs="宋体"/>
                <w:color w:val="auto"/>
                <w:szCs w:val="21"/>
                <w:highlight w:val="none"/>
              </w:rPr>
            </w:pPr>
            <w:r>
              <w:rPr>
                <w:rFonts w:hint="eastAsia" w:ascii="宋体" w:hAnsi="宋体" w:cs="宋体"/>
                <w:color w:val="auto"/>
                <w:szCs w:val="21"/>
                <w:highlight w:val="none"/>
              </w:rPr>
              <w:t>获奖监理业绩：自2017年1月1日至今完成过质量合格的类似工程：</w:t>
            </w:r>
          </w:p>
          <w:p>
            <w:pPr>
              <w:contextualSpacing/>
              <w:rPr>
                <w:rFonts w:ascii="宋体" w:hAnsi="宋体" w:cs="宋体"/>
                <w:color w:val="auto"/>
                <w:szCs w:val="21"/>
                <w:highlight w:val="none"/>
              </w:rPr>
            </w:pPr>
            <w:r>
              <w:rPr>
                <w:rFonts w:hint="eastAsia" w:ascii="宋体" w:hAnsi="宋体" w:cs="宋体"/>
                <w:color w:val="auto"/>
                <w:szCs w:val="21"/>
                <w:highlight w:val="none"/>
              </w:rPr>
              <w:t>获得国家级奖项的一项得2分；</w:t>
            </w:r>
          </w:p>
          <w:p>
            <w:pPr>
              <w:contextualSpacing/>
              <w:rPr>
                <w:rFonts w:ascii="宋体" w:hAnsi="宋体" w:cs="宋体"/>
                <w:color w:val="auto"/>
                <w:szCs w:val="21"/>
                <w:highlight w:val="none"/>
              </w:rPr>
            </w:pPr>
            <w:r>
              <w:rPr>
                <w:rFonts w:hint="eastAsia" w:ascii="宋体" w:hAnsi="宋体" w:cs="宋体"/>
                <w:color w:val="auto"/>
                <w:szCs w:val="21"/>
                <w:highlight w:val="none"/>
              </w:rPr>
              <w:t>获得省级奖项的一项得1分；</w:t>
            </w:r>
          </w:p>
          <w:p>
            <w:pPr>
              <w:contextualSpacing/>
              <w:rPr>
                <w:rFonts w:ascii="宋体" w:hAnsi="宋体" w:cs="宋体"/>
                <w:color w:val="auto"/>
                <w:szCs w:val="21"/>
                <w:highlight w:val="none"/>
              </w:rPr>
            </w:pPr>
            <w:r>
              <w:rPr>
                <w:rFonts w:ascii="宋体" w:hAnsi="宋体" w:cs="宋体"/>
                <w:color w:val="auto"/>
                <w:szCs w:val="21"/>
                <w:highlight w:val="none"/>
              </w:rPr>
              <w:t>市级奖项一项得</w:t>
            </w:r>
            <w:r>
              <w:rPr>
                <w:rFonts w:hint="eastAsia" w:ascii="宋体" w:hAnsi="宋体" w:cs="宋体"/>
                <w:color w:val="auto"/>
                <w:szCs w:val="21"/>
                <w:highlight w:val="none"/>
              </w:rPr>
              <w:t>0.5分。</w:t>
            </w:r>
          </w:p>
          <w:p>
            <w:pPr>
              <w:snapToGrid w:val="0"/>
              <w:jc w:val="left"/>
              <w:rPr>
                <w:rFonts w:ascii="宋体" w:hAnsi="宋体"/>
                <w:color w:val="auto"/>
                <w:spacing w:val="-3"/>
                <w:highlight w:val="none"/>
              </w:rPr>
            </w:pPr>
            <w:r>
              <w:rPr>
                <w:rFonts w:hint="eastAsia" w:ascii="宋体" w:hAnsi="宋体" w:cs="宋体"/>
                <w:color w:val="auto"/>
                <w:szCs w:val="21"/>
                <w:highlight w:val="none"/>
              </w:rPr>
              <w:t>本项相同业绩按最高奖项得分，且最多得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ind w:firstLine="0" w:firstLineChars="0"/>
              <w:contextualSpacing/>
              <w:rPr>
                <w:rFonts w:ascii="宋体" w:hAnsi="宋体"/>
                <w:color w:val="auto"/>
                <w:spacing w:val="-3"/>
                <w:highlight w:val="none"/>
                <w:lang w:val="zh-CN"/>
              </w:rPr>
            </w:pPr>
            <w:r>
              <w:rPr>
                <w:rFonts w:hint="eastAsia" w:ascii="宋体" w:hAnsi="宋体" w:cs="宋体"/>
                <w:color w:val="auto"/>
                <w:szCs w:val="21"/>
                <w:highlight w:val="none"/>
              </w:rPr>
              <w:t>总监理工程师资历（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5252" w:type="dxa"/>
            <w:vAlign w:val="center"/>
          </w:tcPr>
          <w:p>
            <w:pPr>
              <w:contextualSpacing/>
              <w:rPr>
                <w:rFonts w:ascii="宋体" w:hAnsi="宋体"/>
                <w:color w:val="auto"/>
                <w:spacing w:val="-3"/>
                <w:highlight w:val="none"/>
                <w:lang w:val="zh-CN"/>
              </w:rPr>
            </w:pPr>
            <w:r>
              <w:rPr>
                <w:rFonts w:hint="eastAsia"/>
                <w:color w:val="auto"/>
                <w:szCs w:val="21"/>
                <w:highlight w:val="none"/>
              </w:rPr>
              <w:t>具有高级工程师或以上职称得</w:t>
            </w:r>
            <w:r>
              <w:rPr>
                <w:rFonts w:hint="eastAsia"/>
                <w:color w:val="auto"/>
                <w:szCs w:val="21"/>
                <w:highlight w:val="none"/>
                <w:lang w:val="en-US" w:eastAsia="zh-CN"/>
              </w:rPr>
              <w:t>2</w:t>
            </w:r>
            <w:r>
              <w:rPr>
                <w:rFonts w:hint="eastAsia"/>
                <w:color w:val="auto"/>
                <w:szCs w:val="21"/>
                <w:highlight w:val="none"/>
              </w:rPr>
              <w:t>分；具有工程师职称得</w:t>
            </w:r>
            <w:r>
              <w:rPr>
                <w:rFonts w:hint="eastAsia"/>
                <w:color w:val="auto"/>
                <w:szCs w:val="21"/>
                <w:highlight w:val="none"/>
                <w:lang w:val="en-US" w:eastAsia="zh-CN"/>
              </w:rPr>
              <w:t>1</w:t>
            </w:r>
            <w:r>
              <w:rPr>
                <w:rFonts w:hint="eastAsia"/>
                <w:color w:val="auto"/>
                <w:szCs w:val="21"/>
                <w:highlight w:val="none"/>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contextualSpacing/>
              <w:rPr>
                <w:rFonts w:ascii="宋体" w:hAnsi="宋体" w:cs="宋体"/>
                <w:color w:val="auto"/>
                <w:kern w:val="0"/>
                <w:szCs w:val="21"/>
                <w:highlight w:val="none"/>
              </w:rPr>
            </w:pPr>
            <w:r>
              <w:rPr>
                <w:rFonts w:hint="eastAsia" w:ascii="宋体" w:hAnsi="宋体" w:cs="宋体"/>
                <w:color w:val="auto"/>
                <w:szCs w:val="21"/>
                <w:highlight w:val="none"/>
              </w:rPr>
              <w:t>监理机构人员和专业的配备（1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252" w:type="dxa"/>
            <w:vAlign w:val="center"/>
          </w:tcPr>
          <w:p>
            <w:pPr>
              <w:numPr>
                <w:ilvl w:val="0"/>
                <w:numId w:val="0"/>
              </w:numPr>
              <w:contextualSpacing/>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在配备的人员中（不含总监、总监代表）：具有注册环保工程师资格的每人加</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分，最多加</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numPr>
                <w:ilvl w:val="0"/>
                <w:numId w:val="0"/>
              </w:numPr>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在配备的人员中（不含总监、总监代表）：</w:t>
            </w:r>
            <w:r>
              <w:rPr>
                <w:rFonts w:hint="eastAsia" w:ascii="宋体" w:hAnsi="宋体" w:eastAsia="宋体" w:cs="宋体"/>
                <w:color w:val="auto"/>
                <w:sz w:val="21"/>
                <w:szCs w:val="21"/>
                <w:highlight w:val="none"/>
              </w:rPr>
              <w:t>同时具有注册监理工程师资格和正高级（或教授级）职称的每人加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分，最多加6分</w:t>
            </w:r>
            <w:r>
              <w:rPr>
                <w:rFonts w:hint="eastAsia" w:ascii="宋体" w:hAnsi="宋体" w:eastAsia="宋体" w:cs="宋体"/>
                <w:color w:val="auto"/>
                <w:sz w:val="21"/>
                <w:szCs w:val="21"/>
                <w:highlight w:val="none"/>
                <w:lang w:eastAsia="zh-CN"/>
              </w:rPr>
              <w:t>。</w:t>
            </w:r>
          </w:p>
          <w:p>
            <w:pPr>
              <w:rPr>
                <w:rFonts w:hint="eastAsia" w:ascii="宋体" w:hAnsi="Courier New" w:eastAsia="宋体"/>
                <w:color w:val="auto"/>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rPr>
              <w:t>在配备的人员中（不含总监、总监代表）：</w:t>
            </w:r>
            <w:r>
              <w:rPr>
                <w:rFonts w:hint="eastAsia" w:ascii="宋体" w:hAnsi="宋体" w:eastAsia="宋体" w:cs="宋体"/>
                <w:color w:val="auto"/>
                <w:sz w:val="21"/>
                <w:szCs w:val="21"/>
                <w:highlight w:val="none"/>
              </w:rPr>
              <w:t>有其中一人同时具有注册监理工程师、注册造价工程师、注册安全工程师、注册一级建造师、咨询工程师五项证书的得4分，同时具有任意四项证的得2分，同时具有任意三项证的得1分，其他情况不得分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ind w:firstLine="0" w:firstLineChars="0"/>
              <w:contextualSpacing/>
              <w:rPr>
                <w:color w:val="auto"/>
                <w:highlight w:val="none"/>
              </w:rPr>
            </w:pPr>
            <w:r>
              <w:rPr>
                <w:rFonts w:hint="eastAsia" w:ascii="宋体" w:hAnsi="宋体" w:cs="宋体"/>
                <w:color w:val="auto"/>
                <w:szCs w:val="21"/>
                <w:highlight w:val="none"/>
              </w:rPr>
              <w:t>纳税信用等级（5分）</w:t>
            </w:r>
          </w:p>
        </w:tc>
        <w:tc>
          <w:tcPr>
            <w:tcW w:w="5252" w:type="dxa"/>
            <w:vAlign w:val="center"/>
          </w:tcPr>
          <w:p>
            <w:pPr>
              <w:contextualSpacing/>
              <w:rPr>
                <w:color w:val="auto"/>
                <w:highlight w:val="none"/>
              </w:rPr>
            </w:pPr>
            <w:r>
              <w:rPr>
                <w:rFonts w:hint="eastAsia" w:ascii="宋体" w:hAnsi="宋体" w:cs="宋体"/>
                <w:color w:val="auto"/>
                <w:szCs w:val="21"/>
                <w:highlight w:val="none"/>
              </w:rPr>
              <w:t>投标人曾获得纳税信用等级AAA级纳税人荣誉的得5分；获得纳税信用等级AA级纳税人荣誉的得3分；获得纳税信用等级A级纳税人荣誉的得1分；没有的不得分（仅按最高等级计分一次）。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ind w:firstLine="0" w:firstLineChars="0"/>
              <w:contextualSpacing/>
              <w:rPr>
                <w:rFonts w:ascii="宋体" w:hAnsi="宋体" w:cs="宋体"/>
                <w:color w:val="auto"/>
                <w:highlight w:val="none"/>
              </w:rPr>
            </w:pPr>
            <w:r>
              <w:rPr>
                <w:rFonts w:hint="eastAsia" w:ascii="宋体" w:hAnsi="宋体" w:cs="宋体"/>
                <w:color w:val="auto"/>
                <w:szCs w:val="21"/>
                <w:highlight w:val="none"/>
              </w:rPr>
              <w:t>企业荣誉（</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252" w:type="dxa"/>
            <w:vAlign w:val="center"/>
          </w:tcPr>
          <w:p>
            <w:pPr>
              <w:contextualSpacing/>
              <w:rPr>
                <w:rFonts w:ascii="宋体" w:hAnsi="宋体" w:cs="宋体"/>
                <w:color w:val="auto"/>
                <w:highlight w:val="none"/>
              </w:rPr>
            </w:pPr>
            <w:r>
              <w:rPr>
                <w:rFonts w:hint="eastAsia" w:ascii="宋体" w:hAnsi="宋体"/>
                <w:color w:val="auto"/>
                <w:szCs w:val="21"/>
                <w:highlight w:val="none"/>
              </w:rPr>
              <w:t>2017年1月1日至今，投标人曾获得过省级或以上先进工程监理企业称号的得</w:t>
            </w:r>
            <w:r>
              <w:rPr>
                <w:rFonts w:hint="eastAsia" w:ascii="宋体" w:hAnsi="宋体"/>
                <w:color w:val="auto"/>
                <w:szCs w:val="21"/>
                <w:highlight w:val="none"/>
                <w:lang w:val="en-US" w:eastAsia="zh-CN"/>
              </w:rPr>
              <w:t>3</w:t>
            </w:r>
            <w:r>
              <w:rPr>
                <w:rFonts w:hint="eastAsia" w:ascii="宋体" w:hAnsi="宋体"/>
                <w:color w:val="auto"/>
                <w:szCs w:val="21"/>
                <w:highlight w:val="none"/>
              </w:rPr>
              <w:t>分, 曾获得过市级先进工程监理企业称号的得</w:t>
            </w:r>
            <w:r>
              <w:rPr>
                <w:rFonts w:hint="eastAsia" w:ascii="宋体" w:hAnsi="宋体"/>
                <w:color w:val="auto"/>
                <w:szCs w:val="21"/>
                <w:highlight w:val="none"/>
                <w:lang w:val="en-US" w:eastAsia="zh-CN"/>
              </w:rPr>
              <w:t>1</w:t>
            </w:r>
            <w:r>
              <w:rPr>
                <w:rFonts w:hint="eastAsia" w:ascii="宋体" w:hAnsi="宋体"/>
                <w:color w:val="auto"/>
                <w:szCs w:val="21"/>
                <w:highlight w:val="none"/>
              </w:rPr>
              <w:t>分，按最高级别计取,不重复计分,没有的不得分。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contextualSpacing/>
              <w:rPr>
                <w:rFonts w:ascii="宋体" w:hAnsi="宋体"/>
                <w:color w:val="auto"/>
                <w:szCs w:val="21"/>
                <w:highlight w:val="none"/>
              </w:rPr>
            </w:pPr>
            <w:r>
              <w:rPr>
                <w:rFonts w:hint="eastAsia" w:ascii="宋体" w:hAnsi="宋体"/>
                <w:color w:val="auto"/>
                <w:szCs w:val="21"/>
                <w:highlight w:val="none"/>
              </w:rPr>
              <w:t>企业技术管理能力</w:t>
            </w:r>
          </w:p>
          <w:p>
            <w:pPr>
              <w:ind w:firstLine="420" w:firstLineChars="200"/>
              <w:contextualSpacing/>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252" w:type="dxa"/>
            <w:vAlign w:val="center"/>
          </w:tcPr>
          <w:p>
            <w:pPr>
              <w:contextualSpacing/>
              <w:rPr>
                <w:rFonts w:ascii="宋体" w:hAnsi="宋体" w:cs="宋体"/>
                <w:color w:val="auto"/>
                <w:highlight w:val="none"/>
              </w:rPr>
            </w:pPr>
            <w:r>
              <w:rPr>
                <w:rFonts w:hint="eastAsia" w:ascii="宋体" w:hAnsi="宋体"/>
                <w:color w:val="auto"/>
                <w:szCs w:val="21"/>
                <w:highlight w:val="none"/>
              </w:rPr>
              <w:t>2017年1月1日至今，投标人项目技术管理成果获得省级或以上工程科学技术类奖项的，每个奖项得1分，最多得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691" w:type="dxa"/>
            <w:vMerge w:val="restart"/>
            <w:vAlign w:val="center"/>
          </w:tcPr>
          <w:p>
            <w:pPr>
              <w:pStyle w:val="29"/>
              <w:kinsoku w:val="0"/>
              <w:overflowPunct w:val="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29"/>
              <w:kinsoku w:val="0"/>
              <w:overflowPunct w:val="0"/>
              <w:spacing w:before="4" w:line="110" w:lineRule="exact"/>
              <w:ind w:left="-63" w:leftChars="-30" w:right="-111" w:rightChars="-53" w:firstLine="33" w:firstLineChars="30"/>
              <w:jc w:val="center"/>
              <w:rPr>
                <w:rFonts w:hint="default"/>
                <w:color w:val="auto"/>
                <w:sz w:val="11"/>
                <w:highlight w:val="none"/>
              </w:rPr>
            </w:pPr>
          </w:p>
          <w:p>
            <w:pPr>
              <w:pStyle w:val="29"/>
              <w:kinsoku w:val="0"/>
              <w:overflowPunct w:val="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2</w:t>
            </w:r>
            <w:r>
              <w:rPr>
                <w:rFonts w:ascii="宋体" w:hAnsi="宋体"/>
                <w:color w:val="auto"/>
                <w:highlight w:val="none"/>
              </w:rPr>
              <w:t>）</w:t>
            </w:r>
          </w:p>
        </w:tc>
        <w:tc>
          <w:tcPr>
            <w:tcW w:w="1287" w:type="dxa"/>
            <w:gridSpan w:val="2"/>
            <w:vMerge w:val="restart"/>
            <w:vAlign w:val="center"/>
          </w:tcPr>
          <w:p>
            <w:pPr>
              <w:spacing w:line="440" w:lineRule="exact"/>
              <w:jc w:val="center"/>
              <w:rPr>
                <w:color w:val="auto"/>
                <w:highlight w:val="none"/>
              </w:rPr>
            </w:pPr>
            <w:r>
              <w:rPr>
                <w:color w:val="auto"/>
                <w:highlight w:val="none"/>
              </w:rPr>
              <w:t>监理大纲评分标准</w:t>
            </w:r>
          </w:p>
          <w:p>
            <w:pPr>
              <w:pStyle w:val="29"/>
              <w:kinsoku w:val="0"/>
              <w:overflowPunct w:val="0"/>
              <w:spacing w:line="340" w:lineRule="auto"/>
              <w:ind w:left="-115" w:leftChars="-55" w:right="-122" w:rightChars="-58"/>
              <w:jc w:val="center"/>
              <w:rPr>
                <w:rFonts w:hint="default" w:ascii="宋体" w:hAnsi="宋体"/>
                <w:color w:val="auto"/>
                <w:highlight w:val="none"/>
              </w:rPr>
            </w:pPr>
            <w:r>
              <w:rPr>
                <w:rFonts w:ascii="宋体" w:hAnsi="宋体" w:cs="宋体"/>
                <w:color w:val="auto"/>
                <w:highlight w:val="none"/>
              </w:rPr>
              <w:t>（</w:t>
            </w:r>
            <w:r>
              <w:rPr>
                <w:color w:val="auto"/>
                <w:highlight w:val="none"/>
              </w:rPr>
              <w:t>40</w:t>
            </w:r>
            <w:r>
              <w:rPr>
                <w:rFonts w:ascii="宋体" w:hAnsi="宋体" w:cs="宋体"/>
                <w:color w:val="auto"/>
                <w:highlight w:val="none"/>
              </w:rPr>
              <w:t>分）</w:t>
            </w:r>
          </w:p>
        </w:tc>
        <w:tc>
          <w:tcPr>
            <w:tcW w:w="2132" w:type="dxa"/>
            <w:vAlign w:val="center"/>
          </w:tcPr>
          <w:p>
            <w:pPr>
              <w:contextualSpacing/>
              <w:jc w:val="center"/>
              <w:rPr>
                <w:rFonts w:ascii="宋体" w:hAnsi="宋体" w:cs="宋体"/>
                <w:color w:val="auto"/>
                <w:highlight w:val="none"/>
              </w:rPr>
            </w:pPr>
            <w:r>
              <w:rPr>
                <w:rFonts w:hint="eastAsia" w:ascii="宋体" w:hAnsi="宋体" w:cs="宋体"/>
                <w:color w:val="auto"/>
                <w:szCs w:val="21"/>
                <w:highlight w:val="none"/>
              </w:rPr>
              <w:t>投资控制措施（5分）</w:t>
            </w:r>
          </w:p>
        </w:tc>
        <w:tc>
          <w:tcPr>
            <w:tcW w:w="5252" w:type="dxa"/>
            <w:vAlign w:val="center"/>
          </w:tcPr>
          <w:p>
            <w:pPr>
              <w:contextualSpacing/>
              <w:jc w:val="left"/>
              <w:rPr>
                <w:rFonts w:ascii="宋体" w:hAnsi="宋体" w:cs="宋体"/>
                <w:color w:val="auto"/>
                <w:highlight w:val="none"/>
              </w:rPr>
            </w:pPr>
            <w:r>
              <w:rPr>
                <w:rFonts w:hint="eastAsia" w:ascii="宋体" w:hAnsi="宋体" w:cs="宋体"/>
                <w:color w:val="auto"/>
                <w:szCs w:val="21"/>
                <w:highlight w:val="none"/>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691" w:type="dxa"/>
            <w:vMerge w:val="continue"/>
            <w:vAlign w:val="center"/>
          </w:tcPr>
          <w:p>
            <w:pPr>
              <w:pStyle w:val="29"/>
              <w:kinsoku w:val="0"/>
              <w:overflowPunct w:val="0"/>
              <w:ind w:firstLine="420" w:firstLineChars="200"/>
              <w:rPr>
                <w:rFonts w:hint="default"/>
                <w:color w:val="auto"/>
                <w:highlight w:val="none"/>
              </w:rPr>
            </w:pPr>
          </w:p>
        </w:tc>
        <w:tc>
          <w:tcPr>
            <w:tcW w:w="1287" w:type="dxa"/>
            <w:gridSpan w:val="2"/>
            <w:vMerge w:val="continue"/>
            <w:vAlign w:val="center"/>
          </w:tcPr>
          <w:p>
            <w:pPr>
              <w:pStyle w:val="29"/>
              <w:kinsoku w:val="0"/>
              <w:overflowPunct w:val="0"/>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进度控制措施（5分）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jc w:val="center"/>
              <w:rPr>
                <w:rFonts w:ascii="宋体" w:hAnsi="宋体" w:cs="宋体"/>
                <w:color w:val="auto"/>
                <w:highlight w:val="none"/>
              </w:rPr>
            </w:pPr>
            <w:r>
              <w:rPr>
                <w:rFonts w:hint="eastAsia" w:ascii="宋体" w:hAnsi="宋体" w:cs="宋体"/>
                <w:color w:val="auto"/>
                <w:szCs w:val="21"/>
                <w:highlight w:val="none"/>
              </w:rPr>
              <w:t>质量控制措施（5分）</w:t>
            </w:r>
          </w:p>
        </w:tc>
        <w:tc>
          <w:tcPr>
            <w:tcW w:w="5252" w:type="dxa"/>
            <w:vAlign w:val="center"/>
          </w:tcPr>
          <w:p>
            <w:pPr>
              <w:contextualSpacing/>
              <w:jc w:val="left"/>
              <w:rPr>
                <w:rFonts w:ascii="宋体" w:hAnsi="宋体" w:cs="宋体"/>
                <w:color w:val="auto"/>
                <w:highlight w:val="none"/>
              </w:rPr>
            </w:pPr>
            <w:r>
              <w:rPr>
                <w:rFonts w:hint="eastAsia" w:ascii="宋体" w:hAnsi="宋体" w:cs="宋体"/>
                <w:color w:val="auto"/>
                <w:szCs w:val="21"/>
                <w:highlight w:val="none"/>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jc w:val="center"/>
              <w:rPr>
                <w:rFonts w:ascii="宋体" w:hAnsi="宋体" w:cs="宋体"/>
                <w:color w:val="auto"/>
                <w:szCs w:val="21"/>
                <w:highlight w:val="none"/>
              </w:rPr>
            </w:pPr>
            <w:r>
              <w:rPr>
                <w:rFonts w:hint="eastAsia" w:ascii="宋体" w:hAnsi="宋体" w:cs="宋体"/>
                <w:color w:val="auto"/>
                <w:szCs w:val="21"/>
                <w:highlight w:val="none"/>
              </w:rPr>
              <w:t>合同管理、信息管理</w:t>
            </w:r>
          </w:p>
          <w:p>
            <w:pPr>
              <w:contextualSpacing/>
              <w:jc w:val="center"/>
              <w:rPr>
                <w:rFonts w:ascii="宋体" w:hAnsi="宋体" w:cs="宋体"/>
                <w:color w:val="auto"/>
                <w:highlight w:val="none"/>
              </w:rPr>
            </w:pPr>
            <w:r>
              <w:rPr>
                <w:rFonts w:hint="eastAsia" w:ascii="宋体" w:hAnsi="宋体" w:cs="宋体"/>
                <w:color w:val="auto"/>
                <w:szCs w:val="21"/>
                <w:highlight w:val="none"/>
              </w:rPr>
              <w:t>（3分）</w:t>
            </w:r>
          </w:p>
        </w:tc>
        <w:tc>
          <w:tcPr>
            <w:tcW w:w="5252" w:type="dxa"/>
            <w:vAlign w:val="center"/>
          </w:tcPr>
          <w:p>
            <w:pPr>
              <w:contextualSpacing/>
              <w:jc w:val="left"/>
              <w:rPr>
                <w:rFonts w:ascii="宋体" w:hAnsi="宋体" w:cs="宋体"/>
                <w:color w:val="auto"/>
                <w:highlight w:val="none"/>
              </w:rPr>
            </w:pPr>
            <w:r>
              <w:rPr>
                <w:rFonts w:hint="eastAsia" w:ascii="宋体" w:hAnsi="宋体" w:cs="宋体"/>
                <w:color w:val="auto"/>
                <w:szCs w:val="21"/>
                <w:highlight w:val="none"/>
              </w:rPr>
              <w:t>合同管理、信息管理方法针对性强、措施具体得3分；基本可行得2分；一般得1分；差或无措施的不得分。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组织协调（3分）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协调方法清晰合理、有具体措施。优得3分；良得2分；一般得1分；差或无不得分。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监理工作程序（4分）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有清晰的工作流程图、工作准则。满足要求得4分；基本满足得2分；不满足要求或无措施不得分。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szCs w:val="21"/>
                <w:highlight w:val="none"/>
              </w:rPr>
            </w:pPr>
            <w:r>
              <w:rPr>
                <w:rFonts w:hint="eastAsia" w:ascii="宋体" w:hAnsi="宋体" w:cs="宋体"/>
                <w:color w:val="auto"/>
                <w:szCs w:val="21"/>
                <w:highlight w:val="none"/>
              </w:rPr>
              <w:t>安全、文明施工管理</w:t>
            </w:r>
          </w:p>
          <w:p>
            <w:pPr>
              <w:ind w:firstLine="420" w:firstLineChars="200"/>
              <w:contextualSpacing/>
              <w:rPr>
                <w:rFonts w:ascii="宋体" w:hAnsi="宋体" w:cs="宋体"/>
                <w:color w:val="auto"/>
                <w:highlight w:val="none"/>
              </w:rPr>
            </w:pPr>
            <w:r>
              <w:rPr>
                <w:rFonts w:hint="eastAsia" w:ascii="宋体" w:hAnsi="宋体" w:cs="宋体"/>
                <w:color w:val="auto"/>
                <w:szCs w:val="21"/>
                <w:highlight w:val="none"/>
              </w:rPr>
              <w:t>（3分）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管理措施优得 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重点难点监控措施（3分）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要求针对性强、措施具体、可操作。优得3分；良得2分；一般得1分；差或无措施不得分。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工程进度款、工程结算的管理（3分）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管理方法合理有效、有具体措施。优得 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会议制度（3分）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建立完善的工地会议制度。满足要求得3分；良得2分；一般得1分；差或无措施不得分。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91" w:type="dxa"/>
            <w:vMerge w:val="continue"/>
            <w:vAlign w:val="center"/>
          </w:tcPr>
          <w:p>
            <w:pPr>
              <w:pStyle w:val="29"/>
              <w:kinsoku w:val="0"/>
              <w:overflowPunct w:val="0"/>
              <w:spacing w:line="186" w:lineRule="exact"/>
              <w:ind w:firstLine="420" w:firstLineChars="200"/>
              <w:rPr>
                <w:rFonts w:hint="default"/>
                <w:color w:val="auto"/>
                <w:highlight w:val="none"/>
              </w:rPr>
            </w:pPr>
          </w:p>
        </w:tc>
        <w:tc>
          <w:tcPr>
            <w:tcW w:w="1287" w:type="dxa"/>
            <w:gridSpan w:val="2"/>
            <w:vMerge w:val="continue"/>
            <w:vAlign w:val="center"/>
          </w:tcPr>
          <w:p>
            <w:pPr>
              <w:pStyle w:val="29"/>
              <w:kinsoku w:val="0"/>
              <w:overflowPunct w:val="0"/>
              <w:spacing w:line="186" w:lineRule="exact"/>
              <w:ind w:firstLine="420" w:firstLineChars="200"/>
              <w:rPr>
                <w:rFonts w:hint="default"/>
                <w:color w:val="auto"/>
                <w:highlight w:val="none"/>
              </w:rPr>
            </w:pPr>
          </w:p>
        </w:tc>
        <w:tc>
          <w:tcPr>
            <w:tcW w:w="213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合理化建议（3分）</w:t>
            </w:r>
          </w:p>
        </w:tc>
        <w:tc>
          <w:tcPr>
            <w:tcW w:w="5252" w:type="dxa"/>
            <w:vAlign w:val="center"/>
          </w:tcPr>
          <w:p>
            <w:pPr>
              <w:contextualSpacing/>
              <w:rPr>
                <w:rFonts w:ascii="宋体" w:hAnsi="宋体" w:cs="宋体"/>
                <w:color w:val="auto"/>
                <w:highlight w:val="none"/>
              </w:rPr>
            </w:pPr>
            <w:r>
              <w:rPr>
                <w:rFonts w:hint="eastAsia" w:ascii="宋体" w:hAnsi="宋体" w:cs="宋体"/>
                <w:color w:val="auto"/>
                <w:szCs w:val="21"/>
                <w:highlight w:val="none"/>
              </w:rPr>
              <w:t>具有科学、合理、可行及具体措施的建议。优得3分；良得2分；一般得1分，差或无不得分。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691" w:type="dxa"/>
            <w:vAlign w:val="center"/>
          </w:tcPr>
          <w:p>
            <w:pPr>
              <w:pStyle w:val="29"/>
              <w:kinsoku w:val="0"/>
              <w:overflowPunct w:val="0"/>
              <w:rPr>
                <w:rFonts w:hint="default" w:eastAsia="Times New Roman"/>
                <w:color w:val="auto"/>
                <w:highlight w:val="none"/>
              </w:rPr>
            </w:pPr>
            <w:r>
              <w:rPr>
                <w:rFonts w:eastAsia="Times New Roman"/>
                <w:color w:val="auto"/>
                <w:highlight w:val="none"/>
              </w:rPr>
              <w:t>2.2.4</w:t>
            </w:r>
          </w:p>
          <w:p>
            <w:pPr>
              <w:pStyle w:val="29"/>
              <w:kinsoku w:val="0"/>
              <w:overflowPunct w:val="0"/>
              <w:spacing w:line="110" w:lineRule="exact"/>
              <w:ind w:firstLine="220" w:firstLineChars="200"/>
              <w:rPr>
                <w:rFonts w:hint="default"/>
                <w:color w:val="auto"/>
                <w:sz w:val="11"/>
                <w:highlight w:val="none"/>
              </w:rPr>
            </w:pPr>
          </w:p>
          <w:p>
            <w:pPr>
              <w:pStyle w:val="29"/>
              <w:kinsoku w:val="0"/>
              <w:overflowPunct w:val="0"/>
              <w:ind w:firstLine="416" w:firstLineChars="200"/>
              <w:rPr>
                <w:rFonts w:hint="default"/>
                <w:color w:val="auto"/>
                <w:highlight w:val="none"/>
              </w:rPr>
            </w:pPr>
            <w:r>
              <w:rPr>
                <w:rFonts w:ascii="宋体" w:hAnsi="宋体"/>
                <w:color w:val="auto"/>
                <w:spacing w:val="-1"/>
                <w:highlight w:val="none"/>
              </w:rPr>
              <w:t>（（</w:t>
            </w:r>
            <w:r>
              <w:rPr>
                <w:rFonts w:eastAsia="Times New Roman"/>
                <w:color w:val="auto"/>
                <w:highlight w:val="none"/>
              </w:rPr>
              <w:t>3</w:t>
            </w:r>
            <w:r>
              <w:rPr>
                <w:rFonts w:ascii="宋体" w:hAnsi="宋体"/>
                <w:color w:val="auto"/>
                <w:highlight w:val="none"/>
              </w:rPr>
              <w:t>）</w:t>
            </w:r>
          </w:p>
        </w:tc>
        <w:tc>
          <w:tcPr>
            <w:tcW w:w="1287" w:type="dxa"/>
            <w:gridSpan w:val="2"/>
            <w:vAlign w:val="center"/>
          </w:tcPr>
          <w:p>
            <w:pPr>
              <w:rPr>
                <w:rFonts w:ascii="宋体" w:hAnsi="Courier New"/>
                <w:color w:val="auto"/>
                <w:szCs w:val="21"/>
                <w:highlight w:val="none"/>
              </w:rPr>
            </w:pPr>
            <w:r>
              <w:rPr>
                <w:rFonts w:hint="eastAsia" w:ascii="宋体" w:hAnsi="宋体"/>
                <w:color w:val="auto"/>
                <w:highlight w:val="none"/>
              </w:rPr>
              <w:t>投标</w:t>
            </w:r>
            <w:r>
              <w:rPr>
                <w:rFonts w:hint="eastAsia" w:ascii="宋体" w:hAnsi="Courier New"/>
                <w:color w:val="auto"/>
                <w:szCs w:val="21"/>
                <w:highlight w:val="none"/>
              </w:rPr>
              <w:t>报价</w:t>
            </w:r>
          </w:p>
          <w:p>
            <w:pPr>
              <w:rPr>
                <w:rFonts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rPr>
                <w:rFonts w:ascii="宋体" w:hAnsi="宋体"/>
                <w:color w:val="auto"/>
                <w:highlight w:val="none"/>
              </w:rPr>
            </w:pPr>
            <w:r>
              <w:rPr>
                <w:rFonts w:hint="eastAsia" w:ascii="宋体" w:hAnsi="宋体"/>
                <w:color w:val="auto"/>
                <w:highlight w:val="none"/>
              </w:rPr>
              <w:t>（20分）</w:t>
            </w:r>
          </w:p>
        </w:tc>
        <w:tc>
          <w:tcPr>
            <w:tcW w:w="2132" w:type="dxa"/>
            <w:vAlign w:val="center"/>
          </w:tcPr>
          <w:p>
            <w:pPr>
              <w:pStyle w:val="29"/>
              <w:kinsoku w:val="0"/>
              <w:overflowPunct w:val="0"/>
              <w:rPr>
                <w:rFonts w:hint="default" w:ascii="宋体" w:hAnsi="宋体"/>
                <w:color w:val="auto"/>
                <w:highlight w:val="none"/>
              </w:rPr>
            </w:pPr>
            <w:r>
              <w:rPr>
                <w:rFonts w:ascii="宋体" w:hAnsi="宋体"/>
                <w:color w:val="auto"/>
                <w:highlight w:val="none"/>
              </w:rPr>
              <w:t>报价得分</w:t>
            </w:r>
          </w:p>
        </w:tc>
        <w:tc>
          <w:tcPr>
            <w:tcW w:w="5252" w:type="dxa"/>
            <w:vAlign w:val="center"/>
          </w:tcPr>
          <w:p>
            <w:pPr>
              <w:pStyle w:val="29"/>
              <w:kinsoku w:val="0"/>
              <w:overflowPunct w:val="0"/>
              <w:rPr>
                <w:rFonts w:hint="default" w:ascii="宋体" w:hAnsi="Courier New"/>
                <w:color w:val="auto"/>
                <w:szCs w:val="21"/>
                <w:highlight w:val="none"/>
              </w:rPr>
            </w:pPr>
            <w:r>
              <w:rPr>
                <w:rFonts w:ascii="宋体" w:hAnsi="Courier New"/>
                <w:color w:val="auto"/>
                <w:szCs w:val="21"/>
                <w:highlight w:val="none"/>
              </w:rPr>
              <w:t>以评标基准价作为计算各有效投标价得分的基础，当有效投标报价等于评标基准价时得20分；投标有效报价与评标基准价之差，每上偏1%扣1分，下偏1%扣0.5分（得分扣至0分止）。报价偏差率不足1%的，按直线内插法计算投标报价得分</w:t>
            </w:r>
            <w:r>
              <w:rPr>
                <w:rFonts w:ascii="宋体" w:hAnsi="宋体"/>
                <w:color w:val="auto"/>
                <w:spacing w:val="-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exact"/>
          <w:jc w:val="center"/>
        </w:trPr>
        <w:tc>
          <w:tcPr>
            <w:tcW w:w="691" w:type="dxa"/>
            <w:vAlign w:val="center"/>
          </w:tcPr>
          <w:p>
            <w:pPr>
              <w:pStyle w:val="29"/>
              <w:kinsoku w:val="0"/>
              <w:overflowPunct w:val="0"/>
              <w:rPr>
                <w:rFonts w:hint="default" w:eastAsia="Times New Roman"/>
                <w:color w:val="auto"/>
                <w:highlight w:val="none"/>
              </w:rPr>
            </w:pPr>
            <w:r>
              <w:rPr>
                <w:rFonts w:eastAsia="Times New Roman"/>
                <w:color w:val="auto"/>
                <w:highlight w:val="none"/>
              </w:rPr>
              <w:t>2.2.4</w:t>
            </w:r>
          </w:p>
          <w:p>
            <w:pPr>
              <w:pStyle w:val="29"/>
              <w:kinsoku w:val="0"/>
              <w:overflowPunct w:val="0"/>
              <w:ind w:firstLine="420" w:firstLineChars="200"/>
              <w:rPr>
                <w:rFonts w:hint="default"/>
                <w:color w:val="auto"/>
                <w:sz w:val="16"/>
                <w:highlight w:val="none"/>
              </w:rPr>
            </w:pPr>
            <w:r>
              <w:rPr>
                <w:rFonts w:eastAsia="Times New Roman"/>
                <w:color w:val="auto"/>
                <w:highlight w:val="none"/>
              </w:rPr>
              <w:t>（</w:t>
            </w:r>
            <w:r>
              <w:rPr>
                <w:color w:val="auto"/>
                <w:highlight w:val="none"/>
              </w:rPr>
              <w:t>（</w:t>
            </w:r>
            <w:r>
              <w:rPr>
                <w:rFonts w:eastAsia="Times New Roman"/>
                <w:color w:val="auto"/>
                <w:highlight w:val="none"/>
              </w:rPr>
              <w:t>4）</w:t>
            </w:r>
          </w:p>
        </w:tc>
        <w:tc>
          <w:tcPr>
            <w:tcW w:w="1287" w:type="dxa"/>
            <w:gridSpan w:val="2"/>
            <w:vAlign w:val="center"/>
          </w:tcPr>
          <w:p>
            <w:pPr>
              <w:widowControl/>
              <w:textAlignment w:val="center"/>
              <w:rPr>
                <w:rFonts w:ascii="宋体" w:hAnsi="宋体" w:cs="宋体"/>
                <w:color w:val="auto"/>
                <w:szCs w:val="21"/>
                <w:highlight w:val="none"/>
              </w:rPr>
            </w:pPr>
            <w:r>
              <w:rPr>
                <w:rFonts w:hint="eastAsia" w:ascii="宋体" w:hAnsi="宋体" w:cs="宋体"/>
                <w:color w:val="auto"/>
                <w:szCs w:val="21"/>
                <w:highlight w:val="none"/>
              </w:rPr>
              <w:t>其他因素</w:t>
            </w:r>
          </w:p>
          <w:p>
            <w:pPr>
              <w:widowControl/>
              <w:textAlignment w:val="center"/>
              <w:rPr>
                <w:rFonts w:ascii="宋体" w:hAnsi="宋体" w:cs="宋体"/>
                <w:color w:val="auto"/>
                <w:szCs w:val="21"/>
                <w:highlight w:val="none"/>
              </w:rPr>
            </w:pPr>
            <w:r>
              <w:rPr>
                <w:rFonts w:hint="eastAsia" w:ascii="宋体" w:hAnsi="宋体" w:cs="宋体"/>
                <w:color w:val="auto"/>
                <w:szCs w:val="21"/>
                <w:highlight w:val="none"/>
              </w:rPr>
              <w:t>评分标准（5分）</w:t>
            </w:r>
          </w:p>
        </w:tc>
        <w:tc>
          <w:tcPr>
            <w:tcW w:w="2132" w:type="dxa"/>
            <w:vAlign w:val="center"/>
          </w:tcPr>
          <w:p>
            <w:pPr>
              <w:widowControl/>
              <w:textAlignment w:val="center"/>
              <w:rPr>
                <w:rFonts w:ascii="宋体" w:hAnsi="宋体" w:cs="宋体"/>
                <w:color w:val="auto"/>
                <w:szCs w:val="21"/>
                <w:highlight w:val="none"/>
              </w:rPr>
            </w:pPr>
            <w:r>
              <w:rPr>
                <w:rFonts w:hint="eastAsia" w:ascii="宋体" w:hAnsi="宋体" w:cs="宋体"/>
                <w:color w:val="auto"/>
                <w:szCs w:val="21"/>
                <w:highlight w:val="none"/>
              </w:rPr>
              <w:t>诚信得分</w:t>
            </w:r>
          </w:p>
        </w:tc>
        <w:tc>
          <w:tcPr>
            <w:tcW w:w="5252"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投标人综合诚信评价排名得分按广州市水务工程企业信息库及诚信中心网站（</w:t>
            </w:r>
            <w:r>
              <w:rPr>
                <w:rFonts w:ascii="宋体" w:hAnsi="宋体" w:cs="宋体"/>
                <w:color w:val="auto"/>
                <w:szCs w:val="21"/>
                <w:highlight w:val="none"/>
              </w:rPr>
              <w:t>http://120.236.111.11:8001/#/website</w:t>
            </w:r>
            <w:r>
              <w:rPr>
                <w:rFonts w:hint="eastAsia" w:ascii="宋体" w:hAnsi="宋体" w:cs="宋体"/>
                <w:color w:val="auto"/>
                <w:szCs w:val="21"/>
                <w:highlight w:val="none"/>
              </w:rPr>
              <w:t>）中的“诚信排名&gt;&gt;监理—给排水”的“诚信综合评价”中查询；未在</w:t>
            </w:r>
            <w:r>
              <w:rPr>
                <w:rFonts w:hint="eastAsia" w:ascii="宋体" w:hAnsi="宋体" w:cs="宋体"/>
                <w:color w:val="auto"/>
                <w:szCs w:val="21"/>
                <w:highlight w:val="none"/>
                <w:lang w:eastAsia="zh-CN"/>
              </w:rPr>
              <w:t>“</w:t>
            </w:r>
            <w:r>
              <w:rPr>
                <w:rFonts w:hint="eastAsia" w:ascii="宋体" w:hAnsi="宋体" w:cs="宋体"/>
                <w:color w:val="auto"/>
                <w:szCs w:val="21"/>
                <w:highlight w:val="none"/>
              </w:rPr>
              <w:t>诚信管理系统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录入企业信息的监理企业（简称“未入库企业”），诚信评价总分的计算方法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即“未入库企业”的诚信评价总分=100（市场行为评价分）×20%+75（质量安全管理评价得分）×50%+75（履约评价得分）×30%=80分。诚信评价总分应当采用诚信评价信息系统在</w:t>
            </w:r>
            <w:r>
              <w:rPr>
                <w:rFonts w:hint="eastAsia" w:ascii="宋体" w:hAnsi="宋体" w:cs="宋体"/>
                <w:color w:val="auto"/>
                <w:szCs w:val="21"/>
                <w:highlight w:val="none"/>
                <w:lang w:val="en-US" w:eastAsia="zh-CN"/>
              </w:rPr>
              <w:t>招标公告发布</w:t>
            </w:r>
            <w:r>
              <w:rPr>
                <w:rFonts w:hint="eastAsia" w:ascii="宋体" w:hAnsi="宋体" w:cs="宋体"/>
                <w:color w:val="auto"/>
                <w:szCs w:val="21"/>
                <w:highlight w:val="none"/>
              </w:rPr>
              <w:t>第1天所在季度的上一季度公布的分数。</w:t>
            </w:r>
          </w:p>
          <w:p>
            <w:pPr>
              <w:ind w:firstLine="420" w:firstLineChars="200"/>
              <w:rPr>
                <w:rFonts w:ascii="宋体" w:hAnsi="宋体" w:cs="宋体"/>
                <w:color w:val="auto"/>
                <w:szCs w:val="21"/>
                <w:highlight w:val="none"/>
              </w:rPr>
            </w:pPr>
          </w:p>
        </w:tc>
      </w:tr>
    </w:tbl>
    <w:p>
      <w:pPr>
        <w:topLinePunct/>
        <w:spacing w:line="360" w:lineRule="auto"/>
        <w:ind w:firstLine="420" w:firstLineChars="200"/>
        <w:rPr>
          <w:color w:val="auto"/>
          <w:highlight w:val="none"/>
          <w:lang w:val="zh-CN"/>
        </w:rPr>
      </w:pPr>
      <w:r>
        <w:rPr>
          <w:rFonts w:hint="eastAsia"/>
          <w:color w:val="auto"/>
          <w:highlight w:val="none"/>
        </w:rPr>
        <w:t>说明：（1）类似项目是指：招标公告投标人合格条件第3点所述资质方能承接的工程，须同时提供中标通知书或免招标的相关证明、工程监理合同、竣工验收报告或竣工验收证明</w:t>
      </w:r>
      <w:r>
        <w:rPr>
          <w:rFonts w:hint="eastAsia"/>
          <w:color w:val="auto"/>
          <w:highlight w:val="none"/>
          <w:lang w:val="zh-CN"/>
        </w:rPr>
        <w:t>。</w:t>
      </w:r>
      <w:r>
        <w:rPr>
          <w:rFonts w:hint="eastAsia"/>
          <w:color w:val="auto"/>
          <w:highlight w:val="none"/>
          <w:lang w:eastAsia="zh-CN"/>
        </w:rPr>
        <w:t>（以竣工验收报告或竣工验收证明上载明的时间为准）</w:t>
      </w:r>
    </w:p>
    <w:p>
      <w:pPr>
        <w:topLinePunct/>
        <w:spacing w:line="360" w:lineRule="auto"/>
        <w:ind w:firstLine="420" w:firstLineChars="200"/>
        <w:rPr>
          <w:rFonts w:ascii="宋体" w:hAnsi="宋体" w:cs="宋体"/>
          <w:color w:val="auto"/>
          <w:szCs w:val="21"/>
          <w:highlight w:val="none"/>
        </w:rPr>
      </w:pPr>
      <w:r>
        <w:rPr>
          <w:rFonts w:hint="eastAsia"/>
          <w:color w:val="auto"/>
          <w:highlight w:val="none"/>
          <w:lang w:val="zh-CN"/>
        </w:rPr>
        <w:t>（</w:t>
      </w:r>
      <w:r>
        <w:rPr>
          <w:rFonts w:hint="eastAsia"/>
          <w:color w:val="auto"/>
          <w:highlight w:val="none"/>
        </w:rPr>
        <w:t>2</w:t>
      </w:r>
      <w:r>
        <w:rPr>
          <w:rFonts w:hint="eastAsia"/>
          <w:color w:val="auto"/>
          <w:highlight w:val="none"/>
          <w:lang w:val="zh-CN"/>
        </w:rPr>
        <w:t>）</w:t>
      </w:r>
      <w:r>
        <w:rPr>
          <w:rFonts w:hint="eastAsia" w:ascii="宋体" w:hAnsi="宋体" w:cs="宋体"/>
          <w:color w:val="auto"/>
          <w:szCs w:val="21"/>
          <w:highlight w:val="none"/>
        </w:rPr>
        <w:t>获奖监理业绩：</w:t>
      </w:r>
      <w:r>
        <w:rPr>
          <w:rFonts w:hint="eastAsia"/>
          <w:color w:val="auto"/>
          <w:highlight w:val="none"/>
        </w:rPr>
        <w:t>国家级奖指全国市政金杯示范工程、鲁班奖、中国土木工程詹天佑大奖、金质奖、银质奖、国家优质工程奖、中国钢结构金奖等；省级奖指省级优良样板工程、省级双优工地、优质奖等；市级奖指市级优良样板工程、市级双优工地等。以投标人获奖证书为准，时间以获奖证书颁发日期为准；对同一工程奖项按最高奖项计取，不重复计算</w:t>
      </w:r>
      <w:r>
        <w:rPr>
          <w:rFonts w:hint="eastAsia" w:ascii="宋体" w:hAnsi="宋体" w:cs="宋体"/>
          <w:color w:val="auto"/>
          <w:szCs w:val="21"/>
          <w:highlight w:val="none"/>
        </w:rPr>
        <w:t>。</w:t>
      </w:r>
    </w:p>
    <w:p>
      <w:pPr>
        <w:pStyle w:val="9"/>
        <w:numPr>
          <w:ilvl w:val="255"/>
          <w:numId w:val="0"/>
        </w:numPr>
        <w:spacing w:line="360" w:lineRule="auto"/>
        <w:ind w:firstLine="420" w:firstLineChars="200"/>
        <w:rPr>
          <w:color w:val="auto"/>
          <w:kern w:val="2"/>
          <w:sz w:val="21"/>
          <w:szCs w:val="22"/>
          <w:highlight w:val="none"/>
        </w:rPr>
      </w:pPr>
      <w:r>
        <w:rPr>
          <w:rFonts w:hint="eastAsia"/>
          <w:color w:val="auto"/>
          <w:kern w:val="2"/>
          <w:sz w:val="21"/>
          <w:szCs w:val="22"/>
          <w:highlight w:val="none"/>
        </w:rPr>
        <w:t>（3）国家级优秀总监理工程师及国家级优秀监理工程师称号以国家级机构颁发的获奖证书为准，省级优秀总监理工程师及省级优秀监理工程师称号以省级机构颁发的获奖证书为准，市级优秀总监理工程师及市级优秀监理工程师称号以市级机构颁发的获奖证书为准，时间以获奖证书的获奖年度为准，其他证明文件不得分。</w:t>
      </w:r>
    </w:p>
    <w:p>
      <w:pPr>
        <w:tabs>
          <w:tab w:val="left" w:pos="7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color w:val="auto"/>
          <w:highlight w:val="none"/>
        </w:rPr>
        <w:t>总监及驻场监理机构人员资格、认证证书等方面内容必须提供相应的证明材料；人员专业以毕业证或职称证或注册证专业为准</w:t>
      </w:r>
      <w:r>
        <w:rPr>
          <w:rFonts w:hint="eastAsia" w:ascii="宋体" w:hAnsi="宋体" w:cs="宋体"/>
          <w:color w:val="auto"/>
          <w:szCs w:val="21"/>
          <w:highlight w:val="none"/>
        </w:rPr>
        <w:t>。</w:t>
      </w:r>
    </w:p>
    <w:p>
      <w:pPr>
        <w:tabs>
          <w:tab w:val="left" w:pos="7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（5）拟投入人员需</w:t>
      </w:r>
      <w:r>
        <w:rPr>
          <w:rFonts w:hint="eastAsia" w:ascii="宋体" w:hAnsi="宋体" w:cs="宋体"/>
          <w:color w:val="auto"/>
          <w:szCs w:val="21"/>
          <w:highlight w:val="none"/>
          <w:u w:val="single"/>
        </w:rPr>
        <w:t>提供近一个月（即招标公告发布当月的前一个月）</w:t>
      </w:r>
      <w:r>
        <w:rPr>
          <w:rFonts w:hint="eastAsia" w:ascii="宋体" w:hAnsi="宋体" w:cs="宋体"/>
          <w:color w:val="auto"/>
          <w:szCs w:val="21"/>
          <w:highlight w:val="none"/>
        </w:rPr>
        <w:t>在投标人单位（不含投标人的子公司）或投标人单位非独立法人的分支机构连续参保的社保缴纳记录证明复印件。若当地政府部门允许企业在疫情期间缓缴社会保险费且投标人未缴纳的，投标人可提供当地政府部门允许缓缴社保的相关文件作为缴纳社保的证明。</w:t>
      </w:r>
    </w:p>
    <w:p>
      <w:pPr>
        <w:spacing w:line="360" w:lineRule="auto"/>
        <w:ind w:firstLine="420" w:firstLineChars="200"/>
        <w:rPr>
          <w:color w:val="auto"/>
          <w:highlight w:val="none"/>
        </w:rPr>
      </w:pPr>
      <w:r>
        <w:rPr>
          <w:rFonts w:ascii="宋体" w:hAnsi="宋体" w:cs="宋体"/>
          <w:color w:val="auto"/>
          <w:szCs w:val="21"/>
          <w:highlight w:val="none"/>
        </w:rPr>
        <w:t>（</w:t>
      </w:r>
      <w:r>
        <w:rPr>
          <w:rFonts w:hint="eastAsia" w:ascii="宋体" w:hAnsi="宋体" w:cs="宋体"/>
          <w:color w:val="auto"/>
          <w:szCs w:val="21"/>
          <w:highlight w:val="none"/>
        </w:rPr>
        <w:t>6</w:t>
      </w:r>
      <w:r>
        <w:rPr>
          <w:rFonts w:ascii="宋体" w:hAnsi="宋体" w:cs="宋体"/>
          <w:color w:val="auto"/>
          <w:szCs w:val="21"/>
          <w:highlight w:val="none"/>
        </w:rPr>
        <w:t>）</w:t>
      </w:r>
      <w:r>
        <w:rPr>
          <w:rFonts w:hint="eastAsia"/>
          <w:color w:val="auto"/>
          <w:highlight w:val="none"/>
        </w:rPr>
        <w:t>企业技术管理能力：须提供相关证明文件或证书作为评审依据；“工程科学技术类奖项”</w:t>
      </w:r>
      <w:r>
        <w:rPr>
          <w:rFonts w:hint="eastAsia" w:ascii="宋体" w:hAnsi="宋体" w:cs="宋体"/>
          <w:color w:val="auto"/>
          <w:szCs w:val="21"/>
          <w:highlight w:val="none"/>
        </w:rPr>
        <w:t>发证单位需在民政部门备案</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须提供投标单位在民政部门备案的打印页截图</w:t>
      </w:r>
      <w:r>
        <w:rPr>
          <w:rFonts w:hint="eastAsia"/>
          <w:color w:val="auto"/>
          <w:highlight w:val="none"/>
          <w:lang w:eastAsia="zh-CN"/>
        </w:rPr>
        <w:t>）</w:t>
      </w:r>
    </w:p>
    <w:p>
      <w:pPr>
        <w:topLinePunct/>
        <w:spacing w:line="360" w:lineRule="auto"/>
        <w:ind w:firstLine="420" w:firstLineChars="200"/>
        <w:rPr>
          <w:color w:val="auto"/>
          <w:highlight w:val="none"/>
        </w:rPr>
      </w:pPr>
      <w:r>
        <w:rPr>
          <w:rFonts w:ascii="宋体" w:hAnsi="宋体" w:cs="宋体"/>
          <w:color w:val="auto"/>
          <w:szCs w:val="21"/>
          <w:highlight w:val="none"/>
        </w:rPr>
        <w:t>（7）</w:t>
      </w:r>
      <w:r>
        <w:rPr>
          <w:rFonts w:hint="eastAsia"/>
          <w:color w:val="auto"/>
          <w:highlight w:val="none"/>
        </w:rPr>
        <w:t>投标人的综合评估得分为各评委的评分去掉一个最高分和一个最低分后计取的算术平均分。</w:t>
      </w:r>
    </w:p>
    <w:p>
      <w:pPr>
        <w:topLinePunct/>
        <w:spacing w:line="360" w:lineRule="auto"/>
        <w:ind w:firstLine="420" w:firstLineChars="200"/>
        <w:rPr>
          <w:color w:val="auto"/>
          <w:highlight w:val="none"/>
        </w:rPr>
      </w:pPr>
      <w:r>
        <w:rPr>
          <w:rFonts w:ascii="宋体" w:hAnsi="宋体" w:cs="宋体"/>
          <w:color w:val="auto"/>
          <w:szCs w:val="21"/>
          <w:highlight w:val="none"/>
        </w:rPr>
        <w:t>（8）</w:t>
      </w:r>
      <w:r>
        <w:rPr>
          <w:color w:val="auto"/>
          <w:highlight w:val="none"/>
        </w:rPr>
        <w:t>评分如出现小数点，则保留小数点后两位，第三位四舍五入。</w:t>
      </w:r>
    </w:p>
    <w:p>
      <w:pPr>
        <w:topLinePunct/>
        <w:spacing w:line="360" w:lineRule="auto"/>
        <w:ind w:firstLine="420" w:firstLineChars="200"/>
        <w:rPr>
          <w:color w:val="auto"/>
          <w:highlight w:val="none"/>
        </w:rPr>
      </w:pPr>
      <w:r>
        <w:rPr>
          <w:rFonts w:ascii="宋体" w:hAnsi="宋体" w:cs="宋体"/>
          <w:color w:val="auto"/>
          <w:szCs w:val="21"/>
          <w:highlight w:val="none"/>
        </w:rPr>
        <w:t>（9）</w:t>
      </w:r>
      <w:r>
        <w:rPr>
          <w:rFonts w:hint="eastAsia"/>
          <w:color w:val="auto"/>
          <w:highlight w:val="none"/>
        </w:rPr>
        <w:t>电子投标文件中的证明材料复印件上传件，必须内容清晰可辨，因上传件模糊导致评标时无法判断的，后果由投标人自负。</w:t>
      </w:r>
    </w:p>
    <w:p>
      <w:pPr>
        <w:pStyle w:val="5"/>
        <w:keepNext w:val="0"/>
        <w:keepLines w:val="0"/>
        <w:spacing w:before="0" w:after="0" w:line="360" w:lineRule="auto"/>
        <w:ind w:firstLine="643" w:firstLineChars="200"/>
        <w:rPr>
          <w:rFonts w:ascii="Times New Roman" w:hAnsi="Times New Roman"/>
          <w:color w:val="auto"/>
          <w:highlight w:val="none"/>
        </w:rPr>
      </w:pPr>
      <w:bookmarkStart w:id="502" w:name="_Toc89870610"/>
      <w:r>
        <w:rPr>
          <w:rFonts w:ascii="Times New Roman" w:hAnsi="Times New Roman"/>
          <w:color w:val="auto"/>
          <w:highlight w:val="none"/>
        </w:rPr>
        <w:t>1. 评标方法</w:t>
      </w:r>
      <w:bookmarkEnd w:id="502"/>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次评标采用综合评估法。评标委员会对满足招标文件实质性要求的投标文件，按照本章规定的评分标准进行打分，并按得分由高到低顺序推荐中标候选人，或根据招标人授权直接确定中标人，但投标报价低于其成本的除</w:t>
      </w:r>
      <w:bookmarkStart w:id="503" w:name="_Toc384308272"/>
      <w:bookmarkStart w:id="504" w:name="_Toc300835008"/>
      <w:bookmarkStart w:id="505" w:name="_Toc144974565"/>
      <w:bookmarkStart w:id="506" w:name="_Toc152042375"/>
      <w:bookmarkStart w:id="507" w:name="_Toc361508646"/>
      <w:bookmarkStart w:id="508" w:name="_Toc247527623"/>
      <w:bookmarkStart w:id="509" w:name="_Toc152045598"/>
      <w:bookmarkStart w:id="510" w:name="_Toc247514022"/>
      <w:bookmarkStart w:id="511" w:name="_Toc369531577"/>
      <w:bookmarkStart w:id="512" w:name="_Toc4497"/>
      <w:bookmarkStart w:id="513" w:name="_Toc352691533"/>
      <w:r>
        <w:rPr>
          <w:rFonts w:ascii="Times New Roman" w:hAnsi="Times New Roman"/>
          <w:color w:val="auto"/>
          <w:sz w:val="24"/>
          <w:szCs w:val="24"/>
          <w:highlight w:val="none"/>
        </w:rPr>
        <w:t>外。综合评分相等时，以投标报价低的优先； 投标报价也相等的，以监理大纲得分高的优先；监理大纲得分也相等</w:t>
      </w:r>
      <w:r>
        <w:rPr>
          <w:rFonts w:hint="default" w:ascii="Times New Roman" w:hAnsi="Times New Roman"/>
          <w:color w:val="auto"/>
          <w:sz w:val="24"/>
          <w:szCs w:val="24"/>
          <w:highlight w:val="none"/>
        </w:rPr>
        <w:t>的，以资信业绩得分高的优先；如果仍存在相同情况，由评标委员会采用记名投票方式，以得票多的优先</w:t>
      </w:r>
      <w:bookmarkEnd w:id="503"/>
      <w:bookmarkEnd w:id="504"/>
      <w:bookmarkEnd w:id="505"/>
      <w:bookmarkEnd w:id="506"/>
      <w:bookmarkEnd w:id="507"/>
      <w:bookmarkEnd w:id="508"/>
      <w:bookmarkEnd w:id="509"/>
      <w:bookmarkEnd w:id="510"/>
      <w:bookmarkEnd w:id="511"/>
      <w:bookmarkEnd w:id="512"/>
      <w:bookmarkEnd w:id="513"/>
      <w:r>
        <w:rPr>
          <w:rFonts w:hint="eastAsia" w:ascii="Times New Roman" w:hAnsi="Times New Roman"/>
          <w:color w:val="auto"/>
          <w:sz w:val="24"/>
          <w:szCs w:val="24"/>
          <w:highlight w:val="none"/>
        </w:rPr>
        <w:t>。</w:t>
      </w:r>
    </w:p>
    <w:p>
      <w:pPr>
        <w:pStyle w:val="5"/>
        <w:keepNext w:val="0"/>
        <w:keepLines w:val="0"/>
        <w:spacing w:before="0" w:after="0" w:line="360" w:lineRule="auto"/>
        <w:ind w:firstLine="643" w:firstLineChars="200"/>
        <w:rPr>
          <w:rFonts w:ascii="Times New Roman" w:hAnsi="Times New Roman"/>
          <w:color w:val="auto"/>
          <w:highlight w:val="none"/>
        </w:rPr>
      </w:pPr>
      <w:bookmarkStart w:id="514" w:name="_Toc89870611"/>
      <w:r>
        <w:rPr>
          <w:rFonts w:ascii="Times New Roman" w:hAnsi="Times New Roman"/>
          <w:color w:val="auto"/>
          <w:highlight w:val="none"/>
        </w:rPr>
        <w:t>2. 评审标准</w:t>
      </w:r>
      <w:bookmarkEnd w:id="514"/>
    </w:p>
    <w:p>
      <w:pPr>
        <w:pStyle w:val="6"/>
        <w:keepNext w:val="0"/>
        <w:keepLines w:val="0"/>
        <w:spacing w:before="0" w:after="0" w:line="240" w:lineRule="auto"/>
        <w:ind w:firstLine="560" w:firstLineChars="200"/>
        <w:rPr>
          <w:rFonts w:ascii="Times New Roman" w:hAnsi="Times New Roman"/>
          <w:color w:val="auto"/>
          <w:highlight w:val="none"/>
        </w:rPr>
      </w:pPr>
      <w:bookmarkStart w:id="515" w:name="_Toc89870612"/>
      <w:r>
        <w:rPr>
          <w:rFonts w:ascii="Times New Roman" w:hAnsi="Times New Roman"/>
          <w:color w:val="auto"/>
          <w:highlight w:val="none"/>
        </w:rPr>
        <w:t>2.1 初步评审标准</w:t>
      </w:r>
      <w:bookmarkEnd w:id="515"/>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 形式评审标准：见评标办法前附表。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 资格评审标准：见评标办法前附表。</w:t>
      </w:r>
    </w:p>
    <w:p>
      <w:pPr>
        <w:spacing w:line="400" w:lineRule="exact"/>
        <w:ind w:firstLine="480" w:firstLineChars="200"/>
        <w:rPr>
          <w:rFonts w:ascii="Times New Roman" w:hAnsi="Times New Roman"/>
          <w:color w:val="auto"/>
          <w:highlight w:val="none"/>
        </w:rPr>
      </w:pPr>
      <w:r>
        <w:rPr>
          <w:rFonts w:ascii="Times New Roman" w:hAnsi="Times New Roman"/>
          <w:color w:val="auto"/>
          <w:sz w:val="24"/>
          <w:szCs w:val="24"/>
          <w:highlight w:val="none"/>
        </w:rPr>
        <w:t>2.1.3 响应性评审标准：见评标办法前附表。</w:t>
      </w:r>
    </w:p>
    <w:p>
      <w:pPr>
        <w:pStyle w:val="6"/>
        <w:keepNext w:val="0"/>
        <w:keepLines w:val="0"/>
        <w:spacing w:before="0" w:after="0" w:line="240" w:lineRule="auto"/>
        <w:ind w:firstLine="560" w:firstLineChars="200"/>
        <w:rPr>
          <w:rFonts w:ascii="Times New Roman" w:hAnsi="Times New Roman"/>
          <w:color w:val="auto"/>
          <w:highlight w:val="none"/>
        </w:rPr>
      </w:pPr>
      <w:bookmarkStart w:id="516" w:name="_Toc89870613"/>
      <w:r>
        <w:rPr>
          <w:rFonts w:ascii="Times New Roman" w:hAnsi="Times New Roman"/>
          <w:color w:val="auto"/>
          <w:highlight w:val="none"/>
        </w:rPr>
        <w:t>2.2 分值构成与评分标准</w:t>
      </w:r>
      <w:bookmarkEnd w:id="516"/>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2.2.1 分值构成</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（1）资信业绩部分：见评标办法前附表；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（2）监理大纲部分：见评标办法前附表；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（4）其他评分因素：见评标办法前附表。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2.2.2 评标基准价计算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评标基准价计算方法：见评标办法前附表。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2.2.3 投标报价的偏差率计算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投标报价的偏差率计算公式：见评标办法前附表。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2.2.4 评分标准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（2）监理大纲评分标准：见评标办法前附表；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（4）其他因素评分标准：见评标办法前附表。</w:t>
      </w:r>
    </w:p>
    <w:p>
      <w:pPr>
        <w:pStyle w:val="5"/>
        <w:keepNext w:val="0"/>
        <w:keepLines w:val="0"/>
        <w:spacing w:before="0" w:after="0" w:line="360" w:lineRule="auto"/>
        <w:ind w:firstLine="643" w:firstLineChars="200"/>
        <w:rPr>
          <w:rFonts w:ascii="Times New Roman" w:hAnsi="Times New Roman"/>
          <w:color w:val="auto"/>
          <w:highlight w:val="none"/>
        </w:rPr>
      </w:pPr>
      <w:bookmarkStart w:id="517" w:name="_Toc89870614"/>
      <w:r>
        <w:rPr>
          <w:rFonts w:ascii="Times New Roman" w:hAnsi="Times New Roman"/>
          <w:color w:val="auto"/>
          <w:highlight w:val="none"/>
        </w:rPr>
        <w:t>3. 评标程序</w:t>
      </w:r>
      <w:bookmarkEnd w:id="517"/>
    </w:p>
    <w:p>
      <w:pPr>
        <w:pStyle w:val="6"/>
        <w:keepNext w:val="0"/>
        <w:keepLines w:val="0"/>
        <w:spacing w:before="0" w:after="0" w:line="240" w:lineRule="auto"/>
        <w:ind w:firstLine="560" w:firstLineChars="200"/>
        <w:rPr>
          <w:rFonts w:ascii="Times New Roman" w:hAnsi="Times New Roman"/>
          <w:color w:val="auto"/>
          <w:highlight w:val="none"/>
        </w:rPr>
      </w:pPr>
      <w:bookmarkStart w:id="518" w:name="_Toc89870616"/>
      <w:r>
        <w:rPr>
          <w:rFonts w:ascii="Times New Roman" w:hAnsi="Times New Roman"/>
          <w:color w:val="auto"/>
          <w:highlight w:val="none"/>
        </w:rPr>
        <w:t>3.1 初步评审</w:t>
      </w:r>
      <w:bookmarkEnd w:id="518"/>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3.1.1 评标委员会可以要求投标人提交第二章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投标人须知</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规定的有关证明和证件的原件，以便核验。评标委员会依据本章第2.1款规定的标准对投标文件进行初步评审。有一项不符合评审标准的，评标委员会应当否决其投标。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 投标人有以下情形之一的，评标委员会应当否决其投标：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（1）投标文件没有对招标文件的实质性要求和条件作出响应，或者对招标文件的偏差超出招标文件规定的偏差范围或最高项数；</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（2）有串通投标、弄虚作假、行贿等违法行为。</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投标报价有算术错误及其他错误的，评标委员会按以下原则要求投标人对投标报价进</w:t>
      </w:r>
      <w:bookmarkStart w:id="519" w:name="_Toc144974570"/>
      <w:bookmarkStart w:id="520" w:name="_Toc352691538"/>
      <w:bookmarkStart w:id="521" w:name="_Toc152042380"/>
      <w:bookmarkStart w:id="522" w:name="_Toc247527628"/>
      <w:bookmarkStart w:id="523" w:name="_Toc247514027"/>
      <w:bookmarkStart w:id="524" w:name="_Toc300835013"/>
      <w:bookmarkStart w:id="525" w:name="_Toc2907"/>
      <w:bookmarkStart w:id="526" w:name="_Toc361508651"/>
      <w:bookmarkStart w:id="527" w:name="_Toc384308277"/>
      <w:bookmarkStart w:id="528" w:name="_Toc152045603"/>
      <w:bookmarkStart w:id="529" w:name="_Toc369531582"/>
      <w:r>
        <w:rPr>
          <w:rFonts w:ascii="Times New Roman" w:hAnsi="Times New Roman"/>
          <w:color w:val="auto"/>
          <w:sz w:val="24"/>
          <w:szCs w:val="24"/>
          <w:highlight w:val="none"/>
        </w:rPr>
        <w:t>行修正，并要求投标人书面澄清确认。</w:t>
      </w:r>
      <w:bookmarkEnd w:id="519"/>
      <w:bookmarkEnd w:id="520"/>
      <w:bookmarkEnd w:id="521"/>
      <w:bookmarkEnd w:id="522"/>
      <w:bookmarkEnd w:id="523"/>
      <w:bookmarkEnd w:id="524"/>
      <w:bookmarkEnd w:id="525"/>
      <w:bookmarkEnd w:id="526"/>
      <w:bookmarkEnd w:id="527"/>
      <w:bookmarkEnd w:id="528"/>
      <w:bookmarkEnd w:id="529"/>
      <w:r>
        <w:rPr>
          <w:rFonts w:ascii="Times New Roman" w:hAnsi="Times New Roman"/>
          <w:color w:val="auto"/>
          <w:sz w:val="24"/>
          <w:szCs w:val="24"/>
          <w:highlight w:val="none"/>
        </w:rPr>
        <w:t>投标人拒不澄清确认的，评标委员会应当否决其投标：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（1）投标文件中的大写金额与小写金额不一致的，以大写金额为准；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（2）总价金额与单价金额不一致的，以单价金额为准，但单价金额小数点有明显错误的除外</w:t>
      </w:r>
      <w:r>
        <w:rPr>
          <w:rFonts w:hint="eastAsia" w:ascii="Times New Roman" w:hAnsi="Times New Roman"/>
          <w:color w:val="auto"/>
          <w:sz w:val="24"/>
          <w:szCs w:val="24"/>
          <w:highlight w:val="none"/>
        </w:rPr>
        <w:t>。</w:t>
      </w:r>
    </w:p>
    <w:p>
      <w:pPr>
        <w:pStyle w:val="6"/>
        <w:keepNext w:val="0"/>
        <w:keepLines w:val="0"/>
        <w:spacing w:before="0" w:after="0" w:line="240" w:lineRule="auto"/>
        <w:ind w:firstLine="560" w:firstLineChars="200"/>
        <w:rPr>
          <w:rFonts w:ascii="Times New Roman" w:hAnsi="Times New Roman"/>
          <w:color w:val="auto"/>
          <w:highlight w:val="none"/>
        </w:rPr>
      </w:pPr>
      <w:bookmarkStart w:id="530" w:name="_Toc89870617"/>
      <w:r>
        <w:rPr>
          <w:rFonts w:ascii="Times New Roman" w:hAnsi="Times New Roman"/>
          <w:color w:val="auto"/>
          <w:highlight w:val="none"/>
        </w:rPr>
        <w:t>3.2 详细评审</w:t>
      </w:r>
      <w:bookmarkEnd w:id="530"/>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3.2.1 评标委员会按本章第2.2款规定的量化因素和分值进行打分，并计算出综合评估得分。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（1）按本章第2.2.4（1）目规定的评审因素和分值对资信业绩部分计算出得分A；</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（2）按本章第2.2.4（2）目规定的评审因素和分值对监理大纲部分计算出得分B；</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（3）按本章第2.2.4（3）目规定的评审因素和</w:t>
      </w:r>
      <w:bookmarkStart w:id="531" w:name="_Toc247527629"/>
      <w:bookmarkStart w:id="532" w:name="_Toc300835014"/>
      <w:bookmarkStart w:id="533" w:name="_Toc352691539"/>
      <w:bookmarkStart w:id="534" w:name="_Toc152042381"/>
      <w:bookmarkStart w:id="535" w:name="_Toc361508652"/>
      <w:bookmarkStart w:id="536" w:name="_Toc384308278"/>
      <w:bookmarkStart w:id="537" w:name="_Toc24330"/>
      <w:bookmarkStart w:id="538" w:name="_Toc152045604"/>
      <w:bookmarkStart w:id="539" w:name="_Toc369531583"/>
      <w:bookmarkStart w:id="540" w:name="_Toc247514028"/>
      <w:bookmarkStart w:id="541" w:name="_Toc144974571"/>
      <w:r>
        <w:rPr>
          <w:rFonts w:ascii="Times New Roman" w:hAnsi="Times New Roman"/>
          <w:color w:val="auto"/>
          <w:sz w:val="24"/>
          <w:szCs w:val="24"/>
          <w:highlight w:val="none"/>
        </w:rPr>
        <w:t>分值对投标报价</w:t>
      </w:r>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color w:val="auto"/>
          <w:sz w:val="24"/>
          <w:szCs w:val="24"/>
          <w:highlight w:val="none"/>
        </w:rPr>
        <w:t>计</w:t>
      </w:r>
      <w:bookmarkStart w:id="542" w:name="_Toc361508653"/>
      <w:bookmarkStart w:id="543" w:name="_Toc18141"/>
      <w:bookmarkStart w:id="544" w:name="_Toc247514029"/>
      <w:bookmarkStart w:id="545" w:name="_Toc384308279"/>
      <w:bookmarkStart w:id="546" w:name="_Toc152042382"/>
      <w:bookmarkStart w:id="547" w:name="_Toc369531584"/>
      <w:bookmarkStart w:id="548" w:name="_Toc144974572"/>
      <w:bookmarkStart w:id="549" w:name="_Toc152045605"/>
      <w:bookmarkStart w:id="550" w:name="_Toc247527630"/>
      <w:bookmarkStart w:id="551" w:name="_Toc300835015"/>
      <w:bookmarkStart w:id="552" w:name="_Toc352691540"/>
      <w:r>
        <w:rPr>
          <w:rFonts w:ascii="Times New Roman" w:hAnsi="Times New Roman"/>
          <w:color w:val="auto"/>
          <w:sz w:val="24"/>
          <w:szCs w:val="24"/>
          <w:highlight w:val="none"/>
        </w:rPr>
        <w:t>算出得分C；</w:t>
      </w:r>
    </w:p>
    <w:p>
      <w:pPr>
        <w:spacing w:line="400" w:lineRule="exact"/>
        <w:ind w:firstLine="480" w:firstLineChars="200"/>
        <w:rPr>
          <w:color w:val="auto"/>
          <w:highlight w:val="none"/>
        </w:rPr>
      </w:pPr>
      <w:r>
        <w:rPr>
          <w:rFonts w:hint="eastAsia" w:ascii="Times New Roman" w:hAnsi="Times New Roman"/>
          <w:color w:val="auto"/>
          <w:sz w:val="24"/>
          <w:szCs w:val="24"/>
          <w:highlight w:val="none"/>
        </w:rPr>
        <w:t>（</w:t>
      </w:r>
      <w:r>
        <w:rPr>
          <w:rFonts w:hint="eastAsia"/>
          <w:color w:val="auto"/>
          <w:sz w:val="24"/>
          <w:szCs w:val="24"/>
          <w:highlight w:val="none"/>
        </w:rPr>
        <w:t>4）</w:t>
      </w:r>
      <w:r>
        <w:rPr>
          <w:rFonts w:ascii="Times New Roman" w:hAnsi="Times New Roman"/>
          <w:color w:val="auto"/>
          <w:sz w:val="24"/>
          <w:szCs w:val="24"/>
          <w:highlight w:val="none"/>
        </w:rPr>
        <w:t>按本章第2.2.4（</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）目规定的评审因素和分值对其他因素计算出得分</w:t>
      </w:r>
      <w:r>
        <w:rPr>
          <w:rFonts w:hint="eastAsia" w:ascii="Times New Roman" w:hAnsi="Times New Roman"/>
          <w:color w:val="auto"/>
          <w:sz w:val="24"/>
          <w:szCs w:val="24"/>
          <w:highlight w:val="none"/>
        </w:rPr>
        <w:t>D。</w:t>
      </w:r>
    </w:p>
    <w:bookmarkEnd w:id="542"/>
    <w:bookmarkEnd w:id="543"/>
    <w:bookmarkEnd w:id="544"/>
    <w:bookmarkEnd w:id="545"/>
    <w:bookmarkEnd w:id="546"/>
    <w:bookmarkEnd w:id="547"/>
    <w:bookmarkEnd w:id="548"/>
    <w:bookmarkEnd w:id="549"/>
    <w:bookmarkEnd w:id="550"/>
    <w:bookmarkEnd w:id="551"/>
    <w:bookmarkEnd w:id="552"/>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3.2.2 评分分值计算保留小数点后两位，小数点后第三位</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四舍五入</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w:t>
      </w:r>
    </w:p>
    <w:p>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3.2.3</w:t>
      </w:r>
      <w:r>
        <w:rPr>
          <w:rFonts w:hint="eastAsia" w:ascii="Times New Roman" w:hAnsi="Times New Roman"/>
          <w:color w:val="auto"/>
          <w:sz w:val="24"/>
          <w:szCs w:val="24"/>
          <w:highlight w:val="none"/>
          <w:u w:val="single"/>
        </w:rPr>
        <w:t>投标人总得分＝投标人综合得分（A+B+C）*95%+企业诚信得分D*5%。</w:t>
      </w:r>
    </w:p>
    <w:p>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u w:val="single"/>
        </w:rPr>
        <w:t>投标人综合得分为各评委A+B+C为各评委的评分去掉一个最高分和一个最低分后计取的算术平均分（分数出现小数点时，保留小数点后二位，第三位小数四舍五入）。</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keepNext w:val="0"/>
        <w:keepLines w:val="0"/>
        <w:spacing w:before="0" w:after="0" w:line="240" w:lineRule="auto"/>
        <w:ind w:firstLine="560" w:firstLineChars="200"/>
        <w:rPr>
          <w:rFonts w:ascii="Times New Roman" w:hAnsi="Times New Roman"/>
          <w:color w:val="auto"/>
          <w:highlight w:val="none"/>
        </w:rPr>
      </w:pPr>
      <w:bookmarkStart w:id="553" w:name="_Toc89870618"/>
      <w:r>
        <w:rPr>
          <w:rFonts w:ascii="Times New Roman" w:hAnsi="Times New Roman"/>
          <w:color w:val="auto"/>
          <w:highlight w:val="none"/>
        </w:rPr>
        <w:t>3.3 投标文件的澄清</w:t>
      </w:r>
      <w:bookmarkEnd w:id="553"/>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3.3.2 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3.3.3 评标委员会对投标人提交的澄清、说明或补正有疑问的，可以要求投标人进一步澄清、说明或补正，直至满足评标委员会的要求。</w:t>
      </w:r>
    </w:p>
    <w:p>
      <w:pPr>
        <w:pStyle w:val="6"/>
        <w:keepNext w:val="0"/>
        <w:keepLines w:val="0"/>
        <w:spacing w:before="0" w:after="0" w:line="240" w:lineRule="auto"/>
        <w:ind w:firstLine="560" w:firstLineChars="200"/>
        <w:rPr>
          <w:rFonts w:ascii="Times New Roman" w:hAnsi="Times New Roman"/>
          <w:color w:val="auto"/>
          <w:highlight w:val="none"/>
        </w:rPr>
      </w:pPr>
      <w:bookmarkStart w:id="554" w:name="_Toc89870619"/>
      <w:r>
        <w:rPr>
          <w:rFonts w:ascii="Times New Roman" w:hAnsi="Times New Roman"/>
          <w:color w:val="auto"/>
          <w:highlight w:val="none"/>
        </w:rPr>
        <w:t>3.4 评标结果</w:t>
      </w:r>
      <w:bookmarkEnd w:id="554"/>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3.4.1 除第二章</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投标人须知</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前附表授权直接确定中标人外，评标委员会按照得分由高到低的顺序推荐中标候选人，并标明排序。</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3.4.2 评标委员会完成评标后，应当向招标人提交书面评标报告和中标候选人名单。</w:t>
      </w:r>
    </w:p>
    <w:p>
      <w:pPr>
        <w:ind w:firstLine="883" w:firstLineChars="200"/>
        <w:rPr>
          <w:rFonts w:ascii="Times New Roman" w:hAnsi="Times New Roman"/>
          <w:b/>
          <w:color w:val="auto"/>
          <w:kern w:val="44"/>
          <w:sz w:val="44"/>
          <w:szCs w:val="20"/>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pStyle w:val="4"/>
        <w:keepNext w:val="0"/>
        <w:keepLines w:val="0"/>
        <w:spacing w:before="100" w:after="100" w:line="360" w:lineRule="auto"/>
        <w:jc w:val="center"/>
        <w:rPr>
          <w:color w:val="auto"/>
          <w:highlight w:val="none"/>
        </w:rPr>
      </w:pPr>
      <w:r>
        <w:rPr>
          <w:color w:val="auto"/>
          <w:highlight w:val="none"/>
        </w:rPr>
        <w:br w:type="page"/>
      </w:r>
      <w:bookmarkStart w:id="555" w:name="_Toc89870620"/>
      <w:r>
        <w:rPr>
          <w:color w:val="auto"/>
          <w:highlight w:val="none"/>
        </w:rPr>
        <w:t>第四章</w:t>
      </w:r>
      <w:r>
        <w:rPr>
          <w:rFonts w:hint="eastAsia"/>
          <w:color w:val="auto"/>
          <w:highlight w:val="none"/>
        </w:rPr>
        <w:t xml:space="preserve"> </w:t>
      </w:r>
      <w:r>
        <w:rPr>
          <w:color w:val="auto"/>
          <w:highlight w:val="none"/>
        </w:rPr>
        <w:t>合同条款及格式</w:t>
      </w:r>
      <w:bookmarkEnd w:id="555"/>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30"/>
        <w:spacing w:line="360" w:lineRule="auto"/>
        <w:ind w:firstLine="480" w:firstLineChars="200"/>
        <w:jc w:val="both"/>
        <w:rPr>
          <w:rFonts w:ascii="宋体" w:hAnsi="宋体"/>
          <w:color w:val="auto"/>
          <w:highlight w:val="none"/>
        </w:rPr>
      </w:pPr>
    </w:p>
    <w:p>
      <w:pPr>
        <w:pStyle w:val="6"/>
        <w:spacing w:before="0" w:after="0"/>
        <w:ind w:firstLine="1410" w:firstLineChars="200"/>
        <w:rPr>
          <w:color w:val="auto"/>
          <w:highlight w:val="none"/>
        </w:rPr>
      </w:pPr>
      <w:r>
        <w:rPr>
          <w:rFonts w:hint="eastAsia"/>
          <w:color w:val="auto"/>
          <w:w w:val="98"/>
          <w:sz w:val="72"/>
          <w:szCs w:val="72"/>
          <w:highlight w:val="none"/>
        </w:rPr>
        <w:t>建设工程监理合同</w:t>
      </w:r>
    </w:p>
    <w:p>
      <w:pPr>
        <w:ind w:firstLine="643" w:firstLineChars="200"/>
        <w:rPr>
          <w:b/>
          <w:color w:val="auto"/>
          <w:sz w:val="32"/>
          <w:highlight w:val="none"/>
        </w:rPr>
      </w:pPr>
    </w:p>
    <w:p>
      <w:pPr>
        <w:ind w:firstLine="643" w:firstLineChars="200"/>
        <w:rPr>
          <w:b/>
          <w:color w:val="auto"/>
          <w:sz w:val="32"/>
          <w:highlight w:val="none"/>
        </w:rPr>
      </w:pPr>
    </w:p>
    <w:p>
      <w:pPr>
        <w:pStyle w:val="14"/>
        <w:rPr>
          <w:b/>
          <w:color w:val="auto"/>
          <w:sz w:val="32"/>
          <w:highlight w:val="none"/>
        </w:rPr>
      </w:pPr>
    </w:p>
    <w:p>
      <w:pPr>
        <w:ind w:firstLine="643" w:firstLineChars="200"/>
        <w:rPr>
          <w:b/>
          <w:color w:val="auto"/>
          <w:sz w:val="32"/>
          <w:highlight w:val="none"/>
        </w:rPr>
      </w:pPr>
    </w:p>
    <w:p>
      <w:pPr>
        <w:ind w:firstLine="643" w:firstLineChars="200"/>
        <w:rPr>
          <w:b/>
          <w:color w:val="auto"/>
          <w:sz w:val="32"/>
          <w:highlight w:val="none"/>
        </w:rPr>
      </w:pPr>
    </w:p>
    <w:p>
      <w:pPr>
        <w:ind w:firstLine="643" w:firstLineChars="200"/>
        <w:rPr>
          <w:b/>
          <w:color w:val="auto"/>
          <w:sz w:val="32"/>
          <w:highlight w:val="none"/>
        </w:rPr>
      </w:pPr>
    </w:p>
    <w:p>
      <w:pPr>
        <w:ind w:firstLine="1285" w:firstLineChars="400"/>
        <w:rPr>
          <w:color w:val="auto"/>
          <w:sz w:val="28"/>
          <w:highlight w:val="none"/>
        </w:rPr>
      </w:pPr>
      <w:r>
        <w:rPr>
          <w:b/>
          <w:color w:val="auto"/>
          <w:sz w:val="32"/>
          <w:highlight w:val="none"/>
        </w:rPr>
        <w:t>合同编号：</w:t>
      </w:r>
      <w:r>
        <w:rPr>
          <w:color w:val="auto"/>
          <w:sz w:val="28"/>
          <w:highlight w:val="none"/>
        </w:rPr>
        <w:t xml:space="preserve"> </w:t>
      </w:r>
    </w:p>
    <w:p>
      <w:pPr>
        <w:pStyle w:val="12"/>
        <w:spacing w:after="0"/>
        <w:ind w:firstLine="420" w:firstLineChars="200"/>
        <w:rPr>
          <w:color w:val="auto"/>
          <w:highlight w:val="none"/>
        </w:rPr>
      </w:pPr>
    </w:p>
    <w:p>
      <w:pPr>
        <w:pStyle w:val="14"/>
        <w:rPr>
          <w:color w:val="auto"/>
          <w:sz w:val="28"/>
          <w:highlight w:val="none"/>
        </w:rPr>
      </w:pPr>
    </w:p>
    <w:p>
      <w:pPr>
        <w:rPr>
          <w:color w:val="auto"/>
          <w:highlight w:val="none"/>
        </w:rPr>
      </w:pPr>
    </w:p>
    <w:p>
      <w:pPr>
        <w:pStyle w:val="14"/>
        <w:rPr>
          <w:color w:val="auto"/>
          <w:sz w:val="28"/>
          <w:highlight w:val="none"/>
        </w:rPr>
      </w:pPr>
    </w:p>
    <w:p>
      <w:pPr>
        <w:pStyle w:val="14"/>
        <w:rPr>
          <w:color w:val="auto"/>
          <w:highlight w:val="none"/>
        </w:rPr>
      </w:pPr>
    </w:p>
    <w:p>
      <w:pPr>
        <w:rPr>
          <w:color w:val="auto"/>
          <w:highlight w:val="none"/>
        </w:rPr>
      </w:pPr>
    </w:p>
    <w:p>
      <w:pPr>
        <w:ind w:firstLine="560" w:firstLineChars="200"/>
        <w:rPr>
          <w:color w:val="auto"/>
          <w:sz w:val="28"/>
          <w:highlight w:val="none"/>
        </w:rPr>
      </w:pPr>
      <w:r>
        <w:rPr>
          <w:color w:val="auto"/>
          <w:sz w:val="28"/>
          <w:highlight w:val="none"/>
        </w:rPr>
        <w:t xml:space="preserve"> </w:t>
      </w:r>
    </w:p>
    <w:p>
      <w:pPr>
        <w:ind w:firstLine="560" w:firstLineChars="200"/>
        <w:rPr>
          <w:color w:val="auto"/>
          <w:sz w:val="28"/>
          <w:highlight w:val="none"/>
        </w:rPr>
      </w:pPr>
      <w:r>
        <w:rPr>
          <w:color w:val="auto"/>
          <w:sz w:val="28"/>
          <w:highlight w:val="none"/>
        </w:rPr>
        <w:t xml:space="preserve"> </w:t>
      </w:r>
    </w:p>
    <w:p>
      <w:pPr>
        <w:ind w:firstLine="560" w:firstLineChars="200"/>
        <w:rPr>
          <w:color w:val="auto"/>
          <w:sz w:val="28"/>
          <w:highlight w:val="none"/>
        </w:rPr>
      </w:pPr>
      <w:r>
        <w:rPr>
          <w:color w:val="auto"/>
          <w:sz w:val="28"/>
          <w:highlight w:val="none"/>
        </w:rPr>
        <w:t xml:space="preserve"> </w:t>
      </w:r>
    </w:p>
    <w:p>
      <w:pPr>
        <w:ind w:firstLine="1960" w:firstLineChars="700"/>
        <w:rPr>
          <w:color w:val="auto"/>
          <w:sz w:val="28"/>
          <w:highlight w:val="none"/>
        </w:rPr>
      </w:pPr>
      <w:r>
        <w:rPr>
          <w:color w:val="auto"/>
          <w:sz w:val="28"/>
          <w:highlight w:val="none"/>
        </w:rPr>
        <w:t>项目名称：</w:t>
      </w:r>
      <w:r>
        <w:rPr>
          <w:rFonts w:hint="eastAsia"/>
          <w:color w:val="auto"/>
          <w:sz w:val="28"/>
          <w:highlight w:val="none"/>
          <w:u w:val="single"/>
          <w:lang w:eastAsia="zh-CN"/>
        </w:rPr>
        <w:t>增城区南部水厂及配套管网建设工程</w:t>
      </w:r>
      <w:r>
        <w:rPr>
          <w:color w:val="auto"/>
          <w:sz w:val="28"/>
          <w:highlight w:val="none"/>
        </w:rPr>
        <w:t xml:space="preserve">  </w:t>
      </w:r>
    </w:p>
    <w:p>
      <w:pPr>
        <w:ind w:firstLine="560" w:firstLineChars="200"/>
        <w:rPr>
          <w:color w:val="auto"/>
          <w:sz w:val="28"/>
          <w:highlight w:val="none"/>
        </w:rPr>
      </w:pPr>
      <w:r>
        <w:rPr>
          <w:color w:val="auto"/>
          <w:sz w:val="28"/>
          <w:highlight w:val="none"/>
        </w:rPr>
        <w:t xml:space="preserve">          委托人：</w:t>
      </w:r>
      <w:r>
        <w:rPr>
          <w:rFonts w:hint="eastAsia"/>
          <w:color w:val="auto"/>
          <w:sz w:val="28"/>
          <w:highlight w:val="none"/>
          <w:u w:val="single"/>
        </w:rPr>
        <w:t>广州增城区东进供水有限公司</w:t>
      </w:r>
      <w:r>
        <w:rPr>
          <w:color w:val="auto"/>
          <w:sz w:val="28"/>
          <w:highlight w:val="none"/>
        </w:rPr>
        <w:t xml:space="preserve"> </w:t>
      </w:r>
    </w:p>
    <w:p>
      <w:pPr>
        <w:ind w:firstLine="560" w:firstLineChars="200"/>
        <w:rPr>
          <w:color w:val="auto"/>
          <w:sz w:val="28"/>
          <w:highlight w:val="none"/>
        </w:rPr>
      </w:pPr>
      <w:r>
        <w:rPr>
          <w:color w:val="auto"/>
          <w:sz w:val="28"/>
          <w:highlight w:val="none"/>
        </w:rPr>
        <w:t xml:space="preserve">          监理人：</w:t>
      </w:r>
      <w:r>
        <w:rPr>
          <w:color w:val="auto"/>
          <w:sz w:val="28"/>
          <w:highlight w:val="none"/>
          <w:u w:val="single"/>
        </w:rPr>
        <w:t xml:space="preserve">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z w:val="28"/>
          <w:highlight w:val="none"/>
          <w:u w:val="single"/>
        </w:rPr>
        <w:t xml:space="preserve">   </w:t>
      </w:r>
      <w:r>
        <w:rPr>
          <w:color w:val="auto"/>
          <w:sz w:val="28"/>
          <w:highlight w:val="none"/>
          <w:u w:val="single"/>
        </w:rPr>
        <w:t xml:space="preserve">     </w:t>
      </w:r>
      <w:r>
        <w:rPr>
          <w:color w:val="auto"/>
          <w:sz w:val="28"/>
          <w:highlight w:val="none"/>
        </w:rPr>
        <w:t xml:space="preserve"> </w:t>
      </w:r>
    </w:p>
    <w:p>
      <w:pPr>
        <w:ind w:firstLine="560" w:firstLineChars="200"/>
        <w:rPr>
          <w:color w:val="auto"/>
          <w:sz w:val="28"/>
          <w:highlight w:val="none"/>
        </w:rPr>
      </w:pPr>
      <w:r>
        <w:rPr>
          <w:color w:val="auto"/>
          <w:sz w:val="28"/>
          <w:highlight w:val="none"/>
        </w:rPr>
        <w:t xml:space="preserve">          合同签订日期：</w:t>
      </w:r>
      <w:r>
        <w:rPr>
          <w:color w:val="auto"/>
          <w:sz w:val="28"/>
          <w:highlight w:val="none"/>
          <w:u w:val="single"/>
        </w:rPr>
        <w:t xml:space="preserve">        </w:t>
      </w:r>
      <w:r>
        <w:rPr>
          <w:color w:val="auto"/>
          <w:sz w:val="28"/>
          <w:highlight w:val="none"/>
        </w:rPr>
        <w:t xml:space="preserve"> </w:t>
      </w:r>
    </w:p>
    <w:p>
      <w:pPr>
        <w:ind w:firstLine="560" w:firstLineChars="200"/>
        <w:rPr>
          <w:color w:val="auto"/>
          <w:sz w:val="28"/>
          <w:highlight w:val="none"/>
        </w:rPr>
      </w:pPr>
      <w:r>
        <w:rPr>
          <w:color w:val="auto"/>
          <w:sz w:val="28"/>
          <w:highlight w:val="none"/>
        </w:rPr>
        <w:t xml:space="preserve">          签订地点：</w:t>
      </w:r>
      <w:r>
        <w:rPr>
          <w:color w:val="auto"/>
          <w:sz w:val="28"/>
          <w:highlight w:val="none"/>
          <w:u w:val="single"/>
        </w:rPr>
        <w:t>广州市增城区</w:t>
      </w:r>
      <w:r>
        <w:rPr>
          <w:color w:val="auto"/>
          <w:sz w:val="28"/>
          <w:highlight w:val="none"/>
        </w:rPr>
        <w:t xml:space="preserve"> </w:t>
      </w:r>
    </w:p>
    <w:p>
      <w:pPr>
        <w:ind w:firstLine="560" w:firstLineChars="200"/>
        <w:rPr>
          <w:color w:val="auto"/>
          <w:sz w:val="28"/>
          <w:highlight w:val="none"/>
        </w:rPr>
        <w:sectPr>
          <w:footerReference r:id="rId4" w:type="default"/>
          <w:pgSz w:w="12240" w:h="15840"/>
          <w:pgMar w:top="1440" w:right="1803" w:bottom="1440" w:left="1803" w:header="0" w:footer="623" w:gutter="0"/>
          <w:cols w:space="720" w:num="1"/>
        </w:sectPr>
      </w:pPr>
    </w:p>
    <w:p>
      <w:pPr>
        <w:ind w:firstLine="629" w:firstLineChars="200"/>
        <w:rPr>
          <w:b/>
          <w:color w:val="auto"/>
          <w:sz w:val="33"/>
          <w:highlight w:val="none"/>
        </w:rPr>
      </w:pPr>
      <w:r>
        <w:rPr>
          <w:b/>
          <w:color w:val="auto"/>
          <w:w w:val="98"/>
          <w:sz w:val="32"/>
          <w:highlight w:val="none"/>
        </w:rPr>
        <w:t xml:space="preserve"> </w:t>
      </w:r>
    </w:p>
    <w:p>
      <w:pPr>
        <w:pStyle w:val="6"/>
        <w:spacing w:before="0" w:after="0"/>
        <w:ind w:firstLine="643" w:firstLineChars="200"/>
        <w:jc w:val="center"/>
        <w:rPr>
          <w:rFonts w:ascii="宋体" w:hAnsi="宋体" w:cs="宋体"/>
          <w:b/>
          <w:bCs/>
          <w:color w:val="auto"/>
          <w:sz w:val="32"/>
          <w:szCs w:val="28"/>
          <w:highlight w:val="none"/>
        </w:rPr>
      </w:pPr>
      <w:r>
        <w:rPr>
          <w:rFonts w:hint="eastAsia" w:ascii="宋体" w:hAnsi="宋体" w:eastAsia="宋体" w:cs="宋体"/>
          <w:b/>
          <w:bCs/>
          <w:color w:val="auto"/>
          <w:sz w:val="32"/>
          <w:szCs w:val="28"/>
          <w:highlight w:val="none"/>
        </w:rPr>
        <w:t>第一章</w:t>
      </w:r>
      <w:r>
        <w:rPr>
          <w:rFonts w:ascii="宋体" w:hAnsi="宋体" w:eastAsia="宋体" w:cs="宋体"/>
          <w:b/>
          <w:bCs/>
          <w:color w:val="auto"/>
          <w:sz w:val="32"/>
          <w:szCs w:val="28"/>
          <w:highlight w:val="none"/>
        </w:rPr>
        <w:t xml:space="preserve"> </w:t>
      </w:r>
      <w:r>
        <w:rPr>
          <w:rFonts w:hint="eastAsia" w:ascii="宋体" w:hAnsi="宋体" w:eastAsia="宋体" w:cs="宋体"/>
          <w:b/>
          <w:bCs/>
          <w:color w:val="auto"/>
          <w:sz w:val="32"/>
          <w:szCs w:val="28"/>
          <w:highlight w:val="none"/>
        </w:rPr>
        <w:t>协议书</w:t>
      </w:r>
    </w:p>
    <w:p>
      <w:pPr>
        <w:pStyle w:val="12"/>
        <w:spacing w:after="0"/>
        <w:ind w:firstLine="402" w:firstLineChars="200"/>
        <w:rPr>
          <w:b/>
          <w:color w:val="auto"/>
          <w:sz w:val="20"/>
          <w:highlight w:val="none"/>
        </w:rPr>
      </w:pPr>
    </w:p>
    <w:p>
      <w:pPr>
        <w:pStyle w:val="12"/>
        <w:spacing w:after="0"/>
        <w:ind w:firstLine="542" w:firstLineChars="200"/>
        <w:rPr>
          <w:b/>
          <w:color w:val="auto"/>
          <w:sz w:val="27"/>
          <w:highlight w:val="none"/>
        </w:rPr>
      </w:pPr>
    </w:p>
    <w:p>
      <w:pPr>
        <w:pStyle w:val="12"/>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广州增城区东进供水有限公司（以下称委托人）与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（以下称监理人）依照《中华人民共和国民法典》、《中华人民共和国建筑法》及其他有关法律、行政法规、部门规章、地方性法规和规章，遵循平等、自愿、公平和诚实信用的原则，双方就</w:t>
      </w:r>
      <w:r>
        <w:rPr>
          <w:rFonts w:hint="eastAsia" w:ascii="宋体" w:hAnsi="宋体" w:cs="宋体"/>
          <w:color w:val="auto"/>
          <w:sz w:val="24"/>
          <w:szCs w:val="24"/>
          <w:highlight w:val="none"/>
          <w:u w:val="single"/>
          <w:lang w:val="en-US" w:eastAsia="zh-CN"/>
        </w:rPr>
        <w:t>XX</w:t>
      </w:r>
      <w:r>
        <w:rPr>
          <w:rFonts w:hint="eastAsia" w:ascii="宋体" w:hAnsi="宋体" w:cs="宋体"/>
          <w:color w:val="auto"/>
          <w:sz w:val="24"/>
          <w:szCs w:val="24"/>
          <w:highlight w:val="none"/>
        </w:rPr>
        <w:t>委托监理事宜协商一致，订立本合同。</w:t>
      </w:r>
      <w:r>
        <w:rPr>
          <w:rFonts w:hint="eastAsia" w:ascii="宋体" w:hAnsi="宋体" w:cs="宋体"/>
          <w:b/>
          <w:color w:val="auto"/>
          <w:w w:val="99"/>
          <w:sz w:val="24"/>
          <w:szCs w:val="24"/>
          <w:highlight w:val="none"/>
        </w:rPr>
        <w:t xml:space="preserve"> </w:t>
      </w:r>
    </w:p>
    <w:p>
      <w:pPr>
        <w:pStyle w:val="12"/>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一、监理工程概况 </w:t>
      </w:r>
    </w:p>
    <w:p>
      <w:pPr>
        <w:pStyle w:val="31"/>
        <w:numPr>
          <w:ilvl w:val="255"/>
          <w:numId w:val="0"/>
        </w:numPr>
        <w:tabs>
          <w:tab w:val="left" w:pos="11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（1）工程名称：</w:t>
      </w:r>
      <w:r>
        <w:rPr>
          <w:rFonts w:hint="eastAsia" w:ascii="宋体" w:hAnsi="宋体" w:eastAsia="宋体" w:cs="宋体"/>
          <w:b w:val="0"/>
          <w:color w:val="auto"/>
          <w:sz w:val="24"/>
          <w:szCs w:val="24"/>
          <w:highlight w:val="none"/>
          <w:lang w:eastAsia="zh-CN"/>
        </w:rPr>
        <w:t>增城区南部水厂及配套管网建设工程</w:t>
      </w:r>
      <w:r>
        <w:rPr>
          <w:rFonts w:hint="eastAsia" w:ascii="宋体" w:hAnsi="宋体" w:eastAsia="宋体" w:cs="宋体"/>
          <w:color w:val="auto"/>
          <w:sz w:val="24"/>
          <w:szCs w:val="24"/>
          <w:highlight w:val="none"/>
        </w:rPr>
        <w:t xml:space="preserve">。 </w:t>
      </w:r>
    </w:p>
    <w:p>
      <w:pPr>
        <w:pStyle w:val="31"/>
        <w:numPr>
          <w:ilvl w:val="255"/>
          <w:numId w:val="0"/>
        </w:numPr>
        <w:tabs>
          <w:tab w:val="left" w:pos="119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（2）工程地点：</w:t>
      </w:r>
      <w:r>
        <w:rPr>
          <w:rFonts w:hint="eastAsia" w:ascii="宋体" w:hAnsi="宋体" w:eastAsia="宋体" w:cs="宋体"/>
          <w:color w:val="auto"/>
          <w:kern w:val="0"/>
          <w:sz w:val="24"/>
          <w:szCs w:val="24"/>
          <w:highlight w:val="none"/>
          <w:u w:val="single"/>
          <w:lang w:val="en-US" w:eastAsia="zh-CN" w:bidi="ar"/>
        </w:rPr>
        <w:t>增城区</w:t>
      </w:r>
      <w:r>
        <w:rPr>
          <w:rFonts w:hint="eastAsia" w:ascii="宋体" w:hAnsi="宋体" w:cs="宋体"/>
          <w:color w:val="auto"/>
          <w:kern w:val="2"/>
          <w:sz w:val="24"/>
          <w:szCs w:val="22"/>
          <w:highlight w:val="none"/>
          <w:u w:val="single"/>
          <w:lang w:val="en-US" w:eastAsia="zh-CN" w:bidi="ar-SA"/>
        </w:rPr>
        <w:t>南部水厂厂区位于新塘镇官道村，万田水库东南侧；取水泵房位于石滩镇岳埔村</w:t>
      </w:r>
      <w:r>
        <w:rPr>
          <w:rFonts w:hint="eastAsia" w:ascii="宋体" w:hAnsi="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（3）工程规模：</w:t>
      </w:r>
      <w:r>
        <w:rPr>
          <w:rFonts w:hint="eastAsia" w:ascii="宋体" w:hAnsi="宋体" w:eastAsia="宋体" w:cs="宋体"/>
          <w:color w:val="auto"/>
          <w:sz w:val="24"/>
          <w:szCs w:val="24"/>
          <w:highlight w:val="none"/>
          <w:u w:val="none"/>
          <w:lang w:val="en-US" w:eastAsia="zh-CN"/>
        </w:rPr>
        <w:t>项目一期供水规模30万m3/d，部分建(构)筑物土建按远期50万m³/d规模，设备按30万m³/d规模安装;取水泵房土建按55万 m³/d规模，设备按33万m³/d规模安装。</w:t>
      </w:r>
    </w:p>
    <w:p>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项目总建筑面积70648平方米，其中厂区建筑面积65968平方米，取水泵房建筑面积4680平方米。主要建设内容:新建厂区内配水井及细格栅、吸水井及送水泵房、污泥调质池及脱水机房、加药间、变配电中心、分配电间、综合楼、中试车间、机修及仓库、门卫等建(构)筑物，土建按远期50万m³/d规模，设备按30万m³/d规模安装;新建混凝池及沉淀池、砂滤池及反冲洗泵房、清水池、排水池及排泥池、浓缩池等建(构)筑物，土建及设备安装按30万 m³/d规模;泵站内包括取水泵房、配电房和管理用房、加药间等建筑，土建按55万m³/d规模，设备按33万m3/d规模安装;原水管管径2xDN1800双管布置，总长24千米;清水配水管网管径 DN1200~DN1800，总长13.7千米</w:t>
      </w:r>
      <w:r>
        <w:rPr>
          <w:rFonts w:hint="eastAsia" w:ascii="宋体" w:hAnsi="宋体" w:eastAsia="宋体" w:cs="宋体"/>
          <w:color w:val="auto"/>
          <w:sz w:val="24"/>
          <w:szCs w:val="24"/>
          <w:highlight w:val="none"/>
          <w:u w:val="none"/>
          <w:lang w:eastAsia="zh-CN"/>
        </w:rPr>
        <w:t>。</w:t>
      </w:r>
    </w:p>
    <w:p>
      <w:pPr>
        <w:pStyle w:val="31"/>
        <w:numPr>
          <w:ilvl w:val="255"/>
          <w:numId w:val="0"/>
        </w:numPr>
        <w:tabs>
          <w:tab w:val="left" w:pos="119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（4）工程建安费投资：</w:t>
      </w:r>
      <w:r>
        <w:rPr>
          <w:rFonts w:hint="eastAsia" w:ascii="宋体" w:hAnsi="宋体" w:cs="宋体"/>
          <w:color w:val="auto"/>
          <w:sz w:val="24"/>
          <w:szCs w:val="24"/>
          <w:highlight w:val="none"/>
          <w:lang w:val="en-US" w:eastAsia="zh-CN"/>
        </w:rPr>
        <w:t>156945.98万元</w:t>
      </w:r>
      <w:r>
        <w:rPr>
          <w:rFonts w:hint="eastAsia" w:ascii="宋体" w:hAnsi="宋体" w:cs="宋体"/>
          <w:color w:val="auto"/>
          <w:sz w:val="24"/>
          <w:szCs w:val="24"/>
          <w:highlight w:val="none"/>
        </w:rPr>
        <w:t xml:space="preserve">。 </w:t>
      </w:r>
    </w:p>
    <w:p>
      <w:pPr>
        <w:pStyle w:val="31"/>
        <w:numPr>
          <w:ilvl w:val="255"/>
          <w:numId w:val="0"/>
        </w:numPr>
        <w:tabs>
          <w:tab w:val="left" w:pos="1190"/>
        </w:tabs>
        <w:spacing w:line="360" w:lineRule="auto"/>
        <w:ind w:firstLine="472" w:firstLineChars="200"/>
        <w:rPr>
          <w:rFonts w:ascii="宋体" w:hAnsi="宋体" w:cs="宋体"/>
          <w:color w:val="auto"/>
          <w:sz w:val="24"/>
          <w:szCs w:val="24"/>
          <w:highlight w:val="none"/>
        </w:rPr>
      </w:pPr>
      <w:r>
        <w:rPr>
          <w:rFonts w:hint="eastAsia" w:ascii="宋体" w:hAnsi="宋体" w:cs="宋体"/>
          <w:color w:val="auto"/>
          <w:spacing w:val="-2"/>
          <w:sz w:val="24"/>
          <w:szCs w:val="24"/>
          <w:highlight w:val="none"/>
        </w:rPr>
        <w:t>（5）工程质量标准：</w:t>
      </w:r>
      <w:r>
        <w:rPr>
          <w:rFonts w:hint="eastAsia" w:ascii="宋体" w:hAnsi="宋体" w:cs="宋体"/>
          <w:color w:val="auto"/>
          <w:sz w:val="24"/>
          <w:szCs w:val="24"/>
          <w:highlight w:val="none"/>
        </w:rPr>
        <w:t xml:space="preserve">按国家相关规定执行的合格标准。 </w:t>
      </w:r>
    </w:p>
    <w:p>
      <w:pPr>
        <w:pStyle w:val="31"/>
        <w:numPr>
          <w:ilvl w:val="255"/>
          <w:numId w:val="0"/>
        </w:numPr>
        <w:tabs>
          <w:tab w:val="left" w:pos="119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（6）施工要求：符合设计图纸要求和《中华人民共和国特种设备安全法》、《</w:t>
      </w:r>
      <w:r>
        <w:rPr>
          <w:rFonts w:hint="eastAsia" w:ascii="宋体" w:hAnsi="宋体" w:cs="宋体"/>
          <w:color w:val="auto"/>
          <w:spacing w:val="-3"/>
          <w:sz w:val="24"/>
          <w:szCs w:val="24"/>
          <w:highlight w:val="none"/>
        </w:rPr>
        <w:t>建筑工程施</w:t>
      </w:r>
      <w:r>
        <w:rPr>
          <w:rFonts w:hint="eastAsia" w:ascii="宋体" w:hAnsi="宋体" w:cs="宋体"/>
          <w:color w:val="auto"/>
          <w:spacing w:val="-1"/>
          <w:sz w:val="24"/>
          <w:szCs w:val="24"/>
          <w:highlight w:val="none"/>
        </w:rPr>
        <w:t>工质量验收</w:t>
      </w:r>
      <w:r>
        <w:rPr>
          <w:rFonts w:hint="eastAsia" w:ascii="宋体" w:hAnsi="宋体" w:cs="宋体"/>
          <w:color w:val="auto"/>
          <w:sz w:val="24"/>
          <w:szCs w:val="24"/>
          <w:highlight w:val="none"/>
        </w:rPr>
        <w:t>统一标准》（GB50300—2013）、《建筑设计防火规范》（GB50016－2014）、《给水排水管道工程施工及验收规范》（GB5026</w:t>
      </w:r>
      <w:r>
        <w:rPr>
          <w:rFonts w:hint="eastAsia" w:ascii="宋体" w:hAnsi="宋体" w:cs="宋体"/>
          <w:color w:val="auto"/>
          <w:spacing w:val="-1"/>
          <w:sz w:val="24"/>
          <w:szCs w:val="24"/>
          <w:highlight w:val="none"/>
        </w:rPr>
        <w:t>8－2008）</w:t>
      </w:r>
      <w:r>
        <w:rPr>
          <w:rFonts w:hint="eastAsia" w:ascii="宋体" w:hAnsi="宋体" w:cs="宋体"/>
          <w:color w:val="auto"/>
          <w:spacing w:val="-8"/>
          <w:sz w:val="24"/>
          <w:szCs w:val="24"/>
          <w:highlight w:val="none"/>
        </w:rPr>
        <w:t>等国家、省、市相关法律法规规定、要求及</w:t>
      </w:r>
      <w:r>
        <w:rPr>
          <w:rFonts w:hint="eastAsia" w:ascii="宋体" w:hAnsi="宋体" w:cs="宋体"/>
          <w:color w:val="auto"/>
          <w:sz w:val="24"/>
          <w:szCs w:val="24"/>
          <w:highlight w:val="none"/>
        </w:rPr>
        <w:t xml:space="preserve">行业颁发的工程质量合格标准。 </w:t>
      </w:r>
    </w:p>
    <w:p>
      <w:pPr>
        <w:pStyle w:val="31"/>
        <w:numPr>
          <w:ilvl w:val="255"/>
          <w:numId w:val="0"/>
        </w:numPr>
        <w:spacing w:line="52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（7）监理人要求：监理人必须按照投标文件的承诺组建现场监理机构，进驻现场开展监理工作，并配备相应的办公和生活设施；否则，将承担相应的违约责任。</w:t>
      </w:r>
    </w:p>
    <w:p>
      <w:pPr>
        <w:tabs>
          <w:tab w:val="left" w:pos="1190"/>
        </w:tabs>
        <w:spacing w:line="52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监理人向委托人承诺：监理人在监理工作中如违反了相关法律、法规、规章、规程等监理制度的，或者本项目被区级以上行政管理部门书面通报三次或以上的，或者所承接的增城区不同水务项目一年内被区级以上行政管理部门书面通报三次或以上的，监理人无条件接受委托人上报建设行政管理部门并停止监理人两年内再参与广州市增城区各级财政投资的所有建设项目的招标活动，并上报省、市主管部门建议取消其参加广州地区省、市重大项目的投标资格，并由委托人予以公告。”如属恶意煽动并造成社会不良影响的，发包人将提请司法部门追究其法律责任。</w:t>
      </w:r>
    </w:p>
    <w:p>
      <w:pPr>
        <w:pStyle w:val="31"/>
        <w:tabs>
          <w:tab w:val="left" w:pos="950"/>
        </w:tabs>
        <w:spacing w:line="41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二、监理报酬 </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right="0" w:rightChars="0" w:firstLine="480" w:firstLineChars="2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none"/>
          <w:lang w:val="en-US"/>
        </w:rPr>
        <w:t>本合同工程监理报酬总额</w:t>
      </w:r>
      <w:r>
        <w:rPr>
          <w:rFonts w:hint="eastAsia" w:ascii="宋体" w:hAnsi="宋体" w:cs="宋体"/>
          <w:color w:val="auto"/>
          <w:sz w:val="24"/>
          <w:szCs w:val="24"/>
          <w:highlight w:val="none"/>
          <w:u w:val="none"/>
          <w:lang w:val="en-US" w:eastAsia="zh-CN"/>
        </w:rPr>
        <w:t>（含增值税）</w:t>
      </w:r>
      <w:r>
        <w:rPr>
          <w:rFonts w:hint="eastAsia" w:ascii="宋体" w:hAnsi="宋体" w:eastAsia="宋体" w:cs="宋体"/>
          <w:color w:val="auto"/>
          <w:sz w:val="24"/>
          <w:szCs w:val="24"/>
          <w:highlight w:val="none"/>
          <w:u w:val="none"/>
          <w:lang w:val="en-US"/>
        </w:rPr>
        <w:t>暂定为</w:t>
      </w:r>
      <w:r>
        <w:rPr>
          <w:rFonts w:hint="eastAsia" w:ascii="宋体" w:hAnsi="宋体" w:cs="宋体"/>
          <w:color w:val="auto"/>
          <w:sz w:val="24"/>
          <w:szCs w:val="24"/>
          <w:highlight w:val="none"/>
          <w:u w:val="none"/>
          <w:lang w:val="en-US" w:eastAsia="zh-CN"/>
        </w:rPr>
        <w:t>大写人民币</w:t>
      </w:r>
      <w:r>
        <w:rPr>
          <w:rFonts w:hint="eastAsia" w:ascii="宋体" w:hAnsi="宋体" w:eastAsia="宋体" w:cs="宋体"/>
          <w:color w:val="auto"/>
          <w:spacing w:val="0"/>
          <w:sz w:val="24"/>
          <w:szCs w:val="24"/>
          <w:highlight w:val="none"/>
          <w:u w:val="single"/>
          <w:lang w:val="en-US"/>
        </w:rPr>
        <w:t xml:space="preserve">  </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元（小写：    元）</w:t>
      </w:r>
      <w:r>
        <w:rPr>
          <w:rFonts w:hint="eastAsia" w:ascii="宋体" w:hAnsi="宋体" w:eastAsia="宋体" w:cs="宋体"/>
          <w:color w:val="auto"/>
          <w:kern w:val="2"/>
          <w:sz w:val="24"/>
          <w:szCs w:val="24"/>
          <w:highlight w:val="none"/>
          <w:u w:val="none"/>
          <w:lang w:val="en-US" w:eastAsia="zh-CN" w:bidi="ar-SA"/>
        </w:rPr>
        <w:t>，其中不含税金额</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u w:val="none"/>
          <w:lang w:val="en-US" w:eastAsia="zh-CN" w:bidi="ar-SA"/>
        </w:rPr>
        <w:t>，税率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，增值税金额</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leftChars="0" w:right="0" w:rightChars="0"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rPr>
        <w:t>最终结算监理费</w:t>
      </w:r>
      <w:r>
        <w:rPr>
          <w:rFonts w:hint="eastAsia" w:ascii="宋体" w:hAnsi="宋体" w:cs="宋体"/>
          <w:color w:val="auto"/>
          <w:sz w:val="24"/>
          <w:szCs w:val="24"/>
          <w:highlight w:val="none"/>
          <w:u w:val="none"/>
          <w:lang w:val="en-US" w:eastAsia="zh-CN"/>
        </w:rPr>
        <w:t>按下列三个金额中最低者为准执行。</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leftChars="0" w:right="0" w:rightChars="0" w:firstLine="480" w:firstLineChars="200"/>
        <w:jc w:val="left"/>
        <w:textAlignment w:val="auto"/>
        <w:rPr>
          <w:rFonts w:hint="eastAsia" w:ascii="宋体" w:hAnsi="宋体" w:eastAsia="宋体" w:cs="宋体"/>
          <w:color w:val="auto"/>
          <w:sz w:val="24"/>
          <w:szCs w:val="24"/>
          <w:highlight w:val="none"/>
          <w:u w:val="single"/>
          <w:lang w:val="en-US"/>
        </w:rPr>
      </w:pP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rPr>
        <w:t>以经委托人或委托人委托的第三方审核单位或增城区财政投资评审中心（如有）审定的结算价中建筑安装工程费作为计费基数，计算公式为：参照发改价格[2007]670号文规定计算的监理收费基价结合各调整系数</w:t>
      </w:r>
      <w:r>
        <w:rPr>
          <w:rFonts w:hint="eastAsia" w:ascii="宋体" w:hAnsi="宋体" w:cs="宋体"/>
          <w:color w:val="auto"/>
          <w:sz w:val="24"/>
          <w:szCs w:val="24"/>
          <w:highlight w:val="none"/>
          <w:u w:val="none"/>
          <w:lang w:val="en-US" w:eastAsia="zh-CN"/>
        </w:rPr>
        <w:t>得到的</w:t>
      </w:r>
      <w:r>
        <w:rPr>
          <w:rFonts w:hint="eastAsia" w:ascii="宋体" w:hAnsi="宋体" w:eastAsia="宋体" w:cs="宋体"/>
          <w:color w:val="auto"/>
          <w:sz w:val="24"/>
          <w:szCs w:val="24"/>
          <w:highlight w:val="none"/>
          <w:u w:val="none"/>
          <w:lang w:val="en-US"/>
        </w:rPr>
        <w:t>价格×</w:t>
      </w:r>
      <w:r>
        <w:rPr>
          <w:rFonts w:hint="eastAsia" w:ascii="宋体" w:hAnsi="宋体" w:cs="宋体"/>
          <w:color w:val="auto"/>
          <w:sz w:val="24"/>
          <w:szCs w:val="24"/>
          <w:highlight w:val="none"/>
          <w:u w:val="none"/>
          <w:lang w:val="en-US" w:eastAsia="zh-CN"/>
        </w:rPr>
        <w:t>（1-发包下浮率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rPr>
        <w:t>×（1-中标下浮率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rPr>
        <w:t xml:space="preserve">）。 </w:t>
      </w:r>
      <w:r>
        <w:rPr>
          <w:rFonts w:hint="eastAsia" w:ascii="宋体" w:hAnsi="宋体" w:eastAsia="宋体" w:cs="宋体"/>
          <w:color w:val="auto"/>
          <w:sz w:val="24"/>
          <w:szCs w:val="24"/>
          <w:highlight w:val="none"/>
          <w:u w:val="none"/>
          <w:lang w:val="zh-CN"/>
        </w:rPr>
        <w:t>其中，</w:t>
      </w:r>
      <w:r>
        <w:rPr>
          <w:rFonts w:hint="eastAsia" w:ascii="宋体" w:hAnsi="宋体" w:eastAsia="宋体" w:cs="宋体"/>
          <w:color w:val="auto"/>
          <w:sz w:val="24"/>
          <w:szCs w:val="24"/>
          <w:highlight w:val="none"/>
          <w:u w:val="none"/>
          <w:lang w:val="en-US"/>
        </w:rPr>
        <w:t>专业调整系数为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、工程复杂程度调整系数为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、高程调整系数为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kern w:val="2"/>
          <w:sz w:val="24"/>
          <w:szCs w:val="24"/>
          <w:highlight w:val="none"/>
          <w:u w:val="none"/>
          <w:lang w:val="en-US" w:eastAsia="zh-CN" w:bidi="ar-SA"/>
        </w:rPr>
        <w:t>以委托人或委托人委托的第三方审核单位或增城区财政投资评审中心审定的</w:t>
      </w:r>
      <w:r>
        <w:rPr>
          <w:rFonts w:hint="eastAsia" w:ascii="宋体" w:hAnsi="宋体" w:cs="宋体"/>
          <w:color w:val="auto"/>
          <w:kern w:val="2"/>
          <w:sz w:val="24"/>
          <w:szCs w:val="24"/>
          <w:highlight w:val="none"/>
          <w:u w:val="none"/>
          <w:lang w:val="en-US" w:eastAsia="zh-CN" w:bidi="ar-SA"/>
        </w:rPr>
        <w:t>概算（达预算标准）评审报告中</w:t>
      </w:r>
      <w:r>
        <w:rPr>
          <w:rFonts w:hint="eastAsia" w:ascii="宋体" w:hAnsi="宋体" w:eastAsia="宋体" w:cs="宋体"/>
          <w:color w:val="auto"/>
          <w:kern w:val="2"/>
          <w:sz w:val="24"/>
          <w:szCs w:val="24"/>
          <w:highlight w:val="none"/>
          <w:u w:val="none"/>
          <w:lang w:val="en-US" w:eastAsia="zh-CN" w:bidi="ar-SA"/>
        </w:rPr>
        <w:t>监理费用，</w:t>
      </w:r>
      <w:r>
        <w:rPr>
          <w:rFonts w:hint="eastAsia" w:ascii="宋体" w:hAnsi="宋体" w:cs="宋体"/>
          <w:color w:val="auto"/>
          <w:kern w:val="2"/>
          <w:sz w:val="24"/>
          <w:szCs w:val="24"/>
          <w:highlight w:val="none"/>
          <w:u w:val="none"/>
          <w:lang w:val="en-US" w:eastAsia="zh-CN" w:bidi="ar-SA"/>
        </w:rPr>
        <w:t>结合结算下浮率（发包下浮率</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none"/>
          <w:lang w:val="en-US" w:eastAsia="zh-CN" w:bidi="ar-SA"/>
        </w:rPr>
        <w:t>%及中标下浮率</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（3）本合同第一章协议书第二条约定的暂定总额。</w:t>
      </w:r>
    </w:p>
    <w:p>
      <w:pPr>
        <w:pStyle w:val="12"/>
        <w:spacing w:after="0" w:line="410" w:lineRule="exact"/>
        <w:ind w:firstLine="450" w:firstLineChars="200"/>
        <w:rPr>
          <w:rFonts w:ascii="宋体" w:hAnsi="宋体" w:cs="宋体"/>
          <w:color w:val="auto"/>
          <w:sz w:val="24"/>
          <w:szCs w:val="24"/>
          <w:highlight w:val="none"/>
        </w:rPr>
      </w:pPr>
      <w:r>
        <w:rPr>
          <w:rFonts w:hint="eastAsia" w:ascii="宋体" w:hAnsi="宋体" w:cs="宋体"/>
          <w:b/>
          <w:color w:val="auto"/>
          <w:spacing w:val="-8"/>
          <w:sz w:val="24"/>
          <w:szCs w:val="24"/>
          <w:highlight w:val="none"/>
        </w:rPr>
        <w:t>三、</w:t>
      </w:r>
      <w:r>
        <w:rPr>
          <w:rFonts w:hint="eastAsia" w:ascii="宋体" w:hAnsi="宋体" w:cs="宋体"/>
          <w:color w:val="auto"/>
          <w:spacing w:val="-7"/>
          <w:sz w:val="24"/>
          <w:szCs w:val="24"/>
          <w:highlight w:val="none"/>
        </w:rPr>
        <w:t>本协议书中的有关词语含义与本合同《专用条款》、《标准条款》中赋予它们的定义</w:t>
      </w:r>
      <w:r>
        <w:rPr>
          <w:rFonts w:hint="eastAsia" w:ascii="宋体" w:hAnsi="宋体" w:cs="宋体"/>
          <w:color w:val="auto"/>
          <w:sz w:val="24"/>
          <w:szCs w:val="24"/>
          <w:highlight w:val="none"/>
        </w:rPr>
        <w:t xml:space="preserve">相同。 </w:t>
      </w:r>
    </w:p>
    <w:p>
      <w:pPr>
        <w:pStyle w:val="12"/>
        <w:spacing w:after="0" w:line="410" w:lineRule="exact"/>
        <w:ind w:firstLine="440" w:firstLineChars="200"/>
        <w:rPr>
          <w:rFonts w:ascii="宋体" w:hAnsi="宋体" w:cs="宋体"/>
          <w:color w:val="auto"/>
          <w:sz w:val="24"/>
          <w:szCs w:val="24"/>
          <w:highlight w:val="none"/>
        </w:rPr>
      </w:pPr>
      <w:r>
        <w:rPr>
          <w:rFonts w:hint="eastAsia" w:ascii="宋体" w:hAnsi="宋体" w:cs="宋体"/>
          <w:color w:val="auto"/>
          <w:spacing w:val="-10"/>
          <w:sz w:val="24"/>
          <w:szCs w:val="24"/>
          <w:highlight w:val="none"/>
        </w:rPr>
        <w:t>四、下列文件应被认为是组成本合同的一部分，并互为补充和解释，如各文件存在冲突之</w:t>
      </w:r>
      <w:r>
        <w:rPr>
          <w:rFonts w:hint="eastAsia" w:ascii="宋体" w:hAnsi="宋体" w:cs="宋体"/>
          <w:color w:val="auto"/>
          <w:sz w:val="24"/>
          <w:szCs w:val="24"/>
          <w:highlight w:val="none"/>
        </w:rPr>
        <w:t xml:space="preserve">处，以如下排列次序在前者优先适用：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（1）本合同履行期间委托人与监理人双方签订的补充合同（协议）或修正文件；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（2）国家和广东省、广州市、增城区关于</w:t>
      </w:r>
      <w:r>
        <w:rPr>
          <w:rFonts w:hint="eastAsia" w:ascii="宋体" w:hAnsi="宋体" w:cs="宋体"/>
          <w:color w:val="auto"/>
          <w:sz w:val="24"/>
          <w:szCs w:val="24"/>
          <w:highlight w:val="none"/>
          <w:u w:val="single"/>
          <w:lang w:eastAsia="zh-CN"/>
        </w:rPr>
        <w:t>增城区南部水厂及配套管网建设工程</w:t>
      </w:r>
      <w:r>
        <w:rPr>
          <w:rFonts w:hint="eastAsia" w:ascii="宋体" w:hAnsi="宋体" w:cs="宋体"/>
          <w:color w:val="auto"/>
          <w:spacing w:val="-4"/>
          <w:sz w:val="24"/>
          <w:szCs w:val="24"/>
          <w:highlight w:val="none"/>
        </w:rPr>
        <w:t>的有关文</w:t>
      </w:r>
      <w:r>
        <w:rPr>
          <w:rFonts w:hint="eastAsia" w:ascii="宋体" w:hAnsi="宋体" w:cs="宋体"/>
          <w:color w:val="auto"/>
          <w:sz w:val="24"/>
          <w:szCs w:val="24"/>
          <w:highlight w:val="none"/>
        </w:rPr>
        <w:t xml:space="preserve">件；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（3）本协议书；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（4）中标通知书；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（5）本合同专用条款；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（6）本合同附件；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（7）本合同标准条款；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（8）本合同监理招标文件（</w:t>
      </w:r>
      <w:r>
        <w:rPr>
          <w:rFonts w:hint="eastAsia" w:ascii="宋体" w:hAnsi="宋体" w:cs="宋体"/>
          <w:color w:val="auto"/>
          <w:spacing w:val="-1"/>
          <w:sz w:val="24"/>
          <w:szCs w:val="24"/>
          <w:highlight w:val="none"/>
        </w:rPr>
        <w:t>含招标文件补充文件、澄清文件、答疑文件等，属本条</w:t>
      </w:r>
      <w:r>
        <w:rPr>
          <w:rFonts w:hint="eastAsia" w:ascii="宋体" w:hAnsi="宋体" w:cs="宋体"/>
          <w:color w:val="auto"/>
          <w:spacing w:val="-30"/>
          <w:sz w:val="24"/>
          <w:szCs w:val="24"/>
          <w:highlight w:val="none"/>
        </w:rPr>
        <w:t xml:space="preserve">第 </w:t>
      </w:r>
      <w:r>
        <w:rPr>
          <w:rFonts w:hint="eastAsia" w:ascii="宋体" w:hAnsi="宋体" w:cs="宋体"/>
          <w:color w:val="auto"/>
          <w:sz w:val="24"/>
          <w:szCs w:val="24"/>
          <w:highlight w:val="none"/>
        </w:rPr>
        <w:t>7</w:t>
      </w:r>
      <w:r>
        <w:rPr>
          <w:rFonts w:hint="eastAsia" w:ascii="宋体" w:hAnsi="宋体" w:cs="宋体"/>
          <w:color w:val="auto"/>
          <w:spacing w:val="-10"/>
          <w:sz w:val="24"/>
          <w:szCs w:val="24"/>
          <w:highlight w:val="none"/>
        </w:rPr>
        <w:t xml:space="preserve"> 项内容的除外</w:t>
      </w:r>
      <w:r>
        <w:rPr>
          <w:rFonts w:hint="eastAsia" w:ascii="宋体" w:hAnsi="宋体" w:cs="宋体"/>
          <w:color w:val="auto"/>
          <w:sz w:val="24"/>
          <w:szCs w:val="24"/>
          <w:highlight w:val="none"/>
        </w:rPr>
        <w:t xml:space="preserve">）； </w:t>
      </w:r>
    </w:p>
    <w:p>
      <w:pPr>
        <w:pStyle w:val="31"/>
        <w:numPr>
          <w:ilvl w:val="255"/>
          <w:numId w:val="0"/>
        </w:numPr>
        <w:tabs>
          <w:tab w:val="left" w:pos="64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（9）本合同监理报价文件（</w:t>
      </w:r>
      <w:r>
        <w:rPr>
          <w:rFonts w:hint="eastAsia" w:ascii="宋体" w:hAnsi="宋体" w:cs="宋体"/>
          <w:color w:val="auto"/>
          <w:spacing w:val="-6"/>
          <w:sz w:val="24"/>
          <w:szCs w:val="24"/>
          <w:highlight w:val="none"/>
        </w:rPr>
        <w:t xml:space="preserve">含澄清等，属本条第 </w:t>
      </w:r>
      <w:r>
        <w:rPr>
          <w:rFonts w:hint="eastAsia" w:ascii="宋体" w:hAnsi="宋体" w:cs="宋体"/>
          <w:color w:val="auto"/>
          <w:sz w:val="24"/>
          <w:szCs w:val="24"/>
          <w:highlight w:val="none"/>
        </w:rPr>
        <w:t>7</w:t>
      </w:r>
      <w:r>
        <w:rPr>
          <w:rFonts w:hint="eastAsia" w:ascii="宋体" w:hAnsi="宋体" w:cs="宋体"/>
          <w:color w:val="auto"/>
          <w:spacing w:val="-9"/>
          <w:sz w:val="24"/>
          <w:szCs w:val="24"/>
          <w:highlight w:val="none"/>
        </w:rPr>
        <w:t xml:space="preserve"> 项内容的除外</w:t>
      </w:r>
      <w:r>
        <w:rPr>
          <w:rFonts w:hint="eastAsia" w:ascii="宋体" w:hAnsi="宋体" w:cs="宋体"/>
          <w:color w:val="auto"/>
          <w:sz w:val="24"/>
          <w:szCs w:val="24"/>
          <w:highlight w:val="none"/>
        </w:rPr>
        <w:t xml:space="preserve">）； </w:t>
      </w:r>
    </w:p>
    <w:p>
      <w:pPr>
        <w:pStyle w:val="31"/>
        <w:numPr>
          <w:ilvl w:val="255"/>
          <w:numId w:val="0"/>
        </w:numPr>
        <w:tabs>
          <w:tab w:val="left" w:pos="131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（10）委托人关于工程管理的各项制度、规定； </w:t>
      </w:r>
    </w:p>
    <w:p>
      <w:pPr>
        <w:pStyle w:val="31"/>
        <w:numPr>
          <w:ilvl w:val="255"/>
          <w:numId w:val="0"/>
        </w:numPr>
        <w:tabs>
          <w:tab w:val="left" w:pos="1310"/>
        </w:tabs>
        <w:spacing w:line="41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（11）组成本合同的其他文件。 </w:t>
      </w:r>
    </w:p>
    <w:p>
      <w:pPr>
        <w:pStyle w:val="12"/>
        <w:spacing w:after="0" w:line="480" w:lineRule="exact"/>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通过上述顺序解释仍无法明确的事项，由委托人与监理人协商解决；如协商不成，由委托</w:t>
      </w:r>
      <w:r>
        <w:rPr>
          <w:rFonts w:hint="eastAsia" w:ascii="宋体" w:hAnsi="宋体" w:cs="宋体"/>
          <w:color w:val="auto"/>
          <w:sz w:val="24"/>
          <w:szCs w:val="24"/>
          <w:highlight w:val="none"/>
        </w:rPr>
        <w:t xml:space="preserve">人按照公平合理和有利于本合同工程建设的原则作出决定，监理人应无条件执行。 </w:t>
      </w:r>
    </w:p>
    <w:p>
      <w:pPr>
        <w:pStyle w:val="12"/>
        <w:spacing w:after="0" w:line="360"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五、本合同自委托人、监理人双方法定代表人（或其授权代理人）签字并加盖法人公章或合同专用章之日起生效，本合同的有效期一直至本合同工程质量缺陷责任期满且本合同工程竣工结算完毕并完成工程竣工档案备案后经委托人审定满 60 日并且双方的责任、义务履行完毕时才终止。</w:t>
      </w:r>
    </w:p>
    <w:p>
      <w:pPr>
        <w:pStyle w:val="12"/>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六、本合同一式陆份，委托人、监理人各执叁份。其中正本贰份，副本肆份。</w:t>
      </w:r>
    </w:p>
    <w:p>
      <w:pPr>
        <w:pStyle w:val="12"/>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七、合同未尽事宜，双方另行签订补充协议。补充协议是合同的组成部分。</w:t>
      </w:r>
    </w:p>
    <w:p>
      <w:pPr>
        <w:pStyle w:val="12"/>
        <w:spacing w:after="0"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本合同工程总监理工程师姓名：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rPr>
        <w:t>职务（职称）：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证书编号：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12"/>
        <w:spacing w:after="0" w:line="360" w:lineRule="auto"/>
        <w:ind w:firstLine="480" w:firstLineChars="200"/>
        <w:rPr>
          <w:rFonts w:hint="eastAsia" w:ascii="宋体" w:hAnsi="宋体" w:cs="宋体"/>
          <w:color w:val="auto"/>
          <w:sz w:val="24"/>
          <w:szCs w:val="24"/>
          <w:highlight w:val="none"/>
          <w:u w:val="none"/>
          <w:lang w:val="en-US" w:eastAsia="zh-CN"/>
        </w:rPr>
      </w:pPr>
    </w:p>
    <w:p>
      <w:pPr>
        <w:pStyle w:val="12"/>
        <w:spacing w:after="0" w:line="360" w:lineRule="auto"/>
        <w:ind w:firstLine="480" w:firstLineChars="200"/>
        <w:rPr>
          <w:rFonts w:hint="eastAsia" w:ascii="宋体" w:hAnsi="宋体" w:cs="宋体"/>
          <w:color w:val="auto"/>
          <w:sz w:val="24"/>
          <w:szCs w:val="24"/>
          <w:highlight w:val="none"/>
          <w:u w:val="none"/>
          <w:lang w:val="en-US" w:eastAsia="zh-CN"/>
        </w:rPr>
      </w:pPr>
    </w:p>
    <w:p>
      <w:pPr>
        <w:pStyle w:val="12"/>
        <w:spacing w:after="0" w:line="360" w:lineRule="auto"/>
        <w:ind w:firstLine="480" w:firstLineChars="200"/>
        <w:rPr>
          <w:rFonts w:hint="eastAsia" w:ascii="宋体" w:hAnsi="宋体" w:cs="宋体"/>
          <w:color w:val="auto"/>
          <w:sz w:val="24"/>
          <w:szCs w:val="24"/>
          <w:highlight w:val="none"/>
          <w:u w:val="none"/>
          <w:lang w:val="en-US" w:eastAsia="zh-CN"/>
        </w:rPr>
      </w:pPr>
    </w:p>
    <w:p>
      <w:pPr>
        <w:pStyle w:val="12"/>
        <w:spacing w:after="0" w:line="360" w:lineRule="auto"/>
        <w:ind w:firstLine="480" w:firstLineChars="200"/>
        <w:rPr>
          <w:rFonts w:hint="eastAsia" w:ascii="宋体" w:hAnsi="宋体" w:cs="宋体"/>
          <w:color w:val="auto"/>
          <w:sz w:val="24"/>
          <w:szCs w:val="24"/>
          <w:highlight w:val="none"/>
          <w:u w:val="none"/>
          <w:lang w:val="en-US" w:eastAsia="zh-CN"/>
        </w:rPr>
      </w:pPr>
    </w:p>
    <w:p>
      <w:pPr>
        <w:ind w:firstLine="480" w:firstLineChars="200"/>
        <w:rPr>
          <w:rFonts w:ascii="宋体" w:hAnsi="宋体" w:cs="宋体"/>
          <w:color w:val="auto"/>
          <w:sz w:val="24"/>
          <w:szCs w:val="24"/>
          <w:highlight w:val="none"/>
        </w:rPr>
      </w:pPr>
    </w:p>
    <w:tbl>
      <w:tblPr>
        <w:tblStyle w:val="23"/>
        <w:tblW w:w="9377" w:type="dxa"/>
        <w:jc w:val="center"/>
        <w:tblLayout w:type="fixed"/>
        <w:tblCellMar>
          <w:top w:w="0" w:type="dxa"/>
          <w:left w:w="0" w:type="dxa"/>
          <w:bottom w:w="0" w:type="dxa"/>
          <w:right w:w="0" w:type="dxa"/>
        </w:tblCellMar>
      </w:tblPr>
      <w:tblGrid>
        <w:gridCol w:w="3469"/>
        <w:gridCol w:w="1258"/>
        <w:gridCol w:w="3404"/>
        <w:gridCol w:w="1246"/>
      </w:tblGrid>
      <w:tr>
        <w:tblPrEx>
          <w:tblCellMar>
            <w:top w:w="0" w:type="dxa"/>
            <w:left w:w="0" w:type="dxa"/>
            <w:bottom w:w="0" w:type="dxa"/>
            <w:right w:w="0" w:type="dxa"/>
          </w:tblCellMar>
        </w:tblPrEx>
        <w:trPr>
          <w:trHeight w:val="506"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 （盖公章）</w:t>
            </w:r>
          </w:p>
          <w:p>
            <w:pPr>
              <w:ind w:firstLine="480" w:firstLineChars="200"/>
              <w:rPr>
                <w:rFonts w:ascii="宋体" w:hAnsi="宋体" w:cs="宋体"/>
                <w:color w:val="auto"/>
                <w:sz w:val="24"/>
                <w:szCs w:val="24"/>
                <w:highlight w:val="none"/>
              </w:rPr>
            </w:pPr>
          </w:p>
        </w:tc>
        <w:tc>
          <w:tcPr>
            <w:tcW w:w="1258" w:type="dxa"/>
          </w:tcPr>
          <w:p>
            <w:pPr>
              <w:ind w:firstLine="480" w:firstLineChars="200"/>
              <w:rPr>
                <w:rFonts w:ascii="宋体" w:hAnsi="宋体" w:cs="宋体"/>
                <w:color w:val="auto"/>
                <w:sz w:val="24"/>
                <w:szCs w:val="24"/>
                <w:highlight w:val="none"/>
              </w:rPr>
            </w:pP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监理人：（盖公章）</w:t>
            </w:r>
          </w:p>
        </w:tc>
        <w:tc>
          <w:tcPr>
            <w:tcW w:w="1246"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trPr>
          <w:trHeight w:val="558"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 </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 </w:t>
            </w:r>
          </w:p>
        </w:tc>
        <w:tc>
          <w:tcPr>
            <w:tcW w:w="1246" w:type="dxa"/>
          </w:tcPr>
          <w:p>
            <w:pPr>
              <w:ind w:firstLine="480" w:firstLineChars="200"/>
              <w:rPr>
                <w:rFonts w:ascii="宋体" w:hAnsi="宋体" w:cs="宋体"/>
                <w:color w:val="auto"/>
                <w:sz w:val="24"/>
                <w:szCs w:val="24"/>
                <w:highlight w:val="none"/>
              </w:rPr>
            </w:pPr>
          </w:p>
        </w:tc>
      </w:tr>
      <w:tr>
        <w:tblPrEx>
          <w:tblCellMar>
            <w:top w:w="0" w:type="dxa"/>
            <w:left w:w="0" w:type="dxa"/>
            <w:bottom w:w="0" w:type="dxa"/>
            <w:right w:w="0" w:type="dxa"/>
          </w:tblCellMar>
        </w:tblPrEx>
        <w:trPr>
          <w:trHeight w:val="559"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授权代理人（签字）： </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授权代理人（签字）： </w:t>
            </w:r>
          </w:p>
        </w:tc>
        <w:tc>
          <w:tcPr>
            <w:tcW w:w="1246"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住所：</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住所：</w:t>
            </w:r>
          </w:p>
        </w:tc>
        <w:tc>
          <w:tcPr>
            <w:tcW w:w="1246" w:type="dxa"/>
          </w:tcPr>
          <w:p>
            <w:pPr>
              <w:ind w:firstLine="480" w:firstLineChars="200"/>
              <w:rPr>
                <w:rFonts w:ascii="宋体" w:hAnsi="宋体" w:cs="宋体"/>
                <w:color w:val="auto"/>
                <w:sz w:val="24"/>
                <w:szCs w:val="24"/>
                <w:highlight w:val="none"/>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tc>
        <w:tc>
          <w:tcPr>
            <w:tcW w:w="1246" w:type="dxa"/>
          </w:tcPr>
          <w:p>
            <w:pPr>
              <w:ind w:firstLine="480" w:firstLineChars="200"/>
              <w:rPr>
                <w:rFonts w:ascii="宋体" w:hAnsi="宋体" w:cs="宋体"/>
                <w:color w:val="auto"/>
                <w:sz w:val="24"/>
                <w:szCs w:val="24"/>
                <w:highlight w:val="none"/>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传真： </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传真： </w:t>
            </w:r>
          </w:p>
        </w:tc>
        <w:tc>
          <w:tcPr>
            <w:tcW w:w="1246" w:type="dxa"/>
          </w:tcPr>
          <w:p>
            <w:pPr>
              <w:ind w:firstLine="480" w:firstLineChars="200"/>
              <w:rPr>
                <w:rFonts w:ascii="宋体" w:hAnsi="宋体" w:cs="宋体"/>
                <w:color w:val="auto"/>
                <w:sz w:val="24"/>
                <w:szCs w:val="24"/>
                <w:highlight w:val="none"/>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1246" w:type="dxa"/>
          </w:tcPr>
          <w:p>
            <w:pPr>
              <w:ind w:firstLine="480" w:firstLineChars="200"/>
              <w:rPr>
                <w:rFonts w:ascii="宋体" w:hAnsi="宋体" w:cs="宋体"/>
                <w:color w:val="auto"/>
                <w:sz w:val="24"/>
                <w:szCs w:val="24"/>
                <w:highlight w:val="none"/>
              </w:rPr>
            </w:pPr>
          </w:p>
        </w:tc>
      </w:tr>
      <w:tr>
        <w:tblPrEx>
          <w:tblCellMar>
            <w:top w:w="0" w:type="dxa"/>
            <w:left w:w="0" w:type="dxa"/>
            <w:bottom w:w="0" w:type="dxa"/>
            <w:right w:w="0" w:type="dxa"/>
          </w:tblCellMar>
        </w:tblPrEx>
        <w:trPr>
          <w:trHeight w:val="102" w:hRule="atLeast"/>
          <w:jc w:val="center"/>
        </w:trPr>
        <w:tc>
          <w:tcPr>
            <w:tcW w:w="3469"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账号</w:t>
            </w:r>
          </w:p>
          <w:p>
            <w:pPr>
              <w:rPr>
                <w:color w:val="auto"/>
                <w:highlight w:val="none"/>
              </w:rPr>
            </w:pPr>
          </w:p>
        </w:tc>
        <w:tc>
          <w:tcPr>
            <w:tcW w:w="1258"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3404" w:type="dxa"/>
          </w:tcPr>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账号：</w:t>
            </w:r>
          </w:p>
        </w:tc>
        <w:tc>
          <w:tcPr>
            <w:tcW w:w="1246" w:type="dxa"/>
          </w:tcPr>
          <w:p>
            <w:pPr>
              <w:pStyle w:val="14"/>
              <w:ind w:firstLine="480" w:firstLineChars="200"/>
              <w:rPr>
                <w:rFonts w:hAnsi="宋体" w:cs="宋体"/>
                <w:color w:val="auto"/>
                <w:sz w:val="24"/>
                <w:szCs w:val="24"/>
                <w:highlight w:val="none"/>
              </w:rPr>
            </w:pPr>
          </w:p>
        </w:tc>
      </w:tr>
    </w:tbl>
    <w:p>
      <w:pPr>
        <w:spacing w:line="254" w:lineRule="exact"/>
        <w:ind w:firstLine="480" w:firstLineChars="200"/>
        <w:rPr>
          <w:rFonts w:ascii="宋体" w:hAnsi="宋体" w:cs="宋体"/>
          <w:color w:val="auto"/>
          <w:sz w:val="24"/>
          <w:szCs w:val="24"/>
          <w:highlight w:val="none"/>
        </w:rPr>
        <w:sectPr>
          <w:footerReference r:id="rId5" w:type="default"/>
          <w:pgSz w:w="12240" w:h="15840"/>
          <w:pgMar w:top="1440" w:right="1803" w:bottom="1440" w:left="1803" w:header="0" w:footer="623" w:gutter="0"/>
          <w:cols w:space="720" w:num="1"/>
        </w:sectPr>
      </w:pPr>
    </w:p>
    <w:p>
      <w:pPr>
        <w:pStyle w:val="6"/>
        <w:spacing w:before="0" w:after="0"/>
        <w:ind w:firstLine="562" w:firstLineChars="200"/>
        <w:jc w:val="center"/>
        <w:rPr>
          <w:rFonts w:ascii="宋体" w:hAnsi="宋体" w:eastAsia="宋体" w:cs="宋体"/>
          <w:color w:val="auto"/>
          <w:sz w:val="24"/>
          <w:szCs w:val="24"/>
          <w:highlight w:val="none"/>
        </w:rPr>
      </w:pPr>
      <w:r>
        <w:rPr>
          <w:rFonts w:hint="eastAsia" w:ascii="宋体" w:hAnsi="宋体" w:eastAsia="宋体" w:cs="宋体"/>
          <w:b/>
          <w:bCs/>
          <w:color w:val="auto"/>
          <w:szCs w:val="28"/>
          <w:highlight w:val="none"/>
        </w:rPr>
        <w:t>第二章 标准条款</w:t>
      </w:r>
    </w:p>
    <w:p>
      <w:pPr>
        <w:pStyle w:val="12"/>
        <w:spacing w:after="0"/>
        <w:ind w:firstLine="482" w:firstLineChars="200"/>
        <w:rPr>
          <w:rFonts w:ascii="宋体" w:hAnsi="宋体" w:cs="宋体"/>
          <w:b/>
          <w:color w:val="auto"/>
          <w:sz w:val="24"/>
          <w:szCs w:val="24"/>
          <w:highlight w:val="none"/>
        </w:rPr>
      </w:pPr>
    </w:p>
    <w:p>
      <w:pPr>
        <w:pStyle w:val="8"/>
        <w:spacing w:line="360" w:lineRule="auto"/>
        <w:ind w:left="0" w:firstLine="482" w:firstLineChars="200"/>
        <w:rPr>
          <w:rFonts w:ascii="宋体" w:hAnsi="宋体" w:cs="宋体"/>
          <w:b w:val="0"/>
          <w:color w:val="auto"/>
          <w:highlight w:val="none"/>
        </w:rPr>
      </w:pPr>
      <w:r>
        <w:rPr>
          <w:rFonts w:hint="eastAsia" w:ascii="宋体" w:hAnsi="宋体" w:cs="宋体"/>
          <w:color w:val="auto"/>
          <w:highlight w:val="none"/>
        </w:rPr>
        <w:t>词语定义、适用范围和法规</w:t>
      </w:r>
      <w:r>
        <w:rPr>
          <w:rFonts w:hint="eastAsia" w:ascii="宋体" w:hAnsi="宋体" w:cs="宋体"/>
          <w:b w:val="0"/>
          <w:color w:val="auto"/>
          <w:highlight w:val="none"/>
        </w:rPr>
        <w:t xml:space="preserve">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第一条 </w:t>
      </w:r>
      <w:r>
        <w:rPr>
          <w:rFonts w:hint="eastAsia" w:ascii="宋体" w:hAnsi="宋体" w:cs="宋体"/>
          <w:color w:val="auto"/>
          <w:sz w:val="24"/>
          <w:szCs w:val="24"/>
          <w:highlight w:val="none"/>
        </w:rPr>
        <w:t xml:space="preserve">下列名词和用语，除上下文另有规定外，有如下含义：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“工程”是指委托人委托实施监理的工程。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“委托人”是指委托监理业务的一方以及其合法继承人。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“监理人”是指承担监理业务和监理责任的一方以及其合法继承人。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“监理机构”是指监理人派驻本合同工程现场实施监理业务的组织。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“总监理工程师”是指经委托人同意，由监理人法定代表人书面授权派到监理机构全面履行本合同的全权负责人。</w:t>
      </w:r>
      <w:r>
        <w:rPr>
          <w:rFonts w:ascii="宋体" w:hAnsi="宋体" w:cs="宋体"/>
          <w:color w:val="auto"/>
          <w:sz w:val="24"/>
          <w:szCs w:val="24"/>
          <w:highlight w:val="none"/>
        </w:rPr>
        <w:t xml:space="preserve"> </w:t>
      </w:r>
    </w:p>
    <w:p>
      <w:pPr>
        <w:pStyle w:val="31"/>
        <w:numPr>
          <w:ilvl w:val="0"/>
          <w:numId w:val="3"/>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“承包人”是指除监理人以外，与委托人就工程建设有关事宜签订合同的当事人。 </w:t>
      </w:r>
    </w:p>
    <w:p>
      <w:pPr>
        <w:pStyle w:val="31"/>
        <w:numPr>
          <w:ilvl w:val="0"/>
          <w:numId w:val="3"/>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“工程监理的正常工作”是指双方在专用条款中约定，委托人委托的监理工作范围</w:t>
      </w:r>
      <w:r>
        <w:rPr>
          <w:rFonts w:hint="eastAsia" w:ascii="宋体" w:hAnsi="宋体" w:cs="宋体"/>
          <w:color w:val="auto"/>
          <w:sz w:val="24"/>
          <w:szCs w:val="24"/>
          <w:highlight w:val="none"/>
        </w:rPr>
        <w:t xml:space="preserve">和内容。 </w:t>
      </w:r>
    </w:p>
    <w:p>
      <w:pPr>
        <w:pStyle w:val="31"/>
        <w:numPr>
          <w:ilvl w:val="0"/>
          <w:numId w:val="3"/>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“工程监理的附加工作”是指：①委托人委托监理范围以外，委托人和监理人通过</w:t>
      </w:r>
      <w:r>
        <w:rPr>
          <w:rFonts w:hint="eastAsia" w:ascii="宋体" w:hAnsi="宋体" w:cs="宋体"/>
          <w:color w:val="auto"/>
          <w:spacing w:val="-7"/>
          <w:sz w:val="24"/>
          <w:szCs w:val="24"/>
          <w:highlight w:val="none"/>
        </w:rPr>
        <w:t>书面协议另外增加的工作内容；②由于委托人或承包人原因，使监理工作受到阻碍或延误，因</w:t>
      </w:r>
      <w:r>
        <w:rPr>
          <w:rFonts w:hint="eastAsia" w:ascii="宋体" w:hAnsi="宋体" w:cs="宋体"/>
          <w:color w:val="auto"/>
          <w:sz w:val="24"/>
          <w:szCs w:val="24"/>
          <w:highlight w:val="none"/>
        </w:rPr>
        <w:t xml:space="preserve">增加工作量或持续时间而增加的经委托人书面确认的工作。 </w:t>
      </w:r>
    </w:p>
    <w:p>
      <w:pPr>
        <w:pStyle w:val="31"/>
        <w:numPr>
          <w:ilvl w:val="0"/>
          <w:numId w:val="3"/>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“工程监理的额外工作”是指正常工作和附加工作以外，非监理人自己的原因而暂</w:t>
      </w:r>
      <w:r>
        <w:rPr>
          <w:rFonts w:hint="eastAsia" w:ascii="宋体" w:hAnsi="宋体" w:cs="宋体"/>
          <w:color w:val="auto"/>
          <w:sz w:val="24"/>
          <w:szCs w:val="24"/>
          <w:highlight w:val="none"/>
        </w:rPr>
        <w:t xml:space="preserve">停或终止监理业务，其善后工作及恢复监理业务的工作。 </w:t>
      </w:r>
    </w:p>
    <w:p>
      <w:pPr>
        <w:pStyle w:val="31"/>
        <w:numPr>
          <w:ilvl w:val="0"/>
          <w:numId w:val="3"/>
        </w:numPr>
        <w:tabs>
          <w:tab w:val="left" w:pos="131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“一方”是指委托人或监理人；“双方”是指委托人和监理人。 </w:t>
      </w:r>
    </w:p>
    <w:p>
      <w:pPr>
        <w:pStyle w:val="31"/>
        <w:numPr>
          <w:ilvl w:val="0"/>
          <w:numId w:val="3"/>
        </w:numPr>
        <w:tabs>
          <w:tab w:val="left" w:pos="1310"/>
        </w:tabs>
        <w:spacing w:line="360" w:lineRule="auto"/>
        <w:ind w:left="0" w:firstLine="468"/>
        <w:rPr>
          <w:rFonts w:ascii="宋体" w:hAnsi="宋体" w:cs="宋体"/>
          <w:color w:val="auto"/>
          <w:sz w:val="24"/>
          <w:szCs w:val="24"/>
          <w:highlight w:val="none"/>
        </w:rPr>
      </w:pPr>
      <w:r>
        <w:rPr>
          <w:rFonts w:hint="eastAsia" w:ascii="宋体" w:hAnsi="宋体" w:cs="宋体"/>
          <w:color w:val="auto"/>
          <w:spacing w:val="-3"/>
          <w:sz w:val="24"/>
          <w:szCs w:val="24"/>
          <w:highlight w:val="none"/>
        </w:rPr>
        <w:t>“书面形式”是指合同书、信件和数据电文</w:t>
      </w:r>
      <w:r>
        <w:rPr>
          <w:rFonts w:hint="eastAsia" w:ascii="宋体" w:hAnsi="宋体" w:cs="宋体"/>
          <w:color w:val="auto"/>
          <w:sz w:val="24"/>
          <w:szCs w:val="24"/>
          <w:highlight w:val="none"/>
        </w:rPr>
        <w:t>（</w:t>
      </w:r>
      <w:r>
        <w:rPr>
          <w:rFonts w:hint="eastAsia" w:ascii="宋体" w:hAnsi="宋体" w:cs="宋体"/>
          <w:color w:val="auto"/>
          <w:spacing w:val="-8"/>
          <w:sz w:val="24"/>
          <w:szCs w:val="24"/>
          <w:highlight w:val="none"/>
        </w:rPr>
        <w:t>包括电报、电传、传真、电子数据交</w:t>
      </w:r>
      <w:r>
        <w:rPr>
          <w:rFonts w:hint="eastAsia" w:ascii="宋体" w:hAnsi="宋体" w:cs="宋体"/>
          <w:color w:val="auto"/>
          <w:sz w:val="24"/>
          <w:szCs w:val="24"/>
          <w:highlight w:val="none"/>
        </w:rPr>
        <w:t xml:space="preserve">换和电子邮件）等可以有形地表现所载内容的形式。 </w:t>
      </w:r>
    </w:p>
    <w:p>
      <w:pPr>
        <w:pStyle w:val="31"/>
        <w:numPr>
          <w:ilvl w:val="0"/>
          <w:numId w:val="3"/>
        </w:numPr>
        <w:tabs>
          <w:tab w:val="left" w:pos="131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“日”是指任何一日零时至第二日零时的时间段。 </w:t>
      </w:r>
    </w:p>
    <w:p>
      <w:pPr>
        <w:pStyle w:val="31"/>
        <w:numPr>
          <w:ilvl w:val="0"/>
          <w:numId w:val="3"/>
        </w:numPr>
        <w:tabs>
          <w:tab w:val="left" w:pos="131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“月”是指根据公历从一个月份中任何一日开始到下一个月相应日期的前一日的</w:t>
      </w:r>
      <w:r>
        <w:rPr>
          <w:rFonts w:hint="eastAsia" w:ascii="宋体" w:hAnsi="宋体" w:cs="宋体"/>
          <w:color w:val="auto"/>
          <w:spacing w:val="-5"/>
          <w:sz w:val="24"/>
          <w:szCs w:val="24"/>
          <w:highlight w:val="none"/>
        </w:rPr>
        <w:t xml:space="preserve">时间段。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第二条 </w:t>
      </w:r>
      <w:r>
        <w:rPr>
          <w:rFonts w:hint="eastAsia" w:ascii="宋体" w:hAnsi="宋体" w:cs="宋体"/>
          <w:color w:val="auto"/>
          <w:sz w:val="24"/>
          <w:szCs w:val="24"/>
          <w:highlight w:val="none"/>
        </w:rPr>
        <w:t xml:space="preserve">建设工程工程监理合同适用的法律是指国家的法律、行政法规，以及专用条款中议定的部门规章或工程所在地的地方法规、地方规章。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第三条 </w:t>
      </w:r>
      <w:r>
        <w:rPr>
          <w:rFonts w:hint="eastAsia" w:ascii="宋体" w:hAnsi="宋体" w:cs="宋体"/>
          <w:color w:val="auto"/>
          <w:sz w:val="24"/>
          <w:szCs w:val="24"/>
          <w:highlight w:val="none"/>
        </w:rPr>
        <w:t>本合同文件使用汉语语言文字书写、解释和说明。如专用条款约定使用两种以上（含两种）语言文字时，汉语应为解释和说明本合同的标准语言文字。</w:t>
      </w:r>
    </w:p>
    <w:p>
      <w:pPr>
        <w:pStyle w:val="12"/>
        <w:tabs>
          <w:tab w:val="left" w:pos="4418"/>
        </w:tabs>
        <w:spacing w:after="0" w:line="360" w:lineRule="auto"/>
        <w:jc w:val="center"/>
        <w:rPr>
          <w:rFonts w:ascii="宋体" w:hAnsi="宋体" w:cs="宋体"/>
          <w:b/>
          <w:color w:val="auto"/>
          <w:sz w:val="24"/>
          <w:szCs w:val="24"/>
          <w:highlight w:val="none"/>
        </w:rPr>
      </w:pPr>
      <w:r>
        <w:rPr>
          <w:rFonts w:hint="eastAsia" w:ascii="宋体" w:hAnsi="宋体" w:cs="宋体"/>
          <w:b/>
          <w:bCs/>
          <w:color w:val="auto"/>
          <w:sz w:val="24"/>
          <w:szCs w:val="24"/>
          <w:highlight w:val="none"/>
        </w:rPr>
        <w:t>监理人义务</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第四条</w:t>
      </w:r>
      <w:r>
        <w:rPr>
          <w:rFonts w:hint="eastAsia" w:ascii="宋体" w:hAnsi="宋体" w:cs="宋体"/>
          <w:b/>
          <w:color w:val="auto"/>
          <w:spacing w:val="2"/>
          <w:sz w:val="24"/>
          <w:szCs w:val="24"/>
          <w:highlight w:val="none"/>
        </w:rPr>
        <w:t xml:space="preserve"> </w:t>
      </w:r>
      <w:r>
        <w:rPr>
          <w:rFonts w:hint="eastAsia" w:ascii="宋体" w:hAnsi="宋体" w:cs="宋体"/>
          <w:color w:val="auto"/>
          <w:spacing w:val="-1"/>
          <w:sz w:val="24"/>
          <w:szCs w:val="24"/>
          <w:highlight w:val="none"/>
        </w:rPr>
        <w:t>监理人按合同约定派出监理工作需要的监理机构及监理人员，配备必要设备，向</w:t>
      </w:r>
      <w:r>
        <w:rPr>
          <w:rFonts w:hint="eastAsia" w:ascii="宋体" w:hAnsi="宋体" w:cs="宋体"/>
          <w:color w:val="auto"/>
          <w:spacing w:val="-5"/>
          <w:sz w:val="24"/>
          <w:szCs w:val="24"/>
          <w:highlight w:val="none"/>
        </w:rPr>
        <w:t>委托人报送委派的总监理工程师及其监理机构主要成员名单、监理规划，完成监理合同专用条</w:t>
      </w:r>
      <w:r>
        <w:rPr>
          <w:rFonts w:hint="eastAsia" w:ascii="宋体" w:hAnsi="宋体" w:cs="宋体"/>
          <w:color w:val="auto"/>
          <w:spacing w:val="-6"/>
          <w:sz w:val="24"/>
          <w:szCs w:val="24"/>
          <w:highlight w:val="none"/>
        </w:rPr>
        <w:t>款中约定的监理工程范围内的监理业务。在履行合同义务期间，应按合同约定定期向委托人报</w:t>
      </w:r>
      <w:r>
        <w:rPr>
          <w:rFonts w:hint="eastAsia" w:ascii="宋体" w:hAnsi="宋体" w:cs="宋体"/>
          <w:color w:val="auto"/>
          <w:sz w:val="24"/>
          <w:szCs w:val="24"/>
          <w:highlight w:val="none"/>
        </w:rPr>
        <w:t xml:space="preserve">告监理工作。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第五条 </w:t>
      </w:r>
      <w:r>
        <w:rPr>
          <w:rFonts w:hint="eastAsia" w:ascii="宋体" w:hAnsi="宋体" w:cs="宋体"/>
          <w:color w:val="auto"/>
          <w:spacing w:val="-1"/>
          <w:sz w:val="24"/>
          <w:szCs w:val="24"/>
          <w:highlight w:val="none"/>
        </w:rPr>
        <w:t>监理人在履行本合同期间，应遵循职业道德准则和行为规范，严格按照法律法规、工程建设有关标准及本合同履行义务，应认真、勤奋地工作，为委托人提供与其水平相适应的咨询意见，公正维护各方面的合法权益。</w:t>
      </w:r>
      <w:r>
        <w:rPr>
          <w:rFonts w:hint="eastAsia" w:ascii="宋体" w:hAnsi="宋体" w:cs="宋体"/>
          <w:color w:val="auto"/>
          <w:sz w:val="24"/>
          <w:szCs w:val="24"/>
          <w:highlight w:val="none"/>
        </w:rPr>
        <w:t xml:space="preserve">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第六条 </w:t>
      </w:r>
      <w:r>
        <w:rPr>
          <w:rFonts w:hint="eastAsia" w:ascii="宋体" w:hAnsi="宋体" w:cs="宋体"/>
          <w:color w:val="auto"/>
          <w:spacing w:val="-7"/>
          <w:sz w:val="24"/>
          <w:szCs w:val="24"/>
          <w:highlight w:val="none"/>
        </w:rPr>
        <w:t xml:space="preserve">监理人使用委托人提供的设施和物品属委托人的财产，监理人应妥善使用和保管， </w:t>
      </w:r>
      <w:r>
        <w:rPr>
          <w:rFonts w:hint="eastAsia" w:ascii="宋体" w:hAnsi="宋体" w:cs="宋体"/>
          <w:color w:val="auto"/>
          <w:spacing w:val="-1"/>
          <w:sz w:val="24"/>
          <w:szCs w:val="24"/>
          <w:highlight w:val="none"/>
        </w:rPr>
        <w:t xml:space="preserve">在监理工作完成或中止时，应将其设施和剩余的物品按合同约定的时间和方式移交给委托人， </w:t>
      </w:r>
      <w:r>
        <w:rPr>
          <w:rFonts w:hint="eastAsia" w:ascii="宋体" w:hAnsi="宋体" w:cs="宋体"/>
          <w:color w:val="auto"/>
          <w:sz w:val="24"/>
          <w:szCs w:val="24"/>
          <w:highlight w:val="none"/>
        </w:rPr>
        <w:t xml:space="preserve">移交给委托人的设施和物品应经委托人书面确认。 </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第七条 </w:t>
      </w:r>
      <w:r>
        <w:rPr>
          <w:rFonts w:hint="eastAsia" w:ascii="宋体" w:hAnsi="宋体" w:cs="宋体"/>
          <w:color w:val="auto"/>
          <w:sz w:val="24"/>
          <w:szCs w:val="24"/>
          <w:highlight w:val="none"/>
        </w:rPr>
        <w:t>在合同期内或合同终止后，未征得一方书面同意，任何一方不得泄露与本合同工程、本合同业务有关的未公开资料。</w:t>
      </w:r>
      <w:r>
        <w:rPr>
          <w:rFonts w:hint="eastAsia" w:ascii="宋体" w:hAnsi="宋体" w:cs="宋体"/>
          <w:b/>
          <w:color w:val="auto"/>
          <w:w w:val="99"/>
          <w:sz w:val="24"/>
          <w:szCs w:val="24"/>
          <w:highlight w:val="none"/>
        </w:rPr>
        <w:t xml:space="preserve"> </w:t>
      </w:r>
    </w:p>
    <w:p>
      <w:pPr>
        <w:pStyle w:val="8"/>
        <w:spacing w:line="360" w:lineRule="auto"/>
        <w:ind w:left="0"/>
        <w:jc w:val="center"/>
        <w:rPr>
          <w:rFonts w:ascii="宋体" w:hAnsi="宋体" w:cs="宋体"/>
          <w:color w:val="auto"/>
          <w:highlight w:val="none"/>
        </w:rPr>
      </w:pPr>
      <w:r>
        <w:rPr>
          <w:rFonts w:hint="eastAsia" w:ascii="宋体" w:hAnsi="宋体" w:cs="宋体"/>
          <w:color w:val="auto"/>
          <w:highlight w:val="none"/>
        </w:rPr>
        <w:t>委托人义务</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第八条 </w:t>
      </w:r>
      <w:r>
        <w:rPr>
          <w:rFonts w:hint="eastAsia" w:ascii="宋体" w:hAnsi="宋体" w:cs="宋体"/>
          <w:color w:val="auto"/>
          <w:sz w:val="24"/>
          <w:szCs w:val="24"/>
          <w:highlight w:val="none"/>
        </w:rPr>
        <w:t xml:space="preserve">委托人应按本合同约定向监理人支付监理报酬。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第九条 </w:t>
      </w:r>
      <w:r>
        <w:rPr>
          <w:rFonts w:hint="eastAsia" w:ascii="宋体" w:hAnsi="宋体" w:cs="宋体"/>
          <w:color w:val="auto"/>
          <w:spacing w:val="-1"/>
          <w:sz w:val="24"/>
          <w:szCs w:val="24"/>
          <w:highlight w:val="none"/>
        </w:rPr>
        <w:t>委托人应当负责工程建设的所有外部关系的协调，为监理工作提供必要的外部条</w:t>
      </w:r>
      <w:r>
        <w:rPr>
          <w:rFonts w:hint="eastAsia" w:ascii="宋体" w:hAnsi="宋体" w:cs="宋体"/>
          <w:color w:val="auto"/>
          <w:spacing w:val="-11"/>
          <w:sz w:val="24"/>
          <w:szCs w:val="24"/>
          <w:highlight w:val="none"/>
        </w:rPr>
        <w:t>件。根据需要，如将部分或全部协调工作委托监理人承担，则应在专用条款中明确委托的工作</w:t>
      </w:r>
      <w:r>
        <w:rPr>
          <w:rFonts w:hint="eastAsia" w:ascii="宋体" w:hAnsi="宋体" w:cs="宋体"/>
          <w:color w:val="auto"/>
          <w:sz w:val="24"/>
          <w:szCs w:val="24"/>
          <w:highlight w:val="none"/>
        </w:rPr>
        <w:t xml:space="preserve">和相应的报酬。 </w:t>
      </w:r>
    </w:p>
    <w:p>
      <w:pPr>
        <w:pStyle w:val="12"/>
        <w:spacing w:after="0" w:line="360" w:lineRule="auto"/>
        <w:ind w:firstLine="482" w:firstLineChars="200"/>
        <w:rPr>
          <w:rFonts w:ascii="宋体" w:hAnsi="宋体" w:cs="宋体"/>
          <w:color w:val="auto"/>
          <w:spacing w:val="-1"/>
          <w:sz w:val="24"/>
          <w:szCs w:val="24"/>
          <w:highlight w:val="none"/>
        </w:rPr>
      </w:pPr>
      <w:r>
        <w:rPr>
          <w:rFonts w:hint="eastAsia" w:ascii="宋体" w:hAnsi="宋体" w:cs="宋体"/>
          <w:b/>
          <w:color w:val="auto"/>
          <w:sz w:val="24"/>
          <w:szCs w:val="24"/>
          <w:highlight w:val="none"/>
        </w:rPr>
        <w:t xml:space="preserve">第十条 </w:t>
      </w:r>
      <w:r>
        <w:rPr>
          <w:rFonts w:hint="eastAsia" w:ascii="宋体" w:hAnsi="宋体" w:cs="宋体"/>
          <w:color w:val="auto"/>
          <w:spacing w:val="-1"/>
          <w:sz w:val="24"/>
          <w:szCs w:val="24"/>
          <w:highlight w:val="none"/>
        </w:rPr>
        <w:t>委托人应及时免费向监理人提供与工程有关的为监理工作所需要的工程资料。</w:t>
      </w:r>
    </w:p>
    <w:p>
      <w:pPr>
        <w:pStyle w:val="12"/>
        <w:spacing w:after="0" w:line="360" w:lineRule="auto"/>
        <w:ind w:firstLine="482" w:firstLineChars="200"/>
        <w:rPr>
          <w:rFonts w:ascii="宋体" w:hAnsi="宋体" w:cs="宋体"/>
          <w:color w:val="auto"/>
          <w:spacing w:val="-8"/>
          <w:sz w:val="24"/>
          <w:szCs w:val="24"/>
          <w:highlight w:val="none"/>
        </w:rPr>
      </w:pPr>
      <w:r>
        <w:rPr>
          <w:rFonts w:hint="eastAsia" w:ascii="宋体" w:hAnsi="宋体" w:cs="宋体"/>
          <w:b/>
          <w:color w:val="auto"/>
          <w:sz w:val="24"/>
          <w:szCs w:val="24"/>
          <w:highlight w:val="none"/>
        </w:rPr>
        <w:t xml:space="preserve">第十一条 </w:t>
      </w:r>
      <w:r>
        <w:rPr>
          <w:rFonts w:hint="eastAsia" w:ascii="宋体" w:hAnsi="宋体" w:cs="宋体"/>
          <w:color w:val="auto"/>
          <w:spacing w:val="-10"/>
          <w:sz w:val="24"/>
          <w:szCs w:val="24"/>
          <w:highlight w:val="none"/>
        </w:rPr>
        <w:t xml:space="preserve">委托人应在 </w:t>
      </w:r>
      <w:r>
        <w:rPr>
          <w:rFonts w:hint="eastAsia" w:ascii="宋体" w:hAnsi="宋体" w:cs="宋体"/>
          <w:color w:val="auto"/>
          <w:sz w:val="24"/>
          <w:szCs w:val="24"/>
          <w:highlight w:val="none"/>
        </w:rPr>
        <w:t>3</w:t>
      </w:r>
      <w:r>
        <w:rPr>
          <w:rFonts w:hint="eastAsia" w:ascii="宋体" w:hAnsi="宋体" w:cs="宋体"/>
          <w:color w:val="auto"/>
          <w:spacing w:val="-8"/>
          <w:sz w:val="24"/>
          <w:szCs w:val="24"/>
          <w:highlight w:val="none"/>
        </w:rPr>
        <w:t xml:space="preserve"> 日内就监理人书面提交并要求做出决定的事宜作出书面决定。</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第十二条</w:t>
      </w:r>
      <w:r>
        <w:rPr>
          <w:rFonts w:hint="eastAsia" w:ascii="宋体" w:hAnsi="宋体" w:cs="宋体"/>
          <w:b/>
          <w:color w:val="auto"/>
          <w:spacing w:val="-5"/>
          <w:sz w:val="24"/>
          <w:szCs w:val="24"/>
          <w:highlight w:val="none"/>
        </w:rPr>
        <w:t xml:space="preserve"> </w:t>
      </w:r>
      <w:r>
        <w:rPr>
          <w:rFonts w:hint="eastAsia" w:ascii="宋体" w:hAnsi="宋体" w:cs="宋体"/>
          <w:color w:val="auto"/>
          <w:spacing w:val="-1"/>
          <w:sz w:val="24"/>
          <w:szCs w:val="24"/>
          <w:highlight w:val="none"/>
        </w:rPr>
        <w:t>委托人应当授权一名熟悉工程情况、能在规定时间内做出决定的常驻代表，负</w:t>
      </w:r>
      <w:r>
        <w:rPr>
          <w:rFonts w:hint="eastAsia" w:ascii="宋体" w:hAnsi="宋体" w:cs="宋体"/>
          <w:color w:val="auto"/>
          <w:sz w:val="24"/>
          <w:szCs w:val="24"/>
          <w:highlight w:val="none"/>
        </w:rPr>
        <w:t xml:space="preserve">责与监理人联系。更换常驻代表，要提前通知监理人。 </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第十三条 </w:t>
      </w:r>
      <w:r>
        <w:rPr>
          <w:rFonts w:hint="eastAsia" w:ascii="宋体" w:hAnsi="宋体" w:cs="宋体"/>
          <w:color w:val="auto"/>
          <w:sz w:val="24"/>
          <w:szCs w:val="24"/>
          <w:highlight w:val="none"/>
        </w:rPr>
        <w:t>委托人应当将授予监理人的监理权利，以及监理人主要成员的职能分工、监理权限及时书面通知已选定的承包合同的承包人，并在与第三人签订的合同中予以明确。</w:t>
      </w:r>
      <w:r>
        <w:rPr>
          <w:rFonts w:hint="eastAsia" w:ascii="宋体" w:hAnsi="宋体" w:cs="宋体"/>
          <w:b/>
          <w:color w:val="auto"/>
          <w:w w:val="99"/>
          <w:sz w:val="24"/>
          <w:szCs w:val="24"/>
          <w:highlight w:val="none"/>
        </w:rPr>
        <w:t xml:space="preserve">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第十四条 </w:t>
      </w:r>
      <w:r>
        <w:rPr>
          <w:rFonts w:hint="eastAsia" w:ascii="宋体" w:hAnsi="宋体" w:cs="宋体"/>
          <w:color w:val="auto"/>
          <w:sz w:val="24"/>
          <w:szCs w:val="24"/>
          <w:highlight w:val="none"/>
        </w:rPr>
        <w:t xml:space="preserve">委托人应在不影响监理人开展监理工作的时间内提供如下资料： </w:t>
      </w:r>
    </w:p>
    <w:p>
      <w:pPr>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（1）与本合同工程合作的原材料、构配件、设备等生产厂家名录。</w:t>
      </w:r>
      <w:r>
        <w:rPr>
          <w:rFonts w:ascii="宋体" w:hAnsi="宋体" w:cs="宋体"/>
          <w:color w:val="auto"/>
          <w:sz w:val="24"/>
          <w:szCs w:val="24"/>
          <w:highlight w:val="none"/>
        </w:rPr>
        <w:t xml:space="preserve"> </w:t>
      </w:r>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）提供与本合同工程有关的协作单位、配合单位的名录。</w:t>
      </w:r>
      <w:r>
        <w:rPr>
          <w:rFonts w:ascii="宋体" w:hAnsi="宋体" w:cs="宋体"/>
          <w:b/>
          <w:color w:val="auto"/>
          <w:w w:val="99"/>
          <w:sz w:val="24"/>
          <w:szCs w:val="24"/>
          <w:highlight w:val="none"/>
        </w:rPr>
        <w:t xml:space="preserve"> </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第十五条 </w:t>
      </w:r>
      <w:r>
        <w:rPr>
          <w:rFonts w:hint="eastAsia" w:ascii="宋体" w:hAnsi="宋体" w:cs="宋体"/>
          <w:color w:val="auto"/>
          <w:sz w:val="24"/>
          <w:szCs w:val="24"/>
          <w:highlight w:val="none"/>
        </w:rPr>
        <w:t xml:space="preserve">委托人应免费向监理人提供办公用房、通讯设施、监理人员工地住房及合同专用条款约定的设施，对监理人自备的设施给予合理的经济补偿（补偿金额=设施在工程使用时间占折旧年限的比例×设施原值＋管理费）。 </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第十六条 </w:t>
      </w:r>
      <w:r>
        <w:rPr>
          <w:rFonts w:hint="eastAsia" w:ascii="宋体" w:hAnsi="宋体" w:cs="宋体"/>
          <w:color w:val="auto"/>
          <w:sz w:val="24"/>
          <w:szCs w:val="24"/>
          <w:highlight w:val="none"/>
        </w:rPr>
        <w:t>根据情况需要，如果双方约定，由委托人免费向监理人提供其他人员，应在监理合同专用条款中予以明确。</w:t>
      </w:r>
      <w:r>
        <w:rPr>
          <w:rFonts w:hint="eastAsia" w:ascii="宋体" w:hAnsi="宋体" w:cs="宋体"/>
          <w:b/>
          <w:color w:val="auto"/>
          <w:w w:val="99"/>
          <w:sz w:val="24"/>
          <w:szCs w:val="24"/>
          <w:highlight w:val="none"/>
        </w:rPr>
        <w:t xml:space="preserve"> </w:t>
      </w:r>
    </w:p>
    <w:p>
      <w:pPr>
        <w:pStyle w:val="8"/>
        <w:spacing w:line="360" w:lineRule="auto"/>
        <w:ind w:left="0"/>
        <w:jc w:val="center"/>
        <w:rPr>
          <w:rFonts w:ascii="宋体" w:hAnsi="宋体" w:cs="宋体"/>
          <w:color w:val="auto"/>
          <w:highlight w:val="none"/>
        </w:rPr>
      </w:pPr>
      <w:r>
        <w:rPr>
          <w:rFonts w:hint="eastAsia" w:ascii="宋体" w:hAnsi="宋体" w:cs="宋体"/>
          <w:color w:val="auto"/>
          <w:highlight w:val="none"/>
        </w:rPr>
        <w:t>监理人权利</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第十七条 </w:t>
      </w:r>
      <w:r>
        <w:rPr>
          <w:rFonts w:hint="eastAsia" w:ascii="宋体" w:hAnsi="宋体" w:cs="宋体"/>
          <w:color w:val="auto"/>
          <w:sz w:val="24"/>
          <w:szCs w:val="24"/>
          <w:highlight w:val="none"/>
        </w:rPr>
        <w:t xml:space="preserve">监理人在委托人委托的工程范围内，享有以下权利： </w:t>
      </w:r>
    </w:p>
    <w:p>
      <w:pPr>
        <w:pStyle w:val="31"/>
        <w:numPr>
          <w:ilvl w:val="0"/>
          <w:numId w:val="4"/>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选择施工总承包人的建议权。 </w:t>
      </w:r>
    </w:p>
    <w:p>
      <w:pPr>
        <w:pStyle w:val="31"/>
        <w:numPr>
          <w:ilvl w:val="0"/>
          <w:numId w:val="4"/>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选择工程分包人的认可权。 </w:t>
      </w:r>
    </w:p>
    <w:p>
      <w:pPr>
        <w:pStyle w:val="31"/>
        <w:numPr>
          <w:ilvl w:val="0"/>
          <w:numId w:val="4"/>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对工程建设有关事项包括工程规模、设计标准、规划设计、生产工艺设计和使用功</w:t>
      </w:r>
      <w:r>
        <w:rPr>
          <w:rFonts w:hint="eastAsia" w:ascii="宋体" w:hAnsi="宋体" w:cs="宋体"/>
          <w:color w:val="auto"/>
          <w:sz w:val="24"/>
          <w:szCs w:val="24"/>
          <w:highlight w:val="none"/>
        </w:rPr>
        <w:t xml:space="preserve">能要求，向委托人的建议权。 </w:t>
      </w:r>
    </w:p>
    <w:p>
      <w:pPr>
        <w:pStyle w:val="31"/>
        <w:numPr>
          <w:ilvl w:val="0"/>
          <w:numId w:val="4"/>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对工程设计中的技术问题，按照安全和优化的原则，向委托人提出建议；如果拟提</w:t>
      </w:r>
      <w:r>
        <w:rPr>
          <w:rFonts w:hint="eastAsia" w:ascii="宋体" w:hAnsi="宋体" w:cs="宋体"/>
          <w:color w:val="auto"/>
          <w:spacing w:val="-7"/>
          <w:sz w:val="24"/>
          <w:szCs w:val="24"/>
          <w:highlight w:val="none"/>
        </w:rPr>
        <w:t>出的建议可能会提高工程造价，或延长工期，应当事先征得委托人的同意。当发现工程设计不</w:t>
      </w:r>
      <w:r>
        <w:rPr>
          <w:rFonts w:hint="eastAsia" w:ascii="宋体" w:hAnsi="宋体" w:cs="宋体"/>
          <w:color w:val="auto"/>
          <w:spacing w:val="-5"/>
          <w:sz w:val="24"/>
          <w:szCs w:val="24"/>
          <w:highlight w:val="none"/>
        </w:rPr>
        <w:t>符合国家颁布的建设工程质量标准或设计合同约定的质量标准时，监理人应当书面报告委托人</w:t>
      </w:r>
      <w:r>
        <w:rPr>
          <w:rFonts w:hint="eastAsia" w:ascii="宋体" w:hAnsi="宋体" w:cs="宋体"/>
          <w:color w:val="auto"/>
          <w:sz w:val="24"/>
          <w:szCs w:val="24"/>
          <w:highlight w:val="none"/>
        </w:rPr>
        <w:t xml:space="preserve">并要求设计人更正。 </w:t>
      </w:r>
    </w:p>
    <w:p>
      <w:pPr>
        <w:pStyle w:val="31"/>
        <w:numPr>
          <w:ilvl w:val="0"/>
          <w:numId w:val="4"/>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审批工程施工组织设计和技术方案，按照保质量、保工期和降低成本的原则，向承</w:t>
      </w:r>
      <w:r>
        <w:rPr>
          <w:rFonts w:hint="eastAsia" w:ascii="宋体" w:hAnsi="宋体" w:cs="宋体"/>
          <w:color w:val="auto"/>
          <w:sz w:val="24"/>
          <w:szCs w:val="24"/>
          <w:highlight w:val="none"/>
        </w:rPr>
        <w:t xml:space="preserve">包人提出建议，并向委托人提出书面报告。 </w:t>
      </w:r>
    </w:p>
    <w:p>
      <w:pPr>
        <w:pStyle w:val="31"/>
        <w:numPr>
          <w:ilvl w:val="0"/>
          <w:numId w:val="4"/>
        </w:numPr>
        <w:tabs>
          <w:tab w:val="left" w:pos="1190"/>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主持工程建设有关协作单位的组织协调，重要协调事项应当事先向委托人报告。 </w:t>
      </w:r>
    </w:p>
    <w:p>
      <w:pPr>
        <w:pStyle w:val="31"/>
        <w:numPr>
          <w:ilvl w:val="0"/>
          <w:numId w:val="4"/>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征得委托人同意，监理人有权发布开工令、停工令、复工令，但应当事先向委托人</w:t>
      </w:r>
      <w:r>
        <w:rPr>
          <w:rFonts w:hint="eastAsia" w:ascii="宋体" w:hAnsi="宋体" w:cs="宋体"/>
          <w:color w:val="auto"/>
          <w:spacing w:val="-3"/>
          <w:sz w:val="24"/>
          <w:szCs w:val="24"/>
          <w:highlight w:val="none"/>
        </w:rPr>
        <w:t xml:space="preserve">报告。如在紧急情况下未能事先报告时，则应在 </w:t>
      </w:r>
      <w:r>
        <w:rPr>
          <w:rFonts w:hint="eastAsia" w:ascii="宋体" w:hAnsi="宋体" w:cs="宋体"/>
          <w:color w:val="auto"/>
          <w:sz w:val="24"/>
          <w:szCs w:val="24"/>
          <w:highlight w:val="none"/>
        </w:rPr>
        <w:t>24</w:t>
      </w:r>
      <w:r>
        <w:rPr>
          <w:rFonts w:hint="eastAsia" w:ascii="宋体" w:hAnsi="宋体" w:cs="宋体"/>
          <w:color w:val="auto"/>
          <w:spacing w:val="-8"/>
          <w:sz w:val="24"/>
          <w:szCs w:val="24"/>
          <w:highlight w:val="none"/>
        </w:rPr>
        <w:t xml:space="preserve"> 小时内向委托人做出书面报告。 </w:t>
      </w:r>
    </w:p>
    <w:p>
      <w:pPr>
        <w:pStyle w:val="31"/>
        <w:numPr>
          <w:ilvl w:val="0"/>
          <w:numId w:val="4"/>
        </w:numPr>
        <w:tabs>
          <w:tab w:val="left" w:pos="1190"/>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工程上使用的材料和施工质量的检验权。对于不符合设计要求和合同约定及国家质量标准的材料、构配件、设备，有权通知承包人停止使用；对于不符合规范和质量标准的工序、分部</w:t>
      </w:r>
      <w:r>
        <w:rPr>
          <w:rFonts w:hint="eastAsia" w:ascii="宋体" w:hAnsi="宋体" w:cs="宋体"/>
          <w:color w:val="auto"/>
          <w:spacing w:val="-7"/>
          <w:sz w:val="24"/>
          <w:szCs w:val="24"/>
          <w:highlight w:val="none"/>
        </w:rPr>
        <w:t>分项工</w:t>
      </w:r>
      <w:r>
        <w:rPr>
          <w:rFonts w:hint="eastAsia" w:ascii="宋体" w:hAnsi="宋体" w:cs="宋体"/>
          <w:color w:val="auto"/>
          <w:spacing w:val="-1"/>
          <w:sz w:val="24"/>
          <w:szCs w:val="24"/>
          <w:highlight w:val="none"/>
        </w:rPr>
        <w:t>程和不安全施工作业，有权通知承包人停工整改、返工。承包人得到项目监理机构复工令后才能复工。</w:t>
      </w:r>
      <w:r>
        <w:rPr>
          <w:rFonts w:ascii="宋体" w:hAnsi="宋体" w:cs="宋体"/>
          <w:color w:val="auto"/>
          <w:spacing w:val="-1"/>
          <w:sz w:val="24"/>
          <w:szCs w:val="24"/>
          <w:highlight w:val="none"/>
        </w:rPr>
        <w:t xml:space="preserve"> </w:t>
      </w:r>
    </w:p>
    <w:p>
      <w:pPr>
        <w:pStyle w:val="31"/>
        <w:numPr>
          <w:ilvl w:val="0"/>
          <w:numId w:val="4"/>
        </w:numPr>
        <w:tabs>
          <w:tab w:val="left" w:pos="1190"/>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工程施工进度的检查、监督权，以及工程实际竣工日期提前或超过工程施工合同规</w:t>
      </w:r>
      <w:r>
        <w:rPr>
          <w:rFonts w:hint="eastAsia" w:ascii="宋体" w:hAnsi="宋体" w:cs="宋体"/>
          <w:color w:val="auto"/>
          <w:sz w:val="24"/>
          <w:szCs w:val="24"/>
          <w:highlight w:val="none"/>
        </w:rPr>
        <w:t xml:space="preserve">定的竣工期限的签认权。 </w:t>
      </w:r>
    </w:p>
    <w:p>
      <w:pPr>
        <w:pStyle w:val="31"/>
        <w:numPr>
          <w:ilvl w:val="0"/>
          <w:numId w:val="4"/>
        </w:numPr>
        <w:tabs>
          <w:tab w:val="left" w:pos="1310"/>
        </w:tabs>
        <w:spacing w:line="360" w:lineRule="auto"/>
        <w:ind w:left="0" w:firstLine="468"/>
        <w:rPr>
          <w:rFonts w:ascii="宋体" w:hAnsi="宋体" w:cs="宋体"/>
          <w:color w:val="auto"/>
          <w:sz w:val="24"/>
          <w:szCs w:val="24"/>
          <w:highlight w:val="none"/>
        </w:rPr>
      </w:pPr>
      <w:r>
        <w:rPr>
          <w:rFonts w:hint="eastAsia" w:ascii="宋体" w:hAnsi="宋体" w:cs="宋体"/>
          <w:color w:val="auto"/>
          <w:spacing w:val="-3"/>
          <w:sz w:val="24"/>
          <w:szCs w:val="24"/>
          <w:highlight w:val="none"/>
        </w:rPr>
        <w:t>在</w:t>
      </w:r>
      <w:r>
        <w:rPr>
          <w:rFonts w:hint="eastAsia" w:ascii="宋体" w:hAnsi="宋体" w:cs="宋体"/>
          <w:color w:val="auto"/>
          <w:spacing w:val="-1"/>
          <w:sz w:val="24"/>
          <w:szCs w:val="24"/>
          <w:highlight w:val="none"/>
        </w:rPr>
        <w:t>工程施工</w:t>
      </w:r>
      <w:r>
        <w:rPr>
          <w:rFonts w:hint="eastAsia" w:ascii="宋体" w:hAnsi="宋体" w:cs="宋体"/>
          <w:color w:val="auto"/>
          <w:spacing w:val="-3"/>
          <w:sz w:val="24"/>
          <w:szCs w:val="24"/>
          <w:highlight w:val="none"/>
        </w:rPr>
        <w:t>合同约定的工程价格范围内，工程款支付的审核和签认权，以及工程</w:t>
      </w:r>
      <w:r>
        <w:rPr>
          <w:rFonts w:hint="eastAsia" w:ascii="宋体" w:hAnsi="宋体" w:cs="宋体"/>
          <w:color w:val="auto"/>
          <w:spacing w:val="-4"/>
          <w:sz w:val="24"/>
          <w:szCs w:val="24"/>
          <w:highlight w:val="none"/>
        </w:rPr>
        <w:t xml:space="preserve">结算的复核确认权与否决权。未经总监理工程师签字确认，委托人不支付工程款。 </w:t>
      </w:r>
    </w:p>
    <w:p>
      <w:pPr>
        <w:pStyle w:val="12"/>
        <w:spacing w:after="0" w:line="360" w:lineRule="auto"/>
        <w:ind w:firstLine="490" w:firstLineChars="200"/>
        <w:rPr>
          <w:rFonts w:ascii="宋体" w:hAnsi="宋体" w:cs="宋体"/>
          <w:color w:val="auto"/>
          <w:spacing w:val="-1"/>
          <w:sz w:val="24"/>
          <w:szCs w:val="24"/>
          <w:highlight w:val="none"/>
        </w:rPr>
      </w:pPr>
      <w:r>
        <w:rPr>
          <w:rFonts w:hint="eastAsia" w:ascii="宋体" w:hAnsi="宋体" w:cs="宋体"/>
          <w:b/>
          <w:color w:val="auto"/>
          <w:spacing w:val="2"/>
          <w:sz w:val="24"/>
          <w:szCs w:val="24"/>
          <w:highlight w:val="none"/>
        </w:rPr>
        <w:t xml:space="preserve">第十八条 </w:t>
      </w:r>
      <w:r>
        <w:rPr>
          <w:rFonts w:hint="eastAsia" w:ascii="宋体" w:hAnsi="宋体" w:cs="宋体"/>
          <w:color w:val="auto"/>
          <w:spacing w:val="-1"/>
          <w:sz w:val="24"/>
          <w:szCs w:val="24"/>
          <w:highlight w:val="none"/>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r>
        <w:rPr>
          <w:rFonts w:ascii="宋体" w:hAnsi="宋体" w:cs="宋体"/>
          <w:color w:val="auto"/>
          <w:spacing w:val="-1"/>
          <w:sz w:val="24"/>
          <w:szCs w:val="24"/>
          <w:highlight w:val="none"/>
        </w:rPr>
        <w:t xml:space="preserve"> </w:t>
      </w:r>
    </w:p>
    <w:p>
      <w:pPr>
        <w:pStyle w:val="12"/>
        <w:spacing w:after="0" w:line="360" w:lineRule="auto"/>
        <w:ind w:firstLine="490" w:firstLineChars="200"/>
        <w:rPr>
          <w:rFonts w:ascii="宋体" w:hAnsi="宋体" w:cs="宋体"/>
          <w:b/>
          <w:color w:val="auto"/>
          <w:sz w:val="24"/>
          <w:szCs w:val="24"/>
          <w:highlight w:val="none"/>
        </w:rPr>
      </w:pPr>
      <w:r>
        <w:rPr>
          <w:rFonts w:hint="eastAsia" w:ascii="宋体" w:hAnsi="宋体" w:cs="宋体"/>
          <w:b/>
          <w:color w:val="auto"/>
          <w:spacing w:val="2"/>
          <w:sz w:val="24"/>
          <w:szCs w:val="24"/>
          <w:highlight w:val="none"/>
        </w:rPr>
        <w:t xml:space="preserve">第十九条 </w:t>
      </w:r>
      <w:r>
        <w:rPr>
          <w:rFonts w:hint="eastAsia" w:ascii="宋体" w:hAnsi="宋体" w:cs="宋体"/>
          <w:color w:val="auto"/>
          <w:sz w:val="24"/>
          <w:szCs w:val="24"/>
          <w:highlight w:val="none"/>
        </w:rPr>
        <w:t>在委托的工程范围内，委托人或承包人对对方的任何意见和要求（</w:t>
      </w:r>
      <w:r>
        <w:rPr>
          <w:rFonts w:hint="eastAsia" w:ascii="宋体" w:hAnsi="宋体" w:cs="宋体"/>
          <w:color w:val="auto"/>
          <w:spacing w:val="-3"/>
          <w:sz w:val="24"/>
          <w:szCs w:val="24"/>
          <w:highlight w:val="none"/>
        </w:rPr>
        <w:t>包括索赔要</w:t>
      </w:r>
      <w:r>
        <w:rPr>
          <w:rFonts w:hint="eastAsia" w:ascii="宋体" w:hAnsi="宋体" w:cs="宋体"/>
          <w:color w:val="auto"/>
          <w:sz w:val="24"/>
          <w:szCs w:val="24"/>
          <w:highlight w:val="none"/>
        </w:rPr>
        <w:t>求</w:t>
      </w:r>
      <w:r>
        <w:rPr>
          <w:rFonts w:hint="eastAsia" w:ascii="宋体" w:hAnsi="宋体" w:cs="宋体"/>
          <w:color w:val="auto"/>
          <w:spacing w:val="-20"/>
          <w:sz w:val="24"/>
          <w:szCs w:val="24"/>
          <w:highlight w:val="none"/>
        </w:rPr>
        <w:t>），</w:t>
      </w:r>
      <w:r>
        <w:rPr>
          <w:rFonts w:hint="eastAsia" w:ascii="宋体" w:hAnsi="宋体" w:cs="宋体"/>
          <w:color w:val="auto"/>
          <w:spacing w:val="-5"/>
          <w:sz w:val="24"/>
          <w:szCs w:val="24"/>
          <w:highlight w:val="none"/>
        </w:rPr>
        <w:t>均必须首先向监理机构提出，由</w:t>
      </w:r>
      <w:r>
        <w:rPr>
          <w:rFonts w:hint="eastAsia" w:ascii="宋体" w:hAnsi="宋体" w:cs="宋体"/>
          <w:color w:val="auto"/>
          <w:spacing w:val="-1"/>
          <w:sz w:val="24"/>
          <w:szCs w:val="24"/>
          <w:highlight w:val="none"/>
        </w:rPr>
        <w:t>监理</w:t>
      </w:r>
      <w:r>
        <w:rPr>
          <w:rFonts w:hint="eastAsia" w:ascii="宋体" w:hAnsi="宋体" w:cs="宋体"/>
          <w:color w:val="auto"/>
          <w:spacing w:val="-5"/>
          <w:sz w:val="24"/>
          <w:szCs w:val="24"/>
          <w:highlight w:val="none"/>
        </w:rPr>
        <w:t>机构研究处置意见，再同双方协商确定。当委托人</w:t>
      </w:r>
      <w:r>
        <w:rPr>
          <w:rFonts w:hint="eastAsia" w:ascii="宋体" w:hAnsi="宋体" w:cs="宋体"/>
          <w:color w:val="auto"/>
          <w:spacing w:val="-7"/>
          <w:sz w:val="24"/>
          <w:szCs w:val="24"/>
          <w:highlight w:val="none"/>
        </w:rPr>
        <w:t>和承包人发生争议时，监理机构应根据自己的职能，以独立的身份判断，公正地进行调解。当</w:t>
      </w:r>
      <w:r>
        <w:rPr>
          <w:rFonts w:hint="eastAsia" w:ascii="宋体" w:hAnsi="宋体" w:cs="宋体"/>
          <w:color w:val="auto"/>
          <w:sz w:val="24"/>
          <w:szCs w:val="24"/>
          <w:highlight w:val="none"/>
        </w:rPr>
        <w:t>双方的争议由仲裁机关仲裁时，监理人应当提供作证的事实材料。</w:t>
      </w:r>
      <w:r>
        <w:rPr>
          <w:rFonts w:hint="eastAsia" w:ascii="宋体" w:hAnsi="宋体" w:cs="宋体"/>
          <w:b/>
          <w:color w:val="auto"/>
          <w:w w:val="99"/>
          <w:sz w:val="24"/>
          <w:szCs w:val="24"/>
          <w:highlight w:val="none"/>
        </w:rPr>
        <w:t xml:space="preserve"> </w:t>
      </w:r>
    </w:p>
    <w:p>
      <w:pPr>
        <w:pStyle w:val="8"/>
        <w:spacing w:line="360" w:lineRule="auto"/>
        <w:ind w:left="0" w:firstLine="482" w:firstLineChars="200"/>
        <w:jc w:val="center"/>
        <w:rPr>
          <w:rFonts w:ascii="宋体" w:hAnsi="宋体" w:cs="宋体"/>
          <w:color w:val="auto"/>
          <w:highlight w:val="none"/>
        </w:rPr>
      </w:pPr>
      <w:r>
        <w:rPr>
          <w:rFonts w:hint="eastAsia" w:ascii="宋体" w:hAnsi="宋体" w:cs="宋体"/>
          <w:color w:val="auto"/>
          <w:highlight w:val="none"/>
        </w:rPr>
        <w:t>委托人权利</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第二十条 </w:t>
      </w:r>
      <w:r>
        <w:rPr>
          <w:rFonts w:hint="eastAsia" w:ascii="宋体" w:hAnsi="宋体" w:cs="宋体"/>
          <w:color w:val="auto"/>
          <w:sz w:val="24"/>
          <w:szCs w:val="24"/>
          <w:highlight w:val="none"/>
        </w:rPr>
        <w:t xml:space="preserve">委托人有选定施工总承包人，以及与其订立合同的权利。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第二十一条 </w:t>
      </w:r>
      <w:r>
        <w:rPr>
          <w:rFonts w:hint="eastAsia" w:ascii="宋体" w:hAnsi="宋体" w:cs="宋体"/>
          <w:color w:val="auto"/>
          <w:sz w:val="24"/>
          <w:szCs w:val="24"/>
          <w:highlight w:val="none"/>
        </w:rPr>
        <w:t xml:space="preserve">委托人有对工程规模、设计标准、规划设计、生产工艺设计和设计使用功能要求的认定权，以及对工程设计变更的审批权。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第二十二条 </w:t>
      </w:r>
      <w:r>
        <w:rPr>
          <w:rFonts w:hint="eastAsia" w:ascii="宋体" w:hAnsi="宋体" w:cs="宋体"/>
          <w:color w:val="auto"/>
          <w:sz w:val="24"/>
          <w:szCs w:val="24"/>
          <w:highlight w:val="none"/>
        </w:rPr>
        <w:t>监理人</w:t>
      </w:r>
      <w:r>
        <w:rPr>
          <w:rFonts w:hint="eastAsia" w:ascii="宋体" w:hAnsi="宋体" w:cs="宋体"/>
          <w:color w:val="auto"/>
          <w:spacing w:val="-1"/>
          <w:sz w:val="24"/>
          <w:szCs w:val="24"/>
          <w:highlight w:val="none"/>
        </w:rPr>
        <w:t>调换</w:t>
      </w:r>
      <w:r>
        <w:rPr>
          <w:rFonts w:hint="eastAsia" w:ascii="宋体" w:hAnsi="宋体" w:cs="宋体"/>
          <w:color w:val="auto"/>
          <w:sz w:val="24"/>
          <w:szCs w:val="24"/>
          <w:highlight w:val="none"/>
        </w:rPr>
        <w:t xml:space="preserve">总监理工程师须事先经委托人书面同意。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第二十三条 </w:t>
      </w:r>
      <w:r>
        <w:rPr>
          <w:rFonts w:hint="eastAsia" w:ascii="宋体" w:hAnsi="宋体" w:cs="宋体"/>
          <w:color w:val="auto"/>
          <w:sz w:val="24"/>
          <w:szCs w:val="24"/>
          <w:highlight w:val="none"/>
        </w:rPr>
        <w:t>委托人有权要求</w:t>
      </w:r>
      <w:r>
        <w:rPr>
          <w:rFonts w:hint="eastAsia" w:ascii="宋体" w:hAnsi="宋体" w:cs="宋体"/>
          <w:color w:val="auto"/>
          <w:spacing w:val="-1"/>
          <w:sz w:val="24"/>
          <w:szCs w:val="24"/>
          <w:highlight w:val="none"/>
        </w:rPr>
        <w:t>监理</w:t>
      </w:r>
      <w:r>
        <w:rPr>
          <w:rFonts w:hint="eastAsia" w:ascii="宋体" w:hAnsi="宋体" w:cs="宋体"/>
          <w:color w:val="auto"/>
          <w:sz w:val="24"/>
          <w:szCs w:val="24"/>
          <w:highlight w:val="none"/>
        </w:rPr>
        <w:t>人提交监理工作月报及监理业务范围内的专项报告。</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第二十四条 </w:t>
      </w:r>
      <w:r>
        <w:rPr>
          <w:rFonts w:hint="eastAsia" w:ascii="宋体" w:hAnsi="宋体" w:cs="宋体"/>
          <w:color w:val="auto"/>
          <w:sz w:val="24"/>
          <w:szCs w:val="24"/>
          <w:highlight w:val="none"/>
        </w:rPr>
        <w:t>当委托人发现监理人员不按监理合同履行监理职责，或与承包人串通给委托</w:t>
      </w:r>
      <w:r>
        <w:rPr>
          <w:rFonts w:hint="eastAsia" w:ascii="宋体" w:hAnsi="宋体" w:cs="宋体"/>
          <w:color w:val="auto"/>
          <w:spacing w:val="-8"/>
          <w:sz w:val="24"/>
          <w:szCs w:val="24"/>
          <w:highlight w:val="none"/>
        </w:rPr>
        <w:t>人或工程造成损失的，委托人有权要求监理人更换监理人员，直到终止合同并要求监理人承担</w:t>
      </w:r>
      <w:r>
        <w:rPr>
          <w:rFonts w:hint="eastAsia" w:ascii="宋体" w:hAnsi="宋体" w:cs="宋体"/>
          <w:color w:val="auto"/>
          <w:sz w:val="24"/>
          <w:szCs w:val="24"/>
          <w:highlight w:val="none"/>
        </w:rPr>
        <w:t>相应的赔偿责任或连带赔偿责任。</w:t>
      </w:r>
      <w:r>
        <w:rPr>
          <w:rFonts w:hint="eastAsia" w:ascii="宋体" w:hAnsi="宋体" w:cs="宋体"/>
          <w:b/>
          <w:color w:val="auto"/>
          <w:w w:val="99"/>
          <w:sz w:val="24"/>
          <w:szCs w:val="24"/>
          <w:highlight w:val="none"/>
        </w:rPr>
        <w:t xml:space="preserve"> </w:t>
      </w:r>
    </w:p>
    <w:p>
      <w:pPr>
        <w:pStyle w:val="8"/>
        <w:spacing w:line="360" w:lineRule="auto"/>
        <w:ind w:left="0" w:firstLine="482" w:firstLineChars="200"/>
        <w:jc w:val="center"/>
        <w:rPr>
          <w:rFonts w:ascii="宋体" w:hAnsi="宋体" w:cs="宋体"/>
          <w:color w:val="auto"/>
          <w:highlight w:val="none"/>
        </w:rPr>
      </w:pPr>
      <w:r>
        <w:rPr>
          <w:rFonts w:hint="eastAsia" w:ascii="宋体" w:hAnsi="宋体" w:cs="宋体"/>
          <w:color w:val="auto"/>
          <w:highlight w:val="none"/>
        </w:rPr>
        <w:t>监理人责任</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第二十五条 </w:t>
      </w:r>
      <w:r>
        <w:rPr>
          <w:rFonts w:hint="eastAsia" w:ascii="宋体" w:hAnsi="宋体" w:cs="宋体"/>
          <w:color w:val="auto"/>
          <w:sz w:val="24"/>
          <w:szCs w:val="24"/>
          <w:highlight w:val="none"/>
        </w:rPr>
        <w:t xml:space="preserve">监理人的责任期即本监理合同有效期。在监理过程中，如果因工程建设进度的推迟或延误而超过书面约定的日期，双方应进一步约定相应延长的合同期。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第二十六条 </w:t>
      </w:r>
      <w:r>
        <w:rPr>
          <w:rFonts w:hint="eastAsia" w:ascii="宋体" w:hAnsi="宋体" w:cs="宋体"/>
          <w:color w:val="auto"/>
          <w:sz w:val="24"/>
          <w:szCs w:val="24"/>
          <w:highlight w:val="none"/>
        </w:rPr>
        <w:t>监理人在责任期内，应当履行约定的义务，如果因监理人过失而造成了委托人的经济损失，应当向委托人赔偿，累计赔偿总额（除本合同专用条款第二十</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 xml:space="preserve">条规定以外）不应超过监理报酬总额（除去税金）。 </w:t>
      </w:r>
    </w:p>
    <w:p>
      <w:pPr>
        <w:pStyle w:val="12"/>
        <w:spacing w:after="0" w:line="360" w:lineRule="auto"/>
        <w:ind w:firstLine="486" w:firstLineChars="200"/>
        <w:rPr>
          <w:rFonts w:ascii="宋体" w:hAnsi="宋体" w:cs="宋体"/>
          <w:color w:val="auto"/>
          <w:sz w:val="24"/>
          <w:szCs w:val="24"/>
          <w:highlight w:val="none"/>
        </w:rPr>
      </w:pPr>
      <w:r>
        <w:rPr>
          <w:rFonts w:hint="eastAsia" w:ascii="宋体" w:hAnsi="宋体" w:cs="宋体"/>
          <w:b/>
          <w:color w:val="auto"/>
          <w:spacing w:val="1"/>
          <w:sz w:val="24"/>
          <w:szCs w:val="24"/>
          <w:highlight w:val="none"/>
        </w:rPr>
        <w:t xml:space="preserve">第二十七条 </w:t>
      </w:r>
      <w:r>
        <w:rPr>
          <w:rFonts w:hint="eastAsia" w:ascii="宋体" w:hAnsi="宋体" w:cs="宋体"/>
          <w:color w:val="auto"/>
          <w:sz w:val="24"/>
          <w:szCs w:val="24"/>
          <w:highlight w:val="none"/>
        </w:rPr>
        <w:t>监理人对承包人违反合同规定的质量要求和完工（交图、交货）</w:t>
      </w:r>
      <w:r>
        <w:rPr>
          <w:rFonts w:hint="eastAsia" w:ascii="宋体" w:hAnsi="宋体" w:cs="宋体"/>
          <w:color w:val="auto"/>
          <w:spacing w:val="-3"/>
          <w:sz w:val="24"/>
          <w:szCs w:val="24"/>
          <w:highlight w:val="none"/>
        </w:rPr>
        <w:t>时限，不承</w:t>
      </w:r>
      <w:r>
        <w:rPr>
          <w:rFonts w:hint="eastAsia" w:ascii="宋体" w:hAnsi="宋体" w:cs="宋体"/>
          <w:color w:val="auto"/>
          <w:spacing w:val="-9"/>
          <w:sz w:val="24"/>
          <w:szCs w:val="24"/>
          <w:highlight w:val="none"/>
        </w:rPr>
        <w:t>担责任。因不可抗力导致工程监理合同不能全部或部分履行，监理人不承担责任。但对违反本</w:t>
      </w:r>
      <w:r>
        <w:rPr>
          <w:rFonts w:hint="eastAsia" w:ascii="宋体" w:hAnsi="宋体" w:cs="宋体"/>
          <w:color w:val="auto"/>
          <w:sz w:val="24"/>
          <w:szCs w:val="24"/>
          <w:highlight w:val="none"/>
        </w:rPr>
        <w:t xml:space="preserve">合同标准条款第五条规定引起的与之有关的事宜，应向委托人承担赔偿责任。 </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第二十八条 </w:t>
      </w:r>
      <w:r>
        <w:rPr>
          <w:rFonts w:hint="eastAsia" w:ascii="宋体" w:hAnsi="宋体" w:cs="宋体"/>
          <w:color w:val="auto"/>
          <w:sz w:val="24"/>
          <w:szCs w:val="24"/>
          <w:highlight w:val="none"/>
        </w:rPr>
        <w:t>监理人向委托人提出赔偿要求不能成立时，监理人应当补偿由于该索赔所导致委托人的各种费用支出。</w:t>
      </w:r>
      <w:r>
        <w:rPr>
          <w:rFonts w:hint="eastAsia" w:ascii="宋体" w:hAnsi="宋体" w:cs="宋体"/>
          <w:b/>
          <w:color w:val="auto"/>
          <w:w w:val="99"/>
          <w:sz w:val="24"/>
          <w:szCs w:val="24"/>
          <w:highlight w:val="none"/>
        </w:rPr>
        <w:t xml:space="preserve"> </w:t>
      </w:r>
    </w:p>
    <w:p>
      <w:pPr>
        <w:pStyle w:val="8"/>
        <w:spacing w:line="360" w:lineRule="auto"/>
        <w:ind w:left="0" w:firstLine="482" w:firstLineChars="200"/>
        <w:jc w:val="center"/>
        <w:rPr>
          <w:rFonts w:ascii="宋体" w:hAnsi="宋体" w:cs="宋体"/>
          <w:color w:val="auto"/>
          <w:highlight w:val="none"/>
        </w:rPr>
      </w:pPr>
      <w:r>
        <w:rPr>
          <w:rFonts w:hint="eastAsia" w:ascii="宋体" w:hAnsi="宋体" w:cs="宋体"/>
          <w:color w:val="auto"/>
          <w:highlight w:val="none"/>
        </w:rPr>
        <w:t>委托人责任</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第二十九条 </w:t>
      </w:r>
      <w:r>
        <w:rPr>
          <w:rFonts w:hint="eastAsia" w:ascii="宋体" w:hAnsi="宋体" w:cs="宋体"/>
          <w:color w:val="auto"/>
          <w:sz w:val="24"/>
          <w:szCs w:val="24"/>
          <w:highlight w:val="none"/>
        </w:rPr>
        <w:t>委托人应当履行本合同约定的义务，如有违反则应当承担违约责任，赔偿给监理人造成的经济损失，赔偿总额不超过监理报酬的</w:t>
      </w:r>
      <w:r>
        <w:rPr>
          <w:rFonts w:ascii="宋体" w:hAnsi="宋体" w:cs="宋体"/>
          <w:color w:val="auto"/>
          <w:sz w:val="24"/>
          <w:szCs w:val="24"/>
          <w:highlight w:val="none"/>
        </w:rPr>
        <w:t>20%</w:t>
      </w:r>
      <w:r>
        <w:rPr>
          <w:rFonts w:hint="eastAsia" w:ascii="宋体" w:hAnsi="宋体" w:cs="宋体"/>
          <w:color w:val="auto"/>
          <w:sz w:val="24"/>
          <w:szCs w:val="24"/>
          <w:highlight w:val="none"/>
        </w:rPr>
        <w:t>。监理人处理委托业务时，因委托人原因的事由受到损失的，可以向委托人要求补偿损失。</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第三十条 </w:t>
      </w:r>
      <w:r>
        <w:rPr>
          <w:rFonts w:hint="eastAsia" w:ascii="宋体" w:hAnsi="宋体" w:cs="宋体"/>
          <w:color w:val="auto"/>
          <w:sz w:val="24"/>
          <w:szCs w:val="24"/>
          <w:highlight w:val="none"/>
        </w:rPr>
        <w:t>委托人如果向监理人提出赔偿的要求不能成立，则应当补偿由该索赔所引起的监理人的各种费用支出。</w:t>
      </w:r>
      <w:r>
        <w:rPr>
          <w:rFonts w:hint="eastAsia" w:ascii="宋体" w:hAnsi="宋体" w:cs="宋体"/>
          <w:b/>
          <w:color w:val="auto"/>
          <w:w w:val="99"/>
          <w:sz w:val="24"/>
          <w:szCs w:val="24"/>
          <w:highlight w:val="none"/>
        </w:rPr>
        <w:t xml:space="preserve"> </w:t>
      </w:r>
    </w:p>
    <w:p>
      <w:pPr>
        <w:pStyle w:val="8"/>
        <w:spacing w:line="360" w:lineRule="auto"/>
        <w:ind w:left="0" w:firstLine="482" w:firstLineChars="200"/>
        <w:rPr>
          <w:rFonts w:ascii="宋体" w:hAnsi="宋体" w:cs="宋体"/>
          <w:color w:val="auto"/>
          <w:highlight w:val="none"/>
        </w:rPr>
      </w:pPr>
      <w:r>
        <w:rPr>
          <w:rFonts w:hint="eastAsia" w:ascii="宋体" w:hAnsi="宋体" w:cs="宋体"/>
          <w:color w:val="auto"/>
          <w:highlight w:val="none"/>
        </w:rPr>
        <w:t>合同生效、变更与终止</w:t>
      </w:r>
      <w:r>
        <w:rPr>
          <w:rFonts w:hint="eastAsia" w:ascii="宋体" w:hAnsi="宋体" w:cs="宋体"/>
          <w:color w:val="auto"/>
          <w:w w:val="99"/>
          <w:highlight w:val="none"/>
        </w:rPr>
        <w:t xml:space="preserve"> </w:t>
      </w:r>
    </w:p>
    <w:p>
      <w:pPr>
        <w:pStyle w:val="12"/>
        <w:spacing w:after="0" w:line="360" w:lineRule="auto"/>
        <w:ind w:firstLine="486" w:firstLineChars="200"/>
        <w:rPr>
          <w:rFonts w:ascii="宋体" w:hAnsi="宋体" w:cs="宋体"/>
          <w:color w:val="auto"/>
          <w:spacing w:val="-1"/>
          <w:sz w:val="24"/>
          <w:szCs w:val="24"/>
          <w:highlight w:val="none"/>
        </w:rPr>
      </w:pPr>
      <w:r>
        <w:rPr>
          <w:rFonts w:hint="eastAsia" w:ascii="宋体" w:hAnsi="宋体" w:cs="宋体"/>
          <w:b/>
          <w:color w:val="auto"/>
          <w:spacing w:val="1"/>
          <w:sz w:val="24"/>
          <w:szCs w:val="24"/>
          <w:highlight w:val="none"/>
        </w:rPr>
        <w:t xml:space="preserve">第三十一条 </w:t>
      </w:r>
      <w:r>
        <w:rPr>
          <w:rFonts w:hint="eastAsia" w:ascii="宋体" w:hAnsi="宋体" w:cs="宋体"/>
          <w:color w:val="auto"/>
          <w:spacing w:val="-1"/>
          <w:sz w:val="24"/>
          <w:szCs w:val="24"/>
          <w:highlight w:val="none"/>
        </w:rPr>
        <w:t>由于委托人或承包人的原因使监理工作受到阻碍或延误，以致发生了附加工作或延长了持续时间，则监理人应当将此情况与可能产生的影响及时通知委托人。经委托人书面确认，完成监理业务的时间相应延长，并得到附加工作的报酬。</w:t>
      </w:r>
      <w:r>
        <w:rPr>
          <w:rFonts w:ascii="宋体" w:hAnsi="宋体" w:cs="宋体"/>
          <w:color w:val="auto"/>
          <w:spacing w:val="-1"/>
          <w:sz w:val="24"/>
          <w:szCs w:val="24"/>
          <w:highlight w:val="none"/>
        </w:rPr>
        <w:t xml:space="preserve"> </w:t>
      </w:r>
    </w:p>
    <w:p>
      <w:pPr>
        <w:pStyle w:val="12"/>
        <w:spacing w:after="0" w:line="360" w:lineRule="auto"/>
        <w:ind w:firstLine="482" w:firstLineChars="200"/>
        <w:rPr>
          <w:rFonts w:ascii="宋体" w:hAnsi="宋体" w:cs="宋体"/>
          <w:color w:val="auto"/>
          <w:spacing w:val="-1"/>
          <w:sz w:val="24"/>
          <w:szCs w:val="24"/>
          <w:highlight w:val="none"/>
        </w:rPr>
      </w:pPr>
      <w:r>
        <w:rPr>
          <w:rFonts w:hint="eastAsia" w:ascii="宋体" w:hAnsi="宋体" w:cs="宋体"/>
          <w:b/>
          <w:color w:val="auto"/>
          <w:sz w:val="24"/>
          <w:szCs w:val="24"/>
          <w:highlight w:val="none"/>
        </w:rPr>
        <w:t xml:space="preserve">第三十二条 </w:t>
      </w:r>
      <w:r>
        <w:rPr>
          <w:rFonts w:hint="eastAsia" w:ascii="宋体" w:hAnsi="宋体" w:cs="宋体"/>
          <w:color w:val="auto"/>
          <w:sz w:val="24"/>
          <w:szCs w:val="24"/>
          <w:highlight w:val="none"/>
        </w:rPr>
        <w:t>在本合</w:t>
      </w:r>
      <w:r>
        <w:rPr>
          <w:rFonts w:hint="eastAsia" w:ascii="宋体" w:hAnsi="宋体" w:cs="宋体"/>
          <w:color w:val="auto"/>
          <w:spacing w:val="-1"/>
          <w:sz w:val="24"/>
          <w:szCs w:val="24"/>
          <w:highlight w:val="none"/>
        </w:rPr>
        <w:t>同签订后，实际情况发生变化，使得监理人不能全部或部分执行监理业务时，监理人应当立即通知委托人。该监理业务的完成时间应予延长。当恢复执行监理业务时，应当增加不超过</w:t>
      </w:r>
      <w:r>
        <w:rPr>
          <w:rFonts w:ascii="宋体" w:hAnsi="宋体" w:cs="宋体"/>
          <w:color w:val="auto"/>
          <w:spacing w:val="-1"/>
          <w:sz w:val="24"/>
          <w:szCs w:val="24"/>
          <w:highlight w:val="none"/>
        </w:rPr>
        <w:t xml:space="preserve"> 42 日的时间用于恢复执行监理业务，并按双方约定的数量支付监理报酬。 </w:t>
      </w:r>
    </w:p>
    <w:p>
      <w:pPr>
        <w:pStyle w:val="12"/>
        <w:spacing w:after="0" w:line="360" w:lineRule="auto"/>
        <w:ind w:firstLine="486" w:firstLineChars="200"/>
        <w:rPr>
          <w:rFonts w:ascii="宋体" w:hAnsi="宋体" w:cs="宋体"/>
          <w:color w:val="auto"/>
          <w:spacing w:val="-1"/>
          <w:sz w:val="24"/>
          <w:szCs w:val="24"/>
          <w:highlight w:val="none"/>
        </w:rPr>
      </w:pPr>
      <w:r>
        <w:rPr>
          <w:rFonts w:hint="eastAsia" w:ascii="宋体" w:hAnsi="宋体" w:cs="宋体"/>
          <w:b/>
          <w:color w:val="auto"/>
          <w:spacing w:val="1"/>
          <w:sz w:val="24"/>
          <w:szCs w:val="24"/>
          <w:highlight w:val="none"/>
        </w:rPr>
        <w:t xml:space="preserve">第三十三条 </w:t>
      </w:r>
      <w:r>
        <w:rPr>
          <w:rFonts w:hint="eastAsia" w:ascii="宋体" w:hAnsi="宋体" w:cs="宋体"/>
          <w:color w:val="auto"/>
          <w:spacing w:val="-1"/>
          <w:sz w:val="24"/>
          <w:szCs w:val="24"/>
          <w:highlight w:val="none"/>
        </w:rPr>
        <w:t>监理人向委托人办理完竣工验收或工程移交手续，承包人和委托人已签订工程保修责任书，监理人收到监理报酬尾款，本合同即终止。保修期间的责任，双方在专用条款中约定。</w:t>
      </w:r>
      <w:r>
        <w:rPr>
          <w:rFonts w:ascii="宋体" w:hAnsi="宋体" w:cs="宋体"/>
          <w:color w:val="auto"/>
          <w:spacing w:val="-1"/>
          <w:sz w:val="24"/>
          <w:szCs w:val="24"/>
          <w:highlight w:val="none"/>
        </w:rPr>
        <w:t xml:space="preserve"> </w:t>
      </w:r>
    </w:p>
    <w:p>
      <w:pPr>
        <w:pStyle w:val="12"/>
        <w:spacing w:after="0" w:line="360" w:lineRule="auto"/>
        <w:ind w:firstLine="478" w:firstLineChars="200"/>
        <w:rPr>
          <w:rFonts w:ascii="宋体" w:hAnsi="宋体" w:cs="宋体"/>
          <w:color w:val="auto"/>
          <w:spacing w:val="-1"/>
          <w:sz w:val="24"/>
          <w:szCs w:val="24"/>
          <w:highlight w:val="none"/>
        </w:rPr>
      </w:pPr>
      <w:r>
        <w:rPr>
          <w:rFonts w:hint="eastAsia" w:ascii="宋体" w:hAnsi="宋体" w:cs="宋体"/>
          <w:b/>
          <w:color w:val="auto"/>
          <w:spacing w:val="-1"/>
          <w:sz w:val="24"/>
          <w:szCs w:val="24"/>
          <w:highlight w:val="none"/>
        </w:rPr>
        <w:t xml:space="preserve">第三十四条 </w:t>
      </w:r>
      <w:r>
        <w:rPr>
          <w:rFonts w:hint="eastAsia" w:ascii="宋体" w:hAnsi="宋体" w:cs="宋体"/>
          <w:color w:val="auto"/>
          <w:spacing w:val="-7"/>
          <w:sz w:val="24"/>
          <w:szCs w:val="24"/>
          <w:highlight w:val="none"/>
        </w:rPr>
        <w:t>当事人</w:t>
      </w:r>
      <w:r>
        <w:rPr>
          <w:rFonts w:hint="eastAsia" w:ascii="宋体" w:hAnsi="宋体" w:cs="宋体"/>
          <w:color w:val="auto"/>
          <w:spacing w:val="-1"/>
          <w:sz w:val="24"/>
          <w:szCs w:val="24"/>
          <w:highlight w:val="none"/>
        </w:rPr>
        <w:t>一方根据法律规定或本合同约定要求变更或解除合同时，应当在</w:t>
      </w:r>
      <w:r>
        <w:rPr>
          <w:rFonts w:ascii="宋体" w:hAnsi="宋体" w:cs="宋体"/>
          <w:color w:val="auto"/>
          <w:spacing w:val="-1"/>
          <w:sz w:val="24"/>
          <w:szCs w:val="24"/>
          <w:highlight w:val="none"/>
        </w:rPr>
        <w:t>42</w:t>
      </w:r>
      <w:r>
        <w:rPr>
          <w:rFonts w:hint="eastAsia" w:ascii="宋体" w:hAnsi="宋体" w:cs="宋体"/>
          <w:color w:val="auto"/>
          <w:spacing w:val="-1"/>
          <w:sz w:val="24"/>
          <w:szCs w:val="24"/>
          <w:highlight w:val="none"/>
        </w:rPr>
        <w:t>日前通知对方，因解除合同使一方遭受损失的，除依法可以免除责任的外，应由责任方负责赔偿。</w:t>
      </w:r>
      <w:r>
        <w:rPr>
          <w:rFonts w:ascii="宋体" w:hAnsi="宋体" w:cs="宋体"/>
          <w:color w:val="auto"/>
          <w:spacing w:val="-1"/>
          <w:sz w:val="24"/>
          <w:szCs w:val="24"/>
          <w:highlight w:val="none"/>
        </w:rPr>
        <w:t xml:space="preserve"> </w:t>
      </w:r>
      <w:r>
        <w:rPr>
          <w:rFonts w:hint="eastAsia" w:ascii="宋体" w:hAnsi="宋体" w:cs="宋体"/>
          <w:color w:val="auto"/>
          <w:spacing w:val="-1"/>
          <w:sz w:val="24"/>
          <w:szCs w:val="24"/>
          <w:highlight w:val="none"/>
        </w:rPr>
        <w:t>变更或解除合同的通知或协议必须采取书面形式，协议未达成之前，原合同仍然有效。</w:t>
      </w:r>
      <w:r>
        <w:rPr>
          <w:rFonts w:ascii="宋体" w:hAnsi="宋体" w:cs="宋体"/>
          <w:color w:val="auto"/>
          <w:spacing w:val="-1"/>
          <w:sz w:val="24"/>
          <w:szCs w:val="24"/>
          <w:highlight w:val="none"/>
        </w:rPr>
        <w:t xml:space="preserve"> </w:t>
      </w:r>
    </w:p>
    <w:p>
      <w:pPr>
        <w:pStyle w:val="12"/>
        <w:spacing w:after="0" w:line="360" w:lineRule="auto"/>
        <w:ind w:firstLine="482" w:firstLineChars="200"/>
        <w:rPr>
          <w:rFonts w:ascii="宋体" w:hAnsi="宋体" w:cs="宋体"/>
          <w:color w:val="auto"/>
          <w:spacing w:val="-1"/>
          <w:sz w:val="24"/>
          <w:szCs w:val="24"/>
          <w:highlight w:val="none"/>
        </w:rPr>
      </w:pPr>
      <w:r>
        <w:rPr>
          <w:rFonts w:hint="eastAsia" w:ascii="宋体" w:hAnsi="宋体" w:cs="宋体"/>
          <w:b/>
          <w:color w:val="auto"/>
          <w:sz w:val="24"/>
          <w:szCs w:val="24"/>
          <w:highlight w:val="none"/>
        </w:rPr>
        <w:t xml:space="preserve">第三十五条 </w:t>
      </w:r>
      <w:r>
        <w:rPr>
          <w:rFonts w:hint="eastAsia" w:ascii="宋体" w:hAnsi="宋体" w:cs="宋体"/>
          <w:color w:val="auto"/>
          <w:sz w:val="24"/>
          <w:szCs w:val="24"/>
          <w:highlight w:val="none"/>
        </w:rPr>
        <w:t>监理人在应</w:t>
      </w:r>
      <w:r>
        <w:rPr>
          <w:rFonts w:hint="eastAsia" w:ascii="宋体" w:hAnsi="宋体" w:cs="宋体"/>
          <w:color w:val="auto"/>
          <w:spacing w:val="-1"/>
          <w:sz w:val="24"/>
          <w:szCs w:val="24"/>
          <w:highlight w:val="none"/>
        </w:rPr>
        <w:t>当获得监理报酬之日起</w:t>
      </w:r>
      <w:r>
        <w:rPr>
          <w:rFonts w:ascii="宋体" w:hAnsi="宋体" w:cs="宋体"/>
          <w:color w:val="auto"/>
          <w:spacing w:val="-1"/>
          <w:sz w:val="24"/>
          <w:szCs w:val="24"/>
          <w:highlight w:val="none"/>
        </w:rPr>
        <w:t xml:space="preserve"> 30</w:t>
      </w:r>
      <w:r>
        <w:rPr>
          <w:rFonts w:hint="eastAsia" w:ascii="宋体" w:hAnsi="宋体" w:cs="宋体"/>
          <w:color w:val="auto"/>
          <w:spacing w:val="-1"/>
          <w:sz w:val="24"/>
          <w:szCs w:val="24"/>
          <w:highlight w:val="none"/>
        </w:rPr>
        <w:t xml:space="preserve"> 日内仍未收到支付单据，而委托人又未对监理人提出任何书面解释时，监理人可向委托人发出终止合同的通知，发出通知后</w:t>
      </w:r>
      <w:r>
        <w:rPr>
          <w:rFonts w:ascii="宋体" w:hAnsi="宋体" w:cs="宋体"/>
          <w:color w:val="auto"/>
          <w:spacing w:val="-1"/>
          <w:sz w:val="24"/>
          <w:szCs w:val="24"/>
          <w:highlight w:val="none"/>
        </w:rPr>
        <w:t>14</w:t>
      </w:r>
      <w:r>
        <w:rPr>
          <w:rFonts w:hint="eastAsia" w:ascii="宋体" w:hAnsi="宋体" w:cs="宋体"/>
          <w:color w:val="auto"/>
          <w:spacing w:val="-1"/>
          <w:sz w:val="24"/>
          <w:szCs w:val="24"/>
          <w:highlight w:val="none"/>
        </w:rPr>
        <w:t>日内仍未得到委托人答复，可进一步发出终止合同的通知，如果第二份通知发出后</w:t>
      </w:r>
      <w:r>
        <w:rPr>
          <w:rFonts w:ascii="宋体" w:hAnsi="宋体" w:cs="宋体"/>
          <w:color w:val="auto"/>
          <w:spacing w:val="-1"/>
          <w:sz w:val="24"/>
          <w:szCs w:val="24"/>
          <w:highlight w:val="none"/>
        </w:rPr>
        <w:t>42</w:t>
      </w:r>
      <w:r>
        <w:rPr>
          <w:rFonts w:hint="eastAsia" w:ascii="宋体" w:hAnsi="宋体" w:cs="宋体"/>
          <w:color w:val="auto"/>
          <w:spacing w:val="-1"/>
          <w:sz w:val="24"/>
          <w:szCs w:val="24"/>
          <w:highlight w:val="none"/>
        </w:rPr>
        <w:t>日内仍未得到委托人答复，可终止合同或自行暂停或继续暂停执行全部或部分监理业务。委托人承担违约责任。</w:t>
      </w:r>
      <w:r>
        <w:rPr>
          <w:rFonts w:ascii="宋体" w:hAnsi="宋体" w:cs="宋体"/>
          <w:color w:val="auto"/>
          <w:spacing w:val="-1"/>
          <w:sz w:val="24"/>
          <w:szCs w:val="24"/>
          <w:highlight w:val="none"/>
        </w:rPr>
        <w:t xml:space="preserve">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第三十六条 </w:t>
      </w:r>
      <w:r>
        <w:rPr>
          <w:rFonts w:hint="eastAsia" w:ascii="宋体" w:hAnsi="宋体" w:cs="宋体"/>
          <w:color w:val="auto"/>
          <w:sz w:val="24"/>
          <w:szCs w:val="24"/>
          <w:highlight w:val="none"/>
        </w:rPr>
        <w:t xml:space="preserve">监理人由于非自己的原因而暂停或终止执行监理业务，其善后工作以及恢复执行监理业务的工作，应当视为额外工作，有权得到额外的报酬。 </w:t>
      </w:r>
    </w:p>
    <w:p>
      <w:pPr>
        <w:pStyle w:val="12"/>
        <w:spacing w:after="0" w:line="360" w:lineRule="auto"/>
        <w:ind w:firstLine="486" w:firstLineChars="200"/>
        <w:rPr>
          <w:rFonts w:ascii="宋体" w:hAnsi="宋体" w:cs="宋体"/>
          <w:color w:val="auto"/>
          <w:spacing w:val="-8"/>
          <w:sz w:val="24"/>
          <w:szCs w:val="24"/>
          <w:highlight w:val="none"/>
        </w:rPr>
      </w:pPr>
      <w:r>
        <w:rPr>
          <w:rFonts w:hint="eastAsia" w:ascii="宋体" w:hAnsi="宋体" w:cs="宋体"/>
          <w:b/>
          <w:color w:val="auto"/>
          <w:spacing w:val="1"/>
          <w:sz w:val="24"/>
          <w:szCs w:val="24"/>
          <w:highlight w:val="none"/>
        </w:rPr>
        <w:t xml:space="preserve">第三十七条 </w:t>
      </w:r>
      <w:r>
        <w:rPr>
          <w:rFonts w:hint="eastAsia" w:ascii="宋体" w:hAnsi="宋体" w:cs="宋体"/>
          <w:color w:val="auto"/>
          <w:spacing w:val="-1"/>
          <w:sz w:val="24"/>
          <w:szCs w:val="24"/>
          <w:highlight w:val="none"/>
        </w:rPr>
        <w:t>当委托人认为监理人无正当理由而又未履行监理义务时，可向监理人发出</w:t>
      </w:r>
      <w:r>
        <w:rPr>
          <w:rFonts w:hint="eastAsia" w:ascii="宋体" w:hAnsi="宋体" w:cs="宋体"/>
          <w:color w:val="auto"/>
          <w:spacing w:val="-3"/>
          <w:sz w:val="24"/>
          <w:szCs w:val="24"/>
          <w:highlight w:val="none"/>
        </w:rPr>
        <w:t>指明其未履行义务的通知。若委托人发出通知后</w:t>
      </w:r>
      <w:r>
        <w:rPr>
          <w:rFonts w:hint="eastAsia" w:ascii="宋体" w:hAnsi="宋体" w:cs="宋体"/>
          <w:color w:val="auto"/>
          <w:sz w:val="24"/>
          <w:szCs w:val="24"/>
          <w:highlight w:val="none"/>
        </w:rPr>
        <w:t>21</w:t>
      </w:r>
      <w:r>
        <w:rPr>
          <w:rFonts w:hint="eastAsia" w:ascii="宋体" w:hAnsi="宋体" w:cs="宋体"/>
          <w:color w:val="auto"/>
          <w:spacing w:val="-8"/>
          <w:sz w:val="24"/>
          <w:szCs w:val="24"/>
          <w:highlight w:val="none"/>
        </w:rPr>
        <w:t>日内没有收到答复，可在第一个通知发出</w:t>
      </w:r>
      <w:r>
        <w:rPr>
          <w:rFonts w:hint="eastAsia" w:ascii="宋体" w:hAnsi="宋体" w:cs="宋体"/>
          <w:color w:val="auto"/>
          <w:spacing w:val="-30"/>
          <w:sz w:val="24"/>
          <w:szCs w:val="24"/>
          <w:highlight w:val="none"/>
        </w:rPr>
        <w:t xml:space="preserve">后 </w:t>
      </w:r>
      <w:r>
        <w:rPr>
          <w:rFonts w:hint="eastAsia" w:ascii="宋体" w:hAnsi="宋体" w:cs="宋体"/>
          <w:color w:val="auto"/>
          <w:sz w:val="24"/>
          <w:szCs w:val="24"/>
          <w:highlight w:val="none"/>
        </w:rPr>
        <w:t>35</w:t>
      </w:r>
      <w:r>
        <w:rPr>
          <w:rFonts w:hint="eastAsia" w:ascii="宋体" w:hAnsi="宋体" w:cs="宋体"/>
          <w:color w:val="auto"/>
          <w:spacing w:val="-8"/>
          <w:sz w:val="24"/>
          <w:szCs w:val="24"/>
          <w:highlight w:val="none"/>
        </w:rPr>
        <w:t>日内发出终止委托监理合同的通知，合同即行终止。监理人承担违约责任。</w:t>
      </w:r>
    </w:p>
    <w:p>
      <w:pPr>
        <w:pStyle w:val="12"/>
        <w:spacing w:after="0" w:line="360" w:lineRule="auto"/>
        <w:ind w:firstLine="454" w:firstLineChars="200"/>
        <w:rPr>
          <w:rFonts w:ascii="宋体" w:hAnsi="宋体" w:cs="宋体"/>
          <w:bCs/>
          <w:color w:val="auto"/>
          <w:sz w:val="24"/>
          <w:szCs w:val="24"/>
          <w:highlight w:val="none"/>
        </w:rPr>
      </w:pPr>
      <w:r>
        <w:rPr>
          <w:rFonts w:hint="eastAsia" w:ascii="宋体" w:hAnsi="宋体" w:cs="宋体"/>
          <w:b/>
          <w:color w:val="auto"/>
          <w:spacing w:val="-7"/>
          <w:sz w:val="24"/>
          <w:szCs w:val="24"/>
          <w:highlight w:val="none"/>
        </w:rPr>
        <w:t>第三十八条</w:t>
      </w:r>
      <w:r>
        <w:rPr>
          <w:rFonts w:hint="eastAsia" w:ascii="宋体" w:hAnsi="宋体" w:cs="宋体"/>
          <w:bCs/>
          <w:color w:val="auto"/>
          <w:spacing w:val="-7"/>
          <w:sz w:val="24"/>
          <w:szCs w:val="24"/>
          <w:highlight w:val="none"/>
        </w:rPr>
        <w:t xml:space="preserve"> </w:t>
      </w:r>
      <w:r>
        <w:rPr>
          <w:rFonts w:hint="eastAsia" w:ascii="宋体" w:hAnsi="宋体" w:cs="宋体"/>
          <w:bCs/>
          <w:color w:val="auto"/>
          <w:spacing w:val="-1"/>
          <w:sz w:val="24"/>
          <w:szCs w:val="24"/>
          <w:highlight w:val="none"/>
        </w:rPr>
        <w:t>合同协议的终止并不影响各方应有的权利和应当承担的责任。</w:t>
      </w:r>
    </w:p>
    <w:p>
      <w:pPr>
        <w:pStyle w:val="12"/>
        <w:spacing w:after="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监理报酬</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第三十九条 </w:t>
      </w:r>
      <w:r>
        <w:rPr>
          <w:rFonts w:hint="eastAsia" w:ascii="宋体" w:hAnsi="宋体" w:cs="宋体"/>
          <w:color w:val="auto"/>
          <w:sz w:val="24"/>
          <w:szCs w:val="24"/>
          <w:highlight w:val="none"/>
        </w:rPr>
        <w:t xml:space="preserve">正常的监理工作、附加工作和额外工作的报酬，按照监理合同专用条款中第三十九条的方法计算，并按约定的时间和数额支付。 </w:t>
      </w:r>
    </w:p>
    <w:p>
      <w:pPr>
        <w:pStyle w:val="12"/>
        <w:spacing w:after="0" w:line="360" w:lineRule="auto"/>
        <w:ind w:firstLine="498" w:firstLineChars="200"/>
        <w:rPr>
          <w:rFonts w:ascii="宋体" w:hAnsi="宋体" w:cs="宋体"/>
          <w:color w:val="auto"/>
          <w:sz w:val="24"/>
          <w:szCs w:val="24"/>
          <w:highlight w:val="none"/>
        </w:rPr>
      </w:pPr>
      <w:r>
        <w:rPr>
          <w:rFonts w:hint="eastAsia" w:ascii="宋体" w:hAnsi="宋体" w:cs="宋体"/>
          <w:b/>
          <w:color w:val="auto"/>
          <w:spacing w:val="4"/>
          <w:sz w:val="24"/>
          <w:szCs w:val="24"/>
          <w:highlight w:val="none"/>
        </w:rPr>
        <w:t xml:space="preserve">第四十条 </w:t>
      </w:r>
      <w:r>
        <w:rPr>
          <w:rFonts w:hint="eastAsia" w:ascii="宋体" w:hAnsi="宋体" w:cs="宋体"/>
          <w:color w:val="auto"/>
          <w:sz w:val="24"/>
          <w:szCs w:val="24"/>
          <w:highlight w:val="none"/>
        </w:rPr>
        <w:t>如果委托人在规定的支付期限内未支付监理报酬，自规定之日起，还应向监理人</w:t>
      </w:r>
      <w:r>
        <w:rPr>
          <w:rFonts w:hint="eastAsia" w:ascii="宋体" w:hAnsi="宋体" w:cs="宋体"/>
          <w:color w:val="auto"/>
          <w:spacing w:val="-14"/>
          <w:sz w:val="24"/>
          <w:szCs w:val="24"/>
          <w:highlight w:val="none"/>
        </w:rPr>
        <w:t xml:space="preserve">支付滞纳金。滞纳金从规定支付期限最后一日起计算。滞纳金累计不超过未付监理报酬的 </w:t>
      </w:r>
      <w:r>
        <w:rPr>
          <w:rFonts w:hint="eastAsia" w:ascii="宋体" w:hAnsi="宋体" w:cs="宋体"/>
          <w:color w:val="auto"/>
          <w:sz w:val="24"/>
          <w:szCs w:val="24"/>
          <w:highlight w:val="none"/>
        </w:rPr>
        <w:t>5%</w:t>
      </w:r>
      <w:r>
        <w:rPr>
          <w:rFonts w:hint="eastAsia" w:ascii="宋体" w:hAnsi="宋体" w:cs="宋体"/>
          <w:color w:val="auto"/>
          <w:spacing w:val="-120"/>
          <w:sz w:val="24"/>
          <w:szCs w:val="24"/>
          <w:highlight w:val="none"/>
        </w:rPr>
        <w:t>。</w:t>
      </w:r>
      <w:r>
        <w:rPr>
          <w:rFonts w:hint="eastAsia" w:ascii="宋体" w:hAnsi="宋体" w:cs="宋体"/>
          <w:color w:val="auto"/>
          <w:sz w:val="24"/>
          <w:szCs w:val="24"/>
          <w:highlight w:val="none"/>
        </w:rPr>
        <w:t xml:space="preserve">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第四十一条 </w:t>
      </w:r>
      <w:r>
        <w:rPr>
          <w:rFonts w:hint="eastAsia" w:ascii="宋体" w:hAnsi="宋体" w:cs="宋体"/>
          <w:color w:val="auto"/>
          <w:sz w:val="24"/>
          <w:szCs w:val="24"/>
          <w:highlight w:val="none"/>
        </w:rPr>
        <w:t xml:space="preserve">支付监理报酬所采取的货币币种、汇率由合同专用条款约定。 </w:t>
      </w:r>
    </w:p>
    <w:p>
      <w:pPr>
        <w:pStyle w:val="12"/>
        <w:spacing w:after="0"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 xml:space="preserve">第四十二条 </w:t>
      </w:r>
      <w:r>
        <w:rPr>
          <w:rFonts w:hint="eastAsia" w:ascii="宋体" w:hAnsi="宋体" w:cs="宋体"/>
          <w:color w:val="auto"/>
          <w:spacing w:val="-1"/>
          <w:sz w:val="24"/>
          <w:szCs w:val="24"/>
          <w:highlight w:val="none"/>
        </w:rPr>
        <w:t>如果委托人对监理人提交的支付通知中报酬或部分报酬项目提出异议，应当</w:t>
      </w:r>
      <w:r>
        <w:rPr>
          <w:rFonts w:hint="eastAsia" w:ascii="宋体" w:hAnsi="宋体" w:cs="宋体"/>
          <w:color w:val="auto"/>
          <w:spacing w:val="-6"/>
          <w:sz w:val="24"/>
          <w:szCs w:val="24"/>
          <w:highlight w:val="none"/>
        </w:rPr>
        <w:t>在收到支付通知书</w:t>
      </w:r>
      <w:r>
        <w:rPr>
          <w:rFonts w:hint="eastAsia" w:ascii="宋体" w:hAnsi="宋体" w:cs="宋体"/>
          <w:color w:val="auto"/>
          <w:sz w:val="24"/>
          <w:szCs w:val="24"/>
          <w:highlight w:val="none"/>
        </w:rPr>
        <w:t>24</w:t>
      </w:r>
      <w:r>
        <w:rPr>
          <w:rFonts w:hint="eastAsia" w:ascii="宋体" w:hAnsi="宋体" w:cs="宋体"/>
          <w:color w:val="auto"/>
          <w:spacing w:val="-8"/>
          <w:sz w:val="24"/>
          <w:szCs w:val="24"/>
          <w:highlight w:val="none"/>
        </w:rPr>
        <w:t>小时内向监理人发出表示异议的通知，但委托人不得拖延其他无异议报</w:t>
      </w:r>
      <w:r>
        <w:rPr>
          <w:rFonts w:hint="eastAsia" w:ascii="宋体" w:hAnsi="宋体" w:cs="宋体"/>
          <w:color w:val="auto"/>
          <w:sz w:val="24"/>
          <w:szCs w:val="24"/>
          <w:highlight w:val="none"/>
        </w:rPr>
        <w:t>酬项目的支付。</w:t>
      </w:r>
      <w:r>
        <w:rPr>
          <w:rFonts w:hint="eastAsia" w:ascii="宋体" w:hAnsi="宋体" w:cs="宋体"/>
          <w:b/>
          <w:color w:val="auto"/>
          <w:w w:val="99"/>
          <w:sz w:val="24"/>
          <w:szCs w:val="24"/>
          <w:highlight w:val="none"/>
        </w:rPr>
        <w:t xml:space="preserve"> </w:t>
      </w:r>
    </w:p>
    <w:p>
      <w:pPr>
        <w:pStyle w:val="8"/>
        <w:spacing w:line="360" w:lineRule="auto"/>
        <w:ind w:left="0" w:firstLine="482" w:firstLineChars="200"/>
        <w:rPr>
          <w:rFonts w:ascii="宋体" w:hAnsi="宋体" w:cs="宋体"/>
          <w:color w:val="auto"/>
          <w:highlight w:val="none"/>
        </w:rPr>
      </w:pPr>
      <w:r>
        <w:rPr>
          <w:rFonts w:hint="eastAsia" w:ascii="宋体" w:hAnsi="宋体" w:cs="宋体"/>
          <w:color w:val="auto"/>
          <w:highlight w:val="none"/>
        </w:rPr>
        <w:t>其他</w:t>
      </w:r>
      <w:r>
        <w:rPr>
          <w:rFonts w:hint="eastAsia" w:ascii="宋体" w:hAnsi="宋体" w:cs="宋体"/>
          <w:color w:val="auto"/>
          <w:w w:val="99"/>
          <w:highlight w:val="none"/>
        </w:rPr>
        <w:t xml:space="preserve"> </w:t>
      </w:r>
    </w:p>
    <w:p>
      <w:pPr>
        <w:pStyle w:val="12"/>
        <w:spacing w:after="0" w:line="360" w:lineRule="auto"/>
        <w:ind w:firstLine="486" w:firstLineChars="200"/>
        <w:rPr>
          <w:rFonts w:ascii="宋体" w:hAnsi="宋体" w:cs="宋体"/>
          <w:color w:val="auto"/>
          <w:sz w:val="24"/>
          <w:szCs w:val="24"/>
          <w:highlight w:val="none"/>
        </w:rPr>
      </w:pPr>
      <w:r>
        <w:rPr>
          <w:rFonts w:hint="eastAsia" w:ascii="宋体" w:hAnsi="宋体" w:cs="宋体"/>
          <w:b/>
          <w:color w:val="auto"/>
          <w:spacing w:val="1"/>
          <w:sz w:val="24"/>
          <w:szCs w:val="24"/>
          <w:highlight w:val="none"/>
        </w:rPr>
        <w:t xml:space="preserve">第四十三条 </w:t>
      </w:r>
      <w:r>
        <w:rPr>
          <w:rFonts w:hint="eastAsia" w:ascii="宋体" w:hAnsi="宋体" w:cs="宋体"/>
          <w:color w:val="auto"/>
          <w:spacing w:val="-1"/>
          <w:sz w:val="24"/>
          <w:szCs w:val="24"/>
          <w:highlight w:val="none"/>
        </w:rPr>
        <w:t>委托的建设工程监理所必要的监理人员出外考察、材料设备复试，其费用支</w:t>
      </w:r>
      <w:r>
        <w:rPr>
          <w:rFonts w:hint="eastAsia" w:ascii="宋体" w:hAnsi="宋体" w:cs="宋体"/>
          <w:color w:val="auto"/>
          <w:sz w:val="24"/>
          <w:szCs w:val="24"/>
          <w:highlight w:val="none"/>
        </w:rPr>
        <w:t xml:space="preserve">出经委托人同意的，在预算范围内  向委托人实报实销。 </w:t>
      </w:r>
    </w:p>
    <w:p>
      <w:pPr>
        <w:pStyle w:val="12"/>
        <w:spacing w:after="0" w:line="360" w:lineRule="auto"/>
        <w:ind w:firstLine="486" w:firstLineChars="200"/>
        <w:rPr>
          <w:rFonts w:ascii="宋体" w:hAnsi="宋体" w:cs="宋体"/>
          <w:color w:val="auto"/>
          <w:sz w:val="24"/>
          <w:szCs w:val="24"/>
          <w:highlight w:val="none"/>
        </w:rPr>
      </w:pPr>
      <w:r>
        <w:rPr>
          <w:rFonts w:hint="eastAsia" w:ascii="宋体" w:hAnsi="宋体" w:cs="宋体"/>
          <w:b/>
          <w:color w:val="auto"/>
          <w:spacing w:val="1"/>
          <w:sz w:val="24"/>
          <w:szCs w:val="24"/>
          <w:highlight w:val="none"/>
        </w:rPr>
        <w:t xml:space="preserve">第四十四条 </w:t>
      </w:r>
      <w:r>
        <w:rPr>
          <w:rFonts w:hint="eastAsia" w:ascii="宋体" w:hAnsi="宋体" w:cs="宋体"/>
          <w:color w:val="auto"/>
          <w:spacing w:val="-1"/>
          <w:sz w:val="24"/>
          <w:szCs w:val="24"/>
          <w:highlight w:val="none"/>
        </w:rPr>
        <w:t>在监理业务范围内，如需聘用专家咨询或协助，由监理人聘用的，其费用由</w:t>
      </w:r>
      <w:r>
        <w:rPr>
          <w:rFonts w:hint="eastAsia" w:ascii="宋体" w:hAnsi="宋体" w:cs="宋体"/>
          <w:color w:val="auto"/>
          <w:sz w:val="24"/>
          <w:szCs w:val="24"/>
          <w:highlight w:val="none"/>
        </w:rPr>
        <w:t xml:space="preserve">监理人承担；由委托人聘用的，其费用由委托人承担。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第四十五条 </w:t>
      </w:r>
      <w:r>
        <w:rPr>
          <w:rFonts w:hint="eastAsia" w:ascii="宋体" w:hAnsi="宋体" w:cs="宋体"/>
          <w:color w:val="auto"/>
          <w:sz w:val="24"/>
          <w:szCs w:val="24"/>
          <w:highlight w:val="none"/>
        </w:rPr>
        <w:t xml:space="preserve">监理人在监理工作过程中提出的合理化建议，使委托人得到了经济效益，委托人应按专用条款中的约定给予经济奖励。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第四十六条 </w:t>
      </w:r>
      <w:r>
        <w:rPr>
          <w:rFonts w:hint="eastAsia" w:ascii="宋体" w:hAnsi="宋体" w:cs="宋体"/>
          <w:color w:val="auto"/>
          <w:sz w:val="24"/>
          <w:szCs w:val="24"/>
          <w:highlight w:val="none"/>
        </w:rPr>
        <w:t xml:space="preserve">监理人驻地项目监理机构及其职员不得接受监理工程项目承包人的任何报酬或者经济利益。 </w:t>
      </w:r>
    </w:p>
    <w:p>
      <w:pPr>
        <w:pStyle w:val="12"/>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监理人不得参与可能与合同规定的与委托人的利益相冲突的任何活动。 </w:t>
      </w:r>
    </w:p>
    <w:p>
      <w:pPr>
        <w:pStyle w:val="12"/>
        <w:spacing w:after="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第四十七条 </w:t>
      </w:r>
      <w:r>
        <w:rPr>
          <w:rFonts w:hint="eastAsia" w:ascii="宋体" w:hAnsi="宋体" w:cs="宋体"/>
          <w:color w:val="auto"/>
          <w:sz w:val="24"/>
          <w:szCs w:val="24"/>
          <w:highlight w:val="none"/>
        </w:rPr>
        <w:t xml:space="preserve">监理人在监理过程中，不得泄露委托人申明的秘密，监理人亦不得泄露设计人、承包人等提供并申明的秘密。 </w:t>
      </w:r>
    </w:p>
    <w:p>
      <w:pPr>
        <w:pStyle w:val="12"/>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第四十八条 </w:t>
      </w:r>
      <w:r>
        <w:rPr>
          <w:rFonts w:hint="eastAsia" w:ascii="宋体" w:hAnsi="宋体" w:cs="宋体"/>
          <w:color w:val="auto"/>
          <w:sz w:val="24"/>
          <w:szCs w:val="24"/>
          <w:highlight w:val="none"/>
        </w:rPr>
        <w:t>监理人对于由其编制的所有文件拥有版权，委托人仅有权为本合同工程使用或复制此类文件。</w:t>
      </w:r>
      <w:r>
        <w:rPr>
          <w:rFonts w:hint="eastAsia" w:ascii="宋体" w:hAnsi="宋体" w:cs="宋体"/>
          <w:b/>
          <w:color w:val="auto"/>
          <w:w w:val="99"/>
          <w:sz w:val="24"/>
          <w:szCs w:val="24"/>
          <w:highlight w:val="none"/>
        </w:rPr>
        <w:t xml:space="preserve"> </w:t>
      </w:r>
    </w:p>
    <w:p>
      <w:pPr>
        <w:pStyle w:val="8"/>
        <w:spacing w:line="360" w:lineRule="auto"/>
        <w:ind w:left="0" w:firstLine="482" w:firstLineChars="200"/>
        <w:jc w:val="center"/>
        <w:rPr>
          <w:rFonts w:ascii="宋体" w:hAnsi="宋体" w:cs="宋体"/>
          <w:color w:val="auto"/>
          <w:highlight w:val="none"/>
        </w:rPr>
      </w:pPr>
      <w:r>
        <w:rPr>
          <w:rFonts w:hint="eastAsia" w:ascii="宋体" w:hAnsi="宋体" w:cs="宋体"/>
          <w:color w:val="auto"/>
          <w:highlight w:val="none"/>
        </w:rPr>
        <w:t>争议的解决</w:t>
      </w:r>
    </w:p>
    <w:p>
      <w:pPr>
        <w:pStyle w:val="12"/>
        <w:spacing w:after="0" w:line="360" w:lineRule="auto"/>
        <w:ind w:firstLine="494" w:firstLineChars="200"/>
        <w:rPr>
          <w:rFonts w:ascii="宋体" w:hAnsi="宋体" w:cs="宋体"/>
          <w:color w:val="auto"/>
          <w:sz w:val="24"/>
          <w:szCs w:val="24"/>
          <w:highlight w:val="none"/>
        </w:rPr>
      </w:pPr>
      <w:r>
        <w:rPr>
          <w:rFonts w:hint="eastAsia" w:ascii="宋体" w:hAnsi="宋体" w:cs="宋体"/>
          <w:b/>
          <w:color w:val="auto"/>
          <w:spacing w:val="3"/>
          <w:sz w:val="24"/>
          <w:szCs w:val="24"/>
          <w:highlight w:val="none"/>
        </w:rPr>
        <w:t xml:space="preserve">第四十九条 </w:t>
      </w:r>
      <w:r>
        <w:rPr>
          <w:rFonts w:hint="eastAsia" w:ascii="宋体" w:hAnsi="宋体" w:cs="宋体"/>
          <w:color w:val="auto"/>
          <w:spacing w:val="-1"/>
          <w:sz w:val="24"/>
          <w:szCs w:val="24"/>
          <w:highlight w:val="none"/>
        </w:rPr>
        <w:t xml:space="preserve">因违反或终止合同而引起的对对方损失和损害的赔偿，双方应当协商解决， </w:t>
      </w:r>
      <w:r>
        <w:rPr>
          <w:rFonts w:hint="eastAsia" w:ascii="宋体" w:hAnsi="宋体" w:cs="宋体"/>
          <w:color w:val="auto"/>
          <w:spacing w:val="-7"/>
          <w:sz w:val="24"/>
          <w:szCs w:val="24"/>
          <w:highlight w:val="none"/>
        </w:rPr>
        <w:t xml:space="preserve">如未能达成一致，可提交主管部门协调，如仍未能达成一致时，根据双方约定提交仲裁机关仲裁，或向人民法院起诉。 </w:t>
      </w:r>
    </w:p>
    <w:p>
      <w:pPr>
        <w:pStyle w:val="4"/>
        <w:spacing w:before="0" w:after="0"/>
        <w:ind w:firstLine="482" w:firstLineChars="200"/>
        <w:rPr>
          <w:rFonts w:ascii="宋体" w:hAnsi="宋体" w:cs="宋体"/>
          <w:color w:val="auto"/>
          <w:sz w:val="24"/>
          <w:szCs w:val="24"/>
          <w:highlight w:val="none"/>
        </w:rPr>
        <w:sectPr>
          <w:pgSz w:w="12240" w:h="15840"/>
          <w:pgMar w:top="1440" w:right="1803" w:bottom="1440" w:left="1803" w:header="0" w:footer="623" w:gutter="0"/>
          <w:cols w:space="720" w:num="1"/>
        </w:sectPr>
      </w:pPr>
    </w:p>
    <w:p>
      <w:pPr>
        <w:pStyle w:val="6"/>
        <w:spacing w:before="0" w:after="0"/>
        <w:ind w:firstLine="0" w:firstLineChars="0"/>
        <w:jc w:val="center"/>
        <w:rPr>
          <w:rFonts w:ascii="宋体" w:hAnsi="宋体" w:eastAsia="宋体" w:cs="宋体"/>
          <w:color w:val="auto"/>
          <w:sz w:val="24"/>
          <w:szCs w:val="24"/>
          <w:highlight w:val="none"/>
        </w:rPr>
      </w:pPr>
      <w:r>
        <w:rPr>
          <w:rFonts w:hint="eastAsia" w:ascii="宋体" w:hAnsi="宋体" w:eastAsia="宋体" w:cs="宋体"/>
          <w:b/>
          <w:bCs/>
          <w:color w:val="auto"/>
          <w:szCs w:val="28"/>
          <w:highlight w:val="none"/>
        </w:rPr>
        <w:t>第三章 专用条款</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pacing w:val="-1"/>
          <w:sz w:val="24"/>
          <w:szCs w:val="24"/>
          <w:highlight w:val="none"/>
        </w:rPr>
        <w:t>本部分条款的编号与标准条款的编号相对应，是根据本合同工程的实际情况对标准条款中</w:t>
      </w:r>
      <w:r>
        <w:rPr>
          <w:rFonts w:hint="eastAsia" w:ascii="宋体" w:hAnsi="宋体" w:cs="宋体"/>
          <w:color w:val="auto"/>
          <w:sz w:val="24"/>
          <w:szCs w:val="24"/>
          <w:highlight w:val="none"/>
        </w:rPr>
        <w:t xml:space="preserve">相对应条款进行修改、补充或否定，其适用顺序优先于标准条款。本部分条款未阐明的内容，则按标准条款的有关约定执行） </w:t>
      </w:r>
    </w:p>
    <w:p>
      <w:pPr>
        <w:pStyle w:val="12"/>
        <w:spacing w:after="0" w:line="307"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31"/>
        <w:tabs>
          <w:tab w:val="left" w:pos="1310"/>
        </w:tabs>
        <w:spacing w:line="362" w:lineRule="auto"/>
        <w:ind w:firstLine="470"/>
        <w:rPr>
          <w:rFonts w:ascii="宋体" w:hAnsi="宋体" w:cs="宋体"/>
          <w:b/>
          <w:color w:val="auto"/>
          <w:spacing w:val="-3"/>
          <w:highlight w:val="none"/>
        </w:rPr>
      </w:pPr>
      <w:r>
        <w:rPr>
          <w:rFonts w:hint="eastAsia" w:ascii="宋体" w:hAnsi="宋体" w:cs="宋体"/>
          <w:b/>
          <w:bCs/>
          <w:color w:val="auto"/>
          <w:spacing w:val="-3"/>
          <w:sz w:val="24"/>
          <w:szCs w:val="24"/>
          <w:highlight w:val="none"/>
        </w:rPr>
        <w:t>第一条</w:t>
      </w:r>
      <w:r>
        <w:rPr>
          <w:rFonts w:ascii="宋体" w:hAnsi="宋体" w:cs="宋体"/>
          <w:b/>
          <w:bCs/>
          <w:color w:val="auto"/>
          <w:spacing w:val="-3"/>
          <w:sz w:val="24"/>
          <w:szCs w:val="24"/>
          <w:highlight w:val="none"/>
        </w:rPr>
        <w:t xml:space="preserve"> </w:t>
      </w:r>
      <w:r>
        <w:rPr>
          <w:rFonts w:hint="eastAsia" w:ascii="宋体" w:hAnsi="宋体" w:cs="宋体"/>
          <w:b/>
          <w:bCs/>
          <w:color w:val="auto"/>
          <w:spacing w:val="-3"/>
          <w:sz w:val="24"/>
          <w:szCs w:val="24"/>
          <w:highlight w:val="none"/>
        </w:rPr>
        <w:t>词语定义</w:t>
      </w:r>
      <w:r>
        <w:rPr>
          <w:rFonts w:ascii="宋体" w:hAnsi="宋体" w:cs="宋体"/>
          <w:b/>
          <w:bCs/>
          <w:color w:val="auto"/>
          <w:spacing w:val="-3"/>
          <w:sz w:val="24"/>
          <w:szCs w:val="24"/>
          <w:highlight w:val="none"/>
        </w:rPr>
        <w:t xml:space="preserve"> </w:t>
      </w:r>
    </w:p>
    <w:p>
      <w:pPr>
        <w:pStyle w:val="31"/>
        <w:tabs>
          <w:tab w:val="left" w:pos="1310"/>
        </w:tabs>
        <w:spacing w:line="362" w:lineRule="auto"/>
        <w:ind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pacing w:val="-3"/>
          <w:sz w:val="24"/>
          <w:szCs w:val="24"/>
          <w:highlight w:val="none"/>
        </w:rPr>
        <w:t>“本合同工程”</w:t>
      </w:r>
      <w:r>
        <w:rPr>
          <w:rFonts w:hint="eastAsia" w:ascii="宋体" w:hAnsi="宋体" w:cs="宋体"/>
          <w:color w:val="auto"/>
          <w:sz w:val="24"/>
          <w:szCs w:val="24"/>
          <w:highlight w:val="none"/>
        </w:rPr>
        <w:t>指委托人委托监理人监理的工程。</w:t>
      </w:r>
      <w:r>
        <w:rPr>
          <w:rFonts w:ascii="宋体" w:hAnsi="宋体" w:cs="宋体"/>
          <w:color w:val="auto"/>
          <w:sz w:val="24"/>
          <w:szCs w:val="24"/>
          <w:highlight w:val="none"/>
        </w:rPr>
        <w:t xml:space="preserve"> </w:t>
      </w:r>
    </w:p>
    <w:p>
      <w:pPr>
        <w:pStyle w:val="31"/>
        <w:tabs>
          <w:tab w:val="left" w:pos="1310"/>
        </w:tabs>
        <w:spacing w:line="362" w:lineRule="auto"/>
        <w:ind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pacing w:val="-3"/>
          <w:sz w:val="24"/>
          <w:szCs w:val="24"/>
          <w:highlight w:val="none"/>
        </w:rPr>
        <w:t>委托人</w:t>
      </w:r>
      <w:r>
        <w:rPr>
          <w:rFonts w:ascii="宋体" w:hAnsi="宋体" w:cs="宋体"/>
          <w:color w:val="auto"/>
          <w:sz w:val="24"/>
          <w:szCs w:val="24"/>
          <w:highlight w:val="none"/>
        </w:rPr>
        <w:t xml:space="preserve"> </w:t>
      </w:r>
    </w:p>
    <w:p>
      <w:pPr>
        <w:pStyle w:val="31"/>
        <w:tabs>
          <w:tab w:val="left" w:pos="1310"/>
        </w:tabs>
        <w:spacing w:line="362" w:lineRule="auto"/>
        <w:ind w:firstLine="48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）“委托人”在本</w:t>
      </w:r>
      <w:r>
        <w:rPr>
          <w:rFonts w:hint="eastAsia" w:ascii="宋体" w:hAnsi="宋体" w:cs="宋体"/>
          <w:color w:val="auto"/>
          <w:spacing w:val="-3"/>
          <w:sz w:val="24"/>
          <w:szCs w:val="24"/>
          <w:highlight w:val="none"/>
        </w:rPr>
        <w:t>合同</w:t>
      </w:r>
      <w:r>
        <w:rPr>
          <w:rFonts w:hint="eastAsia" w:ascii="宋体" w:hAnsi="宋体" w:cs="宋体"/>
          <w:color w:val="auto"/>
          <w:sz w:val="24"/>
          <w:szCs w:val="24"/>
          <w:highlight w:val="none"/>
        </w:rPr>
        <w:t>中特指</w:t>
      </w:r>
      <w:r>
        <w:rPr>
          <w:rFonts w:hint="eastAsia" w:ascii="宋体" w:hAnsi="宋体" w:cs="宋体"/>
          <w:color w:val="auto"/>
          <w:sz w:val="24"/>
          <w:szCs w:val="24"/>
          <w:highlight w:val="none"/>
          <w:u w:val="single"/>
        </w:rPr>
        <w:t>广州增城区东进供水有限公司</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pStyle w:val="31"/>
        <w:tabs>
          <w:tab w:val="left" w:pos="1310"/>
        </w:tabs>
        <w:spacing w:line="36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2）“合法继承人”指工程竣工验收合格后，委托人依据规定，将工程移交给其承接使用的产权管理单位。在继承生效后，合法继承人享有委托人在本合同中的一切权利及承担相应的义务。</w:t>
      </w:r>
      <w:r>
        <w:rPr>
          <w:rFonts w:hint="eastAsia" w:ascii="宋体" w:hAnsi="宋体" w:cs="宋体"/>
          <w:color w:val="auto"/>
          <w:spacing w:val="-5"/>
          <w:sz w:val="24"/>
          <w:szCs w:val="24"/>
          <w:highlight w:val="none"/>
        </w:rPr>
        <w:t xml:space="preserve"> </w:t>
      </w:r>
    </w:p>
    <w:p>
      <w:pPr>
        <w:pStyle w:val="31"/>
        <w:tabs>
          <w:tab w:val="left" w:pos="1310"/>
        </w:tabs>
        <w:spacing w:line="362" w:lineRule="auto"/>
        <w:ind w:firstLine="468"/>
        <w:rPr>
          <w:rFonts w:ascii="宋体" w:hAnsi="宋体" w:cs="宋体"/>
          <w:color w:val="auto"/>
          <w:sz w:val="24"/>
          <w:szCs w:val="24"/>
          <w:highlight w:val="none"/>
        </w:rPr>
      </w:pPr>
      <w:r>
        <w:rPr>
          <w:rFonts w:hint="eastAsia" w:ascii="宋体" w:hAnsi="宋体" w:cs="宋体"/>
          <w:color w:val="auto"/>
          <w:spacing w:val="-3"/>
          <w:sz w:val="24"/>
          <w:szCs w:val="24"/>
          <w:highlight w:val="none"/>
        </w:rPr>
        <w:t>（14）“监理规划”指在总监理工程师的主持下编制、经监理人技术负责人批准，用来</w:t>
      </w:r>
      <w:r>
        <w:rPr>
          <w:rFonts w:hint="eastAsia" w:ascii="宋体" w:hAnsi="宋体" w:cs="宋体"/>
          <w:color w:val="auto"/>
          <w:spacing w:val="-4"/>
          <w:sz w:val="24"/>
          <w:szCs w:val="24"/>
          <w:highlight w:val="none"/>
        </w:rPr>
        <w:t xml:space="preserve">指导项目监理机构全面开展监理工作的指导性文件。 </w:t>
      </w:r>
    </w:p>
    <w:p>
      <w:pPr>
        <w:pStyle w:val="31"/>
        <w:tabs>
          <w:tab w:val="left" w:pos="1310"/>
        </w:tabs>
        <w:spacing w:line="362" w:lineRule="auto"/>
        <w:ind w:firstLine="464"/>
        <w:rPr>
          <w:rFonts w:ascii="宋体" w:hAnsi="宋体" w:cs="宋体"/>
          <w:color w:val="auto"/>
          <w:sz w:val="24"/>
          <w:szCs w:val="24"/>
          <w:highlight w:val="none"/>
        </w:rPr>
      </w:pPr>
      <w:r>
        <w:rPr>
          <w:rFonts w:hint="eastAsia" w:ascii="宋体" w:hAnsi="宋体" w:cs="宋体"/>
          <w:color w:val="auto"/>
          <w:spacing w:val="-4"/>
          <w:sz w:val="24"/>
          <w:szCs w:val="24"/>
          <w:highlight w:val="none"/>
        </w:rPr>
        <w:t xml:space="preserve">（15）“监理实施细则”指根据监理规划，由专业监理工程师编写，并经总监理工程师批准，针对工程项目中某一专业或某一方面监理工作的操作性文件。 </w:t>
      </w:r>
    </w:p>
    <w:p>
      <w:pPr>
        <w:pStyle w:val="31"/>
        <w:tabs>
          <w:tab w:val="left" w:pos="1310"/>
        </w:tabs>
        <w:spacing w:line="362" w:lineRule="auto"/>
        <w:ind w:firstLine="464"/>
        <w:rPr>
          <w:rFonts w:ascii="宋体" w:hAnsi="宋体" w:cs="宋体"/>
          <w:color w:val="auto"/>
          <w:sz w:val="24"/>
          <w:szCs w:val="24"/>
          <w:highlight w:val="none"/>
        </w:rPr>
      </w:pPr>
      <w:r>
        <w:rPr>
          <w:rFonts w:hint="eastAsia" w:ascii="宋体" w:hAnsi="宋体" w:cs="宋体"/>
          <w:color w:val="auto"/>
          <w:spacing w:val="-4"/>
          <w:sz w:val="24"/>
          <w:szCs w:val="24"/>
          <w:highlight w:val="none"/>
        </w:rPr>
        <w:t xml:space="preserve">（16）“工地例会”指在工程实施过程中针对工程质量、造价、进度、合同管理等事宜定期召开的，由建设有关单位参加的会议。 </w:t>
      </w:r>
    </w:p>
    <w:p>
      <w:pPr>
        <w:pStyle w:val="31"/>
        <w:tabs>
          <w:tab w:val="left" w:pos="1310"/>
        </w:tabs>
        <w:ind w:firstLine="444"/>
        <w:rPr>
          <w:rFonts w:ascii="宋体" w:hAnsi="宋体" w:cs="宋体"/>
          <w:color w:val="auto"/>
          <w:sz w:val="24"/>
          <w:szCs w:val="24"/>
          <w:highlight w:val="none"/>
        </w:rPr>
      </w:pPr>
      <w:r>
        <w:rPr>
          <w:rFonts w:hint="eastAsia" w:ascii="宋体" w:hAnsi="宋体" w:cs="宋体"/>
          <w:color w:val="auto"/>
          <w:spacing w:val="-9"/>
          <w:sz w:val="24"/>
          <w:szCs w:val="24"/>
          <w:highlight w:val="none"/>
        </w:rPr>
        <w:t>（17）“旁站”指在关键部位或关键工序施工过程中，由监理人员在现场进行的监督活动。</w:t>
      </w:r>
      <w:r>
        <w:rPr>
          <w:rFonts w:hint="eastAsia" w:ascii="宋体" w:hAnsi="宋体" w:cs="宋体"/>
          <w:color w:val="auto"/>
          <w:sz w:val="24"/>
          <w:szCs w:val="24"/>
          <w:highlight w:val="none"/>
        </w:rPr>
        <w:t xml:space="preserve"> </w:t>
      </w:r>
    </w:p>
    <w:p>
      <w:pPr>
        <w:pStyle w:val="31"/>
        <w:tabs>
          <w:tab w:val="left" w:pos="1310"/>
        </w:tabs>
        <w:spacing w:line="364" w:lineRule="auto"/>
        <w:ind w:firstLine="452"/>
        <w:rPr>
          <w:rFonts w:ascii="宋体" w:hAnsi="宋体" w:cs="宋体"/>
          <w:color w:val="auto"/>
          <w:sz w:val="24"/>
          <w:szCs w:val="24"/>
          <w:highlight w:val="none"/>
        </w:rPr>
      </w:pPr>
      <w:r>
        <w:rPr>
          <w:rFonts w:hint="eastAsia" w:ascii="宋体" w:hAnsi="宋体" w:cs="宋体"/>
          <w:color w:val="auto"/>
          <w:spacing w:val="-7"/>
          <w:sz w:val="24"/>
          <w:szCs w:val="24"/>
          <w:highlight w:val="none"/>
        </w:rPr>
        <w:t>（18）“节点工期”指在经委托人和总监理工程师批准的施工组织设计或者工程工期网络计划中载明的承包人按总日历天数（包括法定节假日）</w:t>
      </w:r>
      <w:r>
        <w:rPr>
          <w:rFonts w:hint="eastAsia" w:ascii="宋体" w:hAnsi="宋体" w:cs="宋体"/>
          <w:color w:val="auto"/>
          <w:spacing w:val="-8"/>
          <w:sz w:val="24"/>
          <w:szCs w:val="24"/>
          <w:highlight w:val="none"/>
        </w:rPr>
        <w:t>计算完成某一阶段或某一工序的期限。</w:t>
      </w:r>
      <w:r>
        <w:rPr>
          <w:rFonts w:hint="eastAsia" w:ascii="宋体" w:hAnsi="宋体" w:cs="宋体"/>
          <w:color w:val="auto"/>
          <w:sz w:val="24"/>
          <w:szCs w:val="24"/>
          <w:highlight w:val="none"/>
        </w:rPr>
        <w:t xml:space="preserve">按工期网络计划的一般线路和关键线路分为一般节点工期和关键节点工期。 </w:t>
      </w:r>
    </w:p>
    <w:p>
      <w:pPr>
        <w:pStyle w:val="31"/>
        <w:tabs>
          <w:tab w:val="left" w:pos="1310"/>
        </w:tabs>
        <w:spacing w:line="364" w:lineRule="auto"/>
        <w:ind w:firstLine="468"/>
        <w:rPr>
          <w:rFonts w:ascii="宋体" w:hAnsi="宋体" w:cs="宋体"/>
          <w:b/>
          <w:color w:val="auto"/>
          <w:sz w:val="24"/>
          <w:szCs w:val="24"/>
          <w:highlight w:val="none"/>
        </w:rPr>
      </w:pPr>
      <w:r>
        <w:rPr>
          <w:rFonts w:hint="eastAsia" w:ascii="宋体" w:hAnsi="宋体" w:cs="宋体"/>
          <w:color w:val="auto"/>
          <w:spacing w:val="-3"/>
          <w:sz w:val="24"/>
          <w:szCs w:val="24"/>
          <w:highlight w:val="none"/>
        </w:rPr>
        <w:t>（19）“通知”指合同中所提及的各方之间传达意思表示的方式，包括但不限于申请、</w:t>
      </w:r>
      <w:r>
        <w:rPr>
          <w:rFonts w:hint="eastAsia" w:ascii="宋体" w:hAnsi="宋体" w:cs="宋体"/>
          <w:color w:val="auto"/>
          <w:spacing w:val="-11"/>
          <w:sz w:val="24"/>
          <w:szCs w:val="24"/>
          <w:highlight w:val="none"/>
        </w:rPr>
        <w:t>报告、同意、答复、批准、指令、证书、决定，等等。除本合同专用条款有特别约定外，只有</w:t>
      </w:r>
      <w:r>
        <w:rPr>
          <w:rFonts w:hint="eastAsia" w:ascii="宋体" w:hAnsi="宋体" w:cs="宋体"/>
          <w:color w:val="auto"/>
          <w:spacing w:val="-4"/>
          <w:sz w:val="24"/>
          <w:szCs w:val="24"/>
          <w:highlight w:val="none"/>
        </w:rPr>
        <w:t>采用书面形式的通知才有效。</w:t>
      </w:r>
      <w:r>
        <w:rPr>
          <w:rFonts w:hint="eastAsia" w:ascii="宋体" w:hAnsi="宋体" w:cs="宋体"/>
          <w:b/>
          <w:color w:val="auto"/>
          <w:spacing w:val="-4"/>
          <w:w w:val="99"/>
          <w:sz w:val="24"/>
          <w:szCs w:val="24"/>
          <w:highlight w:val="none"/>
        </w:rPr>
        <w:t xml:space="preserve"> </w:t>
      </w:r>
    </w:p>
    <w:p>
      <w:pPr>
        <w:pStyle w:val="31"/>
        <w:tabs>
          <w:tab w:val="left" w:pos="1310"/>
        </w:tabs>
        <w:spacing w:line="362" w:lineRule="auto"/>
        <w:ind w:firstLine="470"/>
        <w:rPr>
          <w:rFonts w:ascii="宋体" w:hAnsi="宋体" w:cs="宋体"/>
          <w:b/>
          <w:color w:val="auto"/>
          <w:spacing w:val="-3"/>
          <w:highlight w:val="none"/>
        </w:rPr>
      </w:pPr>
      <w:r>
        <w:rPr>
          <w:rFonts w:hint="eastAsia" w:ascii="宋体" w:hAnsi="宋体" w:cs="宋体"/>
          <w:b/>
          <w:bCs/>
          <w:color w:val="auto"/>
          <w:spacing w:val="-3"/>
          <w:sz w:val="24"/>
          <w:szCs w:val="24"/>
          <w:highlight w:val="none"/>
        </w:rPr>
        <w:t>第二条</w:t>
      </w:r>
      <w:r>
        <w:rPr>
          <w:rFonts w:ascii="宋体" w:hAnsi="宋体" w:cs="宋体"/>
          <w:b/>
          <w:bCs/>
          <w:color w:val="auto"/>
          <w:spacing w:val="-3"/>
          <w:sz w:val="24"/>
          <w:szCs w:val="24"/>
          <w:highlight w:val="none"/>
        </w:rPr>
        <w:t xml:space="preserve"> </w:t>
      </w:r>
      <w:r>
        <w:rPr>
          <w:rFonts w:hint="eastAsia" w:ascii="宋体" w:hAnsi="宋体" w:cs="宋体"/>
          <w:b/>
          <w:bCs/>
          <w:color w:val="auto"/>
          <w:spacing w:val="-3"/>
          <w:sz w:val="24"/>
          <w:szCs w:val="24"/>
          <w:highlight w:val="none"/>
        </w:rPr>
        <w:t>本合同适用的法律法规及监理依据</w:t>
      </w:r>
      <w:r>
        <w:rPr>
          <w:rFonts w:ascii="宋体" w:hAnsi="宋体" w:cs="宋体"/>
          <w:b/>
          <w:bCs/>
          <w:color w:val="auto"/>
          <w:spacing w:val="-3"/>
          <w:sz w:val="24"/>
          <w:szCs w:val="24"/>
          <w:highlight w:val="none"/>
        </w:rPr>
        <w:t xml:space="preserve">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（一）适用法规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《中华人民共和国民法典》</w:t>
      </w:r>
      <w:r>
        <w:rPr>
          <w:rFonts w:hint="eastAsia" w:ascii="宋体" w:hAnsi="宋体" w:cs="宋体"/>
          <w:color w:val="auto"/>
          <w:sz w:val="24"/>
          <w:szCs w:val="24"/>
          <w:highlight w:val="none"/>
        </w:rPr>
        <w:t xml:space="preserve">、《中华人民共和国建筑法》及其他相关法律；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《建设工程质量管理条例》</w:t>
      </w:r>
      <w:r>
        <w:rPr>
          <w:rFonts w:hint="eastAsia" w:ascii="宋体" w:hAnsi="宋体" w:cs="宋体"/>
          <w:color w:val="auto"/>
          <w:sz w:val="24"/>
          <w:szCs w:val="24"/>
          <w:highlight w:val="none"/>
        </w:rPr>
        <w:t xml:space="preserve">及其它有关的法规、条例、规章；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3、广东省及</w:t>
      </w:r>
      <w:r>
        <w:rPr>
          <w:rFonts w:hint="eastAsia" w:ascii="宋体" w:hAnsi="宋体" w:cs="宋体"/>
          <w:color w:val="auto"/>
          <w:spacing w:val="-3"/>
          <w:sz w:val="24"/>
          <w:szCs w:val="24"/>
          <w:highlight w:val="none"/>
        </w:rPr>
        <w:t>广州市</w:t>
      </w:r>
      <w:r>
        <w:rPr>
          <w:rFonts w:hint="eastAsia" w:ascii="宋体" w:hAnsi="宋体" w:cs="宋体"/>
          <w:color w:val="auto"/>
          <w:sz w:val="24"/>
          <w:szCs w:val="24"/>
          <w:highlight w:val="none"/>
        </w:rPr>
        <w:t xml:space="preserve">有关工程建设管理方面的规定和办法。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（二）监理</w:t>
      </w:r>
      <w:r>
        <w:rPr>
          <w:rFonts w:hint="eastAsia" w:ascii="宋体" w:hAnsi="宋体" w:cs="宋体"/>
          <w:color w:val="auto"/>
          <w:spacing w:val="-3"/>
          <w:sz w:val="24"/>
          <w:szCs w:val="24"/>
          <w:highlight w:val="none"/>
        </w:rPr>
        <w:t>依据</w:t>
      </w:r>
      <w:r>
        <w:rPr>
          <w:rFonts w:hint="eastAsia" w:ascii="宋体" w:hAnsi="宋体" w:cs="宋体"/>
          <w:color w:val="auto"/>
          <w:sz w:val="24"/>
          <w:szCs w:val="24"/>
          <w:highlight w:val="none"/>
        </w:rPr>
        <w:t xml:space="preserve">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1、本委托</w:t>
      </w:r>
      <w:r>
        <w:rPr>
          <w:rFonts w:hint="eastAsia" w:ascii="宋体" w:hAnsi="宋体" w:cs="宋体"/>
          <w:color w:val="auto"/>
          <w:spacing w:val="-3"/>
          <w:sz w:val="24"/>
          <w:szCs w:val="24"/>
          <w:highlight w:val="none"/>
        </w:rPr>
        <w:t>监理</w:t>
      </w:r>
      <w:r>
        <w:rPr>
          <w:rFonts w:hint="eastAsia" w:ascii="宋体" w:hAnsi="宋体" w:cs="宋体"/>
          <w:color w:val="auto"/>
          <w:sz w:val="24"/>
          <w:szCs w:val="24"/>
          <w:highlight w:val="none"/>
        </w:rPr>
        <w:t xml:space="preserve">合同；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2、委托人和承包人签订的合同及补充协议或备忘录；</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15"/>
          <w:sz w:val="24"/>
          <w:szCs w:val="24"/>
          <w:highlight w:val="none"/>
        </w:rPr>
        <w:t>、</w:t>
      </w:r>
      <w:r>
        <w:rPr>
          <w:rFonts w:hint="eastAsia" w:ascii="宋体" w:hAnsi="宋体" w:cs="宋体"/>
          <w:color w:val="auto"/>
          <w:sz w:val="24"/>
          <w:szCs w:val="24"/>
          <w:highlight w:val="none"/>
        </w:rPr>
        <w:t xml:space="preserve">经委托人审查认可的本工程正式的工程地质勘察报告、施工图纸、说明以及会审记录、有关工程洽商的技术、施工洽商记录、设计文件及设计修改和变更文件；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4、省、市现行的有关工程预结算定额和文件；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7"/>
          <w:sz w:val="24"/>
          <w:szCs w:val="24"/>
          <w:highlight w:val="none"/>
        </w:rPr>
        <w:t>、国家和广州地区现行的设计规</w:t>
      </w:r>
      <w:r>
        <w:rPr>
          <w:rFonts w:hint="eastAsia" w:ascii="宋体" w:hAnsi="宋体" w:cs="宋体"/>
          <w:color w:val="auto"/>
          <w:sz w:val="24"/>
          <w:szCs w:val="24"/>
          <w:highlight w:val="none"/>
        </w:rPr>
        <w:t>范（规程）、建筑工程</w:t>
      </w:r>
      <w:r>
        <w:rPr>
          <w:rFonts w:hint="eastAsia" w:ascii="宋体" w:hAnsi="宋体" w:cs="宋体"/>
          <w:color w:val="auto"/>
          <w:spacing w:val="-8"/>
          <w:sz w:val="24"/>
          <w:szCs w:val="24"/>
          <w:highlight w:val="none"/>
        </w:rPr>
        <w:t>质量检验评定标准、施工和验收规</w:t>
      </w:r>
      <w:r>
        <w:rPr>
          <w:rFonts w:hint="eastAsia" w:ascii="宋体" w:hAnsi="宋体" w:cs="宋体"/>
          <w:color w:val="auto"/>
          <w:sz w:val="24"/>
          <w:szCs w:val="24"/>
          <w:highlight w:val="none"/>
        </w:rPr>
        <w:t xml:space="preserve">范；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3"/>
          <w:sz w:val="24"/>
          <w:szCs w:val="24"/>
          <w:highlight w:val="none"/>
        </w:rPr>
        <w:t>《建设工程监理规范》</w:t>
      </w:r>
      <w:r>
        <w:rPr>
          <w:rFonts w:hint="eastAsia" w:ascii="宋体" w:hAnsi="宋体" w:cs="宋体"/>
          <w:color w:val="auto"/>
          <w:sz w:val="24"/>
          <w:szCs w:val="24"/>
          <w:highlight w:val="none"/>
        </w:rPr>
        <w:t xml:space="preserve">（GB50319—2013）；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7、经委托人</w:t>
      </w:r>
      <w:r>
        <w:rPr>
          <w:rFonts w:hint="eastAsia" w:ascii="宋体" w:hAnsi="宋体" w:cs="宋体"/>
          <w:color w:val="auto"/>
          <w:spacing w:val="-3"/>
          <w:sz w:val="24"/>
          <w:szCs w:val="24"/>
          <w:highlight w:val="none"/>
        </w:rPr>
        <w:t>审批</w:t>
      </w:r>
      <w:r>
        <w:rPr>
          <w:rFonts w:hint="eastAsia" w:ascii="宋体" w:hAnsi="宋体" w:cs="宋体"/>
          <w:color w:val="auto"/>
          <w:sz w:val="24"/>
          <w:szCs w:val="24"/>
          <w:highlight w:val="none"/>
        </w:rPr>
        <w:t xml:space="preserve">认可，由监理人编制的监理规划；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8、适用的法律、行政法规及部门规章，与工程有关的规范、标准、规程。</w:t>
      </w:r>
    </w:p>
    <w:p>
      <w:pPr>
        <w:spacing w:line="362"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第四条 监理范围、监理工作内容及监理机构</w:t>
      </w:r>
      <w:r>
        <w:rPr>
          <w:rFonts w:hint="eastAsia" w:ascii="宋体" w:hAnsi="宋体" w:cs="宋体"/>
          <w:color w:val="auto"/>
          <w:sz w:val="24"/>
          <w:szCs w:val="24"/>
          <w:highlight w:val="none"/>
        </w:rPr>
        <w:t xml:space="preserve">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（一）监理范围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1、包括但不限于以下内容：本工程的</w:t>
      </w:r>
      <w:r>
        <w:rPr>
          <w:rFonts w:hint="eastAsia" w:ascii="宋体" w:hAnsi="宋体" w:eastAsia="宋体" w:cs="宋体"/>
          <w:color w:val="auto"/>
          <w:kern w:val="2"/>
          <w:sz w:val="24"/>
          <w:szCs w:val="24"/>
          <w:highlight w:val="none"/>
          <w:u w:val="none"/>
          <w:lang w:val="en-US" w:eastAsia="zh-CN"/>
        </w:rPr>
        <w:t>前期准备阶段（勘察设计报审、勘察设计监理等）</w:t>
      </w:r>
      <w:r>
        <w:rPr>
          <w:rFonts w:hint="eastAsia" w:ascii="宋体" w:hAnsi="宋体" w:cs="宋体"/>
          <w:color w:val="auto"/>
          <w:kern w:val="2"/>
          <w:sz w:val="24"/>
          <w:szCs w:val="24"/>
          <w:highlight w:val="none"/>
          <w:u w:val="none"/>
          <w:lang w:val="en-US" w:eastAsia="zh-CN"/>
        </w:rPr>
        <w:t>、</w:t>
      </w:r>
      <w:r>
        <w:rPr>
          <w:rFonts w:hint="eastAsia" w:ascii="宋体" w:hAnsi="宋体" w:cs="宋体"/>
          <w:color w:val="auto"/>
          <w:sz w:val="24"/>
          <w:szCs w:val="24"/>
          <w:highlight w:val="none"/>
        </w:rPr>
        <w:t xml:space="preserve">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2、除上述工作范围外，监理人还须按委托人的要求提前进场参与开工前期的准备和筹划工作，协助委托人制定工程管理办法、各参建方职责及有关事务性工作等。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3、监理服务期自本合同生效之日起至本合同工程质量缺陷责任期满且本合同工程竣工结算完毕并完成工程竣工档案备案</w:t>
      </w:r>
      <w:r>
        <w:rPr>
          <w:rFonts w:hint="eastAsia" w:ascii="宋体" w:hAnsi="宋体" w:cs="宋体"/>
          <w:color w:val="auto"/>
          <w:spacing w:val="-14"/>
          <w:sz w:val="24"/>
          <w:szCs w:val="24"/>
          <w:highlight w:val="none"/>
        </w:rPr>
        <w:t>后</w:t>
      </w:r>
      <w:r>
        <w:rPr>
          <w:rFonts w:hint="eastAsia" w:ascii="宋体" w:hAnsi="宋体" w:cs="宋体"/>
          <w:color w:val="auto"/>
          <w:sz w:val="24"/>
          <w:szCs w:val="24"/>
          <w:highlight w:val="none"/>
        </w:rPr>
        <w:t xml:space="preserve">经委托人审定满 60 日且双方的责任义务履行完毕时止（以后到日期为准）。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（二）监理人监理工作内容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1、建设工程监理一般规定：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（1）实行总</w:t>
      </w:r>
      <w:r>
        <w:rPr>
          <w:rFonts w:hint="eastAsia" w:ascii="宋体" w:hAnsi="宋体" w:cs="宋体"/>
          <w:color w:val="auto"/>
          <w:spacing w:val="-3"/>
          <w:sz w:val="24"/>
          <w:szCs w:val="24"/>
          <w:highlight w:val="none"/>
        </w:rPr>
        <w:t>监理工程师</w:t>
      </w:r>
      <w:r>
        <w:rPr>
          <w:rFonts w:hint="eastAsia" w:ascii="宋体" w:hAnsi="宋体" w:cs="宋体"/>
          <w:color w:val="auto"/>
          <w:sz w:val="24"/>
          <w:szCs w:val="24"/>
          <w:highlight w:val="none"/>
        </w:rPr>
        <w:t>负责制。</w:t>
      </w:r>
      <w:r>
        <w:rPr>
          <w:rFonts w:ascii="宋体" w:hAnsi="宋体" w:cs="宋体"/>
          <w:color w:val="auto"/>
          <w:sz w:val="24"/>
          <w:szCs w:val="24"/>
          <w:highlight w:val="none"/>
        </w:rPr>
        <w:t xml:space="preserve">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（2）监理人应公正、独立、自主地开展监理工作，维护委托人的合法权益。</w:t>
      </w:r>
    </w:p>
    <w:p>
      <w:pPr>
        <w:pStyle w:val="31"/>
        <w:tabs>
          <w:tab w:val="left" w:pos="1310"/>
        </w:tabs>
        <w:spacing w:line="364" w:lineRule="auto"/>
        <w:ind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（3）监理人除应按《建设工程监理规范》（GB50319-2013）</w:t>
      </w:r>
      <w:r>
        <w:rPr>
          <w:rFonts w:hint="eastAsia" w:ascii="宋体" w:hAnsi="宋体" w:cs="宋体"/>
          <w:color w:val="auto"/>
          <w:spacing w:val="-2"/>
          <w:sz w:val="24"/>
          <w:szCs w:val="24"/>
          <w:highlight w:val="none"/>
        </w:rPr>
        <w:t>履行监理职责外，还应符合</w:t>
      </w:r>
      <w:r>
        <w:rPr>
          <w:rFonts w:hint="eastAsia" w:ascii="宋体" w:hAnsi="宋体" w:cs="宋体"/>
          <w:color w:val="auto"/>
          <w:sz w:val="24"/>
          <w:szCs w:val="24"/>
          <w:highlight w:val="none"/>
        </w:rPr>
        <w:t xml:space="preserve">国家现行的有关强制性标准、规范的规定。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2、负责</w:t>
      </w:r>
      <w:r>
        <w:rPr>
          <w:rFonts w:hint="eastAsia" w:ascii="宋体" w:hAnsi="宋体" w:cs="宋体"/>
          <w:color w:val="auto"/>
          <w:spacing w:val="-3"/>
          <w:sz w:val="24"/>
          <w:szCs w:val="24"/>
          <w:highlight w:val="none"/>
        </w:rPr>
        <w:t>施工准备</w:t>
      </w:r>
      <w:r>
        <w:rPr>
          <w:rFonts w:hint="eastAsia" w:ascii="宋体" w:hAnsi="宋体" w:cs="宋体"/>
          <w:color w:val="auto"/>
          <w:sz w:val="24"/>
          <w:szCs w:val="24"/>
          <w:highlight w:val="none"/>
        </w:rPr>
        <w:t xml:space="preserve">阶段的监理工作，包括但不限于以下内容：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（1）协助</w:t>
      </w:r>
      <w:r>
        <w:rPr>
          <w:rFonts w:hint="eastAsia" w:ascii="宋体" w:hAnsi="宋体" w:cs="宋体"/>
          <w:color w:val="auto"/>
          <w:spacing w:val="-3"/>
          <w:sz w:val="24"/>
          <w:szCs w:val="24"/>
          <w:highlight w:val="none"/>
        </w:rPr>
        <w:t>进行</w:t>
      </w:r>
      <w:r>
        <w:rPr>
          <w:rFonts w:hint="eastAsia" w:ascii="宋体" w:hAnsi="宋体" w:cs="宋体"/>
          <w:color w:val="auto"/>
          <w:sz w:val="24"/>
          <w:szCs w:val="24"/>
          <w:highlight w:val="none"/>
        </w:rPr>
        <w:t>勘察设计报审相关工作；</w:t>
      </w:r>
      <w:r>
        <w:rPr>
          <w:rFonts w:ascii="宋体" w:hAnsi="宋体" w:cs="宋体"/>
          <w:color w:val="auto"/>
          <w:sz w:val="24"/>
          <w:szCs w:val="24"/>
          <w:highlight w:val="none"/>
        </w:rPr>
        <w:t xml:space="preserve"> </w:t>
      </w:r>
    </w:p>
    <w:p>
      <w:pPr>
        <w:pStyle w:val="31"/>
        <w:tabs>
          <w:tab w:val="left" w:pos="1310"/>
        </w:tabs>
        <w:spacing w:line="364" w:lineRule="auto"/>
        <w:ind w:firstLine="476" w:firstLineChars="0"/>
        <w:rPr>
          <w:rFonts w:ascii="宋体" w:hAnsi="宋体" w:cs="宋体"/>
          <w:color w:val="auto"/>
          <w:sz w:val="24"/>
          <w:szCs w:val="24"/>
          <w:highlight w:val="none"/>
        </w:rPr>
      </w:pPr>
      <w:r>
        <w:rPr>
          <w:rFonts w:hint="eastAsia" w:ascii="宋体" w:hAnsi="宋体" w:cs="宋体"/>
          <w:color w:val="auto"/>
          <w:spacing w:val="-1"/>
          <w:sz w:val="24"/>
          <w:szCs w:val="24"/>
          <w:highlight w:val="none"/>
        </w:rPr>
        <w:t>（2）参加</w:t>
      </w:r>
      <w:r>
        <w:rPr>
          <w:rFonts w:hint="eastAsia" w:ascii="宋体" w:hAnsi="宋体" w:cs="宋体"/>
          <w:color w:val="auto"/>
          <w:spacing w:val="-3"/>
          <w:sz w:val="24"/>
          <w:szCs w:val="24"/>
          <w:highlight w:val="none"/>
        </w:rPr>
        <w:t>设计</w:t>
      </w:r>
      <w:r>
        <w:rPr>
          <w:rFonts w:hint="eastAsia" w:ascii="宋体" w:hAnsi="宋体" w:cs="宋体"/>
          <w:color w:val="auto"/>
          <w:spacing w:val="-1"/>
          <w:sz w:val="24"/>
          <w:szCs w:val="24"/>
          <w:highlight w:val="none"/>
        </w:rPr>
        <w:t xml:space="preserve">交底，对图纸中存在的问题通过委托人向设计单位提出书面意见和建议， </w:t>
      </w:r>
      <w:r>
        <w:rPr>
          <w:rFonts w:hint="eastAsia" w:ascii="宋体" w:hAnsi="宋体" w:cs="宋体"/>
          <w:color w:val="auto"/>
          <w:sz w:val="24"/>
          <w:szCs w:val="24"/>
          <w:highlight w:val="none"/>
        </w:rPr>
        <w:t xml:space="preserve">做好图纸会审记录并提交给委托人； </w:t>
      </w:r>
    </w:p>
    <w:p>
      <w:pPr>
        <w:spacing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（3）审查承包人报送的施工组织设计</w:t>
      </w:r>
      <w:r>
        <w:rPr>
          <w:rFonts w:ascii="宋体" w:hAnsi="宋体" w:cs="宋体"/>
          <w:color w:val="auto"/>
          <w:spacing w:val="-1"/>
          <w:sz w:val="24"/>
          <w:szCs w:val="24"/>
          <w:highlight w:val="none"/>
        </w:rPr>
        <w:t>(</w:t>
      </w:r>
      <w:r>
        <w:rPr>
          <w:rFonts w:hint="eastAsia" w:ascii="宋体" w:hAnsi="宋体" w:cs="宋体"/>
          <w:color w:val="auto"/>
          <w:spacing w:val="-1"/>
          <w:sz w:val="24"/>
          <w:szCs w:val="24"/>
          <w:highlight w:val="none"/>
        </w:rPr>
        <w:t>方案</w:t>
      </w:r>
      <w:r>
        <w:rPr>
          <w:rFonts w:ascii="宋体" w:hAnsi="宋体" w:cs="宋体"/>
          <w:color w:val="auto"/>
          <w:spacing w:val="-1"/>
          <w:sz w:val="24"/>
          <w:szCs w:val="24"/>
          <w:highlight w:val="none"/>
        </w:rPr>
        <w:t>)</w:t>
      </w:r>
      <w:r>
        <w:rPr>
          <w:rFonts w:hint="eastAsia" w:ascii="宋体" w:hAnsi="宋体" w:cs="宋体"/>
          <w:color w:val="auto"/>
          <w:spacing w:val="-1"/>
          <w:sz w:val="24"/>
          <w:szCs w:val="24"/>
          <w:highlight w:val="none"/>
        </w:rPr>
        <w:t>；制定监理规划及监理实施细则并报委托人</w:t>
      </w:r>
      <w:r>
        <w:rPr>
          <w:rFonts w:hint="eastAsia" w:ascii="宋体" w:hAnsi="宋体" w:cs="宋体"/>
          <w:color w:val="auto"/>
          <w:sz w:val="24"/>
          <w:szCs w:val="24"/>
          <w:highlight w:val="none"/>
        </w:rPr>
        <w:t>审定。</w:t>
      </w:r>
      <w:r>
        <w:rPr>
          <w:rFonts w:ascii="宋体" w:hAnsi="宋体" w:cs="宋体"/>
          <w:color w:val="auto"/>
          <w:sz w:val="24"/>
          <w:szCs w:val="24"/>
          <w:highlight w:val="none"/>
        </w:rPr>
        <w:t xml:space="preserve"> </w:t>
      </w:r>
    </w:p>
    <w:p>
      <w:pPr>
        <w:spacing w:line="364"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（4）负责协调承包人进场前的现场准备和制定勘察清障方案，为承包人进场制定前期准</w:t>
      </w:r>
      <w:r>
        <w:rPr>
          <w:rFonts w:hint="eastAsia" w:ascii="宋体" w:hAnsi="宋体" w:cs="宋体"/>
          <w:color w:val="auto"/>
          <w:sz w:val="24"/>
          <w:szCs w:val="24"/>
          <w:highlight w:val="none"/>
        </w:rPr>
        <w:t>备方案并组织实施。</w:t>
      </w:r>
      <w:r>
        <w:rPr>
          <w:rFonts w:ascii="宋体" w:hAnsi="宋体" w:cs="宋体"/>
          <w:color w:val="auto"/>
          <w:sz w:val="24"/>
          <w:szCs w:val="24"/>
          <w:highlight w:val="none"/>
        </w:rPr>
        <w:t xml:space="preserve"> </w:t>
      </w:r>
    </w:p>
    <w:p>
      <w:pPr>
        <w:spacing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（5）审查由承包人编制，并经承包人的技术部门审批盖章的施工组织设计、施工方案及</w:t>
      </w:r>
      <w:r>
        <w:rPr>
          <w:rFonts w:hint="eastAsia" w:ascii="宋体" w:hAnsi="宋体" w:cs="宋体"/>
          <w:color w:val="auto"/>
          <w:sz w:val="24"/>
          <w:szCs w:val="24"/>
          <w:highlight w:val="none"/>
        </w:rPr>
        <w:t>施工进度计划，并督促检查实施；协助审批各单项工程开工报告。</w:t>
      </w:r>
      <w:r>
        <w:rPr>
          <w:rFonts w:ascii="宋体" w:hAnsi="宋体" w:cs="宋体"/>
          <w:color w:val="auto"/>
          <w:sz w:val="24"/>
          <w:szCs w:val="24"/>
          <w:highlight w:val="none"/>
        </w:rPr>
        <w:t xml:space="preserve"> </w:t>
      </w:r>
    </w:p>
    <w:p>
      <w:pPr>
        <w:spacing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（6）审查承包人及委托人提供的材料和设备清单及其所列的规格与质量。</w:t>
      </w:r>
      <w:r>
        <w:rPr>
          <w:rFonts w:ascii="宋体" w:hAnsi="宋体" w:cs="宋体"/>
          <w:color w:val="auto"/>
          <w:sz w:val="24"/>
          <w:szCs w:val="24"/>
          <w:highlight w:val="none"/>
        </w:rPr>
        <w:t xml:space="preserve"> </w:t>
      </w:r>
    </w:p>
    <w:p>
      <w:pPr>
        <w:pStyle w:val="31"/>
        <w:numPr>
          <w:ilvl w:val="255"/>
          <w:numId w:val="0"/>
        </w:numPr>
        <w:tabs>
          <w:tab w:val="left" w:pos="1190"/>
        </w:tabs>
        <w:spacing w:line="362" w:lineRule="auto"/>
        <w:ind w:left="480"/>
        <w:rPr>
          <w:rFonts w:ascii="宋体" w:hAnsi="宋体" w:cs="宋体"/>
          <w:color w:val="auto"/>
          <w:sz w:val="24"/>
          <w:szCs w:val="24"/>
          <w:highlight w:val="none"/>
        </w:rPr>
      </w:pPr>
      <w:r>
        <w:rPr>
          <w:rFonts w:hint="eastAsia" w:ascii="宋体" w:hAnsi="宋体" w:cs="宋体"/>
          <w:color w:val="auto"/>
          <w:sz w:val="24"/>
          <w:szCs w:val="24"/>
          <w:highlight w:val="none"/>
        </w:rPr>
        <w:t xml:space="preserve">3、施工阶段的监理工作，包括但不限于以下内容：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督促承包人严格按进度计划实施，检查承包人填报的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总监理工程师应安排监理人员对施工过程进行巡视和检查。对基础工程中土方回填，混凝土灌注桩浇筑，地下连续墙、土钉墙、后浇带及其他结构混凝土、防水混凝土浇筑，卷材防水层细部构造处理，钢结构安装和主体结构工程中梁柱节点钢筋隐蔽过程，混凝土浇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预应力张拉，装配式结构安装，钢结构安装，网架结构安装，索膜安装等，应安排监理员进行旁站，做好旁站监理记录和监理日记，保存旁站监理原始资料。旁站监理人员应当认真履行职责，</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对需要实施旁站监理的关键部位、关键工序在施工现场跟班监督，及时发现和处理旁站监理过程中出现的问题，责令施工企业进行整改。</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（5）根据承包人报送的隐蔽工程报验申请表和自检结果进行现场检查，符合要求予以签认。</w:t>
      </w:r>
      <w:r>
        <w:rPr>
          <w:rFonts w:ascii="宋体" w:hAnsi="宋体" w:cs="宋体"/>
          <w:color w:val="auto"/>
          <w:sz w:val="24"/>
          <w:szCs w:val="24"/>
          <w:highlight w:val="none"/>
        </w:rPr>
        <w:t xml:space="preserve"> </w:t>
      </w:r>
    </w:p>
    <w:p>
      <w:pPr>
        <w:spacing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（6）对工程发生质量、安全事故按相关规定保护好现场并及时处理，向委托人提交有关工程质量、安全事故的书面报告，并应将完整的事故处理记录整理归档。</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（7）根据《广州市建设工程文明施工管理规定》（</w:t>
      </w:r>
      <w:r>
        <w:rPr>
          <w:rFonts w:hint="eastAsia" w:ascii="宋体" w:hAnsi="宋体" w:cs="宋体"/>
          <w:color w:val="auto"/>
          <w:spacing w:val="-5"/>
          <w:sz w:val="24"/>
          <w:szCs w:val="24"/>
          <w:highlight w:val="none"/>
        </w:rPr>
        <w:t>广州市人民政府令第</w:t>
      </w:r>
      <w:r>
        <w:rPr>
          <w:rFonts w:ascii="宋体" w:hAnsi="宋体" w:cs="宋体"/>
          <w:color w:val="auto"/>
          <w:spacing w:val="-5"/>
          <w:sz w:val="24"/>
          <w:szCs w:val="24"/>
          <w:highlight w:val="none"/>
        </w:rPr>
        <w:t xml:space="preserve"> </w:t>
      </w:r>
      <w:r>
        <w:rPr>
          <w:rFonts w:ascii="宋体" w:hAnsi="宋体" w:cs="宋体"/>
          <w:color w:val="auto"/>
          <w:sz w:val="24"/>
          <w:szCs w:val="24"/>
          <w:highlight w:val="none"/>
        </w:rPr>
        <w:t>62</w:t>
      </w:r>
      <w:r>
        <w:rPr>
          <w:rFonts w:ascii="宋体" w:hAnsi="宋体" w:cs="宋体"/>
          <w:color w:val="auto"/>
          <w:spacing w:val="-24"/>
          <w:sz w:val="24"/>
          <w:szCs w:val="24"/>
          <w:highlight w:val="none"/>
        </w:rPr>
        <w:t xml:space="preserve"> </w:t>
      </w:r>
      <w:r>
        <w:rPr>
          <w:rFonts w:hint="eastAsia" w:ascii="宋体" w:hAnsi="宋体" w:cs="宋体"/>
          <w:color w:val="auto"/>
          <w:spacing w:val="-24"/>
          <w:sz w:val="24"/>
          <w:szCs w:val="24"/>
          <w:highlight w:val="none"/>
        </w:rPr>
        <w:t>号</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的规定，</w:t>
      </w:r>
      <w:r>
        <w:rPr>
          <w:rFonts w:hint="eastAsia" w:ascii="宋体" w:hAnsi="宋体" w:cs="宋体"/>
          <w:color w:val="auto"/>
          <w:sz w:val="24"/>
          <w:szCs w:val="24"/>
          <w:highlight w:val="none"/>
        </w:rPr>
        <w:t>监理人在对本工程实施监理的时候，应当履行下列管理责任：</w:t>
      </w:r>
      <w:r>
        <w:rPr>
          <w:rFonts w:ascii="宋体" w:hAnsi="宋体" w:cs="宋体"/>
          <w:color w:val="auto"/>
          <w:sz w:val="24"/>
          <w:szCs w:val="24"/>
          <w:highlight w:val="none"/>
        </w:rPr>
        <w:t xml:space="preserve"> </w:t>
      </w:r>
    </w:p>
    <w:p>
      <w:pPr>
        <w:pStyle w:val="12"/>
        <w:spacing w:after="0" w:line="362" w:lineRule="auto"/>
        <w:ind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①审核施工单位拟定的施工组织设计文件，督促施工单位落实文明施工管理措施，审核确</w:t>
      </w:r>
      <w:r>
        <w:rPr>
          <w:rFonts w:hint="eastAsia" w:ascii="宋体" w:hAnsi="宋体" w:cs="宋体"/>
          <w:color w:val="auto"/>
          <w:sz w:val="24"/>
          <w:szCs w:val="24"/>
          <w:highlight w:val="none"/>
        </w:rPr>
        <w:t xml:space="preserve">认施工单位文明施工措施费用使用情况。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②实施监理过程中，发现施工单位有违反文明施工管理规定的，应当要求施工单位整改； 施工单位拒不整改的，应当要求施工单位暂停施工，并向委托人报告。 </w:t>
      </w:r>
    </w:p>
    <w:p>
      <w:pPr>
        <w:pStyle w:val="12"/>
        <w:spacing w:after="0" w:line="364"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③施工单位违反文明施工管理规定拒不整改或者不停止施工的，及时向工程行政管理部门</w:t>
      </w:r>
      <w:r>
        <w:rPr>
          <w:rFonts w:hint="eastAsia" w:ascii="宋体" w:hAnsi="宋体" w:cs="宋体"/>
          <w:color w:val="auto"/>
          <w:sz w:val="24"/>
          <w:szCs w:val="24"/>
          <w:highlight w:val="none"/>
        </w:rPr>
        <w:t xml:space="preserve">报告。 </w:t>
      </w:r>
    </w:p>
    <w:p>
      <w:pPr>
        <w:spacing w:line="364" w:lineRule="auto"/>
        <w:ind w:firstLine="464"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（8）根据《广州市建筑施工实名制管理办法》</w:t>
      </w:r>
      <w:r>
        <w:rPr>
          <w:rFonts w:hint="eastAsia" w:ascii="宋体" w:hAnsi="宋体" w:cs="宋体"/>
          <w:color w:val="auto"/>
          <w:sz w:val="24"/>
          <w:szCs w:val="24"/>
          <w:highlight w:val="none"/>
        </w:rPr>
        <w:t>（穗建规字</w:t>
      </w:r>
      <w:r>
        <w:rPr>
          <w:rFonts w:ascii="宋体" w:hAnsi="宋体" w:cs="宋体"/>
          <w:color w:val="auto"/>
          <w:sz w:val="24"/>
          <w:szCs w:val="24"/>
          <w:highlight w:val="none"/>
        </w:rPr>
        <w:t>[2020]18</w:t>
      </w:r>
      <w:r>
        <w:rPr>
          <w:rFonts w:ascii="宋体" w:hAnsi="宋体" w:cs="宋体"/>
          <w:color w:val="auto"/>
          <w:spacing w:val="-32"/>
          <w:sz w:val="24"/>
          <w:szCs w:val="24"/>
          <w:highlight w:val="none"/>
        </w:rPr>
        <w:t xml:space="preserve"> </w:t>
      </w:r>
      <w:r>
        <w:rPr>
          <w:rFonts w:hint="eastAsia" w:ascii="宋体" w:hAnsi="宋体" w:cs="宋体"/>
          <w:color w:val="auto"/>
          <w:spacing w:val="-32"/>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pacing w:val="-4"/>
          <w:sz w:val="24"/>
          <w:szCs w:val="24"/>
          <w:highlight w:val="none"/>
        </w:rPr>
        <w:t>和《广州市建设</w:t>
      </w:r>
      <w:r>
        <w:rPr>
          <w:rFonts w:hint="eastAsia" w:ascii="宋体" w:hAnsi="宋体" w:cs="宋体"/>
          <w:color w:val="auto"/>
          <w:spacing w:val="-5"/>
          <w:sz w:val="24"/>
          <w:szCs w:val="24"/>
          <w:highlight w:val="none"/>
        </w:rPr>
        <w:t>领域工人工资支付分账管理实施细则》</w:t>
      </w:r>
      <w:r>
        <w:rPr>
          <w:rFonts w:hint="eastAsia" w:ascii="宋体" w:hAnsi="宋体" w:cs="宋体"/>
          <w:color w:val="auto"/>
          <w:sz w:val="24"/>
          <w:szCs w:val="24"/>
          <w:highlight w:val="none"/>
        </w:rPr>
        <w:t>（穗建规字</w:t>
      </w:r>
      <w:r>
        <w:rPr>
          <w:rFonts w:ascii="宋体" w:hAnsi="宋体" w:cs="宋体"/>
          <w:color w:val="auto"/>
          <w:sz w:val="24"/>
          <w:szCs w:val="24"/>
          <w:highlight w:val="none"/>
        </w:rPr>
        <w:t>[2020]37</w:t>
      </w:r>
      <w:r>
        <w:rPr>
          <w:rFonts w:ascii="宋体" w:hAnsi="宋体" w:cs="宋体"/>
          <w:color w:val="auto"/>
          <w:spacing w:val="-30"/>
          <w:sz w:val="24"/>
          <w:szCs w:val="24"/>
          <w:highlight w:val="none"/>
        </w:rPr>
        <w:t xml:space="preserve"> </w:t>
      </w:r>
      <w:r>
        <w:rPr>
          <w:rFonts w:hint="eastAsia" w:ascii="宋体" w:hAnsi="宋体" w:cs="宋体"/>
          <w:color w:val="auto"/>
          <w:spacing w:val="-30"/>
          <w:sz w:val="24"/>
          <w:szCs w:val="24"/>
          <w:highlight w:val="none"/>
        </w:rPr>
        <w:t>号</w:t>
      </w:r>
      <w:r>
        <w:rPr>
          <w:rFonts w:hint="eastAsia" w:ascii="宋体" w:hAnsi="宋体" w:cs="宋体"/>
          <w:color w:val="auto"/>
          <w:spacing w:val="-39"/>
          <w:sz w:val="24"/>
          <w:szCs w:val="24"/>
          <w:highlight w:val="none"/>
        </w:rPr>
        <w:t>）</w:t>
      </w:r>
      <w:r>
        <w:rPr>
          <w:rFonts w:hint="eastAsia" w:ascii="宋体" w:hAnsi="宋体" w:cs="宋体"/>
          <w:color w:val="auto"/>
          <w:spacing w:val="-7"/>
          <w:sz w:val="24"/>
          <w:szCs w:val="24"/>
          <w:highlight w:val="none"/>
        </w:rPr>
        <w:t>的规定，监理人在对本工程实</w:t>
      </w:r>
      <w:r>
        <w:rPr>
          <w:rFonts w:hint="eastAsia" w:ascii="宋体" w:hAnsi="宋体" w:cs="宋体"/>
          <w:color w:val="auto"/>
          <w:sz w:val="24"/>
          <w:szCs w:val="24"/>
          <w:highlight w:val="none"/>
        </w:rPr>
        <w:t>施监理的时候，应当履行下列管理责任：</w:t>
      </w:r>
      <w:r>
        <w:rPr>
          <w:rFonts w:ascii="宋体" w:hAnsi="宋体" w:cs="宋体"/>
          <w:color w:val="auto"/>
          <w:sz w:val="24"/>
          <w:szCs w:val="24"/>
          <w:highlight w:val="none"/>
        </w:rPr>
        <w:t xml:space="preserve"> </w:t>
      </w:r>
    </w:p>
    <w:p>
      <w:pPr>
        <w:pStyle w:val="12"/>
        <w:spacing w:after="0" w:line="362"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①督促施工单位落实实名制及工人工资分账管理制度，如施工单位未按规定执行的，应当</w:t>
      </w:r>
      <w:r>
        <w:rPr>
          <w:rFonts w:hint="eastAsia" w:ascii="宋体" w:hAnsi="宋体" w:cs="宋体"/>
          <w:color w:val="auto"/>
          <w:sz w:val="24"/>
          <w:szCs w:val="24"/>
          <w:highlight w:val="none"/>
        </w:rPr>
        <w:t xml:space="preserve">要求施工单位整改；施工单位拒不整改的，须立即向委托人及工程行政管理部门报告。 </w:t>
      </w:r>
    </w:p>
    <w:p>
      <w:pPr>
        <w:pStyle w:val="12"/>
        <w:spacing w:after="0" w:line="362" w:lineRule="auto"/>
        <w:ind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②审核施工单位报送的工人考勤、工资结算和支付等管理台账。如工人工资支付账户内资</w:t>
      </w:r>
      <w:r>
        <w:rPr>
          <w:rFonts w:hint="eastAsia" w:ascii="宋体" w:hAnsi="宋体" w:cs="宋体"/>
          <w:color w:val="auto"/>
          <w:spacing w:val="-9"/>
          <w:sz w:val="24"/>
          <w:szCs w:val="24"/>
          <w:highlight w:val="none"/>
        </w:rPr>
        <w:t>金少于应付支付工人工资的，监理人应督促施工单位及时补足，确保工人工资按时足额支付。</w:t>
      </w:r>
      <w:r>
        <w:rPr>
          <w:rFonts w:hint="eastAsia" w:ascii="宋体" w:hAnsi="宋体" w:cs="宋体"/>
          <w:color w:val="auto"/>
          <w:sz w:val="24"/>
          <w:szCs w:val="24"/>
          <w:highlight w:val="none"/>
        </w:rPr>
        <w:t xml:space="preserve"> </w:t>
      </w:r>
    </w:p>
    <w:p>
      <w:pPr>
        <w:pStyle w:val="12"/>
        <w:spacing w:after="0" w:line="364" w:lineRule="auto"/>
        <w:ind w:firstLine="452" w:firstLineChars="200"/>
        <w:rPr>
          <w:rFonts w:ascii="宋体" w:hAnsi="宋体" w:cs="宋体"/>
          <w:color w:val="auto"/>
          <w:spacing w:val="-5"/>
          <w:sz w:val="24"/>
          <w:szCs w:val="24"/>
          <w:highlight w:val="none"/>
        </w:rPr>
      </w:pPr>
      <w:r>
        <w:rPr>
          <w:rFonts w:hint="eastAsia" w:ascii="宋体" w:hAnsi="宋体" w:cs="宋体"/>
          <w:color w:val="auto"/>
          <w:spacing w:val="-7"/>
          <w:sz w:val="24"/>
          <w:szCs w:val="24"/>
          <w:highlight w:val="none"/>
        </w:rPr>
        <w:t>③实施监理过程中，发现施工单位违反上述规定，存在拖欠工人工资、工人工资支付信息</w:t>
      </w:r>
      <w:r>
        <w:rPr>
          <w:rFonts w:hint="eastAsia" w:ascii="宋体" w:hAnsi="宋体" w:cs="宋体"/>
          <w:color w:val="auto"/>
          <w:spacing w:val="-14"/>
          <w:sz w:val="24"/>
          <w:szCs w:val="24"/>
          <w:highlight w:val="none"/>
        </w:rPr>
        <w:t>与实名制登记的用工信息严重不符、约定的工程进度款中的工人工资款比例低于参照比例下限、</w:t>
      </w:r>
      <w:r>
        <w:rPr>
          <w:rFonts w:hint="eastAsia" w:ascii="宋体" w:hAnsi="宋体" w:cs="宋体"/>
          <w:color w:val="auto"/>
          <w:spacing w:val="-5"/>
          <w:sz w:val="24"/>
          <w:szCs w:val="24"/>
          <w:highlight w:val="none"/>
        </w:rPr>
        <w:t>工资支付专用账户发生异常情况等，应当要求施工单位立即整改并及时向委托人报告；如发现</w:t>
      </w:r>
      <w:r>
        <w:rPr>
          <w:rFonts w:hint="eastAsia" w:ascii="宋体" w:hAnsi="宋体" w:cs="宋体"/>
          <w:color w:val="auto"/>
          <w:spacing w:val="-10"/>
          <w:sz w:val="24"/>
          <w:szCs w:val="24"/>
          <w:highlight w:val="none"/>
        </w:rPr>
        <w:t xml:space="preserve">施工单位转包或者违法分包造成拖欠工人工资的，须立即上报委托人及工程行政管理部门严肃处理。 </w:t>
      </w:r>
    </w:p>
    <w:p>
      <w:pPr>
        <w:pStyle w:val="12"/>
        <w:spacing w:after="0" w:line="364"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④审核确认工程完工及施工单位结清工人工资的情况，配合施工单位办理工人工资支付专</w:t>
      </w:r>
      <w:r>
        <w:rPr>
          <w:rFonts w:hint="eastAsia" w:ascii="宋体" w:hAnsi="宋体" w:cs="宋体"/>
          <w:color w:val="auto"/>
          <w:sz w:val="24"/>
          <w:szCs w:val="24"/>
          <w:highlight w:val="none"/>
        </w:rPr>
        <w:t xml:space="preserve">用账户撤销手续。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1"/>
          <w:sz w:val="24"/>
          <w:szCs w:val="24"/>
          <w:highlight w:val="none"/>
        </w:rPr>
        <w:t>、监理人应严格按广州市、增城区有关施工现场余泥渣土排放、建筑垃圾运输管理、市</w:t>
      </w:r>
      <w:r>
        <w:rPr>
          <w:rFonts w:hint="eastAsia" w:ascii="宋体" w:hAnsi="宋体" w:cs="宋体"/>
          <w:color w:val="auto"/>
          <w:spacing w:val="-10"/>
          <w:sz w:val="24"/>
          <w:szCs w:val="24"/>
          <w:highlight w:val="none"/>
        </w:rPr>
        <w:t>容卫生、文明施工管理规定的标准和要求，加强对承包人的监督和检查。监理人必须对施工承</w:t>
      </w:r>
      <w:r>
        <w:rPr>
          <w:rFonts w:hint="eastAsia" w:ascii="宋体" w:hAnsi="宋体" w:cs="宋体"/>
          <w:color w:val="auto"/>
          <w:spacing w:val="-6"/>
          <w:sz w:val="24"/>
          <w:szCs w:val="24"/>
          <w:highlight w:val="none"/>
        </w:rPr>
        <w:t>包人的土石方专业工程分包合同、建筑垃圾运输合同进行备案和跟踪管理。检查发现问题，应</w:t>
      </w:r>
      <w:r>
        <w:rPr>
          <w:rFonts w:hint="eastAsia" w:ascii="宋体" w:hAnsi="宋体" w:cs="宋体"/>
          <w:color w:val="auto"/>
          <w:spacing w:val="-7"/>
          <w:sz w:val="24"/>
          <w:szCs w:val="24"/>
          <w:highlight w:val="none"/>
        </w:rPr>
        <w:t>立即发出监理通知予以制止。监理人还必须审查余泥渣土、建筑垃圾运输单位的资质，发现问</w:t>
      </w:r>
      <w:r>
        <w:rPr>
          <w:rFonts w:hint="eastAsia" w:ascii="宋体" w:hAnsi="宋体" w:cs="宋体"/>
          <w:color w:val="auto"/>
          <w:spacing w:val="-9"/>
          <w:sz w:val="24"/>
          <w:szCs w:val="24"/>
          <w:highlight w:val="none"/>
        </w:rPr>
        <w:t>题立即予以制止，并同时向委托人、建设主管部门、余泥渣土排放主管部门及城管部门一并报</w:t>
      </w:r>
      <w:r>
        <w:rPr>
          <w:rFonts w:hint="eastAsia" w:ascii="宋体" w:hAnsi="宋体" w:cs="宋体"/>
          <w:color w:val="auto"/>
          <w:spacing w:val="-10"/>
          <w:sz w:val="24"/>
          <w:szCs w:val="24"/>
          <w:highlight w:val="none"/>
        </w:rPr>
        <w:t>告。监理人对每台出泥运输车应当现场做好出泥登记和双方签名确认，以供城市管理部门和建</w:t>
      </w:r>
      <w:r>
        <w:rPr>
          <w:rFonts w:hint="eastAsia" w:ascii="宋体" w:hAnsi="宋体" w:cs="宋体"/>
          <w:color w:val="auto"/>
          <w:sz w:val="24"/>
          <w:szCs w:val="24"/>
          <w:highlight w:val="none"/>
        </w:rPr>
        <w:t xml:space="preserve">设主管部门随时抽查。 </w:t>
      </w:r>
    </w:p>
    <w:p>
      <w:pPr>
        <w:pStyle w:val="12"/>
        <w:spacing w:after="0" w:line="36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 xml:space="preserve">、工程造价控制工作，包括但不限于以下工作：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）监理人应每日统计承包人实际完成的工程量，并记录于监理日志中。</w:t>
      </w:r>
      <w:r>
        <w:rPr>
          <w:rFonts w:ascii="宋体" w:hAnsi="宋体" w:cs="宋体"/>
          <w:color w:val="auto"/>
          <w:sz w:val="24"/>
          <w:szCs w:val="24"/>
          <w:highlight w:val="none"/>
        </w:rPr>
        <w:t xml:space="preserve"> </w:t>
      </w:r>
    </w:p>
    <w:p>
      <w:pPr>
        <w:pStyle w:val="12"/>
        <w:spacing w:after="0"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ascii="宋体" w:hAnsi="宋体" w:cs="宋体"/>
          <w:color w:val="auto"/>
          <w:spacing w:val="-1"/>
          <w:sz w:val="24"/>
          <w:szCs w:val="24"/>
          <w:highlight w:val="none"/>
        </w:rPr>
        <w:t>2</w:t>
      </w:r>
      <w:r>
        <w:rPr>
          <w:rFonts w:hint="eastAsia" w:ascii="宋体" w:hAnsi="宋体" w:cs="宋体"/>
          <w:color w:val="auto"/>
          <w:spacing w:val="-1"/>
          <w:sz w:val="24"/>
          <w:szCs w:val="24"/>
          <w:highlight w:val="none"/>
        </w:rPr>
        <w:t>）复核当期验收合格的工程量，按施工合同的约定审核承包人提交的工程量清单和工</w:t>
      </w:r>
      <w:r>
        <w:rPr>
          <w:rFonts w:hint="eastAsia" w:ascii="宋体" w:hAnsi="宋体" w:cs="宋体"/>
          <w:color w:val="auto"/>
          <w:sz w:val="24"/>
          <w:szCs w:val="24"/>
          <w:highlight w:val="none"/>
        </w:rPr>
        <w:t>程款支付申请表并报委托人。</w:t>
      </w:r>
      <w:r>
        <w:rPr>
          <w:rFonts w:ascii="宋体" w:hAnsi="宋体" w:cs="宋体"/>
          <w:color w:val="auto"/>
          <w:sz w:val="24"/>
          <w:szCs w:val="24"/>
          <w:highlight w:val="none"/>
        </w:rPr>
        <w:t xml:space="preserve"> </w:t>
      </w:r>
    </w:p>
    <w:p>
      <w:pPr>
        <w:pStyle w:val="12"/>
        <w:spacing w:after="0"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ascii="宋体" w:hAnsi="宋体" w:cs="宋体"/>
          <w:color w:val="auto"/>
          <w:spacing w:val="-1"/>
          <w:sz w:val="24"/>
          <w:szCs w:val="24"/>
          <w:highlight w:val="none"/>
        </w:rPr>
        <w:t>3</w:t>
      </w:r>
      <w:r>
        <w:rPr>
          <w:rFonts w:hint="eastAsia" w:ascii="宋体" w:hAnsi="宋体" w:cs="宋体"/>
          <w:color w:val="auto"/>
          <w:spacing w:val="-1"/>
          <w:sz w:val="24"/>
          <w:szCs w:val="24"/>
          <w:highlight w:val="none"/>
        </w:rPr>
        <w:t>）依据施工合同有关条款、施工图，对工程项目造价目标进行风险分析，并应制定防</w:t>
      </w:r>
      <w:r>
        <w:rPr>
          <w:rFonts w:hint="eastAsia" w:ascii="宋体" w:hAnsi="宋体" w:cs="宋体"/>
          <w:color w:val="auto"/>
          <w:sz w:val="24"/>
          <w:szCs w:val="24"/>
          <w:highlight w:val="none"/>
        </w:rPr>
        <w:t>范性对策。</w:t>
      </w:r>
      <w:r>
        <w:rPr>
          <w:rFonts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6、按区及委托人关于工程变更、签证管理的相关规定，从造价、项目的功能要求、质量和工期等方面对</w:t>
      </w:r>
      <w:r>
        <w:rPr>
          <w:rFonts w:hint="eastAsia" w:ascii="宋体" w:hAnsi="宋体" w:cs="宋体"/>
          <w:color w:val="auto"/>
          <w:spacing w:val="-3"/>
          <w:sz w:val="24"/>
          <w:szCs w:val="24"/>
          <w:highlight w:val="none"/>
        </w:rPr>
        <w:t>工程</w:t>
      </w:r>
      <w:r>
        <w:rPr>
          <w:rFonts w:hint="eastAsia" w:ascii="宋体" w:hAnsi="宋体" w:cs="宋体"/>
          <w:color w:val="auto"/>
          <w:sz w:val="24"/>
          <w:szCs w:val="24"/>
          <w:highlight w:val="none"/>
        </w:rPr>
        <w:t xml:space="preserve">变更、签证进行审核，并督促相关单位按经审定的变更、签证实施。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7、按监理规范向委托人提交监理月报，内容包括但不限于本月工程实施概况，工程计量及支付情况，工程变更、签证及索赔情况，监理工作小结等。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8、工程收尾阶段，包括竣工收尾、验收、整改、移交、结算、考核评价等方面的监理工作，包括但不限于以下内容：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（1）依据有关法律、法规、工程建设强制性标准、设计文件及施工合同，对承包人报送的竣工资料进行审查，并对工程质量进行竣工预验收。对存在的问题，应及时要求承包人整改。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1"/>
          <w:sz w:val="24"/>
          <w:szCs w:val="24"/>
          <w:highlight w:val="none"/>
        </w:rPr>
        <w:t>参加由委托人组织的竣工验收。对验收中提出的整改问题，督促承包人进行整改。</w:t>
      </w:r>
      <w:r>
        <w:rPr>
          <w:rFonts w:hint="eastAsia" w:ascii="宋体" w:hAnsi="宋体" w:cs="宋体"/>
          <w:color w:val="auto"/>
          <w:sz w:val="24"/>
          <w:szCs w:val="24"/>
          <w:highlight w:val="none"/>
        </w:rPr>
        <w:t>工程质量符合</w:t>
      </w:r>
      <w:r>
        <w:rPr>
          <w:rFonts w:hint="eastAsia" w:ascii="宋体" w:hAnsi="宋体" w:cs="宋体"/>
          <w:color w:val="auto"/>
          <w:spacing w:val="-3"/>
          <w:sz w:val="24"/>
          <w:szCs w:val="24"/>
          <w:highlight w:val="none"/>
        </w:rPr>
        <w:t>要求</w:t>
      </w:r>
      <w:r>
        <w:rPr>
          <w:rFonts w:hint="eastAsia" w:ascii="宋体" w:hAnsi="宋体" w:cs="宋体"/>
          <w:color w:val="auto"/>
          <w:sz w:val="24"/>
          <w:szCs w:val="24"/>
          <w:highlight w:val="none"/>
        </w:rPr>
        <w:t xml:space="preserve">，会同参加验收的各方签署竣工验收报告。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1"/>
          <w:sz w:val="24"/>
          <w:szCs w:val="24"/>
          <w:highlight w:val="none"/>
        </w:rPr>
        <w:t>根据有关文件规定，督促检查承包人完成各阶段及全套竣工图的工作和整理各种必</w:t>
      </w:r>
      <w:r>
        <w:rPr>
          <w:rFonts w:hint="eastAsia" w:ascii="宋体" w:hAnsi="宋体" w:cs="宋体"/>
          <w:color w:val="auto"/>
          <w:sz w:val="24"/>
          <w:szCs w:val="24"/>
          <w:highlight w:val="none"/>
        </w:rPr>
        <w:t xml:space="preserve">须归档的资料，办理工程竣工档案备案手续。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（4）负责对项目实施过程中形成的声像材料按区及委托人有关规定进行归档整理后，移交</w:t>
      </w:r>
      <w:r>
        <w:rPr>
          <w:rFonts w:hint="eastAsia" w:ascii="宋体" w:hAnsi="宋体" w:cs="宋体"/>
          <w:color w:val="auto"/>
          <w:spacing w:val="-3"/>
          <w:sz w:val="24"/>
          <w:szCs w:val="24"/>
          <w:highlight w:val="none"/>
        </w:rPr>
        <w:t>委托人</w:t>
      </w:r>
      <w:r>
        <w:rPr>
          <w:rFonts w:hint="eastAsia"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（5）组织或协助委托人、承包人和产权管理单位对项目进行移交。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（6）按委托人</w:t>
      </w:r>
      <w:r>
        <w:rPr>
          <w:rFonts w:hint="eastAsia" w:ascii="宋体" w:hAnsi="宋体" w:cs="宋体"/>
          <w:color w:val="auto"/>
          <w:spacing w:val="-3"/>
          <w:sz w:val="24"/>
          <w:szCs w:val="24"/>
          <w:highlight w:val="none"/>
        </w:rPr>
        <w:t>施工</w:t>
      </w:r>
      <w:r>
        <w:rPr>
          <w:rFonts w:hint="eastAsia" w:ascii="宋体" w:hAnsi="宋体" w:cs="宋体"/>
          <w:color w:val="auto"/>
          <w:sz w:val="24"/>
          <w:szCs w:val="24"/>
          <w:highlight w:val="none"/>
        </w:rPr>
        <w:t>类合同结算编审要求及区有关规定组织编制及办理建设项目工程结算</w:t>
      </w:r>
      <w:r>
        <w:rPr>
          <w:rFonts w:hint="eastAsia" w:ascii="宋体" w:hAnsi="宋体" w:cs="宋体"/>
          <w:color w:val="auto"/>
          <w:spacing w:val="-8"/>
          <w:sz w:val="24"/>
          <w:szCs w:val="24"/>
          <w:highlight w:val="none"/>
        </w:rPr>
        <w:t xml:space="preserve">。工程完工经验收通过后 </w:t>
      </w:r>
      <w:r>
        <w:rPr>
          <w:rFonts w:hint="eastAsia" w:ascii="宋体" w:hAnsi="宋体" w:cs="宋体"/>
          <w:color w:val="auto"/>
          <w:sz w:val="24"/>
          <w:szCs w:val="24"/>
          <w:highlight w:val="none"/>
        </w:rPr>
        <w:t>45</w:t>
      </w:r>
      <w:r>
        <w:rPr>
          <w:rFonts w:hint="eastAsia" w:ascii="宋体" w:hAnsi="宋体" w:cs="宋体"/>
          <w:color w:val="auto"/>
          <w:spacing w:val="-7"/>
          <w:sz w:val="24"/>
          <w:szCs w:val="24"/>
          <w:highlight w:val="none"/>
        </w:rPr>
        <w:t xml:space="preserve"> 天内督促承包人提交工程结算文件，并在收到承包人结算资料后十</w:t>
      </w:r>
      <w:r>
        <w:rPr>
          <w:rFonts w:hint="eastAsia" w:ascii="宋体" w:hAnsi="宋体" w:cs="宋体"/>
          <w:color w:val="auto"/>
          <w:spacing w:val="-3"/>
          <w:sz w:val="24"/>
          <w:szCs w:val="24"/>
          <w:highlight w:val="none"/>
        </w:rPr>
        <w:t>日内</w:t>
      </w:r>
      <w:r>
        <w:rPr>
          <w:rFonts w:hint="eastAsia" w:ascii="宋体" w:hAnsi="宋体" w:cs="宋体"/>
          <w:color w:val="auto"/>
          <w:spacing w:val="-7"/>
          <w:sz w:val="24"/>
          <w:szCs w:val="24"/>
          <w:highlight w:val="none"/>
        </w:rPr>
        <w:t xml:space="preserve">，根据相关合同约定完成审核并提交委托人。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pacing w:val="-1"/>
          <w:sz w:val="24"/>
          <w:szCs w:val="24"/>
          <w:highlight w:val="none"/>
        </w:rPr>
        <w:t>、督促承包人在工程保修期内对工程进行保修，对委托人提出的工程质量缺陷进行检查</w:t>
      </w:r>
      <w:r>
        <w:rPr>
          <w:rFonts w:hint="eastAsia" w:ascii="宋体" w:hAnsi="宋体" w:cs="宋体"/>
          <w:color w:val="auto"/>
          <w:spacing w:val="-10"/>
          <w:sz w:val="24"/>
          <w:szCs w:val="24"/>
          <w:highlight w:val="none"/>
        </w:rPr>
        <w:t>和记录，对承包人进行修复的工程质量进行验收，合格后予以签认。对工程质量缺陷原因进行</w:t>
      </w:r>
      <w:r>
        <w:rPr>
          <w:rFonts w:hint="eastAsia" w:ascii="宋体" w:hAnsi="宋体" w:cs="宋体"/>
          <w:color w:val="auto"/>
          <w:spacing w:val="-7"/>
          <w:sz w:val="24"/>
          <w:szCs w:val="24"/>
          <w:highlight w:val="none"/>
        </w:rPr>
        <w:t>调查分析并确定责任归属，对非承包人原因造成的工程质量缺陷，监理人员应核实修复工程的</w:t>
      </w:r>
      <w:r>
        <w:rPr>
          <w:rFonts w:hint="eastAsia" w:ascii="宋体" w:hAnsi="宋体" w:cs="宋体"/>
          <w:color w:val="auto"/>
          <w:sz w:val="24"/>
          <w:szCs w:val="24"/>
          <w:highlight w:val="none"/>
        </w:rPr>
        <w:t xml:space="preserve">费用和签署工程款支付证书，并报委托人。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pacing w:val="-11"/>
          <w:sz w:val="24"/>
          <w:szCs w:val="24"/>
          <w:highlight w:val="none"/>
        </w:rPr>
        <w:t>、在整个监理服务期内，定期组织、主持现场工程协调会议，负责协调各承包人的配合</w:t>
      </w:r>
      <w:r>
        <w:rPr>
          <w:rFonts w:hint="eastAsia" w:ascii="宋体" w:hAnsi="宋体" w:cs="宋体"/>
          <w:color w:val="auto"/>
          <w:sz w:val="24"/>
          <w:szCs w:val="24"/>
          <w:highlight w:val="none"/>
        </w:rPr>
        <w:t>穿插施工</w:t>
      </w:r>
      <w:r>
        <w:rPr>
          <w:rFonts w:hint="eastAsia" w:ascii="宋体" w:hAnsi="宋体" w:cs="宋体"/>
          <w:color w:val="auto"/>
          <w:spacing w:val="-3"/>
          <w:sz w:val="24"/>
          <w:szCs w:val="24"/>
          <w:highlight w:val="none"/>
        </w:rPr>
        <w:t>安排</w:t>
      </w:r>
      <w:r>
        <w:rPr>
          <w:rFonts w:hint="eastAsia"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11、其他为完成本工程建设所需要的监理工作。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（三）项目监理机构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 xml:space="preserve">、本项目监理机构配备情况见附件 </w:t>
      </w:r>
      <w:r>
        <w:rPr>
          <w:rFonts w:hint="eastAsia" w:ascii="宋体" w:hAnsi="宋体" w:cs="宋体"/>
          <w:color w:val="auto"/>
          <w:sz w:val="24"/>
          <w:szCs w:val="24"/>
          <w:highlight w:val="none"/>
        </w:rPr>
        <w:t>1</w:t>
      </w:r>
      <w:r>
        <w:rPr>
          <w:rFonts w:hint="eastAsia" w:ascii="宋体" w:hAnsi="宋体" w:cs="宋体"/>
          <w:color w:val="auto"/>
          <w:spacing w:val="-8"/>
          <w:sz w:val="24"/>
          <w:szCs w:val="24"/>
          <w:highlight w:val="none"/>
        </w:rPr>
        <w:t xml:space="preserve"> 附表，监理人必须按该附表在施工现场建立项目监</w:t>
      </w:r>
      <w:r>
        <w:rPr>
          <w:rFonts w:hint="eastAsia" w:ascii="宋体" w:hAnsi="宋体" w:cs="宋体"/>
          <w:color w:val="auto"/>
          <w:spacing w:val="-10"/>
          <w:sz w:val="24"/>
          <w:szCs w:val="24"/>
          <w:highlight w:val="none"/>
        </w:rPr>
        <w:t>理机构，监理人</w:t>
      </w:r>
      <w:r>
        <w:rPr>
          <w:rFonts w:hint="eastAsia" w:ascii="宋体" w:hAnsi="宋体" w:cs="宋体"/>
          <w:color w:val="auto"/>
          <w:spacing w:val="-8"/>
          <w:sz w:val="24"/>
          <w:szCs w:val="24"/>
          <w:highlight w:val="none"/>
        </w:rPr>
        <w:t>应向委托人提供监理机</w:t>
      </w:r>
      <w:r>
        <w:rPr>
          <w:rFonts w:hint="eastAsia" w:ascii="宋体" w:hAnsi="宋体" w:cs="宋体"/>
          <w:color w:val="auto"/>
          <w:spacing w:val="-10"/>
          <w:sz w:val="24"/>
          <w:szCs w:val="24"/>
          <w:highlight w:val="none"/>
        </w:rPr>
        <w:t>构配备人员的资质证书。项目监理机构在完成委托监理</w:t>
      </w:r>
      <w:r>
        <w:rPr>
          <w:rFonts w:hint="eastAsia" w:ascii="宋体" w:hAnsi="宋体" w:cs="宋体"/>
          <w:color w:val="auto"/>
          <w:sz w:val="24"/>
          <w:szCs w:val="24"/>
          <w:highlight w:val="none"/>
        </w:rPr>
        <w:t xml:space="preserve">合同约定的监理工作后可撤离施工现场。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1"/>
          <w:sz w:val="24"/>
          <w:szCs w:val="24"/>
          <w:highlight w:val="none"/>
        </w:rPr>
        <w:t>、监理人必须在委托人发出进场通知后，按委托人具体的要求进场，并立即开始履行本合同约定的服务。监理人必须按照其投标文件和监理规划的承诺，足额、按时派驻监理人员（见合同附件 1）和投入设备，并且本合同履行期间，监理人不得派驻本项目的监理人员参与委托人作为业主的其他建设项目。</w:t>
      </w:r>
      <w:r>
        <w:rPr>
          <w:rFonts w:hint="eastAsia"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3、监理人派驻到</w:t>
      </w:r>
      <w:r>
        <w:rPr>
          <w:rFonts w:hint="eastAsia" w:ascii="宋体" w:hAnsi="宋体" w:cs="宋体"/>
          <w:color w:val="auto"/>
          <w:spacing w:val="-3"/>
          <w:sz w:val="24"/>
          <w:szCs w:val="24"/>
          <w:highlight w:val="none"/>
        </w:rPr>
        <w:t>项目</w:t>
      </w:r>
      <w:r>
        <w:rPr>
          <w:rFonts w:hint="eastAsia" w:ascii="宋体" w:hAnsi="宋体" w:cs="宋体"/>
          <w:color w:val="auto"/>
          <w:sz w:val="24"/>
          <w:szCs w:val="24"/>
          <w:highlight w:val="none"/>
        </w:rPr>
        <w:t xml:space="preserve">所在地履行监理服务的监理人员，必须常驻现场。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4、监理人应对其驻地监理人员的人身安全承担责任。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5、监理人在工程监理全过程中必须派驻至少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名注册造价工程师提供驻场服务，并按委托人要求建立施工阶段工程预算台账。 </w:t>
      </w:r>
    </w:p>
    <w:p>
      <w:pPr>
        <w:pStyle w:val="12"/>
        <w:spacing w:after="0" w:line="362" w:lineRule="auto"/>
        <w:ind w:firstLine="482" w:firstLineChars="200"/>
        <w:rPr>
          <w:rFonts w:ascii="宋体" w:hAnsi="宋体" w:cs="宋体"/>
          <w:b/>
          <w:color w:val="auto"/>
          <w:highlight w:val="none"/>
        </w:rPr>
      </w:pPr>
      <w:r>
        <w:rPr>
          <w:rFonts w:hint="eastAsia" w:ascii="宋体" w:hAnsi="宋体" w:cs="宋体"/>
          <w:b/>
          <w:bCs/>
          <w:color w:val="auto"/>
          <w:sz w:val="24"/>
          <w:szCs w:val="24"/>
          <w:highlight w:val="none"/>
        </w:rPr>
        <w:t>第五条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监理人应履行的义务包括但不限于：</w:t>
      </w:r>
      <w:r>
        <w:rPr>
          <w:rFonts w:ascii="宋体" w:hAnsi="宋体" w:cs="宋体"/>
          <w:b/>
          <w:bCs/>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pacing w:val="-48"/>
          <w:sz w:val="24"/>
          <w:szCs w:val="24"/>
          <w:highlight w:val="none"/>
        </w:rPr>
        <w:t>）</w:t>
      </w:r>
      <w:r>
        <w:rPr>
          <w:rFonts w:hint="eastAsia" w:ascii="宋体" w:hAnsi="宋体" w:cs="宋体"/>
          <w:color w:val="auto"/>
          <w:spacing w:val="-3"/>
          <w:sz w:val="24"/>
          <w:szCs w:val="24"/>
          <w:highlight w:val="none"/>
        </w:rPr>
        <w:t>监理人在本合同履行期内必须接受委托人有关项目管理机构职权规定的约束，监理</w:t>
      </w:r>
      <w:r>
        <w:rPr>
          <w:rFonts w:hint="eastAsia" w:ascii="宋体" w:hAnsi="宋体" w:cs="宋体"/>
          <w:color w:val="auto"/>
          <w:spacing w:val="-6"/>
          <w:sz w:val="24"/>
          <w:szCs w:val="24"/>
          <w:highlight w:val="none"/>
        </w:rPr>
        <w:t>人应对提供本项目服务的人员经常进行检查、指导、管理及后方支持，对他们完成的服务承担</w:t>
      </w:r>
      <w:r>
        <w:rPr>
          <w:rFonts w:hint="eastAsia" w:ascii="宋体" w:hAnsi="宋体" w:cs="宋体"/>
          <w:color w:val="auto"/>
          <w:sz w:val="24"/>
          <w:szCs w:val="24"/>
          <w:highlight w:val="none"/>
        </w:rPr>
        <w:t>责任。</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pacing w:val="-3"/>
          <w:sz w:val="24"/>
          <w:szCs w:val="24"/>
          <w:highlight w:val="none"/>
        </w:rPr>
        <w:t xml:space="preserve">监理人必须在收到图纸、勘察资料等技术文件后 14 日内向委托人提供针对本合同工程特点、重点、难点的《监理规划》、相应的《监理实施细则》，经委托人审核批准后执行。如委托人要求监理人对《监理规划》等进行调整，监理人必须在 3 个日内完成调整并报委托人审批。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（三）委托人委托监理人承担本合同工程范围内的协调管理工作，包括工程施工的进场、勘察、设计、退场、质量、进度及其他相关工作。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pacing w:val="-24"/>
          <w:sz w:val="24"/>
          <w:szCs w:val="24"/>
          <w:highlight w:val="none"/>
        </w:rPr>
        <w:t>）</w:t>
      </w:r>
      <w:r>
        <w:rPr>
          <w:rFonts w:hint="eastAsia" w:ascii="宋体" w:hAnsi="宋体" w:cs="宋体"/>
          <w:color w:val="auto"/>
          <w:spacing w:val="-6"/>
          <w:sz w:val="24"/>
          <w:szCs w:val="24"/>
          <w:highlight w:val="none"/>
        </w:rPr>
        <w:t>监理工程师在本合同工程中，对工程质量、投资与进度进行控制，办理合同约定的</w:t>
      </w:r>
      <w:r>
        <w:rPr>
          <w:rFonts w:hint="eastAsia" w:ascii="宋体" w:hAnsi="宋体" w:cs="宋体"/>
          <w:color w:val="auto"/>
          <w:sz w:val="24"/>
          <w:szCs w:val="24"/>
          <w:highlight w:val="none"/>
        </w:rPr>
        <w:t xml:space="preserve">各项手续。监理工程师在办理各种手续时，不得扣压和延误。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任何情况下（包括合同另有约定的情况），凡涉及工程变更、工程量增减、议价、索赔、处理事故、改变工期、改变技术标准、改变重大施工方案等及一切有关费用的问题，均需与委托人共同商定，报委托人批准。</w:t>
      </w:r>
      <w:r>
        <w:rPr>
          <w:rFonts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pacing w:val="-32"/>
          <w:sz w:val="24"/>
          <w:szCs w:val="24"/>
          <w:highlight w:val="none"/>
        </w:rPr>
        <w:t>）</w:t>
      </w:r>
      <w:r>
        <w:rPr>
          <w:rFonts w:hint="eastAsia" w:ascii="宋体" w:hAnsi="宋体" w:cs="宋体"/>
          <w:color w:val="auto"/>
          <w:spacing w:val="-5"/>
          <w:sz w:val="24"/>
          <w:szCs w:val="24"/>
          <w:highlight w:val="none"/>
        </w:rPr>
        <w:t>监理人必须</w:t>
      </w:r>
      <w:r>
        <w:rPr>
          <w:rFonts w:hint="eastAsia" w:ascii="宋体" w:hAnsi="宋体" w:cs="宋体"/>
          <w:color w:val="auto"/>
          <w:sz w:val="24"/>
          <w:szCs w:val="24"/>
          <w:highlight w:val="none"/>
        </w:rPr>
        <w:t>不折不扣</w:t>
      </w:r>
      <w:r>
        <w:rPr>
          <w:rFonts w:hint="eastAsia" w:ascii="宋体" w:hAnsi="宋体" w:cs="宋体"/>
          <w:color w:val="auto"/>
          <w:spacing w:val="-5"/>
          <w:sz w:val="24"/>
          <w:szCs w:val="24"/>
          <w:highlight w:val="none"/>
        </w:rPr>
        <w:t>地履行其工作职责，不得推托或耽误，不能有不履行或不完全</w:t>
      </w:r>
      <w:r>
        <w:rPr>
          <w:rFonts w:hint="eastAsia" w:ascii="宋体" w:hAnsi="宋体" w:cs="宋体"/>
          <w:color w:val="auto"/>
          <w:sz w:val="24"/>
          <w:szCs w:val="24"/>
          <w:highlight w:val="none"/>
        </w:rPr>
        <w:t xml:space="preserve">履行职务的行为，否则，必须承担相应的违约责任。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（七）对于委托人及承包人书面提交并要求作出决定的事宜，监理人应在 3 日内作出书面答复，对影响施工现场进度的事项应在24小时内作出具有明确处理意见的书面答复。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（八）监理人应在监理服务期内，办理派驻到项目所在地人员人身和自备财产的有关保险。如果监理人不办理上述保险，则应对有关风险及后果自负其责。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（九）在本合同履行期内，监理人应在现场保留工作所用的图纸、报告及记录监理工作的相关文件。工程竣工后，应当按照档案管理规定将监理有关文件归档。 </w:t>
      </w:r>
    </w:p>
    <w:p>
      <w:pPr>
        <w:pStyle w:val="12"/>
        <w:spacing w:after="0" w:line="362"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第九条 </w:t>
      </w:r>
      <w:r>
        <w:rPr>
          <w:rFonts w:hint="eastAsia" w:ascii="宋体" w:hAnsi="宋体" w:cs="宋体"/>
          <w:color w:val="auto"/>
          <w:sz w:val="24"/>
          <w:szCs w:val="24"/>
          <w:highlight w:val="none"/>
        </w:rPr>
        <w:t>委托人根据需要有权指令监理人协调部分外部关系，委托人对此无需支付任何报酬。</w:t>
      </w:r>
      <w:r>
        <w:rPr>
          <w:rFonts w:hint="eastAsia" w:ascii="宋体" w:hAnsi="宋体" w:cs="宋体"/>
          <w:b/>
          <w:color w:val="auto"/>
          <w:w w:val="99"/>
          <w:sz w:val="24"/>
          <w:szCs w:val="24"/>
          <w:highlight w:val="none"/>
        </w:rPr>
        <w:t xml:space="preserve"> </w:t>
      </w:r>
    </w:p>
    <w:p>
      <w:pPr>
        <w:pStyle w:val="12"/>
        <w:spacing w:after="0" w:line="362"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第十五条 </w:t>
      </w:r>
      <w:r>
        <w:rPr>
          <w:rFonts w:hint="eastAsia" w:ascii="宋体" w:hAnsi="宋体" w:cs="宋体"/>
          <w:color w:val="auto"/>
          <w:sz w:val="24"/>
          <w:szCs w:val="24"/>
          <w:highlight w:val="none"/>
        </w:rPr>
        <w:t>双方同意不执行标准条款第十五条，委托人可协调施工承包单位为监理人提供必要的办公用房。</w:t>
      </w:r>
      <w:r>
        <w:rPr>
          <w:rFonts w:hint="eastAsia" w:ascii="宋体" w:hAnsi="宋体" w:cs="宋体"/>
          <w:b/>
          <w:color w:val="auto"/>
          <w:w w:val="99"/>
          <w:sz w:val="24"/>
          <w:szCs w:val="24"/>
          <w:highlight w:val="none"/>
        </w:rPr>
        <w:t xml:space="preserve"> </w:t>
      </w:r>
    </w:p>
    <w:p>
      <w:pPr>
        <w:pStyle w:val="12"/>
        <w:spacing w:after="0" w:line="362"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第十六条 </w:t>
      </w:r>
      <w:r>
        <w:rPr>
          <w:rFonts w:hint="eastAsia" w:ascii="宋体" w:hAnsi="宋体" w:cs="宋体"/>
          <w:color w:val="auto"/>
          <w:sz w:val="24"/>
          <w:szCs w:val="24"/>
          <w:highlight w:val="none"/>
        </w:rPr>
        <w:t>在监理服务期间，委托人不免费向监理人提供工作人员和服务人员。</w:t>
      </w:r>
    </w:p>
    <w:p>
      <w:pPr>
        <w:spacing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第二十六条 </w:t>
      </w:r>
      <w:r>
        <w:rPr>
          <w:rFonts w:hint="eastAsia" w:ascii="宋体" w:hAnsi="宋体" w:cs="宋体"/>
          <w:color w:val="auto"/>
          <w:sz w:val="24"/>
          <w:szCs w:val="24"/>
          <w:highlight w:val="none"/>
        </w:rPr>
        <w:t xml:space="preserve">监理人的违约责任：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pacing w:val="-32"/>
          <w:sz w:val="24"/>
          <w:szCs w:val="24"/>
          <w:highlight w:val="none"/>
        </w:rPr>
        <w:t>）</w:t>
      </w:r>
      <w:r>
        <w:rPr>
          <w:rFonts w:hint="eastAsia" w:ascii="宋体" w:hAnsi="宋体" w:cs="宋体"/>
          <w:color w:val="auto"/>
          <w:spacing w:val="-5"/>
          <w:sz w:val="24"/>
          <w:szCs w:val="24"/>
          <w:highlight w:val="none"/>
        </w:rPr>
        <w:t>监理人违反本合同的约定，应当按约定向委托人承担相应的违约责任，承担违约责</w:t>
      </w:r>
      <w:r>
        <w:rPr>
          <w:rFonts w:hint="eastAsia" w:ascii="宋体" w:hAnsi="宋体" w:cs="宋体"/>
          <w:color w:val="auto"/>
          <w:sz w:val="24"/>
          <w:szCs w:val="24"/>
          <w:highlight w:val="none"/>
        </w:rPr>
        <w:t xml:space="preserve">任方式包括但不限于：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书面警告。监理人未履行或未适当履行义务或不执行委托人（含主管人员）的指令时，委托人有权向监理人发出书面警告，每一次书面警告，监理人必须向委托人支付违约金5000元。监理人必须在书面警告限定的时间内履行义务，否则应承担 1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2、一般违约责任。监理人按本合同约定应当承担一般违约责任时，每一次必须向委托人支付违约金 1 万元。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3、严重违约责任。监理人按本合同约定应当承担严重违约责任时，每一次必须向委托人支付违约金2万元/次。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16"/>
          <w:sz w:val="24"/>
          <w:szCs w:val="24"/>
          <w:highlight w:val="none"/>
        </w:rPr>
        <w:t>、部</w:t>
      </w:r>
      <w:r>
        <w:rPr>
          <w:rFonts w:hint="eastAsia" w:ascii="宋体" w:hAnsi="宋体" w:cs="宋体"/>
          <w:color w:val="auto"/>
          <w:sz w:val="24"/>
          <w:szCs w:val="24"/>
          <w:highlight w:val="none"/>
        </w:rPr>
        <w:t>分解除合同。委</w:t>
      </w:r>
      <w:r>
        <w:rPr>
          <w:rFonts w:hint="eastAsia" w:ascii="宋体" w:hAnsi="宋体" w:cs="宋体"/>
          <w:color w:val="auto"/>
          <w:spacing w:val="-16"/>
          <w:sz w:val="24"/>
          <w:szCs w:val="24"/>
          <w:highlight w:val="none"/>
        </w:rPr>
        <w:t>托人向监理人发</w:t>
      </w:r>
      <w:r>
        <w:rPr>
          <w:rFonts w:hint="eastAsia" w:ascii="宋体" w:hAnsi="宋体" w:cs="宋体"/>
          <w:color w:val="auto"/>
          <w:sz w:val="24"/>
          <w:szCs w:val="24"/>
          <w:highlight w:val="none"/>
        </w:rPr>
        <w:t>出部分解除合同的通知后，本合同部分解除即生效， 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单位承接该部</w:t>
      </w:r>
      <w:r>
        <w:rPr>
          <w:rFonts w:hint="eastAsia" w:ascii="宋体" w:hAnsi="宋体" w:cs="宋体"/>
          <w:color w:val="auto"/>
          <w:spacing w:val="-10"/>
          <w:sz w:val="24"/>
          <w:szCs w:val="24"/>
          <w:highlight w:val="none"/>
        </w:rPr>
        <w:t>分</w:t>
      </w:r>
      <w:r>
        <w:rPr>
          <w:rFonts w:hint="eastAsia" w:ascii="宋体" w:hAnsi="宋体" w:cs="宋体"/>
          <w:color w:val="auto"/>
          <w:sz w:val="24"/>
          <w:szCs w:val="24"/>
          <w:highlight w:val="none"/>
        </w:rPr>
        <w:t xml:space="preserve">工程，监理人不得影响或阻碍新的监理单位办理进场手续和相关工作。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1"/>
          <w:sz w:val="24"/>
          <w:szCs w:val="24"/>
          <w:highlight w:val="none"/>
        </w:rPr>
        <w:t>、赔偿损失。因监理人违约或工作失误给委托人造成损失的，监理人应向委托人赔偿与</w:t>
      </w:r>
      <w:r>
        <w:rPr>
          <w:rFonts w:hint="eastAsia" w:ascii="宋体" w:hAnsi="宋体" w:cs="宋体"/>
          <w:color w:val="auto"/>
          <w:spacing w:val="-6"/>
          <w:sz w:val="24"/>
          <w:szCs w:val="24"/>
          <w:highlight w:val="none"/>
        </w:rPr>
        <w:t>违约有直接或</w:t>
      </w:r>
      <w:r>
        <w:rPr>
          <w:rFonts w:hint="eastAsia" w:ascii="宋体" w:hAnsi="宋体" w:cs="宋体"/>
          <w:color w:val="auto"/>
          <w:sz w:val="24"/>
          <w:szCs w:val="24"/>
          <w:highlight w:val="none"/>
        </w:rPr>
        <w:t>间接</w:t>
      </w:r>
      <w:r>
        <w:rPr>
          <w:rFonts w:hint="eastAsia" w:ascii="宋体" w:hAnsi="宋体" w:cs="宋体"/>
          <w:color w:val="auto"/>
          <w:spacing w:val="-6"/>
          <w:sz w:val="24"/>
          <w:szCs w:val="24"/>
          <w:highlight w:val="none"/>
        </w:rPr>
        <w:t>因果关系的所有损失，损失赔偿总额不应超过监理报酬总额，但如果损失是</w:t>
      </w:r>
      <w:r>
        <w:rPr>
          <w:rFonts w:hint="eastAsia" w:ascii="宋体" w:hAnsi="宋体" w:cs="宋体"/>
          <w:color w:val="auto"/>
          <w:sz w:val="24"/>
          <w:szCs w:val="24"/>
          <w:highlight w:val="none"/>
        </w:rPr>
        <w:t xml:space="preserve">由于监理人故意或严重渎职造成的，监理人应承担全部损失的赔偿责任。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7、每三次书面警告则另行追加一次一般违约责任，每三次一般违约责任则另行追加一次严重违约责任。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pacing w:val="-1"/>
          <w:sz w:val="24"/>
          <w:szCs w:val="24"/>
          <w:highlight w:val="none"/>
        </w:rPr>
        <w:t>、当监理人无正当理由不履行或没有充分履行其相关承诺及监理义务时，除应承担前述</w:t>
      </w:r>
      <w:r>
        <w:rPr>
          <w:rFonts w:hint="eastAsia" w:ascii="宋体" w:hAnsi="宋体" w:cs="宋体"/>
          <w:color w:val="auto"/>
          <w:spacing w:val="-9"/>
          <w:sz w:val="24"/>
          <w:szCs w:val="24"/>
          <w:highlight w:val="none"/>
        </w:rPr>
        <w:t>约定的违约责任外，委托人还可给予其通报批评、作不良记录及报相关主管部门处理等处罚措</w:t>
      </w:r>
      <w:r>
        <w:rPr>
          <w:rFonts w:hint="eastAsia" w:ascii="宋体" w:hAnsi="宋体" w:cs="宋体"/>
          <w:color w:val="auto"/>
          <w:sz w:val="24"/>
          <w:szCs w:val="24"/>
          <w:highlight w:val="none"/>
        </w:rPr>
        <w:t xml:space="preserve">施。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pacing w:val="-1"/>
          <w:sz w:val="24"/>
          <w:szCs w:val="24"/>
          <w:highlight w:val="none"/>
        </w:rPr>
        <w:t>、当监理人出现严重违约时，委托人可给予其通报批评；当累计出现三次严重违约或者</w:t>
      </w:r>
      <w:r>
        <w:rPr>
          <w:rFonts w:hint="eastAsia" w:ascii="宋体" w:hAnsi="宋体" w:cs="宋体"/>
          <w:color w:val="auto"/>
          <w:spacing w:val="-6"/>
          <w:sz w:val="24"/>
          <w:szCs w:val="24"/>
          <w:highlight w:val="none"/>
        </w:rPr>
        <w:t>关键节点工期滞后</w:t>
      </w:r>
      <w:r>
        <w:rPr>
          <w:rFonts w:hint="eastAsia" w:ascii="宋体" w:hAnsi="宋体" w:cs="宋体"/>
          <w:color w:val="auto"/>
          <w:sz w:val="24"/>
          <w:szCs w:val="24"/>
          <w:highlight w:val="none"/>
        </w:rPr>
        <w:t>20</w:t>
      </w:r>
      <w:r>
        <w:rPr>
          <w:rFonts w:hint="eastAsia" w:ascii="宋体" w:hAnsi="宋体" w:cs="宋体"/>
          <w:color w:val="auto"/>
          <w:spacing w:val="-8"/>
          <w:sz w:val="24"/>
          <w:szCs w:val="24"/>
          <w:highlight w:val="none"/>
        </w:rPr>
        <w:t>天以上时，委托人有权要求监理人的法定代表人或其授权代表人驻场办</w:t>
      </w:r>
      <w:r>
        <w:rPr>
          <w:rFonts w:hint="eastAsia" w:ascii="宋体" w:hAnsi="宋体" w:cs="宋体"/>
          <w:color w:val="auto"/>
          <w:spacing w:val="-10"/>
          <w:sz w:val="24"/>
          <w:szCs w:val="24"/>
          <w:highlight w:val="none"/>
        </w:rPr>
        <w:t>公，直至其监理工作达到委托人满意时方可离场；累计出现四次严重违约时，委托人可给予其</w:t>
      </w:r>
      <w:r>
        <w:rPr>
          <w:rFonts w:hint="eastAsia" w:ascii="宋体" w:hAnsi="宋体" w:cs="宋体"/>
          <w:color w:val="auto"/>
          <w:spacing w:val="-6"/>
          <w:sz w:val="24"/>
          <w:szCs w:val="24"/>
          <w:highlight w:val="none"/>
        </w:rPr>
        <w:t>不良记录并报相关主管部门处理等处罚措施；累计出现五次严重违约时，委托人可单方面解除</w:t>
      </w:r>
      <w:r>
        <w:rPr>
          <w:rFonts w:hint="eastAsia" w:ascii="宋体" w:hAnsi="宋体" w:cs="宋体"/>
          <w:color w:val="auto"/>
          <w:sz w:val="24"/>
          <w:szCs w:val="24"/>
          <w:highlight w:val="none"/>
        </w:rPr>
        <w:t>合同。</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（二）监理组织管理方面的违约责任：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1"/>
          <w:sz w:val="24"/>
          <w:szCs w:val="24"/>
          <w:highlight w:val="none"/>
        </w:rPr>
        <w:t>、监理人承诺主动支持委托人的工作，对委托人的指令和书面通知，若无正当理由又未</w:t>
      </w:r>
      <w:r>
        <w:rPr>
          <w:rFonts w:hint="eastAsia" w:ascii="宋体" w:hAnsi="宋体" w:cs="宋体"/>
          <w:color w:val="auto"/>
          <w:spacing w:val="-10"/>
          <w:sz w:val="24"/>
          <w:szCs w:val="24"/>
          <w:highlight w:val="none"/>
        </w:rPr>
        <w:t>提前报告、得到认可，而公开或变相拒不执行的，第一次按一般违约处理；第二次以后，每违</w:t>
      </w:r>
      <w:r>
        <w:rPr>
          <w:rFonts w:hint="eastAsia" w:ascii="宋体" w:hAnsi="宋体" w:cs="宋体"/>
          <w:color w:val="auto"/>
          <w:sz w:val="24"/>
          <w:szCs w:val="24"/>
          <w:highlight w:val="none"/>
        </w:rPr>
        <w:t xml:space="preserve">反一次按一次严重违约处理；同时，监理人还要承担由此造成的一切经济损失。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2、监理人不遵守委托人所制订的各项制度、规定的，由监理人按所触犯制度、规定的有关规定承担违约责任。所触犯制度、规定没有明确规定的，由委托人参照前款的约定处理。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pacing w:val="-32"/>
          <w:sz w:val="24"/>
          <w:szCs w:val="24"/>
          <w:highlight w:val="none"/>
        </w:rPr>
        <w:t>）</w:t>
      </w:r>
      <w:r>
        <w:rPr>
          <w:rFonts w:hint="eastAsia" w:ascii="宋体" w:hAnsi="宋体" w:cs="宋体"/>
          <w:color w:val="auto"/>
          <w:spacing w:val="-4"/>
          <w:sz w:val="24"/>
          <w:szCs w:val="24"/>
          <w:highlight w:val="none"/>
        </w:rPr>
        <w:t>监理人未按报价文件及承诺建立组织架构、派驻监理人员和投入设备，监理人必须按委托人要求限期整改，并承担相应违约责任。派驻监理人员需提供身份证复印件（原件核对） 以及</w:t>
      </w:r>
      <w:r>
        <w:rPr>
          <w:rFonts w:hint="eastAsia" w:ascii="宋体" w:hAnsi="宋体" w:cs="宋体"/>
          <w:color w:val="auto"/>
          <w:sz w:val="24"/>
          <w:szCs w:val="24"/>
          <w:highlight w:val="none"/>
        </w:rPr>
        <w:t xml:space="preserve">其属监理人单位员工的社保证明原件，报委托人审核、备案。具体约定为：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 xml:space="preserve">、在委托人书面通知监理人进场后 </w:t>
      </w:r>
      <w:r>
        <w:rPr>
          <w:rFonts w:hint="eastAsia" w:ascii="宋体" w:hAnsi="宋体" w:cs="宋体"/>
          <w:color w:val="auto"/>
          <w:sz w:val="24"/>
          <w:szCs w:val="24"/>
          <w:highlight w:val="none"/>
        </w:rPr>
        <w:t>3</w:t>
      </w:r>
      <w:r>
        <w:rPr>
          <w:rFonts w:hint="eastAsia" w:ascii="宋体" w:hAnsi="宋体" w:cs="宋体"/>
          <w:color w:val="auto"/>
          <w:spacing w:val="-7"/>
          <w:sz w:val="24"/>
          <w:szCs w:val="24"/>
          <w:highlight w:val="none"/>
        </w:rPr>
        <w:t xml:space="preserve"> 日内，监理人的主要监理人员</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指报价文件承诺的</w:t>
      </w:r>
      <w:r>
        <w:rPr>
          <w:rFonts w:hint="eastAsia" w:ascii="宋体" w:hAnsi="宋体" w:cs="宋体"/>
          <w:color w:val="auto"/>
          <w:spacing w:val="-5"/>
          <w:sz w:val="24"/>
          <w:szCs w:val="24"/>
          <w:highlight w:val="none"/>
        </w:rPr>
        <w:t>监理机构所配备的项目总监、专业监理工程师、造价工程师及同等级别以上的监理人员</w:t>
      </w:r>
      <w:r>
        <w:rPr>
          <w:rFonts w:hint="eastAsia" w:ascii="宋体" w:hAnsi="宋体" w:cs="宋体"/>
          <w:color w:val="auto"/>
          <w:spacing w:val="-32"/>
          <w:sz w:val="24"/>
          <w:szCs w:val="24"/>
          <w:highlight w:val="none"/>
        </w:rPr>
        <w:t>）</w:t>
      </w:r>
      <w:r>
        <w:rPr>
          <w:rFonts w:hint="eastAsia" w:ascii="宋体" w:hAnsi="宋体" w:cs="宋体"/>
          <w:color w:val="auto"/>
          <w:spacing w:val="-7"/>
          <w:sz w:val="24"/>
          <w:szCs w:val="24"/>
          <w:highlight w:val="none"/>
        </w:rPr>
        <w:t>未能</w:t>
      </w:r>
      <w:r>
        <w:rPr>
          <w:rFonts w:hint="eastAsia" w:ascii="宋体" w:hAnsi="宋体" w:cs="宋体"/>
          <w:color w:val="auto"/>
          <w:spacing w:val="-10"/>
          <w:sz w:val="24"/>
          <w:szCs w:val="24"/>
          <w:highlight w:val="none"/>
        </w:rPr>
        <w:t>足额到位，或到位后又离开，造成该岗位空缺。委托人一旦发现，将要求监理人做出书面解释</w:t>
      </w:r>
      <w:r>
        <w:rPr>
          <w:rFonts w:hint="eastAsia" w:ascii="宋体" w:hAnsi="宋体" w:cs="宋体"/>
          <w:color w:val="auto"/>
          <w:spacing w:val="-7"/>
          <w:sz w:val="24"/>
          <w:szCs w:val="24"/>
          <w:highlight w:val="none"/>
        </w:rPr>
        <w:t xml:space="preserve">并保证人员限期到位，同时监理人每岗位承担一般违约责任 </w:t>
      </w:r>
      <w:r>
        <w:rPr>
          <w:rFonts w:hint="eastAsia" w:ascii="宋体" w:hAnsi="宋体" w:cs="宋体"/>
          <w:color w:val="auto"/>
          <w:sz w:val="24"/>
          <w:szCs w:val="24"/>
          <w:highlight w:val="none"/>
        </w:rPr>
        <w:t>1</w:t>
      </w:r>
      <w:r>
        <w:rPr>
          <w:rFonts w:hint="eastAsia" w:ascii="宋体" w:hAnsi="宋体" w:cs="宋体"/>
          <w:color w:val="auto"/>
          <w:spacing w:val="-14"/>
          <w:sz w:val="24"/>
          <w:szCs w:val="24"/>
          <w:highlight w:val="none"/>
        </w:rPr>
        <w:t xml:space="preserve"> 次；如果监理人拒不配合，未在</w:t>
      </w:r>
      <w:r>
        <w:rPr>
          <w:rFonts w:hint="eastAsia" w:ascii="宋体" w:hAnsi="宋体" w:cs="宋体"/>
          <w:color w:val="auto"/>
          <w:spacing w:val="-5"/>
          <w:sz w:val="24"/>
          <w:szCs w:val="24"/>
          <w:highlight w:val="none"/>
        </w:rPr>
        <w:t xml:space="preserve">委托人提出限期改正的期限内进行整改的，监理人应每岗位承担严重违约责任 </w:t>
      </w:r>
      <w:r>
        <w:rPr>
          <w:rFonts w:hint="eastAsia" w:ascii="宋体" w:hAnsi="宋体" w:cs="宋体"/>
          <w:color w:val="auto"/>
          <w:sz w:val="24"/>
          <w:szCs w:val="24"/>
          <w:highlight w:val="none"/>
        </w:rPr>
        <w:t>1</w:t>
      </w:r>
      <w:r>
        <w:rPr>
          <w:rFonts w:hint="eastAsia" w:ascii="宋体" w:hAnsi="宋体" w:cs="宋体"/>
          <w:color w:val="auto"/>
          <w:spacing w:val="-19"/>
          <w:sz w:val="24"/>
          <w:szCs w:val="24"/>
          <w:highlight w:val="none"/>
        </w:rPr>
        <w:t xml:space="preserve"> 次，直至解除</w:t>
      </w:r>
      <w:r>
        <w:rPr>
          <w:rFonts w:hint="eastAsia" w:ascii="宋体" w:hAnsi="宋体" w:cs="宋体"/>
          <w:color w:val="auto"/>
          <w:sz w:val="24"/>
          <w:szCs w:val="24"/>
          <w:highlight w:val="none"/>
        </w:rPr>
        <w:t xml:space="preserve">合同，并要求监理人承担由此造成的委托人损失。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1"/>
          <w:sz w:val="24"/>
          <w:szCs w:val="24"/>
          <w:highlight w:val="none"/>
        </w:rPr>
        <w:t>、监理人必须严格按照报价文件与承诺投入监理人员，调换监理人员必须提出书面报告</w:t>
      </w:r>
      <w:r>
        <w:rPr>
          <w:rFonts w:hint="eastAsia" w:ascii="宋体" w:hAnsi="宋体" w:cs="宋体"/>
          <w:color w:val="auto"/>
          <w:spacing w:val="-7"/>
          <w:sz w:val="24"/>
          <w:szCs w:val="24"/>
          <w:highlight w:val="none"/>
        </w:rPr>
        <w:t>并附上替代人员的所有证明资料，经委托人审核书面同意后才能调换，但监理人仍需按下表承</w:t>
      </w:r>
      <w:r>
        <w:rPr>
          <w:rFonts w:hint="eastAsia" w:ascii="宋体" w:hAnsi="宋体" w:cs="宋体"/>
          <w:color w:val="auto"/>
          <w:spacing w:val="-4"/>
          <w:sz w:val="24"/>
          <w:szCs w:val="24"/>
          <w:highlight w:val="none"/>
        </w:rPr>
        <w:t>担对应减半违约责任(被调换监理人员因重大疾病不能胜任工作除外)。委托人要求监理人更换</w:t>
      </w:r>
      <w:r>
        <w:rPr>
          <w:rFonts w:hint="eastAsia" w:ascii="宋体" w:hAnsi="宋体" w:cs="宋体"/>
          <w:color w:val="auto"/>
          <w:spacing w:val="-7"/>
          <w:sz w:val="24"/>
          <w:szCs w:val="24"/>
          <w:highlight w:val="none"/>
        </w:rPr>
        <w:t>个别监理人员时，监理人在接到委托人通知后三天内安排更换到位，否则，监理人应按下表的</w:t>
      </w:r>
      <w:r>
        <w:rPr>
          <w:rFonts w:hint="eastAsia" w:ascii="宋体" w:hAnsi="宋体" w:cs="宋体"/>
          <w:color w:val="auto"/>
          <w:sz w:val="24"/>
          <w:szCs w:val="24"/>
          <w:highlight w:val="none"/>
        </w:rPr>
        <w:t xml:space="preserve">约定承担违约责任。 </w:t>
      </w:r>
    </w:p>
    <w:tbl>
      <w:tblPr>
        <w:tblStyle w:val="23"/>
        <w:tblW w:w="8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5437"/>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29"/>
              <w:rPr>
                <w:rFonts w:hint="default" w:ascii="宋体" w:hAnsi="宋体" w:cs="宋体"/>
                <w:color w:val="auto"/>
                <w:sz w:val="24"/>
                <w:szCs w:val="24"/>
                <w:highlight w:val="none"/>
              </w:rPr>
            </w:pPr>
            <w:r>
              <w:rPr>
                <w:rFonts w:ascii="宋体" w:hAnsi="宋体" w:cs="宋体"/>
                <w:color w:val="auto"/>
                <w:sz w:val="24"/>
                <w:szCs w:val="24"/>
                <w:highlight w:val="none"/>
              </w:rPr>
              <w:t>序号</w:t>
            </w:r>
          </w:p>
        </w:tc>
        <w:tc>
          <w:tcPr>
            <w:tcW w:w="5437" w:type="dxa"/>
            <w:vAlign w:val="center"/>
          </w:tcPr>
          <w:p>
            <w:pPr>
              <w:pStyle w:val="29"/>
              <w:jc w:val="center"/>
              <w:rPr>
                <w:rFonts w:hint="default" w:ascii="宋体" w:hAnsi="宋体" w:cs="宋体"/>
                <w:color w:val="auto"/>
                <w:sz w:val="24"/>
                <w:szCs w:val="24"/>
                <w:highlight w:val="none"/>
              </w:rPr>
            </w:pPr>
            <w:r>
              <w:rPr>
                <w:rFonts w:ascii="宋体" w:hAnsi="宋体" w:cs="宋体"/>
                <w:color w:val="auto"/>
                <w:sz w:val="24"/>
                <w:szCs w:val="24"/>
                <w:highlight w:val="none"/>
              </w:rPr>
              <w:t>违约项目</w:t>
            </w:r>
          </w:p>
        </w:tc>
        <w:tc>
          <w:tcPr>
            <w:tcW w:w="2524" w:type="dxa"/>
            <w:vAlign w:val="center"/>
          </w:tcPr>
          <w:p>
            <w:pPr>
              <w:pStyle w:val="29"/>
              <w:rPr>
                <w:rFonts w:hint="default" w:ascii="宋体" w:hAnsi="宋体" w:cs="宋体"/>
                <w:color w:val="auto"/>
                <w:sz w:val="24"/>
                <w:szCs w:val="24"/>
                <w:highlight w:val="none"/>
              </w:rPr>
            </w:pPr>
            <w:r>
              <w:rPr>
                <w:rFonts w:ascii="宋体" w:hAnsi="宋体" w:cs="宋体"/>
                <w:color w:val="auto"/>
                <w:sz w:val="24"/>
                <w:szCs w:val="24"/>
                <w:highlight w:val="none"/>
              </w:rPr>
              <w:t>违约金（元/人·次）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83" w:type="dxa"/>
            <w:vAlign w:val="center"/>
          </w:tcPr>
          <w:p>
            <w:pPr>
              <w:pStyle w:val="29"/>
              <w:spacing w:before="1"/>
              <w:ind w:left="171" w:right="59"/>
              <w:jc w:val="center"/>
              <w:rPr>
                <w:rFonts w:hint="default" w:ascii="宋体" w:hAnsi="宋体" w:cs="宋体"/>
                <w:color w:val="auto"/>
                <w:szCs w:val="21"/>
                <w:highlight w:val="none"/>
              </w:rPr>
            </w:pPr>
            <w:r>
              <w:rPr>
                <w:rFonts w:ascii="宋体" w:hAnsi="宋体" w:cs="宋体"/>
                <w:color w:val="auto"/>
                <w:szCs w:val="21"/>
                <w:highlight w:val="none"/>
              </w:rPr>
              <w:t>1</w:t>
            </w:r>
          </w:p>
        </w:tc>
        <w:tc>
          <w:tcPr>
            <w:tcW w:w="5437" w:type="dxa"/>
            <w:vAlign w:val="center"/>
          </w:tcPr>
          <w:p>
            <w:pPr>
              <w:pStyle w:val="29"/>
              <w:spacing w:before="1"/>
              <w:ind w:left="107"/>
              <w:rPr>
                <w:rFonts w:hint="default" w:ascii="宋体" w:hAnsi="宋体" w:cs="宋体"/>
                <w:color w:val="auto"/>
                <w:szCs w:val="21"/>
                <w:highlight w:val="none"/>
              </w:rPr>
            </w:pPr>
            <w:r>
              <w:rPr>
                <w:rFonts w:ascii="宋体" w:hAnsi="宋体" w:cs="宋体"/>
                <w:color w:val="auto"/>
                <w:szCs w:val="21"/>
                <w:highlight w:val="none"/>
              </w:rPr>
              <w:t>监理人自行调换或未按照委托人要求及时更换项目总监。</w:t>
            </w:r>
          </w:p>
        </w:tc>
        <w:tc>
          <w:tcPr>
            <w:tcW w:w="2524" w:type="dxa"/>
            <w:vAlign w:val="center"/>
          </w:tcPr>
          <w:p>
            <w:pPr>
              <w:pStyle w:val="29"/>
              <w:spacing w:before="1"/>
              <w:ind w:right="10"/>
              <w:jc w:val="center"/>
              <w:rPr>
                <w:rFonts w:hint="default" w:ascii="宋体" w:hAnsi="宋体" w:cs="宋体"/>
                <w:color w:val="auto"/>
                <w:szCs w:val="21"/>
                <w:highlight w:val="none"/>
              </w:rPr>
            </w:pPr>
            <w:r>
              <w:rPr>
                <w:rFonts w:ascii="宋体" w:hAnsi="宋体" w:cs="宋体"/>
                <w:color w:val="auto"/>
                <w:szCs w:val="21"/>
                <w:highlight w:val="none"/>
              </w:rPr>
              <w:t>本合同监理报酬总额的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29"/>
              <w:ind w:left="171" w:right="59"/>
              <w:jc w:val="center"/>
              <w:rPr>
                <w:rFonts w:hint="default" w:ascii="宋体" w:hAnsi="宋体" w:cs="宋体"/>
                <w:color w:val="auto"/>
                <w:szCs w:val="21"/>
                <w:highlight w:val="none"/>
              </w:rPr>
            </w:pPr>
            <w:r>
              <w:rPr>
                <w:rFonts w:ascii="宋体" w:hAnsi="宋体" w:cs="宋体"/>
                <w:color w:val="auto"/>
                <w:szCs w:val="21"/>
                <w:highlight w:val="none"/>
              </w:rPr>
              <w:t>2</w:t>
            </w:r>
          </w:p>
        </w:tc>
        <w:tc>
          <w:tcPr>
            <w:tcW w:w="5437" w:type="dxa"/>
            <w:vAlign w:val="center"/>
          </w:tcPr>
          <w:p>
            <w:pPr>
              <w:pStyle w:val="29"/>
              <w:spacing w:before="1"/>
              <w:ind w:left="107"/>
              <w:rPr>
                <w:rFonts w:hint="default" w:ascii="宋体" w:hAnsi="宋体" w:cs="宋体"/>
                <w:color w:val="auto"/>
                <w:szCs w:val="21"/>
                <w:highlight w:val="none"/>
              </w:rPr>
            </w:pPr>
            <w:r>
              <w:rPr>
                <w:rFonts w:ascii="宋体" w:hAnsi="宋体" w:cs="宋体"/>
                <w:color w:val="auto"/>
                <w:szCs w:val="21"/>
                <w:highlight w:val="none"/>
              </w:rPr>
              <w:t>监理人自行调换或未按照委托人要求及时更换项目总工或总监代表。</w:t>
            </w:r>
          </w:p>
        </w:tc>
        <w:tc>
          <w:tcPr>
            <w:tcW w:w="2524" w:type="dxa"/>
            <w:vAlign w:val="center"/>
          </w:tcPr>
          <w:p>
            <w:pPr>
              <w:pStyle w:val="29"/>
              <w:ind w:right="10"/>
              <w:jc w:val="center"/>
              <w:rPr>
                <w:rFonts w:hint="default" w:ascii="宋体" w:hAnsi="宋体" w:cs="宋体"/>
                <w:color w:val="auto"/>
                <w:szCs w:val="21"/>
                <w:highlight w:val="none"/>
              </w:rPr>
            </w:pPr>
            <w:r>
              <w:rPr>
                <w:rFonts w:ascii="宋体" w:hAnsi="宋体" w:cs="宋体"/>
                <w:color w:val="auto"/>
                <w:szCs w:val="21"/>
                <w:highlight w:val="none"/>
              </w:rPr>
              <w:t>本合同监理报酬总额的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83" w:type="dxa"/>
            <w:vAlign w:val="center"/>
          </w:tcPr>
          <w:p>
            <w:pPr>
              <w:pStyle w:val="29"/>
              <w:spacing w:before="1"/>
              <w:ind w:left="171" w:right="59"/>
              <w:jc w:val="center"/>
              <w:rPr>
                <w:rFonts w:hint="default" w:ascii="宋体" w:hAnsi="宋体" w:cs="宋体"/>
                <w:color w:val="auto"/>
                <w:szCs w:val="21"/>
                <w:highlight w:val="none"/>
              </w:rPr>
            </w:pPr>
            <w:r>
              <w:rPr>
                <w:rFonts w:ascii="宋体" w:hAnsi="宋体" w:cs="宋体"/>
                <w:color w:val="auto"/>
                <w:szCs w:val="21"/>
                <w:highlight w:val="none"/>
              </w:rPr>
              <w:t>3</w:t>
            </w:r>
          </w:p>
        </w:tc>
        <w:tc>
          <w:tcPr>
            <w:tcW w:w="5437" w:type="dxa"/>
            <w:vAlign w:val="center"/>
          </w:tcPr>
          <w:p>
            <w:pPr>
              <w:pStyle w:val="29"/>
              <w:spacing w:before="1"/>
              <w:ind w:left="107"/>
              <w:rPr>
                <w:rFonts w:hint="default" w:ascii="宋体" w:hAnsi="宋体" w:cs="宋体"/>
                <w:color w:val="auto"/>
                <w:szCs w:val="21"/>
                <w:highlight w:val="none"/>
              </w:rPr>
            </w:pPr>
            <w:r>
              <w:rPr>
                <w:rFonts w:ascii="宋体" w:hAnsi="宋体" w:cs="宋体"/>
                <w:color w:val="auto"/>
                <w:szCs w:val="21"/>
                <w:highlight w:val="none"/>
              </w:rPr>
              <w:t>监理人自行调换或未按照委托人要求及时更换专业监理工</w:t>
            </w:r>
          </w:p>
          <w:p>
            <w:pPr>
              <w:pStyle w:val="29"/>
              <w:spacing w:before="141"/>
              <w:ind w:left="107"/>
              <w:rPr>
                <w:rFonts w:hint="default" w:ascii="宋体" w:hAnsi="宋体" w:cs="宋体"/>
                <w:color w:val="auto"/>
                <w:szCs w:val="21"/>
                <w:highlight w:val="none"/>
              </w:rPr>
            </w:pPr>
            <w:r>
              <w:rPr>
                <w:rFonts w:ascii="宋体" w:hAnsi="宋体" w:cs="宋体"/>
                <w:color w:val="auto"/>
                <w:szCs w:val="21"/>
                <w:highlight w:val="none"/>
              </w:rPr>
              <w:t>程师。</w:t>
            </w:r>
          </w:p>
        </w:tc>
        <w:tc>
          <w:tcPr>
            <w:tcW w:w="2524" w:type="dxa"/>
            <w:vAlign w:val="center"/>
          </w:tcPr>
          <w:p>
            <w:pPr>
              <w:pStyle w:val="29"/>
              <w:spacing w:before="1"/>
              <w:ind w:left="108"/>
              <w:rPr>
                <w:rFonts w:hint="default" w:ascii="宋体" w:hAnsi="宋体" w:cs="宋体"/>
                <w:color w:val="auto"/>
                <w:szCs w:val="21"/>
                <w:highlight w:val="none"/>
              </w:rPr>
            </w:pPr>
            <w:r>
              <w:rPr>
                <w:rFonts w:ascii="宋体" w:hAnsi="宋体" w:cs="宋体"/>
                <w:color w:val="auto"/>
                <w:szCs w:val="21"/>
                <w:highlight w:val="none"/>
              </w:rPr>
              <w:t>本合同监理报酬总额的0.5%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29"/>
              <w:spacing w:before="1"/>
              <w:ind w:left="171" w:right="59"/>
              <w:jc w:val="center"/>
              <w:rPr>
                <w:rFonts w:hint="default" w:ascii="宋体" w:hAnsi="宋体" w:cs="宋体"/>
                <w:color w:val="auto"/>
                <w:szCs w:val="21"/>
                <w:highlight w:val="none"/>
              </w:rPr>
            </w:pPr>
            <w:r>
              <w:rPr>
                <w:rFonts w:ascii="宋体" w:hAnsi="宋体" w:cs="宋体"/>
                <w:color w:val="auto"/>
                <w:szCs w:val="21"/>
                <w:highlight w:val="none"/>
              </w:rPr>
              <w:t>4</w:t>
            </w:r>
          </w:p>
        </w:tc>
        <w:tc>
          <w:tcPr>
            <w:tcW w:w="5437" w:type="dxa"/>
            <w:vAlign w:val="center"/>
          </w:tcPr>
          <w:p>
            <w:pPr>
              <w:pStyle w:val="29"/>
              <w:spacing w:before="1"/>
              <w:ind w:left="107" w:right="-15"/>
              <w:rPr>
                <w:rFonts w:hint="default" w:ascii="宋体" w:hAnsi="宋体" w:cs="宋体"/>
                <w:color w:val="auto"/>
                <w:szCs w:val="21"/>
                <w:highlight w:val="none"/>
              </w:rPr>
            </w:pPr>
            <w:r>
              <w:rPr>
                <w:rFonts w:ascii="宋体" w:hAnsi="宋体" w:cs="宋体"/>
                <w:color w:val="auto"/>
                <w:spacing w:val="-7"/>
                <w:szCs w:val="21"/>
                <w:highlight w:val="none"/>
              </w:rPr>
              <w:t>监理人自行调换或未按照委托人要求及时更换造价工程师。</w:t>
            </w:r>
          </w:p>
        </w:tc>
        <w:tc>
          <w:tcPr>
            <w:tcW w:w="2524" w:type="dxa"/>
            <w:vAlign w:val="center"/>
          </w:tcPr>
          <w:p>
            <w:pPr>
              <w:pStyle w:val="29"/>
              <w:spacing w:before="1"/>
              <w:ind w:left="108"/>
              <w:rPr>
                <w:rFonts w:hint="default" w:ascii="宋体" w:hAnsi="宋体" w:cs="宋体"/>
                <w:color w:val="auto"/>
                <w:szCs w:val="21"/>
                <w:highlight w:val="none"/>
              </w:rPr>
            </w:pPr>
            <w:r>
              <w:rPr>
                <w:rFonts w:ascii="宋体" w:hAnsi="宋体" w:cs="宋体"/>
                <w:color w:val="auto"/>
                <w:szCs w:val="21"/>
                <w:highlight w:val="none"/>
              </w:rPr>
              <w:t>本合同监理报酬总额的0.5%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83" w:type="dxa"/>
            <w:vAlign w:val="center"/>
          </w:tcPr>
          <w:p>
            <w:pPr>
              <w:pStyle w:val="29"/>
              <w:ind w:left="171" w:right="59"/>
              <w:jc w:val="center"/>
              <w:rPr>
                <w:rFonts w:hint="default" w:ascii="宋体" w:hAnsi="宋体" w:cs="宋体"/>
                <w:b/>
                <w:color w:val="auto"/>
                <w:szCs w:val="21"/>
                <w:highlight w:val="none"/>
              </w:rPr>
            </w:pPr>
            <w:r>
              <w:rPr>
                <w:rFonts w:ascii="宋体" w:hAnsi="宋体" w:cs="宋体"/>
                <w:b/>
                <w:color w:val="auto"/>
                <w:szCs w:val="21"/>
                <w:highlight w:val="none"/>
              </w:rPr>
              <w:t>5</w:t>
            </w:r>
          </w:p>
        </w:tc>
        <w:tc>
          <w:tcPr>
            <w:tcW w:w="5437" w:type="dxa"/>
            <w:vAlign w:val="center"/>
          </w:tcPr>
          <w:p>
            <w:pPr>
              <w:pStyle w:val="29"/>
              <w:ind w:left="107"/>
              <w:rPr>
                <w:rFonts w:hint="default" w:ascii="宋体" w:hAnsi="宋体" w:cs="宋体"/>
                <w:b/>
                <w:color w:val="auto"/>
                <w:szCs w:val="21"/>
                <w:highlight w:val="none"/>
              </w:rPr>
            </w:pPr>
            <w:r>
              <w:rPr>
                <w:rFonts w:ascii="宋体" w:hAnsi="宋体" w:cs="宋体"/>
                <w:b/>
                <w:color w:val="auto"/>
                <w:szCs w:val="21"/>
                <w:highlight w:val="none"/>
              </w:rPr>
              <w:t>经委托人审核书面同意后调换监理人员。</w:t>
            </w:r>
          </w:p>
        </w:tc>
        <w:tc>
          <w:tcPr>
            <w:tcW w:w="2524" w:type="dxa"/>
            <w:vAlign w:val="center"/>
          </w:tcPr>
          <w:p>
            <w:pPr>
              <w:pStyle w:val="29"/>
              <w:spacing w:before="3"/>
              <w:ind w:left="108"/>
              <w:rPr>
                <w:rFonts w:hint="default" w:ascii="宋体" w:hAnsi="宋体" w:cs="宋体"/>
                <w:b/>
                <w:color w:val="auto"/>
                <w:szCs w:val="21"/>
                <w:highlight w:val="none"/>
              </w:rPr>
            </w:pPr>
            <w:r>
              <w:rPr>
                <w:rFonts w:ascii="宋体" w:hAnsi="宋体" w:cs="宋体"/>
                <w:b/>
                <w:color w:val="auto"/>
                <w:spacing w:val="-11"/>
                <w:szCs w:val="21"/>
                <w:highlight w:val="none"/>
              </w:rPr>
              <w:t xml:space="preserve">监理人按 </w:t>
            </w:r>
            <w:r>
              <w:rPr>
                <w:rFonts w:ascii="宋体" w:hAnsi="宋体" w:cs="宋体"/>
                <w:b/>
                <w:color w:val="auto"/>
                <w:szCs w:val="21"/>
                <w:highlight w:val="none"/>
              </w:rPr>
              <w:t>1</w:t>
            </w:r>
            <w:r>
              <w:rPr>
                <w:rFonts w:ascii="宋体" w:hAnsi="宋体" w:cs="宋体"/>
                <w:b/>
                <w:color w:val="auto"/>
                <w:spacing w:val="-36"/>
                <w:szCs w:val="21"/>
                <w:highlight w:val="none"/>
              </w:rPr>
              <w:t xml:space="preserve"> 至 </w:t>
            </w:r>
            <w:r>
              <w:rPr>
                <w:rFonts w:ascii="宋体" w:hAnsi="宋体" w:cs="宋体"/>
                <w:b/>
                <w:color w:val="auto"/>
                <w:szCs w:val="21"/>
                <w:highlight w:val="none"/>
              </w:rPr>
              <w:t>4</w:t>
            </w:r>
            <w:r>
              <w:rPr>
                <w:rFonts w:ascii="宋体" w:hAnsi="宋体" w:cs="宋体"/>
                <w:b/>
                <w:color w:val="auto"/>
                <w:spacing w:val="-12"/>
                <w:szCs w:val="21"/>
                <w:highlight w:val="none"/>
              </w:rPr>
              <w:t xml:space="preserve"> 项对应调</w:t>
            </w:r>
            <w:r>
              <w:rPr>
                <w:rFonts w:ascii="宋体" w:hAnsi="宋体" w:cs="宋体"/>
                <w:b/>
                <w:color w:val="auto"/>
                <w:spacing w:val="-2"/>
                <w:szCs w:val="21"/>
                <w:highlight w:val="none"/>
              </w:rPr>
              <w:t>换人员承担减半违约金。</w:t>
            </w:r>
          </w:p>
        </w:tc>
      </w:tr>
    </w:tbl>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1"/>
          <w:sz w:val="24"/>
          <w:szCs w:val="24"/>
          <w:highlight w:val="none"/>
        </w:rPr>
        <w:t>、项目总监若需离开施工现场需报委托人批准，在其请假离开的时间段内应书面委托其</w:t>
      </w:r>
      <w:r>
        <w:rPr>
          <w:rFonts w:hint="eastAsia" w:ascii="宋体" w:hAnsi="宋体" w:cs="宋体"/>
          <w:color w:val="auto"/>
          <w:spacing w:val="-3"/>
          <w:sz w:val="24"/>
          <w:szCs w:val="24"/>
          <w:highlight w:val="none"/>
        </w:rPr>
        <w:t>他驻场监理工程师</w:t>
      </w:r>
      <w:r>
        <w:rPr>
          <w:rFonts w:hint="eastAsia" w:ascii="宋体" w:hAnsi="宋体" w:cs="宋体"/>
          <w:color w:val="auto"/>
          <w:sz w:val="24"/>
          <w:szCs w:val="24"/>
          <w:highlight w:val="none"/>
        </w:rPr>
        <w:t>（需具有相应资质和能力</w:t>
      </w:r>
      <w:r>
        <w:rPr>
          <w:rFonts w:hint="eastAsia" w:ascii="宋体" w:hAnsi="宋体" w:cs="宋体"/>
          <w:color w:val="auto"/>
          <w:spacing w:val="-24"/>
          <w:sz w:val="24"/>
          <w:szCs w:val="24"/>
          <w:highlight w:val="none"/>
        </w:rPr>
        <w:t>）</w:t>
      </w:r>
      <w:r>
        <w:rPr>
          <w:rFonts w:hint="eastAsia" w:ascii="宋体" w:hAnsi="宋体" w:cs="宋体"/>
          <w:color w:val="auto"/>
          <w:spacing w:val="-6"/>
          <w:sz w:val="24"/>
          <w:szCs w:val="24"/>
          <w:highlight w:val="none"/>
        </w:rPr>
        <w:t>全权代表其行使职权；否则每违约一次，委托人</w:t>
      </w:r>
      <w:r>
        <w:rPr>
          <w:rFonts w:hint="eastAsia" w:ascii="宋体" w:hAnsi="宋体" w:cs="宋体"/>
          <w:color w:val="auto"/>
          <w:spacing w:val="-7"/>
          <w:sz w:val="24"/>
          <w:szCs w:val="24"/>
          <w:highlight w:val="none"/>
        </w:rPr>
        <w:t xml:space="preserve">将要求监理人承担 </w:t>
      </w:r>
      <w:r>
        <w:rPr>
          <w:rFonts w:hint="eastAsia" w:ascii="宋体" w:hAnsi="宋体" w:cs="宋体"/>
          <w:color w:val="auto"/>
          <w:sz w:val="24"/>
          <w:szCs w:val="24"/>
          <w:highlight w:val="none"/>
        </w:rPr>
        <w:t>1</w:t>
      </w:r>
      <w:r>
        <w:rPr>
          <w:rFonts w:hint="eastAsia" w:ascii="宋体" w:hAnsi="宋体" w:cs="宋体"/>
          <w:color w:val="auto"/>
          <w:spacing w:val="-8"/>
          <w:sz w:val="24"/>
          <w:szCs w:val="24"/>
          <w:highlight w:val="none"/>
        </w:rPr>
        <w:t xml:space="preserve">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4"/>
          <w:sz w:val="24"/>
          <w:szCs w:val="24"/>
          <w:highlight w:val="none"/>
        </w:rPr>
        <w:t xml:space="preserve">、其他监理人员需离开施工现场 </w:t>
      </w:r>
      <w:r>
        <w:rPr>
          <w:rFonts w:hint="eastAsia" w:ascii="宋体" w:hAnsi="宋体" w:cs="宋体"/>
          <w:color w:val="auto"/>
          <w:sz w:val="24"/>
          <w:szCs w:val="24"/>
          <w:highlight w:val="none"/>
        </w:rPr>
        <w:t>1</w:t>
      </w:r>
      <w:r>
        <w:rPr>
          <w:rFonts w:hint="eastAsia" w:ascii="宋体" w:hAnsi="宋体" w:cs="宋体"/>
          <w:color w:val="auto"/>
          <w:spacing w:val="-8"/>
          <w:sz w:val="24"/>
          <w:szCs w:val="24"/>
          <w:highlight w:val="none"/>
        </w:rPr>
        <w:t xml:space="preserve"> 日以上需报委托人批准，在其请假离开的时间段内应</w:t>
      </w:r>
      <w:r>
        <w:rPr>
          <w:rFonts w:hint="eastAsia" w:ascii="宋体" w:hAnsi="宋体" w:cs="宋体"/>
          <w:color w:val="auto"/>
          <w:spacing w:val="-6"/>
          <w:sz w:val="24"/>
          <w:szCs w:val="24"/>
          <w:highlight w:val="none"/>
        </w:rPr>
        <w:t>书面委托其他驻场监理代表全权代表其行使相应职权；否则，每违约一次，委托人将要求监理</w:t>
      </w:r>
      <w:r>
        <w:rPr>
          <w:rFonts w:hint="eastAsia" w:ascii="宋体" w:hAnsi="宋体" w:cs="宋体"/>
          <w:color w:val="auto"/>
          <w:spacing w:val="-16"/>
          <w:sz w:val="24"/>
          <w:szCs w:val="24"/>
          <w:highlight w:val="none"/>
        </w:rPr>
        <w:t xml:space="preserve">人承担 </w:t>
      </w:r>
      <w:r>
        <w:rPr>
          <w:rFonts w:hint="eastAsia" w:ascii="宋体" w:hAnsi="宋体" w:cs="宋体"/>
          <w:color w:val="auto"/>
          <w:sz w:val="24"/>
          <w:szCs w:val="24"/>
          <w:highlight w:val="none"/>
        </w:rPr>
        <w:t>1</w:t>
      </w:r>
      <w:r>
        <w:rPr>
          <w:rFonts w:hint="eastAsia" w:ascii="宋体" w:hAnsi="宋体" w:cs="宋体"/>
          <w:color w:val="auto"/>
          <w:spacing w:val="-8"/>
          <w:sz w:val="24"/>
          <w:szCs w:val="24"/>
          <w:highlight w:val="none"/>
        </w:rPr>
        <w:t xml:space="preserve">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5、委托人可以对驻场监理人员进行考勤，如项目总监每月请假日数累计超过 4 日，监理人必须承担 1 次一般违约责任；如其他监理人员每月请假日数累计超过 6 日，且请假总人数全月累计超过监理人数的 10%，监理人必须承担 1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1"/>
          <w:sz w:val="24"/>
          <w:szCs w:val="24"/>
          <w:highlight w:val="none"/>
        </w:rPr>
        <w:t>、委托人要求</w:t>
      </w:r>
      <w:r>
        <w:rPr>
          <w:rFonts w:hint="eastAsia" w:ascii="宋体" w:hAnsi="宋体" w:cs="宋体"/>
          <w:color w:val="auto"/>
          <w:sz w:val="24"/>
          <w:szCs w:val="24"/>
          <w:highlight w:val="none"/>
        </w:rPr>
        <w:t>项目</w:t>
      </w:r>
      <w:r>
        <w:rPr>
          <w:rFonts w:hint="eastAsia" w:ascii="宋体" w:hAnsi="宋体" w:cs="宋体"/>
          <w:color w:val="auto"/>
          <w:spacing w:val="-1"/>
          <w:sz w:val="24"/>
          <w:szCs w:val="24"/>
          <w:highlight w:val="none"/>
        </w:rPr>
        <w:t>总监等主要监理人员必须参加的会议，项目总监等主要监理人员必须</w:t>
      </w:r>
      <w:r>
        <w:rPr>
          <w:rFonts w:hint="eastAsia" w:ascii="宋体" w:hAnsi="宋体" w:cs="宋体"/>
          <w:color w:val="auto"/>
          <w:spacing w:val="-9"/>
          <w:sz w:val="24"/>
          <w:szCs w:val="24"/>
          <w:highlight w:val="none"/>
        </w:rPr>
        <w:t>到会。未经委托人同意不到会或不按期到会的，应向委托人说明理由，拒不说明理由的，监理</w:t>
      </w:r>
      <w:r>
        <w:rPr>
          <w:rFonts w:hint="eastAsia" w:ascii="宋体" w:hAnsi="宋体" w:cs="宋体"/>
          <w:color w:val="auto"/>
          <w:spacing w:val="-11"/>
          <w:sz w:val="24"/>
          <w:szCs w:val="24"/>
          <w:highlight w:val="none"/>
        </w:rPr>
        <w:t xml:space="preserve">人应当承担 </w:t>
      </w:r>
      <w:r>
        <w:rPr>
          <w:rFonts w:hint="eastAsia" w:ascii="宋体" w:hAnsi="宋体" w:cs="宋体"/>
          <w:color w:val="auto"/>
          <w:sz w:val="24"/>
          <w:szCs w:val="24"/>
          <w:highlight w:val="none"/>
        </w:rPr>
        <w:t>1</w:t>
      </w:r>
      <w:r>
        <w:rPr>
          <w:rFonts w:hint="eastAsia" w:ascii="宋体" w:hAnsi="宋体" w:cs="宋体"/>
          <w:color w:val="auto"/>
          <w:spacing w:val="-8"/>
          <w:sz w:val="24"/>
          <w:szCs w:val="24"/>
          <w:highlight w:val="none"/>
        </w:rPr>
        <w:t xml:space="preserve">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pacing w:val="-1"/>
          <w:sz w:val="24"/>
          <w:szCs w:val="24"/>
          <w:highlight w:val="none"/>
        </w:rPr>
        <w:t>、在委托人、建设行政主管部门组织的现场检查中，总监理工程师累计不在现场每月应</w:t>
      </w:r>
      <w:r>
        <w:rPr>
          <w:rFonts w:hint="eastAsia" w:ascii="宋体" w:hAnsi="宋体" w:cs="宋体"/>
          <w:color w:val="auto"/>
          <w:spacing w:val="-16"/>
          <w:sz w:val="24"/>
          <w:szCs w:val="24"/>
          <w:highlight w:val="none"/>
        </w:rPr>
        <w:t xml:space="preserve">不超过 </w:t>
      </w:r>
      <w:r>
        <w:rPr>
          <w:rFonts w:hint="eastAsia" w:ascii="宋体" w:hAnsi="宋体" w:cs="宋体"/>
          <w:color w:val="auto"/>
          <w:sz w:val="24"/>
          <w:szCs w:val="24"/>
          <w:highlight w:val="none"/>
        </w:rPr>
        <w:t>2</w:t>
      </w:r>
      <w:r>
        <w:rPr>
          <w:rFonts w:hint="eastAsia" w:ascii="宋体" w:hAnsi="宋体" w:cs="宋体"/>
          <w:color w:val="auto"/>
          <w:spacing w:val="-13"/>
          <w:sz w:val="24"/>
          <w:szCs w:val="24"/>
          <w:highlight w:val="none"/>
        </w:rPr>
        <w:t xml:space="preserve"> 次，专业监理工程师累计不在现场每月应少于 </w:t>
      </w:r>
      <w:r>
        <w:rPr>
          <w:rFonts w:hint="eastAsia" w:ascii="宋体" w:hAnsi="宋体" w:cs="宋体"/>
          <w:color w:val="auto"/>
          <w:sz w:val="24"/>
          <w:szCs w:val="24"/>
          <w:highlight w:val="none"/>
        </w:rPr>
        <w:t>2</w:t>
      </w:r>
      <w:r>
        <w:rPr>
          <w:rFonts w:hint="eastAsia" w:ascii="宋体" w:hAnsi="宋体" w:cs="宋体"/>
          <w:color w:val="auto"/>
          <w:spacing w:val="-13"/>
          <w:sz w:val="24"/>
          <w:szCs w:val="24"/>
          <w:highlight w:val="none"/>
        </w:rPr>
        <w:t xml:space="preserve"> 次。否则，每发生一次，监理人承担</w:t>
      </w:r>
      <w:r>
        <w:rPr>
          <w:rFonts w:hint="eastAsia" w:ascii="宋体" w:hAnsi="宋体" w:cs="宋体"/>
          <w:color w:val="auto"/>
          <w:sz w:val="24"/>
          <w:szCs w:val="24"/>
          <w:highlight w:val="none"/>
        </w:rPr>
        <w:t xml:space="preserve">1 次一般违约责任。每发生二次，监理人承担严重违约责任 1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8、检测仪器及设备等在监理责任期间，不能保持良好运作性能的，监理人应及时更换，否则，每件每日支付 1000 元监理费。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（四）履行监理职责方面的违约责任：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1、监理人在自己职责范围内应当作出决定的事项故意拖延或者不作出明确的处理意见，委托人发出书面警告后，监理人在整改期限内仍不加以改正的，委托人有权要求监理人承担一般违约责任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次，造成损失的监理人应承担相应的责任。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2、承包人未按承诺投入机械、设备、材料等，监理人对此不进行有效检查、督促、处理，</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不向委托人报告，被委托人发现后，委托人有权给予书面警告并限期改正，监理人拒不限期改正的，应承担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w:t>
      </w:r>
      <w:r>
        <w:rPr>
          <w:rFonts w:ascii="宋体" w:hAnsi="宋体" w:cs="宋体"/>
          <w:color w:val="auto"/>
          <w:sz w:val="24"/>
          <w:szCs w:val="24"/>
          <w:highlight w:val="none"/>
        </w:rPr>
        <w:t xml:space="preserve">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3、对于承包人每次进场材料，监理人不进行检查和登记；对已进场的材料，监理人不按有关规定及时进行抽查、送检的，每发生一次，监理人承担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次一般违约责任。如由此出现不合格材料使用于工程上并造成质量缺陷，监理人必须承担一般违约责任 1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w:t>
      </w:r>
      <w:r>
        <w:rPr>
          <w:rFonts w:ascii="宋体" w:hAnsi="宋体" w:cs="宋体"/>
          <w:color w:val="auto"/>
          <w:sz w:val="24"/>
          <w:szCs w:val="24"/>
          <w:highlight w:val="none"/>
        </w:rPr>
        <w:t xml:space="preserve">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次，情节严重的承担严重</w:t>
      </w:r>
      <w:r>
        <w:rPr>
          <w:rFonts w:hint="eastAsia" w:ascii="宋体" w:hAnsi="宋体" w:cs="宋体"/>
          <w:color w:val="auto"/>
          <w:sz w:val="24"/>
          <w:szCs w:val="24"/>
          <w:highlight w:val="none"/>
        </w:rPr>
        <w:t xml:space="preserve">违约责任 1 次，同时，承包人和监理人应赔偿委托人的经济损失。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6、监理人怠于履行工程质量控制监理工作，导致工程质量事故的，每发生一次，监理人承担严重违约责任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次。工程出现其他质量问题或缺陷，监理人负有责任的，每发生一次，监</w:t>
      </w:r>
      <w:r>
        <w:rPr>
          <w:rFonts w:hint="eastAsia" w:ascii="宋体" w:hAnsi="宋体" w:cs="宋体"/>
          <w:color w:val="auto"/>
          <w:sz w:val="24"/>
          <w:szCs w:val="24"/>
          <w:highlight w:val="none"/>
        </w:rPr>
        <w:t>理人承担一般违约责任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次。工程发生重大质量、安全事故，监理人负有责任的，委托人有权</w:t>
      </w:r>
      <w:r>
        <w:rPr>
          <w:rFonts w:hint="eastAsia" w:ascii="宋体" w:hAnsi="宋体" w:cs="宋体"/>
          <w:color w:val="auto"/>
          <w:sz w:val="24"/>
          <w:szCs w:val="24"/>
          <w:highlight w:val="none"/>
        </w:rPr>
        <w:t xml:space="preserve">视情况的严重程度要求监理人承担违约责任，直至部分或全部解除合同。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w:t>
      </w:r>
      <w:r>
        <w:rPr>
          <w:rFonts w:ascii="宋体" w:hAnsi="宋体" w:cs="宋体"/>
          <w:color w:val="auto"/>
          <w:sz w:val="24"/>
          <w:szCs w:val="24"/>
          <w:highlight w:val="none"/>
        </w:rPr>
        <w:t xml:space="preserve"> 日以上</w:t>
      </w:r>
      <w:r>
        <w:rPr>
          <w:rFonts w:hint="eastAsia" w:ascii="宋体" w:hAnsi="宋体" w:cs="宋体"/>
          <w:color w:val="auto"/>
          <w:sz w:val="24"/>
          <w:szCs w:val="24"/>
          <w:highlight w:val="none"/>
        </w:rPr>
        <w:t>（含3</w:t>
      </w:r>
      <w:r>
        <w:rPr>
          <w:rFonts w:ascii="宋体" w:hAnsi="宋体" w:cs="宋体"/>
          <w:color w:val="auto"/>
          <w:sz w:val="24"/>
          <w:szCs w:val="24"/>
          <w:highlight w:val="none"/>
        </w:rPr>
        <w:t xml:space="preserve"> 日</w:t>
      </w:r>
      <w:r>
        <w:rPr>
          <w:rFonts w:hint="eastAsia" w:ascii="宋体" w:hAnsi="宋体" w:cs="宋体"/>
          <w:color w:val="auto"/>
          <w:sz w:val="24"/>
          <w:szCs w:val="24"/>
          <w:highlight w:val="none"/>
        </w:rPr>
        <w:t>）的，监理人必须承担一般违约责任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次；出现关键工期滞后 </w:t>
      </w:r>
      <w:r>
        <w:rPr>
          <w:rFonts w:hint="eastAsia" w:ascii="宋体" w:hAnsi="宋体" w:cs="宋体"/>
          <w:color w:val="auto"/>
          <w:sz w:val="24"/>
          <w:szCs w:val="24"/>
          <w:highlight w:val="none"/>
        </w:rPr>
        <w:t>5</w:t>
      </w:r>
      <w:r>
        <w:rPr>
          <w:rFonts w:ascii="宋体" w:hAnsi="宋体" w:cs="宋体"/>
          <w:color w:val="auto"/>
          <w:sz w:val="24"/>
          <w:szCs w:val="24"/>
          <w:highlight w:val="none"/>
        </w:rPr>
        <w:t xml:space="preserve"> 天以上</w:t>
      </w:r>
      <w:r>
        <w:rPr>
          <w:rFonts w:hint="eastAsia" w:ascii="宋体" w:hAnsi="宋体" w:cs="宋体"/>
          <w:color w:val="auto"/>
          <w:sz w:val="24"/>
          <w:szCs w:val="24"/>
          <w:highlight w:val="none"/>
        </w:rPr>
        <w:t>（含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5</w:t>
      </w:r>
      <w:r>
        <w:rPr>
          <w:rFonts w:ascii="宋体" w:hAnsi="宋体" w:cs="宋体"/>
          <w:color w:val="auto"/>
          <w:sz w:val="24"/>
          <w:szCs w:val="24"/>
          <w:highlight w:val="none"/>
        </w:rPr>
        <w:t xml:space="preserve"> 天</w:t>
      </w:r>
      <w:r>
        <w:rPr>
          <w:rFonts w:hint="eastAsia" w:ascii="宋体" w:hAnsi="宋体" w:cs="宋体"/>
          <w:color w:val="auto"/>
          <w:sz w:val="24"/>
          <w:szCs w:val="24"/>
          <w:highlight w:val="none"/>
        </w:rPr>
        <w:t>）的，监理人必须承担严重违约责任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次；出现关键线路工期滞后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天以上</w:t>
      </w:r>
      <w:r>
        <w:rPr>
          <w:rFonts w:hint="eastAsia" w:ascii="宋体" w:hAnsi="宋体" w:cs="宋体"/>
          <w:color w:val="auto"/>
          <w:sz w:val="24"/>
          <w:szCs w:val="24"/>
          <w:highlight w:val="none"/>
        </w:rPr>
        <w:t>（含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天</w:t>
      </w:r>
      <w:r>
        <w:rPr>
          <w:rFonts w:hint="eastAsia" w:ascii="宋体" w:hAnsi="宋体" w:cs="宋体"/>
          <w:color w:val="auto"/>
          <w:sz w:val="24"/>
          <w:szCs w:val="24"/>
          <w:highlight w:val="none"/>
        </w:rPr>
        <w:t xml:space="preserve">）的，委托人有权部分或全部解除合同。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8、对于承包人提交的现场签证资料，监理人未有准确、真实的现场原始记录或不进行现场复核就给予签认，经委托人检查，发现签认的文件有误的，除立即改正外，监理人承担一般违约责任 1 次；对签证错误有可能给委托人造成直接经济损失 10 万元（含 10 万元）以上的，按严重违约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次处理；如因监理人故意造成的，则按本合同专用</w:t>
      </w:r>
      <w:r>
        <w:rPr>
          <w:rFonts w:hint="eastAsia" w:ascii="宋体" w:hAnsi="宋体" w:cs="宋体"/>
          <w:color w:val="auto"/>
          <w:sz w:val="24"/>
          <w:szCs w:val="24"/>
          <w:highlight w:val="none"/>
        </w:rPr>
        <w:t>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26</w:t>
      </w:r>
      <w:r>
        <w:rPr>
          <w:rFonts w:ascii="宋体" w:hAnsi="宋体" w:cs="宋体"/>
          <w:color w:val="auto"/>
          <w:sz w:val="24"/>
          <w:szCs w:val="24"/>
          <w:highlight w:val="none"/>
        </w:rPr>
        <w:t xml:space="preserve"> 条</w:t>
      </w:r>
      <w:r>
        <w:rPr>
          <w:rFonts w:hint="eastAsia" w:ascii="宋体" w:hAnsi="宋体" w:cs="宋体"/>
          <w:color w:val="auto"/>
          <w:sz w:val="24"/>
          <w:szCs w:val="24"/>
          <w:highlight w:val="none"/>
        </w:rPr>
        <w:t>（一）款</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6</w:t>
      </w:r>
      <w:r>
        <w:rPr>
          <w:rFonts w:ascii="宋体" w:hAnsi="宋体" w:cs="宋体"/>
          <w:color w:val="auto"/>
          <w:sz w:val="24"/>
          <w:szCs w:val="24"/>
          <w:highlight w:val="none"/>
        </w:rPr>
        <w:t xml:space="preserve"> 项执</w:t>
      </w:r>
      <w:r>
        <w:rPr>
          <w:rFonts w:hint="eastAsia" w:ascii="宋体" w:hAnsi="宋体" w:cs="宋体"/>
          <w:color w:val="auto"/>
          <w:sz w:val="24"/>
          <w:szCs w:val="24"/>
          <w:highlight w:val="none"/>
        </w:rPr>
        <w:t>行；对于现场签证（含工程数量、单价等）未经过监理人注册造价工程师审核、或经过注册造价工程师审核但未在规定时间内报送委托人，除必须立即改正外，每累计出现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w:t>
      </w:r>
      <w:r>
        <w:rPr>
          <w:rFonts w:ascii="宋体" w:hAnsi="宋体" w:cs="宋体"/>
          <w:color w:val="auto"/>
          <w:sz w:val="24"/>
          <w:szCs w:val="24"/>
          <w:highlight w:val="none"/>
        </w:rPr>
        <w:t xml:space="preserve"> 次，监理人必</w:t>
      </w:r>
      <w:r>
        <w:rPr>
          <w:rFonts w:hint="eastAsia" w:ascii="宋体" w:hAnsi="宋体" w:cs="宋体"/>
          <w:color w:val="auto"/>
          <w:sz w:val="24"/>
          <w:szCs w:val="24"/>
          <w:highlight w:val="none"/>
        </w:rPr>
        <w:t xml:space="preserve">须承担一般违约责任 1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次一般违约责任，情节严重的，委托人可视情况要求监理人承担严重违约责任。对承包人提交的施工方案、设计变更等技术文件，监理人应当在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3</w:t>
      </w:r>
      <w:r>
        <w:rPr>
          <w:rFonts w:ascii="宋体" w:hAnsi="宋体" w:cs="宋体"/>
          <w:color w:val="auto"/>
          <w:sz w:val="24"/>
          <w:szCs w:val="24"/>
          <w:highlight w:val="none"/>
        </w:rPr>
        <w:t xml:space="preserve"> 日内予以批复，监理人未及</w:t>
      </w:r>
      <w:r>
        <w:rPr>
          <w:rFonts w:hint="eastAsia" w:ascii="宋体" w:hAnsi="宋体" w:cs="宋体"/>
          <w:color w:val="auto"/>
          <w:sz w:val="24"/>
          <w:szCs w:val="24"/>
          <w:highlight w:val="none"/>
        </w:rPr>
        <w:t>时批复的，视延误程度，监理人承担一般违约责任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次或严重违约责任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次；须转报委托人审</w:t>
      </w:r>
      <w:r>
        <w:rPr>
          <w:rFonts w:hint="eastAsia" w:ascii="宋体" w:hAnsi="宋体" w:cs="宋体"/>
          <w:color w:val="auto"/>
          <w:sz w:val="24"/>
          <w:szCs w:val="24"/>
          <w:highlight w:val="none"/>
        </w:rPr>
        <w:t>批的，监理人应在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3</w:t>
      </w:r>
      <w:r>
        <w:rPr>
          <w:rFonts w:ascii="宋体" w:hAnsi="宋体" w:cs="宋体"/>
          <w:color w:val="auto"/>
          <w:sz w:val="24"/>
          <w:szCs w:val="24"/>
          <w:highlight w:val="none"/>
        </w:rPr>
        <w:t xml:space="preserve"> 日内出具审核意见报委托人，监理人未在 </w:t>
      </w:r>
      <w:r>
        <w:rPr>
          <w:rFonts w:hint="eastAsia" w:ascii="宋体" w:hAnsi="宋体" w:cs="宋体"/>
          <w:color w:val="auto"/>
          <w:sz w:val="24"/>
          <w:szCs w:val="24"/>
          <w:highlight w:val="none"/>
        </w:rPr>
        <w:t>3</w:t>
      </w:r>
      <w:r>
        <w:rPr>
          <w:rFonts w:ascii="宋体" w:hAnsi="宋体" w:cs="宋体"/>
          <w:color w:val="auto"/>
          <w:sz w:val="24"/>
          <w:szCs w:val="24"/>
          <w:highlight w:val="none"/>
        </w:rPr>
        <w:t xml:space="preserve"> 日内报委托人或未出具审核意</w:t>
      </w:r>
      <w:r>
        <w:rPr>
          <w:rFonts w:hint="eastAsia" w:ascii="宋体" w:hAnsi="宋体" w:cs="宋体"/>
          <w:color w:val="auto"/>
          <w:sz w:val="24"/>
          <w:szCs w:val="24"/>
          <w:highlight w:val="none"/>
        </w:rPr>
        <w:t>见的，监理人除必须限期改正外，监理人必须承担一般违约责任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次。承包人提交给监理人审</w:t>
      </w:r>
      <w:r>
        <w:rPr>
          <w:rFonts w:hint="eastAsia" w:ascii="宋体" w:hAnsi="宋体" w:cs="宋体"/>
          <w:color w:val="auto"/>
          <w:sz w:val="24"/>
          <w:szCs w:val="24"/>
          <w:highlight w:val="none"/>
        </w:rPr>
        <w:t>核的资料或文件存在错误须承包人改正的，监理人应将所有错误一次性要求承包人改正，监理人要求承包人反复修改拖延时间的，委托人有权给予书面警告并限期改正，监理人拒不限期改正的，应承担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w:t>
      </w:r>
      <w:r>
        <w:rPr>
          <w:rFonts w:ascii="宋体" w:hAnsi="宋体" w:cs="宋体"/>
          <w:color w:val="auto"/>
          <w:sz w:val="24"/>
          <w:szCs w:val="24"/>
          <w:highlight w:val="none"/>
        </w:rPr>
        <w:t xml:space="preserve">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10、监理人未履行本合同约定的文明施工管理责任的，委托人可发出书面警告要求其限期改正，委托人发出书面警告后，监理人在整改期限内仍不加以改正的，每发生一次，监理人承担一次一般违约责任。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监理人应当承担一般违约责任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次，情节严重的应承</w:t>
      </w:r>
      <w:r>
        <w:rPr>
          <w:rFonts w:hint="eastAsia" w:ascii="宋体" w:hAnsi="宋体" w:cs="宋体"/>
          <w:color w:val="auto"/>
          <w:sz w:val="24"/>
          <w:szCs w:val="24"/>
          <w:highlight w:val="none"/>
        </w:rPr>
        <w:t>担严重违约责任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次，给委托人造成损失</w:t>
      </w:r>
      <w:r>
        <w:rPr>
          <w:rFonts w:hint="eastAsia" w:ascii="宋体" w:hAnsi="宋体" w:cs="宋体"/>
          <w:color w:val="auto"/>
          <w:sz w:val="24"/>
          <w:szCs w:val="24"/>
          <w:highlight w:val="none"/>
        </w:rPr>
        <w:t xml:space="preserve">的，应当赔偿损失。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12、对于承包人提交的请款报告，监理人不按实际完成的工作量进行审核，或不按本合同要求签署拨款意见，被审查发现后，必须限期改正，如监理人审核的当期支付金额超过经过委托人复核的实际应付金额</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5％以上的，监理人必须承担一般违约责任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次，超过 </w:t>
      </w:r>
      <w:r>
        <w:rPr>
          <w:rFonts w:hint="eastAsia" w:ascii="宋体" w:hAnsi="宋体" w:cs="宋体"/>
          <w:color w:val="auto"/>
          <w:sz w:val="24"/>
          <w:szCs w:val="24"/>
          <w:highlight w:val="none"/>
        </w:rPr>
        <w:t>10%的，应承担严重违约责任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次。若由此给委托人造成 </w:t>
      </w:r>
      <w:r>
        <w:rPr>
          <w:rFonts w:hint="eastAsia" w:ascii="宋体" w:hAnsi="宋体" w:cs="宋体"/>
          <w:color w:val="auto"/>
          <w:sz w:val="24"/>
          <w:szCs w:val="24"/>
          <w:highlight w:val="none"/>
        </w:rPr>
        <w:t>50</w:t>
      </w:r>
      <w:r>
        <w:rPr>
          <w:rFonts w:ascii="宋体" w:hAnsi="宋体" w:cs="宋体"/>
          <w:color w:val="auto"/>
          <w:sz w:val="24"/>
          <w:szCs w:val="24"/>
          <w:highlight w:val="none"/>
        </w:rPr>
        <w:t xml:space="preserve"> 万元以上</w:t>
      </w:r>
      <w:r>
        <w:rPr>
          <w:rFonts w:hint="eastAsia" w:ascii="宋体" w:hAnsi="宋体" w:cs="宋体"/>
          <w:color w:val="auto"/>
          <w:sz w:val="24"/>
          <w:szCs w:val="24"/>
          <w:highlight w:val="none"/>
        </w:rPr>
        <w:t>（含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50</w:t>
      </w:r>
      <w:r>
        <w:rPr>
          <w:rFonts w:ascii="宋体" w:hAnsi="宋体" w:cs="宋体"/>
          <w:color w:val="auto"/>
          <w:sz w:val="24"/>
          <w:szCs w:val="24"/>
          <w:highlight w:val="none"/>
        </w:rPr>
        <w:t xml:space="preserve"> 万元</w:t>
      </w:r>
      <w:r>
        <w:rPr>
          <w:rFonts w:hint="eastAsia" w:ascii="宋体" w:hAnsi="宋体" w:cs="宋体"/>
          <w:color w:val="auto"/>
          <w:sz w:val="24"/>
          <w:szCs w:val="24"/>
          <w:highlight w:val="none"/>
        </w:rPr>
        <w:t xml:space="preserve">）损失的，监理人除必须承担相应的经济赔偿外，委托人将视情况部分或全部解除合同。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13、监理人同时发生本合同专用条款第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26</w:t>
      </w:r>
      <w:r>
        <w:rPr>
          <w:rFonts w:ascii="宋体" w:hAnsi="宋体" w:cs="宋体"/>
          <w:color w:val="auto"/>
          <w:sz w:val="24"/>
          <w:szCs w:val="24"/>
          <w:highlight w:val="none"/>
        </w:rPr>
        <w:t xml:space="preserve"> 条</w:t>
      </w:r>
      <w:r>
        <w:rPr>
          <w:rFonts w:hint="eastAsia" w:ascii="宋体" w:hAnsi="宋体" w:cs="宋体"/>
          <w:color w:val="auto"/>
          <w:sz w:val="24"/>
          <w:szCs w:val="24"/>
          <w:highlight w:val="none"/>
        </w:rPr>
        <w:t>（四）款</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8、9、11、12</w:t>
      </w:r>
      <w:r>
        <w:rPr>
          <w:rFonts w:ascii="宋体" w:hAnsi="宋体" w:cs="宋体"/>
          <w:color w:val="auto"/>
          <w:sz w:val="24"/>
          <w:szCs w:val="24"/>
          <w:highlight w:val="none"/>
        </w:rPr>
        <w:t xml:space="preserve"> 项约定的违约行为且</w:t>
      </w:r>
      <w:r>
        <w:rPr>
          <w:rFonts w:hint="eastAsia" w:ascii="宋体" w:hAnsi="宋体" w:cs="宋体"/>
          <w:color w:val="auto"/>
          <w:sz w:val="24"/>
          <w:szCs w:val="24"/>
          <w:highlight w:val="none"/>
        </w:rPr>
        <w:t>情节严重的，视同监理人和承包人串通作假，委托人有权单方解除合同，造成委托人损失的，</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委托人有权按本合同专用条款第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26</w:t>
      </w:r>
      <w:r>
        <w:rPr>
          <w:rFonts w:ascii="宋体" w:hAnsi="宋体" w:cs="宋体"/>
          <w:color w:val="auto"/>
          <w:sz w:val="24"/>
          <w:szCs w:val="24"/>
          <w:highlight w:val="none"/>
        </w:rPr>
        <w:t xml:space="preserve"> 条</w:t>
      </w:r>
      <w:r>
        <w:rPr>
          <w:rFonts w:hint="eastAsia" w:ascii="宋体" w:hAnsi="宋体" w:cs="宋体"/>
          <w:color w:val="auto"/>
          <w:sz w:val="24"/>
          <w:szCs w:val="24"/>
          <w:highlight w:val="none"/>
        </w:rPr>
        <w:t>（一）款</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6</w:t>
      </w:r>
      <w:r>
        <w:rPr>
          <w:rFonts w:ascii="宋体" w:hAnsi="宋体" w:cs="宋体"/>
          <w:color w:val="auto"/>
          <w:sz w:val="24"/>
          <w:szCs w:val="24"/>
          <w:highlight w:val="none"/>
        </w:rPr>
        <w:t xml:space="preserve"> 项的约定要求监理人承担赔偿责任。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监理人应设立专职安全管理人员，督促承包人建立安全生产保障体系，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次一般违约责任。由此而发生安全生产事故，或被上级主管部门通报批评、被新闻媒体曝光的，监理人应承担严重违约责任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次；情节严重的，委托人有权部分或全部解除合同。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15、本项目实施过程中，若发生重大安全责任事故，经核实监理单人负有管理责任的，监理人按每发生一次计人民币十万元承担违约责任。违约金按实际发生计算，没有上限。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（1）因监理人原因造成工程投资增加的，委托人将根据工程投资的增加额与原计划投资额的比例，按相应比例双倍扣减监理报酬；若增加工程投资比例超过原计划投资额的 20%</w:t>
      </w:r>
      <w:r>
        <w:rPr>
          <w:rFonts w:hint="eastAsia" w:ascii="宋体" w:hAnsi="宋体" w:cs="宋体"/>
          <w:color w:val="auto"/>
          <w:spacing w:val="-6"/>
          <w:sz w:val="24"/>
          <w:szCs w:val="24"/>
          <w:highlight w:val="none"/>
        </w:rPr>
        <w:t>时，</w:t>
      </w:r>
      <w:r>
        <w:rPr>
          <w:rFonts w:ascii="宋体" w:hAnsi="宋体" w:cs="宋体"/>
          <w:color w:val="auto"/>
          <w:spacing w:val="-6"/>
          <w:sz w:val="24"/>
          <w:szCs w:val="24"/>
          <w:highlight w:val="none"/>
        </w:rPr>
        <w:t xml:space="preserve"> </w:t>
      </w:r>
      <w:r>
        <w:rPr>
          <w:rFonts w:hint="eastAsia" w:ascii="宋体" w:hAnsi="宋体" w:cs="宋体"/>
          <w:color w:val="auto"/>
          <w:spacing w:val="-2"/>
          <w:sz w:val="24"/>
          <w:szCs w:val="24"/>
          <w:highlight w:val="none"/>
        </w:rPr>
        <w:t>委托人有权单方解除本合同，并要求监理人赔偿委托人由此遭受的实际损失中的</w:t>
      </w:r>
      <w:r>
        <w:rPr>
          <w:rFonts w:ascii="宋体" w:hAnsi="宋体" w:cs="宋体"/>
          <w:color w:val="auto"/>
          <w:spacing w:val="-2"/>
          <w:sz w:val="24"/>
          <w:szCs w:val="24"/>
          <w:highlight w:val="none"/>
        </w:rPr>
        <w:t xml:space="preserve"> </w:t>
      </w:r>
      <w:r>
        <w:rPr>
          <w:rFonts w:hint="eastAsia" w:ascii="宋体" w:hAnsi="宋体" w:cs="宋体"/>
          <w:color w:val="auto"/>
          <w:sz w:val="24"/>
          <w:szCs w:val="24"/>
          <w:highlight w:val="none"/>
        </w:rPr>
        <w:t xml:space="preserve">50%。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6"/>
          <w:sz w:val="24"/>
          <w:szCs w:val="24"/>
          <w:highlight w:val="none"/>
        </w:rPr>
        <w:t>因监理人责任导致工期延误，其中分段工期延误日数占该段总工期的</w:t>
      </w:r>
      <w:r>
        <w:rPr>
          <w:rFonts w:ascii="宋体" w:hAnsi="宋体" w:cs="宋体"/>
          <w:color w:val="auto"/>
          <w:spacing w:val="-6"/>
          <w:sz w:val="24"/>
          <w:szCs w:val="24"/>
          <w:highlight w:val="none"/>
        </w:rPr>
        <w:t xml:space="preserve"> </w:t>
      </w:r>
      <w:r>
        <w:rPr>
          <w:rFonts w:hint="eastAsia" w:ascii="宋体" w:hAnsi="宋体" w:cs="宋体"/>
          <w:color w:val="auto"/>
          <w:sz w:val="24"/>
          <w:szCs w:val="24"/>
          <w:highlight w:val="none"/>
        </w:rPr>
        <w:t>30%</w:t>
      </w:r>
      <w:r>
        <w:rPr>
          <w:rFonts w:hint="eastAsia" w:ascii="宋体" w:hAnsi="宋体" w:cs="宋体"/>
          <w:color w:val="auto"/>
          <w:spacing w:val="-14"/>
          <w:sz w:val="24"/>
          <w:szCs w:val="24"/>
          <w:highlight w:val="none"/>
        </w:rPr>
        <w:t>时，则委</w:t>
      </w:r>
      <w:r>
        <w:rPr>
          <w:rFonts w:hint="eastAsia" w:ascii="宋体" w:hAnsi="宋体" w:cs="宋体"/>
          <w:color w:val="auto"/>
          <w:spacing w:val="-7"/>
          <w:sz w:val="24"/>
          <w:szCs w:val="24"/>
          <w:highlight w:val="none"/>
        </w:rPr>
        <w:t>托人有权扣除该分段工程监理报酬的</w:t>
      </w:r>
      <w:r>
        <w:rPr>
          <w:rFonts w:ascii="宋体" w:hAnsi="宋体" w:cs="宋体"/>
          <w:color w:val="auto"/>
          <w:spacing w:val="-7"/>
          <w:sz w:val="24"/>
          <w:szCs w:val="24"/>
          <w:highlight w:val="none"/>
        </w:rPr>
        <w:t xml:space="preserve"> </w:t>
      </w:r>
      <w:r>
        <w:rPr>
          <w:rFonts w:hint="eastAsia" w:ascii="宋体" w:hAnsi="宋体" w:cs="宋体"/>
          <w:color w:val="auto"/>
          <w:sz w:val="24"/>
          <w:szCs w:val="24"/>
          <w:highlight w:val="none"/>
        </w:rPr>
        <w:t>60%；</w:t>
      </w:r>
      <w:r>
        <w:rPr>
          <w:rFonts w:hint="eastAsia" w:ascii="宋体" w:hAnsi="宋体" w:cs="宋体"/>
          <w:color w:val="auto"/>
          <w:spacing w:val="-3"/>
          <w:sz w:val="24"/>
          <w:szCs w:val="24"/>
          <w:highlight w:val="none"/>
        </w:rPr>
        <w:t>分段工期延误日数达到该段总工期的</w:t>
      </w:r>
      <w:r>
        <w:rPr>
          <w:rFonts w:ascii="宋体" w:hAnsi="宋体" w:cs="宋体"/>
          <w:color w:val="auto"/>
          <w:spacing w:val="-3"/>
          <w:sz w:val="24"/>
          <w:szCs w:val="24"/>
          <w:highlight w:val="none"/>
        </w:rPr>
        <w:t xml:space="preserve"> </w:t>
      </w:r>
      <w:r>
        <w:rPr>
          <w:rFonts w:hint="eastAsia" w:ascii="宋体" w:hAnsi="宋体" w:cs="宋体"/>
          <w:color w:val="auto"/>
          <w:sz w:val="24"/>
          <w:szCs w:val="24"/>
          <w:highlight w:val="none"/>
        </w:rPr>
        <w:t>50%时，则委</w:t>
      </w:r>
      <w:r>
        <w:rPr>
          <w:rFonts w:hint="eastAsia" w:ascii="宋体" w:hAnsi="宋体" w:cs="宋体"/>
          <w:color w:val="auto"/>
          <w:spacing w:val="-8"/>
          <w:sz w:val="24"/>
          <w:szCs w:val="24"/>
          <w:highlight w:val="none"/>
        </w:rPr>
        <w:t>托人有权单方解除本合同。因监理人责任导致工程竣工拖延的，依据拖延的日数，监理人应每</w:t>
      </w:r>
      <w:r>
        <w:rPr>
          <w:rFonts w:hint="eastAsia" w:ascii="宋体" w:hAnsi="宋体" w:cs="宋体"/>
          <w:color w:val="auto"/>
          <w:spacing w:val="-9"/>
          <w:sz w:val="24"/>
          <w:szCs w:val="24"/>
          <w:highlight w:val="none"/>
        </w:rPr>
        <w:t>日按监理报酬总额的</w:t>
      </w:r>
      <w:r>
        <w:rPr>
          <w:rFonts w:ascii="宋体" w:hAnsi="宋体" w:cs="宋体"/>
          <w:color w:val="auto"/>
          <w:spacing w:val="-9"/>
          <w:sz w:val="24"/>
          <w:szCs w:val="24"/>
          <w:highlight w:val="none"/>
        </w:rPr>
        <w:t xml:space="preserve"> </w:t>
      </w:r>
      <w:r>
        <w:rPr>
          <w:rFonts w:hint="eastAsia" w:ascii="宋体" w:hAnsi="宋体" w:cs="宋体"/>
          <w:color w:val="auto"/>
          <w:sz w:val="24"/>
          <w:szCs w:val="24"/>
          <w:highlight w:val="none"/>
        </w:rPr>
        <w:t>0.05%</w:t>
      </w:r>
      <w:r>
        <w:rPr>
          <w:rFonts w:hint="eastAsia" w:ascii="宋体" w:hAnsi="宋体" w:cs="宋体"/>
          <w:color w:val="auto"/>
          <w:spacing w:val="-3"/>
          <w:sz w:val="24"/>
          <w:szCs w:val="24"/>
          <w:highlight w:val="none"/>
        </w:rPr>
        <w:t>向委托人支付违约金。由于监理人责任导致工期延误，致使委托人要承担赔偿第三方责任的，监理人必须承担赔偿委托人由此遭受的实际损失。</w:t>
      </w:r>
      <w:r>
        <w:rPr>
          <w:rFonts w:ascii="宋体" w:hAnsi="宋体" w:cs="宋体"/>
          <w:color w:val="auto"/>
          <w:spacing w:val="-3"/>
          <w:sz w:val="24"/>
          <w:szCs w:val="24"/>
          <w:highlight w:val="none"/>
        </w:rPr>
        <w:t xml:space="preserve">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因监理人责任造成质量事故，需要返工的，监理人应承担</w:t>
      </w:r>
      <w:r>
        <w:rPr>
          <w:rFonts w:ascii="宋体" w:hAnsi="宋体" w:cs="宋体"/>
          <w:color w:val="auto"/>
          <w:spacing w:val="-2"/>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pacing w:val="-8"/>
          <w:sz w:val="24"/>
          <w:szCs w:val="24"/>
          <w:highlight w:val="none"/>
        </w:rPr>
        <w:t xml:space="preserve"> 次严重违约责任并双倍</w:t>
      </w:r>
      <w:r>
        <w:rPr>
          <w:rFonts w:hint="eastAsia" w:ascii="宋体" w:hAnsi="宋体" w:cs="宋体"/>
          <w:color w:val="auto"/>
          <w:spacing w:val="-7"/>
          <w:sz w:val="24"/>
          <w:szCs w:val="24"/>
          <w:highlight w:val="none"/>
        </w:rPr>
        <w:t>扣减该部分的监理报酬，同时监理人应赔偿委托人的实际损失；情节严重的，委托人有权单方</w:t>
      </w:r>
      <w:r>
        <w:rPr>
          <w:rFonts w:hint="eastAsia" w:ascii="宋体" w:hAnsi="宋体" w:cs="宋体"/>
          <w:color w:val="auto"/>
          <w:sz w:val="24"/>
          <w:szCs w:val="24"/>
          <w:highlight w:val="none"/>
        </w:rPr>
        <w:t xml:space="preserve">面解除合同，并有权要求监理人赔偿委托人由此遭受的经济损失。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17、对于工程施工过程中出现的工程变更，如当月由委托人确定的工程变更的单价或总价较监理人审定的单价或总价存在正负 10%以上的情况累计出现 2 宗以上（含 2 宗），监理人应当承担 1 次一般违约责任。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18、对于承包人不按时提交工程结算文件，监理人不按合同约定采取有效措施的，监理人应承担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次一般违约责任。监理人应在收到施工单位报送的结算书及必要的支持材料后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日</w:t>
      </w:r>
      <w:r>
        <w:rPr>
          <w:rFonts w:hint="eastAsia" w:ascii="宋体" w:hAnsi="宋体" w:cs="宋体"/>
          <w:color w:val="auto"/>
          <w:sz w:val="24"/>
          <w:szCs w:val="24"/>
          <w:highlight w:val="none"/>
        </w:rPr>
        <w:t>内完成结算书初审工作，并上报委托人审核。否则，每拖延一天，支付</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2000</w:t>
      </w:r>
      <w:r>
        <w:rPr>
          <w:rFonts w:ascii="宋体" w:hAnsi="宋体" w:cs="宋体"/>
          <w:color w:val="auto"/>
          <w:sz w:val="24"/>
          <w:szCs w:val="24"/>
          <w:highlight w:val="none"/>
        </w:rPr>
        <w:t xml:space="preserve"> 元违约金，以此</w:t>
      </w:r>
      <w:r>
        <w:rPr>
          <w:rFonts w:hint="eastAsia" w:ascii="宋体" w:hAnsi="宋体" w:cs="宋体"/>
          <w:color w:val="auto"/>
          <w:sz w:val="24"/>
          <w:szCs w:val="24"/>
          <w:highlight w:val="none"/>
        </w:rPr>
        <w:t xml:space="preserve">累计。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19、监理人根据合同约定对承包人提交的工程结算书（结算资料）进行审核，如最终由委托人审定的结算金额较由监理人审定的结算金额的差值大于正负 5</w:t>
      </w:r>
      <w:r>
        <w:rPr>
          <w:rFonts w:ascii="宋体" w:hAnsi="宋体" w:cs="宋体"/>
          <w:color w:val="auto"/>
          <w:sz w:val="24"/>
          <w:szCs w:val="24"/>
          <w:highlight w:val="none"/>
        </w:rPr>
        <w:t>%，则由监理人按下列计算</w:t>
      </w:r>
      <w:r>
        <w:rPr>
          <w:rFonts w:hint="eastAsia" w:ascii="宋体" w:hAnsi="宋体" w:cs="宋体"/>
          <w:color w:val="auto"/>
          <w:sz w:val="24"/>
          <w:szCs w:val="24"/>
          <w:highlight w:val="none"/>
        </w:rPr>
        <w:t>方法向委托人支付违约金，最多不超过本合同监理报酬总额的</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10%：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违约金=[ㄧ（A－B）/B ㄧ-5%]×C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其中：A-监理人审定的工程结算金额；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B-委托人审定的工程结算金额； C-监理合同报酬总额。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（五）其他方面的违约责任：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监理人必须加强对监理人员职业操守、廉政建设的培训和教育，本项目监理人员利用职业身份“吃、拿、卡、要”或有其他违反职业操守及廉政建设相关规定的，一经查实，监理人应立即清退该监理人员，并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次严重违约，情节严重的，委托人有权部分或全部解除合同</w:t>
      </w:r>
      <w:r>
        <w:rPr>
          <w:rFonts w:hint="eastAsia" w:ascii="宋体" w:hAnsi="宋体" w:cs="宋体"/>
          <w:color w:val="auto"/>
          <w:sz w:val="24"/>
          <w:szCs w:val="24"/>
          <w:highlight w:val="none"/>
        </w:rPr>
        <w:t xml:space="preserve">并有权向有关部门反映情况，同时将上述违反职业道德的行为通过新闻媒体公诸于众，情节严重者移交司法机关追究法律责任。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2、工程监理资料收集不齐、管理混乱的，监理人承担一般违约责任；缺损原始记录的， 每件文件扣减 1000 元监理费。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3、除上述约定之外，监理人有违反合同约定的其他义务的，均构成违约，委托人有权视具体情况给予书面警告并限期改正，监理人拒不限期改正的，应承担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次一般违约责任，情节严重的，应承担 1 次严重违约责任。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监理人应配合完成第三方质量安全评估工作。根据每次评估结果，经评估确定为一般违约情况的，监理人应按合同约定承担一次一般违约责任；经评估确定为严重违约情况的，监理人应按合同约定承担一次严重违约责任。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（六）委托人以书面形式作出的违约处理决定一经送达监理人立即生效。监理人如有足够证据证明不应由其承担违约责任的，应在收到违约处理决定后 3 天内以书面形式向委托人提出异议并附上有关证据；委托人在收到监理人的异议后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15</w:t>
      </w:r>
      <w:r>
        <w:rPr>
          <w:rFonts w:ascii="宋体" w:hAnsi="宋体" w:cs="宋体"/>
          <w:color w:val="auto"/>
          <w:sz w:val="24"/>
          <w:szCs w:val="24"/>
          <w:highlight w:val="none"/>
        </w:rPr>
        <w:t xml:space="preserve"> 天内审核完毕且</w:t>
      </w:r>
      <w:r>
        <w:rPr>
          <w:rFonts w:hint="eastAsia" w:ascii="宋体" w:hAnsi="宋体" w:cs="宋体"/>
          <w:color w:val="auto"/>
          <w:sz w:val="24"/>
          <w:szCs w:val="24"/>
          <w:highlight w:val="none"/>
        </w:rPr>
        <w:t xml:space="preserve">作出书面决定并通知监理人。 </w:t>
      </w:r>
    </w:p>
    <w:p>
      <w:pPr>
        <w:pStyle w:val="12"/>
        <w:spacing w:after="0" w:line="364"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第二十七条 </w:t>
      </w:r>
      <w:r>
        <w:rPr>
          <w:rFonts w:hint="eastAsia" w:ascii="宋体" w:hAnsi="宋体" w:cs="宋体"/>
          <w:color w:val="auto"/>
          <w:sz w:val="24"/>
          <w:szCs w:val="24"/>
          <w:highlight w:val="none"/>
        </w:rPr>
        <w:t>双方一致同意不适用本合同标准条款第 27 条的约定，承包人对质量和工期的违约，如监理人存在过错的，应按本合同相关约定承担违约责任。</w:t>
      </w:r>
      <w:r>
        <w:rPr>
          <w:rFonts w:ascii="宋体" w:hAnsi="宋体" w:cs="宋体"/>
          <w:color w:val="auto"/>
          <w:sz w:val="24"/>
          <w:szCs w:val="24"/>
          <w:highlight w:val="none"/>
        </w:rPr>
        <w:t xml:space="preserve"> </w:t>
      </w:r>
    </w:p>
    <w:p>
      <w:pPr>
        <w:pStyle w:val="12"/>
        <w:spacing w:after="0"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第三十一条 </w:t>
      </w:r>
      <w:r>
        <w:rPr>
          <w:rFonts w:hint="eastAsia" w:ascii="宋体" w:hAnsi="宋体" w:cs="宋体"/>
          <w:color w:val="auto"/>
          <w:sz w:val="24"/>
          <w:szCs w:val="24"/>
          <w:highlight w:val="none"/>
        </w:rPr>
        <w:t>双方一致同意不适用本合同标准条款第 31 条的约定，由于委托人或承包人的原因使监理工作受到阻碍或延误，则监理人应当将此情况与可能产生的影响及时通知委托人，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完成监理业务的时间相应延长，监理人的报酬不变。</w:t>
      </w:r>
      <w:r>
        <w:rPr>
          <w:rFonts w:ascii="宋体" w:hAnsi="宋体" w:cs="宋体"/>
          <w:color w:val="auto"/>
          <w:sz w:val="24"/>
          <w:szCs w:val="24"/>
          <w:highlight w:val="none"/>
        </w:rPr>
        <w:t xml:space="preserve"> </w:t>
      </w:r>
    </w:p>
    <w:p>
      <w:pPr>
        <w:pStyle w:val="12"/>
        <w:spacing w:after="0" w:line="364" w:lineRule="auto"/>
        <w:ind w:firstLine="478" w:firstLineChars="200"/>
        <w:rPr>
          <w:rFonts w:ascii="宋体" w:hAnsi="宋体" w:cs="宋体"/>
          <w:color w:val="auto"/>
          <w:sz w:val="24"/>
          <w:szCs w:val="24"/>
          <w:highlight w:val="none"/>
        </w:rPr>
      </w:pPr>
      <w:r>
        <w:rPr>
          <w:rFonts w:hint="eastAsia" w:ascii="宋体" w:hAnsi="宋体" w:cs="宋体"/>
          <w:b/>
          <w:color w:val="auto"/>
          <w:spacing w:val="-1"/>
          <w:sz w:val="24"/>
          <w:szCs w:val="24"/>
          <w:highlight w:val="none"/>
        </w:rPr>
        <w:t xml:space="preserve">第三十二条 </w:t>
      </w:r>
      <w:r>
        <w:rPr>
          <w:rFonts w:hint="eastAsia" w:ascii="宋体" w:hAnsi="宋体" w:cs="宋体"/>
          <w:color w:val="auto"/>
          <w:sz w:val="24"/>
          <w:szCs w:val="24"/>
          <w:highlight w:val="none"/>
        </w:rPr>
        <w:t>双方一致同意不适用本合同标准条款第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32</w:t>
      </w:r>
      <w:r>
        <w:rPr>
          <w:rFonts w:ascii="宋体" w:hAnsi="宋体" w:cs="宋体"/>
          <w:color w:val="auto"/>
          <w:sz w:val="24"/>
          <w:szCs w:val="24"/>
          <w:highlight w:val="none"/>
        </w:rPr>
        <w:t xml:space="preserve"> 条的约定，在实际情况发生变化， </w:t>
      </w:r>
      <w:r>
        <w:rPr>
          <w:rFonts w:hint="eastAsia" w:ascii="宋体" w:hAnsi="宋体" w:cs="宋体"/>
          <w:color w:val="auto"/>
          <w:sz w:val="24"/>
          <w:szCs w:val="24"/>
          <w:highlight w:val="none"/>
        </w:rPr>
        <w:t>使得监理人不能全部或部分执行监理业务时，监理人应当立即通知委托人，该监理业务的完成时间应予延长。当恢复执行监理业务时，监理人应当立即恢复执行监理业务，监理人的报酬不变。</w:t>
      </w:r>
      <w:r>
        <w:rPr>
          <w:rFonts w:ascii="宋体" w:hAnsi="宋体" w:cs="宋体"/>
          <w:color w:val="auto"/>
          <w:sz w:val="24"/>
          <w:szCs w:val="24"/>
          <w:highlight w:val="none"/>
        </w:rPr>
        <w:t xml:space="preserve"> </w:t>
      </w:r>
    </w:p>
    <w:p>
      <w:pPr>
        <w:pStyle w:val="12"/>
        <w:spacing w:after="0"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第三十三条 </w:t>
      </w:r>
      <w:r>
        <w:rPr>
          <w:rFonts w:hint="eastAsia" w:ascii="宋体" w:hAnsi="宋体" w:cs="宋体"/>
          <w:color w:val="auto"/>
          <w:sz w:val="24"/>
          <w:szCs w:val="24"/>
          <w:highlight w:val="none"/>
        </w:rPr>
        <w:t>双方一致同意不适用本合同标准条款第 33 条的约定，本合同的有效期一直至本合同工程质量缺陷责任期满且本合同工程竣工结算完毕并完成工程竣工档案备案后经委托人审定满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60</w:t>
      </w:r>
      <w:r>
        <w:rPr>
          <w:rFonts w:ascii="宋体" w:hAnsi="宋体" w:cs="宋体"/>
          <w:color w:val="auto"/>
          <w:sz w:val="24"/>
          <w:szCs w:val="24"/>
          <w:highlight w:val="none"/>
        </w:rPr>
        <w:t xml:space="preserve"> 日并且双方的责任、</w:t>
      </w:r>
      <w:r>
        <w:rPr>
          <w:rFonts w:hint="eastAsia" w:ascii="宋体" w:hAnsi="宋体" w:cs="宋体"/>
          <w:color w:val="auto"/>
          <w:sz w:val="24"/>
          <w:szCs w:val="24"/>
          <w:highlight w:val="none"/>
        </w:rPr>
        <w:t>义务履行完毕时才终止。本合同工程保修期间，监理人仍须承担监理责任。</w:t>
      </w:r>
      <w:r>
        <w:rPr>
          <w:rFonts w:ascii="宋体" w:hAnsi="宋体" w:cs="宋体"/>
          <w:color w:val="auto"/>
          <w:sz w:val="24"/>
          <w:szCs w:val="24"/>
          <w:highlight w:val="none"/>
        </w:rPr>
        <w:t xml:space="preserve"> </w:t>
      </w:r>
    </w:p>
    <w:p>
      <w:pPr>
        <w:pStyle w:val="12"/>
        <w:spacing w:after="0"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第三十四条 </w:t>
      </w:r>
      <w:r>
        <w:rPr>
          <w:rFonts w:hint="eastAsia" w:ascii="宋体" w:hAnsi="宋体" w:cs="宋体"/>
          <w:color w:val="auto"/>
          <w:sz w:val="24"/>
          <w:szCs w:val="24"/>
          <w:highlight w:val="none"/>
        </w:rPr>
        <w:t>双方一致同意不适用本合同标准条款第 34</w:t>
      </w:r>
      <w:r>
        <w:rPr>
          <w:rFonts w:ascii="宋体" w:hAnsi="宋体" w:cs="宋体"/>
          <w:color w:val="auto"/>
          <w:sz w:val="24"/>
          <w:szCs w:val="24"/>
          <w:highlight w:val="none"/>
        </w:rPr>
        <w:t xml:space="preserve"> 条的约定，本合同未经双方协商</w:t>
      </w:r>
      <w:r>
        <w:rPr>
          <w:rFonts w:hint="eastAsia" w:ascii="宋体" w:hAnsi="宋体" w:cs="宋体"/>
          <w:color w:val="auto"/>
          <w:sz w:val="24"/>
          <w:szCs w:val="24"/>
          <w:highlight w:val="none"/>
        </w:rPr>
        <w:t xml:space="preserve">一致，不得变更或解除。委托人根据本合同的约定单方面部分或全部解除本合同的，自委托人书面通知监理人时起部分或全部解除本合同即生效。 </w:t>
      </w:r>
    </w:p>
    <w:p>
      <w:pPr>
        <w:pStyle w:val="12"/>
        <w:spacing w:after="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本合同的修改（包括服务范围的修改），只能以双方书面同意的方式进行。</w:t>
      </w:r>
    </w:p>
    <w:p>
      <w:pPr>
        <w:pStyle w:val="12"/>
        <w:spacing w:after="0" w:line="440" w:lineRule="exact"/>
        <w:ind w:firstLine="478"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 xml:space="preserve">第三十五条 </w:t>
      </w:r>
      <w:r>
        <w:rPr>
          <w:rFonts w:hint="eastAsia" w:ascii="宋体" w:hAnsi="宋体" w:cs="宋体"/>
          <w:color w:val="auto"/>
          <w:sz w:val="24"/>
          <w:szCs w:val="24"/>
          <w:highlight w:val="none"/>
        </w:rPr>
        <w:t>双方一致同意不适用本合同标准条款第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35</w:t>
      </w:r>
      <w:r>
        <w:rPr>
          <w:rFonts w:ascii="宋体" w:hAnsi="宋体" w:cs="宋体"/>
          <w:color w:val="auto"/>
          <w:sz w:val="24"/>
          <w:szCs w:val="24"/>
          <w:highlight w:val="none"/>
        </w:rPr>
        <w:t xml:space="preserve"> 条的约定。</w:t>
      </w:r>
      <w:r>
        <w:rPr>
          <w:rFonts w:hint="eastAsia" w:ascii="宋体" w:hAnsi="宋体" w:cs="宋体"/>
          <w:b/>
          <w:color w:val="auto"/>
          <w:spacing w:val="-10"/>
          <w:w w:val="99"/>
          <w:sz w:val="24"/>
          <w:szCs w:val="24"/>
          <w:highlight w:val="none"/>
        </w:rPr>
        <w:t xml:space="preserve"> </w:t>
      </w:r>
    </w:p>
    <w:p>
      <w:pPr>
        <w:pStyle w:val="12"/>
        <w:spacing w:after="0" w:line="440" w:lineRule="exact"/>
        <w:ind w:firstLine="478"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 xml:space="preserve">第三十六条 </w:t>
      </w:r>
      <w:r>
        <w:rPr>
          <w:rFonts w:hint="eastAsia" w:ascii="宋体" w:hAnsi="宋体" w:cs="宋体"/>
          <w:color w:val="auto"/>
          <w:spacing w:val="-5"/>
          <w:sz w:val="24"/>
          <w:szCs w:val="24"/>
          <w:highlight w:val="none"/>
        </w:rPr>
        <w:t>双方一致同意不适用本合同标准条款第</w:t>
      </w:r>
      <w:r>
        <w:rPr>
          <w:rFonts w:ascii="宋体" w:hAnsi="宋体" w:cs="宋体"/>
          <w:color w:val="auto"/>
          <w:spacing w:val="-5"/>
          <w:sz w:val="24"/>
          <w:szCs w:val="24"/>
          <w:highlight w:val="none"/>
        </w:rPr>
        <w:t xml:space="preserve"> </w:t>
      </w:r>
      <w:r>
        <w:rPr>
          <w:rFonts w:hint="eastAsia" w:ascii="宋体" w:hAnsi="宋体" w:cs="宋体"/>
          <w:color w:val="auto"/>
          <w:sz w:val="24"/>
          <w:szCs w:val="24"/>
          <w:highlight w:val="none"/>
        </w:rPr>
        <w:t>36</w:t>
      </w:r>
      <w:r>
        <w:rPr>
          <w:rFonts w:ascii="宋体" w:hAnsi="宋体" w:cs="宋体"/>
          <w:color w:val="auto"/>
          <w:spacing w:val="-10"/>
          <w:sz w:val="24"/>
          <w:szCs w:val="24"/>
          <w:highlight w:val="none"/>
        </w:rPr>
        <w:t xml:space="preserve"> 条的约定。</w:t>
      </w:r>
      <w:r>
        <w:rPr>
          <w:rFonts w:ascii="宋体" w:hAnsi="宋体" w:cs="宋体"/>
          <w:b/>
          <w:color w:val="auto"/>
          <w:spacing w:val="-10"/>
          <w:w w:val="99"/>
          <w:sz w:val="24"/>
          <w:szCs w:val="24"/>
          <w:highlight w:val="none"/>
        </w:rPr>
        <w:t xml:space="preserve"> </w:t>
      </w:r>
    </w:p>
    <w:p>
      <w:pPr>
        <w:pStyle w:val="12"/>
        <w:spacing w:after="0"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第三十七条 </w:t>
      </w:r>
      <w:r>
        <w:rPr>
          <w:rFonts w:hint="eastAsia" w:ascii="宋体" w:hAnsi="宋体" w:cs="宋体"/>
          <w:color w:val="auto"/>
          <w:sz w:val="24"/>
          <w:szCs w:val="24"/>
          <w:highlight w:val="none"/>
        </w:rPr>
        <w:t>双方一致同意不适用本合同标准条款第 37 条的约定，当监理人无正当理由而又未履行监理义务时，按本合同专用条款第 26 条的约定处理。</w:t>
      </w:r>
      <w:r>
        <w:rPr>
          <w:rFonts w:hint="eastAsia" w:ascii="宋体" w:hAnsi="宋体" w:cs="宋体"/>
          <w:b/>
          <w:color w:val="auto"/>
          <w:w w:val="99"/>
          <w:sz w:val="24"/>
          <w:szCs w:val="24"/>
          <w:highlight w:val="none"/>
        </w:rPr>
        <w:t xml:space="preserve"> </w:t>
      </w:r>
    </w:p>
    <w:p>
      <w:pPr>
        <w:pStyle w:val="12"/>
        <w:spacing w:after="0"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第三十九条 </w:t>
      </w:r>
      <w:r>
        <w:rPr>
          <w:rFonts w:hint="eastAsia" w:ascii="宋体" w:hAnsi="宋体" w:cs="宋体"/>
          <w:color w:val="auto"/>
          <w:spacing w:val="-4"/>
          <w:sz w:val="24"/>
          <w:szCs w:val="24"/>
          <w:highlight w:val="none"/>
        </w:rPr>
        <w:t>双</w:t>
      </w:r>
      <w:r>
        <w:rPr>
          <w:rFonts w:hint="eastAsia" w:ascii="宋体" w:hAnsi="宋体" w:cs="宋体"/>
          <w:color w:val="auto"/>
          <w:sz w:val="24"/>
          <w:szCs w:val="24"/>
          <w:highlight w:val="none"/>
        </w:rPr>
        <w:t>方一致同意不适用本合同标准条款第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39</w:t>
      </w:r>
      <w:r>
        <w:rPr>
          <w:rFonts w:ascii="宋体" w:hAnsi="宋体" w:cs="宋体"/>
          <w:color w:val="auto"/>
          <w:sz w:val="24"/>
          <w:szCs w:val="24"/>
          <w:highlight w:val="none"/>
        </w:rPr>
        <w:t xml:space="preserve"> 条的约定，监理报酬的计算方法、</w:t>
      </w:r>
      <w:r>
        <w:rPr>
          <w:rFonts w:hint="eastAsia" w:ascii="宋体" w:hAnsi="宋体" w:cs="宋体"/>
          <w:color w:val="auto"/>
          <w:sz w:val="24"/>
          <w:szCs w:val="24"/>
          <w:highlight w:val="none"/>
        </w:rPr>
        <w:t xml:space="preserve">支付时间与金额按本条以下约定执行： </w:t>
      </w:r>
    </w:p>
    <w:p>
      <w:pPr>
        <w:pStyle w:val="12"/>
        <w:spacing w:after="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（一）监理报酬的计取 </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right="0" w:rightChars="0" w:firstLine="452" w:firstLineChars="2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pacing w:val="-7"/>
          <w:sz w:val="24"/>
          <w:szCs w:val="24"/>
          <w:highlight w:val="none"/>
        </w:rPr>
        <w:t>1、</w:t>
      </w:r>
      <w:r>
        <w:rPr>
          <w:rFonts w:hint="eastAsia" w:ascii="宋体" w:hAnsi="宋体" w:eastAsia="宋体" w:cs="宋体"/>
          <w:color w:val="auto"/>
          <w:sz w:val="24"/>
          <w:szCs w:val="24"/>
          <w:highlight w:val="none"/>
          <w:u w:val="none"/>
          <w:lang w:val="en-US"/>
        </w:rPr>
        <w:t>本合同工程监理报酬总额</w:t>
      </w:r>
      <w:r>
        <w:rPr>
          <w:rFonts w:hint="eastAsia" w:ascii="宋体" w:hAnsi="宋体" w:cs="宋体"/>
          <w:color w:val="auto"/>
          <w:sz w:val="24"/>
          <w:szCs w:val="24"/>
          <w:highlight w:val="none"/>
          <w:u w:val="none"/>
          <w:lang w:val="en-US" w:eastAsia="zh-CN"/>
        </w:rPr>
        <w:t>（含增值税）</w:t>
      </w:r>
      <w:r>
        <w:rPr>
          <w:rFonts w:hint="eastAsia" w:ascii="宋体" w:hAnsi="宋体" w:eastAsia="宋体" w:cs="宋体"/>
          <w:color w:val="auto"/>
          <w:sz w:val="24"/>
          <w:szCs w:val="24"/>
          <w:highlight w:val="none"/>
          <w:u w:val="none"/>
          <w:lang w:val="en-US"/>
        </w:rPr>
        <w:t>暂定为</w:t>
      </w:r>
      <w:r>
        <w:rPr>
          <w:rFonts w:hint="eastAsia" w:ascii="宋体" w:hAnsi="宋体" w:cs="宋体"/>
          <w:color w:val="auto"/>
          <w:sz w:val="24"/>
          <w:szCs w:val="24"/>
          <w:highlight w:val="none"/>
          <w:u w:val="none"/>
          <w:lang w:val="en-US" w:eastAsia="zh-CN"/>
        </w:rPr>
        <w:t>大写人民币</w:t>
      </w:r>
      <w:r>
        <w:rPr>
          <w:rFonts w:hint="eastAsia" w:ascii="宋体" w:hAnsi="宋体" w:eastAsia="宋体" w:cs="宋体"/>
          <w:color w:val="auto"/>
          <w:spacing w:val="0"/>
          <w:sz w:val="24"/>
          <w:szCs w:val="24"/>
          <w:highlight w:val="none"/>
          <w:u w:val="single"/>
          <w:lang w:val="en-US"/>
        </w:rPr>
        <w:t xml:space="preserve">  </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元（小写：    元）</w:t>
      </w:r>
      <w:r>
        <w:rPr>
          <w:rFonts w:hint="eastAsia" w:ascii="宋体" w:hAnsi="宋体" w:eastAsia="宋体" w:cs="宋体"/>
          <w:color w:val="auto"/>
          <w:kern w:val="2"/>
          <w:sz w:val="24"/>
          <w:szCs w:val="24"/>
          <w:highlight w:val="none"/>
          <w:u w:val="none"/>
          <w:lang w:val="en-US" w:eastAsia="zh-CN" w:bidi="ar-SA"/>
        </w:rPr>
        <w:t>，其中不含税金额</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u w:val="none"/>
          <w:lang w:val="en-US" w:eastAsia="zh-CN" w:bidi="ar-SA"/>
        </w:rPr>
        <w:t>，税率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，增值税金额</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leftChars="0" w:right="0" w:rightChars="0"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rPr>
        <w:t>最终结算监理费</w:t>
      </w:r>
      <w:r>
        <w:rPr>
          <w:rFonts w:hint="eastAsia" w:ascii="宋体" w:hAnsi="宋体" w:cs="宋体"/>
          <w:color w:val="auto"/>
          <w:sz w:val="24"/>
          <w:szCs w:val="24"/>
          <w:highlight w:val="none"/>
          <w:u w:val="none"/>
          <w:lang w:val="en-US" w:eastAsia="zh-CN"/>
        </w:rPr>
        <w:t>按下列三个金额中最低者为准执行。</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leftChars="0" w:right="0" w:rightChars="0" w:firstLine="480" w:firstLineChars="200"/>
        <w:jc w:val="left"/>
        <w:textAlignment w:val="auto"/>
        <w:rPr>
          <w:rFonts w:hint="eastAsia" w:ascii="宋体" w:hAnsi="宋体" w:eastAsia="宋体" w:cs="宋体"/>
          <w:color w:val="auto"/>
          <w:sz w:val="24"/>
          <w:szCs w:val="24"/>
          <w:highlight w:val="none"/>
          <w:u w:val="single"/>
          <w:lang w:val="en-US"/>
        </w:rPr>
      </w:pP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rPr>
        <w:t>以经委托人或委托人委托的第三方审核单位或增城区财政投资评审中心（如有）审定的结算价中建筑安装工程费作为计费基数，计算公式为：参照发改价格[2007]670号文规定计算的监理收费基价结合各调整系数</w:t>
      </w:r>
      <w:r>
        <w:rPr>
          <w:rFonts w:hint="eastAsia" w:ascii="宋体" w:hAnsi="宋体" w:cs="宋体"/>
          <w:color w:val="auto"/>
          <w:sz w:val="24"/>
          <w:szCs w:val="24"/>
          <w:highlight w:val="none"/>
          <w:u w:val="none"/>
          <w:lang w:val="en-US" w:eastAsia="zh-CN"/>
        </w:rPr>
        <w:t>得到的</w:t>
      </w:r>
      <w:r>
        <w:rPr>
          <w:rFonts w:hint="eastAsia" w:ascii="宋体" w:hAnsi="宋体" w:eastAsia="宋体" w:cs="宋体"/>
          <w:color w:val="auto"/>
          <w:sz w:val="24"/>
          <w:szCs w:val="24"/>
          <w:highlight w:val="none"/>
          <w:u w:val="none"/>
          <w:lang w:val="en-US"/>
        </w:rPr>
        <w:t>价格×</w:t>
      </w:r>
      <w:r>
        <w:rPr>
          <w:rFonts w:hint="eastAsia" w:ascii="宋体" w:hAnsi="宋体" w:cs="宋体"/>
          <w:color w:val="auto"/>
          <w:sz w:val="24"/>
          <w:szCs w:val="24"/>
          <w:highlight w:val="none"/>
          <w:u w:val="none"/>
          <w:lang w:val="en-US" w:eastAsia="zh-CN"/>
        </w:rPr>
        <w:t>（1-发包下浮率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rPr>
        <w:t>×（1-中标下浮率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rPr>
        <w:t xml:space="preserve">）。 </w:t>
      </w:r>
      <w:r>
        <w:rPr>
          <w:rFonts w:hint="eastAsia" w:ascii="宋体" w:hAnsi="宋体" w:eastAsia="宋体" w:cs="宋体"/>
          <w:color w:val="auto"/>
          <w:sz w:val="24"/>
          <w:szCs w:val="24"/>
          <w:highlight w:val="none"/>
          <w:u w:val="none"/>
          <w:lang w:val="zh-CN"/>
        </w:rPr>
        <w:t>其中，</w:t>
      </w:r>
      <w:r>
        <w:rPr>
          <w:rFonts w:hint="eastAsia" w:ascii="宋体" w:hAnsi="宋体" w:eastAsia="宋体" w:cs="宋体"/>
          <w:color w:val="auto"/>
          <w:sz w:val="24"/>
          <w:szCs w:val="24"/>
          <w:highlight w:val="none"/>
          <w:u w:val="none"/>
          <w:lang w:val="en-US"/>
        </w:rPr>
        <w:t>专业调整系数为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、工程复杂程度调整系数为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、高程调整系数为</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none"/>
          <w:lang w:val="en-US"/>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kern w:val="2"/>
          <w:sz w:val="24"/>
          <w:szCs w:val="24"/>
          <w:highlight w:val="none"/>
          <w:u w:val="none"/>
          <w:lang w:val="en-US" w:eastAsia="zh-CN" w:bidi="ar-SA"/>
        </w:rPr>
        <w:t>以委托人或委托人委托的第三方审核单位或增城区财政投资评审中心审定的</w:t>
      </w:r>
      <w:r>
        <w:rPr>
          <w:rFonts w:hint="eastAsia" w:ascii="宋体" w:hAnsi="宋体" w:cs="宋体"/>
          <w:color w:val="auto"/>
          <w:kern w:val="2"/>
          <w:sz w:val="24"/>
          <w:szCs w:val="24"/>
          <w:highlight w:val="none"/>
          <w:u w:val="none"/>
          <w:lang w:val="en-US" w:eastAsia="zh-CN" w:bidi="ar-SA"/>
        </w:rPr>
        <w:t>概算（达预算标准）评审报告中</w:t>
      </w:r>
      <w:r>
        <w:rPr>
          <w:rFonts w:hint="eastAsia" w:ascii="宋体" w:hAnsi="宋体" w:eastAsia="宋体" w:cs="宋体"/>
          <w:color w:val="auto"/>
          <w:kern w:val="2"/>
          <w:sz w:val="24"/>
          <w:szCs w:val="24"/>
          <w:highlight w:val="none"/>
          <w:u w:val="none"/>
          <w:lang w:val="en-US" w:eastAsia="zh-CN" w:bidi="ar-SA"/>
        </w:rPr>
        <w:t>监理费用，</w:t>
      </w:r>
      <w:r>
        <w:rPr>
          <w:rFonts w:hint="eastAsia" w:ascii="宋体" w:hAnsi="宋体" w:cs="宋体"/>
          <w:color w:val="auto"/>
          <w:kern w:val="2"/>
          <w:sz w:val="24"/>
          <w:szCs w:val="24"/>
          <w:highlight w:val="none"/>
          <w:u w:val="none"/>
          <w:lang w:val="en-US" w:eastAsia="zh-CN" w:bidi="ar-SA"/>
        </w:rPr>
        <w:t>结合结算下浮率（发包下浮率</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none"/>
          <w:lang w:val="en-US" w:eastAsia="zh-CN" w:bidi="ar-SA"/>
        </w:rPr>
        <w:t>%及中标下浮率</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none"/>
          <w:lang w:val="en-US" w:eastAsia="zh-CN" w:bidi="ar-SA"/>
        </w:rPr>
        <w:t>）。</w:t>
      </w:r>
    </w:p>
    <w:p>
      <w:pPr>
        <w:widowControl/>
        <w:numPr>
          <w:ilvl w:val="-1"/>
          <w:numId w:val="0"/>
        </w:numPr>
        <w:tabs>
          <w:tab w:val="left" w:pos="1190"/>
        </w:tabs>
        <w:spacing w:after="0" w:line="440" w:lineRule="exact"/>
        <w:ind w:firstLine="480" w:firstLineChars="200"/>
        <w:rPr>
          <w:color w:val="auto"/>
          <w:highlight w:val="none"/>
        </w:rPr>
      </w:pPr>
      <w:r>
        <w:rPr>
          <w:rFonts w:hint="eastAsia" w:ascii="宋体" w:hAnsi="宋体" w:cs="宋体"/>
          <w:color w:val="auto"/>
          <w:sz w:val="24"/>
          <w:szCs w:val="24"/>
          <w:highlight w:val="none"/>
          <w:u w:val="none"/>
          <w:lang w:val="en-US" w:eastAsia="zh-CN"/>
        </w:rPr>
        <w:t>（3）本合同第一章协议书第二条约定的暂定总额。</w:t>
      </w:r>
    </w:p>
    <w:p>
      <w:pPr>
        <w:pStyle w:val="12"/>
        <w:spacing w:after="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2、在本合同约定的监理范围内，监理人不得以任何理由要求附加工作和额外工作的监理报酬。 </w:t>
      </w:r>
    </w:p>
    <w:p>
      <w:pPr>
        <w:pStyle w:val="12"/>
        <w:spacing w:after="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3、在本合同约定的监理范围内，当工程量增加、或设计变更或设计规模变化时，监理人工作的变化均应视为本合同约定的监理工作。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4、除非双方另有约定，本合同约定的服务期间，各种费率和费用不因物价变动而给予弥补或调整。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1"/>
          <w:sz w:val="24"/>
          <w:szCs w:val="24"/>
          <w:highlight w:val="none"/>
        </w:rPr>
        <w:t>、在本合同约定的监理范围内，非因监理人原因造成工程延期，致使监理服务期出现延</w:t>
      </w:r>
      <w:r>
        <w:rPr>
          <w:rFonts w:hint="eastAsia" w:ascii="宋体" w:hAnsi="宋体" w:cs="宋体"/>
          <w:color w:val="auto"/>
          <w:sz w:val="24"/>
          <w:szCs w:val="24"/>
          <w:highlight w:val="none"/>
        </w:rPr>
        <w:t xml:space="preserve">长，监理人的责任期也应相应延长，本合同监理报酬总额不作调整，双方另有约定的除外。 </w:t>
      </w:r>
    </w:p>
    <w:p>
      <w:pPr>
        <w:pStyle w:val="12"/>
        <w:spacing w:after="0" w:line="36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6、如在工程实施期间，因国家政策变化、政府对本合同工程的计划调整或不可抗力等非</w:t>
      </w:r>
      <w:r>
        <w:rPr>
          <w:rFonts w:hint="eastAsia" w:ascii="宋体" w:hAnsi="宋体" w:cs="宋体"/>
          <w:color w:val="auto"/>
          <w:spacing w:val="-7"/>
          <w:sz w:val="24"/>
          <w:szCs w:val="24"/>
          <w:highlight w:val="none"/>
        </w:rPr>
        <w:t>委托人原因造成本合同工程停建的，则监理人必须接受终止服务并积极配合委托人做好善后工</w:t>
      </w:r>
      <w:r>
        <w:rPr>
          <w:rFonts w:hint="eastAsia" w:ascii="宋体" w:hAnsi="宋体" w:cs="宋体"/>
          <w:color w:val="auto"/>
          <w:sz w:val="24"/>
          <w:szCs w:val="24"/>
          <w:highlight w:val="none"/>
        </w:rPr>
        <w:t xml:space="preserve">作，按已实际完成的监理服务内容和本合同的相关约定结清监理报酬。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7、如在工程实施期间，因任何原因造成本合同工程中间停工而导致监理人必须二次或多</w:t>
      </w:r>
      <w:r>
        <w:rPr>
          <w:rFonts w:hint="eastAsia" w:ascii="宋体" w:hAnsi="宋体" w:cs="宋体"/>
          <w:color w:val="auto"/>
          <w:spacing w:val="-1"/>
          <w:sz w:val="24"/>
          <w:szCs w:val="24"/>
          <w:highlight w:val="none"/>
        </w:rPr>
        <w:t>次进出场，监理报酬总额将不会因此而有所调整，相关费用亦已经包含在本合同监理报酬中。</w:t>
      </w:r>
      <w:r>
        <w:rPr>
          <w:rFonts w:hint="eastAsia" w:ascii="宋体" w:hAnsi="宋体" w:cs="宋体"/>
          <w:color w:val="auto"/>
          <w:spacing w:val="-4"/>
          <w:sz w:val="24"/>
          <w:szCs w:val="24"/>
          <w:highlight w:val="none"/>
        </w:rPr>
        <w:t>本合同监理报酬含项目全部监理咨询工作所需的全部费用：监理人完成合同规定全部监理工作所需的各类人员的动员/</w:t>
      </w:r>
      <w:r>
        <w:rPr>
          <w:rFonts w:hint="eastAsia" w:ascii="宋体" w:hAnsi="宋体" w:cs="宋体"/>
          <w:color w:val="auto"/>
          <w:spacing w:val="-7"/>
          <w:sz w:val="24"/>
          <w:szCs w:val="24"/>
          <w:highlight w:val="none"/>
        </w:rPr>
        <w:t>复员费、各类设备和仪器的进场</w:t>
      </w:r>
      <w:r>
        <w:rPr>
          <w:rFonts w:hint="eastAsia" w:ascii="宋体" w:hAnsi="宋体" w:cs="宋体"/>
          <w:color w:val="auto"/>
          <w:sz w:val="24"/>
          <w:szCs w:val="24"/>
          <w:highlight w:val="none"/>
        </w:rPr>
        <w:t>/</w:t>
      </w:r>
      <w:r>
        <w:rPr>
          <w:rFonts w:hint="eastAsia" w:ascii="宋体" w:hAnsi="宋体" w:cs="宋体"/>
          <w:color w:val="auto"/>
          <w:spacing w:val="-8"/>
          <w:sz w:val="24"/>
          <w:szCs w:val="24"/>
          <w:highlight w:val="none"/>
        </w:rPr>
        <w:t>退场费、各项准备工作的费用、临时</w:t>
      </w:r>
      <w:r>
        <w:rPr>
          <w:rFonts w:hint="eastAsia" w:ascii="宋体" w:hAnsi="宋体" w:cs="宋体"/>
          <w:color w:val="auto"/>
          <w:spacing w:val="-9"/>
          <w:sz w:val="24"/>
          <w:szCs w:val="24"/>
          <w:highlight w:val="none"/>
        </w:rPr>
        <w:t>设施费、差旅费、人员</w:t>
      </w:r>
      <w:r>
        <w:rPr>
          <w:rFonts w:hint="eastAsia" w:ascii="宋体" w:hAnsi="宋体" w:cs="宋体"/>
          <w:color w:val="auto"/>
          <w:sz w:val="24"/>
          <w:szCs w:val="24"/>
          <w:highlight w:val="none"/>
        </w:rPr>
        <w:t>/</w:t>
      </w:r>
      <w:r>
        <w:rPr>
          <w:rFonts w:hint="eastAsia" w:ascii="宋体" w:hAnsi="宋体" w:cs="宋体"/>
          <w:color w:val="auto"/>
          <w:spacing w:val="-8"/>
          <w:sz w:val="24"/>
          <w:szCs w:val="24"/>
          <w:highlight w:val="none"/>
        </w:rPr>
        <w:t>劳务费</w:t>
      </w:r>
      <w:r>
        <w:rPr>
          <w:rFonts w:hint="eastAsia" w:ascii="宋体" w:hAnsi="宋体" w:cs="宋体"/>
          <w:color w:val="auto"/>
          <w:sz w:val="24"/>
          <w:szCs w:val="24"/>
          <w:highlight w:val="none"/>
        </w:rPr>
        <w:t>（</w:t>
      </w:r>
      <w:r>
        <w:rPr>
          <w:rFonts w:hint="eastAsia" w:ascii="宋体" w:hAnsi="宋体" w:cs="宋体"/>
          <w:color w:val="auto"/>
          <w:spacing w:val="-10"/>
          <w:sz w:val="24"/>
          <w:szCs w:val="24"/>
          <w:highlight w:val="none"/>
        </w:rPr>
        <w:t>内容包括但不限于：工资、补贴、津贴、福利、奖金、医疗、</w:t>
      </w:r>
      <w:r>
        <w:rPr>
          <w:rFonts w:hint="eastAsia" w:ascii="宋体" w:hAnsi="宋体" w:cs="宋体"/>
          <w:color w:val="auto"/>
          <w:spacing w:val="-7"/>
          <w:sz w:val="24"/>
          <w:szCs w:val="24"/>
          <w:highlight w:val="none"/>
        </w:rPr>
        <w:t>保健、劳保、保险及其他各种相关费用</w:t>
      </w:r>
      <w:r>
        <w:rPr>
          <w:rFonts w:hint="eastAsia" w:ascii="宋体" w:hAnsi="宋体" w:cs="宋体"/>
          <w:color w:val="auto"/>
          <w:spacing w:val="-10"/>
          <w:sz w:val="24"/>
          <w:szCs w:val="24"/>
          <w:highlight w:val="none"/>
        </w:rPr>
        <w:t>）</w:t>
      </w:r>
      <w:r>
        <w:rPr>
          <w:rFonts w:hint="eastAsia" w:ascii="宋体" w:hAnsi="宋体" w:cs="宋体"/>
          <w:color w:val="auto"/>
          <w:spacing w:val="-9"/>
          <w:sz w:val="24"/>
          <w:szCs w:val="24"/>
          <w:highlight w:val="none"/>
        </w:rPr>
        <w:t>、交通、工具、财务费用、消耗品、各种办公费、食</w:t>
      </w:r>
      <w:r>
        <w:rPr>
          <w:rFonts w:hint="eastAsia" w:ascii="宋体" w:hAnsi="宋体" w:cs="宋体"/>
          <w:color w:val="auto"/>
          <w:spacing w:val="-8"/>
          <w:sz w:val="24"/>
          <w:szCs w:val="24"/>
          <w:highlight w:val="none"/>
        </w:rPr>
        <w:t>宿费、办公场所租赁</w:t>
      </w:r>
      <w:r>
        <w:rPr>
          <w:rFonts w:hint="eastAsia" w:ascii="宋体" w:hAnsi="宋体" w:cs="宋体"/>
          <w:color w:val="auto"/>
          <w:sz w:val="24"/>
          <w:szCs w:val="24"/>
          <w:highlight w:val="none"/>
        </w:rPr>
        <w:t>/</w:t>
      </w:r>
      <w:r>
        <w:rPr>
          <w:rFonts w:hint="eastAsia" w:ascii="宋体" w:hAnsi="宋体" w:cs="宋体"/>
          <w:color w:val="auto"/>
          <w:spacing w:val="-9"/>
          <w:sz w:val="24"/>
          <w:szCs w:val="24"/>
          <w:highlight w:val="none"/>
        </w:rPr>
        <w:t>使用费、交通费、各种工作设备及仪器及机械的购置</w:t>
      </w:r>
      <w:r>
        <w:rPr>
          <w:rFonts w:hint="eastAsia" w:ascii="宋体" w:hAnsi="宋体" w:cs="宋体"/>
          <w:color w:val="auto"/>
          <w:sz w:val="24"/>
          <w:szCs w:val="24"/>
          <w:highlight w:val="none"/>
        </w:rPr>
        <w:t>/使用/折旧/维修等费用、各种车辆的购置/使用/折旧/维修等费用、各种取证费用、知识产权使用费、完成工作</w:t>
      </w:r>
      <w:r>
        <w:rPr>
          <w:rFonts w:hint="eastAsia" w:ascii="宋体" w:hAnsi="宋体" w:cs="宋体"/>
          <w:color w:val="auto"/>
          <w:spacing w:val="-6"/>
          <w:sz w:val="24"/>
          <w:szCs w:val="24"/>
          <w:highlight w:val="none"/>
        </w:rPr>
        <w:t>所需的相关的批准与许可的费用、工作协调费、资料使用和购买的费用、成果报告编制费、出</w:t>
      </w:r>
      <w:r>
        <w:rPr>
          <w:rFonts w:hint="eastAsia" w:ascii="宋体" w:hAnsi="宋体" w:cs="宋体"/>
          <w:color w:val="auto"/>
          <w:spacing w:val="-12"/>
          <w:sz w:val="24"/>
          <w:szCs w:val="24"/>
          <w:highlight w:val="none"/>
        </w:rPr>
        <w:t>版费、会议费、技术支持与现场服务费、各种管理费、各种津贴、社会保险、医疗保险、人身</w:t>
      </w:r>
      <w:r>
        <w:rPr>
          <w:rFonts w:hint="eastAsia" w:ascii="宋体" w:hAnsi="宋体" w:cs="宋体"/>
          <w:color w:val="auto"/>
          <w:spacing w:val="-11"/>
          <w:sz w:val="24"/>
          <w:szCs w:val="24"/>
          <w:highlight w:val="none"/>
        </w:rPr>
        <w:t>保险、财产保险、第三方责任险及其他各种保险的费用、各种风险的费用</w:t>
      </w:r>
      <w:r>
        <w:rPr>
          <w:rFonts w:hint="eastAsia" w:ascii="宋体" w:hAnsi="宋体" w:cs="宋体"/>
          <w:color w:val="auto"/>
          <w:sz w:val="24"/>
          <w:szCs w:val="24"/>
          <w:highlight w:val="none"/>
        </w:rPr>
        <w:t>（包括但不限于外界/周边环境的变化和影响、各种技术资料及其他资料的准确性和真实性和充足性的影响、各种</w:t>
      </w:r>
      <w:r>
        <w:rPr>
          <w:rFonts w:hint="eastAsia" w:ascii="宋体" w:hAnsi="宋体" w:cs="宋体"/>
          <w:color w:val="auto"/>
          <w:spacing w:val="-2"/>
          <w:sz w:val="24"/>
          <w:szCs w:val="24"/>
          <w:highlight w:val="none"/>
        </w:rPr>
        <w:t>人为因素的干扰和影响，及其他各种影响和干扰</w:t>
      </w:r>
      <w:r>
        <w:rPr>
          <w:rFonts w:hint="eastAsia" w:ascii="宋体" w:hAnsi="宋体" w:cs="宋体"/>
          <w:color w:val="auto"/>
          <w:spacing w:val="-20"/>
          <w:sz w:val="24"/>
          <w:szCs w:val="24"/>
          <w:highlight w:val="none"/>
        </w:rPr>
        <w:t>）</w:t>
      </w:r>
      <w:r>
        <w:rPr>
          <w:rFonts w:hint="eastAsia" w:ascii="宋体" w:hAnsi="宋体" w:cs="宋体"/>
          <w:color w:val="auto"/>
          <w:spacing w:val="-9"/>
          <w:sz w:val="24"/>
          <w:szCs w:val="24"/>
          <w:highlight w:val="none"/>
        </w:rPr>
        <w:t>、各种税费、利润、政府各部门及其他相关</w:t>
      </w:r>
      <w:r>
        <w:rPr>
          <w:rFonts w:hint="eastAsia" w:ascii="宋体" w:hAnsi="宋体" w:cs="宋体"/>
          <w:color w:val="auto"/>
          <w:spacing w:val="-19"/>
          <w:sz w:val="24"/>
          <w:szCs w:val="24"/>
          <w:highlight w:val="none"/>
        </w:rPr>
        <w:t>的单位和实体收取的各种费用、财务费用、可能出现的各种变动因素而导致的价格上涨和增加、</w:t>
      </w:r>
      <w:r>
        <w:rPr>
          <w:rFonts w:hint="eastAsia" w:ascii="宋体" w:hAnsi="宋体" w:cs="宋体"/>
          <w:color w:val="auto"/>
          <w:sz w:val="24"/>
          <w:szCs w:val="24"/>
          <w:highlight w:val="none"/>
        </w:rPr>
        <w:t xml:space="preserve">各种加班的费用、各种杂费及其它一切与履行本合同有关的费用（包括在合同中明确说明和/ 或未明确说明的应补偿给监理人的其它费用）。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（二）监理报酬的支付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1"/>
          <w:sz w:val="24"/>
          <w:szCs w:val="24"/>
          <w:highlight w:val="none"/>
        </w:rPr>
        <w:t>、监理合同签订，监理人提供经委托人审批的监理规划、监理实施细则，项目监理人员</w:t>
      </w:r>
      <w:r>
        <w:rPr>
          <w:rFonts w:hint="eastAsia" w:ascii="宋体" w:hAnsi="宋体" w:cs="宋体"/>
          <w:color w:val="auto"/>
          <w:spacing w:val="-3"/>
          <w:sz w:val="24"/>
          <w:szCs w:val="24"/>
          <w:highlight w:val="none"/>
        </w:rPr>
        <w:t xml:space="preserve">组织机构经委托人审核备案，在施工单位进场后 </w:t>
      </w:r>
      <w:r>
        <w:rPr>
          <w:rFonts w:hint="eastAsia" w:ascii="宋体" w:hAnsi="宋体" w:cs="宋体"/>
          <w:color w:val="auto"/>
          <w:spacing w:val="-9"/>
          <w:sz w:val="24"/>
          <w:szCs w:val="24"/>
          <w:highlight w:val="none"/>
        </w:rPr>
        <w:t>，委托人一次性支付监理人首期监理</w:t>
      </w:r>
      <w:r>
        <w:rPr>
          <w:rFonts w:hint="eastAsia" w:ascii="宋体" w:hAnsi="宋体" w:cs="宋体"/>
          <w:color w:val="auto"/>
          <w:sz w:val="24"/>
          <w:szCs w:val="24"/>
          <w:highlight w:val="none"/>
        </w:rPr>
        <w:t>费（</w:t>
      </w:r>
      <w:r>
        <w:rPr>
          <w:rFonts w:hint="eastAsia" w:ascii="宋体" w:hAnsi="宋体" w:cs="宋体"/>
          <w:color w:val="auto"/>
          <w:sz w:val="24"/>
          <w:szCs w:val="24"/>
          <w:highlight w:val="none"/>
          <w:lang w:val="en-US" w:eastAsia="zh-CN"/>
        </w:rPr>
        <w:t>本</w:t>
      </w:r>
      <w:r>
        <w:rPr>
          <w:rFonts w:hint="eastAsia" w:ascii="宋体" w:hAnsi="宋体" w:cs="宋体"/>
          <w:color w:val="auto"/>
          <w:spacing w:val="-9"/>
          <w:sz w:val="24"/>
          <w:szCs w:val="24"/>
          <w:highlight w:val="none"/>
        </w:rPr>
        <w:t>监理合同</w:t>
      </w:r>
      <w:r>
        <w:rPr>
          <w:rFonts w:hint="eastAsia" w:ascii="宋体" w:hAnsi="宋体" w:cs="宋体"/>
          <w:color w:val="auto"/>
          <w:spacing w:val="-9"/>
          <w:sz w:val="24"/>
          <w:szCs w:val="24"/>
          <w:highlight w:val="none"/>
          <w:lang w:val="en-US" w:eastAsia="zh-CN"/>
        </w:rPr>
        <w:t>暂定总</w:t>
      </w:r>
      <w:r>
        <w:rPr>
          <w:rFonts w:hint="eastAsia" w:ascii="宋体" w:hAnsi="宋体" w:cs="宋体"/>
          <w:color w:val="auto"/>
          <w:spacing w:val="-9"/>
          <w:sz w:val="24"/>
          <w:szCs w:val="24"/>
          <w:highlight w:val="none"/>
        </w:rPr>
        <w:t xml:space="preserve">价的 </w:t>
      </w:r>
      <w:r>
        <w:rPr>
          <w:rFonts w:hint="eastAsia" w:ascii="宋体" w:hAnsi="宋体" w:cs="宋体"/>
          <w:color w:val="auto"/>
          <w:sz w:val="24"/>
          <w:szCs w:val="24"/>
          <w:highlight w:val="none"/>
        </w:rPr>
        <w:t xml:space="preserve">10%）； </w:t>
      </w:r>
    </w:p>
    <w:p>
      <w:pPr>
        <w:pStyle w:val="12"/>
        <w:spacing w:after="0" w:line="364"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2、工程量完成至 </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0%，委托人支付</w:t>
      </w:r>
      <w:r>
        <w:rPr>
          <w:rFonts w:hint="eastAsia" w:ascii="宋体" w:hAnsi="宋体" w:cs="宋体"/>
          <w:color w:val="auto"/>
          <w:sz w:val="24"/>
          <w:szCs w:val="24"/>
          <w:highlight w:val="none"/>
          <w:lang w:val="en-US" w:eastAsia="zh-CN"/>
        </w:rPr>
        <w:t>至本</w:t>
      </w:r>
      <w:r>
        <w:rPr>
          <w:rFonts w:hint="eastAsia" w:ascii="宋体" w:hAnsi="宋体" w:cs="宋体"/>
          <w:color w:val="auto"/>
          <w:sz w:val="24"/>
          <w:szCs w:val="24"/>
          <w:highlight w:val="none"/>
        </w:rPr>
        <w:t>监理合同</w:t>
      </w:r>
      <w:r>
        <w:rPr>
          <w:rFonts w:hint="eastAsia" w:ascii="宋体" w:hAnsi="宋体" w:cs="宋体"/>
          <w:color w:val="auto"/>
          <w:sz w:val="24"/>
          <w:szCs w:val="24"/>
          <w:highlight w:val="none"/>
          <w:lang w:val="en-US" w:eastAsia="zh-CN"/>
        </w:rPr>
        <w:t>暂定总</w:t>
      </w:r>
      <w:r>
        <w:rPr>
          <w:rFonts w:hint="eastAsia" w:ascii="宋体" w:hAnsi="宋体" w:cs="宋体"/>
          <w:color w:val="auto"/>
          <w:sz w:val="24"/>
          <w:szCs w:val="24"/>
          <w:highlight w:val="none"/>
        </w:rPr>
        <w:t xml:space="preserve">价的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p>
    <w:p>
      <w:pPr>
        <w:pStyle w:val="12"/>
        <w:spacing w:after="0" w:line="36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、工程量完成至 </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0%，委托人支付</w:t>
      </w:r>
      <w:r>
        <w:rPr>
          <w:rFonts w:hint="eastAsia" w:ascii="宋体" w:hAnsi="宋体" w:cs="宋体"/>
          <w:color w:val="auto"/>
          <w:sz w:val="24"/>
          <w:szCs w:val="24"/>
          <w:highlight w:val="none"/>
          <w:lang w:val="en-US" w:eastAsia="zh-CN"/>
        </w:rPr>
        <w:t>至本</w:t>
      </w:r>
      <w:r>
        <w:rPr>
          <w:rFonts w:hint="eastAsia" w:ascii="宋体" w:hAnsi="宋体" w:cs="宋体"/>
          <w:color w:val="auto"/>
          <w:sz w:val="24"/>
          <w:szCs w:val="24"/>
          <w:highlight w:val="none"/>
        </w:rPr>
        <w:t>监理合同</w:t>
      </w:r>
      <w:r>
        <w:rPr>
          <w:rFonts w:hint="eastAsia" w:ascii="宋体" w:hAnsi="宋体" w:cs="宋体"/>
          <w:color w:val="auto"/>
          <w:sz w:val="24"/>
          <w:szCs w:val="24"/>
          <w:highlight w:val="none"/>
          <w:lang w:val="en-US" w:eastAsia="zh-CN"/>
        </w:rPr>
        <w:t>暂定总</w:t>
      </w:r>
      <w:r>
        <w:rPr>
          <w:rFonts w:hint="eastAsia" w:ascii="宋体" w:hAnsi="宋体" w:cs="宋体"/>
          <w:color w:val="auto"/>
          <w:sz w:val="24"/>
          <w:szCs w:val="24"/>
          <w:highlight w:val="none"/>
        </w:rPr>
        <w:t xml:space="preserve">价的 </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0%；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、工程量完成至 80%，委托人支付</w:t>
      </w:r>
      <w:r>
        <w:rPr>
          <w:rFonts w:hint="eastAsia" w:ascii="宋体" w:hAnsi="宋体" w:cs="宋体"/>
          <w:color w:val="auto"/>
          <w:sz w:val="24"/>
          <w:szCs w:val="24"/>
          <w:highlight w:val="none"/>
          <w:lang w:val="en-US" w:eastAsia="zh-CN"/>
        </w:rPr>
        <w:t>至本</w:t>
      </w:r>
      <w:r>
        <w:rPr>
          <w:rFonts w:hint="eastAsia" w:ascii="宋体" w:hAnsi="宋体" w:cs="宋体"/>
          <w:color w:val="auto"/>
          <w:sz w:val="24"/>
          <w:szCs w:val="24"/>
          <w:highlight w:val="none"/>
        </w:rPr>
        <w:t>监理合同</w:t>
      </w:r>
      <w:r>
        <w:rPr>
          <w:rFonts w:hint="eastAsia" w:ascii="宋体" w:hAnsi="宋体" w:cs="宋体"/>
          <w:color w:val="auto"/>
          <w:sz w:val="24"/>
          <w:szCs w:val="24"/>
          <w:highlight w:val="none"/>
          <w:lang w:val="en-US" w:eastAsia="zh-CN"/>
        </w:rPr>
        <w:t>暂定总</w:t>
      </w:r>
      <w:r>
        <w:rPr>
          <w:rFonts w:hint="eastAsia" w:ascii="宋体" w:hAnsi="宋体" w:cs="宋体"/>
          <w:color w:val="auto"/>
          <w:sz w:val="24"/>
          <w:szCs w:val="24"/>
          <w:highlight w:val="none"/>
        </w:rPr>
        <w:t>价的</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、工程完工，现场建设完成并调试和试运行验收合格后，委托人支付</w:t>
      </w:r>
      <w:r>
        <w:rPr>
          <w:rFonts w:hint="eastAsia" w:ascii="宋体" w:hAnsi="宋体" w:cs="宋体"/>
          <w:color w:val="auto"/>
          <w:sz w:val="24"/>
          <w:szCs w:val="24"/>
          <w:highlight w:val="none"/>
          <w:lang w:val="en-US" w:eastAsia="zh-CN"/>
        </w:rPr>
        <w:t>至本</w:t>
      </w:r>
      <w:r>
        <w:rPr>
          <w:rFonts w:hint="eastAsia" w:ascii="宋体" w:hAnsi="宋体" w:cs="宋体"/>
          <w:color w:val="auto"/>
          <w:sz w:val="24"/>
          <w:szCs w:val="24"/>
          <w:highlight w:val="none"/>
        </w:rPr>
        <w:t>监理合同</w:t>
      </w:r>
      <w:r>
        <w:rPr>
          <w:rFonts w:hint="eastAsia" w:ascii="宋体" w:hAnsi="宋体" w:cs="宋体"/>
          <w:color w:val="auto"/>
          <w:sz w:val="24"/>
          <w:szCs w:val="24"/>
          <w:highlight w:val="none"/>
          <w:lang w:val="en-US" w:eastAsia="zh-CN"/>
        </w:rPr>
        <w:t>暂定总</w:t>
      </w:r>
      <w:r>
        <w:rPr>
          <w:rFonts w:hint="eastAsia" w:ascii="宋体" w:hAnsi="宋体" w:cs="宋体"/>
          <w:color w:val="auto"/>
          <w:sz w:val="24"/>
          <w:szCs w:val="24"/>
          <w:highlight w:val="none"/>
        </w:rPr>
        <w:t xml:space="preserve">价的 80%； </w:t>
      </w:r>
    </w:p>
    <w:p>
      <w:pPr>
        <w:pStyle w:val="12"/>
        <w:spacing w:after="0" w:line="36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、工程竣工验收合格</w:t>
      </w:r>
      <w:r>
        <w:rPr>
          <w:rFonts w:hint="eastAsia" w:ascii="宋体" w:hAnsi="宋体" w:cs="宋体"/>
          <w:color w:val="auto"/>
          <w:sz w:val="24"/>
          <w:szCs w:val="24"/>
          <w:highlight w:val="none"/>
          <w:lang w:val="en-US" w:eastAsia="zh-CN"/>
        </w:rPr>
        <w:t>并经主管部门备案</w:t>
      </w:r>
      <w:r>
        <w:rPr>
          <w:rFonts w:hint="eastAsia" w:ascii="宋体" w:hAnsi="宋体" w:cs="宋体"/>
          <w:color w:val="auto"/>
          <w:sz w:val="24"/>
          <w:szCs w:val="24"/>
          <w:highlight w:val="none"/>
        </w:rPr>
        <w:t>后，委托人支付</w:t>
      </w:r>
      <w:r>
        <w:rPr>
          <w:rFonts w:hint="eastAsia" w:ascii="宋体" w:hAnsi="宋体" w:cs="宋体"/>
          <w:color w:val="auto"/>
          <w:sz w:val="24"/>
          <w:szCs w:val="24"/>
          <w:highlight w:val="none"/>
          <w:lang w:val="en-US" w:eastAsia="zh-CN"/>
        </w:rPr>
        <w:t>至本</w:t>
      </w:r>
      <w:r>
        <w:rPr>
          <w:rFonts w:hint="eastAsia" w:ascii="宋体" w:hAnsi="宋体" w:cs="宋体"/>
          <w:color w:val="auto"/>
          <w:sz w:val="24"/>
          <w:szCs w:val="24"/>
          <w:highlight w:val="none"/>
        </w:rPr>
        <w:t>监理合同</w:t>
      </w:r>
      <w:r>
        <w:rPr>
          <w:rFonts w:hint="eastAsia" w:ascii="宋体" w:hAnsi="宋体" w:cs="宋体"/>
          <w:color w:val="auto"/>
          <w:sz w:val="24"/>
          <w:szCs w:val="24"/>
          <w:highlight w:val="none"/>
          <w:lang w:val="en-US" w:eastAsia="zh-CN"/>
        </w:rPr>
        <w:t>暂定总</w:t>
      </w:r>
      <w:r>
        <w:rPr>
          <w:rFonts w:hint="eastAsia" w:ascii="宋体" w:hAnsi="宋体" w:cs="宋体"/>
          <w:color w:val="auto"/>
          <w:sz w:val="24"/>
          <w:szCs w:val="24"/>
          <w:highlight w:val="none"/>
        </w:rPr>
        <w:t>价的</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 xml:space="preserve">%； </w:t>
      </w:r>
    </w:p>
    <w:p>
      <w:pPr>
        <w:pStyle w:val="12"/>
        <w:spacing w:after="0" w:line="36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、工程</w:t>
      </w:r>
      <w:r>
        <w:rPr>
          <w:rFonts w:hint="eastAsia" w:ascii="宋体" w:hAnsi="宋体" w:cs="宋体"/>
          <w:color w:val="auto"/>
          <w:sz w:val="24"/>
          <w:szCs w:val="24"/>
          <w:highlight w:val="none"/>
          <w:lang w:val="en-US" w:eastAsia="zh-CN"/>
        </w:rPr>
        <w:t>结算</w:t>
      </w:r>
      <w:r>
        <w:rPr>
          <w:rFonts w:hint="eastAsia" w:ascii="宋体" w:hAnsi="宋体" w:cs="宋体"/>
          <w:color w:val="auto"/>
          <w:sz w:val="24"/>
          <w:szCs w:val="24"/>
          <w:highlight w:val="none"/>
        </w:rPr>
        <w:t>后，委托人支付</w:t>
      </w:r>
      <w:r>
        <w:rPr>
          <w:rFonts w:hint="eastAsia" w:ascii="宋体" w:hAnsi="宋体" w:cs="宋体"/>
          <w:color w:val="auto"/>
          <w:sz w:val="24"/>
          <w:szCs w:val="24"/>
          <w:highlight w:val="none"/>
          <w:lang w:val="en-US" w:eastAsia="zh-CN"/>
        </w:rPr>
        <w:t>至本工程监理费结算</w:t>
      </w:r>
      <w:r>
        <w:rPr>
          <w:rFonts w:hint="eastAsia" w:ascii="宋体" w:hAnsi="宋体" w:cs="宋体"/>
          <w:color w:val="auto"/>
          <w:sz w:val="24"/>
          <w:szCs w:val="24"/>
          <w:highlight w:val="none"/>
        </w:rPr>
        <w:t xml:space="preserve">价的 </w:t>
      </w:r>
      <w:r>
        <w:rPr>
          <w:rFonts w:hint="eastAsia" w:ascii="宋体" w:hAnsi="宋体" w:cs="宋体"/>
          <w:color w:val="auto"/>
          <w:sz w:val="24"/>
          <w:szCs w:val="24"/>
          <w:highlight w:val="none"/>
          <w:lang w:val="en-US" w:eastAsia="zh-CN"/>
        </w:rPr>
        <w:t>97</w:t>
      </w:r>
      <w:r>
        <w:rPr>
          <w:rFonts w:hint="eastAsia" w:ascii="宋体" w:hAnsi="宋体" w:cs="宋体"/>
          <w:color w:val="auto"/>
          <w:sz w:val="24"/>
          <w:szCs w:val="24"/>
          <w:highlight w:val="none"/>
        </w:rPr>
        <w:t>%；</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 xml:space="preserve">待工程质量缺陷责任期满，监理人协助委托人完成工程竣工档案备案后支付该项目监理费结算价的余款（不计利息）。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pacing w:val="-12"/>
          <w:sz w:val="24"/>
          <w:szCs w:val="24"/>
          <w:highlight w:val="none"/>
        </w:rPr>
        <w:t xml:space="preserve">、监理人应在委托人支付款项前向委托人提供合格的增值税专用发票及相应的付款材料， </w:t>
      </w:r>
      <w:r>
        <w:rPr>
          <w:rFonts w:hint="eastAsia" w:ascii="宋体" w:hAnsi="宋体" w:cs="宋体"/>
          <w:color w:val="auto"/>
          <w:spacing w:val="-5"/>
          <w:sz w:val="24"/>
          <w:szCs w:val="24"/>
          <w:highlight w:val="none"/>
        </w:rPr>
        <w:t xml:space="preserve">否则委托人有权延期付款且无需承担任何责任。支付进度监理费时，需附监理人盖章确认的违约台账，如有违约罚金，委托人有权从应付款项中直接扣除当期监理费对应的违约金。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 xml:space="preserve">、监理人指定收款账户：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户 名 ：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开户行：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银行账号：  </w:t>
      </w:r>
    </w:p>
    <w:p>
      <w:pPr>
        <w:pStyle w:val="12"/>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纳税人识别号：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.经双方同意，上述所有款项均由项目业主</w:t>
      </w:r>
      <w:r>
        <w:rPr>
          <w:rFonts w:hint="eastAsia" w:ascii="宋体" w:hAnsi="宋体" w:cs="宋体"/>
          <w:color w:val="auto"/>
          <w:sz w:val="24"/>
          <w:szCs w:val="24"/>
          <w:highlight w:val="none"/>
          <w:lang w:eastAsia="zh-CN"/>
        </w:rPr>
        <w:t>广州增城区东进供水有限公司</w:t>
      </w:r>
      <w:r>
        <w:rPr>
          <w:rFonts w:hint="eastAsia" w:ascii="宋体" w:hAnsi="宋体" w:cs="宋体"/>
          <w:color w:val="auto"/>
          <w:sz w:val="24"/>
          <w:szCs w:val="24"/>
          <w:highlight w:val="none"/>
        </w:rPr>
        <w:t>支付，付款前监理人应向发包人提供符合要求的请款资料并向业主单位开具合规有效的增值税专用发票。业主单位在规定时间内向增城区财政部门或国家开发银行提出支付申请手续后即视为已经按期支付。开票信息如下：</w:t>
      </w:r>
    </w:p>
    <w:p>
      <w:pPr>
        <w:pStyle w:val="12"/>
        <w:spacing w:after="0" w:line="364"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户名：</w:t>
      </w:r>
      <w:r>
        <w:rPr>
          <w:rFonts w:hint="eastAsia" w:ascii="宋体" w:hAnsi="宋体" w:cs="宋体"/>
          <w:color w:val="auto"/>
          <w:sz w:val="24"/>
          <w:szCs w:val="24"/>
          <w:highlight w:val="none"/>
          <w:lang w:eastAsia="zh-CN"/>
        </w:rPr>
        <w:t>广州增城区东进供水有限公司</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lang w:eastAsia="zh-CN"/>
        </w:rPr>
        <w:t>91440101MA9UR3CW4P</w:t>
      </w:r>
      <w:r>
        <w:rPr>
          <w:rFonts w:hint="eastAsia" w:ascii="宋体" w:hAnsi="宋体" w:cs="宋体"/>
          <w:color w:val="auto"/>
          <w:sz w:val="24"/>
          <w:szCs w:val="24"/>
          <w:highlight w:val="none"/>
        </w:rPr>
        <w:t xml:space="preserve">   </w:t>
      </w:r>
    </w:p>
    <w:p>
      <w:pPr>
        <w:pStyle w:val="12"/>
        <w:spacing w:after="0" w:line="364"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广州市增城区荔城街民乐路20号阳光国际大厦801房</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lang w:eastAsia="zh-CN"/>
        </w:rPr>
        <w:t>广东华兴银行广州增城支行</w:t>
      </w:r>
      <w:r>
        <w:rPr>
          <w:rFonts w:hint="eastAsia" w:ascii="宋体" w:hAnsi="宋体" w:cs="宋体"/>
          <w:color w:val="auto"/>
          <w:sz w:val="24"/>
          <w:szCs w:val="24"/>
          <w:highlight w:val="none"/>
        </w:rPr>
        <w:t xml:space="preserve">    </w:t>
      </w:r>
    </w:p>
    <w:p>
      <w:pPr>
        <w:pStyle w:val="12"/>
        <w:spacing w:after="0" w:line="364"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账号：</w:t>
      </w:r>
      <w:r>
        <w:rPr>
          <w:rFonts w:hint="eastAsia" w:ascii="宋体" w:hAnsi="宋体" w:cs="宋体"/>
          <w:color w:val="auto"/>
          <w:sz w:val="24"/>
          <w:szCs w:val="24"/>
          <w:highlight w:val="none"/>
          <w:lang w:eastAsia="zh-CN"/>
        </w:rPr>
        <w:t>801880100106266</w:t>
      </w:r>
    </w:p>
    <w:p>
      <w:pPr>
        <w:pStyle w:val="12"/>
        <w:spacing w:after="0"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第四十一条 </w:t>
      </w:r>
      <w:r>
        <w:rPr>
          <w:rFonts w:hint="eastAsia" w:ascii="宋体" w:hAnsi="宋体" w:cs="宋体"/>
          <w:color w:val="auto"/>
          <w:sz w:val="24"/>
          <w:szCs w:val="24"/>
          <w:highlight w:val="none"/>
        </w:rPr>
        <w:t xml:space="preserve">委托人与监理人双方同意用人民币支付本合同涉及的相关款项。 </w:t>
      </w:r>
    </w:p>
    <w:p>
      <w:pPr>
        <w:pStyle w:val="12"/>
        <w:spacing w:after="0"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第四十二条 </w:t>
      </w:r>
      <w:r>
        <w:rPr>
          <w:rFonts w:hint="eastAsia" w:ascii="宋体" w:hAnsi="宋体" w:cs="宋体"/>
          <w:color w:val="auto"/>
          <w:sz w:val="24"/>
          <w:szCs w:val="24"/>
          <w:highlight w:val="none"/>
        </w:rPr>
        <w:t xml:space="preserve">双方一致同意不适用本合同标准条款第 42 条的约定，监理人申请委托人付款的，应按委托人规定办理请款手续。 </w:t>
      </w:r>
    </w:p>
    <w:p>
      <w:pPr>
        <w:pStyle w:val="12"/>
        <w:spacing w:after="0"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第四十三条 </w:t>
      </w:r>
      <w:r>
        <w:rPr>
          <w:rFonts w:hint="eastAsia" w:ascii="宋体" w:hAnsi="宋体" w:cs="宋体"/>
          <w:color w:val="auto"/>
          <w:sz w:val="24"/>
          <w:szCs w:val="24"/>
          <w:highlight w:val="none"/>
        </w:rPr>
        <w:t xml:space="preserve">双方一致同意不适用本合同标准条款第 43 条的约定，委托的建设工程监理所必要的监理人员出外考察、材料设备复试、监造，其费用支出由监理人负责解决。 </w:t>
      </w:r>
    </w:p>
    <w:p>
      <w:pPr>
        <w:pStyle w:val="12"/>
        <w:spacing w:after="0" w:line="364"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第四十九条 </w:t>
      </w:r>
      <w:r>
        <w:rPr>
          <w:rFonts w:hint="eastAsia" w:ascii="宋体" w:hAnsi="宋体" w:cs="宋体"/>
          <w:color w:val="auto"/>
          <w:spacing w:val="-1"/>
          <w:sz w:val="24"/>
          <w:szCs w:val="24"/>
          <w:highlight w:val="none"/>
        </w:rPr>
        <w:t>因履行本合同发生或与本合同有关的争议，双方当事人应友好协商解决。协</w:t>
      </w:r>
      <w:r>
        <w:rPr>
          <w:rFonts w:hint="eastAsia" w:ascii="宋体" w:hAnsi="宋体" w:cs="宋体"/>
          <w:color w:val="auto"/>
          <w:spacing w:val="-12"/>
          <w:sz w:val="24"/>
          <w:szCs w:val="24"/>
          <w:highlight w:val="none"/>
        </w:rPr>
        <w:t>商不成的，向工程所在地人民法院起诉，但诉讼不影响委托人同其他监理单位另行签订监理合</w:t>
      </w:r>
      <w:r>
        <w:rPr>
          <w:rFonts w:hint="eastAsia" w:ascii="宋体" w:hAnsi="宋体" w:cs="宋体"/>
          <w:color w:val="auto"/>
          <w:sz w:val="24"/>
          <w:szCs w:val="24"/>
          <w:highlight w:val="none"/>
        </w:rPr>
        <w:t xml:space="preserve">同。 </w:t>
      </w:r>
    </w:p>
    <w:p>
      <w:pPr>
        <w:pStyle w:val="12"/>
        <w:spacing w:after="0" w:line="360" w:lineRule="auto"/>
        <w:ind w:firstLine="482" w:firstLineChars="200"/>
        <w:rPr>
          <w:rFonts w:ascii="宋体" w:hAnsi="宋体" w:cs="宋体"/>
          <w:b/>
          <w:color w:val="auto"/>
          <w:highlight w:val="none"/>
        </w:rPr>
      </w:pPr>
      <w:r>
        <w:rPr>
          <w:rFonts w:hint="eastAsia" w:ascii="宋体" w:hAnsi="宋体" w:cs="宋体"/>
          <w:b/>
          <w:bCs/>
          <w:color w:val="auto"/>
          <w:sz w:val="24"/>
          <w:szCs w:val="24"/>
          <w:highlight w:val="none"/>
        </w:rPr>
        <w:t>第五十条</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补充条款</w:t>
      </w:r>
      <w:r>
        <w:rPr>
          <w:rFonts w:ascii="宋体" w:hAnsi="宋体" w:cs="宋体"/>
          <w:b/>
          <w:bCs/>
          <w:color w:val="auto"/>
          <w:sz w:val="24"/>
          <w:szCs w:val="24"/>
          <w:highlight w:val="none"/>
        </w:rPr>
        <w:t xml:space="preserve">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（一）施工阶段的造价投资控制：监理人进场时必须派驻至少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名注册造价工程师提供驻场服务，并接受建设单位统一工作安排，并要求建立施工阶段工程预算台账，具体要求和模式另定。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保修期内，监理人应每三个月对工程进行一次巡视、检查（要到委托人处签到），并向委托人提交书面检查报告，发现有质量缺陷的，要及时通知委托人，会同委托人组织承包人维修，按施工保修书的条款界定责任归属。在保修期内，委托人要求监理人到达现场的，监理人必须在接到委托人通知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w:t>
      </w:r>
      <w:r>
        <w:rPr>
          <w:rFonts w:ascii="宋体" w:hAnsi="宋体" w:cs="宋体"/>
          <w:color w:val="auto"/>
          <w:sz w:val="24"/>
          <w:szCs w:val="24"/>
          <w:highlight w:val="none"/>
        </w:rPr>
        <w:t xml:space="preserve"> 天内到达现场，履行监理职责。如监理人在保修期内不履行监</w:t>
      </w:r>
      <w:r>
        <w:rPr>
          <w:rFonts w:hint="eastAsia" w:ascii="宋体" w:hAnsi="宋体" w:cs="宋体"/>
          <w:color w:val="auto"/>
          <w:sz w:val="24"/>
          <w:szCs w:val="24"/>
          <w:highlight w:val="none"/>
        </w:rPr>
        <w:t xml:space="preserve">理职责的，委托人有权不支付余款。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（四）广州市相关管理规定为本合同组成部分，各方均应执行。</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（五）由于监理人采取有效监管措施，致使工程施工的关键工期比计划提前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5</w:t>
      </w:r>
      <w:r>
        <w:rPr>
          <w:rFonts w:ascii="宋体" w:hAnsi="宋体" w:cs="宋体"/>
          <w:color w:val="auto"/>
          <w:sz w:val="24"/>
          <w:szCs w:val="24"/>
          <w:highlight w:val="none"/>
        </w:rPr>
        <w:t xml:space="preserve"> 日以上</w:t>
      </w:r>
      <w:r>
        <w:rPr>
          <w:rFonts w:hint="eastAsia" w:ascii="宋体" w:hAnsi="宋体" w:cs="宋体"/>
          <w:color w:val="auto"/>
          <w:sz w:val="24"/>
          <w:szCs w:val="24"/>
          <w:highlight w:val="none"/>
        </w:rPr>
        <w:t>（含5</w:t>
      </w:r>
      <w:r>
        <w:rPr>
          <w:rFonts w:ascii="宋体" w:hAnsi="宋体" w:cs="宋体"/>
          <w:color w:val="auto"/>
          <w:sz w:val="24"/>
          <w:szCs w:val="24"/>
          <w:highlight w:val="none"/>
        </w:rPr>
        <w:t xml:space="preserve"> 日</w:t>
      </w:r>
      <w:r>
        <w:rPr>
          <w:rFonts w:hint="eastAsia" w:ascii="宋体" w:hAnsi="宋体" w:cs="宋体"/>
          <w:color w:val="auto"/>
          <w:sz w:val="24"/>
          <w:szCs w:val="24"/>
          <w:highlight w:val="none"/>
        </w:rPr>
        <w:t>）的，可抵扣监理人一般违约责任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次；关键工期提前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天以上</w:t>
      </w:r>
      <w:r>
        <w:rPr>
          <w:rFonts w:hint="eastAsia" w:ascii="宋体" w:hAnsi="宋体" w:cs="宋体"/>
          <w:color w:val="auto"/>
          <w:sz w:val="24"/>
          <w:szCs w:val="24"/>
          <w:highlight w:val="none"/>
        </w:rPr>
        <w:t>（含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天</w:t>
      </w:r>
      <w:r>
        <w:rPr>
          <w:rFonts w:hint="eastAsia" w:ascii="宋体" w:hAnsi="宋体" w:cs="宋体"/>
          <w:color w:val="auto"/>
          <w:sz w:val="24"/>
          <w:szCs w:val="24"/>
          <w:highlight w:val="none"/>
        </w:rPr>
        <w:t>）的，可抵扣监理人严重违约责任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次；关键线路工期提前 </w:t>
      </w:r>
      <w:r>
        <w:rPr>
          <w:rFonts w:hint="eastAsia" w:ascii="宋体" w:hAnsi="宋体" w:cs="宋体"/>
          <w:color w:val="auto"/>
          <w:sz w:val="24"/>
          <w:szCs w:val="24"/>
          <w:highlight w:val="none"/>
        </w:rPr>
        <w:t>20</w:t>
      </w:r>
      <w:r>
        <w:rPr>
          <w:rFonts w:ascii="宋体" w:hAnsi="宋体" w:cs="宋体"/>
          <w:color w:val="auto"/>
          <w:sz w:val="24"/>
          <w:szCs w:val="24"/>
          <w:highlight w:val="none"/>
        </w:rPr>
        <w:t xml:space="preserve"> 天以上</w:t>
      </w:r>
      <w:r>
        <w:rPr>
          <w:rFonts w:hint="eastAsia" w:ascii="宋体" w:hAnsi="宋体" w:cs="宋体"/>
          <w:color w:val="auto"/>
          <w:sz w:val="24"/>
          <w:szCs w:val="24"/>
          <w:highlight w:val="none"/>
        </w:rPr>
        <w:t>（含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20</w:t>
      </w:r>
      <w:r>
        <w:rPr>
          <w:rFonts w:ascii="宋体" w:hAnsi="宋体" w:cs="宋体"/>
          <w:color w:val="auto"/>
          <w:sz w:val="24"/>
          <w:szCs w:val="24"/>
          <w:highlight w:val="none"/>
        </w:rPr>
        <w:t xml:space="preserve"> 天</w:t>
      </w:r>
      <w:r>
        <w:rPr>
          <w:rFonts w:hint="eastAsia" w:ascii="宋体" w:hAnsi="宋体" w:cs="宋体"/>
          <w:color w:val="auto"/>
          <w:sz w:val="24"/>
          <w:szCs w:val="24"/>
          <w:highlight w:val="none"/>
        </w:rPr>
        <w:t xml:space="preserve">）的，可抵扣监理人严重违约责任 2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（六）由于监理人提出合理化建议，优化技术方案，被委托人采纳并实施，节约投资 10万元以上（含）的，可抵扣监理人一般违约责任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次；节约投资 </w:t>
      </w:r>
      <w:r>
        <w:rPr>
          <w:rFonts w:hint="eastAsia" w:ascii="宋体" w:hAnsi="宋体" w:cs="宋体"/>
          <w:color w:val="auto"/>
          <w:sz w:val="24"/>
          <w:szCs w:val="24"/>
          <w:highlight w:val="none"/>
        </w:rPr>
        <w:t>30</w:t>
      </w:r>
      <w:r>
        <w:rPr>
          <w:rFonts w:ascii="宋体" w:hAnsi="宋体" w:cs="宋体"/>
          <w:color w:val="auto"/>
          <w:sz w:val="24"/>
          <w:szCs w:val="24"/>
          <w:highlight w:val="none"/>
        </w:rPr>
        <w:t xml:space="preserve"> 万元以上</w:t>
      </w:r>
      <w:r>
        <w:rPr>
          <w:rFonts w:hint="eastAsia" w:ascii="宋体" w:hAnsi="宋体" w:cs="宋体"/>
          <w:color w:val="auto"/>
          <w:sz w:val="24"/>
          <w:szCs w:val="24"/>
          <w:highlight w:val="none"/>
        </w:rPr>
        <w:t>（含）的，可抵扣监理人一般违约责任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2</w:t>
      </w:r>
      <w:r>
        <w:rPr>
          <w:rFonts w:ascii="宋体" w:hAnsi="宋体" w:cs="宋体"/>
          <w:color w:val="auto"/>
          <w:sz w:val="24"/>
          <w:szCs w:val="24"/>
          <w:highlight w:val="none"/>
        </w:rPr>
        <w:t xml:space="preserve"> 次；节约投资 </w:t>
      </w:r>
      <w:r>
        <w:rPr>
          <w:rFonts w:hint="eastAsia" w:ascii="宋体" w:hAnsi="宋体" w:cs="宋体"/>
          <w:color w:val="auto"/>
          <w:sz w:val="24"/>
          <w:szCs w:val="24"/>
          <w:highlight w:val="none"/>
        </w:rPr>
        <w:t>50</w:t>
      </w:r>
      <w:r>
        <w:rPr>
          <w:rFonts w:ascii="宋体" w:hAnsi="宋体" w:cs="宋体"/>
          <w:color w:val="auto"/>
          <w:sz w:val="24"/>
          <w:szCs w:val="24"/>
          <w:highlight w:val="none"/>
        </w:rPr>
        <w:t xml:space="preserve"> 万元以上</w:t>
      </w:r>
      <w:r>
        <w:rPr>
          <w:rFonts w:hint="eastAsia" w:ascii="宋体" w:hAnsi="宋体" w:cs="宋体"/>
          <w:color w:val="auto"/>
          <w:sz w:val="24"/>
          <w:szCs w:val="24"/>
          <w:highlight w:val="none"/>
        </w:rPr>
        <w:t>（含）的，可抵扣监理人严重违约责任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1次；节约投资 100 万元以上（含）的，可抵扣监理人严重违约责任 2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（七）监理人认真履行安全文明施工管理责任，得到委托人及建设主管部门书面表彰的，</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可抵扣监理人严重违约责任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 次；取得市安全文明样板工地的，可抵扣监理人严重违约责任 </w:t>
      </w:r>
      <w:r>
        <w:rPr>
          <w:rFonts w:hint="eastAsia" w:ascii="宋体" w:hAnsi="宋体" w:cs="宋体"/>
          <w:color w:val="auto"/>
          <w:sz w:val="24"/>
          <w:szCs w:val="24"/>
          <w:highlight w:val="none"/>
        </w:rPr>
        <w:t xml:space="preserve">2 次（如本工程有工地创优市优指标硬性要求的除外）。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（八）监理人在委托人组织的项目检查评分取得 90 分（含）以上的，可抵扣监理人一般违约责任 1 次。项目监理人员就本项目受到委托人及建设主管部门表彰的，每人次可抵扣监理人严重违约责任 1 次；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（九）监理人抵扣的违约处罚，可按照合同相应条款，在实际已发生的违约罚金内返还。如项目完工后，实际可抵扣的监理人违约责任多于实际处罚的违约责任，原则上不予经济奖励，</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委托方视情况给予通报表扬。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十）如本合同需缴纳合同印花税，监理人需在有关税务部门规定期限及结清本合同费用前，按规定代缴属委托人缴纳的部分，代缴后委托人按代缴金额实报实销。监理人未按规定期限代缴印花税的，因此产生的滞纳金由监理人承担。 </w:t>
      </w:r>
    </w:p>
    <w:p>
      <w:pPr>
        <w:pStyle w:val="12"/>
        <w:spacing w:after="0" w:line="307" w:lineRule="exact"/>
        <w:ind w:firstLine="480" w:firstLineChars="200"/>
        <w:rPr>
          <w:color w:val="auto"/>
          <w:highlight w:val="none"/>
        </w:rPr>
      </w:pPr>
      <w:r>
        <w:rPr>
          <w:rFonts w:hint="eastAsia" w:ascii="宋体" w:hAnsi="宋体" w:cs="宋体"/>
          <w:color w:val="auto"/>
          <w:sz w:val="24"/>
          <w:szCs w:val="24"/>
          <w:highlight w:val="none"/>
        </w:rPr>
        <w:t>（此页以下无正文</w:t>
      </w:r>
      <w:r>
        <w:rPr>
          <w:color w:val="auto"/>
          <w:highlight w:val="none"/>
        </w:rPr>
        <w:t xml:space="preserve">） </w:t>
      </w:r>
    </w:p>
    <w:p>
      <w:pPr>
        <w:pStyle w:val="12"/>
        <w:spacing w:after="0" w:line="364" w:lineRule="auto"/>
        <w:ind w:firstLine="460" w:firstLineChars="200"/>
        <w:rPr>
          <w:rFonts w:ascii="宋体" w:hAnsi="宋体" w:cs="宋体"/>
          <w:color w:val="auto"/>
          <w:spacing w:val="-5"/>
          <w:sz w:val="24"/>
          <w:szCs w:val="24"/>
          <w:highlight w:val="none"/>
        </w:rPr>
      </w:pPr>
    </w:p>
    <w:p>
      <w:pPr>
        <w:pStyle w:val="12"/>
        <w:spacing w:after="0" w:line="364" w:lineRule="auto"/>
        <w:ind w:firstLine="460" w:firstLineChars="200"/>
        <w:rPr>
          <w:rFonts w:ascii="宋体" w:hAnsi="宋体" w:cs="宋体"/>
          <w:color w:val="auto"/>
          <w:spacing w:val="-5"/>
          <w:sz w:val="24"/>
          <w:szCs w:val="24"/>
          <w:highlight w:val="none"/>
        </w:rPr>
      </w:pPr>
      <w:r>
        <w:rPr>
          <w:rFonts w:hint="eastAsia" w:ascii="宋体" w:hAnsi="宋体" w:cs="宋体"/>
          <w:color w:val="auto"/>
          <w:spacing w:val="-5"/>
          <w:sz w:val="24"/>
          <w:szCs w:val="24"/>
          <w:highlight w:val="none"/>
        </w:rPr>
        <w:t xml:space="preserve">附件一：拟委派监理人员一览表 </w:t>
      </w:r>
    </w:p>
    <w:p>
      <w:pPr>
        <w:pStyle w:val="12"/>
        <w:spacing w:after="0" w:line="364" w:lineRule="auto"/>
        <w:ind w:firstLine="460" w:firstLineChars="200"/>
        <w:rPr>
          <w:rFonts w:ascii="宋体" w:hAnsi="宋体" w:cs="宋体"/>
          <w:color w:val="auto"/>
          <w:spacing w:val="-5"/>
          <w:sz w:val="24"/>
          <w:szCs w:val="24"/>
          <w:highlight w:val="none"/>
        </w:rPr>
        <w:sectPr>
          <w:pgSz w:w="12240" w:h="15840"/>
          <w:pgMar w:top="1440" w:right="1803" w:bottom="1440" w:left="1803" w:header="0" w:footer="623" w:gutter="0"/>
          <w:cols w:space="720" w:num="1"/>
        </w:sectPr>
      </w:pPr>
      <w:r>
        <w:rPr>
          <w:rFonts w:hint="eastAsia" w:ascii="宋体" w:hAnsi="宋体" w:cs="宋体"/>
          <w:color w:val="auto"/>
          <w:spacing w:val="-5"/>
          <w:sz w:val="24"/>
          <w:szCs w:val="24"/>
          <w:highlight w:val="none"/>
        </w:rPr>
        <w:t>附件二：建设工程廉政责任书</w:t>
      </w:r>
    </w:p>
    <w:p>
      <w:pPr>
        <w:pStyle w:val="6"/>
        <w:spacing w:before="0" w:after="0"/>
        <w:ind w:firstLine="560" w:firstLineChars="200"/>
        <w:rPr>
          <w:color w:val="auto"/>
          <w:highlight w:val="none"/>
        </w:rPr>
      </w:pPr>
      <w:r>
        <w:rPr>
          <w:color w:val="auto"/>
          <w:highlight w:val="none"/>
        </w:rPr>
        <w:t>附件</w:t>
      </w:r>
      <w:r>
        <w:rPr>
          <w:rFonts w:hint="eastAsia"/>
          <w:color w:val="auto"/>
          <w:highlight w:val="none"/>
        </w:rPr>
        <w:t>一</w:t>
      </w:r>
      <w:r>
        <w:rPr>
          <w:color w:val="auto"/>
          <w:highlight w:val="none"/>
        </w:rPr>
        <w:t>：拟委派监理人员一览表</w:t>
      </w:r>
      <w:r>
        <w:rPr>
          <w:color w:val="auto"/>
          <w:w w:val="98"/>
          <w:highlight w:val="none"/>
        </w:rPr>
        <w:t xml:space="preserve"> </w:t>
      </w:r>
    </w:p>
    <w:p>
      <w:pPr>
        <w:ind w:firstLine="643" w:firstLineChars="200"/>
        <w:jc w:val="center"/>
        <w:rPr>
          <w:b/>
          <w:color w:val="auto"/>
          <w:sz w:val="32"/>
          <w:highlight w:val="none"/>
        </w:rPr>
      </w:pPr>
      <w:r>
        <w:rPr>
          <w:b/>
          <w:color w:val="auto"/>
          <w:sz w:val="32"/>
          <w:highlight w:val="none"/>
        </w:rPr>
        <w:t>拟委派监理人员一览表</w:t>
      </w:r>
      <w:r>
        <w:rPr>
          <w:b/>
          <w:color w:val="auto"/>
          <w:w w:val="98"/>
          <w:sz w:val="32"/>
          <w:highlight w:val="none"/>
        </w:rPr>
        <w:t xml:space="preserve"> </w:t>
      </w:r>
    </w:p>
    <w:tbl>
      <w:tblPr>
        <w:tblStyle w:val="23"/>
        <w:tblpPr w:leftFromText="180" w:rightFromText="180" w:vertAnchor="text" w:horzAnchor="page" w:tblpX="1137" w:tblpY="207"/>
        <w:tblOverlap w:val="never"/>
        <w:tblW w:w="93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649"/>
        <w:gridCol w:w="1073"/>
        <w:gridCol w:w="1602"/>
        <w:gridCol w:w="770"/>
        <w:gridCol w:w="675"/>
        <w:gridCol w:w="968"/>
        <w:gridCol w:w="791"/>
        <w:gridCol w:w="72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976" w:type="dxa"/>
            <w:vMerge w:val="restart"/>
            <w:vAlign w:val="center"/>
          </w:tcPr>
          <w:p>
            <w:pPr>
              <w:pStyle w:val="29"/>
              <w:jc w:val="center"/>
              <w:rPr>
                <w:rFonts w:hint="default"/>
                <w:b/>
                <w:color w:val="auto"/>
                <w:sz w:val="20"/>
                <w:szCs w:val="20"/>
                <w:highlight w:val="none"/>
              </w:rPr>
            </w:pPr>
            <w:r>
              <w:rPr>
                <w:b/>
                <w:color w:val="auto"/>
                <w:spacing w:val="53"/>
                <w:sz w:val="20"/>
                <w:szCs w:val="20"/>
                <w:highlight w:val="none"/>
              </w:rPr>
              <w:t>职务</w:t>
            </w:r>
          </w:p>
        </w:tc>
        <w:tc>
          <w:tcPr>
            <w:tcW w:w="649" w:type="dxa"/>
            <w:vMerge w:val="restart"/>
            <w:vAlign w:val="center"/>
          </w:tcPr>
          <w:p>
            <w:pPr>
              <w:pStyle w:val="29"/>
              <w:jc w:val="center"/>
              <w:rPr>
                <w:rFonts w:hint="default"/>
                <w:b/>
                <w:color w:val="auto"/>
                <w:sz w:val="20"/>
                <w:szCs w:val="20"/>
                <w:highlight w:val="none"/>
              </w:rPr>
            </w:pPr>
            <w:r>
              <w:rPr>
                <w:b/>
                <w:color w:val="auto"/>
                <w:sz w:val="20"/>
                <w:szCs w:val="20"/>
                <w:highlight w:val="none"/>
              </w:rPr>
              <w:t>姓名</w:t>
            </w:r>
          </w:p>
        </w:tc>
        <w:tc>
          <w:tcPr>
            <w:tcW w:w="1073" w:type="dxa"/>
            <w:vMerge w:val="restart"/>
            <w:vAlign w:val="center"/>
          </w:tcPr>
          <w:p>
            <w:pPr>
              <w:pStyle w:val="29"/>
              <w:jc w:val="center"/>
              <w:rPr>
                <w:rFonts w:hint="default"/>
                <w:b/>
                <w:color w:val="auto"/>
                <w:sz w:val="20"/>
                <w:szCs w:val="20"/>
                <w:highlight w:val="none"/>
              </w:rPr>
            </w:pPr>
            <w:r>
              <w:rPr>
                <w:b/>
                <w:color w:val="auto"/>
                <w:spacing w:val="53"/>
                <w:sz w:val="20"/>
                <w:szCs w:val="20"/>
                <w:highlight w:val="none"/>
              </w:rPr>
              <w:t>职称</w:t>
            </w:r>
          </w:p>
        </w:tc>
        <w:tc>
          <w:tcPr>
            <w:tcW w:w="4015" w:type="dxa"/>
            <w:gridSpan w:val="4"/>
            <w:vAlign w:val="center"/>
          </w:tcPr>
          <w:p>
            <w:pPr>
              <w:pStyle w:val="29"/>
              <w:jc w:val="center"/>
              <w:rPr>
                <w:rFonts w:hint="default"/>
                <w:b/>
                <w:color w:val="auto"/>
                <w:sz w:val="20"/>
                <w:szCs w:val="20"/>
                <w:highlight w:val="none"/>
              </w:rPr>
            </w:pPr>
            <w:r>
              <w:rPr>
                <w:b/>
                <w:color w:val="auto"/>
                <w:sz w:val="20"/>
                <w:szCs w:val="20"/>
                <w:highlight w:val="none"/>
              </w:rPr>
              <w:t>执业或职业资格证明</w:t>
            </w:r>
          </w:p>
        </w:tc>
        <w:tc>
          <w:tcPr>
            <w:tcW w:w="1513" w:type="dxa"/>
            <w:gridSpan w:val="2"/>
            <w:vAlign w:val="center"/>
          </w:tcPr>
          <w:p>
            <w:pPr>
              <w:pStyle w:val="29"/>
              <w:rPr>
                <w:rFonts w:hint="default"/>
                <w:b/>
                <w:color w:val="auto"/>
                <w:sz w:val="20"/>
                <w:szCs w:val="20"/>
                <w:highlight w:val="none"/>
              </w:rPr>
            </w:pPr>
            <w:r>
              <w:rPr>
                <w:b/>
                <w:color w:val="auto"/>
                <w:sz w:val="20"/>
                <w:szCs w:val="20"/>
                <w:highlight w:val="none"/>
              </w:rPr>
              <w:t>目前参与工程数量（含本工程）</w:t>
            </w:r>
          </w:p>
        </w:tc>
        <w:tc>
          <w:tcPr>
            <w:tcW w:w="1171" w:type="dxa"/>
            <w:vMerge w:val="restart"/>
            <w:vAlign w:val="center"/>
          </w:tcPr>
          <w:p>
            <w:pPr>
              <w:pStyle w:val="29"/>
              <w:jc w:val="center"/>
              <w:rPr>
                <w:rFonts w:hint="default"/>
                <w:b/>
                <w:color w:val="auto"/>
                <w:sz w:val="20"/>
                <w:szCs w:val="20"/>
                <w:highlight w:val="none"/>
              </w:rPr>
            </w:pPr>
            <w:r>
              <w:rPr>
                <w:b/>
                <w:color w:val="auto"/>
                <w:sz w:val="20"/>
                <w:szCs w:val="20"/>
                <w:highlight w:val="none"/>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76" w:type="dxa"/>
            <w:vMerge w:val="continue"/>
            <w:vAlign w:val="center"/>
          </w:tcPr>
          <w:p>
            <w:pPr>
              <w:spacing w:line="440" w:lineRule="exact"/>
              <w:ind w:firstLine="400" w:firstLineChars="200"/>
              <w:rPr>
                <w:color w:val="auto"/>
                <w:sz w:val="20"/>
                <w:szCs w:val="20"/>
                <w:highlight w:val="none"/>
              </w:rPr>
            </w:pPr>
          </w:p>
        </w:tc>
        <w:tc>
          <w:tcPr>
            <w:tcW w:w="649" w:type="dxa"/>
            <w:vMerge w:val="continue"/>
            <w:vAlign w:val="center"/>
          </w:tcPr>
          <w:p>
            <w:pPr>
              <w:spacing w:line="440" w:lineRule="exact"/>
              <w:ind w:firstLine="400" w:firstLineChars="200"/>
              <w:rPr>
                <w:color w:val="auto"/>
                <w:sz w:val="20"/>
                <w:szCs w:val="20"/>
                <w:highlight w:val="none"/>
              </w:rPr>
            </w:pPr>
          </w:p>
        </w:tc>
        <w:tc>
          <w:tcPr>
            <w:tcW w:w="1073" w:type="dxa"/>
            <w:vMerge w:val="continue"/>
            <w:vAlign w:val="center"/>
          </w:tcPr>
          <w:p>
            <w:pPr>
              <w:ind w:firstLine="400" w:firstLineChars="200"/>
              <w:rPr>
                <w:color w:val="auto"/>
                <w:sz w:val="20"/>
                <w:szCs w:val="20"/>
                <w:highlight w:val="none"/>
              </w:rPr>
            </w:pPr>
          </w:p>
        </w:tc>
        <w:tc>
          <w:tcPr>
            <w:tcW w:w="1602" w:type="dxa"/>
            <w:vAlign w:val="center"/>
          </w:tcPr>
          <w:p>
            <w:pPr>
              <w:pStyle w:val="29"/>
              <w:ind w:firstLine="402" w:firstLineChars="200"/>
              <w:rPr>
                <w:rFonts w:hint="default"/>
                <w:b/>
                <w:color w:val="auto"/>
                <w:sz w:val="20"/>
                <w:szCs w:val="20"/>
                <w:highlight w:val="none"/>
              </w:rPr>
            </w:pPr>
            <w:r>
              <w:rPr>
                <w:b/>
                <w:color w:val="auto"/>
                <w:sz w:val="20"/>
                <w:szCs w:val="20"/>
                <w:highlight w:val="none"/>
              </w:rPr>
              <w:t>证书名称</w:t>
            </w:r>
          </w:p>
        </w:tc>
        <w:tc>
          <w:tcPr>
            <w:tcW w:w="770" w:type="dxa"/>
            <w:vAlign w:val="center"/>
          </w:tcPr>
          <w:p>
            <w:pPr>
              <w:pStyle w:val="29"/>
              <w:jc w:val="center"/>
              <w:rPr>
                <w:rFonts w:hint="default"/>
                <w:b/>
                <w:color w:val="auto"/>
                <w:sz w:val="20"/>
                <w:szCs w:val="20"/>
                <w:highlight w:val="none"/>
              </w:rPr>
            </w:pPr>
            <w:r>
              <w:rPr>
                <w:b/>
                <w:color w:val="auto"/>
                <w:sz w:val="20"/>
                <w:szCs w:val="20"/>
                <w:highlight w:val="none"/>
              </w:rPr>
              <w:t>级别</w:t>
            </w:r>
          </w:p>
        </w:tc>
        <w:tc>
          <w:tcPr>
            <w:tcW w:w="675" w:type="dxa"/>
            <w:vAlign w:val="center"/>
          </w:tcPr>
          <w:p>
            <w:pPr>
              <w:pStyle w:val="29"/>
              <w:jc w:val="center"/>
              <w:rPr>
                <w:rFonts w:hint="default"/>
                <w:b/>
                <w:color w:val="auto"/>
                <w:sz w:val="20"/>
                <w:szCs w:val="20"/>
                <w:highlight w:val="none"/>
              </w:rPr>
            </w:pPr>
            <w:r>
              <w:rPr>
                <w:b/>
                <w:color w:val="auto"/>
                <w:sz w:val="20"/>
                <w:szCs w:val="20"/>
                <w:highlight w:val="none"/>
              </w:rPr>
              <w:t>证号</w:t>
            </w:r>
          </w:p>
        </w:tc>
        <w:tc>
          <w:tcPr>
            <w:tcW w:w="968" w:type="dxa"/>
            <w:vAlign w:val="center"/>
          </w:tcPr>
          <w:p>
            <w:pPr>
              <w:pStyle w:val="29"/>
              <w:jc w:val="center"/>
              <w:rPr>
                <w:rFonts w:hint="default"/>
                <w:b/>
                <w:color w:val="auto"/>
                <w:sz w:val="20"/>
                <w:szCs w:val="20"/>
                <w:highlight w:val="none"/>
              </w:rPr>
            </w:pPr>
            <w:r>
              <w:rPr>
                <w:b/>
                <w:color w:val="auto"/>
                <w:sz w:val="20"/>
                <w:szCs w:val="20"/>
                <w:highlight w:val="none"/>
              </w:rPr>
              <w:t>专业</w:t>
            </w:r>
          </w:p>
        </w:tc>
        <w:tc>
          <w:tcPr>
            <w:tcW w:w="791" w:type="dxa"/>
            <w:vAlign w:val="center"/>
          </w:tcPr>
          <w:p>
            <w:pPr>
              <w:pStyle w:val="29"/>
              <w:jc w:val="center"/>
              <w:rPr>
                <w:rFonts w:hint="default"/>
                <w:b/>
                <w:color w:val="auto"/>
                <w:sz w:val="20"/>
                <w:szCs w:val="20"/>
                <w:highlight w:val="none"/>
              </w:rPr>
            </w:pPr>
            <w:r>
              <w:rPr>
                <w:b/>
                <w:color w:val="auto"/>
                <w:sz w:val="20"/>
                <w:szCs w:val="20"/>
                <w:highlight w:val="none"/>
              </w:rPr>
              <w:t>数量</w:t>
            </w:r>
          </w:p>
        </w:tc>
        <w:tc>
          <w:tcPr>
            <w:tcW w:w="722" w:type="dxa"/>
            <w:vAlign w:val="center"/>
          </w:tcPr>
          <w:p>
            <w:pPr>
              <w:pStyle w:val="29"/>
              <w:jc w:val="center"/>
              <w:rPr>
                <w:rFonts w:hint="default"/>
                <w:b/>
                <w:color w:val="auto"/>
                <w:sz w:val="20"/>
                <w:szCs w:val="20"/>
                <w:highlight w:val="none"/>
              </w:rPr>
            </w:pPr>
            <w:r>
              <w:rPr>
                <w:b/>
                <w:color w:val="auto"/>
                <w:sz w:val="20"/>
                <w:szCs w:val="20"/>
                <w:highlight w:val="none"/>
              </w:rPr>
              <w:t>名称</w:t>
            </w:r>
          </w:p>
        </w:tc>
        <w:tc>
          <w:tcPr>
            <w:tcW w:w="1171" w:type="dxa"/>
            <w:vMerge w:val="continue"/>
            <w:vAlign w:val="center"/>
          </w:tcPr>
          <w:p>
            <w:pPr>
              <w:pStyle w:val="29"/>
              <w:ind w:firstLine="402" w:firstLineChars="200"/>
              <w:rPr>
                <w:rFonts w:hint="default"/>
                <w:b/>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76" w:type="dxa"/>
            <w:vAlign w:val="center"/>
          </w:tcPr>
          <w:p>
            <w:pPr>
              <w:ind w:firstLine="400" w:firstLineChars="200"/>
              <w:rPr>
                <w:color w:val="auto"/>
                <w:sz w:val="20"/>
                <w:szCs w:val="20"/>
                <w:highlight w:val="none"/>
              </w:rPr>
            </w:pPr>
          </w:p>
        </w:tc>
        <w:tc>
          <w:tcPr>
            <w:tcW w:w="649" w:type="dxa"/>
            <w:vAlign w:val="center"/>
          </w:tcPr>
          <w:p>
            <w:pPr>
              <w:ind w:firstLine="400" w:firstLineChars="200"/>
              <w:rPr>
                <w:color w:val="auto"/>
                <w:sz w:val="20"/>
                <w:szCs w:val="20"/>
                <w:highlight w:val="none"/>
              </w:rPr>
            </w:pPr>
          </w:p>
        </w:tc>
        <w:tc>
          <w:tcPr>
            <w:tcW w:w="1073" w:type="dxa"/>
            <w:vAlign w:val="center"/>
          </w:tcPr>
          <w:p>
            <w:pPr>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76" w:type="dxa"/>
            <w:vAlign w:val="center"/>
          </w:tcPr>
          <w:p>
            <w:pPr>
              <w:ind w:firstLine="400" w:firstLineChars="200"/>
              <w:rPr>
                <w:color w:val="auto"/>
                <w:sz w:val="20"/>
                <w:szCs w:val="20"/>
                <w:highlight w:val="none"/>
              </w:rPr>
            </w:pPr>
          </w:p>
        </w:tc>
        <w:tc>
          <w:tcPr>
            <w:tcW w:w="649" w:type="dxa"/>
            <w:vAlign w:val="center"/>
          </w:tcPr>
          <w:p>
            <w:pPr>
              <w:ind w:firstLine="400" w:firstLineChars="200"/>
              <w:rPr>
                <w:color w:val="auto"/>
                <w:sz w:val="20"/>
                <w:szCs w:val="20"/>
                <w:highlight w:val="none"/>
              </w:rPr>
            </w:pPr>
          </w:p>
        </w:tc>
        <w:tc>
          <w:tcPr>
            <w:tcW w:w="1073" w:type="dxa"/>
            <w:vAlign w:val="center"/>
          </w:tcPr>
          <w:p>
            <w:pPr>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highlight w:val="none"/>
              </w:rPr>
            </w:pPr>
          </w:p>
        </w:tc>
        <w:tc>
          <w:tcPr>
            <w:tcW w:w="649" w:type="dxa"/>
            <w:vAlign w:val="center"/>
          </w:tcPr>
          <w:p>
            <w:pPr>
              <w:spacing w:line="440" w:lineRule="exact"/>
              <w:ind w:firstLine="400" w:firstLineChars="200"/>
              <w:rPr>
                <w:color w:val="auto"/>
                <w:sz w:val="20"/>
                <w:szCs w:val="20"/>
                <w:highlight w:val="none"/>
              </w:rPr>
            </w:pPr>
          </w:p>
        </w:tc>
        <w:tc>
          <w:tcPr>
            <w:tcW w:w="1073" w:type="dxa"/>
            <w:vAlign w:val="center"/>
          </w:tcPr>
          <w:p>
            <w:pPr>
              <w:spacing w:line="440" w:lineRule="exact"/>
              <w:ind w:firstLine="400" w:firstLineChars="200"/>
              <w:rPr>
                <w:color w:val="auto"/>
                <w:sz w:val="20"/>
                <w:szCs w:val="20"/>
                <w:highlight w:val="none"/>
              </w:rPr>
            </w:pPr>
          </w:p>
        </w:tc>
        <w:tc>
          <w:tcPr>
            <w:tcW w:w="1602" w:type="dxa"/>
            <w:vAlign w:val="center"/>
          </w:tcPr>
          <w:p>
            <w:pPr>
              <w:ind w:firstLine="400" w:firstLineChars="200"/>
              <w:rPr>
                <w:color w:val="auto"/>
                <w:sz w:val="20"/>
                <w:szCs w:val="20"/>
                <w:highlight w:val="none"/>
              </w:rPr>
            </w:pPr>
          </w:p>
        </w:tc>
        <w:tc>
          <w:tcPr>
            <w:tcW w:w="770" w:type="dxa"/>
            <w:vAlign w:val="center"/>
          </w:tcPr>
          <w:p>
            <w:pPr>
              <w:ind w:firstLine="400" w:firstLineChars="200"/>
              <w:rPr>
                <w:color w:val="auto"/>
                <w:sz w:val="20"/>
                <w:szCs w:val="20"/>
                <w:highlight w:val="none"/>
              </w:rPr>
            </w:pPr>
          </w:p>
        </w:tc>
        <w:tc>
          <w:tcPr>
            <w:tcW w:w="675" w:type="dxa"/>
            <w:vAlign w:val="center"/>
          </w:tcPr>
          <w:p>
            <w:pPr>
              <w:ind w:firstLine="400" w:firstLineChars="200"/>
              <w:rPr>
                <w:color w:val="auto"/>
                <w:sz w:val="20"/>
                <w:szCs w:val="20"/>
                <w:highlight w:val="none"/>
              </w:rPr>
            </w:pPr>
          </w:p>
        </w:tc>
        <w:tc>
          <w:tcPr>
            <w:tcW w:w="968" w:type="dxa"/>
            <w:vAlign w:val="center"/>
          </w:tcPr>
          <w:p>
            <w:pPr>
              <w:ind w:firstLine="400" w:firstLineChars="200"/>
              <w:rPr>
                <w:color w:val="auto"/>
                <w:sz w:val="20"/>
                <w:szCs w:val="20"/>
                <w:highlight w:val="none"/>
              </w:rPr>
            </w:pPr>
          </w:p>
        </w:tc>
        <w:tc>
          <w:tcPr>
            <w:tcW w:w="791" w:type="dxa"/>
            <w:vAlign w:val="center"/>
          </w:tcPr>
          <w:p>
            <w:pPr>
              <w:ind w:firstLine="400" w:firstLineChars="200"/>
              <w:rPr>
                <w:color w:val="auto"/>
                <w:sz w:val="20"/>
                <w:szCs w:val="20"/>
                <w:highlight w:val="none"/>
              </w:rPr>
            </w:pPr>
          </w:p>
        </w:tc>
        <w:tc>
          <w:tcPr>
            <w:tcW w:w="722" w:type="dxa"/>
            <w:vAlign w:val="center"/>
          </w:tcPr>
          <w:p>
            <w:pPr>
              <w:ind w:firstLine="400" w:firstLineChars="200"/>
              <w:rPr>
                <w:color w:val="auto"/>
                <w:sz w:val="20"/>
                <w:szCs w:val="20"/>
                <w:highlight w:val="none"/>
              </w:rPr>
            </w:pPr>
          </w:p>
        </w:tc>
        <w:tc>
          <w:tcPr>
            <w:tcW w:w="1171" w:type="dxa"/>
            <w:vAlign w:val="center"/>
          </w:tcPr>
          <w:p>
            <w:pPr>
              <w:ind w:firstLine="400" w:firstLineChars="200"/>
              <w:rPr>
                <w:color w:val="auto"/>
                <w:sz w:val="20"/>
                <w:szCs w:val="20"/>
                <w:highlight w:val="none"/>
              </w:rPr>
            </w:pPr>
          </w:p>
        </w:tc>
      </w:tr>
    </w:tbl>
    <w:p>
      <w:pPr>
        <w:pStyle w:val="12"/>
        <w:spacing w:after="0"/>
        <w:ind w:firstLine="181" w:firstLineChars="200"/>
        <w:rPr>
          <w:b/>
          <w:color w:val="auto"/>
          <w:sz w:val="9"/>
          <w:highlight w:val="none"/>
        </w:rPr>
      </w:pPr>
    </w:p>
    <w:p>
      <w:pPr>
        <w:rPr>
          <w:color w:val="auto"/>
          <w:highlight w:val="none"/>
        </w:rPr>
      </w:pPr>
      <w:r>
        <w:rPr>
          <w:rFonts w:hint="eastAsia" w:ascii="宋体" w:hAnsi="宋体" w:cs="宋体"/>
          <w:color w:val="auto"/>
          <w:sz w:val="24"/>
          <w:highlight w:val="none"/>
        </w:rPr>
        <w:t>注：表中所列人员配备为最低限度要求，委托人可根据实际施工进度、施工作业面及专业需要，要求中标单位配备足够专业监理人员，所有监理人员均须身体健康。</w:t>
      </w:r>
    </w:p>
    <w:p>
      <w:pPr>
        <w:pStyle w:val="16"/>
        <w:ind w:firstLine="360" w:firstLineChars="200"/>
        <w:jc w:val="both"/>
        <w:rPr>
          <w:color w:val="auto"/>
          <w:highlight w:val="none"/>
        </w:rPr>
      </w:pPr>
    </w:p>
    <w:p>
      <w:pPr>
        <w:ind w:firstLine="643" w:firstLineChars="200"/>
        <w:rPr>
          <w:b/>
          <w:bCs/>
          <w:color w:val="auto"/>
          <w:sz w:val="32"/>
          <w:szCs w:val="32"/>
          <w:highlight w:val="none"/>
        </w:rPr>
      </w:pPr>
      <w:bookmarkStart w:id="556" w:name="_Toc3935"/>
      <w:bookmarkStart w:id="557" w:name="_Toc477938369"/>
      <w:bookmarkStart w:id="558" w:name="_Toc17589"/>
      <w:r>
        <w:rPr>
          <w:rFonts w:hint="eastAsia"/>
          <w:b/>
          <w:bCs/>
          <w:color w:val="auto"/>
          <w:sz w:val="32"/>
          <w:szCs w:val="32"/>
          <w:highlight w:val="none"/>
        </w:rPr>
        <w:br w:type="page"/>
      </w:r>
    </w:p>
    <w:p>
      <w:pPr>
        <w:spacing w:line="360" w:lineRule="auto"/>
        <w:ind w:firstLine="643" w:firstLineChars="200"/>
        <w:outlineLvl w:val="2"/>
        <w:rPr>
          <w:b/>
          <w:bCs/>
          <w:color w:val="auto"/>
          <w:sz w:val="32"/>
          <w:szCs w:val="32"/>
          <w:highlight w:val="none"/>
        </w:rPr>
      </w:pPr>
      <w:r>
        <w:rPr>
          <w:rFonts w:hint="eastAsia"/>
          <w:b/>
          <w:bCs/>
          <w:color w:val="auto"/>
          <w:sz w:val="32"/>
          <w:szCs w:val="32"/>
          <w:highlight w:val="none"/>
        </w:rPr>
        <w:t>附件二：</w:t>
      </w:r>
      <w:bookmarkEnd w:id="556"/>
      <w:r>
        <w:rPr>
          <w:rFonts w:hint="eastAsia"/>
          <w:b/>
          <w:bCs/>
          <w:color w:val="auto"/>
          <w:sz w:val="32"/>
          <w:szCs w:val="32"/>
          <w:highlight w:val="none"/>
        </w:rPr>
        <w:t>建设工程廉政责任书（格式）</w:t>
      </w:r>
      <w:bookmarkEnd w:id="557"/>
      <w:bookmarkEnd w:id="558"/>
    </w:p>
    <w:p>
      <w:pPr>
        <w:ind w:firstLine="422" w:firstLineChars="200"/>
        <w:rPr>
          <w:b/>
          <w:color w:val="auto"/>
          <w:highlight w:val="none"/>
        </w:rPr>
      </w:pPr>
    </w:p>
    <w:p>
      <w:pPr>
        <w:spacing w:line="400" w:lineRule="exact"/>
        <w:ind w:firstLine="540" w:firstLineChars="200"/>
        <w:jc w:val="center"/>
        <w:rPr>
          <w:rFonts w:ascii="黑体" w:eastAsia="黑体"/>
          <w:color w:val="auto"/>
          <w:sz w:val="27"/>
          <w:szCs w:val="27"/>
          <w:highlight w:val="none"/>
        </w:rPr>
      </w:pPr>
      <w:r>
        <w:rPr>
          <w:rFonts w:hint="eastAsia" w:ascii="黑体" w:eastAsia="黑体"/>
          <w:color w:val="auto"/>
          <w:sz w:val="27"/>
          <w:szCs w:val="27"/>
          <w:highlight w:val="none"/>
        </w:rPr>
        <w:t>建设工程廉政责任书</w:t>
      </w:r>
    </w:p>
    <w:p>
      <w:pPr>
        <w:spacing w:line="400" w:lineRule="exact"/>
        <w:ind w:firstLine="480" w:firstLineChars="200"/>
        <w:rPr>
          <w:color w:val="auto"/>
          <w:sz w:val="24"/>
          <w:szCs w:val="24"/>
          <w:highlight w:val="none"/>
        </w:rPr>
      </w:pPr>
      <w:r>
        <w:rPr>
          <w:rFonts w:hint="eastAsia"/>
          <w:color w:val="auto"/>
          <w:sz w:val="24"/>
          <w:szCs w:val="24"/>
          <w:highlight w:val="none"/>
        </w:rPr>
        <w:t>工程项目名称：</w:t>
      </w:r>
    </w:p>
    <w:p>
      <w:pPr>
        <w:spacing w:line="400" w:lineRule="exact"/>
        <w:ind w:firstLine="480" w:firstLineChars="200"/>
        <w:rPr>
          <w:color w:val="auto"/>
          <w:sz w:val="24"/>
          <w:szCs w:val="24"/>
          <w:highlight w:val="none"/>
        </w:rPr>
      </w:pPr>
      <w:r>
        <w:rPr>
          <w:rFonts w:hint="eastAsia"/>
          <w:color w:val="auto"/>
          <w:sz w:val="24"/>
          <w:szCs w:val="24"/>
          <w:highlight w:val="none"/>
        </w:rPr>
        <w:t>工程项目地址：</w:t>
      </w:r>
    </w:p>
    <w:p>
      <w:pPr>
        <w:spacing w:line="400" w:lineRule="exact"/>
        <w:ind w:firstLine="480" w:firstLineChars="200"/>
        <w:rPr>
          <w:color w:val="auto"/>
          <w:sz w:val="24"/>
          <w:szCs w:val="24"/>
          <w:highlight w:val="none"/>
        </w:rPr>
      </w:pPr>
      <w:r>
        <w:rPr>
          <w:rFonts w:hint="eastAsia"/>
          <w:color w:val="auto"/>
          <w:sz w:val="24"/>
          <w:szCs w:val="24"/>
          <w:highlight w:val="none"/>
        </w:rPr>
        <w:t xml:space="preserve">发包人：                                               </w:t>
      </w:r>
    </w:p>
    <w:p>
      <w:pPr>
        <w:spacing w:line="400" w:lineRule="exact"/>
        <w:ind w:firstLine="480" w:firstLineChars="200"/>
        <w:rPr>
          <w:color w:val="auto"/>
          <w:sz w:val="24"/>
          <w:szCs w:val="24"/>
          <w:highlight w:val="none"/>
        </w:rPr>
      </w:pPr>
      <w:r>
        <w:rPr>
          <w:rFonts w:hint="eastAsia"/>
          <w:color w:val="auto"/>
          <w:sz w:val="24"/>
          <w:szCs w:val="24"/>
          <w:highlight w:val="none"/>
        </w:rPr>
        <w:t xml:space="preserve">承包人：                                               </w:t>
      </w:r>
    </w:p>
    <w:p>
      <w:pPr>
        <w:spacing w:line="400" w:lineRule="exact"/>
        <w:ind w:firstLine="480" w:firstLineChars="200"/>
        <w:rPr>
          <w:color w:val="auto"/>
          <w:sz w:val="24"/>
          <w:szCs w:val="24"/>
          <w:highlight w:val="none"/>
        </w:rPr>
      </w:pPr>
      <w:r>
        <w:rPr>
          <w:rFonts w:hint="eastAsia"/>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color w:val="auto"/>
          <w:sz w:val="24"/>
          <w:szCs w:val="24"/>
          <w:highlight w:val="none"/>
        </w:rPr>
      </w:pPr>
      <w:r>
        <w:rPr>
          <w:rFonts w:hint="eastAsia"/>
          <w:color w:val="auto"/>
          <w:sz w:val="24"/>
          <w:szCs w:val="24"/>
          <w:highlight w:val="none"/>
        </w:rPr>
        <w:t>一、双方的责任</w:t>
      </w:r>
    </w:p>
    <w:p>
      <w:pPr>
        <w:spacing w:line="400" w:lineRule="exact"/>
        <w:ind w:firstLine="480" w:firstLineChars="200"/>
        <w:rPr>
          <w:color w:val="auto"/>
          <w:sz w:val="24"/>
          <w:szCs w:val="24"/>
          <w:highlight w:val="none"/>
        </w:rPr>
      </w:pPr>
      <w:r>
        <w:rPr>
          <w:rFonts w:hint="eastAsia"/>
          <w:color w:val="auto"/>
          <w:sz w:val="24"/>
          <w:szCs w:val="24"/>
          <w:highlight w:val="none"/>
        </w:rPr>
        <w:t>1.1应严格遵守国家关于建设工程的有关法律、法规，相关政策，以及廉政建设的各项规定。</w:t>
      </w:r>
    </w:p>
    <w:p>
      <w:pPr>
        <w:spacing w:line="400" w:lineRule="exact"/>
        <w:ind w:firstLine="480" w:firstLineChars="200"/>
        <w:rPr>
          <w:color w:val="auto"/>
          <w:sz w:val="24"/>
          <w:szCs w:val="24"/>
          <w:highlight w:val="none"/>
        </w:rPr>
      </w:pPr>
      <w:r>
        <w:rPr>
          <w:rFonts w:hint="eastAsia"/>
          <w:color w:val="auto"/>
          <w:sz w:val="24"/>
          <w:szCs w:val="24"/>
          <w:highlight w:val="none"/>
        </w:rPr>
        <w:t>1.2严格执行建设工程合同文件，自觉按合同办事。</w:t>
      </w:r>
    </w:p>
    <w:p>
      <w:pPr>
        <w:spacing w:line="400" w:lineRule="exact"/>
        <w:ind w:firstLine="480" w:firstLineChars="200"/>
        <w:rPr>
          <w:color w:val="auto"/>
          <w:sz w:val="24"/>
          <w:szCs w:val="24"/>
          <w:highlight w:val="none"/>
        </w:rPr>
      </w:pPr>
      <w:r>
        <w:rPr>
          <w:rFonts w:hint="eastAsia"/>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color w:val="auto"/>
          <w:sz w:val="24"/>
          <w:szCs w:val="24"/>
          <w:highlight w:val="none"/>
        </w:rPr>
      </w:pPr>
      <w:r>
        <w:rPr>
          <w:rFonts w:hint="eastAsia"/>
          <w:color w:val="auto"/>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color w:val="auto"/>
          <w:sz w:val="24"/>
          <w:szCs w:val="24"/>
          <w:highlight w:val="none"/>
        </w:rPr>
      </w:pPr>
      <w:r>
        <w:rPr>
          <w:rFonts w:hint="eastAsia"/>
          <w:color w:val="auto"/>
          <w:sz w:val="24"/>
          <w:szCs w:val="24"/>
          <w:highlight w:val="none"/>
        </w:rPr>
        <w:t>二、发包人责任</w:t>
      </w:r>
    </w:p>
    <w:p>
      <w:pPr>
        <w:spacing w:line="400" w:lineRule="exact"/>
        <w:ind w:firstLine="480" w:firstLineChars="200"/>
        <w:rPr>
          <w:color w:val="auto"/>
          <w:sz w:val="24"/>
          <w:szCs w:val="24"/>
          <w:highlight w:val="none"/>
        </w:rPr>
      </w:pPr>
      <w:r>
        <w:rPr>
          <w:rFonts w:hint="eastAsia"/>
          <w:color w:val="auto"/>
          <w:sz w:val="24"/>
          <w:szCs w:val="24"/>
          <w:highlight w:val="none"/>
        </w:rPr>
        <w:t>发包人的领导和从事该建设工程项目的工作人员，在工程建设的事前、事中、事后应遵守以下规定：</w:t>
      </w:r>
    </w:p>
    <w:p>
      <w:pPr>
        <w:spacing w:line="400" w:lineRule="exact"/>
        <w:ind w:firstLine="480" w:firstLineChars="200"/>
        <w:rPr>
          <w:color w:val="auto"/>
          <w:sz w:val="24"/>
          <w:szCs w:val="24"/>
          <w:highlight w:val="none"/>
        </w:rPr>
      </w:pPr>
      <w:r>
        <w:rPr>
          <w:rFonts w:hint="eastAsia"/>
          <w:color w:val="auto"/>
          <w:sz w:val="24"/>
          <w:szCs w:val="24"/>
          <w:highlight w:val="none"/>
        </w:rPr>
        <w:t>2.1不得向承包人和相关单位索要或接受回扣、礼金、有价证券、贵重物品和好处费、感谢费等。</w:t>
      </w:r>
    </w:p>
    <w:p>
      <w:pPr>
        <w:spacing w:line="400" w:lineRule="exact"/>
        <w:ind w:firstLine="480" w:firstLineChars="200"/>
        <w:rPr>
          <w:color w:val="auto"/>
          <w:sz w:val="24"/>
          <w:szCs w:val="24"/>
          <w:highlight w:val="none"/>
        </w:rPr>
      </w:pPr>
      <w:r>
        <w:rPr>
          <w:rFonts w:hint="eastAsia"/>
          <w:color w:val="auto"/>
          <w:sz w:val="24"/>
          <w:szCs w:val="24"/>
          <w:highlight w:val="none"/>
        </w:rPr>
        <w:t>2.2不得在承包人和相关单位报销任何应由发包人或个人支付的费用。</w:t>
      </w:r>
    </w:p>
    <w:p>
      <w:pPr>
        <w:spacing w:line="400" w:lineRule="exact"/>
        <w:ind w:firstLine="480" w:firstLineChars="200"/>
        <w:rPr>
          <w:color w:val="auto"/>
          <w:sz w:val="24"/>
          <w:szCs w:val="24"/>
          <w:highlight w:val="none"/>
        </w:rPr>
      </w:pPr>
      <w:r>
        <w:rPr>
          <w:rFonts w:hint="eastAsia"/>
          <w:color w:val="auto"/>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color w:val="auto"/>
          <w:sz w:val="24"/>
          <w:szCs w:val="24"/>
          <w:highlight w:val="none"/>
        </w:rPr>
      </w:pPr>
      <w:r>
        <w:rPr>
          <w:rFonts w:hint="eastAsia"/>
          <w:color w:val="auto"/>
          <w:sz w:val="24"/>
          <w:szCs w:val="24"/>
          <w:highlight w:val="none"/>
        </w:rPr>
        <w:t>2.4不得参加有可能影响公正执行公务的承包人和相关单位的宴请、健身、娱乐等活动。</w:t>
      </w:r>
    </w:p>
    <w:p>
      <w:pPr>
        <w:spacing w:line="400" w:lineRule="exact"/>
        <w:ind w:firstLine="480" w:firstLineChars="200"/>
        <w:rPr>
          <w:color w:val="auto"/>
          <w:sz w:val="24"/>
          <w:szCs w:val="24"/>
          <w:highlight w:val="none"/>
        </w:rPr>
      </w:pPr>
      <w:r>
        <w:rPr>
          <w:rFonts w:hint="eastAsia"/>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color w:val="auto"/>
          <w:sz w:val="24"/>
          <w:szCs w:val="24"/>
          <w:highlight w:val="none"/>
        </w:rPr>
      </w:pPr>
      <w:r>
        <w:rPr>
          <w:rFonts w:hint="eastAsia"/>
          <w:color w:val="auto"/>
          <w:sz w:val="24"/>
          <w:szCs w:val="24"/>
          <w:highlight w:val="none"/>
        </w:rPr>
        <w:t>三、承包人责任</w:t>
      </w:r>
    </w:p>
    <w:p>
      <w:pPr>
        <w:spacing w:line="400" w:lineRule="exact"/>
        <w:ind w:firstLine="480" w:firstLineChars="200"/>
        <w:rPr>
          <w:color w:val="auto"/>
          <w:sz w:val="24"/>
          <w:szCs w:val="24"/>
          <w:highlight w:val="none"/>
        </w:rPr>
      </w:pPr>
      <w:r>
        <w:rPr>
          <w:rFonts w:hint="eastAsia"/>
          <w:color w:val="auto"/>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color w:val="auto"/>
          <w:sz w:val="24"/>
          <w:szCs w:val="24"/>
          <w:highlight w:val="none"/>
        </w:rPr>
      </w:pPr>
      <w:r>
        <w:rPr>
          <w:rFonts w:hint="eastAsia"/>
          <w:color w:val="auto"/>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color w:val="auto"/>
          <w:sz w:val="24"/>
          <w:szCs w:val="24"/>
          <w:highlight w:val="none"/>
        </w:rPr>
      </w:pPr>
      <w:r>
        <w:rPr>
          <w:rFonts w:hint="eastAsia"/>
          <w:color w:val="auto"/>
          <w:sz w:val="24"/>
          <w:szCs w:val="24"/>
          <w:highlight w:val="none"/>
        </w:rPr>
        <w:t>3.2不得以任何理由为发包人和相关单位报销应由对方或个人支付的费用。</w:t>
      </w:r>
    </w:p>
    <w:p>
      <w:pPr>
        <w:spacing w:line="400" w:lineRule="exact"/>
        <w:ind w:firstLine="480" w:firstLineChars="200"/>
        <w:rPr>
          <w:color w:val="auto"/>
          <w:sz w:val="24"/>
          <w:szCs w:val="24"/>
          <w:highlight w:val="none"/>
        </w:rPr>
      </w:pPr>
      <w:r>
        <w:rPr>
          <w:rFonts w:hint="eastAsia"/>
          <w:color w:val="auto"/>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color w:val="auto"/>
          <w:sz w:val="24"/>
          <w:szCs w:val="24"/>
          <w:highlight w:val="none"/>
        </w:rPr>
      </w:pPr>
      <w:r>
        <w:rPr>
          <w:rFonts w:hint="eastAsia"/>
          <w:color w:val="auto"/>
          <w:sz w:val="24"/>
          <w:szCs w:val="24"/>
          <w:highlight w:val="none"/>
        </w:rPr>
        <w:t>3.4不得以任何理由为发包人、相关单位或个人组织有可能影响公正执行公务的宴请、健身、娱乐等活动。</w:t>
      </w:r>
    </w:p>
    <w:p>
      <w:pPr>
        <w:spacing w:line="400" w:lineRule="exact"/>
        <w:ind w:firstLine="480" w:firstLineChars="200"/>
        <w:rPr>
          <w:color w:val="auto"/>
          <w:sz w:val="24"/>
          <w:szCs w:val="24"/>
          <w:highlight w:val="none"/>
        </w:rPr>
      </w:pPr>
      <w:r>
        <w:rPr>
          <w:rFonts w:hint="eastAsia"/>
          <w:color w:val="auto"/>
          <w:sz w:val="24"/>
          <w:szCs w:val="24"/>
          <w:highlight w:val="none"/>
        </w:rPr>
        <w:t>四、违约责任</w:t>
      </w:r>
    </w:p>
    <w:p>
      <w:pPr>
        <w:spacing w:line="400" w:lineRule="exact"/>
        <w:ind w:firstLine="480" w:firstLineChars="200"/>
        <w:rPr>
          <w:color w:val="auto"/>
          <w:sz w:val="24"/>
          <w:szCs w:val="24"/>
          <w:highlight w:val="none"/>
        </w:rPr>
      </w:pPr>
      <w:r>
        <w:rPr>
          <w:rFonts w:hint="eastAsia"/>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color w:val="auto"/>
          <w:sz w:val="24"/>
          <w:szCs w:val="24"/>
          <w:highlight w:val="none"/>
        </w:rPr>
      </w:pPr>
      <w:r>
        <w:rPr>
          <w:rFonts w:hint="eastAsia"/>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color w:val="auto"/>
          <w:sz w:val="24"/>
          <w:szCs w:val="24"/>
          <w:highlight w:val="none"/>
        </w:rPr>
      </w:pPr>
      <w:r>
        <w:rPr>
          <w:rFonts w:hint="eastAsia"/>
          <w:color w:val="auto"/>
          <w:sz w:val="24"/>
          <w:szCs w:val="24"/>
          <w:highlight w:val="none"/>
        </w:rPr>
        <w:t>4.3本责任书作为建设工程合同的组成部分，与建设工程合同具有同等法律效力。经双方签署后立即生效。</w:t>
      </w:r>
    </w:p>
    <w:p>
      <w:pPr>
        <w:spacing w:line="400" w:lineRule="exact"/>
        <w:ind w:firstLine="480" w:firstLineChars="200"/>
        <w:rPr>
          <w:color w:val="auto"/>
          <w:sz w:val="24"/>
          <w:szCs w:val="24"/>
          <w:highlight w:val="none"/>
        </w:rPr>
      </w:pPr>
      <w:r>
        <w:rPr>
          <w:rFonts w:hint="eastAsia"/>
          <w:color w:val="auto"/>
          <w:sz w:val="24"/>
          <w:szCs w:val="24"/>
          <w:highlight w:val="none"/>
        </w:rPr>
        <w:t>五、责任书有效期</w:t>
      </w:r>
    </w:p>
    <w:p>
      <w:pPr>
        <w:spacing w:line="400" w:lineRule="exact"/>
        <w:ind w:firstLine="480" w:firstLineChars="200"/>
        <w:rPr>
          <w:color w:val="auto"/>
          <w:sz w:val="24"/>
          <w:szCs w:val="24"/>
          <w:highlight w:val="none"/>
        </w:rPr>
      </w:pPr>
      <w:r>
        <w:rPr>
          <w:rFonts w:hint="eastAsia"/>
          <w:color w:val="auto"/>
          <w:sz w:val="24"/>
          <w:szCs w:val="24"/>
          <w:highlight w:val="none"/>
        </w:rPr>
        <w:t>本责任书的有效期为双方签署之日起至该工程项目竣工验收合格时止。</w:t>
      </w:r>
    </w:p>
    <w:p>
      <w:pPr>
        <w:spacing w:line="400" w:lineRule="exact"/>
        <w:ind w:firstLine="480" w:firstLineChars="200"/>
        <w:rPr>
          <w:color w:val="auto"/>
          <w:sz w:val="24"/>
          <w:szCs w:val="24"/>
          <w:highlight w:val="none"/>
        </w:rPr>
      </w:pPr>
      <w:r>
        <w:rPr>
          <w:rFonts w:hint="eastAsia"/>
          <w:color w:val="auto"/>
          <w:sz w:val="24"/>
          <w:szCs w:val="24"/>
          <w:highlight w:val="none"/>
        </w:rPr>
        <w:t>六、责任书份数</w:t>
      </w:r>
    </w:p>
    <w:p>
      <w:pPr>
        <w:spacing w:line="400" w:lineRule="exact"/>
        <w:ind w:firstLine="480" w:firstLineChars="200"/>
        <w:rPr>
          <w:color w:val="auto"/>
          <w:sz w:val="24"/>
          <w:szCs w:val="24"/>
          <w:highlight w:val="none"/>
        </w:rPr>
      </w:pPr>
      <w:r>
        <w:rPr>
          <w:rFonts w:hint="eastAsia"/>
          <w:color w:val="auto"/>
          <w:sz w:val="24"/>
          <w:szCs w:val="24"/>
          <w:highlight w:val="none"/>
        </w:rPr>
        <w:t>本责任书一式</w:t>
      </w:r>
      <w:r>
        <w:rPr>
          <w:rFonts w:hint="eastAsia"/>
          <w:color w:val="auto"/>
          <w:sz w:val="24"/>
          <w:szCs w:val="24"/>
          <w:highlight w:val="none"/>
          <w:u w:val="single"/>
        </w:rPr>
        <w:t xml:space="preserve">   </w:t>
      </w:r>
      <w:r>
        <w:rPr>
          <w:rFonts w:hint="eastAsia"/>
          <w:color w:val="auto"/>
          <w:sz w:val="24"/>
          <w:szCs w:val="24"/>
          <w:highlight w:val="none"/>
        </w:rPr>
        <w:t>份，发包人承包人各执</w:t>
      </w:r>
      <w:r>
        <w:rPr>
          <w:rFonts w:hint="eastAsia"/>
          <w:color w:val="auto"/>
          <w:sz w:val="24"/>
          <w:szCs w:val="24"/>
          <w:highlight w:val="none"/>
          <w:u w:val="single"/>
        </w:rPr>
        <w:t xml:space="preserve">   </w:t>
      </w:r>
      <w:r>
        <w:rPr>
          <w:rFonts w:hint="eastAsia"/>
          <w:color w:val="auto"/>
          <w:sz w:val="24"/>
          <w:szCs w:val="24"/>
          <w:highlight w:val="none"/>
        </w:rPr>
        <w:t>份，具有同等效力。</w:t>
      </w:r>
    </w:p>
    <w:p>
      <w:pPr>
        <w:spacing w:line="400" w:lineRule="exact"/>
        <w:ind w:firstLine="420" w:firstLineChars="200"/>
        <w:rPr>
          <w:color w:val="auto"/>
          <w:highlight w:val="none"/>
        </w:rPr>
      </w:pPr>
    </w:p>
    <w:p>
      <w:pPr>
        <w:spacing w:line="500" w:lineRule="exact"/>
        <w:ind w:firstLine="480" w:firstLineChars="200"/>
        <w:rPr>
          <w:color w:val="auto"/>
          <w:sz w:val="24"/>
          <w:szCs w:val="24"/>
          <w:highlight w:val="none"/>
        </w:rPr>
      </w:pPr>
      <w:r>
        <w:rPr>
          <w:rFonts w:hint="eastAsia"/>
          <w:color w:val="auto"/>
          <w:sz w:val="24"/>
          <w:szCs w:val="24"/>
          <w:highlight w:val="none"/>
        </w:rPr>
        <w:t xml:space="preserve">发包人（公章）：                       承包人（公章）：                 </w:t>
      </w:r>
    </w:p>
    <w:p>
      <w:pPr>
        <w:spacing w:line="500" w:lineRule="exact"/>
        <w:ind w:firstLine="480" w:firstLineChars="200"/>
        <w:rPr>
          <w:color w:val="auto"/>
          <w:sz w:val="24"/>
          <w:szCs w:val="24"/>
          <w:highlight w:val="none"/>
        </w:rPr>
      </w:pPr>
      <w:r>
        <w:rPr>
          <w:rFonts w:hint="eastAsia"/>
          <w:color w:val="auto"/>
          <w:sz w:val="24"/>
          <w:szCs w:val="24"/>
          <w:highlight w:val="none"/>
        </w:rPr>
        <w:t>法定代表人或其                        法定代表人或其</w:t>
      </w:r>
    </w:p>
    <w:p>
      <w:pPr>
        <w:spacing w:line="500" w:lineRule="exact"/>
        <w:ind w:firstLine="480" w:firstLineChars="200"/>
        <w:rPr>
          <w:color w:val="auto"/>
          <w:sz w:val="24"/>
          <w:szCs w:val="24"/>
          <w:highlight w:val="none"/>
        </w:rPr>
      </w:pPr>
      <w:r>
        <w:rPr>
          <w:rFonts w:hint="eastAsia"/>
          <w:color w:val="auto"/>
          <w:sz w:val="24"/>
          <w:szCs w:val="24"/>
          <w:highlight w:val="none"/>
        </w:rPr>
        <w:t xml:space="preserve">委托代理人 （签字）：                  委托代理人（签字）：             </w:t>
      </w:r>
    </w:p>
    <w:p>
      <w:pPr>
        <w:spacing w:line="500" w:lineRule="exact"/>
        <w:ind w:firstLine="480" w:firstLineChars="200"/>
        <w:jc w:val="left"/>
        <w:rPr>
          <w:color w:val="auto"/>
          <w:sz w:val="24"/>
          <w:szCs w:val="24"/>
          <w:highlight w:val="none"/>
        </w:rPr>
      </w:pPr>
      <w:r>
        <w:rPr>
          <w:rFonts w:hint="eastAsia"/>
          <w:color w:val="auto"/>
          <w:sz w:val="24"/>
          <w:szCs w:val="24"/>
          <w:highlight w:val="none"/>
        </w:rPr>
        <w:t xml:space="preserve">    年   月   日</w:t>
      </w:r>
    </w:p>
    <w:p>
      <w:pPr>
        <w:pStyle w:val="30"/>
        <w:spacing w:line="360" w:lineRule="auto"/>
        <w:ind w:firstLine="480" w:firstLineChars="200"/>
        <w:jc w:val="both"/>
        <w:rPr>
          <w:rFonts w:ascii="宋体" w:hAnsi="宋体"/>
          <w:color w:val="auto"/>
          <w:highlight w:val="none"/>
        </w:rPr>
      </w:pPr>
    </w:p>
    <w:p>
      <w:pPr>
        <w:pStyle w:val="3"/>
        <w:snapToGrid w:val="0"/>
        <w:spacing w:after="0" w:line="400" w:lineRule="atLeast"/>
        <w:ind w:left="0" w:leftChars="0" w:firstLine="420" w:firstLineChars="200"/>
        <w:rPr>
          <w:color w:val="auto"/>
          <w:szCs w:val="21"/>
          <w:highlight w:val="none"/>
        </w:rPr>
      </w:pPr>
    </w:p>
    <w:p>
      <w:pPr>
        <w:pStyle w:val="3"/>
        <w:snapToGrid w:val="0"/>
        <w:spacing w:after="0" w:line="400" w:lineRule="atLeast"/>
        <w:ind w:left="0" w:leftChars="0" w:firstLine="420" w:firstLineChars="200"/>
        <w:rPr>
          <w:color w:val="auto"/>
          <w:szCs w:val="21"/>
          <w:highlight w:val="none"/>
        </w:rPr>
      </w:pPr>
    </w:p>
    <w:p>
      <w:pPr>
        <w:rPr>
          <w:color w:val="auto"/>
          <w:highlight w:val="none"/>
        </w:rPr>
      </w:pPr>
    </w:p>
    <w:p>
      <w:pPr>
        <w:rPr>
          <w:color w:val="auto"/>
          <w:highlight w:val="none"/>
        </w:rPr>
      </w:pPr>
    </w:p>
    <w:p>
      <w:pPr>
        <w:ind w:firstLine="629" w:firstLineChars="200"/>
        <w:rPr>
          <w:b/>
          <w:color w:val="auto"/>
          <w:sz w:val="33"/>
          <w:highlight w:val="none"/>
        </w:rPr>
      </w:pPr>
      <w:r>
        <w:rPr>
          <w:b/>
          <w:color w:val="auto"/>
          <w:w w:val="98"/>
          <w:sz w:val="32"/>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keepNext w:val="0"/>
        <w:keepLines w:val="0"/>
        <w:spacing w:before="0" w:after="0" w:line="440" w:lineRule="exact"/>
        <w:jc w:val="center"/>
        <w:rPr>
          <w:color w:val="auto"/>
          <w:highlight w:val="none"/>
        </w:rPr>
      </w:pPr>
      <w:bookmarkStart w:id="559" w:name="_Toc89870621"/>
      <w:bookmarkStart w:id="560" w:name="_Toc179632787"/>
      <w:bookmarkStart w:id="561" w:name="_Toc247085853"/>
      <w:bookmarkStart w:id="562" w:name="_Toc246997081"/>
      <w:bookmarkStart w:id="563" w:name="_Toc246996338"/>
      <w:bookmarkStart w:id="564" w:name="_Toc152045610"/>
      <w:bookmarkStart w:id="565" w:name="_Toc152042549"/>
      <w:bookmarkStart w:id="566" w:name="_Toc144974578"/>
      <w:bookmarkStart w:id="567" w:name="_Toc144974829"/>
      <w:bookmarkStart w:id="568" w:name="_Toc247527798"/>
      <w:bookmarkStart w:id="569" w:name="_Toc184635122"/>
      <w:bookmarkStart w:id="570" w:name="_Toc300835199"/>
      <w:bookmarkStart w:id="571" w:name="_Toc152042388"/>
      <w:bookmarkStart w:id="572" w:name="_Toc247514197"/>
      <w:r>
        <w:rPr>
          <w:color w:val="auto"/>
          <w:highlight w:val="none"/>
        </w:rPr>
        <w:t>第</w:t>
      </w:r>
      <w:r>
        <w:rPr>
          <w:rFonts w:hint="eastAsia"/>
          <w:color w:val="auto"/>
          <w:highlight w:val="none"/>
        </w:rPr>
        <w:t>二</w:t>
      </w:r>
      <w:r>
        <w:rPr>
          <w:color w:val="auto"/>
          <w:highlight w:val="none"/>
        </w:rPr>
        <w:t>卷</w:t>
      </w:r>
      <w:bookmarkEnd w:id="559"/>
    </w:p>
    <w:p>
      <w:pPr>
        <w:rPr>
          <w:color w:val="auto"/>
          <w:sz w:val="36"/>
          <w:szCs w:val="36"/>
          <w:highlight w:val="none"/>
        </w:rPr>
      </w:pPr>
      <w:bookmarkStart w:id="573" w:name="_Toc89870622"/>
      <w:r>
        <w:rPr>
          <w:rFonts w:hint="eastAsia"/>
          <w:color w:val="auto"/>
          <w:sz w:val="36"/>
          <w:szCs w:val="36"/>
          <w:highlight w:val="none"/>
        </w:rPr>
        <w:br w:type="page"/>
      </w:r>
    </w:p>
    <w:p>
      <w:pPr>
        <w:pStyle w:val="4"/>
        <w:keepNext w:val="0"/>
        <w:keepLines w:val="0"/>
        <w:spacing w:before="0" w:after="0" w:line="360" w:lineRule="auto"/>
        <w:jc w:val="center"/>
        <w:rPr>
          <w:color w:val="auto"/>
          <w:sz w:val="36"/>
          <w:szCs w:val="36"/>
          <w:highlight w:val="none"/>
        </w:rPr>
      </w:pPr>
      <w:r>
        <w:rPr>
          <w:rFonts w:hint="eastAsia"/>
          <w:color w:val="auto"/>
          <w:sz w:val="36"/>
          <w:szCs w:val="36"/>
          <w:highlight w:val="none"/>
        </w:rPr>
        <w:t>第五章</w:t>
      </w:r>
      <w:r>
        <w:rPr>
          <w:color w:val="auto"/>
          <w:sz w:val="36"/>
          <w:szCs w:val="36"/>
          <w:highlight w:val="none"/>
        </w:rPr>
        <w:t xml:space="preserve"> </w:t>
      </w:r>
      <w:r>
        <w:rPr>
          <w:rFonts w:hint="eastAsia"/>
          <w:color w:val="auto"/>
          <w:sz w:val="36"/>
          <w:szCs w:val="36"/>
          <w:highlight w:val="none"/>
        </w:rPr>
        <w:t>委托人要求</w:t>
      </w:r>
      <w:bookmarkEnd w:id="560"/>
      <w:bookmarkEnd w:id="561"/>
      <w:bookmarkEnd w:id="562"/>
      <w:bookmarkEnd w:id="563"/>
      <w:bookmarkEnd w:id="573"/>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委托人要求通常包括但不限于以下内容：</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574" w:name="_Toc511557110"/>
      <w:bookmarkStart w:id="575" w:name="_Toc527028520"/>
      <w:bookmarkStart w:id="576" w:name="_Toc89870623"/>
      <w:bookmarkStart w:id="577" w:name="_Toc482188637"/>
      <w:r>
        <w:rPr>
          <w:rFonts w:ascii="Times New Roman" w:hAnsi="Times New Roman"/>
          <w:b w:val="0"/>
          <w:color w:val="auto"/>
          <w:sz w:val="28"/>
          <w:szCs w:val="28"/>
          <w:highlight w:val="none"/>
        </w:rPr>
        <w:t>一、监理要求</w:t>
      </w:r>
      <w:bookmarkEnd w:id="574"/>
      <w:bookmarkEnd w:id="575"/>
      <w:bookmarkEnd w:id="576"/>
      <w:bookmarkEnd w:id="577"/>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招标人应当根据项目情况在本章中明确相应的监理要求，一般应包括以下内容：</w:t>
      </w:r>
    </w:p>
    <w:p>
      <w:pPr>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1. 项目概况</w:t>
      </w:r>
    </w:p>
    <w:p>
      <w:pPr>
        <w:spacing w:line="360" w:lineRule="auto"/>
        <w:ind w:firstLine="480" w:firstLineChars="200"/>
        <w:rPr>
          <w:rFonts w:ascii="宋体" w:hAnsi="宋体" w:cs="宋体"/>
          <w:color w:val="auto"/>
          <w:sz w:val="24"/>
          <w:szCs w:val="24"/>
          <w:highlight w:val="none"/>
        </w:rPr>
      </w:pPr>
      <w:r>
        <w:rPr>
          <w:rFonts w:hint="eastAsia"/>
          <w:color w:val="auto"/>
          <w:sz w:val="24"/>
          <w:szCs w:val="24"/>
          <w:highlight w:val="none"/>
        </w:rPr>
        <w:t>1.1项目名称：</w:t>
      </w:r>
      <w:r>
        <w:rPr>
          <w:rFonts w:hint="eastAsia" w:ascii="宋体" w:hAnsi="宋体" w:cs="宋体"/>
          <w:color w:val="auto"/>
          <w:sz w:val="24"/>
          <w:szCs w:val="24"/>
          <w:highlight w:val="none"/>
          <w:u w:val="single"/>
          <w:lang w:eastAsia="zh-CN"/>
        </w:rPr>
        <w:t>增城区南部水厂及配套管网建设工程监理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kern w:val="0"/>
          <w:sz w:val="24"/>
          <w:highlight w:val="none"/>
        </w:rPr>
      </w:pPr>
      <w:r>
        <w:rPr>
          <w:rFonts w:hint="eastAsia"/>
          <w:color w:val="auto"/>
          <w:sz w:val="24"/>
          <w:szCs w:val="24"/>
          <w:highlight w:val="none"/>
        </w:rPr>
        <w:t>1.2建设地点：</w:t>
      </w:r>
      <w:r>
        <w:rPr>
          <w:rFonts w:hint="eastAsia" w:ascii="宋体" w:hAnsi="宋体" w:eastAsia="宋体" w:cs="宋体"/>
          <w:color w:val="auto"/>
          <w:kern w:val="0"/>
          <w:sz w:val="24"/>
          <w:szCs w:val="24"/>
          <w:highlight w:val="none"/>
          <w:u w:val="single"/>
          <w:lang w:val="en-US" w:eastAsia="zh-CN" w:bidi="ar"/>
        </w:rPr>
        <w:t>增城区</w:t>
      </w:r>
      <w:r>
        <w:rPr>
          <w:rFonts w:hint="eastAsia" w:ascii="宋体" w:hAnsi="宋体" w:cs="宋体"/>
          <w:color w:val="auto"/>
          <w:kern w:val="2"/>
          <w:sz w:val="24"/>
          <w:szCs w:val="22"/>
          <w:highlight w:val="none"/>
          <w:u w:val="single"/>
          <w:lang w:val="en-US" w:eastAsia="zh-CN" w:bidi="ar-SA"/>
        </w:rPr>
        <w:t>南部水厂厂区位于新塘镇官道村，万田水库东南侧；取水泵房位于石滩镇岳埔村</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2"/>
          <w:highlight w:val="none"/>
          <w:u w:val="single"/>
          <w:lang w:val="en-US" w:eastAsia="zh-CN"/>
        </w:rPr>
      </w:pPr>
      <w:r>
        <w:rPr>
          <w:rFonts w:hint="eastAsia"/>
          <w:color w:val="auto"/>
          <w:sz w:val="24"/>
          <w:szCs w:val="24"/>
          <w:highlight w:val="none"/>
        </w:rPr>
        <w:t>1.3项目规模：</w:t>
      </w:r>
      <w:r>
        <w:rPr>
          <w:rFonts w:hint="eastAsia" w:ascii="宋体" w:hAnsi="宋体" w:cs="宋体"/>
          <w:color w:val="auto"/>
          <w:kern w:val="2"/>
          <w:sz w:val="24"/>
          <w:szCs w:val="24"/>
          <w:highlight w:val="none"/>
        </w:rPr>
        <w:t>：</w:t>
      </w:r>
      <w:r>
        <w:rPr>
          <w:rFonts w:hint="eastAsia" w:ascii="宋体" w:hAnsi="宋体" w:eastAsia="宋体" w:cs="宋体"/>
          <w:color w:val="auto"/>
          <w:sz w:val="24"/>
          <w:szCs w:val="22"/>
          <w:highlight w:val="none"/>
          <w:u w:val="single"/>
          <w:lang w:val="en-US" w:eastAsia="zh-CN"/>
        </w:rPr>
        <w:t>项目一期供水规模30万m3/d，部分建(构)筑物土建按远期50万m³/d规模，设备按30万m³/d规模安装;取水泵房土建按55万 m³/d规模，设备按33万m³/d规模安装。</w:t>
      </w:r>
    </w:p>
    <w:p>
      <w:pPr>
        <w:spacing w:line="360" w:lineRule="auto"/>
        <w:ind w:firstLine="480" w:firstLineChars="200"/>
        <w:rPr>
          <w:rFonts w:hint="eastAsia"/>
          <w:color w:val="auto"/>
          <w:sz w:val="24"/>
          <w:szCs w:val="24"/>
          <w:highlight w:val="none"/>
          <w:u w:val="single"/>
          <w:lang w:eastAsia="zh-CN"/>
        </w:rPr>
      </w:pPr>
      <w:r>
        <w:rPr>
          <w:rFonts w:hint="eastAsia" w:ascii="宋体" w:hAnsi="宋体" w:eastAsia="宋体" w:cs="宋体"/>
          <w:color w:val="auto"/>
          <w:sz w:val="24"/>
          <w:szCs w:val="22"/>
          <w:highlight w:val="none"/>
          <w:u w:val="single"/>
          <w:lang w:val="en-US" w:eastAsia="zh-CN"/>
        </w:rPr>
        <w:t>项目总建筑面积70648平方米，其中厂区建筑面积65968平方米，取水泵房建筑面积4680平方米。主要建设内容:新建厂区内配水井及细格栅、吸水井及送水泵房、污泥调质池及脱水机房、加药间、变配电中心、分配电间、综合楼、中试车间、机修及仓库、门卫等建(构)筑物，土建按远期50万m³/d规模，设备按30万m³/d规模安装;新建混凝池及沉淀池、砂滤池及反冲洗泵房、清水池、排水池及排泥池、浓缩池等建(构)筑物，土建及设备安装按30万 m³/d规模;泵站内包括取水泵房、配电房和管理用房、加药间等建筑，土建按55万m³/d规模，设备按33万m3/d规模安装;原水管管径2xDN1800双管布置，总长24千米;清水配水管网管径 DN1200~DN1800，总长13.7千米</w:t>
      </w:r>
      <w:r>
        <w:rPr>
          <w:rFonts w:hint="eastAsia"/>
          <w:color w:val="auto"/>
          <w:sz w:val="24"/>
          <w:szCs w:val="24"/>
          <w:highlight w:val="none"/>
          <w:u w:val="single"/>
          <w:lang w:eastAsia="zh-CN"/>
        </w:rPr>
        <w:t>。</w:t>
      </w:r>
    </w:p>
    <w:p>
      <w:pPr>
        <w:spacing w:line="360" w:lineRule="auto"/>
        <w:ind w:firstLine="480" w:firstLineChars="200"/>
        <w:rPr>
          <w:rFonts w:ascii="宋体" w:hAnsi="宋体" w:cs="宋体"/>
          <w:color w:val="auto"/>
          <w:sz w:val="24"/>
          <w:highlight w:val="none"/>
          <w:u w:val="single"/>
        </w:rPr>
      </w:pPr>
      <w:r>
        <w:rPr>
          <w:rFonts w:hint="eastAsia"/>
          <w:color w:val="auto"/>
          <w:sz w:val="24"/>
          <w:szCs w:val="24"/>
          <w:highlight w:val="none"/>
        </w:rPr>
        <w:t>1.4</w:t>
      </w:r>
      <w:r>
        <w:rPr>
          <w:rFonts w:hint="eastAsia" w:ascii="宋体" w:hAnsi="宋体" w:cs="宋体"/>
          <w:color w:val="auto"/>
          <w:kern w:val="2"/>
          <w:sz w:val="24"/>
          <w:szCs w:val="24"/>
          <w:highlight w:val="none"/>
          <w:u w:val="single"/>
        </w:rPr>
        <w:t>项目总投资为</w:t>
      </w:r>
      <w:r>
        <w:rPr>
          <w:rFonts w:hint="eastAsia" w:ascii="宋体" w:hAnsi="宋体" w:cs="宋体"/>
          <w:color w:val="auto"/>
          <w:sz w:val="24"/>
          <w:szCs w:val="22"/>
          <w:highlight w:val="none"/>
          <w:u w:val="single"/>
          <w:lang w:val="en-US" w:eastAsia="zh-CN"/>
        </w:rPr>
        <w:t>257402.81</w:t>
      </w:r>
      <w:r>
        <w:rPr>
          <w:rFonts w:hint="eastAsia" w:ascii="宋体" w:hAnsi="宋体" w:cs="宋体"/>
          <w:color w:val="auto"/>
          <w:kern w:val="2"/>
          <w:sz w:val="24"/>
          <w:szCs w:val="24"/>
          <w:highlight w:val="none"/>
          <w:u w:val="single"/>
        </w:rPr>
        <w:t>万元，</w:t>
      </w:r>
      <w:r>
        <w:rPr>
          <w:rFonts w:hint="eastAsia" w:ascii="宋体" w:hAnsi="宋体" w:cs="宋体"/>
          <w:color w:val="auto"/>
          <w:kern w:val="2"/>
          <w:sz w:val="24"/>
          <w:szCs w:val="24"/>
          <w:highlight w:val="none"/>
          <w:u w:val="single"/>
          <w:lang w:val="en-US" w:eastAsia="zh-CN"/>
        </w:rPr>
        <w:t>其中工程费用156945.98万元，工程建设其他费75420.72万元，预备费为8815.42万元，建设期贷款利息为15770.69万元，铺底流动资金为450.00万元。</w:t>
      </w:r>
      <w:r>
        <w:rPr>
          <w:rFonts w:hint="eastAsia" w:ascii="宋体" w:hAnsi="宋体" w:cs="宋体"/>
          <w:b/>
          <w:bCs/>
          <w:color w:val="auto"/>
          <w:kern w:val="2"/>
          <w:sz w:val="24"/>
          <w:szCs w:val="24"/>
          <w:highlight w:val="none"/>
          <w:u w:val="single"/>
          <w:lang w:val="en-US" w:eastAsia="zh-CN"/>
        </w:rPr>
        <w:t>（</w:t>
      </w:r>
      <w:r>
        <w:rPr>
          <w:rFonts w:hint="eastAsia" w:ascii="宋体" w:hAnsi="宋体" w:cs="宋体"/>
          <w:b w:val="0"/>
          <w:bCs w:val="0"/>
          <w:color w:val="auto"/>
          <w:kern w:val="2"/>
          <w:sz w:val="24"/>
          <w:szCs w:val="24"/>
          <w:highlight w:val="none"/>
          <w:u w:val="single"/>
          <w:lang w:val="en-US" w:eastAsia="zh-CN"/>
        </w:rPr>
        <w:t>项目资本金为64007.12万元，资本金比例为</w:t>
      </w:r>
      <w:r>
        <w:rPr>
          <w:rFonts w:hint="eastAsia" w:ascii="宋体" w:hAnsi="宋体"/>
          <w:b w:val="0"/>
          <w:bCs w:val="0"/>
          <w:color w:val="auto"/>
          <w:kern w:val="2"/>
          <w:sz w:val="24"/>
          <w:szCs w:val="24"/>
          <w:highlight w:val="none"/>
          <w:u w:val="single"/>
          <w:lang w:val="en-US" w:eastAsia="zh-CN"/>
        </w:rPr>
        <w:t>24.87</w:t>
      </w:r>
      <w:r>
        <w:rPr>
          <w:rFonts w:hint="eastAsia" w:ascii="宋体" w:hAnsi="宋体"/>
          <w:b w:val="0"/>
          <w:bCs w:val="0"/>
          <w:color w:val="auto"/>
          <w:kern w:val="2"/>
          <w:sz w:val="24"/>
          <w:szCs w:val="24"/>
          <w:highlight w:val="none"/>
          <w:u w:val="single"/>
        </w:rPr>
        <w:t>%</w:t>
      </w:r>
      <w:r>
        <w:rPr>
          <w:rFonts w:hint="eastAsia" w:ascii="宋体" w:hAnsi="宋体"/>
          <w:b w:val="0"/>
          <w:bCs w:val="0"/>
          <w:color w:val="auto"/>
          <w:kern w:val="2"/>
          <w:sz w:val="24"/>
          <w:szCs w:val="24"/>
          <w:highlight w:val="none"/>
          <w:u w:val="single"/>
          <w:lang w:eastAsia="zh-CN"/>
        </w:rPr>
        <w:t>，</w:t>
      </w:r>
      <w:r>
        <w:rPr>
          <w:rFonts w:hint="eastAsia" w:ascii="宋体" w:hAnsi="宋体"/>
          <w:b w:val="0"/>
          <w:bCs w:val="0"/>
          <w:color w:val="auto"/>
          <w:kern w:val="2"/>
          <w:sz w:val="24"/>
          <w:szCs w:val="24"/>
          <w:highlight w:val="none"/>
          <w:u w:val="single"/>
          <w:lang w:val="en-US" w:eastAsia="zh-CN"/>
        </w:rPr>
        <w:t>由项目建设单位以自有资金出资，资本金以外资金通过融资解决。）</w:t>
      </w:r>
      <w:r>
        <w:rPr>
          <w:rFonts w:hint="eastAsia"/>
          <w:color w:val="auto"/>
          <w:sz w:val="24"/>
          <w:szCs w:val="24"/>
          <w:highlight w:val="none"/>
        </w:rPr>
        <w:t>。</w:t>
      </w:r>
    </w:p>
    <w:p>
      <w:pPr>
        <w:spacing w:line="360" w:lineRule="auto"/>
        <w:ind w:firstLine="480" w:firstLineChars="200"/>
        <w:rPr>
          <w:rFonts w:ascii="宋体" w:hAnsi="宋体"/>
          <w:color w:val="auto"/>
          <w:sz w:val="24"/>
          <w:szCs w:val="24"/>
          <w:highlight w:val="none"/>
        </w:rPr>
      </w:pPr>
      <w:r>
        <w:rPr>
          <w:color w:val="auto"/>
          <w:sz w:val="24"/>
          <w:szCs w:val="24"/>
          <w:highlight w:val="none"/>
        </w:rPr>
        <w:t xml:space="preserve">1.5 </w:t>
      </w:r>
      <w:r>
        <w:rPr>
          <w:rFonts w:hint="eastAsia" w:ascii="宋体" w:hAnsi="宋体"/>
          <w:color w:val="auto"/>
          <w:sz w:val="24"/>
          <w:szCs w:val="24"/>
          <w:highlight w:val="none"/>
        </w:rPr>
        <w:t>监理服务期限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施工准备阶段：</w:t>
      </w:r>
      <w:r>
        <w:rPr>
          <w:rFonts w:hint="eastAsia" w:ascii="宋体" w:hAnsi="宋体"/>
          <w:color w:val="auto"/>
          <w:sz w:val="24"/>
          <w:szCs w:val="24"/>
          <w:highlight w:val="none"/>
          <w:u w:val="single"/>
        </w:rPr>
        <w:t>从中标通知书发出到工程开工之日</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施工阶段监理服务期：</w:t>
      </w:r>
      <w:r>
        <w:rPr>
          <w:rFonts w:hint="eastAsia" w:ascii="宋体" w:hAnsi="宋体"/>
          <w:color w:val="auto"/>
          <w:sz w:val="24"/>
          <w:szCs w:val="24"/>
          <w:highlight w:val="none"/>
          <w:u w:val="single"/>
        </w:rPr>
        <w:t>从业主下达开工令或开工报告审批之日起至施工项目全部完工并办理竣工验收、竣工结算、备案管理为止</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工程收尾阶段：</w:t>
      </w:r>
      <w:r>
        <w:rPr>
          <w:rFonts w:hint="eastAsia" w:ascii="宋体" w:hAnsi="宋体" w:cs="宋体"/>
          <w:color w:val="auto"/>
          <w:sz w:val="24"/>
          <w:szCs w:val="24"/>
          <w:highlight w:val="none"/>
        </w:rPr>
        <w:t>包括竣工收尾、验收、整改、移交、结算、考核评价等方面的监理工作完成为止。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缺陷责任期阶段监理服务期：</w:t>
      </w:r>
      <w:r>
        <w:rPr>
          <w:rFonts w:hint="eastAsia" w:ascii="宋体" w:hAnsi="宋体"/>
          <w:color w:val="auto"/>
          <w:sz w:val="24"/>
          <w:szCs w:val="24"/>
          <w:highlight w:val="none"/>
          <w:u w:val="single"/>
        </w:rPr>
        <w:t>从工程竣工验收合格之日起</w:t>
      </w:r>
      <w:r>
        <w:rPr>
          <w:rFonts w:ascii="宋体" w:hAnsi="宋体"/>
          <w:color w:val="auto"/>
          <w:sz w:val="24"/>
          <w:szCs w:val="24"/>
          <w:highlight w:val="none"/>
          <w:u w:val="single"/>
        </w:rPr>
        <w:t>2年</w:t>
      </w:r>
      <w:r>
        <w:rPr>
          <w:rFonts w:ascii="宋体" w:hAnsi="宋体"/>
          <w:color w:val="auto"/>
          <w:sz w:val="24"/>
          <w:szCs w:val="24"/>
          <w:highlight w:val="none"/>
        </w:rPr>
        <w:t>。</w:t>
      </w:r>
    </w:p>
    <w:p>
      <w:pPr>
        <w:adjustRightInd w:val="0"/>
        <w:snapToGrid w:val="0"/>
        <w:spacing w:line="360" w:lineRule="auto"/>
        <w:ind w:firstLine="482" w:firstLineChars="200"/>
        <w:rPr>
          <w:rFonts w:ascii="Times New Roman" w:hAnsi="Times New Roman"/>
          <w:b/>
          <w:color w:val="auto"/>
          <w:sz w:val="24"/>
          <w:szCs w:val="24"/>
          <w:highlight w:val="none"/>
        </w:rPr>
      </w:pPr>
      <w:r>
        <w:rPr>
          <w:rFonts w:ascii="Times New Roman" w:hAnsi="Times New Roman"/>
          <w:b/>
          <w:color w:val="auto"/>
          <w:sz w:val="24"/>
          <w:szCs w:val="24"/>
          <w:highlight w:val="none"/>
        </w:rPr>
        <w:t xml:space="preserve">2. </w:t>
      </w:r>
      <w:r>
        <w:rPr>
          <w:rFonts w:hint="eastAsia" w:ascii="Times New Roman" w:hAnsi="Times New Roman"/>
          <w:b/>
          <w:color w:val="auto"/>
          <w:sz w:val="24"/>
          <w:szCs w:val="24"/>
          <w:highlight w:val="none"/>
        </w:rPr>
        <w:t>监理</w:t>
      </w:r>
      <w:r>
        <w:rPr>
          <w:rFonts w:ascii="Times New Roman" w:hAnsi="Times New Roman"/>
          <w:b/>
          <w:color w:val="auto"/>
          <w:sz w:val="24"/>
          <w:szCs w:val="24"/>
          <w:highlight w:val="none"/>
        </w:rPr>
        <w:t>范围及内容</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监理范围：</w:t>
      </w:r>
      <w:r>
        <w:rPr>
          <w:rFonts w:hint="eastAsia" w:ascii="宋体" w:hAnsi="宋体"/>
          <w:color w:val="auto"/>
          <w:sz w:val="24"/>
          <w:szCs w:val="24"/>
          <w:highlight w:val="none"/>
          <w:u w:val="single"/>
        </w:rPr>
        <w:t>包括但不限于以下内容：本工程的</w:t>
      </w:r>
      <w:r>
        <w:rPr>
          <w:rFonts w:hint="eastAsia" w:ascii="宋体" w:hAnsi="宋体" w:eastAsia="宋体" w:cs="Times New Roman"/>
          <w:color w:val="auto"/>
          <w:kern w:val="2"/>
          <w:sz w:val="24"/>
          <w:szCs w:val="24"/>
          <w:highlight w:val="none"/>
          <w:u w:val="single"/>
          <w:lang w:val="en-US" w:eastAsia="zh-CN"/>
        </w:rPr>
        <w:t>前期准备阶段（勘察设计报审、勘察设计监理等）</w:t>
      </w:r>
      <w:r>
        <w:rPr>
          <w:rFonts w:hint="eastAsia" w:ascii="宋体" w:hAnsi="宋体" w:cs="Times New Roman"/>
          <w:color w:val="auto"/>
          <w:kern w:val="2"/>
          <w:sz w:val="24"/>
          <w:szCs w:val="24"/>
          <w:highlight w:val="none"/>
          <w:u w:val="single"/>
          <w:lang w:val="en-US" w:eastAsia="zh-CN"/>
        </w:rPr>
        <w:t>、</w:t>
      </w:r>
      <w:r>
        <w:rPr>
          <w:rFonts w:hint="eastAsia" w:ascii="宋体" w:hAnsi="宋体"/>
          <w:color w:val="auto"/>
          <w:sz w:val="24"/>
          <w:szCs w:val="24"/>
          <w:highlight w:val="none"/>
          <w:u w:val="single"/>
        </w:rPr>
        <w:t>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w:t>
      </w:r>
    </w:p>
    <w:p>
      <w:pPr>
        <w:spacing w:line="360" w:lineRule="auto"/>
        <w:ind w:firstLine="480" w:firstLineChars="200"/>
        <w:rPr>
          <w:color w:val="auto"/>
          <w:highlight w:val="none"/>
          <w:lang w:bidi="ar"/>
        </w:rPr>
      </w:pPr>
      <w:r>
        <w:rPr>
          <w:rFonts w:hint="eastAsia" w:ascii="Times New Roman" w:hAnsi="Times New Roman"/>
          <w:color w:val="auto"/>
          <w:sz w:val="24"/>
          <w:szCs w:val="24"/>
          <w:highlight w:val="none"/>
          <w:lang w:bidi="ar"/>
        </w:rPr>
        <w:t>2</w:t>
      </w:r>
      <w:r>
        <w:rPr>
          <w:rFonts w:ascii="Times New Roman" w:hAnsi="Times New Roman"/>
          <w:color w:val="auto"/>
          <w:sz w:val="24"/>
          <w:szCs w:val="24"/>
          <w:highlight w:val="none"/>
          <w:lang w:bidi="ar"/>
        </w:rPr>
        <w:t xml:space="preserve">.2 </w:t>
      </w:r>
      <w:r>
        <w:rPr>
          <w:rFonts w:hint="eastAsia" w:ascii="Times New Roman" w:hAnsi="Times New Roman"/>
          <w:color w:val="auto"/>
          <w:sz w:val="24"/>
          <w:szCs w:val="24"/>
          <w:highlight w:val="none"/>
          <w:lang w:bidi="ar"/>
        </w:rPr>
        <w:t>监理人监理工作内容</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1、建设工程监理一般规定：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（1）实行总</w:t>
      </w:r>
      <w:r>
        <w:rPr>
          <w:rFonts w:hint="eastAsia" w:ascii="宋体" w:hAnsi="宋体" w:cs="宋体"/>
          <w:color w:val="auto"/>
          <w:spacing w:val="-3"/>
          <w:sz w:val="24"/>
          <w:szCs w:val="24"/>
          <w:highlight w:val="none"/>
        </w:rPr>
        <w:t>监理工程师</w:t>
      </w:r>
      <w:r>
        <w:rPr>
          <w:rFonts w:hint="eastAsia" w:ascii="宋体" w:hAnsi="宋体" w:cs="宋体"/>
          <w:color w:val="auto"/>
          <w:sz w:val="24"/>
          <w:szCs w:val="24"/>
          <w:highlight w:val="none"/>
        </w:rPr>
        <w:t>负责制。</w:t>
      </w:r>
      <w:r>
        <w:rPr>
          <w:rFonts w:ascii="宋体" w:hAnsi="宋体" w:cs="宋体"/>
          <w:color w:val="auto"/>
          <w:sz w:val="24"/>
          <w:szCs w:val="24"/>
          <w:highlight w:val="none"/>
        </w:rPr>
        <w:t xml:space="preserve">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（2）监理人应公正、独立、自主地开展监理工作，维护委托人的合法权益。</w:t>
      </w:r>
    </w:p>
    <w:p>
      <w:pPr>
        <w:pStyle w:val="31"/>
        <w:tabs>
          <w:tab w:val="left" w:pos="1310"/>
        </w:tabs>
        <w:spacing w:line="364" w:lineRule="auto"/>
        <w:ind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（3）监理人除应按《建设工程监理规范》（GB50319-2013）</w:t>
      </w:r>
      <w:r>
        <w:rPr>
          <w:rFonts w:hint="eastAsia" w:ascii="宋体" w:hAnsi="宋体" w:cs="宋体"/>
          <w:color w:val="auto"/>
          <w:spacing w:val="-2"/>
          <w:sz w:val="24"/>
          <w:szCs w:val="24"/>
          <w:highlight w:val="none"/>
        </w:rPr>
        <w:t>履行监理职责外，还应符合</w:t>
      </w:r>
      <w:r>
        <w:rPr>
          <w:rFonts w:hint="eastAsia" w:ascii="宋体" w:hAnsi="宋体" w:cs="宋体"/>
          <w:color w:val="auto"/>
          <w:sz w:val="24"/>
          <w:szCs w:val="24"/>
          <w:highlight w:val="none"/>
        </w:rPr>
        <w:t xml:space="preserve">国家现行的有关强制性标准、规范的规定。 </w:t>
      </w:r>
    </w:p>
    <w:p>
      <w:pPr>
        <w:pStyle w:val="31"/>
        <w:tabs>
          <w:tab w:val="left" w:pos="1310"/>
        </w:tabs>
        <w:spacing w:line="364"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2、负责</w:t>
      </w:r>
      <w:r>
        <w:rPr>
          <w:rFonts w:hint="eastAsia" w:ascii="宋体" w:hAnsi="宋体" w:cs="宋体"/>
          <w:color w:val="auto"/>
          <w:spacing w:val="-3"/>
          <w:sz w:val="24"/>
          <w:szCs w:val="24"/>
          <w:highlight w:val="none"/>
        </w:rPr>
        <w:t>施工准备</w:t>
      </w:r>
      <w:r>
        <w:rPr>
          <w:rFonts w:hint="eastAsia" w:ascii="宋体" w:hAnsi="宋体" w:cs="宋体"/>
          <w:color w:val="auto"/>
          <w:sz w:val="24"/>
          <w:szCs w:val="24"/>
          <w:highlight w:val="none"/>
        </w:rPr>
        <w:t xml:space="preserve">阶段的监理工作，包括但不限于以下内容： </w:t>
      </w:r>
    </w:p>
    <w:p>
      <w:pPr>
        <w:tabs>
          <w:tab w:val="left" w:pos="1310"/>
        </w:tabs>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（1）协助</w:t>
      </w:r>
      <w:r>
        <w:rPr>
          <w:rFonts w:hint="eastAsia" w:ascii="宋体" w:hAnsi="宋体" w:cs="宋体"/>
          <w:color w:val="auto"/>
          <w:spacing w:val="-3"/>
          <w:sz w:val="24"/>
          <w:szCs w:val="24"/>
          <w:highlight w:val="none"/>
        </w:rPr>
        <w:t>进行</w:t>
      </w:r>
      <w:r>
        <w:rPr>
          <w:rFonts w:hint="eastAsia" w:ascii="宋体" w:hAnsi="宋体" w:cs="宋体"/>
          <w:color w:val="auto"/>
          <w:sz w:val="24"/>
          <w:szCs w:val="24"/>
          <w:highlight w:val="none"/>
        </w:rPr>
        <w:t>勘察设计报审相关工作；</w:t>
      </w:r>
      <w:r>
        <w:rPr>
          <w:rFonts w:ascii="宋体" w:hAnsi="宋体" w:cs="宋体"/>
          <w:color w:val="auto"/>
          <w:sz w:val="24"/>
          <w:szCs w:val="24"/>
          <w:highlight w:val="none"/>
        </w:rPr>
        <w:t xml:space="preserve"> </w:t>
      </w:r>
    </w:p>
    <w:p>
      <w:pPr>
        <w:pStyle w:val="31"/>
        <w:tabs>
          <w:tab w:val="left" w:pos="1310"/>
        </w:tabs>
        <w:spacing w:line="364" w:lineRule="auto"/>
        <w:ind w:firstLine="476" w:firstLineChars="0"/>
        <w:rPr>
          <w:rFonts w:ascii="宋体" w:hAnsi="宋体" w:cs="宋体"/>
          <w:color w:val="auto"/>
          <w:sz w:val="24"/>
          <w:szCs w:val="24"/>
          <w:highlight w:val="none"/>
        </w:rPr>
      </w:pPr>
      <w:r>
        <w:rPr>
          <w:rFonts w:hint="eastAsia" w:ascii="宋体" w:hAnsi="宋体" w:cs="宋体"/>
          <w:color w:val="auto"/>
          <w:spacing w:val="-1"/>
          <w:sz w:val="24"/>
          <w:szCs w:val="24"/>
          <w:highlight w:val="none"/>
        </w:rPr>
        <w:t>（2）参加</w:t>
      </w:r>
      <w:r>
        <w:rPr>
          <w:rFonts w:hint="eastAsia" w:ascii="宋体" w:hAnsi="宋体" w:cs="宋体"/>
          <w:color w:val="auto"/>
          <w:spacing w:val="-3"/>
          <w:sz w:val="24"/>
          <w:szCs w:val="24"/>
          <w:highlight w:val="none"/>
        </w:rPr>
        <w:t>设计</w:t>
      </w:r>
      <w:r>
        <w:rPr>
          <w:rFonts w:hint="eastAsia" w:ascii="宋体" w:hAnsi="宋体" w:cs="宋体"/>
          <w:color w:val="auto"/>
          <w:spacing w:val="-1"/>
          <w:sz w:val="24"/>
          <w:szCs w:val="24"/>
          <w:highlight w:val="none"/>
        </w:rPr>
        <w:t xml:space="preserve">交底，对图纸中存在的问题通过委托人向设计单位提出书面意见和建议， </w:t>
      </w:r>
      <w:r>
        <w:rPr>
          <w:rFonts w:hint="eastAsia" w:ascii="宋体" w:hAnsi="宋体" w:cs="宋体"/>
          <w:color w:val="auto"/>
          <w:sz w:val="24"/>
          <w:szCs w:val="24"/>
          <w:highlight w:val="none"/>
        </w:rPr>
        <w:t xml:space="preserve">做好图纸会审记录并提交给委托人； </w:t>
      </w:r>
    </w:p>
    <w:p>
      <w:pPr>
        <w:spacing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（3）审查承包人报送的施工组织设计</w:t>
      </w:r>
      <w:r>
        <w:rPr>
          <w:rFonts w:ascii="宋体" w:hAnsi="宋体" w:cs="宋体"/>
          <w:color w:val="auto"/>
          <w:spacing w:val="-1"/>
          <w:sz w:val="24"/>
          <w:szCs w:val="24"/>
          <w:highlight w:val="none"/>
        </w:rPr>
        <w:t>(</w:t>
      </w:r>
      <w:r>
        <w:rPr>
          <w:rFonts w:hint="eastAsia" w:ascii="宋体" w:hAnsi="宋体" w:cs="宋体"/>
          <w:color w:val="auto"/>
          <w:spacing w:val="-1"/>
          <w:sz w:val="24"/>
          <w:szCs w:val="24"/>
          <w:highlight w:val="none"/>
        </w:rPr>
        <w:t>方案</w:t>
      </w:r>
      <w:r>
        <w:rPr>
          <w:rFonts w:ascii="宋体" w:hAnsi="宋体" w:cs="宋体"/>
          <w:color w:val="auto"/>
          <w:spacing w:val="-1"/>
          <w:sz w:val="24"/>
          <w:szCs w:val="24"/>
          <w:highlight w:val="none"/>
        </w:rPr>
        <w:t>)</w:t>
      </w:r>
      <w:r>
        <w:rPr>
          <w:rFonts w:hint="eastAsia" w:ascii="宋体" w:hAnsi="宋体" w:cs="宋体"/>
          <w:color w:val="auto"/>
          <w:spacing w:val="-1"/>
          <w:sz w:val="24"/>
          <w:szCs w:val="24"/>
          <w:highlight w:val="none"/>
        </w:rPr>
        <w:t>；制定监理规划及监理实施细则并报委托人</w:t>
      </w:r>
      <w:r>
        <w:rPr>
          <w:rFonts w:hint="eastAsia" w:ascii="宋体" w:hAnsi="宋体" w:cs="宋体"/>
          <w:color w:val="auto"/>
          <w:sz w:val="24"/>
          <w:szCs w:val="24"/>
          <w:highlight w:val="none"/>
        </w:rPr>
        <w:t>审定。</w:t>
      </w:r>
      <w:r>
        <w:rPr>
          <w:rFonts w:ascii="宋体" w:hAnsi="宋体" w:cs="宋体"/>
          <w:color w:val="auto"/>
          <w:sz w:val="24"/>
          <w:szCs w:val="24"/>
          <w:highlight w:val="none"/>
        </w:rPr>
        <w:t xml:space="preserve"> </w:t>
      </w:r>
    </w:p>
    <w:p>
      <w:pPr>
        <w:spacing w:line="364"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（4）负责协调承包人进场前的现场准备和制定勘察清障方案，为承包人进场制定前期准</w:t>
      </w:r>
      <w:r>
        <w:rPr>
          <w:rFonts w:hint="eastAsia" w:ascii="宋体" w:hAnsi="宋体" w:cs="宋体"/>
          <w:color w:val="auto"/>
          <w:sz w:val="24"/>
          <w:szCs w:val="24"/>
          <w:highlight w:val="none"/>
        </w:rPr>
        <w:t>备方案并组织实施。</w:t>
      </w:r>
      <w:r>
        <w:rPr>
          <w:rFonts w:ascii="宋体" w:hAnsi="宋体" w:cs="宋体"/>
          <w:color w:val="auto"/>
          <w:sz w:val="24"/>
          <w:szCs w:val="24"/>
          <w:highlight w:val="none"/>
        </w:rPr>
        <w:t xml:space="preserve"> </w:t>
      </w:r>
    </w:p>
    <w:p>
      <w:pPr>
        <w:spacing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（5）审查由承包人编制，并经承包人的技术部门审批盖章的施工组织设计、施工方案及</w:t>
      </w:r>
      <w:r>
        <w:rPr>
          <w:rFonts w:hint="eastAsia" w:ascii="宋体" w:hAnsi="宋体" w:cs="宋体"/>
          <w:color w:val="auto"/>
          <w:sz w:val="24"/>
          <w:szCs w:val="24"/>
          <w:highlight w:val="none"/>
        </w:rPr>
        <w:t>施工进度计划，并督促检查实施；协助审批各单项工程开工报告。</w:t>
      </w:r>
      <w:r>
        <w:rPr>
          <w:rFonts w:ascii="宋体" w:hAnsi="宋体" w:cs="宋体"/>
          <w:color w:val="auto"/>
          <w:sz w:val="24"/>
          <w:szCs w:val="24"/>
          <w:highlight w:val="none"/>
        </w:rPr>
        <w:t xml:space="preserve"> </w:t>
      </w:r>
    </w:p>
    <w:p>
      <w:pPr>
        <w:spacing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（6）审查承包人及委托人提供的材料和设备清单及其所列的规格与质量。</w:t>
      </w:r>
      <w:r>
        <w:rPr>
          <w:rFonts w:ascii="宋体" w:hAnsi="宋体" w:cs="宋体"/>
          <w:color w:val="auto"/>
          <w:sz w:val="24"/>
          <w:szCs w:val="24"/>
          <w:highlight w:val="none"/>
        </w:rPr>
        <w:t xml:space="preserve"> </w:t>
      </w:r>
    </w:p>
    <w:p>
      <w:pPr>
        <w:pStyle w:val="31"/>
        <w:numPr>
          <w:ilvl w:val="255"/>
          <w:numId w:val="0"/>
        </w:numPr>
        <w:tabs>
          <w:tab w:val="left" w:pos="1190"/>
        </w:tabs>
        <w:spacing w:line="362" w:lineRule="auto"/>
        <w:ind w:left="480"/>
        <w:rPr>
          <w:rFonts w:ascii="宋体" w:hAnsi="宋体" w:cs="宋体"/>
          <w:color w:val="auto"/>
          <w:sz w:val="24"/>
          <w:szCs w:val="24"/>
          <w:highlight w:val="none"/>
        </w:rPr>
      </w:pPr>
      <w:r>
        <w:rPr>
          <w:rFonts w:hint="eastAsia" w:ascii="宋体" w:hAnsi="宋体" w:cs="宋体"/>
          <w:color w:val="auto"/>
          <w:sz w:val="24"/>
          <w:szCs w:val="24"/>
          <w:highlight w:val="none"/>
        </w:rPr>
        <w:t xml:space="preserve">3、施工阶段的监理工作，包括但不限于以下内容：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督促承包人严格按进度计划实施，检查承包人填报的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总监理工程师应安排监理人员对施工过程进行巡视和检查。对基础工程中土方回填，混凝土灌注桩浇筑，地下连续墙、土钉墙、后浇带及其他结构混凝土、防水混凝土浇筑，卷材防水层细部构造处理，钢结构安装和主体结构工程中梁柱节点钢筋隐蔽过程，混凝土浇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预应力张拉，装配式结构安装，钢结构安装，网架结构安装，索膜安装等，应安排监理员进行旁站，做好旁站监理记录和监理日记，保存旁站监理原始资料。旁站监理人员应当认真履行职责，</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对需要实施旁站监理的关键部位、关键工序在施工现场跟班监督，及时发现和处理旁站监理过程中出现的问题，责令施工企业进行整改。</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（5）根据承包人报送的隐蔽工程报验申请表和自检结果进行现场检查，符合要求予以签认。</w:t>
      </w:r>
      <w:r>
        <w:rPr>
          <w:rFonts w:ascii="宋体" w:hAnsi="宋体" w:cs="宋体"/>
          <w:color w:val="auto"/>
          <w:sz w:val="24"/>
          <w:szCs w:val="24"/>
          <w:highlight w:val="none"/>
        </w:rPr>
        <w:t xml:space="preserve"> </w:t>
      </w:r>
    </w:p>
    <w:p>
      <w:pPr>
        <w:spacing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（6）对工程发生质量、安全事故按相关规定保护好现场并及时处理，向委托人提交有关工程质量、安全事故的书面报告，并应将完整的事故处理记录整理归档。</w:t>
      </w:r>
      <w:r>
        <w:rPr>
          <w:rFonts w:ascii="宋体" w:hAnsi="宋体" w:cs="宋体"/>
          <w:color w:val="auto"/>
          <w:sz w:val="24"/>
          <w:szCs w:val="24"/>
          <w:highlight w:val="none"/>
        </w:rPr>
        <w:t xml:space="preserve"> </w:t>
      </w:r>
    </w:p>
    <w:p>
      <w:pPr>
        <w:spacing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（7）根据《广州市建设工程文明施工管理规定》（</w:t>
      </w:r>
      <w:r>
        <w:rPr>
          <w:rFonts w:hint="eastAsia" w:ascii="宋体" w:hAnsi="宋体" w:cs="宋体"/>
          <w:color w:val="auto"/>
          <w:spacing w:val="-5"/>
          <w:sz w:val="24"/>
          <w:szCs w:val="24"/>
          <w:highlight w:val="none"/>
        </w:rPr>
        <w:t>广州市人民政府令第</w:t>
      </w:r>
      <w:r>
        <w:rPr>
          <w:rFonts w:ascii="宋体" w:hAnsi="宋体" w:cs="宋体"/>
          <w:color w:val="auto"/>
          <w:spacing w:val="-5"/>
          <w:sz w:val="24"/>
          <w:szCs w:val="24"/>
          <w:highlight w:val="none"/>
        </w:rPr>
        <w:t xml:space="preserve"> </w:t>
      </w:r>
      <w:r>
        <w:rPr>
          <w:rFonts w:ascii="宋体" w:hAnsi="宋体" w:cs="宋体"/>
          <w:color w:val="auto"/>
          <w:sz w:val="24"/>
          <w:szCs w:val="24"/>
          <w:highlight w:val="none"/>
        </w:rPr>
        <w:t>62</w:t>
      </w:r>
      <w:r>
        <w:rPr>
          <w:rFonts w:ascii="宋体" w:hAnsi="宋体" w:cs="宋体"/>
          <w:color w:val="auto"/>
          <w:spacing w:val="-24"/>
          <w:sz w:val="24"/>
          <w:szCs w:val="24"/>
          <w:highlight w:val="none"/>
        </w:rPr>
        <w:t xml:space="preserve"> </w:t>
      </w:r>
      <w:r>
        <w:rPr>
          <w:rFonts w:hint="eastAsia" w:ascii="宋体" w:hAnsi="宋体" w:cs="宋体"/>
          <w:color w:val="auto"/>
          <w:spacing w:val="-24"/>
          <w:sz w:val="24"/>
          <w:szCs w:val="24"/>
          <w:highlight w:val="none"/>
        </w:rPr>
        <w:t>号</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的规定，</w:t>
      </w:r>
      <w:r>
        <w:rPr>
          <w:rFonts w:hint="eastAsia" w:ascii="宋体" w:hAnsi="宋体" w:cs="宋体"/>
          <w:color w:val="auto"/>
          <w:sz w:val="24"/>
          <w:szCs w:val="24"/>
          <w:highlight w:val="none"/>
        </w:rPr>
        <w:t>监理人在对本工程实施监理的时候，应当履行下列管理责任：</w:t>
      </w:r>
      <w:r>
        <w:rPr>
          <w:rFonts w:ascii="宋体" w:hAnsi="宋体" w:cs="宋体"/>
          <w:color w:val="auto"/>
          <w:sz w:val="24"/>
          <w:szCs w:val="24"/>
          <w:highlight w:val="none"/>
        </w:rPr>
        <w:t xml:space="preserve"> </w:t>
      </w:r>
    </w:p>
    <w:p>
      <w:pPr>
        <w:pStyle w:val="12"/>
        <w:spacing w:after="0" w:line="362" w:lineRule="auto"/>
        <w:ind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①审核施工单位拟定的施工组织设计文件，督促施工单位落实文明施工管理措施，审核确</w:t>
      </w:r>
      <w:r>
        <w:rPr>
          <w:rFonts w:hint="eastAsia" w:ascii="宋体" w:hAnsi="宋体" w:cs="宋体"/>
          <w:color w:val="auto"/>
          <w:sz w:val="24"/>
          <w:szCs w:val="24"/>
          <w:highlight w:val="none"/>
        </w:rPr>
        <w:t xml:space="preserve">认施工单位文明施工措施费用使用情况。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②实施监理过程中，发现施工单位有违反文明施工管理规定的，应当要求施工单位整改； 施工单位拒不整改的，应当要求施工单位暂停施工，并向委托人报告。 </w:t>
      </w:r>
    </w:p>
    <w:p>
      <w:pPr>
        <w:pStyle w:val="12"/>
        <w:spacing w:after="0" w:line="364"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③施工单位违反文明施工管理规定拒不整改或者不停止施工的，及时向工程行政管理部门</w:t>
      </w:r>
      <w:r>
        <w:rPr>
          <w:rFonts w:hint="eastAsia" w:ascii="宋体" w:hAnsi="宋体" w:cs="宋体"/>
          <w:color w:val="auto"/>
          <w:sz w:val="24"/>
          <w:szCs w:val="24"/>
          <w:highlight w:val="none"/>
        </w:rPr>
        <w:t xml:space="preserve">报告。 </w:t>
      </w:r>
    </w:p>
    <w:p>
      <w:pPr>
        <w:spacing w:line="364" w:lineRule="auto"/>
        <w:ind w:firstLine="464"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（8）根据《广州市建筑施工实名制管理办法》</w:t>
      </w:r>
      <w:r>
        <w:rPr>
          <w:rFonts w:hint="eastAsia" w:ascii="宋体" w:hAnsi="宋体" w:cs="宋体"/>
          <w:color w:val="auto"/>
          <w:sz w:val="24"/>
          <w:szCs w:val="24"/>
          <w:highlight w:val="none"/>
        </w:rPr>
        <w:t>（穗建规字</w:t>
      </w:r>
      <w:r>
        <w:rPr>
          <w:rFonts w:ascii="宋体" w:hAnsi="宋体" w:cs="宋体"/>
          <w:color w:val="auto"/>
          <w:sz w:val="24"/>
          <w:szCs w:val="24"/>
          <w:highlight w:val="none"/>
        </w:rPr>
        <w:t>[2020]18</w:t>
      </w:r>
      <w:r>
        <w:rPr>
          <w:rFonts w:ascii="宋体" w:hAnsi="宋体" w:cs="宋体"/>
          <w:color w:val="auto"/>
          <w:spacing w:val="-32"/>
          <w:sz w:val="24"/>
          <w:szCs w:val="24"/>
          <w:highlight w:val="none"/>
        </w:rPr>
        <w:t xml:space="preserve"> </w:t>
      </w:r>
      <w:r>
        <w:rPr>
          <w:rFonts w:hint="eastAsia" w:ascii="宋体" w:hAnsi="宋体" w:cs="宋体"/>
          <w:color w:val="auto"/>
          <w:spacing w:val="-32"/>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pacing w:val="-4"/>
          <w:sz w:val="24"/>
          <w:szCs w:val="24"/>
          <w:highlight w:val="none"/>
        </w:rPr>
        <w:t>和《广州市建设</w:t>
      </w:r>
      <w:r>
        <w:rPr>
          <w:rFonts w:hint="eastAsia" w:ascii="宋体" w:hAnsi="宋体" w:cs="宋体"/>
          <w:color w:val="auto"/>
          <w:spacing w:val="-5"/>
          <w:sz w:val="24"/>
          <w:szCs w:val="24"/>
          <w:highlight w:val="none"/>
        </w:rPr>
        <w:t>领域工人工资支付分账管理实施细则》</w:t>
      </w:r>
      <w:r>
        <w:rPr>
          <w:rFonts w:hint="eastAsia" w:ascii="宋体" w:hAnsi="宋体" w:cs="宋体"/>
          <w:color w:val="auto"/>
          <w:sz w:val="24"/>
          <w:szCs w:val="24"/>
          <w:highlight w:val="none"/>
        </w:rPr>
        <w:t>（穗建规字</w:t>
      </w:r>
      <w:r>
        <w:rPr>
          <w:rFonts w:ascii="宋体" w:hAnsi="宋体" w:cs="宋体"/>
          <w:color w:val="auto"/>
          <w:sz w:val="24"/>
          <w:szCs w:val="24"/>
          <w:highlight w:val="none"/>
        </w:rPr>
        <w:t>[2020]37</w:t>
      </w:r>
      <w:r>
        <w:rPr>
          <w:rFonts w:ascii="宋体" w:hAnsi="宋体" w:cs="宋体"/>
          <w:color w:val="auto"/>
          <w:spacing w:val="-30"/>
          <w:sz w:val="24"/>
          <w:szCs w:val="24"/>
          <w:highlight w:val="none"/>
        </w:rPr>
        <w:t xml:space="preserve"> </w:t>
      </w:r>
      <w:r>
        <w:rPr>
          <w:rFonts w:hint="eastAsia" w:ascii="宋体" w:hAnsi="宋体" w:cs="宋体"/>
          <w:color w:val="auto"/>
          <w:spacing w:val="-30"/>
          <w:sz w:val="24"/>
          <w:szCs w:val="24"/>
          <w:highlight w:val="none"/>
        </w:rPr>
        <w:t>号</w:t>
      </w:r>
      <w:r>
        <w:rPr>
          <w:rFonts w:hint="eastAsia" w:ascii="宋体" w:hAnsi="宋体" w:cs="宋体"/>
          <w:color w:val="auto"/>
          <w:spacing w:val="-39"/>
          <w:sz w:val="24"/>
          <w:szCs w:val="24"/>
          <w:highlight w:val="none"/>
        </w:rPr>
        <w:t>）</w:t>
      </w:r>
      <w:r>
        <w:rPr>
          <w:rFonts w:hint="eastAsia" w:ascii="宋体" w:hAnsi="宋体" w:cs="宋体"/>
          <w:color w:val="auto"/>
          <w:spacing w:val="-7"/>
          <w:sz w:val="24"/>
          <w:szCs w:val="24"/>
          <w:highlight w:val="none"/>
        </w:rPr>
        <w:t>的规定，监理人在对本工程实</w:t>
      </w:r>
      <w:r>
        <w:rPr>
          <w:rFonts w:hint="eastAsia" w:ascii="宋体" w:hAnsi="宋体" w:cs="宋体"/>
          <w:color w:val="auto"/>
          <w:sz w:val="24"/>
          <w:szCs w:val="24"/>
          <w:highlight w:val="none"/>
        </w:rPr>
        <w:t>施监理的时候，应当履行下列管理责任：</w:t>
      </w:r>
      <w:r>
        <w:rPr>
          <w:rFonts w:ascii="宋体" w:hAnsi="宋体" w:cs="宋体"/>
          <w:color w:val="auto"/>
          <w:sz w:val="24"/>
          <w:szCs w:val="24"/>
          <w:highlight w:val="none"/>
        </w:rPr>
        <w:t xml:space="preserve"> </w:t>
      </w:r>
    </w:p>
    <w:p>
      <w:pPr>
        <w:pStyle w:val="12"/>
        <w:spacing w:after="0" w:line="362"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①督促施工单位落实实名制及工人工资分账管理制度，如施工单位未按规定执行的，应当</w:t>
      </w:r>
      <w:r>
        <w:rPr>
          <w:rFonts w:hint="eastAsia" w:ascii="宋体" w:hAnsi="宋体" w:cs="宋体"/>
          <w:color w:val="auto"/>
          <w:sz w:val="24"/>
          <w:szCs w:val="24"/>
          <w:highlight w:val="none"/>
        </w:rPr>
        <w:t xml:space="preserve">要求施工单位整改；施工单位拒不整改的，须立即向委托人及工程行政管理部门报告。 </w:t>
      </w:r>
    </w:p>
    <w:p>
      <w:pPr>
        <w:pStyle w:val="12"/>
        <w:spacing w:after="0" w:line="362" w:lineRule="auto"/>
        <w:ind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②审核施工单位报送的工人考勤、工资结算和支付等管理台账。如工人工资支付账户内资</w:t>
      </w:r>
      <w:r>
        <w:rPr>
          <w:rFonts w:hint="eastAsia" w:ascii="宋体" w:hAnsi="宋体" w:cs="宋体"/>
          <w:color w:val="auto"/>
          <w:spacing w:val="-9"/>
          <w:sz w:val="24"/>
          <w:szCs w:val="24"/>
          <w:highlight w:val="none"/>
        </w:rPr>
        <w:t>金少于应付支付工人工资的，监理人应督促施工单位及时补足，确保工人工资按时足额支付。</w:t>
      </w:r>
      <w:r>
        <w:rPr>
          <w:rFonts w:hint="eastAsia" w:ascii="宋体" w:hAnsi="宋体" w:cs="宋体"/>
          <w:color w:val="auto"/>
          <w:sz w:val="24"/>
          <w:szCs w:val="24"/>
          <w:highlight w:val="none"/>
        </w:rPr>
        <w:t xml:space="preserve"> </w:t>
      </w:r>
    </w:p>
    <w:p>
      <w:pPr>
        <w:pStyle w:val="12"/>
        <w:spacing w:after="0" w:line="364" w:lineRule="auto"/>
        <w:ind w:firstLine="452" w:firstLineChars="200"/>
        <w:rPr>
          <w:rFonts w:ascii="宋体" w:hAnsi="宋体" w:cs="宋体"/>
          <w:color w:val="auto"/>
          <w:spacing w:val="-5"/>
          <w:sz w:val="24"/>
          <w:szCs w:val="24"/>
          <w:highlight w:val="none"/>
        </w:rPr>
      </w:pPr>
      <w:r>
        <w:rPr>
          <w:rFonts w:hint="eastAsia" w:ascii="宋体" w:hAnsi="宋体" w:cs="宋体"/>
          <w:color w:val="auto"/>
          <w:spacing w:val="-7"/>
          <w:sz w:val="24"/>
          <w:szCs w:val="24"/>
          <w:highlight w:val="none"/>
        </w:rPr>
        <w:t>③实施监理过程中，发现施工单位违反上述规定，存在拖欠工人工资、工人工资支付信息</w:t>
      </w:r>
      <w:r>
        <w:rPr>
          <w:rFonts w:hint="eastAsia" w:ascii="宋体" w:hAnsi="宋体" w:cs="宋体"/>
          <w:color w:val="auto"/>
          <w:spacing w:val="-14"/>
          <w:sz w:val="24"/>
          <w:szCs w:val="24"/>
          <w:highlight w:val="none"/>
        </w:rPr>
        <w:t>与实名制登记的用工信息严重不符、约定的工程进度款中的工人工资款比例低于参照比例下限、</w:t>
      </w:r>
      <w:r>
        <w:rPr>
          <w:rFonts w:hint="eastAsia" w:ascii="宋体" w:hAnsi="宋体" w:cs="宋体"/>
          <w:color w:val="auto"/>
          <w:spacing w:val="-5"/>
          <w:sz w:val="24"/>
          <w:szCs w:val="24"/>
          <w:highlight w:val="none"/>
        </w:rPr>
        <w:t>工资支付专用账户发生异常情况等，应当要求施工单位立即整改并及时向委托人报告；如发现</w:t>
      </w:r>
      <w:r>
        <w:rPr>
          <w:rFonts w:hint="eastAsia" w:ascii="宋体" w:hAnsi="宋体" w:cs="宋体"/>
          <w:color w:val="auto"/>
          <w:spacing w:val="-10"/>
          <w:sz w:val="24"/>
          <w:szCs w:val="24"/>
          <w:highlight w:val="none"/>
        </w:rPr>
        <w:t xml:space="preserve">施工单位转包或者违法分包造成拖欠工人工资的，须立即上报委托人及工程行政管理部门严肃处理。 </w:t>
      </w:r>
    </w:p>
    <w:p>
      <w:pPr>
        <w:pStyle w:val="12"/>
        <w:spacing w:after="0" w:line="364" w:lineRule="auto"/>
        <w:ind w:firstLine="460" w:firstLineChars="200"/>
        <w:rPr>
          <w:rFonts w:ascii="宋体" w:hAnsi="宋体" w:cs="宋体"/>
          <w:color w:val="auto"/>
          <w:sz w:val="24"/>
          <w:szCs w:val="24"/>
          <w:highlight w:val="none"/>
        </w:rPr>
      </w:pPr>
      <w:r>
        <w:rPr>
          <w:rFonts w:hint="eastAsia" w:ascii="宋体" w:hAnsi="宋体" w:cs="宋体"/>
          <w:color w:val="auto"/>
          <w:spacing w:val="-5"/>
          <w:sz w:val="24"/>
          <w:szCs w:val="24"/>
          <w:highlight w:val="none"/>
        </w:rPr>
        <w:t>④审核确认工程完工及施工单位结清工人工资的情况，配合施工单位办理工人工资支付专</w:t>
      </w:r>
      <w:r>
        <w:rPr>
          <w:rFonts w:hint="eastAsia" w:ascii="宋体" w:hAnsi="宋体" w:cs="宋体"/>
          <w:color w:val="auto"/>
          <w:sz w:val="24"/>
          <w:szCs w:val="24"/>
          <w:highlight w:val="none"/>
        </w:rPr>
        <w:t xml:space="preserve">用账户撤销手续。 </w:t>
      </w:r>
    </w:p>
    <w:p>
      <w:pPr>
        <w:pStyle w:val="12"/>
        <w:spacing w:after="0" w:line="364"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1"/>
          <w:sz w:val="24"/>
          <w:szCs w:val="24"/>
          <w:highlight w:val="none"/>
        </w:rPr>
        <w:t>、监理人应严格按广州市、增城区有关施工现场余泥渣土排放、建筑垃圾运输管理、市</w:t>
      </w:r>
      <w:r>
        <w:rPr>
          <w:rFonts w:hint="eastAsia" w:ascii="宋体" w:hAnsi="宋体" w:cs="宋体"/>
          <w:color w:val="auto"/>
          <w:spacing w:val="-10"/>
          <w:sz w:val="24"/>
          <w:szCs w:val="24"/>
          <w:highlight w:val="none"/>
        </w:rPr>
        <w:t>容卫生、文明施工管理规定的标准和要求，加强对承包人的监督和检查。监理人必须对施工承</w:t>
      </w:r>
      <w:r>
        <w:rPr>
          <w:rFonts w:hint="eastAsia" w:ascii="宋体" w:hAnsi="宋体" w:cs="宋体"/>
          <w:color w:val="auto"/>
          <w:spacing w:val="-6"/>
          <w:sz w:val="24"/>
          <w:szCs w:val="24"/>
          <w:highlight w:val="none"/>
        </w:rPr>
        <w:t>包人的土石方专业工程分包合同、建筑垃圾运输合同进行备案和跟踪管理。检查发现问题，应</w:t>
      </w:r>
      <w:r>
        <w:rPr>
          <w:rFonts w:hint="eastAsia" w:ascii="宋体" w:hAnsi="宋体" w:cs="宋体"/>
          <w:color w:val="auto"/>
          <w:spacing w:val="-7"/>
          <w:sz w:val="24"/>
          <w:szCs w:val="24"/>
          <w:highlight w:val="none"/>
        </w:rPr>
        <w:t>立即发出监理通知予以制止。监理人还必须审查余泥渣土、建筑垃圾运输单位的资质，发现问</w:t>
      </w:r>
      <w:r>
        <w:rPr>
          <w:rFonts w:hint="eastAsia" w:ascii="宋体" w:hAnsi="宋体" w:cs="宋体"/>
          <w:color w:val="auto"/>
          <w:spacing w:val="-9"/>
          <w:sz w:val="24"/>
          <w:szCs w:val="24"/>
          <w:highlight w:val="none"/>
        </w:rPr>
        <w:t>题立即予以制止，并同时向委托人、建设主管部门、余泥渣土排放主管部门及城管部门一并报</w:t>
      </w:r>
      <w:r>
        <w:rPr>
          <w:rFonts w:hint="eastAsia" w:ascii="宋体" w:hAnsi="宋体" w:cs="宋体"/>
          <w:color w:val="auto"/>
          <w:spacing w:val="-10"/>
          <w:sz w:val="24"/>
          <w:szCs w:val="24"/>
          <w:highlight w:val="none"/>
        </w:rPr>
        <w:t>告。监理人对每台出泥运输车应当现场做好出泥登记和双方签名确认，以供城市管理部门和建</w:t>
      </w:r>
      <w:r>
        <w:rPr>
          <w:rFonts w:hint="eastAsia" w:ascii="宋体" w:hAnsi="宋体" w:cs="宋体"/>
          <w:color w:val="auto"/>
          <w:sz w:val="24"/>
          <w:szCs w:val="24"/>
          <w:highlight w:val="none"/>
        </w:rPr>
        <w:t xml:space="preserve">设主管部门随时抽查。 </w:t>
      </w:r>
    </w:p>
    <w:p>
      <w:pPr>
        <w:pStyle w:val="12"/>
        <w:spacing w:after="0" w:line="36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 xml:space="preserve">、工程造价控制工作，包括但不限于以下工作：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）监理人应每日统计承包人实际完成的工程量，并记录于监理日志中。</w:t>
      </w:r>
      <w:r>
        <w:rPr>
          <w:rFonts w:ascii="宋体" w:hAnsi="宋体" w:cs="宋体"/>
          <w:color w:val="auto"/>
          <w:sz w:val="24"/>
          <w:szCs w:val="24"/>
          <w:highlight w:val="none"/>
        </w:rPr>
        <w:t xml:space="preserve"> </w:t>
      </w:r>
    </w:p>
    <w:p>
      <w:pPr>
        <w:pStyle w:val="12"/>
        <w:spacing w:after="0"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ascii="宋体" w:hAnsi="宋体" w:cs="宋体"/>
          <w:color w:val="auto"/>
          <w:spacing w:val="-1"/>
          <w:sz w:val="24"/>
          <w:szCs w:val="24"/>
          <w:highlight w:val="none"/>
        </w:rPr>
        <w:t>2</w:t>
      </w:r>
      <w:r>
        <w:rPr>
          <w:rFonts w:hint="eastAsia" w:ascii="宋体" w:hAnsi="宋体" w:cs="宋体"/>
          <w:color w:val="auto"/>
          <w:spacing w:val="-1"/>
          <w:sz w:val="24"/>
          <w:szCs w:val="24"/>
          <w:highlight w:val="none"/>
        </w:rPr>
        <w:t>）复核当期验收合格的工程量，按施工合同的约定审核承包人提交的工程量清单和工</w:t>
      </w:r>
      <w:r>
        <w:rPr>
          <w:rFonts w:hint="eastAsia" w:ascii="宋体" w:hAnsi="宋体" w:cs="宋体"/>
          <w:color w:val="auto"/>
          <w:sz w:val="24"/>
          <w:szCs w:val="24"/>
          <w:highlight w:val="none"/>
        </w:rPr>
        <w:t>程款支付申请表并报委托人。</w:t>
      </w:r>
      <w:r>
        <w:rPr>
          <w:rFonts w:ascii="宋体" w:hAnsi="宋体" w:cs="宋体"/>
          <w:color w:val="auto"/>
          <w:sz w:val="24"/>
          <w:szCs w:val="24"/>
          <w:highlight w:val="none"/>
        </w:rPr>
        <w:t xml:space="preserve"> </w:t>
      </w:r>
    </w:p>
    <w:p>
      <w:pPr>
        <w:pStyle w:val="12"/>
        <w:spacing w:after="0" w:line="362"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ascii="宋体" w:hAnsi="宋体" w:cs="宋体"/>
          <w:color w:val="auto"/>
          <w:spacing w:val="-1"/>
          <w:sz w:val="24"/>
          <w:szCs w:val="24"/>
          <w:highlight w:val="none"/>
        </w:rPr>
        <w:t>3</w:t>
      </w:r>
      <w:r>
        <w:rPr>
          <w:rFonts w:hint="eastAsia" w:ascii="宋体" w:hAnsi="宋体" w:cs="宋体"/>
          <w:color w:val="auto"/>
          <w:spacing w:val="-1"/>
          <w:sz w:val="24"/>
          <w:szCs w:val="24"/>
          <w:highlight w:val="none"/>
        </w:rPr>
        <w:t>）依据施工合同有关条款、施工图，对工程项目造价目标进行风险分析，并应制定防</w:t>
      </w:r>
      <w:r>
        <w:rPr>
          <w:rFonts w:hint="eastAsia" w:ascii="宋体" w:hAnsi="宋体" w:cs="宋体"/>
          <w:color w:val="auto"/>
          <w:sz w:val="24"/>
          <w:szCs w:val="24"/>
          <w:highlight w:val="none"/>
        </w:rPr>
        <w:t>范性对策。</w:t>
      </w:r>
      <w:r>
        <w:rPr>
          <w:rFonts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6、按区及委托人关于工程变更、签证管理的相关规定，从造价、项目的功能要求、质量和工期等方面对</w:t>
      </w:r>
      <w:r>
        <w:rPr>
          <w:rFonts w:hint="eastAsia" w:ascii="宋体" w:hAnsi="宋体" w:cs="宋体"/>
          <w:color w:val="auto"/>
          <w:spacing w:val="-3"/>
          <w:sz w:val="24"/>
          <w:szCs w:val="24"/>
          <w:highlight w:val="none"/>
        </w:rPr>
        <w:t>工程</w:t>
      </w:r>
      <w:r>
        <w:rPr>
          <w:rFonts w:hint="eastAsia" w:ascii="宋体" w:hAnsi="宋体" w:cs="宋体"/>
          <w:color w:val="auto"/>
          <w:sz w:val="24"/>
          <w:szCs w:val="24"/>
          <w:highlight w:val="none"/>
        </w:rPr>
        <w:t xml:space="preserve">变更、签证进行审核，并督促相关单位按经审定的变更、签证实施。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7、按监理规范向委托人提交监理月报，内容包括但不限于本月工程实施概况，工程计量及支付情况，工程变更、签证及索赔情况，监理工作小结等。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8、工程收尾阶段，包括竣工收尾、验收、整改、移交、结算、考核评价等方面的监理工作，包括但不限于以下内容：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（1）依据有关法律、法规、工程建设强制性标准、设计文件及施工合同，对承包人报送</w:t>
      </w:r>
      <w:r>
        <w:rPr>
          <w:rFonts w:hint="eastAsia" w:ascii="宋体" w:hAnsi="宋体" w:cs="宋体"/>
          <w:color w:val="auto"/>
          <w:spacing w:val="-20"/>
          <w:sz w:val="24"/>
          <w:szCs w:val="24"/>
          <w:highlight w:val="none"/>
        </w:rPr>
        <w:t>的竣工资</w:t>
      </w:r>
      <w:r>
        <w:rPr>
          <w:rFonts w:hint="eastAsia" w:ascii="宋体" w:hAnsi="宋体" w:cs="宋体"/>
          <w:color w:val="auto"/>
          <w:sz w:val="24"/>
          <w:szCs w:val="24"/>
          <w:highlight w:val="none"/>
        </w:rPr>
        <w:t>料进行审查，并对</w:t>
      </w:r>
      <w:r>
        <w:rPr>
          <w:rFonts w:hint="eastAsia" w:ascii="宋体" w:hAnsi="宋体" w:cs="宋体"/>
          <w:color w:val="auto"/>
          <w:spacing w:val="-20"/>
          <w:sz w:val="24"/>
          <w:szCs w:val="24"/>
          <w:highlight w:val="none"/>
        </w:rPr>
        <w:t xml:space="preserve">工程质量进行竣工预验收。对存在的问题，应及时要求承包人整改。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1"/>
          <w:sz w:val="24"/>
          <w:szCs w:val="24"/>
          <w:highlight w:val="none"/>
        </w:rPr>
        <w:t>参加由委托人组织的竣工验收。对验收中提出的整改问题，督促承包人进行整改。</w:t>
      </w:r>
      <w:r>
        <w:rPr>
          <w:rFonts w:hint="eastAsia" w:ascii="宋体" w:hAnsi="宋体" w:cs="宋体"/>
          <w:color w:val="auto"/>
          <w:sz w:val="24"/>
          <w:szCs w:val="24"/>
          <w:highlight w:val="none"/>
        </w:rPr>
        <w:t>工程质量符合</w:t>
      </w:r>
      <w:r>
        <w:rPr>
          <w:rFonts w:hint="eastAsia" w:ascii="宋体" w:hAnsi="宋体" w:cs="宋体"/>
          <w:color w:val="auto"/>
          <w:spacing w:val="-3"/>
          <w:sz w:val="24"/>
          <w:szCs w:val="24"/>
          <w:highlight w:val="none"/>
        </w:rPr>
        <w:t>要求</w:t>
      </w:r>
      <w:r>
        <w:rPr>
          <w:rFonts w:hint="eastAsia" w:ascii="宋体" w:hAnsi="宋体" w:cs="宋体"/>
          <w:color w:val="auto"/>
          <w:sz w:val="24"/>
          <w:szCs w:val="24"/>
          <w:highlight w:val="none"/>
        </w:rPr>
        <w:t xml:space="preserve">，会同参加验收的各方签署竣工验收报告。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1"/>
          <w:sz w:val="24"/>
          <w:szCs w:val="24"/>
          <w:highlight w:val="none"/>
        </w:rPr>
        <w:t>根据有关文件规定，督促检查承包人完成各阶段及全套竣工图的工作和整理各种必</w:t>
      </w:r>
      <w:r>
        <w:rPr>
          <w:rFonts w:hint="eastAsia" w:ascii="宋体" w:hAnsi="宋体" w:cs="宋体"/>
          <w:color w:val="auto"/>
          <w:sz w:val="24"/>
          <w:szCs w:val="24"/>
          <w:highlight w:val="none"/>
        </w:rPr>
        <w:t xml:space="preserve">须归档的资料，办理工程竣工档案备案手续。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（4）负责对项目实施过程中形成的声像材料按区及委托人有关规定进行归档整理后，移交</w:t>
      </w:r>
      <w:r>
        <w:rPr>
          <w:rFonts w:hint="eastAsia" w:ascii="宋体" w:hAnsi="宋体" w:cs="宋体"/>
          <w:color w:val="auto"/>
          <w:spacing w:val="-3"/>
          <w:sz w:val="24"/>
          <w:szCs w:val="24"/>
          <w:highlight w:val="none"/>
        </w:rPr>
        <w:t>委托人</w:t>
      </w:r>
      <w:r>
        <w:rPr>
          <w:rFonts w:hint="eastAsia" w:ascii="宋体" w:hAnsi="宋体" w:cs="宋体"/>
          <w:color w:val="auto"/>
          <w:sz w:val="24"/>
          <w:szCs w:val="24"/>
          <w:highlight w:val="none"/>
        </w:rPr>
        <w:t xml:space="preserve">。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（5）组织或协助委托人、承包人和产权管理单位对项目进行移交。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（6）按委托人</w:t>
      </w:r>
      <w:r>
        <w:rPr>
          <w:rFonts w:hint="eastAsia" w:ascii="宋体" w:hAnsi="宋体" w:cs="宋体"/>
          <w:color w:val="auto"/>
          <w:spacing w:val="-3"/>
          <w:sz w:val="24"/>
          <w:szCs w:val="24"/>
          <w:highlight w:val="none"/>
        </w:rPr>
        <w:t>施工</w:t>
      </w:r>
      <w:r>
        <w:rPr>
          <w:rFonts w:hint="eastAsia" w:ascii="宋体" w:hAnsi="宋体" w:cs="宋体"/>
          <w:color w:val="auto"/>
          <w:sz w:val="24"/>
          <w:szCs w:val="24"/>
          <w:highlight w:val="none"/>
        </w:rPr>
        <w:t>类合同结算编审要求及区有关规定组织编制及办理建设项目工程结算</w:t>
      </w:r>
      <w:r>
        <w:rPr>
          <w:rFonts w:hint="eastAsia" w:ascii="宋体" w:hAnsi="宋体" w:cs="宋体"/>
          <w:color w:val="auto"/>
          <w:spacing w:val="-8"/>
          <w:sz w:val="24"/>
          <w:szCs w:val="24"/>
          <w:highlight w:val="none"/>
        </w:rPr>
        <w:t xml:space="preserve">。工程完工经验收通过后 </w:t>
      </w:r>
      <w:r>
        <w:rPr>
          <w:rFonts w:hint="eastAsia" w:ascii="宋体" w:hAnsi="宋体" w:cs="宋体"/>
          <w:color w:val="auto"/>
          <w:sz w:val="24"/>
          <w:szCs w:val="24"/>
          <w:highlight w:val="none"/>
        </w:rPr>
        <w:t>45</w:t>
      </w:r>
      <w:r>
        <w:rPr>
          <w:rFonts w:hint="eastAsia" w:ascii="宋体" w:hAnsi="宋体" w:cs="宋体"/>
          <w:color w:val="auto"/>
          <w:spacing w:val="-7"/>
          <w:sz w:val="24"/>
          <w:szCs w:val="24"/>
          <w:highlight w:val="none"/>
        </w:rPr>
        <w:t xml:space="preserve"> 天内督促承包人提交工程结算文件，并在收到承包人结算资料后十</w:t>
      </w:r>
      <w:r>
        <w:rPr>
          <w:rFonts w:hint="eastAsia" w:ascii="宋体" w:hAnsi="宋体" w:cs="宋体"/>
          <w:color w:val="auto"/>
          <w:spacing w:val="-3"/>
          <w:sz w:val="24"/>
          <w:szCs w:val="24"/>
          <w:highlight w:val="none"/>
        </w:rPr>
        <w:t>日内</w:t>
      </w:r>
      <w:r>
        <w:rPr>
          <w:rFonts w:hint="eastAsia" w:ascii="宋体" w:hAnsi="宋体" w:cs="宋体"/>
          <w:color w:val="auto"/>
          <w:spacing w:val="-7"/>
          <w:sz w:val="24"/>
          <w:szCs w:val="24"/>
          <w:highlight w:val="none"/>
        </w:rPr>
        <w:t xml:space="preserve">，根据相关合同约定完成审核并提交委托人。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pacing w:val="-1"/>
          <w:sz w:val="24"/>
          <w:szCs w:val="24"/>
          <w:highlight w:val="none"/>
        </w:rPr>
        <w:t>、督促承包人在工程保修期内对工程进行保修，对委托人提出的工程质量缺陷进行检查</w:t>
      </w:r>
      <w:r>
        <w:rPr>
          <w:rFonts w:hint="eastAsia" w:ascii="宋体" w:hAnsi="宋体" w:cs="宋体"/>
          <w:color w:val="auto"/>
          <w:spacing w:val="-10"/>
          <w:sz w:val="24"/>
          <w:szCs w:val="24"/>
          <w:highlight w:val="none"/>
        </w:rPr>
        <w:t>和记录，对承包人进行修复的工程质量进行验收，合格后予以签认。对工程质量缺陷原因进行</w:t>
      </w:r>
      <w:r>
        <w:rPr>
          <w:rFonts w:hint="eastAsia" w:ascii="宋体" w:hAnsi="宋体" w:cs="宋体"/>
          <w:color w:val="auto"/>
          <w:spacing w:val="-7"/>
          <w:sz w:val="24"/>
          <w:szCs w:val="24"/>
          <w:highlight w:val="none"/>
        </w:rPr>
        <w:t>调查分析并确定责任归属，对非承包人原因造成的工程质量缺陷，监理人员应核实修复工程的</w:t>
      </w:r>
      <w:r>
        <w:rPr>
          <w:rFonts w:hint="eastAsia" w:ascii="宋体" w:hAnsi="宋体" w:cs="宋体"/>
          <w:color w:val="auto"/>
          <w:sz w:val="24"/>
          <w:szCs w:val="24"/>
          <w:highlight w:val="none"/>
        </w:rPr>
        <w:t xml:space="preserve">费用和签署工程款支付证书，并报委托人。 </w:t>
      </w:r>
    </w:p>
    <w:p>
      <w:pPr>
        <w:pStyle w:val="12"/>
        <w:spacing w:after="0" w:line="36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pacing w:val="-11"/>
          <w:sz w:val="24"/>
          <w:szCs w:val="24"/>
          <w:highlight w:val="none"/>
        </w:rPr>
        <w:t>、在整个监理服务期内，定期组织、主持现场工程协调会议，负责协调各承包人的配合</w:t>
      </w:r>
      <w:r>
        <w:rPr>
          <w:rFonts w:hint="eastAsia" w:ascii="宋体" w:hAnsi="宋体" w:cs="宋体"/>
          <w:color w:val="auto"/>
          <w:sz w:val="24"/>
          <w:szCs w:val="24"/>
          <w:highlight w:val="none"/>
        </w:rPr>
        <w:t>穿插施工</w:t>
      </w:r>
      <w:r>
        <w:rPr>
          <w:rFonts w:hint="eastAsia" w:ascii="宋体" w:hAnsi="宋体" w:cs="宋体"/>
          <w:color w:val="auto"/>
          <w:spacing w:val="-3"/>
          <w:sz w:val="24"/>
          <w:szCs w:val="24"/>
          <w:highlight w:val="none"/>
        </w:rPr>
        <w:t>安排</w:t>
      </w:r>
      <w:r>
        <w:rPr>
          <w:rFonts w:hint="eastAsia" w:ascii="宋体" w:hAnsi="宋体" w:cs="宋体"/>
          <w:color w:val="auto"/>
          <w:sz w:val="24"/>
          <w:szCs w:val="24"/>
          <w:highlight w:val="none"/>
        </w:rPr>
        <w:t xml:space="preserve">。 </w:t>
      </w:r>
    </w:p>
    <w:p>
      <w:pPr>
        <w:pStyle w:val="14"/>
        <w:widowControl/>
        <w:adjustRightInd w:val="0"/>
        <w:snapToGrid w:val="0"/>
        <w:spacing w:line="360" w:lineRule="auto"/>
        <w:ind w:firstLine="480" w:firstLineChars="200"/>
        <w:rPr>
          <w:color w:val="auto"/>
          <w:highlight w:val="none"/>
        </w:rPr>
      </w:pPr>
      <w:r>
        <w:rPr>
          <w:rFonts w:hint="eastAsia" w:hAnsi="宋体" w:cs="宋体"/>
          <w:color w:val="auto"/>
          <w:sz w:val="24"/>
          <w:szCs w:val="24"/>
          <w:highlight w:val="none"/>
        </w:rPr>
        <w:t xml:space="preserve">11、其他为完成本工程建设所需要的监理工作。 </w:t>
      </w:r>
    </w:p>
    <w:p>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3.监理依据：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（2）与工程有关的规范、标准、规程；</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（3）工程勘察文件、设计文件及其他文件；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（4）本工程监理的委托合同及补充合同；</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（5）委托人签订的勘察、设计和施工承包合同；</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（6）合同履行中与监理服务有关的来往函件；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（7）其他监理依据。</w:t>
      </w:r>
    </w:p>
    <w:p>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4.监理的技术要求：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（1）符合法律、行政法规及部门规章；</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（2）符合本工程有关的规范、标准、规程；</w:t>
      </w:r>
    </w:p>
    <w:p>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5.监理人员、设备要求：</w:t>
      </w:r>
    </w:p>
    <w:p>
      <w:pPr>
        <w:spacing w:line="44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（1）本项目拟投入的监理机构人员配备要求：</w:t>
      </w:r>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350"/>
        <w:gridCol w:w="915"/>
        <w:gridCol w:w="349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岗位</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人员要求</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ascii="宋体" w:hAnsi="宋体" w:cs="宋体"/>
                <w:color w:val="auto"/>
                <w:sz w:val="24"/>
                <w:szCs w:val="24"/>
                <w:highlight w:val="none"/>
              </w:rPr>
              <w:t>1名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要求为注册监理工程师、注册专业为市政公用工程，并具备本科或以上学历。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专业监理工程师（工程师职称以上）</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不少于</w:t>
            </w:r>
            <w:r>
              <w:rPr>
                <w:rFonts w:hint="eastAsia" w:ascii="宋体" w:hAnsi="宋体" w:cs="宋体"/>
                <w:color w:val="auto"/>
                <w:sz w:val="24"/>
                <w:szCs w:val="24"/>
                <w:highlight w:val="none"/>
                <w:u w:val="single"/>
                <w:lang w:val="en-US" w:eastAsia="zh-CN"/>
              </w:rPr>
              <w:t xml:space="preserve">25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名</w:t>
            </w:r>
          </w:p>
        </w:tc>
        <w:tc>
          <w:tcPr>
            <w:tcW w:w="9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市政工程专业</w:t>
            </w:r>
          </w:p>
        </w:tc>
        <w:tc>
          <w:tcPr>
            <w:tcW w:w="3495" w:type="dxa"/>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hangingChars="100"/>
              <w:rPr>
                <w:rFonts w:ascii="宋体" w:hAnsi="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市政公用工程注册监理工程</w:t>
            </w:r>
          </w:p>
          <w:p>
            <w:pPr>
              <w:spacing w:line="440" w:lineRule="exact"/>
              <w:ind w:left="240" w:hanging="240" w:hangingChars="100"/>
              <w:rPr>
                <w:rFonts w:ascii="宋体" w:hAnsi="宋体" w:cs="宋体"/>
                <w:color w:val="auto"/>
                <w:sz w:val="24"/>
                <w:szCs w:val="24"/>
                <w:highlight w:val="none"/>
              </w:rPr>
            </w:pPr>
            <w:r>
              <w:rPr>
                <w:rFonts w:hint="eastAsia" w:ascii="宋体" w:hAnsi="宋体" w:cs="宋体"/>
                <w:color w:val="auto"/>
                <w:sz w:val="24"/>
                <w:szCs w:val="24"/>
                <w:highlight w:val="none"/>
              </w:rPr>
              <w:t>师</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p>
          <w:p>
            <w:pPr>
              <w:spacing w:line="440" w:lineRule="exact"/>
              <w:ind w:left="240" w:hanging="240" w:hangingChars="100"/>
              <w:rPr>
                <w:rFonts w:ascii="宋体" w:hAnsi="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工民建（建筑、土木）</w:t>
            </w:r>
          </w:p>
          <w:p>
            <w:pPr>
              <w:rPr>
                <w:rFonts w:ascii="宋体" w:hAnsi="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给排水、</w:t>
            </w: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电气、强电、弱电</w:t>
            </w:r>
          </w:p>
          <w:p>
            <w:pPr>
              <w:rPr>
                <w:rFonts w:ascii="宋体" w:hAnsi="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测量、</w:t>
            </w: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交通、</w:t>
            </w: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机电安装</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rPr>
              <w:t>造价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sym w:font="Wingdings 2" w:char="0052"/>
            </w:r>
            <w:r>
              <w:rPr>
                <w:rFonts w:hint="eastAsia" w:ascii="宋体" w:hAnsi="宋体" w:cs="宋体"/>
                <w:color w:val="auto"/>
                <w:sz w:val="24"/>
                <w:szCs w:val="24"/>
                <w:highlight w:val="none"/>
                <w:lang w:val="en-US" w:eastAsia="zh-CN"/>
              </w:rPr>
              <w:t>水利水电</w:t>
            </w:r>
            <w:r>
              <w:rPr>
                <w:rFonts w:hint="eastAsia" w:ascii="宋体" w:hAnsi="宋体" w:cs="宋体"/>
                <w:color w:val="auto"/>
                <w:sz w:val="24"/>
                <w:szCs w:val="24"/>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专业以监理工程师注册证或专业监理工程师证或职称证中的专业名称（含相近专业）为准；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造价工程师</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具备国家注册造价工程师资格或注册一级造价工程师资格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监理员</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人或以上，具备监理员证，要求专业对口</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（以岗位证或职称证或毕业证中的专业为准）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安全员</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具备安全员证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不少于</w:t>
            </w:r>
            <w:r>
              <w:rPr>
                <w:rFonts w:hint="eastAsia" w:ascii="宋体" w:hAnsi="宋体" w:cs="宋体"/>
                <w:color w:val="auto"/>
                <w:sz w:val="24"/>
                <w:szCs w:val="24"/>
                <w:highlight w:val="none"/>
                <w:u w:val="single"/>
                <w:lang w:val="en-US" w:eastAsia="zh-CN"/>
              </w:rPr>
              <w:t>35</w:t>
            </w:r>
            <w:r>
              <w:rPr>
                <w:rFonts w:hint="eastAsia" w:ascii="宋体" w:hAnsi="宋体" w:cs="宋体"/>
                <w:color w:val="auto"/>
                <w:sz w:val="24"/>
                <w:szCs w:val="24"/>
                <w:highlight w:val="none"/>
              </w:rPr>
              <w:t>名</w:t>
            </w:r>
          </w:p>
          <w:p>
            <w:pPr>
              <w:rPr>
                <w:color w:val="auto"/>
                <w:highlight w:val="none"/>
              </w:rPr>
            </w:pP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p>
        </w:tc>
      </w:tr>
    </w:tbl>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1）表中所列人员配备为最低限度要求，招标单位可根据实际施工进度、施工作业面及专业需要，要求中标单位配备足够专业监理人员，所有监理人员均须身体健康。投标人提供的人员须为投标人在职员工，并</w:t>
      </w:r>
      <w:r>
        <w:rPr>
          <w:rFonts w:hint="eastAsia" w:ascii="宋体" w:hAnsi="宋体" w:cs="宋体"/>
          <w:color w:val="auto"/>
          <w:sz w:val="24"/>
          <w:highlight w:val="none"/>
          <w:u w:val="single"/>
        </w:rPr>
        <w:t>提供近一个月（即招标公告发布当月的前一个月）</w:t>
      </w:r>
      <w:r>
        <w:rPr>
          <w:rFonts w:hint="eastAsia" w:ascii="宋体" w:hAnsi="宋体" w:cs="宋体"/>
          <w:color w:val="auto"/>
          <w:sz w:val="24"/>
          <w:highlight w:val="none"/>
        </w:rPr>
        <w:t>社保缴纳证明（社保缴纳期限包含新型冠状病毒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原件清晰彩色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3）本表不作为形式评审、资格评审、响应性评审的审查依据，只作为综合评分表中</w:t>
      </w:r>
      <w:r>
        <w:rPr>
          <w:rFonts w:hint="eastAsia" w:ascii="宋体" w:hAnsi="宋体" w:cs="宋体"/>
          <w:color w:val="auto"/>
          <w:sz w:val="24"/>
          <w:highlight w:val="none"/>
        </w:rPr>
        <w:t>相关人员的评审依据。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（2）设备要求：/。</w:t>
      </w:r>
    </w:p>
    <w:p>
      <w:pPr>
        <w:spacing w:line="360" w:lineRule="auto"/>
        <w:ind w:firstLine="482" w:firstLineChars="200"/>
        <w:rPr>
          <w:rFonts w:ascii="宋体" w:hAnsi="宋体" w:cs="宋体"/>
          <w:b/>
          <w:color w:val="auto"/>
          <w:sz w:val="24"/>
          <w:szCs w:val="24"/>
          <w:highlight w:val="none"/>
        </w:rPr>
      </w:pPr>
      <w:r>
        <w:rPr>
          <w:rFonts w:ascii="宋体" w:hAnsi="宋体" w:cs="宋体"/>
          <w:b/>
          <w:color w:val="auto"/>
          <w:sz w:val="24"/>
          <w:szCs w:val="24"/>
          <w:highlight w:val="none"/>
        </w:rPr>
        <w:t>6.监理文件要求：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360" w:lineRule="auto"/>
        <w:ind w:firstLine="482" w:firstLineChars="200"/>
        <w:rPr>
          <w:color w:val="auto"/>
          <w:highlight w:val="none"/>
        </w:rPr>
      </w:pPr>
      <w:r>
        <w:rPr>
          <w:rFonts w:ascii="宋体"/>
          <w:b/>
          <w:color w:val="auto"/>
          <w:sz w:val="24"/>
          <w:szCs w:val="24"/>
          <w:highlight w:val="none"/>
        </w:rPr>
        <w:t>7.</w:t>
      </w:r>
      <w:r>
        <w:rPr>
          <w:rFonts w:hint="eastAsia" w:ascii="宋体"/>
          <w:b/>
          <w:color w:val="auto"/>
          <w:sz w:val="24"/>
          <w:szCs w:val="24"/>
          <w:highlight w:val="none"/>
        </w:rPr>
        <w:t>监理工作目标要求</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①质量控制目标：执行国家、地方或行业现行的工程建设质量验收标准及规范，须达到合格标准。</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②进度控制目标：施工工期为业主下达开工令或开工报告审批之日起。按施工进度要求控制。</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③造价控制目标：造价控制在采购人确认的工程投资总概算及预算内。</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④安全文明管理目标：确保工程无重大安全事故。</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⑤合同管理目标：\</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⑥信息管理目标：\</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⑦建筑节能目标：\</w:t>
      </w:r>
    </w:p>
    <w:p>
      <w:pPr>
        <w:spacing w:line="360" w:lineRule="auto"/>
        <w:ind w:firstLine="480" w:firstLineChars="200"/>
        <w:rPr>
          <w:rFonts w:ascii="宋体"/>
          <w:color w:val="auto"/>
          <w:sz w:val="24"/>
          <w:szCs w:val="24"/>
          <w:highlight w:val="none"/>
        </w:rPr>
      </w:pPr>
      <w:r>
        <w:rPr>
          <w:rFonts w:hint="eastAsia" w:ascii="宋体"/>
          <w:color w:val="auto"/>
          <w:sz w:val="24"/>
          <w:szCs w:val="24"/>
          <w:highlight w:val="none"/>
        </w:rPr>
        <w:t>8. 其他要求：\。</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578" w:name="_Toc482188638"/>
      <w:bookmarkStart w:id="579" w:name="_Toc89870624"/>
      <w:bookmarkStart w:id="580" w:name="_Toc527028521"/>
      <w:bookmarkStart w:id="581" w:name="_Toc511557111"/>
      <w:r>
        <w:rPr>
          <w:rFonts w:ascii="Times New Roman" w:hAnsi="Times New Roman"/>
          <w:b w:val="0"/>
          <w:color w:val="auto"/>
          <w:sz w:val="28"/>
          <w:szCs w:val="28"/>
          <w:highlight w:val="none"/>
        </w:rPr>
        <w:t>二、适用规范标准</w:t>
      </w:r>
      <w:bookmarkEnd w:id="578"/>
      <w:bookmarkEnd w:id="579"/>
      <w:bookmarkEnd w:id="580"/>
      <w:bookmarkEnd w:id="581"/>
    </w:p>
    <w:p>
      <w:pPr>
        <w:spacing w:line="360" w:lineRule="auto"/>
        <w:ind w:firstLine="480" w:firstLineChars="200"/>
        <w:rPr>
          <w:rFonts w:ascii="宋体"/>
          <w:color w:val="auto"/>
          <w:sz w:val="24"/>
          <w:szCs w:val="24"/>
          <w:highlight w:val="none"/>
        </w:rPr>
      </w:pPr>
      <w:r>
        <w:rPr>
          <w:rFonts w:ascii="Times New Roman" w:hAnsi="Times New Roman"/>
          <w:color w:val="auto"/>
          <w:sz w:val="24"/>
          <w:szCs w:val="24"/>
          <w:highlight w:val="none"/>
        </w:rPr>
        <w:t>1. 国家、行业、项目所在地规范名录</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《建设工程监理规范》</w:t>
      </w:r>
      <w:r>
        <w:rPr>
          <w:rFonts w:ascii="宋体" w:hAnsi="宋体"/>
          <w:color w:val="auto"/>
          <w:sz w:val="24"/>
          <w:szCs w:val="24"/>
          <w:highlight w:val="none"/>
          <w:u w:val="single"/>
        </w:rPr>
        <w:t>GB/T50319-2013</w:t>
      </w:r>
      <w:r>
        <w:rPr>
          <w:rFonts w:hint="eastAsia" w:ascii="宋体" w:hAnsi="宋体"/>
          <w:color w:val="auto"/>
          <w:sz w:val="24"/>
          <w:szCs w:val="24"/>
          <w:highlight w:val="none"/>
          <w:u w:val="single"/>
        </w:rPr>
        <w:t>，按国家、行业、项目所在地规范名录执行。</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国家、行业、项目所在地标准名录</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按国家、行业、项目所在地规范标准执行。</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 国家、行业、项目所在地规程名录</w:t>
      </w:r>
      <w:r>
        <w:rPr>
          <w:rFonts w:hint="eastAsia" w:ascii="宋体" w:hAnsi="宋体"/>
          <w:color w:val="auto"/>
          <w:sz w:val="24"/>
          <w:szCs w:val="24"/>
          <w:highlight w:val="none"/>
        </w:rPr>
        <w:t>：</w:t>
      </w:r>
      <w:r>
        <w:rPr>
          <w:rFonts w:hint="eastAsia" w:ascii="宋体" w:hAnsi="宋体"/>
          <w:color w:val="auto"/>
          <w:sz w:val="24"/>
          <w:szCs w:val="24"/>
          <w:highlight w:val="none"/>
          <w:u w:val="single"/>
        </w:rPr>
        <w:t>按国家、行业、项目所在地规范规程执行。</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582" w:name="_Toc527028522"/>
      <w:bookmarkStart w:id="583" w:name="_Toc482188639"/>
      <w:bookmarkStart w:id="584" w:name="_Toc89870625"/>
      <w:bookmarkStart w:id="585" w:name="_Toc511557112"/>
      <w:r>
        <w:rPr>
          <w:rFonts w:ascii="Times New Roman" w:hAnsi="Times New Roman"/>
          <w:b w:val="0"/>
          <w:color w:val="auto"/>
          <w:sz w:val="28"/>
          <w:szCs w:val="28"/>
          <w:highlight w:val="none"/>
        </w:rPr>
        <w:t>三、成果文件要求</w:t>
      </w:r>
      <w:bookmarkEnd w:id="582"/>
      <w:bookmarkEnd w:id="583"/>
      <w:bookmarkEnd w:id="584"/>
      <w:bookmarkEnd w:id="585"/>
    </w:p>
    <w:p>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按《建设工程监理规范》（</w:t>
      </w:r>
      <w:r>
        <w:rPr>
          <w:rFonts w:ascii="宋体" w:hAnsi="宋体"/>
          <w:color w:val="auto"/>
          <w:sz w:val="24"/>
          <w:szCs w:val="24"/>
          <w:highlight w:val="none"/>
        </w:rPr>
        <w:t>GB/T50319-2013</w:t>
      </w:r>
      <w:r>
        <w:rPr>
          <w:rFonts w:hint="eastAsia" w:ascii="宋体" w:hAnsi="宋体"/>
          <w:color w:val="auto"/>
          <w:sz w:val="24"/>
          <w:szCs w:val="24"/>
          <w:highlight w:val="none"/>
        </w:rPr>
        <w:t>）和招标人要求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 成果文件的组成</w:t>
      </w:r>
    </w:p>
    <w:p>
      <w:pPr>
        <w:numPr>
          <w:ilvl w:val="0"/>
          <w:numId w:val="5"/>
        </w:numPr>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w:t>
      </w:r>
      <w:r>
        <w:rPr>
          <w:rFonts w:hint="eastAsia" w:ascii="宋体" w:hAnsi="宋体"/>
          <w:color w:val="auto"/>
          <w:sz w:val="24"/>
          <w:szCs w:val="24"/>
          <w:highlight w:val="none"/>
          <w:u w:val="single"/>
        </w:rPr>
        <w:t>、勘察设计文件、建设工程监理合同及其他合同文件；</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2</w:t>
      </w:r>
      <w:r>
        <w:rPr>
          <w:rFonts w:hint="eastAsia" w:ascii="宋体" w:hAnsi="宋体"/>
          <w:color w:val="auto"/>
          <w:sz w:val="24"/>
          <w:szCs w:val="24"/>
          <w:highlight w:val="none"/>
          <w:u w:val="single"/>
        </w:rPr>
        <w:t>、监理规划、监理实施细则；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3</w:t>
      </w:r>
      <w:r>
        <w:rPr>
          <w:rFonts w:hint="eastAsia" w:ascii="宋体" w:hAnsi="宋体"/>
          <w:color w:val="auto"/>
          <w:sz w:val="24"/>
          <w:szCs w:val="24"/>
          <w:highlight w:val="none"/>
          <w:u w:val="single"/>
        </w:rPr>
        <w:t>、设计交底和图纸会审会议纪要；</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4</w:t>
      </w:r>
      <w:r>
        <w:rPr>
          <w:rFonts w:hint="eastAsia" w:ascii="宋体" w:hAnsi="宋体"/>
          <w:color w:val="auto"/>
          <w:sz w:val="24"/>
          <w:szCs w:val="24"/>
          <w:highlight w:val="none"/>
          <w:u w:val="single"/>
        </w:rPr>
        <w:t>、施工组织设计、（专项）施工方案、施工进度计划报审文件资料；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5</w:t>
      </w:r>
      <w:r>
        <w:rPr>
          <w:rFonts w:hint="eastAsia" w:ascii="宋体" w:hAnsi="宋体"/>
          <w:color w:val="auto"/>
          <w:sz w:val="24"/>
          <w:szCs w:val="24"/>
          <w:highlight w:val="none"/>
          <w:u w:val="single"/>
        </w:rPr>
        <w:t>、分包单位资格报审文件资料；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6</w:t>
      </w:r>
      <w:r>
        <w:rPr>
          <w:rFonts w:hint="eastAsia" w:ascii="宋体" w:hAnsi="宋体"/>
          <w:color w:val="auto"/>
          <w:sz w:val="24"/>
          <w:szCs w:val="24"/>
          <w:highlight w:val="none"/>
          <w:u w:val="single"/>
        </w:rPr>
        <w:t>、施工控制测量成果报验文件资料；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7</w:t>
      </w:r>
      <w:r>
        <w:rPr>
          <w:rFonts w:hint="eastAsia" w:ascii="宋体" w:hAnsi="宋体"/>
          <w:color w:val="auto"/>
          <w:sz w:val="24"/>
          <w:szCs w:val="24"/>
          <w:highlight w:val="none"/>
          <w:u w:val="single"/>
        </w:rPr>
        <w:t>、总监理工程师任命书、工程开工令、暂停令、复工令、开工或复工报审文件资料；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8</w:t>
      </w:r>
      <w:r>
        <w:rPr>
          <w:rFonts w:hint="eastAsia" w:ascii="宋体" w:hAnsi="宋体"/>
          <w:color w:val="auto"/>
          <w:sz w:val="24"/>
          <w:szCs w:val="24"/>
          <w:highlight w:val="none"/>
          <w:u w:val="single"/>
        </w:rPr>
        <w:t>、工程材料、设备、构配件报验文件资料；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9</w:t>
      </w:r>
      <w:r>
        <w:rPr>
          <w:rFonts w:hint="eastAsia" w:ascii="宋体" w:hAnsi="宋体"/>
          <w:color w:val="auto"/>
          <w:sz w:val="24"/>
          <w:szCs w:val="24"/>
          <w:highlight w:val="none"/>
          <w:u w:val="single"/>
        </w:rPr>
        <w:t>、见证取样和平行检验文件资料；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10</w:t>
      </w:r>
      <w:r>
        <w:rPr>
          <w:rFonts w:hint="eastAsia" w:ascii="宋体" w:hAnsi="宋体"/>
          <w:color w:val="auto"/>
          <w:sz w:val="24"/>
          <w:szCs w:val="24"/>
          <w:highlight w:val="none"/>
          <w:u w:val="single"/>
        </w:rPr>
        <w:t>、工程质量检查报验资料及工程有关验收资料；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11</w:t>
      </w:r>
      <w:r>
        <w:rPr>
          <w:rFonts w:hint="eastAsia" w:ascii="宋体" w:hAnsi="宋体"/>
          <w:color w:val="auto"/>
          <w:sz w:val="24"/>
          <w:szCs w:val="24"/>
          <w:highlight w:val="none"/>
          <w:u w:val="single"/>
        </w:rPr>
        <w:t>、工程变更、费用索赔及工程延期文件资料；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12</w:t>
      </w:r>
      <w:r>
        <w:rPr>
          <w:rFonts w:hint="eastAsia" w:ascii="宋体" w:hAnsi="宋体"/>
          <w:color w:val="auto"/>
          <w:sz w:val="24"/>
          <w:szCs w:val="24"/>
          <w:highlight w:val="none"/>
          <w:u w:val="single"/>
        </w:rPr>
        <w:t>、工程计量、工程款支付文件资料；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13</w:t>
      </w:r>
      <w:r>
        <w:rPr>
          <w:rFonts w:hint="eastAsia" w:ascii="宋体" w:hAnsi="宋体"/>
          <w:color w:val="auto"/>
          <w:sz w:val="24"/>
          <w:szCs w:val="24"/>
          <w:highlight w:val="none"/>
          <w:u w:val="single"/>
        </w:rPr>
        <w:t>、监理通知单、工作联系单与监理报告；</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14</w:t>
      </w:r>
      <w:r>
        <w:rPr>
          <w:rFonts w:hint="eastAsia" w:ascii="宋体" w:hAnsi="宋体"/>
          <w:color w:val="auto"/>
          <w:sz w:val="24"/>
          <w:szCs w:val="24"/>
          <w:highlight w:val="none"/>
          <w:u w:val="single"/>
        </w:rPr>
        <w:t>、第一次工地会议、监理例会、专题会议等会议纪要；</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15</w:t>
      </w:r>
      <w:r>
        <w:rPr>
          <w:rFonts w:hint="eastAsia" w:ascii="宋体" w:hAnsi="宋体"/>
          <w:color w:val="auto"/>
          <w:sz w:val="24"/>
          <w:szCs w:val="24"/>
          <w:highlight w:val="none"/>
          <w:u w:val="single"/>
        </w:rPr>
        <w:t>、监理月报、监理日志、旁站记录；</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16</w:t>
      </w:r>
      <w:r>
        <w:rPr>
          <w:rFonts w:hint="eastAsia" w:ascii="宋体" w:hAnsi="宋体"/>
          <w:color w:val="auto"/>
          <w:sz w:val="24"/>
          <w:szCs w:val="24"/>
          <w:highlight w:val="none"/>
          <w:u w:val="single"/>
        </w:rPr>
        <w:t>、工程质量或生产安全事故处理文件资料；</w:t>
      </w:r>
    </w:p>
    <w:p>
      <w:pPr>
        <w:numPr>
          <w:ilvl w:val="0"/>
          <w:numId w:val="5"/>
        </w:numPr>
        <w:tabs>
          <w:tab w:val="left" w:pos="680"/>
        </w:tabs>
        <w:snapToGrid w:val="0"/>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u w:val="single"/>
        </w:rPr>
        <w:t>17</w:t>
      </w:r>
      <w:r>
        <w:rPr>
          <w:rFonts w:hint="eastAsia" w:ascii="宋体" w:hAnsi="宋体"/>
          <w:color w:val="auto"/>
          <w:sz w:val="24"/>
          <w:szCs w:val="24"/>
          <w:highlight w:val="none"/>
          <w:u w:val="single"/>
        </w:rPr>
        <w:t>、工程质量评估报告及竣工验收监理文件资料；</w:t>
      </w:r>
    </w:p>
    <w:p>
      <w:pPr>
        <w:numPr>
          <w:ilvl w:val="0"/>
          <w:numId w:val="5"/>
        </w:numPr>
        <w:tabs>
          <w:tab w:val="left" w:pos="680"/>
        </w:tabs>
        <w:snapToGri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18</w:t>
      </w:r>
      <w:r>
        <w:rPr>
          <w:rFonts w:hint="eastAsia" w:ascii="宋体" w:hAnsi="宋体"/>
          <w:color w:val="auto"/>
          <w:sz w:val="24"/>
          <w:szCs w:val="24"/>
          <w:highlight w:val="none"/>
          <w:u w:val="single"/>
        </w:rPr>
        <w:t>、监理工作总结。</w:t>
      </w:r>
      <w:r>
        <w:rPr>
          <w:rFonts w:ascii="宋体" w:hAnsi="宋体"/>
          <w:color w:val="auto"/>
          <w:sz w:val="24"/>
          <w:szCs w:val="24"/>
          <w:highlight w:val="none"/>
          <w:u w:val="single"/>
        </w:rPr>
        <w:t xml:space="preserve"> </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成果文件的深度</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满足本项目监理服务要求。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 成果文件的格式要求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满足本项目监理服务要求。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 成果文件的份数要求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一式六份；</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 成果文件的载体要求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（1）纸质版的要求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一式六份；</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（2）电子版的要求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与纸质版一致的电子版文件</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（3）其他要求。</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 成果文件的其他要求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 xml:space="preserve"> 满足本项目监理服务要求。</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586" w:name="_Toc482188640"/>
      <w:bookmarkStart w:id="587" w:name="_Toc89870626"/>
      <w:bookmarkStart w:id="588" w:name="_Toc527028523"/>
      <w:bookmarkStart w:id="589" w:name="_Toc511557113"/>
      <w:r>
        <w:rPr>
          <w:rFonts w:ascii="Times New Roman" w:hAnsi="Times New Roman"/>
          <w:b w:val="0"/>
          <w:color w:val="auto"/>
          <w:sz w:val="28"/>
          <w:szCs w:val="28"/>
          <w:highlight w:val="none"/>
        </w:rPr>
        <w:t>四、委托人财产清单</w:t>
      </w:r>
      <w:bookmarkEnd w:id="586"/>
      <w:bookmarkEnd w:id="587"/>
      <w:bookmarkEnd w:id="588"/>
      <w:bookmarkEnd w:id="589"/>
    </w:p>
    <w:p>
      <w:pPr>
        <w:pStyle w:val="6"/>
        <w:keepNext w:val="0"/>
        <w:keepLines w:val="0"/>
        <w:spacing w:before="0" w:after="0" w:line="360" w:lineRule="auto"/>
        <w:ind w:firstLine="560" w:firstLineChars="200"/>
        <w:rPr>
          <w:rFonts w:ascii="Times New Roman" w:hAnsi="Times New Roman"/>
          <w:color w:val="auto"/>
          <w:highlight w:val="none"/>
        </w:rPr>
      </w:pPr>
      <w:bookmarkStart w:id="590" w:name="_Toc527028524"/>
      <w:bookmarkStart w:id="591" w:name="_Toc527028874"/>
      <w:bookmarkStart w:id="592" w:name="_Toc527028703"/>
      <w:bookmarkStart w:id="593" w:name="_Toc482188641"/>
      <w:bookmarkStart w:id="594" w:name="_Toc89870627"/>
      <w:bookmarkStart w:id="595" w:name="_Toc511557114"/>
      <w:r>
        <w:rPr>
          <w:rFonts w:ascii="Times New Roman" w:hAnsi="Times New Roman"/>
          <w:color w:val="auto"/>
          <w:highlight w:val="none"/>
        </w:rPr>
        <w:t>（一）委托人提供的设备、设施</w:t>
      </w:r>
      <w:bookmarkEnd w:id="590"/>
      <w:bookmarkEnd w:id="591"/>
      <w:bookmarkEnd w:id="592"/>
      <w:bookmarkEnd w:id="593"/>
      <w:bookmarkEnd w:id="594"/>
      <w:bookmarkEnd w:id="595"/>
    </w:p>
    <w:p>
      <w:pPr>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1. 委托人提供的办公房屋及冷暖设施：</w:t>
      </w:r>
      <w:r>
        <w:rPr>
          <w:rFonts w:hint="eastAsia" w:ascii="Times New Roman" w:hAnsi="Times New Roman"/>
          <w:color w:val="auto"/>
          <w:sz w:val="24"/>
          <w:szCs w:val="24"/>
          <w:highlight w:val="none"/>
          <w:u w:val="single"/>
        </w:rPr>
        <w:t>无；</w:t>
      </w:r>
    </w:p>
    <w:p>
      <w:pPr>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2. 委托人提供的设备清单：</w:t>
      </w:r>
      <w:r>
        <w:rPr>
          <w:rFonts w:hint="eastAsia" w:ascii="Times New Roman" w:hAnsi="Times New Roman"/>
          <w:color w:val="auto"/>
          <w:sz w:val="24"/>
          <w:szCs w:val="24"/>
          <w:highlight w:val="none"/>
          <w:u w:val="single"/>
        </w:rPr>
        <w:t>无；</w:t>
      </w:r>
    </w:p>
    <w:p>
      <w:pPr>
        <w:spacing w:line="360" w:lineRule="auto"/>
        <w:ind w:firstLine="480" w:firstLineChars="200"/>
        <w:rPr>
          <w:rFonts w:ascii="Times New Roman" w:hAnsi="Times New Roman"/>
          <w:color w:val="auto"/>
          <w:highlight w:val="none"/>
        </w:rPr>
      </w:pPr>
      <w:r>
        <w:rPr>
          <w:rFonts w:ascii="Times New Roman" w:hAnsi="Times New Roman"/>
          <w:color w:val="auto"/>
          <w:sz w:val="24"/>
          <w:szCs w:val="24"/>
          <w:highlight w:val="none"/>
        </w:rPr>
        <w:t>3. 委托人提供的设施清单：</w:t>
      </w:r>
      <w:r>
        <w:rPr>
          <w:rFonts w:hint="eastAsia" w:ascii="Times New Roman" w:hAnsi="Times New Roman"/>
          <w:color w:val="auto"/>
          <w:sz w:val="24"/>
          <w:szCs w:val="24"/>
          <w:highlight w:val="none"/>
          <w:u w:val="single"/>
        </w:rPr>
        <w:t>无；</w:t>
      </w:r>
    </w:p>
    <w:p>
      <w:pPr>
        <w:pStyle w:val="6"/>
        <w:keepNext w:val="0"/>
        <w:keepLines w:val="0"/>
        <w:spacing w:before="0" w:after="0" w:line="360" w:lineRule="auto"/>
        <w:ind w:firstLine="560" w:firstLineChars="200"/>
        <w:rPr>
          <w:rFonts w:ascii="Times New Roman" w:hAnsi="Times New Roman"/>
          <w:color w:val="auto"/>
          <w:highlight w:val="none"/>
        </w:rPr>
      </w:pPr>
      <w:bookmarkStart w:id="596" w:name="_Toc527028525"/>
      <w:bookmarkStart w:id="597" w:name="_Toc482188642"/>
      <w:bookmarkStart w:id="598" w:name="_Toc527028875"/>
      <w:bookmarkStart w:id="599" w:name="_Toc511557115"/>
      <w:bookmarkStart w:id="600" w:name="_Toc89870628"/>
      <w:bookmarkStart w:id="601" w:name="_Toc527028704"/>
      <w:r>
        <w:rPr>
          <w:rFonts w:ascii="Times New Roman" w:hAnsi="Times New Roman"/>
          <w:color w:val="auto"/>
          <w:highlight w:val="none"/>
        </w:rPr>
        <w:t>（二）委托人提供的资料</w:t>
      </w:r>
      <w:bookmarkEnd w:id="596"/>
      <w:bookmarkEnd w:id="597"/>
      <w:bookmarkEnd w:id="598"/>
      <w:bookmarkEnd w:id="599"/>
      <w:bookmarkEnd w:id="600"/>
      <w:bookmarkEnd w:id="60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定位放线的基准点、基准线和基准标高</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 委托人取得的有关审批、核准和备案材料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 勘察文件、设计文件等资料</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 技术标准、规范</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 工程承包合同及其他相关合同</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 其他资料</w:t>
      </w:r>
    </w:p>
    <w:p>
      <w:pPr>
        <w:pStyle w:val="6"/>
        <w:keepNext w:val="0"/>
        <w:keepLines w:val="0"/>
        <w:spacing w:before="0" w:after="0" w:line="360" w:lineRule="auto"/>
        <w:ind w:firstLine="560" w:firstLineChars="200"/>
        <w:rPr>
          <w:rFonts w:ascii="Times New Roman" w:hAnsi="Times New Roman"/>
          <w:color w:val="auto"/>
          <w:highlight w:val="none"/>
        </w:rPr>
      </w:pPr>
      <w:bookmarkStart w:id="602" w:name="_Toc511557116"/>
      <w:bookmarkStart w:id="603" w:name="_Toc89870629"/>
      <w:bookmarkStart w:id="604" w:name="_Toc527028526"/>
      <w:bookmarkStart w:id="605" w:name="_Toc527028876"/>
      <w:bookmarkStart w:id="606" w:name="_Toc527028705"/>
      <w:bookmarkStart w:id="607" w:name="_Toc482188643"/>
      <w:r>
        <w:rPr>
          <w:rFonts w:ascii="Times New Roman" w:hAnsi="Times New Roman"/>
          <w:color w:val="auto"/>
          <w:highlight w:val="none"/>
        </w:rPr>
        <w:t>（三）委托人财产使用要求及退还要求</w:t>
      </w:r>
      <w:bookmarkEnd w:id="602"/>
      <w:bookmarkEnd w:id="603"/>
      <w:bookmarkEnd w:id="604"/>
      <w:bookmarkEnd w:id="605"/>
      <w:bookmarkEnd w:id="606"/>
      <w:bookmarkEnd w:id="607"/>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 委托人财产使用要求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监理人对委托人财产保存完好，避免有损坏或丢失等情况发生；</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委托人财产退还要求</w:t>
      </w:r>
      <w:r>
        <w:rPr>
          <w:rFonts w:hint="eastAsia" w:ascii="Times New Roman" w:hAnsi="Times New Roman"/>
          <w:color w:val="auto"/>
          <w:sz w:val="24"/>
          <w:szCs w:val="24"/>
          <w:highlight w:val="none"/>
        </w:rPr>
        <w:t>：</w:t>
      </w:r>
      <w:r>
        <w:rPr>
          <w:rFonts w:hint="eastAsia" w:ascii="宋体" w:hAnsi="宋体"/>
          <w:color w:val="auto"/>
          <w:sz w:val="24"/>
          <w:szCs w:val="24"/>
          <w:highlight w:val="none"/>
          <w:u w:val="single"/>
        </w:rPr>
        <w:t>工程完工后监理人将委托人财产全数完好地退还给委托人。</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608" w:name="_Toc482188644"/>
      <w:bookmarkStart w:id="609" w:name="_Toc511557117"/>
      <w:bookmarkStart w:id="610" w:name="_Toc527028527"/>
      <w:bookmarkStart w:id="611" w:name="_Toc89870630"/>
      <w:r>
        <w:rPr>
          <w:rFonts w:ascii="Times New Roman" w:hAnsi="Times New Roman"/>
          <w:b w:val="0"/>
          <w:color w:val="auto"/>
          <w:sz w:val="28"/>
          <w:szCs w:val="28"/>
          <w:highlight w:val="none"/>
        </w:rPr>
        <w:t>五、委托人提供的便利条件</w:t>
      </w:r>
      <w:bookmarkEnd w:id="608"/>
      <w:bookmarkEnd w:id="609"/>
      <w:bookmarkEnd w:id="610"/>
      <w:bookmarkEnd w:id="611"/>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 委托人提供的生活条件</w:t>
      </w:r>
      <w:r>
        <w:rPr>
          <w:rFonts w:hint="eastAsia" w:ascii="宋体" w:hAnsi="宋体"/>
          <w:color w:val="auto"/>
          <w:sz w:val="24"/>
          <w:szCs w:val="24"/>
          <w:highlight w:val="none"/>
        </w:rPr>
        <w:t>：</w:t>
      </w:r>
      <w:r>
        <w:rPr>
          <w:rFonts w:hint="eastAsia" w:ascii="Times New Roman" w:hAnsi="Times New Roman"/>
          <w:color w:val="auto"/>
          <w:sz w:val="24"/>
          <w:szCs w:val="24"/>
          <w:highlight w:val="none"/>
          <w:u w:val="single"/>
        </w:rPr>
        <w:t>无</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委托人提供的交通条件</w:t>
      </w:r>
      <w:r>
        <w:rPr>
          <w:rFonts w:hint="eastAsia" w:ascii="宋体" w:hAnsi="宋体"/>
          <w:color w:val="auto"/>
          <w:sz w:val="24"/>
          <w:szCs w:val="24"/>
          <w:highlight w:val="none"/>
        </w:rPr>
        <w:t>：</w:t>
      </w:r>
      <w:r>
        <w:rPr>
          <w:rFonts w:hint="eastAsia" w:ascii="Times New Roman" w:hAnsi="Times New Roman"/>
          <w:color w:val="auto"/>
          <w:sz w:val="24"/>
          <w:szCs w:val="24"/>
          <w:highlight w:val="none"/>
          <w:u w:val="single"/>
        </w:rPr>
        <w:t>无</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 委托人提供的网络、通讯条件</w:t>
      </w:r>
      <w:r>
        <w:rPr>
          <w:rFonts w:hint="eastAsia" w:ascii="宋体" w:hAnsi="宋体"/>
          <w:color w:val="auto"/>
          <w:sz w:val="24"/>
          <w:szCs w:val="24"/>
          <w:highlight w:val="none"/>
        </w:rPr>
        <w:t>：</w:t>
      </w:r>
      <w:r>
        <w:rPr>
          <w:rFonts w:hint="eastAsia" w:ascii="Times New Roman" w:hAnsi="Times New Roman"/>
          <w:color w:val="auto"/>
          <w:sz w:val="24"/>
          <w:szCs w:val="24"/>
          <w:highlight w:val="none"/>
          <w:u w:val="single"/>
        </w:rPr>
        <w:t>无</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 委托人提供的协助人员</w:t>
      </w:r>
      <w:r>
        <w:rPr>
          <w:rFonts w:hint="eastAsia" w:ascii="宋体" w:hAnsi="宋体"/>
          <w:color w:val="auto"/>
          <w:sz w:val="24"/>
          <w:szCs w:val="24"/>
          <w:highlight w:val="none"/>
        </w:rPr>
        <w:t>：</w:t>
      </w:r>
      <w:r>
        <w:rPr>
          <w:rFonts w:hint="eastAsia" w:ascii="Times New Roman" w:hAnsi="Times New Roman"/>
          <w:color w:val="auto"/>
          <w:sz w:val="24"/>
          <w:szCs w:val="24"/>
          <w:highlight w:val="none"/>
          <w:u w:val="single"/>
        </w:rPr>
        <w:t>无</w:t>
      </w:r>
      <w:bookmarkStart w:id="612" w:name="_Toc482188645"/>
      <w:r>
        <w:rPr>
          <w:rFonts w:ascii="Times New Roman" w:hAnsi="Times New Roman"/>
          <w:color w:val="auto"/>
          <w:sz w:val="24"/>
          <w:szCs w:val="24"/>
          <w:highlight w:val="none"/>
        </w:rPr>
        <w:t>……</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613" w:name="_Toc527028528"/>
      <w:bookmarkStart w:id="614" w:name="_Toc89870631"/>
      <w:bookmarkStart w:id="615" w:name="_Toc511557118"/>
      <w:r>
        <w:rPr>
          <w:rFonts w:ascii="Times New Roman" w:hAnsi="Times New Roman"/>
          <w:b w:val="0"/>
          <w:color w:val="auto"/>
          <w:sz w:val="28"/>
          <w:szCs w:val="28"/>
          <w:highlight w:val="none"/>
        </w:rPr>
        <w:t>六、监理人需要自备的工作条件</w:t>
      </w:r>
      <w:bookmarkEnd w:id="612"/>
      <w:bookmarkEnd w:id="613"/>
      <w:bookmarkEnd w:id="614"/>
      <w:bookmarkEnd w:id="615"/>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 监理人自备的工作手册：</w:t>
      </w:r>
      <w:r>
        <w:rPr>
          <w:rFonts w:hint="eastAsia" w:ascii="宋体" w:hAnsi="宋体"/>
          <w:color w:val="auto"/>
          <w:sz w:val="24"/>
          <w:szCs w:val="24"/>
          <w:highlight w:val="none"/>
          <w:u w:val="single"/>
        </w:rPr>
        <w:t>本项目必备的规范标准、图集等。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 监理人自备的办公设备：</w:t>
      </w:r>
      <w:r>
        <w:rPr>
          <w:rFonts w:hint="eastAsia" w:ascii="宋体" w:hAnsi="宋体"/>
          <w:color w:val="auto"/>
          <w:sz w:val="24"/>
          <w:szCs w:val="24"/>
          <w:highlight w:val="none"/>
          <w:u w:val="single"/>
        </w:rPr>
        <w:t>电脑、软件、投影、打印机、复印机、照相机等。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 监理人自备的交通工具：</w:t>
      </w:r>
      <w:r>
        <w:rPr>
          <w:rFonts w:hint="eastAsia" w:ascii="宋体" w:hAnsi="宋体"/>
          <w:color w:val="auto"/>
          <w:sz w:val="24"/>
          <w:szCs w:val="24"/>
          <w:highlight w:val="none"/>
          <w:u w:val="single"/>
        </w:rPr>
        <w:t>出行车辆等。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 监理人自备的现场办公设施：</w:t>
      </w:r>
      <w:r>
        <w:rPr>
          <w:rFonts w:hint="eastAsia" w:ascii="宋体" w:hAnsi="宋体"/>
          <w:color w:val="auto"/>
          <w:sz w:val="24"/>
          <w:szCs w:val="24"/>
          <w:highlight w:val="none"/>
          <w:u w:val="single"/>
        </w:rPr>
        <w:t>办公桌椅、文件柜等。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 监理人自备的安全设施：</w:t>
      </w:r>
      <w:r>
        <w:rPr>
          <w:rFonts w:hint="eastAsia" w:ascii="宋体" w:hAnsi="宋体"/>
          <w:color w:val="auto"/>
          <w:sz w:val="24"/>
          <w:szCs w:val="24"/>
          <w:highlight w:val="none"/>
          <w:u w:val="single"/>
        </w:rPr>
        <w:t>安全帽、安全鞋、手电筒等。</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 监理人自备的试验检测仪器、设备、工具</w:t>
      </w:r>
      <w:r>
        <w:rPr>
          <w:rFonts w:hint="eastAsia" w:ascii="宋体" w:hAnsi="宋体"/>
          <w:color w:val="auto"/>
          <w:sz w:val="24"/>
          <w:szCs w:val="24"/>
          <w:highlight w:val="none"/>
        </w:rPr>
        <w:t>：</w:t>
      </w:r>
      <w:r>
        <w:rPr>
          <w:rFonts w:hint="eastAsia" w:ascii="宋体" w:hAnsi="宋体"/>
          <w:color w:val="auto"/>
          <w:sz w:val="24"/>
          <w:szCs w:val="24"/>
          <w:highlight w:val="none"/>
          <w:u w:val="single"/>
        </w:rPr>
        <w:t>满足本项目监理服务要求。</w:t>
      </w:r>
    </w:p>
    <w:p>
      <w:pPr>
        <w:pStyle w:val="9"/>
        <w:spacing w:line="360" w:lineRule="auto"/>
        <w:ind w:firstLine="480" w:firstLineChars="200"/>
        <w:rPr>
          <w:color w:val="auto"/>
          <w:highlight w:val="none"/>
        </w:rPr>
      </w:pPr>
      <w:r>
        <w:rPr>
          <w:rFonts w:ascii="Times New Roman" w:hAnsi="Times New Roman"/>
          <w:color w:val="auto"/>
          <w:sz w:val="24"/>
          <w:szCs w:val="24"/>
          <w:highlight w:val="none"/>
        </w:rPr>
        <w:t>7. 监理人自备的试验用房、样品用房</w:t>
      </w:r>
      <w:r>
        <w:rPr>
          <w:rFonts w:hint="eastAsia" w:ascii="宋体" w:hAnsi="宋体"/>
          <w:color w:val="auto"/>
          <w:sz w:val="24"/>
          <w:szCs w:val="24"/>
          <w:highlight w:val="none"/>
        </w:rPr>
        <w:t>：</w:t>
      </w:r>
      <w:r>
        <w:rPr>
          <w:rFonts w:hint="eastAsia" w:ascii="宋体" w:hAnsi="宋体"/>
          <w:color w:val="auto"/>
          <w:sz w:val="24"/>
          <w:szCs w:val="24"/>
          <w:highlight w:val="none"/>
          <w:u w:val="single"/>
        </w:rPr>
        <w:t>监理人根据现场实际情况自行准备。</w:t>
      </w:r>
    </w:p>
    <w:p>
      <w:pPr>
        <w:pStyle w:val="5"/>
        <w:keepNext w:val="0"/>
        <w:keepLines w:val="0"/>
        <w:spacing w:before="0" w:after="0" w:line="360" w:lineRule="auto"/>
        <w:ind w:firstLine="560" w:firstLineChars="200"/>
        <w:rPr>
          <w:rFonts w:ascii="Times New Roman" w:hAnsi="Times New Roman"/>
          <w:b w:val="0"/>
          <w:color w:val="auto"/>
          <w:sz w:val="28"/>
          <w:szCs w:val="28"/>
          <w:highlight w:val="none"/>
        </w:rPr>
      </w:pPr>
      <w:bookmarkStart w:id="616" w:name="_Toc89870632"/>
      <w:bookmarkStart w:id="617" w:name="_Toc482188646"/>
      <w:bookmarkStart w:id="618" w:name="_Toc511557119"/>
      <w:bookmarkStart w:id="619" w:name="_Toc527028529"/>
      <w:r>
        <w:rPr>
          <w:rFonts w:ascii="Times New Roman" w:hAnsi="Times New Roman"/>
          <w:b w:val="0"/>
          <w:color w:val="auto"/>
          <w:sz w:val="28"/>
          <w:szCs w:val="28"/>
          <w:highlight w:val="none"/>
        </w:rPr>
        <w:t>七、委托人的其他要求</w:t>
      </w:r>
      <w:bookmarkEnd w:id="616"/>
      <w:bookmarkEnd w:id="617"/>
      <w:bookmarkEnd w:id="618"/>
      <w:bookmarkEnd w:id="619"/>
    </w:p>
    <w:p>
      <w:pPr>
        <w:ind w:firstLine="480" w:firstLineChars="200"/>
        <w:rPr>
          <w:color w:val="auto"/>
          <w:highlight w:val="none"/>
        </w:rPr>
      </w:pPr>
      <w:r>
        <w:rPr>
          <w:rFonts w:ascii="Times New Roman" w:hAnsi="Times New Roman"/>
          <w:color w:val="auto"/>
          <w:sz w:val="24"/>
          <w:szCs w:val="24"/>
          <w:highlight w:val="none"/>
        </w:rPr>
        <w:t>委托人的其他要求</w:t>
      </w:r>
      <w:r>
        <w:rPr>
          <w:rFonts w:hint="eastAsia" w:ascii="宋体" w:hAnsi="宋体"/>
          <w:color w:val="auto"/>
          <w:sz w:val="24"/>
          <w:szCs w:val="24"/>
          <w:highlight w:val="none"/>
        </w:rPr>
        <w:t>：</w:t>
      </w:r>
      <w:r>
        <w:rPr>
          <w:rFonts w:hint="eastAsia" w:ascii="宋体" w:hAnsi="宋体"/>
          <w:color w:val="auto"/>
          <w:sz w:val="24"/>
          <w:szCs w:val="24"/>
          <w:highlight w:val="none"/>
          <w:u w:val="single"/>
        </w:rPr>
        <w:t>其他要求详见按监理合同。</w:t>
      </w:r>
      <w:bookmarkStart w:id="620" w:name="_Toc89870633"/>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keepNext w:val="0"/>
        <w:keepLines w:val="0"/>
        <w:spacing w:before="0" w:after="0" w:line="240" w:lineRule="auto"/>
        <w:jc w:val="center"/>
        <w:rPr>
          <w:color w:val="auto"/>
          <w:highlight w:val="none"/>
        </w:rPr>
      </w:pPr>
      <w:r>
        <w:rPr>
          <w:color w:val="auto"/>
          <w:highlight w:val="none"/>
        </w:rPr>
        <w:t>第</w:t>
      </w:r>
      <w:r>
        <w:rPr>
          <w:rFonts w:hint="eastAsia"/>
          <w:color w:val="auto"/>
          <w:highlight w:val="none"/>
        </w:rPr>
        <w:t>三</w:t>
      </w:r>
      <w:r>
        <w:rPr>
          <w:color w:val="auto"/>
          <w:highlight w:val="none"/>
        </w:rPr>
        <w:t>卷</w:t>
      </w:r>
      <w:bookmarkEnd w:id="620"/>
    </w:p>
    <w:p>
      <w:pPr>
        <w:ind w:firstLine="420" w:firstLineChars="200"/>
        <w:rPr>
          <w:color w:val="auto"/>
          <w:highlight w:val="none"/>
        </w:rPr>
      </w:pPr>
      <w:bookmarkStart w:id="621" w:name="_Toc89870634"/>
      <w:r>
        <w:rPr>
          <w:color w:val="auto"/>
          <w:highlight w:val="none"/>
        </w:rPr>
        <w:br w:type="page"/>
      </w:r>
    </w:p>
    <w:p>
      <w:pPr>
        <w:pStyle w:val="4"/>
        <w:keepNext w:val="0"/>
        <w:keepLines w:val="0"/>
        <w:spacing w:before="0" w:after="0" w:line="360" w:lineRule="auto"/>
        <w:jc w:val="center"/>
        <w:rPr>
          <w:color w:val="auto"/>
          <w:highlight w:val="none"/>
        </w:rPr>
      </w:pPr>
      <w:r>
        <w:rPr>
          <w:color w:val="auto"/>
          <w:highlight w:val="none"/>
        </w:rPr>
        <w:t>第六章</w:t>
      </w:r>
      <w:r>
        <w:rPr>
          <w:rFonts w:hint="eastAsia"/>
          <w:color w:val="auto"/>
          <w:highlight w:val="none"/>
        </w:rPr>
        <w:t xml:space="preserve"> </w:t>
      </w:r>
      <w:r>
        <w:rPr>
          <w:color w:val="auto"/>
          <w:highlight w:val="none"/>
        </w:rPr>
        <w:t>投标文件格式</w:t>
      </w:r>
      <w:bookmarkEnd w:id="621"/>
    </w:p>
    <w:p>
      <w:pPr>
        <w:autoSpaceDE w:val="0"/>
        <w:autoSpaceDN w:val="0"/>
        <w:adjustRightInd w:val="0"/>
        <w:spacing w:line="360" w:lineRule="auto"/>
        <w:jc w:val="center"/>
        <w:rPr>
          <w:b/>
          <w:color w:val="auto"/>
          <w:sz w:val="44"/>
          <w:szCs w:val="44"/>
          <w:highlight w:val="none"/>
        </w:rPr>
      </w:pPr>
      <w:r>
        <w:rPr>
          <w:rFonts w:hint="eastAsia"/>
          <w:b/>
          <w:color w:val="auto"/>
          <w:sz w:val="44"/>
          <w:szCs w:val="44"/>
          <w:highlight w:val="none"/>
          <w:lang w:eastAsia="zh-CN"/>
        </w:rPr>
        <w:t>增城区南部水厂及配套管网建设工程监理</w:t>
      </w:r>
      <w:r>
        <w:rPr>
          <w:rFonts w:hint="eastAsia"/>
          <w:b/>
          <w:color w:val="auto"/>
          <w:sz w:val="44"/>
          <w:szCs w:val="44"/>
          <w:highlight w:val="none"/>
        </w:rPr>
        <w:t xml:space="preserve"> </w:t>
      </w:r>
    </w:p>
    <w:p>
      <w:pPr>
        <w:autoSpaceDE w:val="0"/>
        <w:autoSpaceDN w:val="0"/>
        <w:adjustRightInd w:val="0"/>
        <w:ind w:firstLine="883" w:firstLineChars="200"/>
        <w:rPr>
          <w:b/>
          <w:color w:val="auto"/>
          <w:sz w:val="44"/>
          <w:szCs w:val="44"/>
          <w:highlight w:val="none"/>
        </w:rPr>
      </w:pPr>
    </w:p>
    <w:p>
      <w:pPr>
        <w:ind w:firstLine="400" w:firstLineChars="200"/>
        <w:rPr>
          <w:rFonts w:ascii="Times New Roman" w:hAnsi="Times New Roman" w:eastAsia="黑体"/>
          <w:color w:val="auto"/>
          <w:sz w:val="20"/>
          <w:highlight w:val="none"/>
        </w:rPr>
      </w:pPr>
    </w:p>
    <w:p>
      <w:pPr>
        <w:ind w:firstLine="400" w:firstLineChars="200"/>
        <w:rPr>
          <w:rFonts w:ascii="Times New Roman" w:hAnsi="Times New Roman" w:eastAsia="黑体"/>
          <w:color w:val="auto"/>
          <w:sz w:val="20"/>
          <w:highlight w:val="none"/>
        </w:rPr>
      </w:pPr>
    </w:p>
    <w:p>
      <w:pPr>
        <w:ind w:firstLine="400" w:firstLineChars="200"/>
        <w:rPr>
          <w:rFonts w:ascii="Times New Roman" w:hAnsi="Times New Roman" w:eastAsia="黑体"/>
          <w:color w:val="auto"/>
          <w:sz w:val="20"/>
          <w:highlight w:val="none"/>
        </w:rPr>
      </w:pPr>
    </w:p>
    <w:p>
      <w:pPr>
        <w:ind w:firstLine="400" w:firstLineChars="200"/>
        <w:rPr>
          <w:rFonts w:ascii="Times New Roman" w:hAnsi="Times New Roman" w:eastAsia="黑体"/>
          <w:color w:val="auto"/>
          <w:sz w:val="20"/>
          <w:highlight w:val="none"/>
        </w:rPr>
      </w:pPr>
    </w:p>
    <w:p>
      <w:pPr>
        <w:ind w:firstLine="400" w:firstLineChars="200"/>
        <w:rPr>
          <w:rFonts w:ascii="Times New Roman" w:hAnsi="Times New Roman" w:eastAsia="黑体"/>
          <w:color w:val="auto"/>
          <w:sz w:val="20"/>
          <w:highlight w:val="none"/>
        </w:rPr>
      </w:pPr>
    </w:p>
    <w:p>
      <w:pPr>
        <w:pStyle w:val="14"/>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1680" w:firstLineChars="200"/>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投 标 文 件</w:t>
      </w:r>
    </w:p>
    <w:p>
      <w:pPr>
        <w:ind w:firstLine="880" w:firstLineChars="200"/>
        <w:rPr>
          <w:rFonts w:ascii="Times New Roman" w:hAnsi="Times New Roman" w:eastAsia="黑体"/>
          <w:color w:val="auto"/>
          <w:sz w:val="44"/>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ind w:firstLine="560" w:firstLineChars="200"/>
        <w:rPr>
          <w:rFonts w:ascii="Times New Roman" w:hAnsi="Times New Roman" w:eastAsia="黑体"/>
          <w:color w:val="auto"/>
          <w:sz w:val="28"/>
          <w:highlight w:val="none"/>
        </w:rPr>
      </w:pPr>
    </w:p>
    <w:p>
      <w:pPr>
        <w:spacing w:line="360" w:lineRule="auto"/>
        <w:ind w:firstLine="560" w:firstLineChars="200"/>
        <w:rPr>
          <w:rFonts w:ascii="Times New Roman" w:hAnsi="Times New Roman" w:eastAsia="黑体"/>
          <w:color w:val="auto"/>
          <w:sz w:val="28"/>
          <w:highlight w:val="none"/>
        </w:rPr>
      </w:pPr>
    </w:p>
    <w:p>
      <w:pPr>
        <w:spacing w:line="360" w:lineRule="auto"/>
        <w:ind w:firstLine="560" w:firstLineChars="20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（盖单位章）</w:t>
      </w:r>
    </w:p>
    <w:p>
      <w:pPr>
        <w:spacing w:line="360" w:lineRule="auto"/>
        <w:ind w:firstLine="560" w:firstLineChars="200"/>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法定代表人或其委托代理人：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（签字）</w:t>
      </w:r>
    </w:p>
    <w:p>
      <w:pPr>
        <w:spacing w:line="360" w:lineRule="auto"/>
        <w:ind w:firstLine="420" w:firstLineChars="200"/>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pPr>
        <w:ind w:firstLine="420" w:firstLineChars="200"/>
        <w:rPr>
          <w:rFonts w:ascii="Times New Roman" w:hAnsi="Times New Roman"/>
          <w:color w:val="auto"/>
          <w:highlight w:val="none"/>
        </w:rPr>
      </w:pPr>
      <w:bookmarkStart w:id="622" w:name="_Toc89870635"/>
      <w:r>
        <w:rPr>
          <w:rFonts w:ascii="Times New Roman" w:hAnsi="Times New Roman"/>
          <w:color w:val="auto"/>
          <w:highlight w:val="none"/>
        </w:rPr>
        <w:br w:type="page"/>
      </w:r>
    </w:p>
    <w:p>
      <w:pPr>
        <w:pStyle w:val="5"/>
        <w:keepNext w:val="0"/>
        <w:keepLines w:val="0"/>
        <w:spacing w:before="0" w:after="0"/>
        <w:ind w:firstLine="643" w:firstLineChars="200"/>
        <w:jc w:val="center"/>
        <w:rPr>
          <w:rFonts w:ascii="Times New Roman" w:hAnsi="Times New Roman"/>
          <w:color w:val="auto"/>
          <w:highlight w:val="none"/>
        </w:rPr>
      </w:pPr>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622"/>
    </w:p>
    <w:p>
      <w:pPr>
        <w:spacing w:line="540" w:lineRule="exact"/>
        <w:ind w:firstLine="420" w:firstLineChars="200"/>
        <w:rPr>
          <w:rFonts w:ascii="Times New Roman" w:hAnsi="Times New Roman"/>
          <w:color w:val="auto"/>
          <w:highlight w:val="none"/>
        </w:rPr>
      </w:pPr>
      <w:r>
        <w:rPr>
          <w:rFonts w:ascii="Times New Roman" w:hAnsi="Times New Roman"/>
          <w:color w:val="auto"/>
          <w:highlight w:val="none"/>
        </w:rPr>
        <w:t>一、投标函及投标函附录、投标报价书</w:t>
      </w:r>
    </w:p>
    <w:p>
      <w:pPr>
        <w:spacing w:line="540" w:lineRule="exact"/>
        <w:ind w:firstLine="420" w:firstLineChars="200"/>
        <w:rPr>
          <w:rFonts w:ascii="Times New Roman" w:hAnsi="Times New Roman"/>
          <w:color w:val="auto"/>
          <w:highlight w:val="none"/>
        </w:rPr>
      </w:pPr>
      <w:r>
        <w:rPr>
          <w:rFonts w:ascii="Times New Roman" w:hAnsi="Times New Roman"/>
          <w:color w:val="auto"/>
          <w:highlight w:val="none"/>
        </w:rPr>
        <w:t>二、法定代表人身份证明（适用于无委托代理人的情况）</w:t>
      </w:r>
    </w:p>
    <w:p>
      <w:pPr>
        <w:spacing w:line="540" w:lineRule="exact"/>
        <w:ind w:firstLine="420" w:firstLineChars="200"/>
        <w:rPr>
          <w:rFonts w:ascii="Times New Roman" w:hAnsi="Times New Roman"/>
          <w:color w:val="auto"/>
          <w:highlight w:val="none"/>
        </w:rPr>
      </w:pPr>
      <w:r>
        <w:rPr>
          <w:rFonts w:ascii="Times New Roman" w:hAnsi="Times New Roman"/>
          <w:color w:val="auto"/>
          <w:highlight w:val="none"/>
        </w:rPr>
        <w:t>授权委托书（适用于有委托代理人的情况）</w:t>
      </w:r>
    </w:p>
    <w:p>
      <w:pPr>
        <w:spacing w:line="540" w:lineRule="exact"/>
        <w:ind w:firstLine="420" w:firstLineChars="200"/>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、投标保证金</w:t>
      </w:r>
    </w:p>
    <w:p>
      <w:pPr>
        <w:spacing w:line="540" w:lineRule="exact"/>
        <w:ind w:firstLine="420" w:firstLineChars="200"/>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广州建设工程监理投标书</w:t>
      </w:r>
    </w:p>
    <w:p>
      <w:pPr>
        <w:spacing w:line="540" w:lineRule="exact"/>
        <w:ind w:firstLine="420" w:firstLineChars="200"/>
        <w:rPr>
          <w:rFonts w:ascii="Times New Roman" w:hAnsi="Times New Roman"/>
          <w:color w:val="auto"/>
          <w:highlight w:val="none"/>
        </w:rPr>
      </w:pPr>
      <w:r>
        <w:rPr>
          <w:rFonts w:hint="eastAsia" w:ascii="Times New Roman" w:hAnsi="Times New Roman"/>
          <w:color w:val="auto"/>
          <w:highlight w:val="none"/>
        </w:rPr>
        <w:t>五</w:t>
      </w:r>
      <w:r>
        <w:rPr>
          <w:rFonts w:ascii="Times New Roman" w:hAnsi="Times New Roman"/>
          <w:color w:val="auto"/>
          <w:highlight w:val="none"/>
        </w:rPr>
        <w:t>、资格审查资料</w:t>
      </w:r>
    </w:p>
    <w:p>
      <w:pPr>
        <w:spacing w:line="540" w:lineRule="exact"/>
        <w:ind w:firstLine="420" w:firstLineChars="200"/>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、监理大纲</w:t>
      </w:r>
    </w:p>
    <w:p>
      <w:pPr>
        <w:spacing w:line="540" w:lineRule="exact"/>
        <w:ind w:firstLine="420" w:firstLineChars="200"/>
        <w:rPr>
          <w:rFonts w:ascii="Times New Roman" w:hAnsi="Times New Roman"/>
          <w:color w:val="auto"/>
          <w:highlight w:val="none"/>
        </w:rPr>
      </w:pPr>
      <w:bookmarkStart w:id="623" w:name="_Toc369531691"/>
      <w:bookmarkStart w:id="624" w:name="_Toc7039"/>
      <w:bookmarkStart w:id="625" w:name="_Toc352691655"/>
      <w:r>
        <w:rPr>
          <w:rFonts w:hint="eastAsia" w:ascii="Times New Roman" w:hAnsi="Times New Roman"/>
          <w:color w:val="auto"/>
          <w:highlight w:val="none"/>
        </w:rPr>
        <w:t>七</w:t>
      </w:r>
      <w:r>
        <w:rPr>
          <w:rFonts w:ascii="Times New Roman" w:hAnsi="Times New Roman"/>
          <w:color w:val="auto"/>
          <w:highlight w:val="none"/>
        </w:rPr>
        <w:t>、其他资料</w:t>
      </w: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p>
      <w:pPr>
        <w:spacing w:line="540" w:lineRule="exact"/>
        <w:ind w:firstLine="400" w:firstLineChars="200"/>
        <w:rPr>
          <w:rFonts w:ascii="Times New Roman" w:hAnsi="Times New Roman" w:eastAsia="黑体"/>
          <w:color w:val="auto"/>
          <w:sz w:val="20"/>
          <w:highlight w:val="none"/>
        </w:rPr>
      </w:pPr>
    </w:p>
    <w:bookmarkEnd w:id="623"/>
    <w:bookmarkEnd w:id="624"/>
    <w:bookmarkEnd w:id="625"/>
    <w:p>
      <w:pPr>
        <w:pStyle w:val="5"/>
        <w:keepNext w:val="0"/>
        <w:keepLines w:val="0"/>
        <w:numPr>
          <w:ilvl w:val="0"/>
          <w:numId w:val="6"/>
        </w:numPr>
        <w:spacing w:before="0" w:after="0" w:line="360" w:lineRule="auto"/>
        <w:ind w:firstLine="643" w:firstLineChars="200"/>
        <w:rPr>
          <w:rFonts w:ascii="Times New Roman" w:hAnsi="Times New Roman"/>
          <w:color w:val="auto"/>
          <w:highlight w:val="none"/>
        </w:rPr>
      </w:pPr>
      <w:r>
        <w:rPr>
          <w:rFonts w:ascii="Times New Roman" w:hAnsi="Times New Roman"/>
          <w:color w:val="auto"/>
          <w:highlight w:val="none"/>
        </w:rPr>
        <w:br w:type="page"/>
      </w:r>
      <w:bookmarkStart w:id="626" w:name="_Toc89870636"/>
      <w:r>
        <w:rPr>
          <w:rFonts w:ascii="Times New Roman" w:hAnsi="Times New Roman"/>
          <w:color w:val="auto"/>
          <w:highlight w:val="none"/>
        </w:rPr>
        <w:t>投标</w:t>
      </w:r>
      <w:bookmarkStart w:id="627" w:name="_Toc352691656"/>
      <w:bookmarkStart w:id="628" w:name="_Toc6931"/>
      <w:bookmarkStart w:id="629" w:name="_Toc369531692"/>
      <w:r>
        <w:rPr>
          <w:rFonts w:ascii="Times New Roman" w:hAnsi="Times New Roman"/>
          <w:color w:val="auto"/>
          <w:highlight w:val="none"/>
        </w:rPr>
        <w:t>函及投标函附录</w:t>
      </w:r>
      <w:bookmarkEnd w:id="626"/>
      <w:bookmarkEnd w:id="627"/>
      <w:bookmarkEnd w:id="628"/>
      <w:bookmarkEnd w:id="629"/>
      <w:bookmarkStart w:id="630" w:name="_Toc370676426"/>
      <w:bookmarkStart w:id="631" w:name="_Toc359594235"/>
      <w:bookmarkStart w:id="632" w:name="_Toc385943065"/>
      <w:bookmarkStart w:id="633" w:name="_Toc482188651"/>
      <w:bookmarkStart w:id="634" w:name="_Toc391394111"/>
    </w:p>
    <w:p>
      <w:pPr>
        <w:pStyle w:val="6"/>
        <w:keepNext w:val="0"/>
        <w:keepLines w:val="0"/>
        <w:spacing w:before="0" w:after="0"/>
        <w:ind w:firstLine="560" w:firstLineChars="200"/>
        <w:rPr>
          <w:rFonts w:ascii="Times New Roman" w:hAnsi="Times New Roman"/>
          <w:color w:val="auto"/>
          <w:highlight w:val="none"/>
        </w:rPr>
      </w:pPr>
      <w:bookmarkStart w:id="635" w:name="_Toc89870637"/>
      <w:r>
        <w:rPr>
          <w:rFonts w:ascii="Times New Roman" w:hAnsi="Times New Roman"/>
          <w:color w:val="auto"/>
          <w:highlight w:val="none"/>
        </w:rPr>
        <w:t>（一）投标函</w:t>
      </w:r>
      <w:bookmarkEnd w:id="630"/>
      <w:bookmarkEnd w:id="631"/>
      <w:bookmarkEnd w:id="632"/>
      <w:bookmarkEnd w:id="633"/>
      <w:bookmarkEnd w:id="634"/>
      <w:bookmarkEnd w:id="635"/>
    </w:p>
    <w:p>
      <w:pPr>
        <w:spacing w:line="36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u w:val="single"/>
        </w:rPr>
        <w:t>致:广州增城区东进供水有限公司</w:t>
      </w:r>
      <w:r>
        <w:rPr>
          <w:rFonts w:ascii="Times New Roman" w:hAnsi="Times New Roman"/>
          <w:color w:val="auto"/>
          <w:szCs w:val="21"/>
          <w:highlight w:val="none"/>
        </w:rPr>
        <w:t>（招标人名称）</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1．我方已仔细研究</w:t>
      </w:r>
      <w:r>
        <w:rPr>
          <w:rFonts w:hint="eastAsia" w:ascii="Times New Roman" w:hAnsi="Times New Roman"/>
          <w:color w:val="auto"/>
          <w:szCs w:val="21"/>
          <w:highlight w:val="none"/>
        </w:rPr>
        <w:t>了</w:t>
      </w:r>
      <w:r>
        <w:rPr>
          <w:rFonts w:hint="eastAsia" w:ascii="Times New Roman" w:hAnsi="Times New Roman"/>
          <w:color w:val="auto"/>
          <w:szCs w:val="21"/>
          <w:highlight w:val="none"/>
          <w:u w:val="single"/>
          <w:lang w:eastAsia="zh-CN"/>
        </w:rPr>
        <w:t>增城区南部水厂及配套管网建设工程监理</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招标项目招标文件的全部内容，</w:t>
      </w:r>
      <w:r>
        <w:rPr>
          <w:rFonts w:hint="eastAsia" w:ascii="Times New Roman" w:hAnsi="Times New Roman"/>
          <w:color w:val="auto"/>
          <w:szCs w:val="21"/>
          <w:highlight w:val="none"/>
        </w:rPr>
        <w:t>愿意以</w:t>
      </w:r>
      <w:r>
        <w:rPr>
          <w:rFonts w:ascii="Times New Roman" w:hAnsi="Times New Roman"/>
          <w:color w:val="auto"/>
          <w:szCs w:val="21"/>
          <w:highlight w:val="none"/>
        </w:rPr>
        <w:t>________%</w:t>
      </w:r>
      <w:r>
        <w:rPr>
          <w:rFonts w:hint="eastAsia" w:ascii="Times New Roman" w:hAnsi="Times New Roman"/>
          <w:color w:val="auto"/>
          <w:szCs w:val="21"/>
          <w:highlight w:val="none"/>
        </w:rPr>
        <w:t>的投标下浮率报价，即人民币（大写）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万元</w:t>
      </w:r>
      <w:r>
        <w:rPr>
          <w:rFonts w:hint="eastAsia" w:ascii="Times New Roman" w:hAnsi="Times New Roman"/>
          <w:color w:val="auto"/>
          <w:szCs w:val="21"/>
          <w:highlight w:val="none"/>
        </w:rPr>
        <w:t>）的投标总报价，</w:t>
      </w:r>
      <w:r>
        <w:rPr>
          <w:rFonts w:ascii="Times New Roman" w:hAnsi="Times New Roman"/>
          <w:color w:val="auto"/>
          <w:szCs w:val="21"/>
          <w:highlight w:val="none"/>
        </w:rPr>
        <w:t>监理服务期限：</w:t>
      </w:r>
      <w:r>
        <w:rPr>
          <w:rFonts w:hint="eastAsia" w:ascii="Times New Roman" w:hAnsi="Times New Roman"/>
          <w:color w:val="auto"/>
          <w:szCs w:val="21"/>
          <w:highlight w:val="none"/>
          <w:u w:val="single"/>
        </w:rPr>
        <w:t>按招标文件要求</w:t>
      </w:r>
      <w:r>
        <w:rPr>
          <w:rFonts w:ascii="Times New Roman" w:hAnsi="Times New Roman"/>
          <w:color w:val="auto"/>
          <w:szCs w:val="21"/>
          <w:highlight w:val="none"/>
        </w:rPr>
        <w:t>日历天，按合同约定完成监理工作。</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 我方的投标文件包括下列内容：</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（1）投标函</w:t>
      </w:r>
      <w:r>
        <w:rPr>
          <w:rFonts w:ascii="Times New Roman" w:hAnsi="Times New Roman"/>
          <w:color w:val="auto"/>
          <w:highlight w:val="none"/>
        </w:rPr>
        <w:t>及投标函附录</w:t>
      </w:r>
      <w:r>
        <w:rPr>
          <w:rFonts w:ascii="Times New Roman" w:hAnsi="Times New Roman"/>
          <w:color w:val="auto"/>
          <w:szCs w:val="21"/>
          <w:highlight w:val="none"/>
        </w:rPr>
        <w:t>；</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（2）法定代表人身份证明或授权委托书；</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（3）投标保证金；</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4</w:t>
      </w:r>
      <w:r>
        <w:rPr>
          <w:rFonts w:ascii="Times New Roman" w:hAnsi="Times New Roman"/>
          <w:color w:val="auto"/>
          <w:szCs w:val="21"/>
          <w:highlight w:val="none"/>
        </w:rPr>
        <w:t>）</w:t>
      </w:r>
      <w:r>
        <w:rPr>
          <w:rFonts w:hint="eastAsia" w:ascii="Times New Roman" w:hAnsi="Times New Roman"/>
          <w:color w:val="auto"/>
          <w:highlight w:val="none"/>
        </w:rPr>
        <w:t>广州建设工程监理投标书</w:t>
      </w:r>
      <w:r>
        <w:rPr>
          <w:rFonts w:ascii="Times New Roman" w:hAnsi="Times New Roman"/>
          <w:color w:val="auto"/>
          <w:szCs w:val="21"/>
          <w:highlight w:val="none"/>
        </w:rPr>
        <w:t>；</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r>
        <w:rPr>
          <w:rFonts w:ascii="Times New Roman" w:hAnsi="Times New Roman"/>
          <w:color w:val="auto"/>
          <w:szCs w:val="21"/>
          <w:highlight w:val="none"/>
        </w:rPr>
        <w:t>）资格审查资料；</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）监理大纲；</w:t>
      </w:r>
    </w:p>
    <w:p>
      <w:pPr>
        <w:spacing w:line="36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（7）其他资料。</w:t>
      </w:r>
      <w:r>
        <w:rPr>
          <w:rFonts w:ascii="Times New Roman" w:hAnsi="Times New Roman"/>
          <w:color w:val="auto"/>
          <w:szCs w:val="21"/>
          <w:highlight w:val="none"/>
        </w:rPr>
        <w:t>投标文件的上述组成部分如存在内容不一致的，以投标函为准。</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3．我方承诺在招标文件规定的投标有效期内不撤销投标文件。</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4．如我方中标，我方承诺：</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（1）在收到中标通知书后，在中标通知书规定的期限内与你方签订合同；</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（2）在签订合同时不向你方提出附加条件；</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（3）按照招标文件要求提交履约保证金；</w:t>
      </w:r>
      <w:bookmarkStart w:id="636" w:name="_Toc352691658"/>
      <w:bookmarkStart w:id="637" w:name="_Toc1187"/>
      <w:bookmarkStart w:id="638" w:name="_Toc369531694"/>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（4）在合</w:t>
      </w:r>
      <w:bookmarkEnd w:id="636"/>
      <w:bookmarkEnd w:id="637"/>
      <w:bookmarkEnd w:id="638"/>
      <w:r>
        <w:rPr>
          <w:rFonts w:ascii="Times New Roman" w:hAnsi="Times New Roman"/>
          <w:color w:val="auto"/>
          <w:szCs w:val="21"/>
          <w:highlight w:val="none"/>
        </w:rPr>
        <w:t>同约定的期限内完成合同规定的全部义务。</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5．我方在此声明，所递交的投标文件及有关资料内容完整、真实和准确，且不存在第二章</w:t>
      </w:r>
      <w:r>
        <w:rPr>
          <w:rFonts w:hint="eastAsia" w:ascii="Times New Roman" w:hAnsi="Times New Roman"/>
          <w:color w:val="auto"/>
          <w:szCs w:val="21"/>
          <w:highlight w:val="none"/>
          <w:lang w:eastAsia="zh-CN"/>
        </w:rPr>
        <w:t>“</w:t>
      </w:r>
      <w:r>
        <w:rPr>
          <w:rFonts w:ascii="Times New Roman" w:hAnsi="Times New Roman"/>
          <w:color w:val="auto"/>
          <w:szCs w:val="21"/>
          <w:highlight w:val="none"/>
        </w:rPr>
        <w:t>投标人须知</w:t>
      </w:r>
      <w:r>
        <w:rPr>
          <w:rFonts w:hint="eastAsia" w:ascii="Times New Roman" w:hAnsi="Times New Roman"/>
          <w:color w:val="auto"/>
          <w:szCs w:val="21"/>
          <w:highlight w:val="none"/>
          <w:lang w:eastAsia="zh-CN"/>
        </w:rPr>
        <w:t>”</w:t>
      </w:r>
      <w:r>
        <w:rPr>
          <w:rFonts w:ascii="Times New Roman" w:hAnsi="Times New Roman"/>
          <w:color w:val="auto"/>
          <w:szCs w:val="21"/>
          <w:highlight w:val="none"/>
        </w:rPr>
        <w:t>第1.4.3项规定的任何一种情形。</w:t>
      </w:r>
    </w:p>
    <w:p>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6．</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（其他补充说明）。</w:t>
      </w:r>
    </w:p>
    <w:bookmarkEnd w:id="564"/>
    <w:bookmarkEnd w:id="565"/>
    <w:bookmarkEnd w:id="566"/>
    <w:bookmarkEnd w:id="567"/>
    <w:bookmarkEnd w:id="568"/>
    <w:bookmarkEnd w:id="569"/>
    <w:bookmarkEnd w:id="570"/>
    <w:bookmarkEnd w:id="571"/>
    <w:bookmarkEnd w:id="572"/>
    <w:p>
      <w:pPr>
        <w:spacing w:line="360" w:lineRule="exact"/>
        <w:ind w:firstLine="420" w:firstLineChars="200"/>
        <w:jc w:val="left"/>
        <w:rPr>
          <w:rFonts w:ascii="Times New Roman" w:hAnsi="Times New Roman"/>
          <w:color w:val="auto"/>
          <w:szCs w:val="21"/>
          <w:highlight w:val="none"/>
        </w:rPr>
      </w:pPr>
      <w:bookmarkStart w:id="639" w:name="_Toc352691659"/>
      <w:bookmarkEnd w:id="639"/>
      <w:bookmarkStart w:id="640" w:name="_Toc352691660"/>
      <w:bookmarkEnd w:id="640"/>
      <w:bookmarkStart w:id="641" w:name="_Toc16824"/>
      <w:bookmarkEnd w:id="641"/>
      <w:bookmarkStart w:id="642" w:name="_Toc369531696"/>
      <w:bookmarkEnd w:id="642"/>
      <w:bookmarkStart w:id="643" w:name="_Toc16568"/>
      <w:bookmarkEnd w:id="643"/>
      <w:bookmarkStart w:id="644" w:name="_Toc369531695"/>
      <w:bookmarkEnd w:id="644"/>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360" w:lineRule="exact"/>
        <w:ind w:firstLine="420" w:firstLineChars="200"/>
        <w:jc w:val="left"/>
        <w:rPr>
          <w:rFonts w:ascii="Times New Roman" w:hAnsi="Times New Roman"/>
          <w:color w:val="auto"/>
          <w:szCs w:val="21"/>
          <w:highlight w:val="none"/>
        </w:rPr>
      </w:pPr>
      <w:r>
        <w:rPr>
          <w:rFonts w:ascii="Times New Roman" w:hAnsi="Times New Roman"/>
          <w:color w:val="auto"/>
          <w:highlight w:val="none"/>
        </w:rPr>
        <w:t>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p>
    <w:p>
      <w:pPr>
        <w:spacing w:line="360" w:lineRule="exact"/>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exact"/>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网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exact"/>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exact"/>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传    真：</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exact"/>
        <w:ind w:firstLine="420" w:firstLineChars="200"/>
        <w:jc w:val="left"/>
        <w:rPr>
          <w:rFonts w:ascii="Times New Roman" w:hAnsi="Times New Roman"/>
          <w:color w:val="auto"/>
          <w:szCs w:val="21"/>
          <w:highlight w:val="none"/>
          <w:u w:val="single"/>
        </w:rPr>
      </w:pPr>
      <w:r>
        <w:rPr>
          <w:rFonts w:hint="eastAsia" w:ascii="Times New Roman" w:hAnsi="Times New Roman"/>
          <w:color w:val="auto"/>
          <w:szCs w:val="21"/>
          <w:highlight w:val="none"/>
        </w:rPr>
        <w:t>邮政编码</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pStyle w:val="14"/>
        <w:spacing w:line="360" w:lineRule="exact"/>
        <w:jc w:val="left"/>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开户银行名称：</w:t>
      </w:r>
      <w:r>
        <w:rPr>
          <w:rFonts w:hint="eastAsia"/>
          <w:color w:val="auto"/>
          <w:highlight w:val="none"/>
          <w:u w:val="single"/>
          <w:lang w:val="en-US" w:eastAsia="zh-CN"/>
        </w:rPr>
        <w:t xml:space="preserve">                                          </w:t>
      </w:r>
    </w:p>
    <w:p>
      <w:pPr>
        <w:pStyle w:val="14"/>
        <w:spacing w:line="360" w:lineRule="exact"/>
        <w:jc w:val="left"/>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银行账号：</w:t>
      </w:r>
      <w:r>
        <w:rPr>
          <w:rFonts w:hint="eastAsia"/>
          <w:color w:val="auto"/>
          <w:highlight w:val="none"/>
          <w:u w:val="single"/>
          <w:lang w:val="en-US" w:eastAsia="zh-CN"/>
        </w:rPr>
        <w:t xml:space="preserve">                                              </w:t>
      </w:r>
    </w:p>
    <w:p>
      <w:pPr>
        <w:spacing w:line="360" w:lineRule="exact"/>
        <w:ind w:firstLine="420" w:firstLineChars="200"/>
        <w:jc w:val="lef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bookmarkStart w:id="645" w:name="_Toc370676427"/>
      <w:bookmarkStart w:id="646" w:name="_Toc391394112"/>
      <w:bookmarkStart w:id="647" w:name="_Toc482188652"/>
      <w:bookmarkStart w:id="648" w:name="_Toc89870638"/>
      <w:bookmarkStart w:id="649" w:name="_Toc385943066"/>
      <w:bookmarkStart w:id="650" w:name="_Toc359594236"/>
      <w:bookmarkStart w:id="651" w:name="_Toc300835209"/>
      <w:bookmarkStart w:id="652" w:name="_Toc247527827"/>
      <w:bookmarkStart w:id="653" w:name="_Toc384308375"/>
      <w:bookmarkStart w:id="654" w:name="_Toc17960"/>
      <w:bookmarkStart w:id="655" w:name="_Toc247514246"/>
      <w:bookmarkStart w:id="656" w:name="_Toc352691661"/>
      <w:bookmarkStart w:id="657" w:name="_Toc152045787"/>
      <w:bookmarkStart w:id="658" w:name="_Toc361508752"/>
      <w:bookmarkStart w:id="659" w:name="_Toc152042576"/>
      <w:bookmarkStart w:id="660" w:name="_Toc144974856"/>
      <w:bookmarkStart w:id="661" w:name="_Toc369531697"/>
    </w:p>
    <w:p>
      <w:pPr>
        <w:pStyle w:val="14"/>
        <w:rPr>
          <w:rFonts w:eastAsia="黑体"/>
          <w:color w:val="auto"/>
          <w:sz w:val="28"/>
          <w:szCs w:val="20"/>
          <w:highlight w:val="none"/>
        </w:rPr>
      </w:pPr>
    </w:p>
    <w:p>
      <w:pPr>
        <w:pStyle w:val="6"/>
        <w:keepNext w:val="0"/>
        <w:keepLines w:val="0"/>
        <w:spacing w:before="0" w:after="0"/>
        <w:ind w:firstLine="0" w:firstLineChars="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二）投标函附录</w:t>
      </w:r>
      <w:bookmarkEnd w:id="645"/>
      <w:bookmarkEnd w:id="646"/>
      <w:bookmarkEnd w:id="647"/>
      <w:bookmarkEnd w:id="648"/>
      <w:bookmarkEnd w:id="649"/>
      <w:bookmarkEnd w:id="650"/>
    </w:p>
    <w:tbl>
      <w:tblPr>
        <w:tblStyle w:val="23"/>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92"/>
        <w:gridCol w:w="1317"/>
        <w:gridCol w:w="396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条款名称</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合同条款号</w:t>
            </w:r>
          </w:p>
        </w:tc>
        <w:tc>
          <w:tcPr>
            <w:tcW w:w="3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约定内容</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r>
              <w:rPr>
                <w:rFonts w:hint="eastAsia" w:ascii="Times New Roman" w:hAnsi="Times New Roman"/>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1</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总监理工程师</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highlight w:val="none"/>
              </w:rPr>
            </w:pPr>
            <w:r>
              <w:rPr>
                <w:rFonts w:hint="eastAsia" w:ascii="Times New Roman" w:hAnsi="Times New Roman"/>
                <w:color w:val="auto"/>
                <w:highlight w:val="none"/>
              </w:rPr>
              <w:t>姓名：</w:t>
            </w:r>
          </w:p>
          <w:p>
            <w:pPr>
              <w:rPr>
                <w:rFonts w:ascii="Times New Roman" w:hAnsi="Times New Roman"/>
                <w:color w:val="auto"/>
                <w:highlight w:val="none"/>
              </w:rPr>
            </w:pPr>
            <w:r>
              <w:rPr>
                <w:rFonts w:hint="eastAsia" w:ascii="Times New Roman" w:hAnsi="Times New Roman"/>
                <w:color w:val="auto"/>
                <w:highlight w:val="none"/>
              </w:rPr>
              <w:t>技术职称：</w:t>
            </w:r>
          </w:p>
          <w:p>
            <w:pPr>
              <w:rPr>
                <w:rFonts w:ascii="Times New Roman" w:hAnsi="Times New Roman"/>
                <w:color w:val="auto"/>
                <w:highlight w:val="none"/>
              </w:rPr>
            </w:pPr>
            <w:r>
              <w:rPr>
                <w:rFonts w:hint="eastAsia" w:ascii="Times New Roman" w:hAnsi="Times New Roman"/>
                <w:color w:val="auto"/>
                <w:highlight w:val="none"/>
              </w:rPr>
              <w:t>注册证号：</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2</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监理服务期限</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highlight w:val="none"/>
              </w:rPr>
            </w:pPr>
            <w:r>
              <w:rPr>
                <w:rFonts w:hint="eastAsia" w:ascii="Times New Roman" w:hAnsi="Times New Roman"/>
                <w:color w:val="auto"/>
                <w:highlight w:val="none"/>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合同价款确定方式</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按合同要求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4</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highlight w:val="none"/>
              </w:rPr>
              <w:t>质量</w:t>
            </w:r>
            <w:r>
              <w:rPr>
                <w:rFonts w:hint="eastAsia" w:ascii="Times New Roman" w:hAnsi="Times New Roman"/>
                <w:color w:val="auto"/>
                <w:highlight w:val="none"/>
              </w:rPr>
              <w:t>标准</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highlight w:val="none"/>
              </w:rPr>
            </w:pPr>
            <w:r>
              <w:rPr>
                <w:rFonts w:hint="eastAsia" w:ascii="Times New Roman" w:hAnsi="Times New Roman"/>
                <w:color w:val="auto"/>
                <w:highlight w:val="none"/>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5</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投标总报价（监理报价）</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highlight w:val="none"/>
              </w:rPr>
            </w:pPr>
            <w:r>
              <w:rPr>
                <w:rFonts w:hint="eastAsia" w:ascii="Times New Roman" w:hAnsi="Times New Roman"/>
                <w:color w:val="auto"/>
                <w:highlight w:val="none"/>
              </w:rPr>
              <w:t>监理报价（万元）：</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6</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投标下浮率</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396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投标下浮率：</w:t>
            </w:r>
            <w:r>
              <w:rPr>
                <w:rFonts w:hint="eastAsia"/>
                <w:color w:val="auto"/>
                <w:highlight w:val="none"/>
                <w:u w:val="single"/>
              </w:rPr>
              <w:t xml:space="preserve">     </w:t>
            </w:r>
            <w:r>
              <w:rPr>
                <w:rFonts w:hint="eastAsia"/>
                <w:color w:val="auto"/>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7</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投标有效期</w:t>
            </w:r>
          </w:p>
        </w:tc>
        <w:tc>
          <w:tcPr>
            <w:tcW w:w="1317" w:type="dxa"/>
            <w:tcBorders>
              <w:top w:val="single" w:color="auto" w:sz="4" w:space="0"/>
              <w:left w:val="single" w:color="auto" w:sz="4" w:space="0"/>
              <w:bottom w:val="single" w:color="auto" w:sz="4" w:space="0"/>
              <w:right w:val="single" w:color="auto" w:sz="4" w:space="0"/>
            </w:tcBorders>
            <w:vAlign w:val="center"/>
          </w:tcPr>
          <w:p>
            <w:pPr>
              <w:ind w:firstLine="416" w:firstLineChars="200"/>
              <w:jc w:val="center"/>
              <w:rPr>
                <w:rFonts w:ascii="Times New Roman" w:hAnsi="Times New Roman"/>
                <w:color w:val="auto"/>
                <w:spacing w:val="-16"/>
                <w:sz w:val="24"/>
                <w:highlight w:val="none"/>
              </w:rPr>
            </w:pPr>
            <w:r>
              <w:rPr>
                <w:rFonts w:ascii="Times New Roman" w:hAnsi="Times New Roman"/>
                <w:color w:val="auto"/>
                <w:spacing w:val="-16"/>
                <w:sz w:val="24"/>
                <w:highlight w:val="none"/>
              </w:rPr>
              <w:t>/</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highlight w:val="none"/>
              </w:rPr>
            </w:pPr>
            <w:r>
              <w:rPr>
                <w:rFonts w:hint="eastAsia" w:ascii="Times New Roman" w:hAnsi="Times New Roman"/>
                <w:color w:val="auto"/>
                <w:highlight w:val="none"/>
              </w:rPr>
              <w:t>90日历天（从投标截止之日算起）</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highlight w:val="none"/>
              </w:rPr>
            </w:pPr>
          </w:p>
        </w:tc>
      </w:tr>
    </w:tbl>
    <w:p>
      <w:pPr>
        <w:spacing w:line="440" w:lineRule="exact"/>
        <w:ind w:firstLine="420" w:firstLineChars="200"/>
        <w:rPr>
          <w:rFonts w:ascii="Times New Roman" w:hAnsi="Times New Roman"/>
          <w:color w:val="auto"/>
          <w:szCs w:val="21"/>
          <w:highlight w:val="none"/>
        </w:rPr>
      </w:pPr>
    </w:p>
    <w:p>
      <w:pPr>
        <w:spacing w:line="440" w:lineRule="exact"/>
        <w:ind w:firstLine="420" w:firstLineChars="200"/>
        <w:jc w:val="righ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ind w:firstLine="420" w:firstLineChars="200"/>
        <w:jc w:val="right"/>
        <w:rPr>
          <w:rFonts w:ascii="Times New Roman" w:hAnsi="Times New Roman"/>
          <w:color w:val="auto"/>
          <w:szCs w:val="21"/>
          <w:highlight w:val="none"/>
        </w:rPr>
      </w:pPr>
      <w:r>
        <w:rPr>
          <w:rFonts w:ascii="Times New Roman" w:hAnsi="Times New Roman"/>
          <w:color w:val="auto"/>
          <w:highlight w:val="none"/>
        </w:rPr>
        <w:t>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p>
    <w:p>
      <w:pPr>
        <w:spacing w:line="440" w:lineRule="exact"/>
        <w:ind w:firstLine="420" w:firstLineChars="20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ind w:firstLine="420" w:firstLineChars="200"/>
        <w:rPr>
          <w:rFonts w:ascii="Times New Roman" w:hAnsi="Times New Roman"/>
          <w:color w:val="auto"/>
          <w:szCs w:val="21"/>
          <w:highlight w:val="none"/>
        </w:rPr>
      </w:pPr>
    </w:p>
    <w:p>
      <w:pPr>
        <w:spacing w:line="440" w:lineRule="exact"/>
        <w:rPr>
          <w:rFonts w:ascii="Times New Roman" w:hAnsi="Times New Roman"/>
          <w:color w:val="auto"/>
          <w:szCs w:val="21"/>
          <w:highlight w:val="none"/>
        </w:rPr>
      </w:pPr>
    </w:p>
    <w:p>
      <w:pPr>
        <w:widowControl/>
        <w:jc w:val="left"/>
        <w:rPr>
          <w:rFonts w:ascii="Times New Roman" w:hAnsi="Times New Roman"/>
          <w:color w:val="auto"/>
          <w:highlight w:val="none"/>
        </w:rPr>
      </w:pPr>
      <w:bookmarkStart w:id="662" w:name="_Toc89870639"/>
    </w:p>
    <w:p>
      <w:pPr>
        <w:widowControl/>
        <w:jc w:val="left"/>
        <w:rPr>
          <w:rFonts w:ascii="Times New Roman" w:hAnsi="Times New Roman"/>
          <w:color w:val="auto"/>
          <w:highlight w:val="none"/>
        </w:rPr>
      </w:pPr>
    </w:p>
    <w:p>
      <w:pPr>
        <w:widowControl/>
        <w:jc w:val="left"/>
        <w:rPr>
          <w:rFonts w:ascii="Times New Roman" w:hAnsi="Times New Roman"/>
          <w:color w:val="auto"/>
          <w:highlight w:val="none"/>
        </w:rPr>
      </w:pPr>
    </w:p>
    <w:p>
      <w:pPr>
        <w:widowControl/>
        <w:jc w:val="left"/>
        <w:rPr>
          <w:rFonts w:ascii="Times New Roman" w:hAnsi="Times New Roman"/>
          <w:color w:val="auto"/>
          <w:highlight w:val="none"/>
        </w:rPr>
      </w:pPr>
    </w:p>
    <w:p>
      <w:pPr>
        <w:widowControl/>
        <w:jc w:val="left"/>
        <w:rPr>
          <w:rFonts w:ascii="Times New Roman" w:hAnsi="Times New Roman"/>
          <w:color w:val="auto"/>
          <w:highlight w:val="none"/>
        </w:rPr>
      </w:pPr>
    </w:p>
    <w:p>
      <w:pPr>
        <w:pStyle w:val="14"/>
        <w:spacing w:before="240" w:after="240" w:line="360" w:lineRule="auto"/>
        <w:jc w:val="center"/>
        <w:rPr>
          <w:rFonts w:hAnsi="宋体"/>
          <w:bCs/>
          <w:color w:val="auto"/>
          <w:highlight w:val="none"/>
        </w:rPr>
      </w:pPr>
      <w:r>
        <w:rPr>
          <w:rFonts w:hint="eastAsia" w:hAnsi="宋体"/>
          <w:b/>
          <w:bCs/>
          <w:color w:val="auto"/>
          <w:sz w:val="36"/>
          <w:szCs w:val="44"/>
          <w:highlight w:val="none"/>
        </w:rPr>
        <w:t>(三)投标报价书</w:t>
      </w:r>
    </w:p>
    <w:p>
      <w:pPr>
        <w:pStyle w:val="14"/>
        <w:spacing w:before="240" w:after="240"/>
        <w:ind w:firstLine="420" w:firstLineChars="200"/>
        <w:rPr>
          <w:rFonts w:hAnsi="宋体"/>
          <w:color w:val="auto"/>
          <w:kern w:val="28"/>
          <w:szCs w:val="21"/>
          <w:highlight w:val="none"/>
        </w:rPr>
      </w:pPr>
      <w:r>
        <w:rPr>
          <w:rFonts w:hAnsi="宋体"/>
          <w:color w:val="auto"/>
          <w:kern w:val="28"/>
          <w:szCs w:val="21"/>
          <w:highlight w:val="none"/>
        </w:rPr>
        <w:t>1．我方已仔细研究了</w:t>
      </w:r>
      <w:r>
        <w:rPr>
          <w:rFonts w:hint="eastAsia" w:hAnsi="宋体" w:cs="宋体"/>
          <w:color w:val="auto"/>
          <w:szCs w:val="21"/>
          <w:highlight w:val="none"/>
        </w:rPr>
        <w:t>本项目</w:t>
      </w:r>
      <w:r>
        <w:rPr>
          <w:rFonts w:hint="eastAsia" w:hAnsi="宋体"/>
          <w:color w:val="auto"/>
          <w:kern w:val="28"/>
          <w:szCs w:val="21"/>
          <w:highlight w:val="none"/>
        </w:rPr>
        <w:t>招标文件的全部内容，愿意参与投标。</w:t>
      </w:r>
    </w:p>
    <w:p>
      <w:pPr>
        <w:pStyle w:val="14"/>
        <w:spacing w:before="240" w:after="240"/>
        <w:ind w:firstLine="420" w:firstLineChars="200"/>
        <w:rPr>
          <w:rFonts w:hAnsi="宋体"/>
          <w:color w:val="auto"/>
          <w:kern w:val="28"/>
          <w:szCs w:val="21"/>
          <w:highlight w:val="none"/>
        </w:rPr>
      </w:pPr>
      <w:r>
        <w:rPr>
          <w:rFonts w:hint="eastAsia" w:hAnsi="宋体"/>
          <w:color w:val="auto"/>
          <w:kern w:val="28"/>
          <w:szCs w:val="21"/>
          <w:highlight w:val="none"/>
        </w:rPr>
        <w:t>投标报价如下：</w:t>
      </w:r>
    </w:p>
    <w:tbl>
      <w:tblPr>
        <w:tblStyle w:val="23"/>
        <w:tblpPr w:leftFromText="180" w:rightFromText="180" w:vertAnchor="text" w:horzAnchor="margin" w:tblpY="336"/>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1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422" w:firstLineChars="200"/>
              <w:rPr>
                <w:rFonts w:hAnsi="宋体" w:cs="宋体"/>
                <w:b/>
                <w:bCs/>
                <w:color w:val="auto"/>
                <w:szCs w:val="21"/>
                <w:highlight w:val="none"/>
                <w:lang w:val="zh-CN"/>
              </w:rPr>
            </w:pPr>
            <w:r>
              <w:rPr>
                <w:rFonts w:hint="eastAsia" w:hAnsi="宋体" w:cs="宋体"/>
                <w:b/>
                <w:bCs/>
                <w:color w:val="auto"/>
                <w:szCs w:val="21"/>
                <w:highlight w:val="none"/>
                <w:lang w:val="zh-CN"/>
              </w:rPr>
              <w:t>项</w:t>
            </w:r>
            <w:r>
              <w:rPr>
                <w:rFonts w:hAnsi="宋体" w:cs="宋体"/>
                <w:b/>
                <w:bCs/>
                <w:color w:val="auto"/>
                <w:szCs w:val="21"/>
                <w:highlight w:val="none"/>
                <w:lang w:val="zh-CN"/>
              </w:rPr>
              <w:t xml:space="preserve"> </w:t>
            </w:r>
            <w:r>
              <w:rPr>
                <w:rFonts w:hint="eastAsia" w:hAnsi="宋体" w:cs="宋体"/>
                <w:b/>
                <w:bCs/>
                <w:color w:val="auto"/>
                <w:szCs w:val="21"/>
                <w:highlight w:val="none"/>
                <w:lang w:val="zh-CN"/>
              </w:rPr>
              <w:t>目</w:t>
            </w:r>
            <w:r>
              <w:rPr>
                <w:rFonts w:hAnsi="宋体" w:cs="宋体"/>
                <w:b/>
                <w:bCs/>
                <w:color w:val="auto"/>
                <w:szCs w:val="21"/>
                <w:highlight w:val="none"/>
                <w:lang w:val="zh-CN"/>
              </w:rPr>
              <w:t xml:space="preserve"> </w:t>
            </w:r>
            <w:r>
              <w:rPr>
                <w:rFonts w:hint="eastAsia" w:hAnsi="宋体" w:cs="宋体"/>
                <w:b/>
                <w:bCs/>
                <w:color w:val="auto"/>
                <w:szCs w:val="21"/>
                <w:highlight w:val="none"/>
                <w:lang w:val="zh-CN"/>
              </w:rPr>
              <w:t>名</w:t>
            </w:r>
            <w:r>
              <w:rPr>
                <w:rFonts w:hAnsi="宋体" w:cs="宋体"/>
                <w:b/>
                <w:bCs/>
                <w:color w:val="auto"/>
                <w:szCs w:val="21"/>
                <w:highlight w:val="none"/>
                <w:lang w:val="zh-CN"/>
              </w:rPr>
              <w:t xml:space="preserve"> </w:t>
            </w:r>
            <w:r>
              <w:rPr>
                <w:rFonts w:hint="eastAsia" w:hAnsi="宋体" w:cs="宋体"/>
                <w:b/>
                <w:bCs/>
                <w:color w:val="auto"/>
                <w:szCs w:val="21"/>
                <w:highlight w:val="none"/>
                <w:lang w:val="zh-CN"/>
              </w:rPr>
              <w:t>称</w:t>
            </w:r>
          </w:p>
        </w:tc>
        <w:tc>
          <w:tcPr>
            <w:tcW w:w="622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422" w:firstLineChars="200"/>
              <w:rPr>
                <w:rFonts w:hAns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投标下浮率</w:t>
            </w:r>
          </w:p>
          <w:p>
            <w:pPr>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（填正数）</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szCs w:val="21"/>
                <w:highlight w:val="none"/>
                <w:u w:val="single"/>
              </w:rPr>
            </w:pPr>
            <w:r>
              <w:rPr>
                <w:rFonts w:ascii="宋体" w:hAnsi="宋体" w:cs="Courier New"/>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投标总报价</w:t>
            </w:r>
          </w:p>
          <w:p>
            <w:pPr>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（保留</w:t>
            </w:r>
            <w:r>
              <w:rPr>
                <w:rFonts w:ascii="宋体" w:hAnsi="宋体" w:cs="宋体"/>
                <w:b/>
                <w:bCs/>
                <w:color w:val="auto"/>
                <w:szCs w:val="21"/>
                <w:highlight w:val="none"/>
                <w:lang w:val="zh-CN"/>
              </w:rPr>
              <w:t>2位小数）</w:t>
            </w:r>
          </w:p>
        </w:tc>
        <w:tc>
          <w:tcPr>
            <w:tcW w:w="6223"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大写：</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，小写：</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en-US" w:eastAsia="zh-CN"/>
              </w:rPr>
              <w:t>万</w:t>
            </w:r>
            <w:r>
              <w:rPr>
                <w:rFonts w:hint="eastAsia" w:ascii="宋体" w:hAnsi="宋体" w:cs="宋体"/>
                <w:b/>
                <w:bCs/>
                <w:color w:val="auto"/>
                <w:szCs w:val="21"/>
                <w:highlight w:val="none"/>
                <w:lang w:val="zh-CN"/>
              </w:rPr>
              <w:t>元</w:t>
            </w:r>
          </w:p>
        </w:tc>
      </w:tr>
    </w:tbl>
    <w:p>
      <w:pPr>
        <w:pStyle w:val="22"/>
        <w:spacing w:after="0" w:line="360" w:lineRule="auto"/>
        <w:ind w:firstLine="210"/>
        <w:rPr>
          <w:rFonts w:ascii="宋体" w:hAnsi="宋体"/>
          <w:color w:val="auto"/>
          <w:szCs w:val="21"/>
          <w:highlight w:val="none"/>
        </w:rPr>
      </w:pPr>
    </w:p>
    <w:p>
      <w:pPr>
        <w:pStyle w:val="14"/>
        <w:adjustRightInd w:val="0"/>
        <w:snapToGrid w:val="0"/>
        <w:spacing w:before="240" w:after="240" w:line="360" w:lineRule="auto"/>
        <w:jc w:val="right"/>
        <w:rPr>
          <w:rFonts w:hAnsi="宋体"/>
          <w:b/>
          <w:bCs/>
          <w:color w:val="auto"/>
          <w:szCs w:val="21"/>
          <w:highlight w:val="none"/>
        </w:rPr>
      </w:pPr>
    </w:p>
    <w:p>
      <w:pPr>
        <w:rPr>
          <w:rFonts w:hAnsi="宋体"/>
          <w:b/>
          <w:bCs/>
          <w:color w:val="auto"/>
          <w:szCs w:val="21"/>
          <w:highlight w:val="none"/>
        </w:rPr>
      </w:pPr>
    </w:p>
    <w:p>
      <w:pPr>
        <w:pStyle w:val="14"/>
        <w:rPr>
          <w:color w:val="auto"/>
          <w:highlight w:val="none"/>
        </w:rPr>
      </w:pPr>
    </w:p>
    <w:p>
      <w:pPr>
        <w:pStyle w:val="14"/>
        <w:adjustRightInd w:val="0"/>
        <w:snapToGrid w:val="0"/>
        <w:spacing w:before="240" w:after="240" w:line="360" w:lineRule="auto"/>
        <w:jc w:val="right"/>
        <w:rPr>
          <w:rFonts w:hAnsi="宋体"/>
          <w:b/>
          <w:bCs/>
          <w:color w:val="auto"/>
          <w:szCs w:val="21"/>
          <w:highlight w:val="none"/>
        </w:rPr>
      </w:pPr>
      <w:r>
        <w:rPr>
          <w:rFonts w:hint="eastAsia" w:hAnsi="宋体"/>
          <w:b/>
          <w:bCs/>
          <w:color w:val="auto"/>
          <w:szCs w:val="21"/>
          <w:highlight w:val="none"/>
        </w:rPr>
        <w:t>投标人（全称）：</w:t>
      </w:r>
      <w:r>
        <w:rPr>
          <w:rFonts w:hAnsi="宋体"/>
          <w:b/>
          <w:bCs/>
          <w:color w:val="auto"/>
          <w:szCs w:val="21"/>
          <w:highlight w:val="none"/>
        </w:rPr>
        <w:t xml:space="preserve"> </w:t>
      </w:r>
      <w:r>
        <w:rPr>
          <w:rFonts w:hint="eastAsia" w:hAnsi="宋体"/>
          <w:b/>
          <w:bCs/>
          <w:color w:val="auto"/>
          <w:szCs w:val="21"/>
          <w:highlight w:val="none"/>
        </w:rPr>
        <w:t>（盖公章）</w:t>
      </w:r>
    </w:p>
    <w:p>
      <w:pPr>
        <w:pStyle w:val="14"/>
        <w:adjustRightInd w:val="0"/>
        <w:snapToGrid w:val="0"/>
        <w:spacing w:before="240" w:after="240" w:line="360" w:lineRule="auto"/>
        <w:jc w:val="right"/>
        <w:rPr>
          <w:rFonts w:hAnsi="宋体"/>
          <w:b/>
          <w:bCs/>
          <w:color w:val="auto"/>
          <w:szCs w:val="21"/>
          <w:highlight w:val="none"/>
        </w:rPr>
      </w:pPr>
      <w:r>
        <w:rPr>
          <w:rFonts w:hint="eastAsia" w:hAnsi="宋体"/>
          <w:b/>
          <w:bCs/>
          <w:color w:val="auto"/>
          <w:szCs w:val="21"/>
          <w:highlight w:val="none"/>
        </w:rPr>
        <w:t>法定代表人或授权委托代理人：（签字或盖章）</w:t>
      </w:r>
    </w:p>
    <w:p>
      <w:pPr>
        <w:spacing w:before="240" w:after="240" w:line="480" w:lineRule="auto"/>
        <w:jc w:val="right"/>
        <w:outlineLvl w:val="2"/>
        <w:rPr>
          <w:rFonts w:ascii="宋体" w:hAnsi="宋体"/>
          <w:b/>
          <w:color w:val="auto"/>
          <w:sz w:val="30"/>
          <w:szCs w:val="30"/>
          <w:highlight w:val="none"/>
        </w:rPr>
      </w:pPr>
      <w:r>
        <w:rPr>
          <w:rFonts w:hint="eastAsia" w:ascii="宋体" w:hAnsi="宋体"/>
          <w:b/>
          <w:bCs/>
          <w:color w:val="auto"/>
          <w:szCs w:val="21"/>
          <w:highlight w:val="none"/>
        </w:rPr>
        <w:t>日期：</w:t>
      </w:r>
      <w:r>
        <w:rPr>
          <w:rFonts w:ascii="宋体" w:hAnsi="宋体"/>
          <w:b/>
          <w:bCs/>
          <w:color w:val="auto"/>
          <w:szCs w:val="21"/>
          <w:highlight w:val="none"/>
        </w:rPr>
        <w:t xml:space="preserve">    年   月    日 </w:t>
      </w:r>
    </w:p>
    <w:p>
      <w:pPr>
        <w:widowControl/>
        <w:jc w:val="left"/>
        <w:rPr>
          <w:rFonts w:ascii="Times New Roman" w:hAnsi="Times New Roman" w:eastAsia="黑体"/>
          <w:b/>
          <w:color w:val="auto"/>
          <w:sz w:val="32"/>
          <w:szCs w:val="20"/>
          <w:highlight w:val="none"/>
        </w:rPr>
      </w:pPr>
      <w:r>
        <w:rPr>
          <w:rFonts w:ascii="Times New Roman" w:hAnsi="Times New Roman"/>
          <w:color w:val="auto"/>
          <w:highlight w:val="none"/>
        </w:rPr>
        <w:br w:type="page"/>
      </w:r>
    </w:p>
    <w:p>
      <w:pPr>
        <w:pStyle w:val="5"/>
        <w:keepNext w:val="0"/>
        <w:keepLines w:val="0"/>
        <w:spacing w:before="0" w:after="0"/>
        <w:ind w:firstLine="643" w:firstLineChars="200"/>
        <w:rPr>
          <w:rFonts w:ascii="Times New Roman" w:hAnsi="Times New Roman"/>
          <w:color w:val="auto"/>
          <w:sz w:val="20"/>
          <w:highlight w:val="none"/>
        </w:rPr>
      </w:pPr>
      <w:r>
        <w:rPr>
          <w:rFonts w:ascii="Times New Roman" w:hAnsi="Times New Roman"/>
          <w:color w:val="auto"/>
          <w:highlight w:val="none"/>
        </w:rPr>
        <w:t>二</w:t>
      </w:r>
      <w:bookmarkEnd w:id="651"/>
      <w:bookmarkEnd w:id="652"/>
      <w:bookmarkEnd w:id="653"/>
      <w:bookmarkEnd w:id="654"/>
      <w:bookmarkEnd w:id="655"/>
      <w:bookmarkEnd w:id="656"/>
      <w:bookmarkEnd w:id="657"/>
      <w:bookmarkEnd w:id="658"/>
      <w:bookmarkEnd w:id="659"/>
      <w:bookmarkEnd w:id="660"/>
      <w:bookmarkEnd w:id="661"/>
      <w:r>
        <w:rPr>
          <w:rFonts w:ascii="Times New Roman" w:hAnsi="Times New Roman"/>
          <w:color w:val="auto"/>
          <w:highlight w:val="none"/>
        </w:rPr>
        <w:t>、法定代表人身份证明</w:t>
      </w:r>
      <w:bookmarkEnd w:id="662"/>
    </w:p>
    <w:p>
      <w:pPr>
        <w:spacing w:line="440" w:lineRule="exact"/>
        <w:ind w:firstLine="420" w:firstLineChars="200"/>
        <w:rPr>
          <w:rFonts w:ascii="Times New Roman" w:hAnsi="Times New Roman"/>
          <w:color w:val="auto"/>
          <w:highlight w:val="none"/>
        </w:rPr>
      </w:pPr>
    </w:p>
    <w:p>
      <w:pPr>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投标人名称：</w:t>
      </w:r>
      <w:r>
        <w:rPr>
          <w:rFonts w:ascii="Times New Roman" w:hAnsi="Times New Roman"/>
          <w:color w:val="auto"/>
          <w:sz w:val="24"/>
          <w:szCs w:val="24"/>
          <w:highlight w:val="none"/>
          <w:u w:val="single"/>
        </w:rPr>
        <w:t xml:space="preserve">                                                    </w:t>
      </w:r>
    </w:p>
    <w:p>
      <w:pPr>
        <w:pStyle w:val="14"/>
        <w:rPr>
          <w:rFonts w:ascii="Times New Roman" w:hAnsi="Times New Roman"/>
          <w:color w:val="auto"/>
          <w:sz w:val="24"/>
          <w:szCs w:val="24"/>
          <w:highlight w:val="none"/>
        </w:rPr>
      </w:pPr>
    </w:p>
    <w:p>
      <w:pPr>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姓名：</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性别：</w:t>
      </w:r>
      <w:bookmarkStart w:id="663" w:name="_Toc352691662"/>
      <w:bookmarkStart w:id="664" w:name="_Toc27897"/>
      <w:bookmarkStart w:id="665" w:name="_Toc369531698"/>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bookmarkEnd w:id="663"/>
      <w:bookmarkEnd w:id="664"/>
      <w:bookmarkEnd w:id="665"/>
      <w:r>
        <w:rPr>
          <w:rFonts w:ascii="Times New Roman" w:hAnsi="Times New Roman"/>
          <w:color w:val="auto"/>
          <w:sz w:val="24"/>
          <w:szCs w:val="24"/>
          <w:highlight w:val="none"/>
        </w:rPr>
        <w:t>龄</w:t>
      </w:r>
      <w:bookmarkStart w:id="666" w:name="_Toc247514248"/>
      <w:bookmarkStart w:id="667" w:name="_Toc369531699"/>
      <w:bookmarkStart w:id="668" w:name="_Toc361508754"/>
      <w:bookmarkStart w:id="669" w:name="_Toc300835211"/>
      <w:bookmarkStart w:id="670" w:name="_Toc15573"/>
      <w:bookmarkStart w:id="671" w:name="_Toc384308377"/>
      <w:bookmarkStart w:id="672" w:name="_Toc247527829"/>
      <w:bookmarkStart w:id="673" w:name="_Toc152045789"/>
      <w:bookmarkStart w:id="674" w:name="_Toc144974858"/>
      <w:bookmarkStart w:id="675" w:name="_Toc152042578"/>
      <w:bookmarkStart w:id="676" w:name="_Toc352691663"/>
      <w:r>
        <w:rPr>
          <w:rFonts w:ascii="Times New Roman" w:hAnsi="Times New Roman"/>
          <w:color w:val="auto"/>
          <w:sz w:val="24"/>
          <w:szCs w:val="24"/>
          <w:highlight w:val="none"/>
        </w:rPr>
        <w:t>：</w:t>
      </w:r>
      <w:bookmarkEnd w:id="666"/>
      <w:bookmarkEnd w:id="667"/>
      <w:bookmarkEnd w:id="668"/>
      <w:bookmarkEnd w:id="669"/>
      <w:bookmarkEnd w:id="670"/>
      <w:bookmarkEnd w:id="671"/>
      <w:bookmarkEnd w:id="672"/>
      <w:bookmarkEnd w:id="673"/>
      <w:bookmarkEnd w:id="674"/>
      <w:bookmarkEnd w:id="675"/>
      <w:bookmarkEnd w:id="676"/>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职务：</w:t>
      </w:r>
      <w:r>
        <w:rPr>
          <w:rFonts w:ascii="Times New Roman" w:hAnsi="Times New Roman"/>
          <w:color w:val="auto"/>
          <w:sz w:val="24"/>
          <w:szCs w:val="24"/>
          <w:highlight w:val="none"/>
          <w:u w:val="single"/>
        </w:rPr>
        <w:t xml:space="preserve">        </w:t>
      </w:r>
    </w:p>
    <w:p>
      <w:pPr>
        <w:pStyle w:val="14"/>
        <w:rPr>
          <w:rFonts w:ascii="Times New Roman" w:hAnsi="Times New Roman"/>
          <w:color w:val="auto"/>
          <w:sz w:val="24"/>
          <w:szCs w:val="24"/>
          <w:highlight w:val="none"/>
        </w:rPr>
      </w:pP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p>
    <w:p>
      <w:pPr>
        <w:pStyle w:val="14"/>
        <w:rPr>
          <w:rFonts w:ascii="Times New Roman" w:hAnsi="Times New Roman"/>
          <w:color w:val="auto"/>
          <w:sz w:val="24"/>
          <w:szCs w:val="24"/>
          <w:highlight w:val="none"/>
        </w:rPr>
      </w:pP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特此证明。</w:t>
      </w:r>
    </w:p>
    <w:p>
      <w:pPr>
        <w:spacing w:line="360" w:lineRule="auto"/>
        <w:ind w:firstLine="480" w:firstLineChars="200"/>
        <w:rPr>
          <w:rFonts w:ascii="Times New Roman" w:hAnsi="Times New Roman"/>
          <w:color w:val="auto"/>
          <w:sz w:val="24"/>
          <w:szCs w:val="24"/>
          <w:highlight w:val="none"/>
        </w:rPr>
      </w:pP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附：法定代表人身份证复印件。</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注：本身份证明需由投标人加盖单位公章。</w:t>
      </w:r>
    </w:p>
    <w:p>
      <w:pPr>
        <w:spacing w:line="360" w:lineRule="auto"/>
        <w:ind w:firstLine="480" w:firstLineChars="200"/>
        <w:rPr>
          <w:rFonts w:ascii="Times New Roman" w:hAnsi="Times New Roman"/>
          <w:color w:val="auto"/>
          <w:sz w:val="24"/>
          <w:szCs w:val="24"/>
          <w:highlight w:val="none"/>
        </w:rPr>
      </w:pPr>
    </w:p>
    <w:p>
      <w:pPr>
        <w:spacing w:line="360" w:lineRule="auto"/>
        <w:ind w:firstLine="480" w:firstLineChars="200"/>
        <w:rPr>
          <w:rFonts w:ascii="Times New Roman" w:hAnsi="Times New Roman"/>
          <w:color w:val="auto"/>
          <w:sz w:val="24"/>
          <w:szCs w:val="24"/>
          <w:highlight w:val="none"/>
        </w:rPr>
      </w:pPr>
    </w:p>
    <w:p>
      <w:pPr>
        <w:spacing w:line="360" w:lineRule="auto"/>
        <w:ind w:firstLine="480" w:firstLineChars="200"/>
        <w:jc w:val="right"/>
        <w:rPr>
          <w:rFonts w:ascii="Times New Roman" w:hAnsi="Times New Roman"/>
          <w:color w:val="auto"/>
          <w:sz w:val="24"/>
          <w:szCs w:val="24"/>
          <w:highlight w:val="none"/>
        </w:rPr>
      </w:pPr>
      <w:r>
        <w:rPr>
          <w:rFonts w:ascii="Times New Roman" w:hAnsi="Times New Roman"/>
          <w:color w:val="auto"/>
          <w:sz w:val="24"/>
          <w:szCs w:val="24"/>
          <w:highlight w:val="none"/>
        </w:rPr>
        <w:t xml:space="preserve">                              投标人：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ab/>
      </w:r>
      <w:r>
        <w:rPr>
          <w:rFonts w:ascii="Times New Roman" w:hAnsi="Times New Roman"/>
          <w:color w:val="auto"/>
          <w:sz w:val="24"/>
          <w:szCs w:val="24"/>
          <w:highlight w:val="none"/>
        </w:rPr>
        <w:t>（</w:t>
      </w:r>
      <w:r>
        <w:rPr>
          <w:rFonts w:hint="eastAsia" w:ascii="Times New Roman" w:hAnsi="Times New Roman"/>
          <w:color w:val="auto"/>
          <w:sz w:val="24"/>
          <w:szCs w:val="24"/>
          <w:highlight w:val="none"/>
        </w:rPr>
        <w:t>盖</w:t>
      </w:r>
      <w:r>
        <w:rPr>
          <w:rFonts w:ascii="Times New Roman" w:hAnsi="Times New Roman"/>
          <w:color w:val="auto"/>
          <w:sz w:val="24"/>
          <w:szCs w:val="24"/>
          <w:highlight w:val="none"/>
        </w:rPr>
        <w:t>单位</w:t>
      </w:r>
      <w:r>
        <w:rPr>
          <w:rFonts w:hint="eastAsia" w:ascii="Times New Roman" w:hAnsi="Times New Roman"/>
          <w:color w:val="auto"/>
          <w:sz w:val="24"/>
          <w:szCs w:val="24"/>
          <w:highlight w:val="none"/>
        </w:rPr>
        <w:t>章</w:t>
      </w:r>
      <w:r>
        <w:rPr>
          <w:rFonts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p>
    <w:p>
      <w:pPr>
        <w:spacing w:line="360" w:lineRule="auto"/>
        <w:ind w:firstLine="480" w:firstLineChars="200"/>
        <w:jc w:val="right"/>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360" w:lineRule="auto"/>
        <w:ind w:firstLine="480" w:firstLineChars="200"/>
        <w:rPr>
          <w:rFonts w:ascii="Times New Roman" w:hAnsi="Times New Roman" w:eastAsia="黑体"/>
          <w:color w:val="auto"/>
          <w:sz w:val="24"/>
          <w:szCs w:val="24"/>
          <w:highlight w:val="none"/>
        </w:rPr>
      </w:pPr>
    </w:p>
    <w:p>
      <w:pPr>
        <w:spacing w:line="360" w:lineRule="auto"/>
        <w:ind w:firstLine="400" w:firstLineChars="200"/>
        <w:rPr>
          <w:rFonts w:ascii="Times New Roman" w:hAnsi="Times New Roman" w:eastAsia="黑体"/>
          <w:color w:val="auto"/>
          <w:sz w:val="20"/>
          <w:highlight w:val="none"/>
        </w:rPr>
      </w:pPr>
    </w:p>
    <w:p>
      <w:pPr>
        <w:spacing w:line="440" w:lineRule="exact"/>
        <w:ind w:firstLine="400" w:firstLineChars="200"/>
        <w:rPr>
          <w:rFonts w:ascii="Times New Roman" w:hAnsi="Times New Roman" w:eastAsia="黑体"/>
          <w:color w:val="auto"/>
          <w:sz w:val="20"/>
          <w:highlight w:val="none"/>
        </w:rPr>
      </w:pPr>
    </w:p>
    <w:p>
      <w:pPr>
        <w:spacing w:line="440" w:lineRule="exact"/>
        <w:ind w:firstLine="400" w:firstLineChars="200"/>
        <w:rPr>
          <w:rFonts w:ascii="Times New Roman" w:hAnsi="Times New Roman" w:eastAsia="黑体"/>
          <w:color w:val="auto"/>
          <w:sz w:val="20"/>
          <w:highlight w:val="none"/>
        </w:rPr>
      </w:pPr>
    </w:p>
    <w:p>
      <w:pPr>
        <w:spacing w:line="440" w:lineRule="exact"/>
        <w:ind w:firstLine="400" w:firstLineChars="200"/>
        <w:rPr>
          <w:rFonts w:ascii="Times New Roman" w:hAnsi="Times New Roman" w:eastAsia="黑体"/>
          <w:color w:val="auto"/>
          <w:sz w:val="20"/>
          <w:highlight w:val="none"/>
        </w:rPr>
      </w:pPr>
    </w:p>
    <w:p>
      <w:pPr>
        <w:pStyle w:val="5"/>
        <w:keepNext w:val="0"/>
        <w:keepLines w:val="0"/>
        <w:spacing w:before="0" w:after="0"/>
        <w:jc w:val="center"/>
        <w:rPr>
          <w:rFonts w:ascii="Times New Roman" w:hAnsi="Times New Roman"/>
          <w:color w:val="auto"/>
          <w:highlight w:val="none"/>
        </w:rPr>
      </w:pPr>
      <w:r>
        <w:rPr>
          <w:rFonts w:ascii="Times New Roman" w:hAnsi="Times New Roman"/>
          <w:color w:val="auto"/>
          <w:highlight w:val="none"/>
        </w:rPr>
        <w:br w:type="page"/>
      </w:r>
      <w:bookmarkStart w:id="677" w:name="_Toc89870640"/>
      <w:r>
        <w:rPr>
          <w:rFonts w:ascii="Times New Roman" w:hAnsi="Times New Roman"/>
          <w:color w:val="auto"/>
          <w:highlight w:val="none"/>
        </w:rPr>
        <w:t>授权委托书</w:t>
      </w:r>
      <w:bookmarkEnd w:id="677"/>
    </w:p>
    <w:p>
      <w:pPr>
        <w:spacing w:line="440" w:lineRule="exact"/>
        <w:ind w:firstLine="420" w:firstLineChars="200"/>
        <w:rPr>
          <w:rFonts w:ascii="Times New Roman" w:hAnsi="Times New Roman" w:eastAsia="黑体"/>
          <w:color w:val="auto"/>
          <w:highlight w:val="none"/>
        </w:rPr>
      </w:pPr>
    </w:p>
    <w:p>
      <w:pPr>
        <w:topLinePunct/>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w:t>
      </w:r>
      <w:r>
        <w:rPr>
          <w:rFonts w:ascii="Times New Roman" w:hAnsi="Times New Roman"/>
          <w:color w:val="auto"/>
          <w:highlight w:val="none"/>
        </w:rPr>
        <w:t>（姓名）系</w:t>
      </w:r>
      <w:r>
        <w:rPr>
          <w:rFonts w:ascii="Times New Roman" w:hAnsi="Times New Roman"/>
          <w:color w:val="auto"/>
          <w:highlight w:val="none"/>
          <w:u w:val="single"/>
        </w:rPr>
        <w:t xml:space="preserve">                    </w:t>
      </w:r>
      <w:r>
        <w:rPr>
          <w:rFonts w:ascii="Times New Roman" w:hAnsi="Times New Roman"/>
          <w:color w:val="auto"/>
          <w:highlight w:val="none"/>
        </w:rPr>
        <w:t>（投标人名称）的法定代表人，现委托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为我方代理人。代理人根据授权，以我方名义签署、澄清确认、递交、撤回、修改监理招标项目投标文件、签订合同和处理有关事宜，其法律后果由我方承担。</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委托期限：</w:t>
      </w:r>
      <w:r>
        <w:rPr>
          <w:rFonts w:ascii="Times New Roman" w:hAnsi="Times New Roman"/>
          <w:color w:val="auto"/>
          <w:highlight w:val="none"/>
          <w:u w:val="single"/>
        </w:rPr>
        <w:t xml:space="preserve">                       </w:t>
      </w:r>
      <w:r>
        <w:rPr>
          <w:rFonts w:ascii="Times New Roman" w:hAnsi="Times New Roman"/>
          <w:color w:val="auto"/>
          <w:highlight w:val="none"/>
        </w:rPr>
        <w:t>。</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pPr>
        <w:spacing w:line="360" w:lineRule="auto"/>
        <w:ind w:firstLine="420" w:firstLineChars="200"/>
        <w:rPr>
          <w:rFonts w:ascii="Times New Roman" w:hAnsi="Times New Roman"/>
          <w:color w:val="auto"/>
          <w:highlight w:val="none"/>
        </w:rPr>
      </w:pP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附：法定代表人身份证复印件及委托代理人身份证复印件</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注：本授权委托书需由投标人加盖单位公章并由其法定代表人和委托代理人签字。</w:t>
      </w:r>
    </w:p>
    <w:p>
      <w:pPr>
        <w:spacing w:line="360" w:lineRule="auto"/>
        <w:ind w:firstLine="420" w:firstLineChars="200"/>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rPr>
        <w:t>投  标  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w:t>
      </w:r>
      <w:r>
        <w:rPr>
          <w:rFonts w:hint="eastAsia" w:ascii="Times New Roman" w:hAnsi="Times New Roman"/>
          <w:color w:val="auto"/>
          <w:highlight w:val="none"/>
        </w:rPr>
        <w:t>盖</w:t>
      </w:r>
      <w:r>
        <w:rPr>
          <w:rFonts w:ascii="Times New Roman" w:hAnsi="Times New Roman"/>
          <w:color w:val="auto"/>
          <w:highlight w:val="none"/>
        </w:rPr>
        <w:t>单位</w:t>
      </w:r>
      <w:r>
        <w:rPr>
          <w:rFonts w:hint="eastAsia" w:ascii="Times New Roman" w:hAnsi="Times New Roman"/>
          <w:color w:val="auto"/>
          <w:highlight w:val="none"/>
        </w:rPr>
        <w:t>章</w:t>
      </w:r>
      <w:r>
        <w:rPr>
          <w:rFonts w:ascii="Times New Roman" w:hAnsi="Times New Roman"/>
          <w:color w:val="auto"/>
          <w:highlight w:val="none"/>
        </w:rPr>
        <w:t>）</w:t>
      </w: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rPr>
        <w:t>法定代表人：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（签字）</w:t>
      </w: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rPr>
        <w:t>委托代理人：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（签字）</w:t>
      </w: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p>
    <w:p>
      <w:pPr>
        <w:spacing w:line="360" w:lineRule="auto"/>
        <w:ind w:firstLine="420" w:firstLineChars="20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360" w:lineRule="auto"/>
        <w:ind w:firstLine="420" w:firstLineChars="200"/>
        <w:rPr>
          <w:rFonts w:ascii="Times New Roman" w:hAnsi="Times New Roman"/>
          <w:color w:val="auto"/>
          <w:highlight w:val="none"/>
        </w:rPr>
      </w:pPr>
    </w:p>
    <w:p>
      <w:pPr>
        <w:pStyle w:val="5"/>
        <w:keepNext w:val="0"/>
        <w:keepLines w:val="0"/>
        <w:spacing w:before="0" w:after="0"/>
        <w:ind w:firstLine="643" w:firstLineChars="200"/>
        <w:rPr>
          <w:color w:val="auto"/>
          <w:highlight w:val="none"/>
        </w:rPr>
      </w:pPr>
      <w:r>
        <w:rPr>
          <w:color w:val="auto"/>
          <w:highlight w:val="none"/>
        </w:rPr>
        <w:br w:type="page"/>
      </w:r>
      <w:bookmarkStart w:id="678" w:name="_Toc89870641"/>
      <w:r>
        <w:rPr>
          <w:rFonts w:hint="eastAsia" w:ascii="Times New Roman" w:hAnsi="Times New Roman"/>
          <w:color w:val="auto"/>
          <w:highlight w:val="none"/>
        </w:rPr>
        <w:t>三、</w:t>
      </w:r>
      <w:bookmarkStart w:id="679" w:name="_Toc152042581"/>
      <w:bookmarkStart w:id="680" w:name="_Toc352691666"/>
      <w:bookmarkStart w:id="681" w:name="_Toc384308381"/>
      <w:bookmarkStart w:id="682" w:name="_Toc300835214"/>
      <w:bookmarkStart w:id="683" w:name="_Toc247514284"/>
      <w:bookmarkStart w:id="684" w:name="_Toc361508757"/>
      <w:bookmarkStart w:id="685" w:name="_Toc13469"/>
      <w:bookmarkStart w:id="686" w:name="_Toc247527832"/>
      <w:bookmarkStart w:id="687" w:name="_Toc369531702"/>
      <w:bookmarkStart w:id="688" w:name="_Toc144974861"/>
      <w:bookmarkStart w:id="689" w:name="_Toc152045792"/>
      <w:r>
        <w:rPr>
          <w:rFonts w:hint="eastAsia" w:ascii="Times New Roman" w:hAnsi="Times New Roman"/>
          <w:color w:val="auto"/>
          <w:highlight w:val="none"/>
        </w:rPr>
        <w:t>投标保证金</w:t>
      </w:r>
      <w:bookmarkEnd w:id="678"/>
    </w:p>
    <w:p>
      <w:pPr>
        <w:spacing w:line="440" w:lineRule="exact"/>
        <w:ind w:firstLine="480" w:firstLineChars="200"/>
        <w:rPr>
          <w:rFonts w:ascii="Times New Roman" w:hAnsi="Times New Roman"/>
          <w:color w:val="auto"/>
          <w:szCs w:val="21"/>
          <w:highlight w:val="none"/>
        </w:rPr>
      </w:pPr>
      <w:r>
        <w:rPr>
          <w:rFonts w:hint="eastAsia" w:ascii="宋体" w:hAnsi="宋体" w:cs="宋体"/>
          <w:color w:val="auto"/>
          <w:sz w:val="24"/>
          <w:szCs w:val="24"/>
          <w:highlight w:val="none"/>
        </w:rPr>
        <w:t>（详见本招标文件第二章投标人须知前附表</w:t>
      </w:r>
      <w:r>
        <w:rPr>
          <w:rFonts w:ascii="宋体" w:hAnsi="宋体" w:cs="宋体"/>
          <w:color w:val="auto"/>
          <w:sz w:val="24"/>
          <w:szCs w:val="24"/>
          <w:highlight w:val="none"/>
        </w:rPr>
        <w:t>3.4.1）</w:t>
      </w:r>
    </w:p>
    <w:p>
      <w:pPr>
        <w:spacing w:line="440" w:lineRule="exact"/>
        <w:ind w:firstLine="420" w:firstLineChars="200"/>
        <w:rPr>
          <w:rFonts w:ascii="Times New Roman" w:hAnsi="Times New Roman"/>
          <w:color w:val="auto"/>
          <w:szCs w:val="21"/>
          <w:highlight w:val="none"/>
        </w:rPr>
        <w:sectPr>
          <w:footerReference r:id="rId6" w:type="default"/>
          <w:pgSz w:w="12240" w:h="15840"/>
          <w:pgMar w:top="1440" w:right="1803" w:bottom="1440" w:left="1803" w:header="720" w:footer="720" w:gutter="0"/>
          <w:cols w:space="720" w:num="1"/>
          <w:docGrid w:linePitch="285" w:charSpace="0"/>
        </w:sectPr>
      </w:pPr>
    </w:p>
    <w:bookmarkEnd w:id="679"/>
    <w:bookmarkEnd w:id="680"/>
    <w:bookmarkEnd w:id="681"/>
    <w:bookmarkEnd w:id="682"/>
    <w:bookmarkEnd w:id="683"/>
    <w:bookmarkEnd w:id="684"/>
    <w:bookmarkEnd w:id="685"/>
    <w:bookmarkEnd w:id="686"/>
    <w:bookmarkEnd w:id="687"/>
    <w:bookmarkEnd w:id="688"/>
    <w:bookmarkEnd w:id="689"/>
    <w:p>
      <w:pPr>
        <w:pStyle w:val="14"/>
        <w:spacing w:line="480" w:lineRule="auto"/>
        <w:ind w:firstLine="640" w:firstLineChars="200"/>
        <w:jc w:val="center"/>
        <w:rPr>
          <w:rFonts w:ascii="黑体" w:hAnsi="黑体" w:eastAsia="黑体" w:cs="华文仿宋"/>
          <w:color w:val="auto"/>
          <w:sz w:val="32"/>
          <w:szCs w:val="32"/>
          <w:highlight w:val="none"/>
        </w:rPr>
      </w:pPr>
      <w:bookmarkStart w:id="690" w:name="_Toc89870642"/>
      <w:r>
        <w:rPr>
          <w:rFonts w:hint="eastAsia" w:ascii="黑体" w:hAnsi="黑体" w:eastAsia="黑体" w:cs="华文仿宋"/>
          <w:color w:val="auto"/>
          <w:sz w:val="32"/>
          <w:szCs w:val="32"/>
          <w:highlight w:val="none"/>
        </w:rPr>
        <w:t>（一）中小企业声明函</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本企业郑重声明，根据《关于印发中小企业划型标准规定的通知》（工信部联企业〔2011〕300号）的规定，本企业具体情况如下：</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本企业属于建筑业行业；营业收入为</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万元，资产总额为</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万元，属于</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（中型企业、小型企业、微型企业）；</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依据《政府采购促进中小企业发展管理办法》的规定，本企业不属于大企业的分支机构，不存在控股股东为大企业的情形，也不存在与大企业的负责人为同一人的情形。 </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本企业对上述声明内容的真实性负责。如有虚假，将依法承担相应责任。 </w:t>
      </w:r>
    </w:p>
    <w:p>
      <w:pPr>
        <w:pStyle w:val="14"/>
        <w:spacing w:line="56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企业名称（盖章）：</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期：</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注：</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1、营业收入、资产总额填报上一年度数据，无上一年度数据的新成立企业可不填报。</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2、《中小企业声明函》须按照本函格式填写，否则评标委员会有权视其为非中小企业，不享受免于提交投标保证金的优惠政策。</w:t>
      </w:r>
    </w:p>
    <w:p>
      <w:pPr>
        <w:pStyle w:val="14"/>
        <w:spacing w:line="56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3、招标人、招标代理机构将按有关规定公开《中小企业声明函》。</w:t>
      </w:r>
    </w:p>
    <w:p>
      <w:pPr>
        <w:widowControl/>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pPr>
        <w:pStyle w:val="14"/>
        <w:ind w:firstLine="640" w:firstLineChars="200"/>
        <w:jc w:val="center"/>
        <w:rPr>
          <w:rFonts w:ascii="黑体" w:hAnsi="黑体" w:eastAsia="黑体" w:cs="华文仿宋"/>
          <w:color w:val="auto"/>
          <w:sz w:val="32"/>
          <w:szCs w:val="32"/>
          <w:highlight w:val="none"/>
        </w:rPr>
      </w:pPr>
      <w:r>
        <w:rPr>
          <w:rFonts w:hint="eastAsia" w:ascii="黑体" w:hAnsi="黑体" w:eastAsia="黑体" w:cs="华文仿宋"/>
          <w:color w:val="auto"/>
          <w:sz w:val="32"/>
          <w:szCs w:val="32"/>
          <w:highlight w:val="none"/>
        </w:rPr>
        <w:t>（二）关于投标保证金的承诺</w:t>
      </w:r>
    </w:p>
    <w:p>
      <w:pPr>
        <w:pStyle w:val="14"/>
        <w:spacing w:line="48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pPr>
        <w:autoSpaceDE w:val="0"/>
        <w:spacing w:line="48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本招标项目招标人及招标监管机构：</w:t>
      </w:r>
    </w:p>
    <w:p>
      <w:pPr>
        <w:autoSpaceDE w:val="0"/>
        <w:spacing w:line="48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本公司就参加</w:t>
      </w:r>
      <w:r>
        <w:rPr>
          <w:rFonts w:hint="eastAsia" w:asciiTheme="majorEastAsia" w:hAnsiTheme="majorEastAsia" w:eastAsiaTheme="majorEastAsia"/>
          <w:color w:val="auto"/>
          <w:szCs w:val="21"/>
          <w:highlight w:val="none"/>
          <w:u w:val="single"/>
        </w:rPr>
        <w:t xml:space="preserve">      （招标项目名称）     </w:t>
      </w:r>
      <w:r>
        <w:rPr>
          <w:rFonts w:hint="eastAsia" w:asciiTheme="majorEastAsia" w:hAnsiTheme="majorEastAsia" w:eastAsiaTheme="majorEastAsia"/>
          <w:color w:val="auto"/>
          <w:szCs w:val="21"/>
          <w:highlight w:val="none"/>
        </w:rPr>
        <w:t>项目的投标工作，作出郑重声明：</w:t>
      </w:r>
    </w:p>
    <w:p>
      <w:pPr>
        <w:autoSpaceDE w:val="0"/>
        <w:spacing w:line="48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cs="华文仿宋" w:asciiTheme="majorEastAsia" w:hAnsiTheme="majorEastAsia" w:eastAsiaTheme="majorEastAsia"/>
          <w:color w:val="auto"/>
          <w:kern w:val="0"/>
          <w:szCs w:val="21"/>
          <w:highlight w:val="none"/>
        </w:rPr>
        <w:t>一旦发生符合招标文件规定的不予退还投标保证金情形的，将</w:t>
      </w:r>
      <w:r>
        <w:rPr>
          <w:rFonts w:hint="eastAsia" w:asciiTheme="majorEastAsia" w:hAnsiTheme="majorEastAsia" w:eastAsiaTheme="majorEastAsia"/>
          <w:color w:val="auto"/>
          <w:szCs w:val="21"/>
          <w:highlight w:val="none"/>
        </w:rPr>
        <w:t>按照招标人的要求，在规定的时间内向招标人足额补交投标保证金。</w:t>
      </w:r>
    </w:p>
    <w:p>
      <w:pPr>
        <w:autoSpaceDE w:val="0"/>
        <w:spacing w:line="48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本公司违反上述保证的，将被视为虚假承诺，按相关规定进行信用记录。本公司对失信行为产生的一切后果已知悉，并承担由此产生的相应责任。</w:t>
      </w:r>
    </w:p>
    <w:p>
      <w:pPr>
        <w:autoSpaceDE w:val="0"/>
        <w:spacing w:line="48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特此承诺。</w:t>
      </w:r>
    </w:p>
    <w:p>
      <w:pPr>
        <w:autoSpaceDE w:val="0"/>
        <w:spacing w:line="48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pPr>
        <w:autoSpaceDE w:val="0"/>
        <w:spacing w:line="48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pPr>
        <w:autoSpaceDE w:val="0"/>
        <w:spacing w:line="48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pPr>
        <w:autoSpaceDE w:val="0"/>
        <w:spacing w:line="480" w:lineRule="auto"/>
        <w:ind w:firstLine="420" w:firstLineChars="20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投标人：</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（盖章）</w:t>
      </w:r>
    </w:p>
    <w:p>
      <w:pPr>
        <w:spacing w:line="48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 xml:space="preserve">                                                  日</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期：</w:t>
      </w:r>
    </w:p>
    <w:p>
      <w:pPr>
        <w:ind w:firstLine="420" w:firstLineChars="200"/>
        <w:rPr>
          <w:rFonts w:ascii="Times New Roman" w:hAnsi="Times New Roman"/>
          <w:color w:val="auto"/>
          <w:highlight w:val="none"/>
        </w:rPr>
      </w:pPr>
    </w:p>
    <w:p>
      <w:pPr>
        <w:widowControl/>
        <w:jc w:val="left"/>
        <w:rPr>
          <w:rFonts w:ascii="Times New Roman" w:hAnsi="Times New Roman" w:eastAsia="黑体"/>
          <w:b/>
          <w:color w:val="auto"/>
          <w:sz w:val="32"/>
          <w:szCs w:val="20"/>
          <w:highlight w:val="none"/>
        </w:rPr>
      </w:pPr>
      <w:r>
        <w:rPr>
          <w:rFonts w:ascii="Times New Roman" w:hAnsi="Times New Roman"/>
          <w:color w:val="auto"/>
          <w:highlight w:val="none"/>
        </w:rPr>
        <w:br w:type="page"/>
      </w:r>
    </w:p>
    <w:p>
      <w:pPr>
        <w:pStyle w:val="5"/>
        <w:keepNext w:val="0"/>
        <w:keepLines w:val="0"/>
        <w:spacing w:before="0" w:after="0"/>
        <w:ind w:firstLine="643" w:firstLineChars="200"/>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w:t>
      </w:r>
      <w:bookmarkStart w:id="691" w:name="_Toc361508760"/>
      <w:r>
        <w:rPr>
          <w:rFonts w:hint="eastAsia" w:ascii="Times New Roman" w:hAnsi="Times New Roman"/>
          <w:color w:val="auto"/>
          <w:highlight w:val="none"/>
        </w:rPr>
        <w:t>广州建设工程监理投标书</w:t>
      </w:r>
      <w:bookmarkEnd w:id="690"/>
    </w:p>
    <w:tbl>
      <w:tblPr>
        <w:tblStyle w:val="2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93"/>
        <w:gridCol w:w="200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Align w:val="center"/>
          </w:tcPr>
          <w:p>
            <w:pPr>
              <w:spacing w:line="320" w:lineRule="exact"/>
              <w:ind w:firstLine="420" w:firstLineChars="200"/>
              <w:outlineLvl w:val="0"/>
              <w:rPr>
                <w:rFonts w:hint="eastAsia" w:ascii="宋体" w:hAnsi="宋体" w:eastAsia="宋体" w:cs="宋体"/>
                <w:color w:val="auto"/>
                <w:highlight w:val="none"/>
              </w:rPr>
            </w:pPr>
            <w:bookmarkStart w:id="692" w:name="_Toc527028718"/>
            <w:bookmarkStart w:id="693" w:name="_Toc89870643"/>
            <w:bookmarkStart w:id="694" w:name="_Toc527028890"/>
            <w:r>
              <w:rPr>
                <w:rFonts w:hint="eastAsia" w:ascii="宋体" w:hAnsi="宋体" w:eastAsia="宋体" w:cs="宋体"/>
                <w:color w:val="auto"/>
                <w:highlight w:val="none"/>
              </w:rPr>
              <w:t>项 目 名 称</w:t>
            </w:r>
            <w:bookmarkEnd w:id="692"/>
            <w:bookmarkEnd w:id="693"/>
            <w:bookmarkEnd w:id="694"/>
          </w:p>
        </w:tc>
        <w:tc>
          <w:tcPr>
            <w:tcW w:w="6915" w:type="dxa"/>
            <w:gridSpan w:val="3"/>
            <w:vAlign w:val="center"/>
          </w:tcPr>
          <w:p>
            <w:pPr>
              <w:spacing w:line="320" w:lineRule="exact"/>
              <w:ind w:firstLine="420" w:firstLineChars="200"/>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28" w:type="dxa"/>
            <w:vAlign w:val="center"/>
          </w:tcPr>
          <w:p>
            <w:pPr>
              <w:spacing w:before="240" w:after="60"/>
              <w:jc w:val="center"/>
              <w:outlineLvl w:val="0"/>
              <w:rPr>
                <w:rFonts w:hint="eastAsia" w:ascii="宋体" w:hAnsi="宋体" w:eastAsia="宋体" w:cs="宋体"/>
                <w:color w:val="auto"/>
                <w:highlight w:val="none"/>
              </w:rPr>
            </w:pPr>
            <w:bookmarkStart w:id="695" w:name="_Toc527028891"/>
            <w:bookmarkStart w:id="696" w:name="_Toc89870644"/>
            <w:bookmarkStart w:id="697" w:name="_Toc527028719"/>
            <w:r>
              <w:rPr>
                <w:rFonts w:hint="eastAsia" w:ascii="宋体" w:hAnsi="宋体" w:eastAsia="宋体" w:cs="宋体"/>
                <w:color w:val="auto"/>
                <w:highlight w:val="none"/>
              </w:rPr>
              <w:t>投 标 单 位</w:t>
            </w:r>
            <w:bookmarkEnd w:id="695"/>
            <w:bookmarkEnd w:id="696"/>
            <w:bookmarkEnd w:id="697"/>
          </w:p>
          <w:p>
            <w:pPr>
              <w:spacing w:before="240" w:after="60"/>
              <w:jc w:val="center"/>
              <w:outlineLvl w:val="0"/>
              <w:rPr>
                <w:rFonts w:hint="eastAsia" w:ascii="宋体" w:hAnsi="宋体" w:eastAsia="宋体" w:cs="宋体"/>
                <w:color w:val="auto"/>
                <w:highlight w:val="none"/>
              </w:rPr>
            </w:pPr>
            <w:bookmarkStart w:id="698" w:name="_Toc89870645"/>
            <w:bookmarkStart w:id="699" w:name="_Toc527028720"/>
            <w:bookmarkStart w:id="700" w:name="_Toc527028892"/>
            <w:r>
              <w:rPr>
                <w:rFonts w:hint="eastAsia" w:ascii="宋体" w:hAnsi="宋体" w:eastAsia="宋体" w:cs="宋体"/>
                <w:color w:val="auto"/>
                <w:highlight w:val="none"/>
              </w:rPr>
              <w:t>（盖章）</w:t>
            </w:r>
            <w:bookmarkEnd w:id="698"/>
            <w:bookmarkEnd w:id="699"/>
            <w:bookmarkEnd w:id="700"/>
          </w:p>
        </w:tc>
        <w:tc>
          <w:tcPr>
            <w:tcW w:w="1893" w:type="dxa"/>
          </w:tcPr>
          <w:p>
            <w:pPr>
              <w:spacing w:before="240" w:after="60"/>
              <w:jc w:val="center"/>
              <w:outlineLvl w:val="0"/>
              <w:rPr>
                <w:rFonts w:hint="eastAsia" w:ascii="宋体" w:hAnsi="宋体" w:eastAsia="宋体" w:cs="宋体"/>
                <w:color w:val="auto"/>
                <w:highlight w:val="none"/>
              </w:rPr>
            </w:pPr>
          </w:p>
        </w:tc>
        <w:tc>
          <w:tcPr>
            <w:tcW w:w="2002" w:type="dxa"/>
          </w:tcPr>
          <w:p>
            <w:pPr>
              <w:spacing w:before="240" w:after="60"/>
              <w:jc w:val="center"/>
              <w:outlineLvl w:val="0"/>
              <w:rPr>
                <w:rFonts w:hint="eastAsia" w:ascii="宋体" w:hAnsi="宋体" w:eastAsia="宋体" w:cs="宋体"/>
                <w:color w:val="auto"/>
                <w:highlight w:val="none"/>
              </w:rPr>
            </w:pPr>
            <w:bookmarkStart w:id="701" w:name="_Toc527028893"/>
            <w:bookmarkStart w:id="702" w:name="_Toc89870646"/>
            <w:bookmarkStart w:id="703" w:name="_Toc527028721"/>
            <w:r>
              <w:rPr>
                <w:rFonts w:hint="eastAsia" w:ascii="宋体" w:hAnsi="宋体" w:eastAsia="宋体" w:cs="宋体"/>
                <w:color w:val="auto"/>
                <w:highlight w:val="none"/>
              </w:rPr>
              <w:t>法 人 营 业</w:t>
            </w:r>
            <w:bookmarkEnd w:id="701"/>
            <w:bookmarkEnd w:id="702"/>
            <w:bookmarkEnd w:id="703"/>
          </w:p>
          <w:p>
            <w:pPr>
              <w:spacing w:before="240" w:after="60"/>
              <w:jc w:val="center"/>
              <w:outlineLvl w:val="0"/>
              <w:rPr>
                <w:rFonts w:hint="eastAsia" w:ascii="宋体" w:hAnsi="宋体" w:eastAsia="宋体" w:cs="宋体"/>
                <w:color w:val="auto"/>
                <w:highlight w:val="none"/>
              </w:rPr>
            </w:pPr>
            <w:bookmarkStart w:id="704" w:name="_Toc527028722"/>
            <w:bookmarkStart w:id="705" w:name="_Toc527028894"/>
            <w:bookmarkStart w:id="706" w:name="_Toc89870647"/>
            <w:r>
              <w:rPr>
                <w:rFonts w:hint="eastAsia" w:ascii="宋体" w:hAnsi="宋体" w:eastAsia="宋体" w:cs="宋体"/>
                <w:color w:val="auto"/>
                <w:highlight w:val="none"/>
              </w:rPr>
              <w:t>执 照 证 号</w:t>
            </w:r>
            <w:bookmarkEnd w:id="704"/>
            <w:bookmarkEnd w:id="705"/>
            <w:bookmarkEnd w:id="706"/>
          </w:p>
        </w:tc>
        <w:tc>
          <w:tcPr>
            <w:tcW w:w="3020" w:type="dxa"/>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328" w:type="dxa"/>
          </w:tcPr>
          <w:p>
            <w:pPr>
              <w:spacing w:before="240" w:after="60"/>
              <w:jc w:val="center"/>
              <w:outlineLvl w:val="0"/>
              <w:rPr>
                <w:rFonts w:hint="eastAsia" w:ascii="宋体" w:hAnsi="宋体" w:eastAsia="宋体" w:cs="宋体"/>
                <w:color w:val="auto"/>
                <w:highlight w:val="none"/>
              </w:rPr>
            </w:pPr>
            <w:bookmarkStart w:id="707" w:name="_Toc527028895"/>
            <w:bookmarkStart w:id="708" w:name="_Toc527028723"/>
            <w:bookmarkStart w:id="709" w:name="_Toc89870648"/>
            <w:r>
              <w:rPr>
                <w:rFonts w:hint="eastAsia" w:ascii="宋体" w:hAnsi="宋体" w:eastAsia="宋体" w:cs="宋体"/>
                <w:color w:val="auto"/>
                <w:highlight w:val="none"/>
              </w:rPr>
              <w:t>广州市建设监理</w:t>
            </w:r>
            <w:bookmarkEnd w:id="707"/>
            <w:bookmarkEnd w:id="708"/>
            <w:bookmarkEnd w:id="709"/>
          </w:p>
          <w:p>
            <w:pPr>
              <w:spacing w:before="240" w:after="60"/>
              <w:jc w:val="center"/>
              <w:outlineLvl w:val="0"/>
              <w:rPr>
                <w:rFonts w:hint="eastAsia" w:ascii="宋体" w:hAnsi="宋体" w:eastAsia="宋体" w:cs="宋体"/>
                <w:color w:val="auto"/>
                <w:highlight w:val="none"/>
              </w:rPr>
            </w:pPr>
            <w:bookmarkStart w:id="710" w:name="_Toc527028724"/>
            <w:bookmarkStart w:id="711" w:name="_Toc89870649"/>
            <w:bookmarkStart w:id="712" w:name="_Toc527028896"/>
            <w:r>
              <w:rPr>
                <w:rFonts w:hint="eastAsia" w:ascii="宋体" w:hAnsi="宋体" w:eastAsia="宋体" w:cs="宋体"/>
                <w:color w:val="auto"/>
                <w:highlight w:val="none"/>
              </w:rPr>
              <w:t>单位注册证书号</w:t>
            </w:r>
            <w:bookmarkEnd w:id="710"/>
            <w:bookmarkEnd w:id="711"/>
            <w:bookmarkEnd w:id="712"/>
          </w:p>
        </w:tc>
        <w:tc>
          <w:tcPr>
            <w:tcW w:w="1893" w:type="dxa"/>
          </w:tcPr>
          <w:p>
            <w:pPr>
              <w:spacing w:before="240" w:after="60"/>
              <w:jc w:val="center"/>
              <w:outlineLvl w:val="0"/>
              <w:rPr>
                <w:rFonts w:hint="eastAsia" w:ascii="宋体" w:hAnsi="宋体" w:eastAsia="宋体" w:cs="宋体"/>
                <w:color w:val="auto"/>
                <w:highlight w:val="none"/>
              </w:rPr>
            </w:pPr>
          </w:p>
        </w:tc>
        <w:tc>
          <w:tcPr>
            <w:tcW w:w="2002" w:type="dxa"/>
          </w:tcPr>
          <w:p>
            <w:pPr>
              <w:spacing w:before="240" w:after="60"/>
              <w:jc w:val="center"/>
              <w:outlineLvl w:val="0"/>
              <w:rPr>
                <w:rFonts w:hint="eastAsia" w:ascii="宋体" w:hAnsi="宋体" w:eastAsia="宋体" w:cs="宋体"/>
                <w:color w:val="auto"/>
                <w:highlight w:val="none"/>
              </w:rPr>
            </w:pPr>
            <w:bookmarkStart w:id="713" w:name="_Toc89870650"/>
            <w:bookmarkStart w:id="714" w:name="_Toc527028897"/>
            <w:bookmarkStart w:id="715" w:name="_Toc527028725"/>
            <w:r>
              <w:rPr>
                <w:rFonts w:hint="eastAsia" w:ascii="宋体" w:hAnsi="宋体" w:eastAsia="宋体" w:cs="宋体"/>
                <w:color w:val="auto"/>
                <w:highlight w:val="none"/>
              </w:rPr>
              <w:t>资 质 等 级</w:t>
            </w:r>
            <w:bookmarkEnd w:id="713"/>
            <w:bookmarkEnd w:id="714"/>
            <w:bookmarkEnd w:id="715"/>
          </w:p>
          <w:p>
            <w:pPr>
              <w:spacing w:before="240" w:after="60"/>
              <w:jc w:val="center"/>
              <w:outlineLvl w:val="0"/>
              <w:rPr>
                <w:rFonts w:hint="eastAsia" w:ascii="宋体" w:hAnsi="宋体" w:eastAsia="宋体" w:cs="宋体"/>
                <w:color w:val="auto"/>
                <w:highlight w:val="none"/>
              </w:rPr>
            </w:pPr>
            <w:bookmarkStart w:id="716" w:name="_Toc89870651"/>
            <w:bookmarkStart w:id="717" w:name="_Toc527028898"/>
            <w:bookmarkStart w:id="718" w:name="_Toc527028726"/>
            <w:r>
              <w:rPr>
                <w:rFonts w:hint="eastAsia" w:ascii="宋体" w:hAnsi="宋体" w:eastAsia="宋体" w:cs="宋体"/>
                <w:color w:val="auto"/>
                <w:highlight w:val="none"/>
              </w:rPr>
              <w:t>及 证 书 号</w:t>
            </w:r>
            <w:bookmarkEnd w:id="716"/>
            <w:bookmarkEnd w:id="717"/>
            <w:bookmarkEnd w:id="718"/>
          </w:p>
        </w:tc>
        <w:tc>
          <w:tcPr>
            <w:tcW w:w="3020" w:type="dxa"/>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28" w:type="dxa"/>
          </w:tcPr>
          <w:p>
            <w:pPr>
              <w:spacing w:before="240" w:after="60" w:line="320" w:lineRule="exact"/>
              <w:jc w:val="center"/>
              <w:outlineLvl w:val="0"/>
              <w:rPr>
                <w:rFonts w:hint="eastAsia" w:ascii="宋体" w:hAnsi="宋体" w:eastAsia="宋体" w:cs="宋体"/>
                <w:color w:val="auto"/>
                <w:highlight w:val="none"/>
              </w:rPr>
            </w:pPr>
            <w:bookmarkStart w:id="719" w:name="_Toc89870652"/>
            <w:bookmarkStart w:id="720" w:name="_Toc527028899"/>
            <w:bookmarkStart w:id="721" w:name="_Toc527028727"/>
            <w:r>
              <w:rPr>
                <w:rFonts w:hint="eastAsia" w:ascii="宋体" w:hAnsi="宋体" w:eastAsia="宋体" w:cs="宋体"/>
                <w:color w:val="auto"/>
                <w:highlight w:val="none"/>
              </w:rPr>
              <w:t>监理总报价（万元）</w:t>
            </w:r>
            <w:bookmarkEnd w:id="719"/>
            <w:bookmarkEnd w:id="720"/>
            <w:bookmarkEnd w:id="721"/>
          </w:p>
        </w:tc>
        <w:tc>
          <w:tcPr>
            <w:tcW w:w="1893" w:type="dxa"/>
          </w:tcPr>
          <w:p>
            <w:pPr>
              <w:spacing w:before="240" w:after="60" w:line="320" w:lineRule="exact"/>
              <w:jc w:val="center"/>
              <w:outlineLvl w:val="0"/>
              <w:rPr>
                <w:rFonts w:hint="eastAsia" w:ascii="宋体" w:hAnsi="宋体" w:eastAsia="宋体" w:cs="宋体"/>
                <w:color w:val="auto"/>
                <w:highlight w:val="none"/>
              </w:rPr>
            </w:pPr>
          </w:p>
        </w:tc>
        <w:tc>
          <w:tcPr>
            <w:tcW w:w="2002" w:type="dxa"/>
            <w:vAlign w:val="center"/>
          </w:tcPr>
          <w:p>
            <w:pPr>
              <w:jc w:val="center"/>
              <w:outlineLvl w:val="0"/>
              <w:rPr>
                <w:rFonts w:hint="eastAsia" w:ascii="宋体" w:hAnsi="宋体" w:eastAsia="宋体" w:cs="宋体"/>
                <w:color w:val="auto"/>
                <w:highlight w:val="none"/>
              </w:rPr>
            </w:pPr>
            <w:bookmarkStart w:id="722" w:name="_Toc527028901"/>
            <w:bookmarkStart w:id="723" w:name="_Toc527028729"/>
            <w:bookmarkStart w:id="724" w:name="_Toc89870654"/>
            <w:r>
              <w:rPr>
                <w:rFonts w:hint="eastAsia" w:ascii="宋体" w:hAnsi="宋体" w:eastAsia="宋体" w:cs="宋体"/>
                <w:color w:val="auto"/>
                <w:highlight w:val="none"/>
              </w:rPr>
              <w:t>下浮率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cs="宋体"/>
                <w:color w:val="auto"/>
                <w:highlight w:val="none"/>
                <w:lang w:eastAsia="zh-CN"/>
              </w:rPr>
              <w:t>）</w:t>
            </w:r>
            <w:bookmarkEnd w:id="722"/>
            <w:bookmarkEnd w:id="723"/>
            <w:bookmarkEnd w:id="724"/>
          </w:p>
        </w:tc>
        <w:tc>
          <w:tcPr>
            <w:tcW w:w="3020" w:type="dxa"/>
            <w:vAlign w:val="center"/>
          </w:tcPr>
          <w:p>
            <w:pPr>
              <w:ind w:firstLine="1050" w:firstLineChars="500"/>
              <w:outlineLvl w:val="0"/>
              <w:rPr>
                <w:rFonts w:hint="eastAsia" w:ascii="宋体" w:hAnsi="宋体" w:eastAsia="宋体" w:cs="宋体"/>
                <w:color w:val="auto"/>
                <w:highlight w:val="none"/>
                <w:u w:val="single"/>
              </w:rPr>
            </w:pPr>
            <w:bookmarkStart w:id="725" w:name="_Toc527028730"/>
            <w:bookmarkStart w:id="726" w:name="_Toc89870655"/>
            <w:bookmarkStart w:id="727" w:name="_Toc527028902"/>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%（填正数）</w:t>
            </w:r>
            <w:bookmarkEnd w:id="725"/>
            <w:bookmarkEnd w:id="726"/>
            <w:bookmarkEnd w:id="7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vAlign w:val="center"/>
          </w:tcPr>
          <w:p>
            <w:pPr>
              <w:spacing w:before="240" w:after="60" w:line="320" w:lineRule="exact"/>
              <w:jc w:val="center"/>
              <w:outlineLvl w:val="0"/>
              <w:rPr>
                <w:rFonts w:hint="eastAsia" w:ascii="宋体" w:hAnsi="宋体" w:eastAsia="宋体" w:cs="宋体"/>
                <w:color w:val="auto"/>
                <w:highlight w:val="none"/>
              </w:rPr>
            </w:pPr>
            <w:bookmarkStart w:id="728" w:name="_Toc527028731"/>
            <w:bookmarkStart w:id="729" w:name="_Toc89870656"/>
            <w:bookmarkStart w:id="730" w:name="_Toc527028903"/>
            <w:r>
              <w:rPr>
                <w:rFonts w:hint="eastAsia" w:ascii="宋体" w:hAnsi="宋体" w:eastAsia="宋体" w:cs="宋体"/>
                <w:color w:val="auto"/>
                <w:highlight w:val="none"/>
              </w:rPr>
              <w:t>监理服务期</w:t>
            </w:r>
            <w:bookmarkEnd w:id="728"/>
            <w:bookmarkEnd w:id="729"/>
            <w:bookmarkEnd w:id="730"/>
          </w:p>
        </w:tc>
        <w:tc>
          <w:tcPr>
            <w:tcW w:w="1893" w:type="dxa"/>
          </w:tcPr>
          <w:p>
            <w:pPr>
              <w:spacing w:before="240" w:after="60" w:line="320" w:lineRule="exact"/>
              <w:jc w:val="center"/>
              <w:outlineLvl w:val="0"/>
              <w:rPr>
                <w:rFonts w:hint="eastAsia" w:ascii="宋体" w:hAnsi="宋体" w:eastAsia="宋体" w:cs="宋体"/>
                <w:color w:val="auto"/>
                <w:highlight w:val="none"/>
              </w:rPr>
            </w:pPr>
          </w:p>
        </w:tc>
        <w:tc>
          <w:tcPr>
            <w:tcW w:w="2002" w:type="dxa"/>
          </w:tcPr>
          <w:p>
            <w:pPr>
              <w:spacing w:before="240" w:after="60" w:line="320" w:lineRule="exact"/>
              <w:jc w:val="center"/>
              <w:outlineLvl w:val="0"/>
              <w:rPr>
                <w:rFonts w:hint="eastAsia" w:ascii="宋体" w:hAnsi="宋体" w:eastAsia="宋体" w:cs="宋体"/>
                <w:color w:val="auto"/>
                <w:highlight w:val="none"/>
              </w:rPr>
            </w:pPr>
            <w:bookmarkStart w:id="731" w:name="_Toc527028732"/>
            <w:bookmarkStart w:id="732" w:name="_Toc89870657"/>
            <w:bookmarkStart w:id="733" w:name="_Toc527028904"/>
            <w:r>
              <w:rPr>
                <w:rFonts w:hint="eastAsia" w:ascii="宋体" w:hAnsi="宋体" w:eastAsia="宋体" w:cs="宋体"/>
                <w:color w:val="auto"/>
                <w:highlight w:val="none"/>
              </w:rPr>
              <w:t>监 理 质 量</w:t>
            </w:r>
            <w:bookmarkEnd w:id="731"/>
            <w:bookmarkEnd w:id="732"/>
            <w:bookmarkEnd w:id="733"/>
          </w:p>
          <w:p>
            <w:pPr>
              <w:spacing w:before="240" w:after="60" w:line="320" w:lineRule="exact"/>
              <w:jc w:val="center"/>
              <w:outlineLvl w:val="0"/>
              <w:rPr>
                <w:rFonts w:hint="eastAsia" w:ascii="宋体" w:hAnsi="宋体" w:eastAsia="宋体" w:cs="宋体"/>
                <w:color w:val="auto"/>
                <w:highlight w:val="none"/>
              </w:rPr>
            </w:pPr>
            <w:bookmarkStart w:id="734" w:name="_Toc527028905"/>
            <w:bookmarkStart w:id="735" w:name="_Toc527028733"/>
            <w:bookmarkStart w:id="736" w:name="_Toc89870658"/>
            <w:r>
              <w:rPr>
                <w:rFonts w:hint="eastAsia" w:ascii="宋体" w:hAnsi="宋体" w:eastAsia="宋体" w:cs="宋体"/>
                <w:color w:val="auto"/>
                <w:highlight w:val="none"/>
              </w:rPr>
              <w:t>目   标</w:t>
            </w:r>
            <w:bookmarkEnd w:id="734"/>
            <w:bookmarkEnd w:id="735"/>
            <w:bookmarkEnd w:id="736"/>
          </w:p>
        </w:tc>
        <w:tc>
          <w:tcPr>
            <w:tcW w:w="3020" w:type="dxa"/>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tcPr>
          <w:p>
            <w:pPr>
              <w:spacing w:before="240" w:after="60" w:line="320" w:lineRule="exact"/>
              <w:jc w:val="center"/>
              <w:outlineLvl w:val="0"/>
              <w:rPr>
                <w:rFonts w:hint="eastAsia" w:ascii="宋体" w:hAnsi="宋体" w:eastAsia="宋体" w:cs="宋体"/>
                <w:color w:val="auto"/>
                <w:highlight w:val="none"/>
              </w:rPr>
            </w:pPr>
            <w:bookmarkStart w:id="737" w:name="_Toc89870659"/>
            <w:bookmarkStart w:id="738" w:name="_Toc527028906"/>
            <w:bookmarkStart w:id="739" w:name="_Toc527028734"/>
            <w:r>
              <w:rPr>
                <w:rFonts w:hint="eastAsia" w:ascii="宋体" w:hAnsi="宋体" w:eastAsia="宋体" w:cs="宋体"/>
                <w:color w:val="auto"/>
                <w:highlight w:val="none"/>
              </w:rPr>
              <w:t>驻 场 机 构</w:t>
            </w:r>
            <w:bookmarkEnd w:id="737"/>
            <w:bookmarkEnd w:id="738"/>
            <w:bookmarkEnd w:id="739"/>
          </w:p>
          <w:p>
            <w:pPr>
              <w:spacing w:before="240" w:after="60" w:line="320" w:lineRule="exact"/>
              <w:jc w:val="center"/>
              <w:outlineLvl w:val="0"/>
              <w:rPr>
                <w:rFonts w:hint="eastAsia" w:ascii="宋体" w:hAnsi="宋体" w:eastAsia="宋体" w:cs="宋体"/>
                <w:color w:val="auto"/>
                <w:highlight w:val="none"/>
              </w:rPr>
            </w:pPr>
            <w:bookmarkStart w:id="740" w:name="_Toc527028907"/>
            <w:bookmarkStart w:id="741" w:name="_Toc89870660"/>
            <w:bookmarkStart w:id="742" w:name="_Toc527028735"/>
            <w:r>
              <w:rPr>
                <w:rFonts w:hint="eastAsia" w:ascii="宋体" w:hAnsi="宋体" w:eastAsia="宋体" w:cs="宋体"/>
                <w:color w:val="auto"/>
                <w:highlight w:val="none"/>
              </w:rPr>
              <w:t>人 数（人）</w:t>
            </w:r>
            <w:bookmarkEnd w:id="740"/>
            <w:bookmarkEnd w:id="741"/>
            <w:bookmarkEnd w:id="742"/>
          </w:p>
        </w:tc>
        <w:tc>
          <w:tcPr>
            <w:tcW w:w="1893" w:type="dxa"/>
          </w:tcPr>
          <w:p>
            <w:pPr>
              <w:spacing w:before="240" w:after="60" w:line="320" w:lineRule="exact"/>
              <w:jc w:val="center"/>
              <w:outlineLvl w:val="0"/>
              <w:rPr>
                <w:rFonts w:hint="eastAsia" w:ascii="宋体" w:hAnsi="宋体" w:eastAsia="宋体" w:cs="宋体"/>
                <w:color w:val="auto"/>
                <w:highlight w:val="none"/>
              </w:rPr>
            </w:pPr>
          </w:p>
        </w:tc>
        <w:tc>
          <w:tcPr>
            <w:tcW w:w="2002" w:type="dxa"/>
          </w:tcPr>
          <w:p>
            <w:pPr>
              <w:spacing w:before="240" w:after="60" w:line="320" w:lineRule="exact"/>
              <w:jc w:val="center"/>
              <w:outlineLvl w:val="0"/>
              <w:rPr>
                <w:rFonts w:hint="eastAsia" w:ascii="宋体" w:hAnsi="宋体" w:eastAsia="宋体" w:cs="宋体"/>
                <w:color w:val="auto"/>
                <w:highlight w:val="none"/>
              </w:rPr>
            </w:pPr>
            <w:bookmarkStart w:id="743" w:name="_Toc89870661"/>
            <w:bookmarkStart w:id="744" w:name="_Toc527028908"/>
            <w:bookmarkStart w:id="745" w:name="_Toc527028736"/>
            <w:r>
              <w:rPr>
                <w:rFonts w:hint="eastAsia" w:ascii="宋体" w:hAnsi="宋体" w:eastAsia="宋体" w:cs="宋体"/>
                <w:color w:val="auto"/>
                <w:highlight w:val="none"/>
              </w:rPr>
              <w:t>监理工程师</w:t>
            </w:r>
            <w:bookmarkEnd w:id="743"/>
            <w:bookmarkEnd w:id="744"/>
            <w:bookmarkEnd w:id="745"/>
          </w:p>
          <w:p>
            <w:pPr>
              <w:spacing w:before="240" w:after="60" w:line="320" w:lineRule="exact"/>
              <w:jc w:val="center"/>
              <w:outlineLvl w:val="0"/>
              <w:rPr>
                <w:rFonts w:hint="eastAsia" w:ascii="宋体" w:hAnsi="宋体" w:eastAsia="宋体" w:cs="宋体"/>
                <w:color w:val="auto"/>
                <w:highlight w:val="none"/>
              </w:rPr>
            </w:pPr>
            <w:bookmarkStart w:id="746" w:name="_Toc527028909"/>
            <w:bookmarkStart w:id="747" w:name="_Toc527028737"/>
            <w:bookmarkStart w:id="748" w:name="_Toc89870662"/>
            <w:r>
              <w:rPr>
                <w:rFonts w:hint="eastAsia" w:ascii="宋体" w:hAnsi="宋体" w:eastAsia="宋体" w:cs="宋体"/>
                <w:color w:val="auto"/>
                <w:highlight w:val="none"/>
              </w:rPr>
              <w:t>人 数（人）</w:t>
            </w:r>
            <w:bookmarkEnd w:id="746"/>
            <w:bookmarkEnd w:id="747"/>
            <w:bookmarkEnd w:id="748"/>
          </w:p>
        </w:tc>
        <w:tc>
          <w:tcPr>
            <w:tcW w:w="3020" w:type="dxa"/>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restart"/>
            <w:vAlign w:val="center"/>
          </w:tcPr>
          <w:p>
            <w:pPr>
              <w:spacing w:before="240" w:after="60" w:line="320" w:lineRule="exact"/>
              <w:jc w:val="center"/>
              <w:outlineLvl w:val="0"/>
              <w:rPr>
                <w:rFonts w:hint="eastAsia" w:ascii="宋体" w:hAnsi="宋体" w:eastAsia="宋体" w:cs="宋体"/>
                <w:color w:val="auto"/>
                <w:highlight w:val="none"/>
              </w:rPr>
            </w:pPr>
            <w:bookmarkStart w:id="749" w:name="_Toc527028738"/>
            <w:bookmarkStart w:id="750" w:name="_Toc89870663"/>
            <w:bookmarkStart w:id="751" w:name="_Toc527028910"/>
            <w:r>
              <w:rPr>
                <w:rFonts w:hint="eastAsia" w:ascii="宋体" w:hAnsi="宋体" w:eastAsia="宋体" w:cs="宋体"/>
                <w:color w:val="auto"/>
                <w:highlight w:val="none"/>
              </w:rPr>
              <w:t>拟委派的项目</w:t>
            </w:r>
            <w:bookmarkEnd w:id="749"/>
            <w:bookmarkEnd w:id="750"/>
            <w:bookmarkEnd w:id="751"/>
          </w:p>
          <w:p>
            <w:pPr>
              <w:spacing w:before="240" w:after="60" w:line="320" w:lineRule="exact"/>
              <w:jc w:val="center"/>
              <w:outlineLvl w:val="0"/>
              <w:rPr>
                <w:rFonts w:hint="eastAsia" w:ascii="宋体" w:hAnsi="宋体" w:eastAsia="宋体" w:cs="宋体"/>
                <w:color w:val="auto"/>
                <w:highlight w:val="none"/>
              </w:rPr>
            </w:pPr>
            <w:bookmarkStart w:id="752" w:name="_Toc527028739"/>
            <w:bookmarkStart w:id="753" w:name="_Toc527028911"/>
            <w:bookmarkStart w:id="754" w:name="_Toc89870664"/>
            <w:r>
              <w:rPr>
                <w:rFonts w:hint="eastAsia" w:ascii="宋体" w:hAnsi="宋体" w:eastAsia="宋体" w:cs="宋体"/>
                <w:color w:val="auto"/>
                <w:highlight w:val="none"/>
              </w:rPr>
              <w:t>总监理工程师</w:t>
            </w:r>
            <w:bookmarkEnd w:id="752"/>
            <w:bookmarkEnd w:id="753"/>
            <w:bookmarkEnd w:id="754"/>
          </w:p>
        </w:tc>
        <w:tc>
          <w:tcPr>
            <w:tcW w:w="1893" w:type="dxa"/>
            <w:vAlign w:val="center"/>
          </w:tcPr>
          <w:p>
            <w:pPr>
              <w:spacing w:before="240" w:after="60" w:line="320" w:lineRule="exact"/>
              <w:jc w:val="center"/>
              <w:outlineLvl w:val="0"/>
              <w:rPr>
                <w:rFonts w:hint="eastAsia" w:ascii="宋体" w:hAnsi="宋体" w:eastAsia="宋体" w:cs="宋体"/>
                <w:color w:val="auto"/>
                <w:highlight w:val="none"/>
              </w:rPr>
            </w:pPr>
            <w:bookmarkStart w:id="755" w:name="_Toc527028740"/>
            <w:bookmarkStart w:id="756" w:name="_Toc89870665"/>
            <w:bookmarkStart w:id="757" w:name="_Toc527028912"/>
            <w:r>
              <w:rPr>
                <w:rFonts w:hint="eastAsia" w:ascii="宋体" w:hAnsi="宋体" w:eastAsia="宋体" w:cs="宋体"/>
                <w:color w:val="auto"/>
                <w:highlight w:val="none"/>
              </w:rPr>
              <w:t>姓    名</w:t>
            </w:r>
            <w:bookmarkEnd w:id="755"/>
            <w:bookmarkEnd w:id="756"/>
            <w:bookmarkEnd w:id="757"/>
          </w:p>
        </w:tc>
        <w:tc>
          <w:tcPr>
            <w:tcW w:w="5022" w:type="dxa"/>
            <w:gridSpan w:val="2"/>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continue"/>
          </w:tcPr>
          <w:p>
            <w:pPr>
              <w:spacing w:line="320" w:lineRule="exact"/>
              <w:ind w:firstLine="420" w:firstLineChars="200"/>
              <w:outlineLvl w:val="0"/>
              <w:rPr>
                <w:rFonts w:hint="eastAsia" w:ascii="宋体" w:hAnsi="宋体" w:eastAsia="宋体" w:cs="宋体"/>
                <w:color w:val="auto"/>
                <w:highlight w:val="none"/>
              </w:rPr>
            </w:pPr>
          </w:p>
        </w:tc>
        <w:tc>
          <w:tcPr>
            <w:tcW w:w="1893" w:type="dxa"/>
            <w:vAlign w:val="center"/>
          </w:tcPr>
          <w:p>
            <w:pPr>
              <w:spacing w:line="320" w:lineRule="exact"/>
              <w:ind w:firstLine="0" w:firstLineChars="0"/>
              <w:jc w:val="center"/>
              <w:outlineLvl w:val="0"/>
              <w:rPr>
                <w:rFonts w:hint="eastAsia" w:ascii="宋体" w:hAnsi="宋体" w:eastAsia="宋体" w:cs="宋体"/>
                <w:color w:val="auto"/>
                <w:highlight w:val="none"/>
              </w:rPr>
            </w:pPr>
            <w:bookmarkStart w:id="758" w:name="_Toc527028913"/>
            <w:bookmarkStart w:id="759" w:name="_Toc89870666"/>
            <w:bookmarkStart w:id="760" w:name="_Toc527028741"/>
            <w:r>
              <w:rPr>
                <w:rFonts w:hint="eastAsia" w:ascii="宋体" w:hAnsi="宋体" w:eastAsia="宋体" w:cs="宋体"/>
                <w:color w:val="auto"/>
                <w:highlight w:val="none"/>
              </w:rPr>
              <w:t>技术职称</w:t>
            </w:r>
            <w:bookmarkEnd w:id="758"/>
            <w:bookmarkEnd w:id="759"/>
            <w:bookmarkEnd w:id="760"/>
          </w:p>
        </w:tc>
        <w:tc>
          <w:tcPr>
            <w:tcW w:w="5022" w:type="dxa"/>
            <w:gridSpan w:val="2"/>
          </w:tcPr>
          <w:p>
            <w:pPr>
              <w:spacing w:line="320" w:lineRule="exact"/>
              <w:ind w:firstLine="420" w:firstLineChars="200"/>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continue"/>
          </w:tcPr>
          <w:p>
            <w:pPr>
              <w:spacing w:line="320" w:lineRule="exact"/>
              <w:ind w:firstLine="420" w:firstLineChars="200"/>
              <w:outlineLvl w:val="0"/>
              <w:rPr>
                <w:rFonts w:hint="eastAsia" w:ascii="宋体" w:hAnsi="宋体" w:eastAsia="宋体" w:cs="宋体"/>
                <w:color w:val="auto"/>
                <w:highlight w:val="none"/>
              </w:rPr>
            </w:pPr>
          </w:p>
        </w:tc>
        <w:tc>
          <w:tcPr>
            <w:tcW w:w="1893" w:type="dxa"/>
            <w:vAlign w:val="center"/>
          </w:tcPr>
          <w:p>
            <w:pPr>
              <w:spacing w:line="320" w:lineRule="exact"/>
              <w:ind w:firstLine="0" w:firstLineChars="0"/>
              <w:jc w:val="center"/>
              <w:outlineLvl w:val="0"/>
              <w:rPr>
                <w:rFonts w:hint="eastAsia" w:ascii="宋体" w:hAnsi="宋体" w:eastAsia="宋体" w:cs="宋体"/>
                <w:color w:val="auto"/>
                <w:highlight w:val="none"/>
              </w:rPr>
            </w:pPr>
            <w:bookmarkStart w:id="761" w:name="_Toc89870667"/>
            <w:bookmarkStart w:id="762" w:name="_Toc527028742"/>
            <w:bookmarkStart w:id="763" w:name="_Toc527028914"/>
            <w:r>
              <w:rPr>
                <w:rFonts w:hint="eastAsia" w:ascii="宋体" w:hAnsi="宋体" w:eastAsia="宋体" w:cs="宋体"/>
                <w:color w:val="auto"/>
                <w:highlight w:val="none"/>
              </w:rPr>
              <w:t>注册证号</w:t>
            </w:r>
            <w:bookmarkEnd w:id="761"/>
            <w:bookmarkEnd w:id="762"/>
            <w:bookmarkEnd w:id="763"/>
          </w:p>
        </w:tc>
        <w:tc>
          <w:tcPr>
            <w:tcW w:w="5022" w:type="dxa"/>
            <w:gridSpan w:val="2"/>
          </w:tcPr>
          <w:p>
            <w:pPr>
              <w:spacing w:line="320" w:lineRule="exact"/>
              <w:ind w:firstLine="420" w:firstLineChars="200"/>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vAlign w:val="center"/>
          </w:tcPr>
          <w:p>
            <w:pPr>
              <w:spacing w:before="240" w:after="60" w:line="320" w:lineRule="exact"/>
              <w:jc w:val="center"/>
              <w:outlineLvl w:val="0"/>
              <w:rPr>
                <w:rFonts w:hint="eastAsia" w:ascii="宋体" w:hAnsi="宋体" w:eastAsia="宋体" w:cs="宋体"/>
                <w:color w:val="auto"/>
                <w:highlight w:val="none"/>
              </w:rPr>
            </w:pPr>
            <w:bookmarkStart w:id="764" w:name="_Toc527028915"/>
            <w:bookmarkStart w:id="765" w:name="_Toc527028743"/>
            <w:bookmarkStart w:id="766" w:name="_Toc89870668"/>
            <w:r>
              <w:rPr>
                <w:rFonts w:hint="eastAsia" w:ascii="宋体" w:hAnsi="宋体" w:eastAsia="宋体" w:cs="宋体"/>
                <w:color w:val="auto"/>
                <w:highlight w:val="none"/>
              </w:rPr>
              <w:t>需要建设单位提</w:t>
            </w:r>
            <w:bookmarkEnd w:id="764"/>
            <w:bookmarkEnd w:id="765"/>
            <w:bookmarkEnd w:id="766"/>
          </w:p>
          <w:p>
            <w:pPr>
              <w:spacing w:before="240" w:after="60" w:line="320" w:lineRule="exact"/>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67" w:name="_Toc527028916"/>
            <w:bookmarkStart w:id="768" w:name="_Toc89870669"/>
            <w:bookmarkStart w:id="769" w:name="_Toc527028744"/>
            <w:r>
              <w:rPr>
                <w:rFonts w:hint="eastAsia" w:ascii="宋体" w:hAnsi="宋体" w:eastAsia="宋体" w:cs="宋体"/>
                <w:color w:val="auto"/>
                <w:highlight w:val="none"/>
              </w:rPr>
              <w:t>供的配合条件</w:t>
            </w:r>
            <w:bookmarkEnd w:id="767"/>
            <w:bookmarkEnd w:id="768"/>
            <w:bookmarkEnd w:id="769"/>
          </w:p>
        </w:tc>
        <w:tc>
          <w:tcPr>
            <w:tcW w:w="6915" w:type="dxa"/>
            <w:gridSpan w:val="3"/>
          </w:tcPr>
          <w:p>
            <w:pPr>
              <w:spacing w:before="240" w:after="60" w:line="320" w:lineRule="exact"/>
              <w:jc w:val="center"/>
              <w:outlineLvl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328" w:type="dxa"/>
          </w:tcPr>
          <w:p>
            <w:pPr>
              <w:spacing w:before="240" w:after="60" w:line="320" w:lineRule="exact"/>
              <w:jc w:val="center"/>
              <w:outlineLvl w:val="0"/>
              <w:rPr>
                <w:rFonts w:hint="eastAsia" w:ascii="宋体" w:hAnsi="宋体" w:eastAsia="宋体" w:cs="宋体"/>
                <w:color w:val="auto"/>
                <w:highlight w:val="none"/>
              </w:rPr>
            </w:pPr>
            <w:bookmarkStart w:id="770" w:name="_Toc527028745"/>
            <w:bookmarkStart w:id="771" w:name="_Toc527028917"/>
            <w:bookmarkStart w:id="772" w:name="_Toc89870670"/>
            <w:r>
              <w:rPr>
                <w:rFonts w:hint="eastAsia" w:ascii="宋体" w:hAnsi="宋体" w:eastAsia="宋体" w:cs="宋体"/>
                <w:color w:val="auto"/>
                <w:highlight w:val="none"/>
              </w:rPr>
              <w:t>投标单位法定代表人（签名或盖章）</w:t>
            </w:r>
            <w:bookmarkEnd w:id="770"/>
            <w:bookmarkEnd w:id="771"/>
            <w:bookmarkEnd w:id="772"/>
          </w:p>
        </w:tc>
        <w:tc>
          <w:tcPr>
            <w:tcW w:w="1893" w:type="dxa"/>
          </w:tcPr>
          <w:p>
            <w:pPr>
              <w:spacing w:before="240" w:after="60" w:line="320" w:lineRule="exact"/>
              <w:jc w:val="center"/>
              <w:outlineLvl w:val="0"/>
              <w:rPr>
                <w:rFonts w:hint="eastAsia" w:ascii="宋体" w:hAnsi="宋体" w:eastAsia="宋体" w:cs="宋体"/>
                <w:color w:val="auto"/>
                <w:highlight w:val="none"/>
              </w:rPr>
            </w:pPr>
          </w:p>
        </w:tc>
        <w:tc>
          <w:tcPr>
            <w:tcW w:w="2002" w:type="dxa"/>
          </w:tcPr>
          <w:p>
            <w:pPr>
              <w:spacing w:before="240" w:after="60" w:line="320" w:lineRule="exact"/>
              <w:jc w:val="center"/>
              <w:outlineLvl w:val="0"/>
              <w:rPr>
                <w:rFonts w:hint="eastAsia" w:ascii="宋体" w:hAnsi="宋体" w:eastAsia="宋体" w:cs="宋体"/>
                <w:color w:val="auto"/>
                <w:highlight w:val="none"/>
              </w:rPr>
            </w:pPr>
            <w:bookmarkStart w:id="773" w:name="_Toc527028746"/>
            <w:bookmarkStart w:id="774" w:name="_Toc89870671"/>
            <w:bookmarkStart w:id="775" w:name="_Toc527028918"/>
            <w:r>
              <w:rPr>
                <w:rFonts w:hint="eastAsia" w:ascii="宋体" w:hAnsi="宋体" w:eastAsia="宋体" w:cs="宋体"/>
                <w:color w:val="auto"/>
                <w:highlight w:val="none"/>
              </w:rPr>
              <w:t>授权委托人</w:t>
            </w:r>
            <w:bookmarkEnd w:id="773"/>
            <w:bookmarkEnd w:id="774"/>
            <w:bookmarkEnd w:id="775"/>
          </w:p>
          <w:p>
            <w:pPr>
              <w:spacing w:before="240" w:after="60" w:line="320" w:lineRule="exact"/>
              <w:jc w:val="center"/>
              <w:outlineLvl w:val="0"/>
              <w:rPr>
                <w:rFonts w:hint="eastAsia" w:ascii="宋体" w:hAnsi="宋体" w:eastAsia="宋体" w:cs="宋体"/>
                <w:color w:val="auto"/>
                <w:highlight w:val="none"/>
              </w:rPr>
            </w:pPr>
            <w:bookmarkStart w:id="776" w:name="_Toc527028919"/>
            <w:bookmarkStart w:id="777" w:name="_Toc527028747"/>
            <w:bookmarkStart w:id="778" w:name="_Toc89870672"/>
            <w:r>
              <w:rPr>
                <w:rFonts w:hint="eastAsia" w:ascii="宋体" w:hAnsi="宋体" w:eastAsia="宋体" w:cs="宋体"/>
                <w:color w:val="auto"/>
                <w:highlight w:val="none"/>
              </w:rPr>
              <w:t>（签名或盖章）</w:t>
            </w:r>
            <w:bookmarkEnd w:id="776"/>
            <w:bookmarkEnd w:id="777"/>
            <w:bookmarkEnd w:id="778"/>
          </w:p>
        </w:tc>
        <w:tc>
          <w:tcPr>
            <w:tcW w:w="3020" w:type="dxa"/>
          </w:tcPr>
          <w:p>
            <w:pPr>
              <w:spacing w:before="240" w:after="60" w:line="320" w:lineRule="exact"/>
              <w:jc w:val="center"/>
              <w:outlineLvl w:val="0"/>
              <w:rPr>
                <w:rFonts w:hint="eastAsia" w:ascii="宋体" w:hAnsi="宋体" w:eastAsia="宋体" w:cs="宋体"/>
                <w:color w:val="auto"/>
                <w:highlight w:val="none"/>
              </w:rPr>
            </w:pPr>
          </w:p>
        </w:tc>
      </w:tr>
    </w:tbl>
    <w:p>
      <w:pPr>
        <w:jc w:val="center"/>
        <w:rPr>
          <w:rFonts w:ascii="Times New Roman" w:hAnsi="Times New Roman"/>
          <w:color w:val="auto"/>
          <w:highlight w:val="none"/>
        </w:rPr>
      </w:pPr>
      <w:r>
        <w:rPr>
          <w:rFonts w:hint="eastAsia" w:ascii="Times New Roman" w:hAnsi="Times New Roman"/>
          <w:color w:val="auto"/>
          <w:highlight w:val="none"/>
        </w:rPr>
        <w:t xml:space="preserve">                                                         投标日期：    年    月   日</w:t>
      </w:r>
      <w:bookmarkStart w:id="779" w:name="_Toc527028920"/>
      <w:bookmarkStart w:id="780" w:name="_Toc527028748"/>
    </w:p>
    <w:p>
      <w:pPr>
        <w:rPr>
          <w:color w:val="auto"/>
          <w:highlight w:val="none"/>
        </w:rPr>
      </w:pPr>
    </w:p>
    <w:p>
      <w:pPr>
        <w:pStyle w:val="5"/>
        <w:keepNext w:val="0"/>
        <w:keepLines w:val="0"/>
        <w:rPr>
          <w:rFonts w:ascii="Times New Roman" w:hAnsi="Times New Roman" w:eastAsia="宋体"/>
          <w:b w:val="0"/>
          <w:color w:val="auto"/>
          <w:sz w:val="21"/>
          <w:szCs w:val="22"/>
          <w:highlight w:val="none"/>
        </w:rPr>
      </w:pPr>
      <w:bookmarkStart w:id="781" w:name="_Toc89870673"/>
      <w:r>
        <w:rPr>
          <w:rFonts w:hint="eastAsia" w:ascii="Times New Roman" w:hAnsi="Times New Roman" w:eastAsia="宋体"/>
          <w:b w:val="0"/>
          <w:color w:val="auto"/>
          <w:sz w:val="21"/>
          <w:szCs w:val="22"/>
          <w:highlight w:val="none"/>
        </w:rPr>
        <w:t>说明：保留小数点后二位，第三位四舍五入。</w:t>
      </w:r>
      <w:bookmarkEnd w:id="781"/>
    </w:p>
    <w:p>
      <w:pPr>
        <w:tabs>
          <w:tab w:val="left" w:pos="4842"/>
        </w:tabs>
        <w:ind w:firstLine="420" w:firstLineChars="200"/>
        <w:rPr>
          <w:color w:val="auto"/>
          <w:highlight w:val="none"/>
        </w:rPr>
        <w:sectPr>
          <w:pgSz w:w="12240" w:h="15840"/>
          <w:pgMar w:top="1440" w:right="1423" w:bottom="1162" w:left="1423" w:header="720" w:footer="720" w:gutter="0"/>
          <w:cols w:space="720" w:num="1"/>
          <w:docGrid w:linePitch="285" w:charSpace="0"/>
        </w:sectPr>
      </w:pPr>
    </w:p>
    <w:bookmarkEnd w:id="779"/>
    <w:bookmarkEnd w:id="780"/>
    <w:p>
      <w:pPr>
        <w:pStyle w:val="5"/>
        <w:keepNext w:val="0"/>
        <w:keepLines w:val="0"/>
        <w:spacing w:before="0" w:after="0"/>
        <w:ind w:firstLine="643" w:firstLineChars="200"/>
        <w:rPr>
          <w:rFonts w:ascii="Times New Roman" w:hAnsi="Times New Roman"/>
          <w:color w:val="auto"/>
          <w:highlight w:val="none"/>
        </w:rPr>
      </w:pPr>
      <w:bookmarkStart w:id="782" w:name="_Toc89870674"/>
      <w:r>
        <w:rPr>
          <w:rFonts w:hint="eastAsia" w:ascii="Times New Roman" w:hAnsi="Times New Roman"/>
          <w:color w:val="auto"/>
          <w:highlight w:val="none"/>
        </w:rPr>
        <w:t>五</w:t>
      </w:r>
      <w:r>
        <w:rPr>
          <w:rFonts w:ascii="Times New Roman" w:hAnsi="Times New Roman"/>
          <w:color w:val="auto"/>
          <w:highlight w:val="none"/>
        </w:rPr>
        <w:t>、资格审查资料</w:t>
      </w:r>
      <w:bookmarkEnd w:id="782"/>
    </w:p>
    <w:p>
      <w:pPr>
        <w:pStyle w:val="6"/>
        <w:keepNext w:val="0"/>
        <w:keepLines w:val="0"/>
        <w:spacing w:before="0" w:after="0"/>
        <w:ind w:firstLine="560" w:firstLineChars="200"/>
        <w:jc w:val="center"/>
        <w:rPr>
          <w:rFonts w:ascii="Times New Roman" w:hAnsi="Times New Roman"/>
          <w:color w:val="auto"/>
          <w:highlight w:val="none"/>
        </w:rPr>
      </w:pPr>
      <w:bookmarkStart w:id="783" w:name="_Toc89870675"/>
      <w:r>
        <w:rPr>
          <w:rFonts w:ascii="Times New Roman" w:hAnsi="Times New Roman"/>
          <w:color w:val="auto"/>
          <w:highlight w:val="none"/>
        </w:rPr>
        <w:t>（一）基本情况表</w:t>
      </w:r>
      <w:bookmarkEnd w:id="783"/>
    </w:p>
    <w:tbl>
      <w:tblPr>
        <w:tblStyle w:val="23"/>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r>
              <w:rPr>
                <w:rFonts w:ascii="Times New Roman" w:hAnsi="Times New Roman"/>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Times New Roman" w:hAnsi="Times New Roman"/>
                <w:color w:val="auto"/>
                <w:highlight w:val="none"/>
              </w:rPr>
            </w:pPr>
            <w:r>
              <w:rPr>
                <w:rFonts w:ascii="Times New Roman" w:hAnsi="Times New Roman"/>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r>
              <w:rPr>
                <w:rFonts w:ascii="Times New Roman" w:hAnsi="Times New Roman"/>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企业</w:t>
            </w:r>
            <w:r>
              <w:rPr>
                <w:rFonts w:ascii="Times New Roman" w:hAnsi="Times New Roman"/>
                <w:color w:val="auto"/>
                <w:szCs w:val="21"/>
                <w:highlight w:val="none"/>
              </w:rPr>
              <w:t>监理</w:t>
            </w:r>
            <w:r>
              <w:rPr>
                <w:rFonts w:ascii="Times New Roman" w:hAnsi="Times New Roman"/>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highlight w:val="none"/>
              </w:rPr>
            </w:pPr>
            <w:r>
              <w:rPr>
                <w:rFonts w:ascii="Times New Roman" w:hAnsi="Times New Roman"/>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highlight w:val="none"/>
              </w:rPr>
            </w:pPr>
            <w:r>
              <w:rPr>
                <w:rFonts w:ascii="Times New Roman" w:hAnsi="Times New Roman"/>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color w:val="auto"/>
                <w:highlight w:val="none"/>
              </w:rPr>
            </w:pPr>
            <w:r>
              <w:rPr>
                <w:rFonts w:ascii="Times New Roman" w:hAnsi="Times New Roman"/>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top"/>
          </w:tcPr>
          <w:p>
            <w:pPr>
              <w:topLinePunct/>
              <w:spacing w:before="100" w:beforeAutospacing="1" w:after="100" w:afterAutospacing="1" w:line="440" w:lineRule="exact"/>
              <w:jc w:val="both"/>
              <w:rPr>
                <w:rFonts w:ascii="Times New Roman" w:hAnsi="Times New Roman"/>
                <w:color w:val="auto"/>
                <w:highlight w:val="none"/>
              </w:rPr>
            </w:pPr>
            <w:r>
              <w:rPr>
                <w:rFonts w:ascii="Times New Roman" w:hAnsi="Times New Roman"/>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bl>
    <w:p>
      <w:pPr>
        <w:spacing w:line="400" w:lineRule="exact"/>
        <w:rPr>
          <w:rFonts w:ascii="Times New Roman" w:hAnsi="Times New Roman"/>
          <w:color w:val="auto"/>
          <w:highlight w:val="none"/>
        </w:rPr>
      </w:pPr>
      <w:r>
        <w:rPr>
          <w:rFonts w:ascii="Times New Roman" w:hAnsi="Times New Roman"/>
          <w:color w:val="auto"/>
          <w:highlight w:val="none"/>
        </w:rPr>
        <w:t>注：投标人应根据投标人须知第3.5.</w:t>
      </w:r>
      <w:r>
        <w:rPr>
          <w:rFonts w:hint="eastAsia" w:ascii="Times New Roman" w:hAnsi="Times New Roman"/>
          <w:color w:val="auto"/>
          <w:highlight w:val="none"/>
        </w:rPr>
        <w:t>2及3.5.3</w:t>
      </w:r>
      <w:r>
        <w:rPr>
          <w:rFonts w:ascii="Times New Roman" w:hAnsi="Times New Roman"/>
          <w:color w:val="auto"/>
          <w:highlight w:val="none"/>
        </w:rPr>
        <w:t>项的要求在本表后附相关证明材料。境内投标人以现金或者支票形式提交投标保证金的，还应附基本账户开户</w:t>
      </w:r>
      <w:r>
        <w:rPr>
          <w:rFonts w:hint="eastAsia" w:ascii="Times New Roman" w:hAnsi="Times New Roman"/>
          <w:color w:val="auto"/>
          <w:highlight w:val="none"/>
        </w:rPr>
        <w:t>证明</w:t>
      </w:r>
      <w:r>
        <w:rPr>
          <w:rFonts w:ascii="Times New Roman" w:hAnsi="Times New Roman"/>
          <w:color w:val="auto"/>
          <w:highlight w:val="none"/>
        </w:rPr>
        <w:t>复印件。</w:t>
      </w:r>
    </w:p>
    <w:p>
      <w:pPr>
        <w:rPr>
          <w:color w:val="auto"/>
          <w:highlight w:val="none"/>
        </w:rPr>
      </w:pPr>
    </w:p>
    <w:bookmarkEnd w:id="691"/>
    <w:p>
      <w:pPr>
        <w:widowControl/>
        <w:jc w:val="left"/>
        <w:rPr>
          <w:rFonts w:ascii="Times New Roman" w:hAnsi="Times New Roman" w:eastAsia="黑体"/>
          <w:color w:val="auto"/>
          <w:sz w:val="28"/>
          <w:szCs w:val="20"/>
          <w:highlight w:val="none"/>
        </w:rPr>
      </w:pPr>
      <w:bookmarkStart w:id="784" w:name="_Toc179632825"/>
      <w:bookmarkStart w:id="785" w:name="_Toc144974873"/>
      <w:bookmarkStart w:id="786" w:name="_Toc89870676"/>
      <w:bookmarkStart w:id="787" w:name="_Toc300835232"/>
      <w:bookmarkStart w:id="788" w:name="_Toc391394125"/>
      <w:bookmarkStart w:id="789" w:name="_Toc152042594"/>
      <w:bookmarkStart w:id="790" w:name="_Toc9737"/>
      <w:bookmarkStart w:id="791" w:name="_Toc359594249"/>
      <w:bookmarkStart w:id="792" w:name="_Toc370676440"/>
      <w:bookmarkStart w:id="793" w:name="_Toc385943079"/>
      <w:bookmarkStart w:id="794" w:name="_Toc384308390"/>
      <w:bookmarkStart w:id="795" w:name="_Toc152045805"/>
      <w:bookmarkStart w:id="796" w:name="_Toc482188668"/>
      <w:r>
        <w:rPr>
          <w:rFonts w:ascii="Times New Roman" w:hAnsi="Times New Roman"/>
          <w:color w:val="auto"/>
          <w:highlight w:val="none"/>
        </w:rPr>
        <w:br w:type="page"/>
      </w:r>
    </w:p>
    <w:p>
      <w:pPr>
        <w:pStyle w:val="6"/>
        <w:keepNext w:val="0"/>
        <w:keepLines w:val="0"/>
        <w:spacing w:before="20" w:after="0"/>
        <w:ind w:firstLine="137"/>
        <w:jc w:val="cente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二</w:t>
      </w:r>
      <w:r>
        <w:rPr>
          <w:rFonts w:ascii="Times New Roman" w:hAnsi="Times New Roman"/>
          <w:color w:val="auto"/>
          <w:highlight w:val="none"/>
        </w:rPr>
        <w:t>）</w:t>
      </w:r>
      <w:r>
        <w:rPr>
          <w:rFonts w:hint="eastAsia" w:ascii="Times New Roman" w:hAnsi="Times New Roman"/>
          <w:color w:val="auto"/>
          <w:highlight w:val="none"/>
        </w:rPr>
        <w:t>总监理工程师</w:t>
      </w:r>
      <w:r>
        <w:rPr>
          <w:rFonts w:ascii="Times New Roman" w:hAnsi="Times New Roman"/>
          <w:color w:val="auto"/>
          <w:highlight w:val="none"/>
        </w:rPr>
        <w:t>简历表</w:t>
      </w:r>
      <w:bookmarkEnd w:id="784"/>
      <w:bookmarkEnd w:id="785"/>
      <w:bookmarkEnd w:id="786"/>
      <w:bookmarkEnd w:id="787"/>
      <w:bookmarkEnd w:id="788"/>
      <w:bookmarkEnd w:id="789"/>
      <w:bookmarkEnd w:id="790"/>
      <w:bookmarkEnd w:id="791"/>
      <w:bookmarkEnd w:id="792"/>
      <w:bookmarkEnd w:id="793"/>
      <w:bookmarkEnd w:id="794"/>
      <w:bookmarkEnd w:id="795"/>
      <w:bookmarkEnd w:id="796"/>
    </w:p>
    <w:p>
      <w:pPr>
        <w:topLinePunct/>
        <w:spacing w:line="440" w:lineRule="exact"/>
        <w:jc w:val="center"/>
        <w:rPr>
          <w:rFonts w:ascii="Times New Roman" w:hAnsi="Times New Roman"/>
          <w:color w:val="auto"/>
          <w:sz w:val="23"/>
          <w:highlight w:val="none"/>
        </w:rPr>
      </w:pPr>
    </w:p>
    <w:tbl>
      <w:tblPr>
        <w:tblStyle w:val="23"/>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74"/>
        <w:gridCol w:w="724"/>
        <w:gridCol w:w="1004"/>
        <w:gridCol w:w="1116"/>
        <w:gridCol w:w="739"/>
        <w:gridCol w:w="1321"/>
        <w:gridCol w:w="42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44"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98" w:type="dxa"/>
            <w:gridSpan w:val="2"/>
            <w:vAlign w:val="center"/>
          </w:tcPr>
          <w:p>
            <w:pPr>
              <w:spacing w:line="440" w:lineRule="exact"/>
              <w:jc w:val="center"/>
              <w:rPr>
                <w:rFonts w:ascii="Times New Roman" w:hAnsi="Times New Roman"/>
                <w:color w:val="auto"/>
                <w:highlight w:val="none"/>
              </w:rPr>
            </w:pPr>
          </w:p>
        </w:tc>
        <w:tc>
          <w:tcPr>
            <w:tcW w:w="1004"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116" w:type="dxa"/>
            <w:vAlign w:val="center"/>
          </w:tcPr>
          <w:p>
            <w:pPr>
              <w:spacing w:line="440" w:lineRule="exact"/>
              <w:jc w:val="center"/>
              <w:rPr>
                <w:rFonts w:ascii="Times New Roman" w:hAnsi="Times New Roman"/>
                <w:color w:val="auto"/>
                <w:highlight w:val="none"/>
              </w:rPr>
            </w:pPr>
          </w:p>
        </w:tc>
        <w:tc>
          <w:tcPr>
            <w:tcW w:w="2481" w:type="dxa"/>
            <w:gridSpan w:val="3"/>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执业资格证书（或上岗证书）名称</w:t>
            </w:r>
          </w:p>
        </w:tc>
        <w:tc>
          <w:tcPr>
            <w:tcW w:w="198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4"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98" w:type="dxa"/>
            <w:gridSpan w:val="2"/>
            <w:vAlign w:val="center"/>
          </w:tcPr>
          <w:p>
            <w:pPr>
              <w:spacing w:line="440" w:lineRule="exact"/>
              <w:jc w:val="center"/>
              <w:rPr>
                <w:rFonts w:ascii="Times New Roman" w:hAnsi="Times New Roman"/>
                <w:color w:val="auto"/>
                <w:highlight w:val="none"/>
              </w:rPr>
            </w:pPr>
          </w:p>
        </w:tc>
        <w:tc>
          <w:tcPr>
            <w:tcW w:w="1004"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116" w:type="dxa"/>
            <w:vAlign w:val="center"/>
          </w:tcPr>
          <w:p>
            <w:pPr>
              <w:spacing w:line="440" w:lineRule="exact"/>
              <w:jc w:val="center"/>
              <w:rPr>
                <w:rFonts w:ascii="Times New Roman" w:hAnsi="Times New Roman"/>
                <w:color w:val="auto"/>
                <w:highlight w:val="none"/>
              </w:rPr>
            </w:pPr>
          </w:p>
        </w:tc>
        <w:tc>
          <w:tcPr>
            <w:tcW w:w="2481"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98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4"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218" w:type="dxa"/>
            <w:gridSpan w:val="4"/>
            <w:vAlign w:val="center"/>
          </w:tcPr>
          <w:p>
            <w:pPr>
              <w:spacing w:line="440" w:lineRule="exact"/>
              <w:jc w:val="center"/>
              <w:rPr>
                <w:rFonts w:ascii="Times New Roman" w:hAnsi="Times New Roman"/>
                <w:color w:val="auto"/>
                <w:highlight w:val="none"/>
              </w:rPr>
            </w:pPr>
          </w:p>
        </w:tc>
        <w:tc>
          <w:tcPr>
            <w:tcW w:w="2481"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从事监理工作年限</w:t>
            </w:r>
          </w:p>
        </w:tc>
        <w:tc>
          <w:tcPr>
            <w:tcW w:w="198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44"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685" w:type="dxa"/>
            <w:gridSpan w:val="8"/>
            <w:vAlign w:val="center"/>
          </w:tcPr>
          <w:p>
            <w:pPr>
              <w:spacing w:before="100" w:beforeAutospacing="1" w:after="100" w:afterAutospacing="1" w:line="440" w:lineRule="exact"/>
              <w:ind w:firstLine="1155" w:firstLineChars="550"/>
              <w:rPr>
                <w:rFonts w:ascii="Times New Roman" w:hAnsi="Times New Roman"/>
                <w:color w:val="auto"/>
                <w:highlight w:val="none"/>
              </w:rPr>
            </w:pPr>
            <w:r>
              <w:rPr>
                <w:rFonts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9" w:type="dxa"/>
            <w:gridSpan w:val="9"/>
            <w:vAlign w:val="center"/>
          </w:tcPr>
          <w:p>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18"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583" w:type="dxa"/>
            <w:gridSpan w:val="4"/>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321"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407"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highlight w:val="none"/>
              </w:rPr>
            </w:pPr>
          </w:p>
        </w:tc>
        <w:tc>
          <w:tcPr>
            <w:tcW w:w="3583" w:type="dxa"/>
            <w:gridSpan w:val="4"/>
          </w:tcPr>
          <w:p>
            <w:pPr>
              <w:spacing w:line="440" w:lineRule="exact"/>
              <w:rPr>
                <w:rFonts w:ascii="Times New Roman" w:hAnsi="Times New Roman"/>
                <w:color w:val="auto"/>
                <w:highlight w:val="none"/>
              </w:rPr>
            </w:pPr>
          </w:p>
        </w:tc>
        <w:tc>
          <w:tcPr>
            <w:tcW w:w="1321" w:type="dxa"/>
          </w:tcPr>
          <w:p>
            <w:pPr>
              <w:spacing w:line="440" w:lineRule="exact"/>
              <w:rPr>
                <w:rFonts w:ascii="Times New Roman" w:hAnsi="Times New Roman"/>
                <w:color w:val="auto"/>
                <w:highlight w:val="none"/>
              </w:rPr>
            </w:pPr>
          </w:p>
        </w:tc>
        <w:tc>
          <w:tcPr>
            <w:tcW w:w="240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highlight w:val="none"/>
              </w:rPr>
            </w:pPr>
          </w:p>
        </w:tc>
        <w:tc>
          <w:tcPr>
            <w:tcW w:w="3583" w:type="dxa"/>
            <w:gridSpan w:val="4"/>
          </w:tcPr>
          <w:p>
            <w:pPr>
              <w:spacing w:line="440" w:lineRule="exact"/>
              <w:rPr>
                <w:rFonts w:ascii="Times New Roman" w:hAnsi="Times New Roman"/>
                <w:color w:val="auto"/>
                <w:highlight w:val="none"/>
              </w:rPr>
            </w:pPr>
          </w:p>
        </w:tc>
        <w:tc>
          <w:tcPr>
            <w:tcW w:w="1321" w:type="dxa"/>
          </w:tcPr>
          <w:p>
            <w:pPr>
              <w:spacing w:line="440" w:lineRule="exact"/>
              <w:rPr>
                <w:rFonts w:ascii="Times New Roman" w:hAnsi="Times New Roman"/>
                <w:color w:val="auto"/>
                <w:highlight w:val="none"/>
              </w:rPr>
            </w:pPr>
          </w:p>
        </w:tc>
        <w:tc>
          <w:tcPr>
            <w:tcW w:w="240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highlight w:val="none"/>
              </w:rPr>
            </w:pPr>
          </w:p>
        </w:tc>
        <w:tc>
          <w:tcPr>
            <w:tcW w:w="3583" w:type="dxa"/>
            <w:gridSpan w:val="4"/>
          </w:tcPr>
          <w:p>
            <w:pPr>
              <w:spacing w:line="440" w:lineRule="exact"/>
              <w:rPr>
                <w:rFonts w:ascii="Times New Roman" w:hAnsi="Times New Roman"/>
                <w:color w:val="auto"/>
                <w:highlight w:val="none"/>
              </w:rPr>
            </w:pPr>
          </w:p>
        </w:tc>
        <w:tc>
          <w:tcPr>
            <w:tcW w:w="1321" w:type="dxa"/>
          </w:tcPr>
          <w:p>
            <w:pPr>
              <w:spacing w:line="440" w:lineRule="exact"/>
              <w:rPr>
                <w:rFonts w:ascii="Times New Roman" w:hAnsi="Times New Roman"/>
                <w:color w:val="auto"/>
                <w:highlight w:val="none"/>
              </w:rPr>
            </w:pPr>
          </w:p>
        </w:tc>
        <w:tc>
          <w:tcPr>
            <w:tcW w:w="240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highlight w:val="none"/>
              </w:rPr>
            </w:pPr>
          </w:p>
        </w:tc>
        <w:tc>
          <w:tcPr>
            <w:tcW w:w="3583" w:type="dxa"/>
            <w:gridSpan w:val="4"/>
            <w:vAlign w:val="center"/>
          </w:tcPr>
          <w:p>
            <w:pPr>
              <w:spacing w:line="440" w:lineRule="exact"/>
              <w:rPr>
                <w:rFonts w:ascii="Times New Roman" w:hAnsi="Times New Roman"/>
                <w:color w:val="auto"/>
                <w:highlight w:val="none"/>
              </w:rPr>
            </w:pPr>
          </w:p>
        </w:tc>
        <w:tc>
          <w:tcPr>
            <w:tcW w:w="1321" w:type="dxa"/>
            <w:vAlign w:val="center"/>
          </w:tcPr>
          <w:p>
            <w:pPr>
              <w:spacing w:line="440" w:lineRule="exact"/>
              <w:rPr>
                <w:rFonts w:ascii="Times New Roman" w:hAnsi="Times New Roman"/>
                <w:color w:val="auto"/>
                <w:highlight w:val="none"/>
              </w:rPr>
            </w:pPr>
          </w:p>
        </w:tc>
        <w:tc>
          <w:tcPr>
            <w:tcW w:w="240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highlight w:val="none"/>
              </w:rPr>
            </w:pPr>
          </w:p>
        </w:tc>
        <w:tc>
          <w:tcPr>
            <w:tcW w:w="3583" w:type="dxa"/>
            <w:gridSpan w:val="4"/>
            <w:vAlign w:val="center"/>
          </w:tcPr>
          <w:p>
            <w:pPr>
              <w:spacing w:line="440" w:lineRule="exact"/>
              <w:rPr>
                <w:rFonts w:ascii="Times New Roman" w:hAnsi="Times New Roman"/>
                <w:color w:val="auto"/>
                <w:highlight w:val="none"/>
              </w:rPr>
            </w:pPr>
          </w:p>
        </w:tc>
        <w:tc>
          <w:tcPr>
            <w:tcW w:w="1321" w:type="dxa"/>
            <w:vAlign w:val="center"/>
          </w:tcPr>
          <w:p>
            <w:pPr>
              <w:spacing w:line="440" w:lineRule="exact"/>
              <w:rPr>
                <w:rFonts w:ascii="Times New Roman" w:hAnsi="Times New Roman"/>
                <w:color w:val="auto"/>
                <w:highlight w:val="none"/>
              </w:rPr>
            </w:pPr>
          </w:p>
        </w:tc>
        <w:tc>
          <w:tcPr>
            <w:tcW w:w="240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highlight w:val="none"/>
              </w:rPr>
            </w:pPr>
          </w:p>
        </w:tc>
        <w:tc>
          <w:tcPr>
            <w:tcW w:w="3583" w:type="dxa"/>
            <w:gridSpan w:val="4"/>
            <w:vAlign w:val="center"/>
          </w:tcPr>
          <w:p>
            <w:pPr>
              <w:spacing w:line="440" w:lineRule="exact"/>
              <w:rPr>
                <w:rFonts w:ascii="Times New Roman" w:hAnsi="Times New Roman"/>
                <w:color w:val="auto"/>
                <w:highlight w:val="none"/>
              </w:rPr>
            </w:pPr>
          </w:p>
        </w:tc>
        <w:tc>
          <w:tcPr>
            <w:tcW w:w="1321" w:type="dxa"/>
            <w:vAlign w:val="center"/>
          </w:tcPr>
          <w:p>
            <w:pPr>
              <w:spacing w:line="440" w:lineRule="exact"/>
              <w:rPr>
                <w:rFonts w:ascii="Times New Roman" w:hAnsi="Times New Roman"/>
                <w:color w:val="auto"/>
                <w:highlight w:val="none"/>
              </w:rPr>
            </w:pPr>
          </w:p>
        </w:tc>
        <w:tc>
          <w:tcPr>
            <w:tcW w:w="240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highlight w:val="none"/>
              </w:rPr>
            </w:pPr>
          </w:p>
        </w:tc>
        <w:tc>
          <w:tcPr>
            <w:tcW w:w="3583" w:type="dxa"/>
            <w:gridSpan w:val="4"/>
            <w:vAlign w:val="center"/>
          </w:tcPr>
          <w:p>
            <w:pPr>
              <w:spacing w:line="440" w:lineRule="exact"/>
              <w:rPr>
                <w:rFonts w:ascii="Times New Roman" w:hAnsi="Times New Roman"/>
                <w:color w:val="auto"/>
                <w:highlight w:val="none"/>
              </w:rPr>
            </w:pPr>
          </w:p>
        </w:tc>
        <w:tc>
          <w:tcPr>
            <w:tcW w:w="1321" w:type="dxa"/>
            <w:vAlign w:val="center"/>
          </w:tcPr>
          <w:p>
            <w:pPr>
              <w:spacing w:line="440" w:lineRule="exact"/>
              <w:rPr>
                <w:rFonts w:ascii="Times New Roman" w:hAnsi="Times New Roman"/>
                <w:color w:val="auto"/>
                <w:highlight w:val="none"/>
              </w:rPr>
            </w:pPr>
          </w:p>
        </w:tc>
        <w:tc>
          <w:tcPr>
            <w:tcW w:w="2407" w:type="dxa"/>
            <w:gridSpan w:val="2"/>
            <w:vAlign w:val="center"/>
          </w:tcPr>
          <w:p>
            <w:pPr>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注：投标人应根据投标人须知第3.5.</w:t>
      </w:r>
      <w:r>
        <w:rPr>
          <w:rFonts w:hint="eastAsia" w:ascii="Times New Roman" w:hAnsi="Times New Roman"/>
          <w:color w:val="auto"/>
          <w:highlight w:val="none"/>
        </w:rPr>
        <w:t>4</w:t>
      </w:r>
      <w:r>
        <w:rPr>
          <w:rFonts w:ascii="Times New Roman" w:hAnsi="Times New Roman"/>
          <w:color w:val="auto"/>
          <w:highlight w:val="none"/>
        </w:rPr>
        <w:t>项的要求在本表后附相关证明材料。</w:t>
      </w:r>
      <w:r>
        <w:rPr>
          <w:rFonts w:hint="eastAsia" w:ascii="Times New Roman" w:hAnsi="Times New Roman"/>
          <w:color w:val="auto"/>
          <w:highlight w:val="none"/>
        </w:rPr>
        <w:t>本项目社保缴纳期限包含疫情期，若当地政府部门允许企业在疫情期间缓缴社会保险费且投标人未缴纳的，投标人可提供当地政府部门允许缓缴社保的相关文件作为缴纳社保的证明。</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bookmarkStart w:id="797" w:name="_Toc352703741"/>
      <w:bookmarkStart w:id="798" w:name="_Toc300835229"/>
    </w:p>
    <w:p>
      <w:pPr>
        <w:spacing w:line="440" w:lineRule="exact"/>
        <w:jc w:val="center"/>
        <w:rPr>
          <w:rFonts w:ascii="Times New Roman" w:hAnsi="Times New Roman" w:eastAsia="黑体"/>
          <w:color w:val="auto"/>
          <w:sz w:val="28"/>
          <w:szCs w:val="20"/>
          <w:highlight w:val="none"/>
        </w:rPr>
      </w:pPr>
    </w:p>
    <w:bookmarkEnd w:id="797"/>
    <w:bookmarkEnd w:id="798"/>
    <w:p>
      <w:pPr>
        <w:pStyle w:val="6"/>
        <w:keepNext w:val="0"/>
        <w:keepLines w:val="0"/>
        <w:spacing w:before="20" w:after="0"/>
        <w:ind w:firstLine="137"/>
        <w:jc w:val="center"/>
        <w:rPr>
          <w:rFonts w:ascii="Times New Roman" w:hAnsi="Times New Roman"/>
          <w:color w:val="auto"/>
          <w:highlight w:val="none"/>
        </w:rPr>
      </w:pPr>
      <w:bookmarkStart w:id="799" w:name="_Toc482188666"/>
      <w:r>
        <w:rPr>
          <w:rFonts w:ascii="Times New Roman" w:hAnsi="Times New Roman"/>
          <w:color w:val="auto"/>
          <w:highlight w:val="none"/>
        </w:rPr>
        <w:br w:type="page"/>
      </w:r>
      <w:bookmarkEnd w:id="799"/>
      <w:bookmarkStart w:id="800" w:name="_Toc89870678"/>
      <w:r>
        <w:rPr>
          <w:rFonts w:ascii="Times New Roman" w:hAnsi="Times New Roman"/>
          <w:color w:val="auto"/>
          <w:highlight w:val="none"/>
        </w:rPr>
        <w:t>（</w:t>
      </w:r>
      <w:r>
        <w:rPr>
          <w:rFonts w:hint="eastAsia" w:ascii="Times New Roman" w:hAnsi="Times New Roman"/>
          <w:color w:val="auto"/>
          <w:highlight w:val="none"/>
        </w:rPr>
        <w:t>三</w:t>
      </w:r>
      <w:r>
        <w:rPr>
          <w:rFonts w:ascii="Times New Roman" w:hAnsi="Times New Roman"/>
          <w:color w:val="auto"/>
          <w:highlight w:val="none"/>
        </w:rPr>
        <w:t>）</w:t>
      </w:r>
      <w:r>
        <w:rPr>
          <w:rFonts w:hint="eastAsia" w:ascii="Times New Roman" w:hAnsi="Times New Roman"/>
          <w:color w:val="auto"/>
          <w:highlight w:val="none"/>
        </w:rPr>
        <w:t>投标人声明</w:t>
      </w:r>
      <w:bookmarkEnd w:id="800"/>
    </w:p>
    <w:p>
      <w:pPr>
        <w:pStyle w:val="5"/>
        <w:keepNext w:val="0"/>
        <w:keepLines w:val="0"/>
        <w:jc w:val="center"/>
        <w:rPr>
          <w:rFonts w:ascii="Times New Roman" w:hAnsi="Times New Roman" w:eastAsia="宋体"/>
          <w:b w:val="0"/>
          <w:color w:val="auto"/>
          <w:sz w:val="21"/>
          <w:szCs w:val="22"/>
          <w:highlight w:val="none"/>
        </w:rPr>
      </w:pPr>
      <w:bookmarkStart w:id="801" w:name="_Toc89870679"/>
      <w:r>
        <w:rPr>
          <w:rFonts w:hint="eastAsia" w:ascii="Times New Roman" w:hAnsi="Times New Roman" w:eastAsia="宋体"/>
          <w:b w:val="0"/>
          <w:color w:val="auto"/>
          <w:sz w:val="21"/>
          <w:szCs w:val="22"/>
          <w:highlight w:val="none"/>
        </w:rPr>
        <w:t xml:space="preserve">    格式详见招标公告附件一</w:t>
      </w:r>
      <w:bookmarkEnd w:id="801"/>
    </w:p>
    <w:p>
      <w:pPr>
        <w:spacing w:line="360" w:lineRule="auto"/>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pStyle w:val="12"/>
        <w:spacing w:after="0"/>
        <w:ind w:firstLine="480" w:firstLineChars="200"/>
        <w:rPr>
          <w:rFonts w:ascii="宋体" w:hAnsi="宋体" w:cs="宋体"/>
          <w:color w:val="auto"/>
          <w:kern w:val="0"/>
          <w:sz w:val="24"/>
          <w:szCs w:val="24"/>
          <w:highlight w:val="none"/>
        </w:rPr>
      </w:pPr>
    </w:p>
    <w:p>
      <w:pPr>
        <w:ind w:firstLine="480" w:firstLineChars="200"/>
        <w:rPr>
          <w:rFonts w:ascii="宋体" w:hAnsi="宋体" w:cs="宋体"/>
          <w:color w:val="auto"/>
          <w:kern w:val="0"/>
          <w:sz w:val="24"/>
          <w:highlight w:val="none"/>
        </w:rPr>
      </w:pPr>
    </w:p>
    <w:p>
      <w:pPr>
        <w:ind w:firstLine="560" w:firstLineChars="200"/>
        <w:rPr>
          <w:rFonts w:ascii="Times New Roman" w:hAnsi="Times New Roman" w:eastAsia="黑体"/>
          <w:color w:val="auto"/>
          <w:sz w:val="28"/>
          <w:szCs w:val="20"/>
          <w:highlight w:val="none"/>
        </w:rPr>
      </w:pPr>
    </w:p>
    <w:p>
      <w:pPr>
        <w:ind w:firstLine="560" w:firstLineChars="200"/>
        <w:rPr>
          <w:rFonts w:ascii="Times New Roman" w:hAnsi="Times New Roman" w:eastAsia="黑体"/>
          <w:color w:val="auto"/>
          <w:sz w:val="28"/>
          <w:szCs w:val="20"/>
          <w:highlight w:val="none"/>
        </w:rPr>
      </w:pPr>
    </w:p>
    <w:p>
      <w:pPr>
        <w:ind w:firstLine="560" w:firstLineChars="200"/>
        <w:rPr>
          <w:rFonts w:ascii="Times New Roman" w:hAnsi="Times New Roman" w:eastAsia="黑体"/>
          <w:color w:val="auto"/>
          <w:sz w:val="28"/>
          <w:szCs w:val="20"/>
          <w:highlight w:val="none"/>
        </w:rPr>
      </w:pPr>
    </w:p>
    <w:p>
      <w:pPr>
        <w:pStyle w:val="32"/>
        <w:ind w:firstLine="422" w:firstLineChars="200"/>
        <w:jc w:val="both"/>
        <w:rPr>
          <w:color w:val="auto"/>
          <w:highlight w:val="none"/>
        </w:rPr>
      </w:pPr>
    </w:p>
    <w:p>
      <w:pPr>
        <w:pStyle w:val="5"/>
        <w:keepNext w:val="0"/>
        <w:keepLines w:val="0"/>
        <w:spacing w:before="0" w:after="0"/>
        <w:ind w:firstLine="562" w:firstLineChars="200"/>
        <w:rPr>
          <w:rFonts w:ascii="Times New Roman" w:hAnsi="Times New Roman"/>
          <w:color w:val="auto"/>
          <w:highlight w:val="none"/>
        </w:rPr>
      </w:pPr>
      <w:r>
        <w:rPr>
          <w:rFonts w:hint="eastAsia" w:ascii="Times New Roman" w:hAnsi="Times New Roman"/>
          <w:color w:val="auto"/>
          <w:sz w:val="28"/>
          <w:highlight w:val="none"/>
        </w:rPr>
        <w:br w:type="page"/>
      </w:r>
      <w:bookmarkStart w:id="802" w:name="_Toc89870680"/>
      <w:r>
        <w:rPr>
          <w:rFonts w:hint="eastAsia" w:ascii="Times New Roman" w:hAnsi="Times New Roman"/>
          <w:color w:val="auto"/>
          <w:highlight w:val="none"/>
        </w:rPr>
        <w:t>六</w:t>
      </w:r>
      <w:r>
        <w:rPr>
          <w:rFonts w:ascii="Times New Roman" w:hAnsi="Times New Roman"/>
          <w:color w:val="auto"/>
          <w:highlight w:val="none"/>
        </w:rPr>
        <w:t>、</w:t>
      </w:r>
      <w:r>
        <w:rPr>
          <w:rFonts w:ascii="Times New Roman" w:hAnsi="Times New Roman"/>
          <w:b w:val="0"/>
          <w:color w:val="auto"/>
          <w:highlight w:val="none"/>
        </w:rPr>
        <w:t>监理大纲</w:t>
      </w:r>
      <w:bookmarkEnd w:id="802"/>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监理大纲应包括（但不限于）下列内容：</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一、监理工程概况；</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二、监理范围、监理内容；</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三、监理依据、</w:t>
      </w:r>
      <w:r>
        <w:rPr>
          <w:rFonts w:ascii="Times New Roman" w:hAnsi="Times New Roman"/>
          <w:color w:val="auto"/>
          <w:highlight w:val="none"/>
        </w:rPr>
        <w:t>监理工作目标</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四、监理机构设置（框图）、岗位职责；</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五、监理工作程序、方法和制度；</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六、拟投入的监理人员、试验检测仪器设备；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七、质量、进度、造价、安全、环保监理措施；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八、合同、信息管理方案；</w:t>
      </w:r>
    </w:p>
    <w:p>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九</w:t>
      </w:r>
      <w:r>
        <w:rPr>
          <w:rFonts w:ascii="Times New Roman" w:hAnsi="Times New Roman"/>
          <w:color w:val="auto"/>
          <w:szCs w:val="21"/>
          <w:highlight w:val="none"/>
        </w:rPr>
        <w:t>、组织协调内容及措施；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十、监理工作重点、难点分析；</w:t>
      </w:r>
    </w:p>
    <w:p>
      <w:pPr>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十</w:t>
      </w:r>
      <w:r>
        <w:rPr>
          <w:rFonts w:hint="eastAsia" w:ascii="Times New Roman" w:hAnsi="Times New Roman"/>
          <w:color w:val="auto"/>
          <w:szCs w:val="21"/>
          <w:highlight w:val="none"/>
        </w:rPr>
        <w:t>一</w:t>
      </w:r>
      <w:r>
        <w:rPr>
          <w:rFonts w:ascii="Times New Roman" w:hAnsi="Times New Roman"/>
          <w:color w:val="auto"/>
          <w:szCs w:val="21"/>
          <w:highlight w:val="none"/>
        </w:rPr>
        <w:t>、对本工程监理的合理化建议。</w:t>
      </w:r>
    </w:p>
    <w:p>
      <w:pPr>
        <w:ind w:firstLine="420" w:firstLineChars="200"/>
        <w:rPr>
          <w:rFonts w:ascii="Times New Roman" w:hAnsi="Times New Roman"/>
          <w:color w:val="auto"/>
          <w:highlight w:val="none"/>
        </w:rPr>
      </w:pPr>
    </w:p>
    <w:p>
      <w:pPr>
        <w:pStyle w:val="5"/>
        <w:keepNext w:val="0"/>
        <w:keepLines w:val="0"/>
        <w:spacing w:before="0" w:after="0"/>
        <w:ind w:firstLine="643" w:firstLineChars="200"/>
        <w:rPr>
          <w:color w:val="auto"/>
          <w:highlight w:val="none"/>
        </w:rPr>
      </w:pPr>
      <w:r>
        <w:rPr>
          <w:rFonts w:hint="eastAsia"/>
          <w:color w:val="auto"/>
          <w:highlight w:val="none"/>
        </w:rPr>
        <w:br w:type="page"/>
      </w:r>
      <w:bookmarkStart w:id="803" w:name="_Toc89870681"/>
      <w:r>
        <w:rPr>
          <w:rFonts w:hint="eastAsia"/>
          <w:color w:val="auto"/>
          <w:highlight w:val="none"/>
        </w:rPr>
        <w:t>七、其他资料</w:t>
      </w:r>
      <w:bookmarkEnd w:id="803"/>
    </w:p>
    <w:p>
      <w:pPr>
        <w:pStyle w:val="6"/>
        <w:keepNext w:val="0"/>
        <w:keepLines w:val="0"/>
        <w:spacing w:before="0" w:after="0"/>
        <w:ind w:firstLine="0" w:firstLineChars="0"/>
        <w:jc w:val="center"/>
        <w:rPr>
          <w:rFonts w:ascii="Times New Roman" w:hAnsi="Times New Roman"/>
          <w:color w:val="auto"/>
          <w:highlight w:val="none"/>
        </w:rPr>
      </w:pPr>
      <w:bookmarkStart w:id="804" w:name="_Toc89870682"/>
      <w:r>
        <w:rPr>
          <w:rFonts w:hint="eastAsia" w:ascii="Times New Roman" w:hAnsi="Times New Roman"/>
          <w:color w:val="auto"/>
          <w:highlight w:val="none"/>
        </w:rPr>
        <w:t>（一）</w:t>
      </w:r>
      <w:r>
        <w:rPr>
          <w:rFonts w:ascii="Times New Roman" w:hAnsi="Times New Roman"/>
          <w:color w:val="auto"/>
          <w:highlight w:val="none"/>
        </w:rPr>
        <w:t>近年完成的类似项目情况表</w:t>
      </w:r>
      <w:bookmarkEnd w:id="804"/>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r>
              <w:rPr>
                <w:rFonts w:hint="eastAsia" w:ascii="宋体" w:hAnsi="宋体" w:cs="宋体"/>
                <w:color w:val="auto"/>
                <w:highlight w:val="none"/>
              </w:rPr>
              <w:t>项目名称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highlight w:val="none"/>
              </w:rPr>
            </w:pPr>
            <w:r>
              <w:rPr>
                <w:rFonts w:hint="eastAsia" w:ascii="宋体" w:hAnsi="宋体" w:cs="宋体"/>
                <w:color w:val="auto"/>
                <w:highlight w:val="none"/>
              </w:rPr>
              <w:t>项目所在地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委托人名称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委托人地址</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委托人电话</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合同价格</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监理服务期限</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监理内容</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总监理工程师</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项目描述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备注</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注：投标人应根据</w:t>
      </w:r>
      <w:r>
        <w:rPr>
          <w:rFonts w:hint="eastAsia" w:ascii="Times New Roman" w:hAnsi="Times New Roman"/>
          <w:color w:val="auto"/>
          <w:highlight w:val="none"/>
        </w:rPr>
        <w:t>评标办法前附表</w:t>
      </w:r>
      <w:r>
        <w:rPr>
          <w:rFonts w:ascii="Times New Roman" w:hAnsi="Times New Roman"/>
          <w:color w:val="auto"/>
          <w:highlight w:val="none"/>
        </w:rPr>
        <w:t>第</w:t>
      </w:r>
      <w:r>
        <w:rPr>
          <w:rFonts w:hint="eastAsia" w:ascii="Times New Roman" w:hAnsi="Times New Roman"/>
          <w:color w:val="auto"/>
          <w:highlight w:val="none"/>
        </w:rPr>
        <w:t>2.2.4</w:t>
      </w:r>
      <w:r>
        <w:rPr>
          <w:rFonts w:ascii="Times New Roman" w:hAnsi="Times New Roman"/>
          <w:color w:val="auto"/>
          <w:highlight w:val="none"/>
        </w:rPr>
        <w:t>项</w:t>
      </w:r>
      <w:r>
        <w:rPr>
          <w:rFonts w:hint="eastAsia" w:ascii="Times New Roman" w:hAnsi="Times New Roman"/>
          <w:color w:val="auto"/>
          <w:highlight w:val="none"/>
        </w:rPr>
        <w:t>说明</w:t>
      </w:r>
      <w:r>
        <w:rPr>
          <w:rFonts w:ascii="Times New Roman" w:hAnsi="Times New Roman"/>
          <w:color w:val="auto"/>
          <w:highlight w:val="none"/>
        </w:rPr>
        <w:t>的要求在本表后附相关证明材料。</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rPr>
          <w:rFonts w:ascii="Times New Roman" w:hAnsi="Times New Roman"/>
          <w:color w:val="auto"/>
          <w:highlight w:val="none"/>
        </w:rPr>
      </w:pPr>
      <w:bookmarkStart w:id="805" w:name="_Toc89870683"/>
      <w:r>
        <w:rPr>
          <w:rFonts w:hint="eastAsia" w:ascii="Times New Roman" w:hAnsi="Times New Roman"/>
          <w:color w:val="auto"/>
          <w:highlight w:val="none"/>
        </w:rPr>
        <w:br w:type="page"/>
      </w:r>
    </w:p>
    <w:p>
      <w:pPr>
        <w:pStyle w:val="6"/>
        <w:spacing w:before="0" w:after="0"/>
        <w:ind w:firstLine="560" w:firstLineChars="200"/>
        <w:jc w:val="center"/>
        <w:rPr>
          <w:rFonts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项目管理团队人员信息表</w:t>
      </w:r>
      <w:bookmarkEnd w:id="805"/>
    </w:p>
    <w:tbl>
      <w:tblPr>
        <w:tblStyle w:val="23"/>
        <w:tblW w:w="9051" w:type="dxa"/>
        <w:jc w:val="center"/>
        <w:tblLayout w:type="fixed"/>
        <w:tblCellMar>
          <w:top w:w="0" w:type="dxa"/>
          <w:left w:w="0" w:type="dxa"/>
          <w:bottom w:w="0" w:type="dxa"/>
          <w:right w:w="0" w:type="dxa"/>
        </w:tblCellMar>
      </w:tblPr>
      <w:tblGrid>
        <w:gridCol w:w="871"/>
        <w:gridCol w:w="1271"/>
        <w:gridCol w:w="1799"/>
        <w:gridCol w:w="1799"/>
        <w:gridCol w:w="3311"/>
      </w:tblGrid>
      <w:tr>
        <w:tblPrEx>
          <w:tblCellMar>
            <w:top w:w="0" w:type="dxa"/>
            <w:left w:w="0" w:type="dxa"/>
            <w:bottom w:w="0" w:type="dxa"/>
            <w:right w:w="0" w:type="dxa"/>
          </w:tblCellMar>
        </w:tblPrEx>
        <w:trPr>
          <w:trHeight w:val="790"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kern w:val="0"/>
                <w:szCs w:val="21"/>
                <w:highlight w:val="none"/>
                <w:lang w:bidi="ar"/>
              </w:rPr>
            </w:pPr>
            <w:r>
              <w:rPr>
                <w:rFonts w:hint="eastAsia" w:cs="仿宋" w:asciiTheme="majorEastAsia" w:hAnsiTheme="majorEastAsia" w:eastAsiaTheme="majorEastAsia"/>
                <w:b/>
                <w:color w:val="auto"/>
                <w:kern w:val="0"/>
                <w:szCs w:val="21"/>
                <w:highlight w:val="none"/>
                <w:lang w:bidi="ar"/>
              </w:rPr>
              <w:t>序号</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kern w:val="0"/>
                <w:szCs w:val="21"/>
                <w:highlight w:val="none"/>
                <w:lang w:bidi="ar"/>
              </w:rPr>
            </w:pPr>
            <w:r>
              <w:rPr>
                <w:rFonts w:hint="eastAsia" w:cs="仿宋" w:asciiTheme="majorEastAsia" w:hAnsiTheme="majorEastAsia" w:eastAsiaTheme="majorEastAsia"/>
                <w:b/>
                <w:color w:val="auto"/>
                <w:kern w:val="0"/>
                <w:szCs w:val="21"/>
                <w:highlight w:val="none"/>
                <w:lang w:bidi="ar"/>
              </w:rPr>
              <w:t>姓名</w:t>
            </w: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highlight w:val="none"/>
              </w:rPr>
            </w:pPr>
            <w:r>
              <w:rPr>
                <w:rFonts w:hint="eastAsia" w:cs="仿宋" w:asciiTheme="majorEastAsia" w:hAnsiTheme="majorEastAsia" w:eastAsiaTheme="majorEastAsia"/>
                <w:b/>
                <w:color w:val="auto"/>
                <w:kern w:val="0"/>
                <w:szCs w:val="21"/>
                <w:highlight w:val="none"/>
                <w:lang w:bidi="ar"/>
              </w:rPr>
              <w:t>岗位</w:t>
            </w: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highlight w:val="none"/>
              </w:rPr>
            </w:pPr>
            <w:r>
              <w:rPr>
                <w:rFonts w:hint="eastAsia" w:cs="仿宋" w:asciiTheme="majorEastAsia" w:hAnsiTheme="majorEastAsia" w:eastAsiaTheme="majorEastAsia"/>
                <w:b/>
                <w:color w:val="auto"/>
                <w:kern w:val="0"/>
                <w:szCs w:val="21"/>
                <w:highlight w:val="none"/>
                <w:lang w:bidi="ar"/>
              </w:rPr>
              <w:t>职称</w:t>
            </w: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highlight w:val="none"/>
              </w:rPr>
            </w:pPr>
            <w:r>
              <w:rPr>
                <w:rFonts w:hint="eastAsia" w:cs="仿宋" w:asciiTheme="majorEastAsia" w:hAnsiTheme="majorEastAsia" w:eastAsiaTheme="majorEastAsia"/>
                <w:b/>
                <w:color w:val="auto"/>
                <w:kern w:val="0"/>
                <w:szCs w:val="21"/>
                <w:highlight w:val="none"/>
                <w:lang w:bidi="ar"/>
              </w:rPr>
              <w:t>职称证书或资格证书编号</w:t>
            </w: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highlight w:val="none"/>
              </w:rPr>
            </w:pPr>
            <w:r>
              <w:rPr>
                <w:rFonts w:cs="仿宋" w:asciiTheme="majorEastAsia" w:hAnsiTheme="majorEastAsia" w:eastAsiaTheme="majorEastAsia"/>
                <w:color w:val="auto"/>
                <w:kern w:val="0"/>
                <w:szCs w:val="21"/>
                <w:highlight w:val="none"/>
                <w:lang w:bidi="ar"/>
              </w:rPr>
              <w:t>1</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highlight w:val="none"/>
              </w:rPr>
            </w:pPr>
            <w:r>
              <w:rPr>
                <w:rFonts w:cs="仿宋" w:asciiTheme="majorEastAsia" w:hAnsiTheme="majorEastAsia" w:eastAsiaTheme="majorEastAsia"/>
                <w:color w:val="auto"/>
                <w:kern w:val="0"/>
                <w:szCs w:val="21"/>
                <w:highlight w:val="none"/>
                <w:lang w:bidi="ar"/>
              </w:rPr>
              <w:t>2</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highlight w:val="none"/>
              </w:rPr>
            </w:pPr>
            <w:r>
              <w:rPr>
                <w:rFonts w:cs="仿宋" w:asciiTheme="majorEastAsia" w:hAnsiTheme="majorEastAsia" w:eastAsiaTheme="majorEastAsia"/>
                <w:color w:val="auto"/>
                <w:kern w:val="0"/>
                <w:szCs w:val="21"/>
                <w:highlight w:val="none"/>
                <w:lang w:bidi="ar"/>
              </w:rPr>
              <w:t>3</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highlight w:val="none"/>
              </w:rPr>
            </w:pPr>
            <w:r>
              <w:rPr>
                <w:rFonts w:cs="仿宋" w:asciiTheme="majorEastAsia" w:hAnsiTheme="majorEastAsia" w:eastAsiaTheme="majorEastAsia"/>
                <w:color w:val="auto"/>
                <w:kern w:val="0"/>
                <w:szCs w:val="21"/>
                <w:highlight w:val="none"/>
                <w:lang w:bidi="ar"/>
              </w:rPr>
              <w:t>4</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highlight w:val="none"/>
              </w:rPr>
            </w:pPr>
          </w:p>
        </w:tc>
      </w:tr>
      <w:tr>
        <w:tblPrEx>
          <w:tblCellMar>
            <w:top w:w="0" w:type="dxa"/>
            <w:left w:w="0" w:type="dxa"/>
            <w:bottom w:w="0" w:type="dxa"/>
            <w:right w:w="0" w:type="dxa"/>
          </w:tblCellMar>
        </w:tblPrEx>
        <w:trPr>
          <w:trHeight w:val="3648" w:hRule="atLeast"/>
          <w:jc w:val="center"/>
        </w:trPr>
        <w:tc>
          <w:tcPr>
            <w:tcW w:w="90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heme="majorEastAsia" w:hAnsiTheme="majorEastAsia" w:eastAsiaTheme="majorEastAsia"/>
                <w:color w:val="auto"/>
                <w:highlight w:val="none"/>
              </w:rPr>
            </w:pPr>
            <w:r>
              <w:rPr>
                <w:rStyle w:val="33"/>
                <w:rFonts w:hint="default" w:asciiTheme="majorEastAsia" w:hAnsiTheme="majorEastAsia" w:eastAsiaTheme="majorEastAsia"/>
                <w:color w:val="auto"/>
                <w:sz w:val="21"/>
                <w:szCs w:val="21"/>
                <w:highlight w:val="none"/>
                <w:lang w:bidi="ar"/>
              </w:rPr>
              <w:t>备注：</w:t>
            </w:r>
          </w:p>
          <w:p>
            <w:pPr>
              <w:widowControl/>
              <w:jc w:val="left"/>
              <w:textAlignment w:val="center"/>
              <w:rPr>
                <w:rFonts w:asciiTheme="majorEastAsia" w:hAnsiTheme="majorEastAsia" w:eastAsiaTheme="majorEastAsia"/>
                <w:color w:val="auto"/>
                <w:highlight w:val="none"/>
              </w:rPr>
            </w:pPr>
            <w:r>
              <w:rPr>
                <w:rStyle w:val="33"/>
                <w:rFonts w:hint="default" w:asciiTheme="majorEastAsia" w:hAnsiTheme="majorEastAsia" w:eastAsiaTheme="majorEastAsia"/>
                <w:color w:val="auto"/>
                <w:sz w:val="21"/>
                <w:szCs w:val="21"/>
                <w:highlight w:val="none"/>
                <w:lang w:bidi="ar"/>
              </w:rPr>
              <w:t>1、“岗位”要求</w:t>
            </w:r>
            <w:r>
              <w:rPr>
                <w:rStyle w:val="34"/>
                <w:rFonts w:hint="default" w:asciiTheme="majorEastAsia" w:hAnsiTheme="majorEastAsia" w:eastAsiaTheme="majorEastAsia"/>
                <w:color w:val="auto"/>
                <w:sz w:val="21"/>
                <w:szCs w:val="21"/>
                <w:highlight w:val="none"/>
                <w:lang w:bidi="ar"/>
              </w:rPr>
              <w:t>（总监理工程师除外）</w:t>
            </w:r>
            <w:r>
              <w:rPr>
                <w:rStyle w:val="33"/>
                <w:rFonts w:hint="default" w:asciiTheme="majorEastAsia" w:hAnsiTheme="majorEastAsia" w:eastAsiaTheme="majorEastAsia"/>
                <w:color w:val="auto"/>
                <w:sz w:val="21"/>
                <w:szCs w:val="21"/>
                <w:highlight w:val="none"/>
                <w:lang w:bidi="ar"/>
              </w:rPr>
              <w:t>由招标人根据项目管理需要在本表备注中明确提出，如：拟派驻施工现场的总监理工程师代表、专业监理工程师、监理员等。以上项目管理团队人员信息将由交易系统提取后供各相关单位在履约时比对、查核。</w:t>
            </w:r>
          </w:p>
          <w:p>
            <w:pPr>
              <w:widowControl/>
              <w:jc w:val="left"/>
              <w:textAlignment w:val="center"/>
              <w:rPr>
                <w:rFonts w:asciiTheme="majorEastAsia" w:hAnsiTheme="majorEastAsia" w:eastAsiaTheme="majorEastAsia"/>
                <w:color w:val="auto"/>
                <w:highlight w:val="none"/>
              </w:rPr>
            </w:pPr>
            <w:r>
              <w:rPr>
                <w:rStyle w:val="33"/>
                <w:rFonts w:hint="default" w:asciiTheme="majorEastAsia" w:hAnsiTheme="majorEastAsia" w:eastAsiaTheme="majorEastAsia"/>
                <w:color w:val="auto"/>
                <w:sz w:val="21"/>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cs="仿宋" w:asciiTheme="majorEastAsia" w:hAnsiTheme="majorEastAsia" w:eastAsiaTheme="majorEastAsia"/>
                <w:color w:val="auto"/>
                <w:szCs w:val="21"/>
                <w:highlight w:val="none"/>
              </w:rPr>
            </w:pPr>
            <w:r>
              <w:rPr>
                <w:rStyle w:val="33"/>
                <w:rFonts w:hint="default" w:asciiTheme="majorEastAsia" w:hAnsiTheme="majorEastAsia" w:eastAsiaTheme="majorEastAsia"/>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color w:val="auto"/>
          <w:highlight w:val="none"/>
        </w:rPr>
      </w:pPr>
    </w:p>
    <w:p>
      <w:pPr>
        <w:rPr>
          <w:rFonts w:ascii="Times New Roman" w:hAnsi="Times New Roman"/>
          <w:color w:val="auto"/>
          <w:highlight w:val="none"/>
        </w:rPr>
      </w:pPr>
    </w:p>
    <w:p>
      <w:pPr>
        <w:pStyle w:val="14"/>
        <w:rPr>
          <w:rFonts w:ascii="Times New Roman" w:hAnsi="Times New Roman"/>
          <w:color w:val="auto"/>
          <w:highlight w:val="none"/>
        </w:rPr>
      </w:pPr>
    </w:p>
    <w:p>
      <w:pPr>
        <w:rPr>
          <w:rFonts w:ascii="Times New Roman" w:hAnsi="Times New Roman"/>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widowControl/>
        <w:jc w:val="left"/>
        <w:rPr>
          <w:rFonts w:ascii="Times New Roman" w:hAnsi="Times New Roman" w:eastAsia="黑体"/>
          <w:color w:val="auto"/>
          <w:sz w:val="28"/>
          <w:szCs w:val="20"/>
          <w:highlight w:val="none"/>
        </w:rPr>
      </w:pPr>
      <w:bookmarkStart w:id="806" w:name="_Toc89870684"/>
      <w:r>
        <w:rPr>
          <w:rFonts w:ascii="Times New Roman" w:hAnsi="Times New Roman"/>
          <w:color w:val="auto"/>
          <w:highlight w:val="none"/>
        </w:rPr>
        <w:br w:type="page"/>
      </w:r>
    </w:p>
    <w:p>
      <w:pPr>
        <w:pStyle w:val="6"/>
        <w:keepNext w:val="0"/>
        <w:keepLines w:val="0"/>
        <w:ind w:firstLine="137"/>
        <w:jc w:val="center"/>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主要人员简历表</w:t>
      </w:r>
      <w:bookmarkEnd w:id="806"/>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78"/>
        <w:gridCol w:w="729"/>
        <w:gridCol w:w="1011"/>
        <w:gridCol w:w="1125"/>
        <w:gridCol w:w="747"/>
        <w:gridCol w:w="1331"/>
        <w:gridCol w:w="42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53"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107" w:type="dxa"/>
            <w:gridSpan w:val="2"/>
            <w:vAlign w:val="center"/>
          </w:tcPr>
          <w:p>
            <w:pPr>
              <w:spacing w:line="440" w:lineRule="exact"/>
              <w:jc w:val="center"/>
              <w:rPr>
                <w:rFonts w:ascii="Times New Roman" w:hAnsi="Times New Roman"/>
                <w:color w:val="auto"/>
                <w:highlight w:val="none"/>
              </w:rPr>
            </w:pPr>
          </w:p>
        </w:tc>
        <w:tc>
          <w:tcPr>
            <w:tcW w:w="1011"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125" w:type="dxa"/>
            <w:vAlign w:val="center"/>
          </w:tcPr>
          <w:p>
            <w:pPr>
              <w:spacing w:line="440" w:lineRule="exact"/>
              <w:jc w:val="center"/>
              <w:rPr>
                <w:rFonts w:ascii="Times New Roman" w:hAnsi="Times New Roman"/>
                <w:color w:val="auto"/>
                <w:highlight w:val="none"/>
              </w:rPr>
            </w:pPr>
          </w:p>
        </w:tc>
        <w:tc>
          <w:tcPr>
            <w:tcW w:w="2501" w:type="dxa"/>
            <w:gridSpan w:val="3"/>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执业资格证书（或上岗证书）名称</w:t>
            </w:r>
          </w:p>
        </w:tc>
        <w:tc>
          <w:tcPr>
            <w:tcW w:w="2003"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53"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107" w:type="dxa"/>
            <w:gridSpan w:val="2"/>
            <w:vAlign w:val="center"/>
          </w:tcPr>
          <w:p>
            <w:pPr>
              <w:spacing w:line="440" w:lineRule="exact"/>
              <w:jc w:val="center"/>
              <w:rPr>
                <w:rFonts w:ascii="Times New Roman" w:hAnsi="Times New Roman"/>
                <w:color w:val="auto"/>
                <w:highlight w:val="none"/>
              </w:rPr>
            </w:pPr>
          </w:p>
        </w:tc>
        <w:tc>
          <w:tcPr>
            <w:tcW w:w="1011"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125" w:type="dxa"/>
            <w:vAlign w:val="center"/>
          </w:tcPr>
          <w:p>
            <w:pPr>
              <w:spacing w:line="440" w:lineRule="exact"/>
              <w:jc w:val="center"/>
              <w:rPr>
                <w:rFonts w:ascii="Times New Roman" w:hAnsi="Times New Roman"/>
                <w:color w:val="auto"/>
                <w:highlight w:val="none"/>
              </w:rPr>
            </w:pPr>
          </w:p>
        </w:tc>
        <w:tc>
          <w:tcPr>
            <w:tcW w:w="2501"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2003"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53"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243" w:type="dxa"/>
            <w:gridSpan w:val="4"/>
            <w:vAlign w:val="center"/>
          </w:tcPr>
          <w:p>
            <w:pPr>
              <w:spacing w:line="440" w:lineRule="exact"/>
              <w:jc w:val="center"/>
              <w:rPr>
                <w:rFonts w:ascii="Times New Roman" w:hAnsi="Times New Roman"/>
                <w:color w:val="auto"/>
                <w:highlight w:val="none"/>
              </w:rPr>
            </w:pPr>
          </w:p>
        </w:tc>
        <w:tc>
          <w:tcPr>
            <w:tcW w:w="2501"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从事监理工作年限</w:t>
            </w:r>
          </w:p>
        </w:tc>
        <w:tc>
          <w:tcPr>
            <w:tcW w:w="2003"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747" w:type="dxa"/>
            <w:gridSpan w:val="8"/>
            <w:vAlign w:val="center"/>
          </w:tcPr>
          <w:p>
            <w:pPr>
              <w:spacing w:before="100" w:beforeAutospacing="1" w:after="100" w:afterAutospacing="1" w:line="440" w:lineRule="exact"/>
              <w:ind w:firstLine="1155" w:firstLineChars="550"/>
              <w:rPr>
                <w:rFonts w:ascii="Times New Roman" w:hAnsi="Times New Roman"/>
                <w:color w:val="auto"/>
                <w:highlight w:val="none"/>
              </w:rPr>
            </w:pPr>
            <w:r>
              <w:rPr>
                <w:rFonts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00" w:type="dxa"/>
            <w:gridSpan w:val="9"/>
            <w:vAlign w:val="center"/>
          </w:tcPr>
          <w:p>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31"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612" w:type="dxa"/>
            <w:gridSpan w:val="4"/>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331"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426"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highlight w:val="none"/>
              </w:rPr>
            </w:pPr>
          </w:p>
        </w:tc>
        <w:tc>
          <w:tcPr>
            <w:tcW w:w="3612" w:type="dxa"/>
            <w:gridSpan w:val="4"/>
          </w:tcPr>
          <w:p>
            <w:pPr>
              <w:spacing w:line="440" w:lineRule="exact"/>
              <w:rPr>
                <w:rFonts w:ascii="Times New Roman" w:hAnsi="Times New Roman"/>
                <w:color w:val="auto"/>
                <w:highlight w:val="none"/>
              </w:rPr>
            </w:pPr>
          </w:p>
        </w:tc>
        <w:tc>
          <w:tcPr>
            <w:tcW w:w="1331" w:type="dxa"/>
          </w:tcPr>
          <w:p>
            <w:pPr>
              <w:spacing w:line="440" w:lineRule="exact"/>
              <w:rPr>
                <w:rFonts w:ascii="Times New Roman" w:hAnsi="Times New Roman"/>
                <w:color w:val="auto"/>
                <w:highlight w:val="none"/>
              </w:rPr>
            </w:pPr>
          </w:p>
        </w:tc>
        <w:tc>
          <w:tcPr>
            <w:tcW w:w="2426"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highlight w:val="none"/>
              </w:rPr>
            </w:pPr>
          </w:p>
        </w:tc>
        <w:tc>
          <w:tcPr>
            <w:tcW w:w="3612" w:type="dxa"/>
            <w:gridSpan w:val="4"/>
          </w:tcPr>
          <w:p>
            <w:pPr>
              <w:spacing w:line="440" w:lineRule="exact"/>
              <w:rPr>
                <w:rFonts w:ascii="Times New Roman" w:hAnsi="Times New Roman"/>
                <w:color w:val="auto"/>
                <w:highlight w:val="none"/>
              </w:rPr>
            </w:pPr>
          </w:p>
        </w:tc>
        <w:tc>
          <w:tcPr>
            <w:tcW w:w="1331" w:type="dxa"/>
          </w:tcPr>
          <w:p>
            <w:pPr>
              <w:spacing w:line="440" w:lineRule="exact"/>
              <w:rPr>
                <w:rFonts w:ascii="Times New Roman" w:hAnsi="Times New Roman"/>
                <w:color w:val="auto"/>
                <w:highlight w:val="none"/>
              </w:rPr>
            </w:pPr>
          </w:p>
        </w:tc>
        <w:tc>
          <w:tcPr>
            <w:tcW w:w="2426"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highlight w:val="none"/>
              </w:rPr>
            </w:pPr>
          </w:p>
        </w:tc>
        <w:tc>
          <w:tcPr>
            <w:tcW w:w="3612" w:type="dxa"/>
            <w:gridSpan w:val="4"/>
          </w:tcPr>
          <w:p>
            <w:pPr>
              <w:spacing w:line="440" w:lineRule="exact"/>
              <w:rPr>
                <w:rFonts w:ascii="Times New Roman" w:hAnsi="Times New Roman"/>
                <w:color w:val="auto"/>
                <w:highlight w:val="none"/>
              </w:rPr>
            </w:pPr>
          </w:p>
        </w:tc>
        <w:tc>
          <w:tcPr>
            <w:tcW w:w="1331" w:type="dxa"/>
          </w:tcPr>
          <w:p>
            <w:pPr>
              <w:spacing w:line="440" w:lineRule="exact"/>
              <w:rPr>
                <w:rFonts w:ascii="Times New Roman" w:hAnsi="Times New Roman"/>
                <w:color w:val="auto"/>
                <w:highlight w:val="none"/>
              </w:rPr>
            </w:pPr>
          </w:p>
        </w:tc>
        <w:tc>
          <w:tcPr>
            <w:tcW w:w="2426"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highlight w:val="none"/>
              </w:rPr>
            </w:pPr>
          </w:p>
        </w:tc>
        <w:tc>
          <w:tcPr>
            <w:tcW w:w="3612" w:type="dxa"/>
            <w:gridSpan w:val="4"/>
            <w:vAlign w:val="center"/>
          </w:tcPr>
          <w:p>
            <w:pPr>
              <w:spacing w:line="440" w:lineRule="exact"/>
              <w:rPr>
                <w:rFonts w:ascii="Times New Roman" w:hAnsi="Times New Roman"/>
                <w:color w:val="auto"/>
                <w:highlight w:val="none"/>
              </w:rPr>
            </w:pPr>
          </w:p>
        </w:tc>
        <w:tc>
          <w:tcPr>
            <w:tcW w:w="1331" w:type="dxa"/>
            <w:vAlign w:val="center"/>
          </w:tcPr>
          <w:p>
            <w:pPr>
              <w:spacing w:line="440" w:lineRule="exact"/>
              <w:rPr>
                <w:rFonts w:ascii="Times New Roman" w:hAnsi="Times New Roman"/>
                <w:color w:val="auto"/>
                <w:highlight w:val="none"/>
              </w:rPr>
            </w:pPr>
          </w:p>
        </w:tc>
        <w:tc>
          <w:tcPr>
            <w:tcW w:w="2426"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highlight w:val="none"/>
              </w:rPr>
            </w:pPr>
          </w:p>
        </w:tc>
        <w:tc>
          <w:tcPr>
            <w:tcW w:w="3612" w:type="dxa"/>
            <w:gridSpan w:val="4"/>
            <w:vAlign w:val="center"/>
          </w:tcPr>
          <w:p>
            <w:pPr>
              <w:spacing w:line="440" w:lineRule="exact"/>
              <w:rPr>
                <w:rFonts w:ascii="Times New Roman" w:hAnsi="Times New Roman"/>
                <w:color w:val="auto"/>
                <w:highlight w:val="none"/>
              </w:rPr>
            </w:pPr>
          </w:p>
        </w:tc>
        <w:tc>
          <w:tcPr>
            <w:tcW w:w="1331" w:type="dxa"/>
            <w:vAlign w:val="center"/>
          </w:tcPr>
          <w:p>
            <w:pPr>
              <w:spacing w:line="440" w:lineRule="exact"/>
              <w:rPr>
                <w:rFonts w:ascii="Times New Roman" w:hAnsi="Times New Roman"/>
                <w:color w:val="auto"/>
                <w:highlight w:val="none"/>
              </w:rPr>
            </w:pPr>
          </w:p>
        </w:tc>
        <w:tc>
          <w:tcPr>
            <w:tcW w:w="2426"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highlight w:val="none"/>
              </w:rPr>
            </w:pPr>
          </w:p>
        </w:tc>
        <w:tc>
          <w:tcPr>
            <w:tcW w:w="3612" w:type="dxa"/>
            <w:gridSpan w:val="4"/>
            <w:vAlign w:val="center"/>
          </w:tcPr>
          <w:p>
            <w:pPr>
              <w:spacing w:line="440" w:lineRule="exact"/>
              <w:rPr>
                <w:rFonts w:ascii="Times New Roman" w:hAnsi="Times New Roman"/>
                <w:color w:val="auto"/>
                <w:highlight w:val="none"/>
              </w:rPr>
            </w:pPr>
          </w:p>
        </w:tc>
        <w:tc>
          <w:tcPr>
            <w:tcW w:w="1331" w:type="dxa"/>
            <w:vAlign w:val="center"/>
          </w:tcPr>
          <w:p>
            <w:pPr>
              <w:spacing w:line="440" w:lineRule="exact"/>
              <w:rPr>
                <w:rFonts w:ascii="Times New Roman" w:hAnsi="Times New Roman"/>
                <w:color w:val="auto"/>
                <w:highlight w:val="none"/>
              </w:rPr>
            </w:pPr>
          </w:p>
        </w:tc>
        <w:tc>
          <w:tcPr>
            <w:tcW w:w="2426"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highlight w:val="none"/>
              </w:rPr>
            </w:pPr>
          </w:p>
        </w:tc>
        <w:tc>
          <w:tcPr>
            <w:tcW w:w="3612" w:type="dxa"/>
            <w:gridSpan w:val="4"/>
            <w:vAlign w:val="center"/>
          </w:tcPr>
          <w:p>
            <w:pPr>
              <w:spacing w:line="440" w:lineRule="exact"/>
              <w:rPr>
                <w:rFonts w:ascii="Times New Roman" w:hAnsi="Times New Roman"/>
                <w:color w:val="auto"/>
                <w:highlight w:val="none"/>
              </w:rPr>
            </w:pPr>
          </w:p>
        </w:tc>
        <w:tc>
          <w:tcPr>
            <w:tcW w:w="1331" w:type="dxa"/>
            <w:vAlign w:val="center"/>
          </w:tcPr>
          <w:p>
            <w:pPr>
              <w:spacing w:line="440" w:lineRule="exact"/>
              <w:rPr>
                <w:rFonts w:ascii="Times New Roman" w:hAnsi="Times New Roman"/>
                <w:color w:val="auto"/>
                <w:highlight w:val="none"/>
              </w:rPr>
            </w:pPr>
          </w:p>
        </w:tc>
        <w:tc>
          <w:tcPr>
            <w:tcW w:w="2426" w:type="dxa"/>
            <w:gridSpan w:val="2"/>
            <w:vAlign w:val="center"/>
          </w:tcPr>
          <w:p>
            <w:pPr>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注：投标人应根据</w:t>
      </w:r>
      <w:r>
        <w:rPr>
          <w:rFonts w:hint="eastAsia" w:ascii="Times New Roman" w:hAnsi="Times New Roman"/>
          <w:color w:val="auto"/>
          <w:highlight w:val="none"/>
        </w:rPr>
        <w:t>评标办法前附表</w:t>
      </w:r>
      <w:r>
        <w:rPr>
          <w:rFonts w:ascii="Times New Roman" w:hAnsi="Times New Roman"/>
          <w:color w:val="auto"/>
          <w:highlight w:val="none"/>
        </w:rPr>
        <w:t>第</w:t>
      </w:r>
      <w:r>
        <w:rPr>
          <w:rFonts w:hint="eastAsia" w:ascii="Times New Roman" w:hAnsi="Times New Roman"/>
          <w:color w:val="auto"/>
          <w:highlight w:val="none"/>
        </w:rPr>
        <w:t>2.2.4</w:t>
      </w:r>
      <w:r>
        <w:rPr>
          <w:rFonts w:ascii="Times New Roman" w:hAnsi="Times New Roman"/>
          <w:color w:val="auto"/>
          <w:highlight w:val="none"/>
        </w:rPr>
        <w:t>项</w:t>
      </w:r>
      <w:r>
        <w:rPr>
          <w:rFonts w:hint="eastAsia" w:ascii="Times New Roman" w:hAnsi="Times New Roman"/>
          <w:color w:val="auto"/>
          <w:highlight w:val="none"/>
        </w:rPr>
        <w:t>说明</w:t>
      </w:r>
      <w:r>
        <w:rPr>
          <w:rFonts w:ascii="Times New Roman" w:hAnsi="Times New Roman"/>
          <w:color w:val="auto"/>
          <w:highlight w:val="none"/>
        </w:rPr>
        <w:t>的要求在本表后附相关证明材料。</w:t>
      </w:r>
      <w:r>
        <w:rPr>
          <w:rFonts w:hint="eastAsia" w:ascii="Times New Roman" w:hAnsi="Times New Roman"/>
          <w:color w:val="auto"/>
          <w:highlight w:val="none"/>
        </w:rPr>
        <w:t>本项目社保缴纳期限包含疫情期，若当地政府部门允许企业在疫情期间缓缴社会保险费且投标人未缴纳的，投标人可提供当地政府部门允许缓缴社保的相关文件作为缴纳社保的证明。</w:t>
      </w:r>
    </w:p>
    <w:p>
      <w:pPr>
        <w:pStyle w:val="32"/>
        <w:rPr>
          <w:color w:val="auto"/>
          <w:highlight w:val="none"/>
        </w:rPr>
      </w:pP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widowControl/>
        <w:jc w:val="left"/>
        <w:rPr>
          <w:rFonts w:ascii="Times New Roman" w:hAnsi="Times New Roman" w:eastAsia="黑体"/>
          <w:color w:val="auto"/>
          <w:sz w:val="28"/>
          <w:szCs w:val="20"/>
          <w:highlight w:val="none"/>
        </w:rPr>
      </w:pPr>
      <w:bookmarkStart w:id="807" w:name="_Toc89870685"/>
      <w:r>
        <w:rPr>
          <w:rFonts w:ascii="Times New Roman" w:hAnsi="Times New Roman"/>
          <w:color w:val="auto"/>
          <w:highlight w:val="none"/>
        </w:rPr>
        <w:br w:type="page"/>
      </w:r>
    </w:p>
    <w:p>
      <w:pPr>
        <w:pStyle w:val="6"/>
        <w:keepNext w:val="0"/>
        <w:keepLines w:val="0"/>
        <w:ind w:firstLine="137"/>
        <w:jc w:val="center"/>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拟投入本项目的主要试验检测仪器设备表</w:t>
      </w:r>
      <w:bookmarkEnd w:id="807"/>
    </w:p>
    <w:tbl>
      <w:tblPr>
        <w:tblStyle w:val="2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10"/>
        <w:gridCol w:w="1036"/>
        <w:gridCol w:w="827"/>
        <w:gridCol w:w="941"/>
        <w:gridCol w:w="1099"/>
        <w:gridCol w:w="157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06" w:type="dxa"/>
            <w:vAlign w:val="center"/>
          </w:tcPr>
          <w:p>
            <w:pPr>
              <w:spacing w:line="440" w:lineRule="exact"/>
              <w:rPr>
                <w:rFonts w:ascii="Times New Roman" w:hAnsi="Times New Roman"/>
                <w:color w:val="auto"/>
                <w:szCs w:val="21"/>
                <w:highlight w:val="none"/>
              </w:rPr>
            </w:pPr>
            <w:r>
              <w:rPr>
                <w:rFonts w:ascii="Times New Roman" w:hAnsi="Times New Roman"/>
                <w:color w:val="auto"/>
                <w:szCs w:val="21"/>
                <w:highlight w:val="none"/>
              </w:rPr>
              <w:t>序号</w:t>
            </w:r>
          </w:p>
        </w:tc>
        <w:tc>
          <w:tcPr>
            <w:tcW w:w="1410"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仪器设备</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名称</w:t>
            </w:r>
          </w:p>
        </w:tc>
        <w:tc>
          <w:tcPr>
            <w:tcW w:w="1036"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型号</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规格</w:t>
            </w:r>
          </w:p>
        </w:tc>
        <w:tc>
          <w:tcPr>
            <w:tcW w:w="827"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数量</w:t>
            </w:r>
          </w:p>
        </w:tc>
        <w:tc>
          <w:tcPr>
            <w:tcW w:w="941"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国别</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产地</w:t>
            </w:r>
          </w:p>
        </w:tc>
        <w:tc>
          <w:tcPr>
            <w:tcW w:w="1099"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制造</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年份</w:t>
            </w:r>
          </w:p>
        </w:tc>
        <w:tc>
          <w:tcPr>
            <w:tcW w:w="1570"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用途</w:t>
            </w:r>
          </w:p>
        </w:tc>
        <w:tc>
          <w:tcPr>
            <w:tcW w:w="1285"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vAlign w:val="center"/>
          </w:tcPr>
          <w:p>
            <w:pPr>
              <w:spacing w:line="440" w:lineRule="exact"/>
              <w:jc w:val="center"/>
              <w:rPr>
                <w:rFonts w:ascii="Times New Roman" w:hAnsi="Times New Roman"/>
                <w:color w:val="auto"/>
                <w:szCs w:val="21"/>
                <w:highlight w:val="none"/>
              </w:rPr>
            </w:pPr>
          </w:p>
        </w:tc>
        <w:tc>
          <w:tcPr>
            <w:tcW w:w="1410" w:type="dxa"/>
            <w:vAlign w:val="center"/>
          </w:tcPr>
          <w:p>
            <w:pPr>
              <w:spacing w:line="440" w:lineRule="exact"/>
              <w:jc w:val="center"/>
              <w:rPr>
                <w:rFonts w:ascii="Times New Roman" w:hAnsi="Times New Roman"/>
                <w:color w:val="auto"/>
                <w:szCs w:val="21"/>
                <w:highlight w:val="none"/>
              </w:rPr>
            </w:pPr>
          </w:p>
        </w:tc>
        <w:tc>
          <w:tcPr>
            <w:tcW w:w="1036" w:type="dxa"/>
            <w:vAlign w:val="center"/>
          </w:tcPr>
          <w:p>
            <w:pPr>
              <w:spacing w:line="440" w:lineRule="exact"/>
              <w:jc w:val="center"/>
              <w:rPr>
                <w:rFonts w:ascii="Times New Roman" w:hAnsi="Times New Roman"/>
                <w:color w:val="auto"/>
                <w:szCs w:val="21"/>
                <w:highlight w:val="none"/>
              </w:rPr>
            </w:pPr>
          </w:p>
        </w:tc>
        <w:tc>
          <w:tcPr>
            <w:tcW w:w="827" w:type="dxa"/>
            <w:vAlign w:val="center"/>
          </w:tcPr>
          <w:p>
            <w:pPr>
              <w:spacing w:line="440" w:lineRule="exact"/>
              <w:jc w:val="center"/>
              <w:rPr>
                <w:rFonts w:ascii="Times New Roman" w:hAnsi="Times New Roman"/>
                <w:color w:val="auto"/>
                <w:szCs w:val="21"/>
                <w:highlight w:val="none"/>
              </w:rPr>
            </w:pPr>
          </w:p>
        </w:tc>
        <w:tc>
          <w:tcPr>
            <w:tcW w:w="941" w:type="dxa"/>
            <w:vAlign w:val="center"/>
          </w:tcPr>
          <w:p>
            <w:pPr>
              <w:spacing w:line="440" w:lineRule="exact"/>
              <w:jc w:val="center"/>
              <w:rPr>
                <w:rFonts w:ascii="Times New Roman" w:hAnsi="Times New Roman"/>
                <w:color w:val="auto"/>
                <w:szCs w:val="21"/>
                <w:highlight w:val="none"/>
              </w:rPr>
            </w:pPr>
          </w:p>
        </w:tc>
        <w:tc>
          <w:tcPr>
            <w:tcW w:w="1099" w:type="dxa"/>
            <w:vAlign w:val="center"/>
          </w:tcPr>
          <w:p>
            <w:pPr>
              <w:spacing w:line="440" w:lineRule="exact"/>
              <w:jc w:val="center"/>
              <w:rPr>
                <w:rFonts w:ascii="Times New Roman" w:hAnsi="Times New Roman"/>
                <w:color w:val="auto"/>
                <w:szCs w:val="21"/>
                <w:highlight w:val="none"/>
              </w:rPr>
            </w:pPr>
          </w:p>
        </w:tc>
        <w:tc>
          <w:tcPr>
            <w:tcW w:w="1570" w:type="dxa"/>
            <w:vAlign w:val="center"/>
          </w:tcPr>
          <w:p>
            <w:pPr>
              <w:spacing w:line="440" w:lineRule="exact"/>
              <w:jc w:val="center"/>
              <w:rPr>
                <w:rFonts w:ascii="Times New Roman" w:hAnsi="Times New Roman"/>
                <w:color w:val="auto"/>
                <w:szCs w:val="21"/>
                <w:highlight w:val="none"/>
              </w:rPr>
            </w:pPr>
          </w:p>
        </w:tc>
        <w:tc>
          <w:tcPr>
            <w:tcW w:w="1285" w:type="dxa"/>
            <w:vAlign w:val="center"/>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vAlign w:val="center"/>
          </w:tcPr>
          <w:p>
            <w:pPr>
              <w:spacing w:line="440" w:lineRule="exact"/>
              <w:jc w:val="center"/>
              <w:rPr>
                <w:rFonts w:ascii="Times New Roman" w:hAnsi="Times New Roman"/>
                <w:color w:val="auto"/>
                <w:szCs w:val="21"/>
                <w:highlight w:val="none"/>
              </w:rPr>
            </w:pPr>
          </w:p>
        </w:tc>
        <w:tc>
          <w:tcPr>
            <w:tcW w:w="1410" w:type="dxa"/>
            <w:vAlign w:val="center"/>
          </w:tcPr>
          <w:p>
            <w:pPr>
              <w:spacing w:line="440" w:lineRule="exact"/>
              <w:jc w:val="center"/>
              <w:rPr>
                <w:rFonts w:ascii="Times New Roman" w:hAnsi="Times New Roman"/>
                <w:color w:val="auto"/>
                <w:szCs w:val="21"/>
                <w:highlight w:val="none"/>
              </w:rPr>
            </w:pPr>
          </w:p>
        </w:tc>
        <w:tc>
          <w:tcPr>
            <w:tcW w:w="1036" w:type="dxa"/>
            <w:vAlign w:val="center"/>
          </w:tcPr>
          <w:p>
            <w:pPr>
              <w:spacing w:line="440" w:lineRule="exact"/>
              <w:jc w:val="center"/>
              <w:rPr>
                <w:rFonts w:ascii="Times New Roman" w:hAnsi="Times New Roman"/>
                <w:color w:val="auto"/>
                <w:szCs w:val="21"/>
                <w:highlight w:val="none"/>
              </w:rPr>
            </w:pPr>
          </w:p>
        </w:tc>
        <w:tc>
          <w:tcPr>
            <w:tcW w:w="827" w:type="dxa"/>
            <w:vAlign w:val="center"/>
          </w:tcPr>
          <w:p>
            <w:pPr>
              <w:spacing w:line="440" w:lineRule="exact"/>
              <w:jc w:val="center"/>
              <w:rPr>
                <w:rFonts w:ascii="Times New Roman" w:hAnsi="Times New Roman"/>
                <w:color w:val="auto"/>
                <w:szCs w:val="21"/>
                <w:highlight w:val="none"/>
              </w:rPr>
            </w:pPr>
          </w:p>
        </w:tc>
        <w:tc>
          <w:tcPr>
            <w:tcW w:w="941" w:type="dxa"/>
            <w:vAlign w:val="center"/>
          </w:tcPr>
          <w:p>
            <w:pPr>
              <w:spacing w:line="440" w:lineRule="exact"/>
              <w:jc w:val="center"/>
              <w:rPr>
                <w:rFonts w:ascii="Times New Roman" w:hAnsi="Times New Roman"/>
                <w:color w:val="auto"/>
                <w:szCs w:val="21"/>
                <w:highlight w:val="none"/>
              </w:rPr>
            </w:pPr>
          </w:p>
        </w:tc>
        <w:tc>
          <w:tcPr>
            <w:tcW w:w="1099" w:type="dxa"/>
            <w:vAlign w:val="center"/>
          </w:tcPr>
          <w:p>
            <w:pPr>
              <w:spacing w:line="440" w:lineRule="exact"/>
              <w:jc w:val="center"/>
              <w:rPr>
                <w:rFonts w:ascii="Times New Roman" w:hAnsi="Times New Roman"/>
                <w:color w:val="auto"/>
                <w:szCs w:val="21"/>
                <w:highlight w:val="none"/>
              </w:rPr>
            </w:pPr>
          </w:p>
        </w:tc>
        <w:tc>
          <w:tcPr>
            <w:tcW w:w="1570" w:type="dxa"/>
            <w:vAlign w:val="center"/>
          </w:tcPr>
          <w:p>
            <w:pPr>
              <w:spacing w:line="440" w:lineRule="exact"/>
              <w:jc w:val="center"/>
              <w:rPr>
                <w:rFonts w:ascii="Times New Roman" w:hAnsi="Times New Roman"/>
                <w:color w:val="auto"/>
                <w:szCs w:val="21"/>
                <w:highlight w:val="none"/>
              </w:rPr>
            </w:pPr>
          </w:p>
        </w:tc>
        <w:tc>
          <w:tcPr>
            <w:tcW w:w="1285" w:type="dxa"/>
            <w:vAlign w:val="center"/>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highlight w:val="none"/>
              </w:rPr>
            </w:pPr>
          </w:p>
        </w:tc>
        <w:tc>
          <w:tcPr>
            <w:tcW w:w="1410" w:type="dxa"/>
          </w:tcPr>
          <w:p>
            <w:pPr>
              <w:spacing w:line="440" w:lineRule="exact"/>
              <w:jc w:val="center"/>
              <w:rPr>
                <w:rFonts w:ascii="Times New Roman" w:hAnsi="Times New Roman"/>
                <w:color w:val="auto"/>
                <w:szCs w:val="21"/>
                <w:highlight w:val="none"/>
              </w:rPr>
            </w:pPr>
          </w:p>
        </w:tc>
        <w:tc>
          <w:tcPr>
            <w:tcW w:w="1036" w:type="dxa"/>
          </w:tcPr>
          <w:p>
            <w:pPr>
              <w:spacing w:line="440" w:lineRule="exact"/>
              <w:jc w:val="center"/>
              <w:rPr>
                <w:rFonts w:ascii="Times New Roman" w:hAnsi="Times New Roman"/>
                <w:color w:val="auto"/>
                <w:szCs w:val="21"/>
                <w:highlight w:val="none"/>
              </w:rPr>
            </w:pPr>
          </w:p>
        </w:tc>
        <w:tc>
          <w:tcPr>
            <w:tcW w:w="827" w:type="dxa"/>
          </w:tcPr>
          <w:p>
            <w:pPr>
              <w:spacing w:line="440" w:lineRule="exact"/>
              <w:jc w:val="center"/>
              <w:rPr>
                <w:rFonts w:ascii="Times New Roman" w:hAnsi="Times New Roman"/>
                <w:color w:val="auto"/>
                <w:szCs w:val="21"/>
                <w:highlight w:val="none"/>
              </w:rPr>
            </w:pPr>
          </w:p>
        </w:tc>
        <w:tc>
          <w:tcPr>
            <w:tcW w:w="941" w:type="dxa"/>
          </w:tcPr>
          <w:p>
            <w:pPr>
              <w:spacing w:line="440" w:lineRule="exact"/>
              <w:jc w:val="center"/>
              <w:rPr>
                <w:rFonts w:ascii="Times New Roman" w:hAnsi="Times New Roman"/>
                <w:color w:val="auto"/>
                <w:szCs w:val="21"/>
                <w:highlight w:val="none"/>
              </w:rPr>
            </w:pPr>
          </w:p>
        </w:tc>
        <w:tc>
          <w:tcPr>
            <w:tcW w:w="1099" w:type="dxa"/>
          </w:tcPr>
          <w:p>
            <w:pPr>
              <w:spacing w:line="440" w:lineRule="exact"/>
              <w:jc w:val="center"/>
              <w:rPr>
                <w:rFonts w:ascii="Times New Roman" w:hAnsi="Times New Roman"/>
                <w:color w:val="auto"/>
                <w:szCs w:val="21"/>
                <w:highlight w:val="none"/>
              </w:rPr>
            </w:pPr>
          </w:p>
        </w:tc>
        <w:tc>
          <w:tcPr>
            <w:tcW w:w="1570" w:type="dxa"/>
          </w:tcPr>
          <w:p>
            <w:pPr>
              <w:spacing w:line="440" w:lineRule="exact"/>
              <w:jc w:val="center"/>
              <w:rPr>
                <w:rFonts w:ascii="Times New Roman" w:hAnsi="Times New Roman"/>
                <w:color w:val="auto"/>
                <w:szCs w:val="21"/>
                <w:highlight w:val="none"/>
              </w:rPr>
            </w:pPr>
          </w:p>
        </w:tc>
        <w:tc>
          <w:tcPr>
            <w:tcW w:w="1285" w:type="dxa"/>
          </w:tcPr>
          <w:p>
            <w:pPr>
              <w:spacing w:line="440" w:lineRule="exact"/>
              <w:jc w:val="center"/>
              <w:rPr>
                <w:rFonts w:ascii="Times New Roman" w:hAnsi="Times New Roman"/>
                <w:color w:val="auto"/>
                <w:szCs w:val="21"/>
                <w:highlight w:val="none"/>
              </w:rPr>
            </w:pPr>
          </w:p>
        </w:tc>
      </w:tr>
    </w:tbl>
    <w:p>
      <w:pPr>
        <w:rPr>
          <w:rFonts w:ascii="Times New Roman" w:hAnsi="Times New Roman"/>
          <w:color w:val="auto"/>
          <w:highlight w:val="none"/>
        </w:rPr>
      </w:pPr>
    </w:p>
    <w:p>
      <w:pPr>
        <w:rPr>
          <w:color w:val="auto"/>
          <w:highlight w:val="none"/>
        </w:rPr>
      </w:pPr>
    </w:p>
    <w:p>
      <w:pPr>
        <w:rPr>
          <w:color w:val="auto"/>
          <w:highlight w:val="none"/>
        </w:rPr>
      </w:pPr>
    </w:p>
    <w:p>
      <w:pPr>
        <w:jc w:val="center"/>
        <w:rPr>
          <w:rFonts w:ascii="Times New Roman" w:hAnsi="Times New Roman" w:eastAsia="黑体"/>
          <w:color w:val="auto"/>
          <w:sz w:val="28"/>
          <w:szCs w:val="20"/>
          <w:highlight w:val="none"/>
        </w:rPr>
      </w:pPr>
      <w:bookmarkStart w:id="808" w:name="_Toc16"/>
    </w:p>
    <w:p>
      <w:pPr>
        <w:jc w:val="center"/>
        <w:rPr>
          <w:rFonts w:ascii="Times New Roman" w:hAnsi="Times New Roman" w:eastAsia="黑体"/>
          <w:color w:val="auto"/>
          <w:sz w:val="28"/>
          <w:szCs w:val="20"/>
          <w:highlight w:val="none"/>
        </w:rPr>
      </w:pPr>
    </w:p>
    <w:p>
      <w:pPr>
        <w:widowControl/>
        <w:jc w:val="left"/>
        <w:rPr>
          <w:rFonts w:ascii="Times New Roman" w:hAnsi="Times New Roman" w:eastAsia="黑体"/>
          <w:color w:val="auto"/>
          <w:sz w:val="28"/>
          <w:szCs w:val="20"/>
          <w:highlight w:val="none"/>
        </w:rPr>
      </w:pPr>
      <w:r>
        <w:rPr>
          <w:rFonts w:ascii="Times New Roman" w:hAnsi="Times New Roman" w:eastAsia="黑体"/>
          <w:color w:val="auto"/>
          <w:sz w:val="28"/>
          <w:szCs w:val="20"/>
          <w:highlight w:val="none"/>
        </w:rPr>
        <w:br w:type="page"/>
      </w:r>
    </w:p>
    <w:p>
      <w:pPr>
        <w:jc w:val="center"/>
        <w:rPr>
          <w:rFonts w:ascii="Times New Roman" w:hAnsi="Times New Roman" w:eastAsia="黑体"/>
          <w:color w:val="auto"/>
          <w:sz w:val="28"/>
          <w:szCs w:val="20"/>
          <w:highlight w:val="none"/>
        </w:rPr>
      </w:pPr>
      <w:r>
        <w:rPr>
          <w:rFonts w:hint="eastAsia" w:ascii="Times New Roman" w:hAnsi="Times New Roman" w:eastAsia="黑体"/>
          <w:color w:val="auto"/>
          <w:sz w:val="28"/>
          <w:szCs w:val="20"/>
          <w:highlight w:val="none"/>
        </w:rPr>
        <w:t>（五）</w:t>
      </w:r>
      <w:bookmarkEnd w:id="808"/>
      <w:r>
        <w:rPr>
          <w:rFonts w:hint="eastAsia" w:ascii="Times New Roman" w:hAnsi="Times New Roman" w:eastAsia="黑体"/>
          <w:color w:val="auto"/>
          <w:sz w:val="28"/>
          <w:szCs w:val="20"/>
          <w:highlight w:val="none"/>
        </w:rPr>
        <w:t>投标人认为需要提供的资料（如有）。</w:t>
      </w:r>
    </w:p>
    <w:p>
      <w:pPr>
        <w:jc w:val="center"/>
        <w:rPr>
          <w:color w:val="auto"/>
          <w:highlight w:val="none"/>
        </w:rPr>
      </w:pPr>
    </w:p>
    <w:p>
      <w:pPr>
        <w:rPr>
          <w:color w:val="auto"/>
          <w:highlight w:val="none"/>
        </w:rPr>
      </w:pPr>
      <w:r>
        <w:rPr>
          <w:rFonts w:hint="eastAsia"/>
          <w:color w:val="auto"/>
          <w:highlight w:val="none"/>
        </w:rPr>
        <w:t>格式自拟。</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24</w:t>
    </w:r>
    <w:r>
      <w:rPr>
        <w:lang w:val="zh-CN"/>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24</w:t>
    </w:r>
    <w:r>
      <w:rPr>
        <w:lang w:val="zh-CN"/>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118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2" w:hanging="601"/>
      </w:pPr>
      <w:rPr>
        <w:rFonts w:hint="default"/>
        <w:lang w:val="zh-CN" w:eastAsia="zh-CN" w:bidi="zh-CN"/>
      </w:rPr>
    </w:lvl>
    <w:lvl w:ilvl="2" w:tentative="0">
      <w:start w:val="0"/>
      <w:numFmt w:val="bullet"/>
      <w:lvlText w:val="•"/>
      <w:lvlJc w:val="left"/>
      <w:pPr>
        <w:ind w:left="3064"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948" w:hanging="601"/>
      </w:pPr>
      <w:rPr>
        <w:rFonts w:hint="default"/>
        <w:lang w:val="zh-CN" w:eastAsia="zh-CN" w:bidi="zh-CN"/>
      </w:rPr>
    </w:lvl>
    <w:lvl w:ilvl="5" w:tentative="0">
      <w:start w:val="0"/>
      <w:numFmt w:val="bullet"/>
      <w:lvlText w:val="•"/>
      <w:lvlJc w:val="left"/>
      <w:pPr>
        <w:ind w:left="5890" w:hanging="601"/>
      </w:pPr>
      <w:rPr>
        <w:rFonts w:hint="default"/>
        <w:lang w:val="zh-CN" w:eastAsia="zh-CN" w:bidi="zh-CN"/>
      </w:rPr>
    </w:lvl>
    <w:lvl w:ilvl="6" w:tentative="0">
      <w:start w:val="0"/>
      <w:numFmt w:val="bullet"/>
      <w:lvlText w:val="•"/>
      <w:lvlJc w:val="left"/>
      <w:pPr>
        <w:ind w:left="6832" w:hanging="601"/>
      </w:pPr>
      <w:rPr>
        <w:rFonts w:hint="default"/>
        <w:lang w:val="zh-CN" w:eastAsia="zh-CN" w:bidi="zh-CN"/>
      </w:rPr>
    </w:lvl>
    <w:lvl w:ilvl="7" w:tentative="0">
      <w:start w:val="0"/>
      <w:numFmt w:val="bullet"/>
      <w:lvlText w:val="•"/>
      <w:lvlJc w:val="left"/>
      <w:pPr>
        <w:ind w:left="7774" w:hanging="601"/>
      </w:pPr>
      <w:rPr>
        <w:rFonts w:hint="default"/>
        <w:lang w:val="zh-CN" w:eastAsia="zh-CN" w:bidi="zh-CN"/>
      </w:rPr>
    </w:lvl>
    <w:lvl w:ilvl="8" w:tentative="0">
      <w:start w:val="0"/>
      <w:numFmt w:val="bullet"/>
      <w:lvlText w:val="•"/>
      <w:lvlJc w:val="left"/>
      <w:pPr>
        <w:ind w:left="8716" w:hanging="601"/>
      </w:pPr>
      <w:rPr>
        <w:rFonts w:hint="default"/>
        <w:lang w:val="zh-CN" w:eastAsia="zh-CN" w:bidi="zh-CN"/>
      </w:rPr>
    </w:lvl>
  </w:abstractNum>
  <w:abstractNum w:abstractNumId="1">
    <w:nsid w:val="00000001"/>
    <w:multiLevelType w:val="singleLevel"/>
    <w:tmpl w:val="00000001"/>
    <w:lvl w:ilvl="0" w:tentative="0">
      <w:start w:val="4"/>
      <w:numFmt w:val="decimal"/>
      <w:suff w:val="space"/>
      <w:lvlText w:val="%1."/>
      <w:lvlJc w:val="left"/>
    </w:lvl>
  </w:abstractNum>
  <w:abstractNum w:abstractNumId="2">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F9F9CCA"/>
    <w:multiLevelType w:val="multilevel"/>
    <w:tmpl w:val="0F9F9CCA"/>
    <w:lvl w:ilvl="0" w:tentative="0">
      <w:start w:val="1"/>
      <w:numFmt w:val="decimal"/>
      <w:lvlText w:val="（%1）"/>
      <w:lvlJc w:val="left"/>
      <w:pPr>
        <w:ind w:left="118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2" w:hanging="601"/>
      </w:pPr>
      <w:rPr>
        <w:rFonts w:hint="default"/>
        <w:lang w:val="zh-CN" w:eastAsia="zh-CN" w:bidi="zh-CN"/>
      </w:rPr>
    </w:lvl>
    <w:lvl w:ilvl="2" w:tentative="0">
      <w:start w:val="0"/>
      <w:numFmt w:val="bullet"/>
      <w:lvlText w:val="•"/>
      <w:lvlJc w:val="left"/>
      <w:pPr>
        <w:ind w:left="3064"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948" w:hanging="601"/>
      </w:pPr>
      <w:rPr>
        <w:rFonts w:hint="default"/>
        <w:lang w:val="zh-CN" w:eastAsia="zh-CN" w:bidi="zh-CN"/>
      </w:rPr>
    </w:lvl>
    <w:lvl w:ilvl="5" w:tentative="0">
      <w:start w:val="0"/>
      <w:numFmt w:val="bullet"/>
      <w:lvlText w:val="•"/>
      <w:lvlJc w:val="left"/>
      <w:pPr>
        <w:ind w:left="5890" w:hanging="601"/>
      </w:pPr>
      <w:rPr>
        <w:rFonts w:hint="default"/>
        <w:lang w:val="zh-CN" w:eastAsia="zh-CN" w:bidi="zh-CN"/>
      </w:rPr>
    </w:lvl>
    <w:lvl w:ilvl="6" w:tentative="0">
      <w:start w:val="0"/>
      <w:numFmt w:val="bullet"/>
      <w:lvlText w:val="•"/>
      <w:lvlJc w:val="left"/>
      <w:pPr>
        <w:ind w:left="6832" w:hanging="601"/>
      </w:pPr>
      <w:rPr>
        <w:rFonts w:hint="default"/>
        <w:lang w:val="zh-CN" w:eastAsia="zh-CN" w:bidi="zh-CN"/>
      </w:rPr>
    </w:lvl>
    <w:lvl w:ilvl="7" w:tentative="0">
      <w:start w:val="0"/>
      <w:numFmt w:val="bullet"/>
      <w:lvlText w:val="•"/>
      <w:lvlJc w:val="left"/>
      <w:pPr>
        <w:ind w:left="7774" w:hanging="601"/>
      </w:pPr>
      <w:rPr>
        <w:rFonts w:hint="default"/>
        <w:lang w:val="zh-CN" w:eastAsia="zh-CN" w:bidi="zh-CN"/>
      </w:rPr>
    </w:lvl>
    <w:lvl w:ilvl="8" w:tentative="0">
      <w:start w:val="0"/>
      <w:numFmt w:val="bullet"/>
      <w:lvlText w:val="•"/>
      <w:lvlJc w:val="left"/>
      <w:pPr>
        <w:ind w:left="8716" w:hanging="601"/>
      </w:pPr>
      <w:rPr>
        <w:rFonts w:hint="default"/>
        <w:lang w:val="zh-CN" w:eastAsia="zh-CN" w:bidi="zh-CN"/>
      </w:rPr>
    </w:lvl>
  </w:abstractNum>
  <w:abstractNum w:abstractNumId="4">
    <w:nsid w:val="262762BB"/>
    <w:multiLevelType w:val="singleLevel"/>
    <w:tmpl w:val="262762BB"/>
    <w:lvl w:ilvl="0" w:tentative="0">
      <w:start w:val="1"/>
      <w:numFmt w:val="chineseCounting"/>
      <w:suff w:val="nothing"/>
      <w:lvlText w:val="%1、"/>
      <w:lvlJc w:val="left"/>
      <w:rPr>
        <w:rFonts w:hint="eastAsia"/>
      </w:rPr>
    </w:lvl>
  </w:abstractNum>
  <w:abstractNum w:abstractNumId="5">
    <w:nsid w:val="365FF7B4"/>
    <w:multiLevelType w:val="singleLevel"/>
    <w:tmpl w:val="365FF7B4"/>
    <w:lvl w:ilvl="0" w:tentative="0">
      <w:start w:val="3"/>
      <w:numFmt w:val="decimal"/>
      <w:suff w:val="space"/>
      <w:lvlText w:val="%1."/>
      <w:lvlJc w:val="left"/>
    </w:lvl>
  </w:abstractNum>
  <w:num w:numId="1">
    <w:abstractNumId w:val="5"/>
  </w:num>
  <w:num w:numId="2">
    <w:abstractNumId w:val="1"/>
    <w:lvlOverride w:ilvl="0">
      <w:startOverride w:val="4"/>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mZlZTRkMTI0ZDI5MTdkMzY2NTQ3MzQ3MWMwMzcifQ=="/>
  </w:docVars>
  <w:rsids>
    <w:rsidRoot w:val="00EA63BE"/>
    <w:rsid w:val="00012B43"/>
    <w:rsid w:val="0001309E"/>
    <w:rsid w:val="000137F8"/>
    <w:rsid w:val="000442F5"/>
    <w:rsid w:val="00045A91"/>
    <w:rsid w:val="00046A38"/>
    <w:rsid w:val="0007228C"/>
    <w:rsid w:val="00084E2F"/>
    <w:rsid w:val="00093EE1"/>
    <w:rsid w:val="000A7F11"/>
    <w:rsid w:val="000D2476"/>
    <w:rsid w:val="000D30E6"/>
    <w:rsid w:val="000E1FA3"/>
    <w:rsid w:val="000F0C8C"/>
    <w:rsid w:val="0016513C"/>
    <w:rsid w:val="0017138F"/>
    <w:rsid w:val="001839C2"/>
    <w:rsid w:val="00197859"/>
    <w:rsid w:val="001A4E90"/>
    <w:rsid w:val="001C04CB"/>
    <w:rsid w:val="001E3BCC"/>
    <w:rsid w:val="00203339"/>
    <w:rsid w:val="00212BCD"/>
    <w:rsid w:val="00225258"/>
    <w:rsid w:val="002651B5"/>
    <w:rsid w:val="00271CBA"/>
    <w:rsid w:val="00273BE9"/>
    <w:rsid w:val="002A3A28"/>
    <w:rsid w:val="002A3F5A"/>
    <w:rsid w:val="002B4865"/>
    <w:rsid w:val="002C33A0"/>
    <w:rsid w:val="002C3F57"/>
    <w:rsid w:val="002D6312"/>
    <w:rsid w:val="002E623B"/>
    <w:rsid w:val="00302AFA"/>
    <w:rsid w:val="00330CF8"/>
    <w:rsid w:val="003509A0"/>
    <w:rsid w:val="003710DA"/>
    <w:rsid w:val="003741A5"/>
    <w:rsid w:val="00383EF9"/>
    <w:rsid w:val="0039151C"/>
    <w:rsid w:val="003A468C"/>
    <w:rsid w:val="003B1388"/>
    <w:rsid w:val="003B2365"/>
    <w:rsid w:val="003B4035"/>
    <w:rsid w:val="003D25CC"/>
    <w:rsid w:val="003D335E"/>
    <w:rsid w:val="003E1E32"/>
    <w:rsid w:val="00446693"/>
    <w:rsid w:val="00457C62"/>
    <w:rsid w:val="0046342D"/>
    <w:rsid w:val="00476F1D"/>
    <w:rsid w:val="00490505"/>
    <w:rsid w:val="004A2660"/>
    <w:rsid w:val="004A720E"/>
    <w:rsid w:val="004B4453"/>
    <w:rsid w:val="004E5648"/>
    <w:rsid w:val="0050468B"/>
    <w:rsid w:val="005253B6"/>
    <w:rsid w:val="00530E1B"/>
    <w:rsid w:val="00577076"/>
    <w:rsid w:val="0059555C"/>
    <w:rsid w:val="005B16C4"/>
    <w:rsid w:val="005B535D"/>
    <w:rsid w:val="005B7814"/>
    <w:rsid w:val="005E1581"/>
    <w:rsid w:val="00601CC4"/>
    <w:rsid w:val="00611D91"/>
    <w:rsid w:val="00614470"/>
    <w:rsid w:val="00634B17"/>
    <w:rsid w:val="00674177"/>
    <w:rsid w:val="00684BC5"/>
    <w:rsid w:val="00687ED8"/>
    <w:rsid w:val="006C10CE"/>
    <w:rsid w:val="006C4E12"/>
    <w:rsid w:val="006D0DED"/>
    <w:rsid w:val="006D1DF3"/>
    <w:rsid w:val="006D525B"/>
    <w:rsid w:val="006E7DB4"/>
    <w:rsid w:val="006F2F19"/>
    <w:rsid w:val="0070519C"/>
    <w:rsid w:val="00724084"/>
    <w:rsid w:val="007279B8"/>
    <w:rsid w:val="00757C48"/>
    <w:rsid w:val="00757E7D"/>
    <w:rsid w:val="00761851"/>
    <w:rsid w:val="00764338"/>
    <w:rsid w:val="00790687"/>
    <w:rsid w:val="007D6515"/>
    <w:rsid w:val="008069CC"/>
    <w:rsid w:val="0080771A"/>
    <w:rsid w:val="00812578"/>
    <w:rsid w:val="00864E67"/>
    <w:rsid w:val="008660F5"/>
    <w:rsid w:val="00866B17"/>
    <w:rsid w:val="00872478"/>
    <w:rsid w:val="00886BF6"/>
    <w:rsid w:val="008B75A4"/>
    <w:rsid w:val="008C0192"/>
    <w:rsid w:val="0093008A"/>
    <w:rsid w:val="00931F5C"/>
    <w:rsid w:val="00956F7B"/>
    <w:rsid w:val="00966314"/>
    <w:rsid w:val="009846D5"/>
    <w:rsid w:val="00993705"/>
    <w:rsid w:val="009C353A"/>
    <w:rsid w:val="009F4D63"/>
    <w:rsid w:val="00A02080"/>
    <w:rsid w:val="00A3226D"/>
    <w:rsid w:val="00A44631"/>
    <w:rsid w:val="00A451B8"/>
    <w:rsid w:val="00A520CB"/>
    <w:rsid w:val="00A6176A"/>
    <w:rsid w:val="00AA0E86"/>
    <w:rsid w:val="00AA35CC"/>
    <w:rsid w:val="00AA4B77"/>
    <w:rsid w:val="00AC245E"/>
    <w:rsid w:val="00AE079C"/>
    <w:rsid w:val="00B04492"/>
    <w:rsid w:val="00B16218"/>
    <w:rsid w:val="00B26538"/>
    <w:rsid w:val="00B405EA"/>
    <w:rsid w:val="00B42A0D"/>
    <w:rsid w:val="00B7775B"/>
    <w:rsid w:val="00B9532C"/>
    <w:rsid w:val="00BC6C0D"/>
    <w:rsid w:val="00BD566A"/>
    <w:rsid w:val="00C1624E"/>
    <w:rsid w:val="00C26783"/>
    <w:rsid w:val="00C45AA0"/>
    <w:rsid w:val="00C47594"/>
    <w:rsid w:val="00C80E39"/>
    <w:rsid w:val="00C814E2"/>
    <w:rsid w:val="00CF7353"/>
    <w:rsid w:val="00D122B0"/>
    <w:rsid w:val="00D16188"/>
    <w:rsid w:val="00D163B4"/>
    <w:rsid w:val="00D429CE"/>
    <w:rsid w:val="00D441A1"/>
    <w:rsid w:val="00D540CB"/>
    <w:rsid w:val="00D814E5"/>
    <w:rsid w:val="00DB1CE0"/>
    <w:rsid w:val="00DC7871"/>
    <w:rsid w:val="00DE20E1"/>
    <w:rsid w:val="00DE3C21"/>
    <w:rsid w:val="00DF2074"/>
    <w:rsid w:val="00E1350A"/>
    <w:rsid w:val="00E30FF2"/>
    <w:rsid w:val="00E47615"/>
    <w:rsid w:val="00E56834"/>
    <w:rsid w:val="00E83E65"/>
    <w:rsid w:val="00EA63BE"/>
    <w:rsid w:val="00EC3AF4"/>
    <w:rsid w:val="00EC53D1"/>
    <w:rsid w:val="00ED4C55"/>
    <w:rsid w:val="00EE4CC4"/>
    <w:rsid w:val="00F91460"/>
    <w:rsid w:val="00F93BD5"/>
    <w:rsid w:val="00FA64B5"/>
    <w:rsid w:val="00FB236E"/>
    <w:rsid w:val="00FC72CE"/>
    <w:rsid w:val="00FE4192"/>
    <w:rsid w:val="01DA029C"/>
    <w:rsid w:val="026D60F8"/>
    <w:rsid w:val="02BD7044"/>
    <w:rsid w:val="0549747E"/>
    <w:rsid w:val="061924C9"/>
    <w:rsid w:val="07EB3A46"/>
    <w:rsid w:val="08642C22"/>
    <w:rsid w:val="087106CF"/>
    <w:rsid w:val="0A1C7FF4"/>
    <w:rsid w:val="0AA552FF"/>
    <w:rsid w:val="0B2A2ABB"/>
    <w:rsid w:val="0FE65785"/>
    <w:rsid w:val="10633051"/>
    <w:rsid w:val="10745A53"/>
    <w:rsid w:val="10DE1511"/>
    <w:rsid w:val="11B10E30"/>
    <w:rsid w:val="11CD7818"/>
    <w:rsid w:val="1203343A"/>
    <w:rsid w:val="12C06EC8"/>
    <w:rsid w:val="13787C50"/>
    <w:rsid w:val="13AF3B94"/>
    <w:rsid w:val="13E91B76"/>
    <w:rsid w:val="14634B62"/>
    <w:rsid w:val="149338DE"/>
    <w:rsid w:val="15D56CB2"/>
    <w:rsid w:val="15FB1B64"/>
    <w:rsid w:val="15FC17B8"/>
    <w:rsid w:val="17794719"/>
    <w:rsid w:val="19AC7F7E"/>
    <w:rsid w:val="1A7F342E"/>
    <w:rsid w:val="1AAB1C95"/>
    <w:rsid w:val="1AD51FCD"/>
    <w:rsid w:val="1B0B7B63"/>
    <w:rsid w:val="1F707492"/>
    <w:rsid w:val="20052AA6"/>
    <w:rsid w:val="2287370D"/>
    <w:rsid w:val="243B7621"/>
    <w:rsid w:val="24CA0A70"/>
    <w:rsid w:val="25DC7F48"/>
    <w:rsid w:val="26185F86"/>
    <w:rsid w:val="27457B09"/>
    <w:rsid w:val="277830CE"/>
    <w:rsid w:val="27837A12"/>
    <w:rsid w:val="28D308C8"/>
    <w:rsid w:val="296F04B9"/>
    <w:rsid w:val="29D807BC"/>
    <w:rsid w:val="2CC04333"/>
    <w:rsid w:val="2D2F177D"/>
    <w:rsid w:val="2F4010E3"/>
    <w:rsid w:val="2FFD45E8"/>
    <w:rsid w:val="30B02C62"/>
    <w:rsid w:val="32E052B5"/>
    <w:rsid w:val="34274A45"/>
    <w:rsid w:val="34A24E89"/>
    <w:rsid w:val="34FA14D5"/>
    <w:rsid w:val="355A5615"/>
    <w:rsid w:val="35D809D0"/>
    <w:rsid w:val="376D3897"/>
    <w:rsid w:val="379C2FCB"/>
    <w:rsid w:val="391966F5"/>
    <w:rsid w:val="3E1D72E9"/>
    <w:rsid w:val="3FC4700A"/>
    <w:rsid w:val="3FE61EF8"/>
    <w:rsid w:val="40FF5779"/>
    <w:rsid w:val="41065AEE"/>
    <w:rsid w:val="412E638D"/>
    <w:rsid w:val="41B8696D"/>
    <w:rsid w:val="457D1427"/>
    <w:rsid w:val="465B54E0"/>
    <w:rsid w:val="48566BE5"/>
    <w:rsid w:val="48F67CDB"/>
    <w:rsid w:val="49367D46"/>
    <w:rsid w:val="4A9D1A87"/>
    <w:rsid w:val="4B092718"/>
    <w:rsid w:val="4B8360DE"/>
    <w:rsid w:val="4C722D31"/>
    <w:rsid w:val="4CD34868"/>
    <w:rsid w:val="4D072B13"/>
    <w:rsid w:val="4D9A513E"/>
    <w:rsid w:val="4DC84CF6"/>
    <w:rsid w:val="4E6C68F7"/>
    <w:rsid w:val="50DF1D3D"/>
    <w:rsid w:val="53443375"/>
    <w:rsid w:val="536C07A9"/>
    <w:rsid w:val="54AA0BDA"/>
    <w:rsid w:val="555155EA"/>
    <w:rsid w:val="563837FE"/>
    <w:rsid w:val="56F23486"/>
    <w:rsid w:val="58EC0B44"/>
    <w:rsid w:val="59822250"/>
    <w:rsid w:val="5A7C4F3D"/>
    <w:rsid w:val="5CB27435"/>
    <w:rsid w:val="5D306F28"/>
    <w:rsid w:val="5DBE3BA2"/>
    <w:rsid w:val="5E275D3B"/>
    <w:rsid w:val="5E6512D5"/>
    <w:rsid w:val="5F6A57A3"/>
    <w:rsid w:val="6115048B"/>
    <w:rsid w:val="61B90ACE"/>
    <w:rsid w:val="61D51065"/>
    <w:rsid w:val="63054152"/>
    <w:rsid w:val="63675FAD"/>
    <w:rsid w:val="64B61558"/>
    <w:rsid w:val="64F44245"/>
    <w:rsid w:val="695068F6"/>
    <w:rsid w:val="69B94497"/>
    <w:rsid w:val="69E1674D"/>
    <w:rsid w:val="6A901C22"/>
    <w:rsid w:val="6CA228CB"/>
    <w:rsid w:val="6E446F28"/>
    <w:rsid w:val="6E642E84"/>
    <w:rsid w:val="6E6E2E3E"/>
    <w:rsid w:val="6FE55D7F"/>
    <w:rsid w:val="70DA42FD"/>
    <w:rsid w:val="71042628"/>
    <w:rsid w:val="71CE727E"/>
    <w:rsid w:val="739B4D00"/>
    <w:rsid w:val="745F72FB"/>
    <w:rsid w:val="74B56541"/>
    <w:rsid w:val="754A6D84"/>
    <w:rsid w:val="764F7082"/>
    <w:rsid w:val="77D63799"/>
    <w:rsid w:val="785448FC"/>
    <w:rsid w:val="78E263A4"/>
    <w:rsid w:val="7AD61519"/>
    <w:rsid w:val="7B881F66"/>
    <w:rsid w:val="7C1B348D"/>
    <w:rsid w:val="7C375CFE"/>
    <w:rsid w:val="7CF31D97"/>
    <w:rsid w:val="7D5E654A"/>
    <w:rsid w:val="7DB4431C"/>
    <w:rsid w:val="7E0D0C38"/>
    <w:rsid w:val="7FDF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99"/>
    <w:pPr>
      <w:keepNext/>
      <w:keepLines/>
      <w:spacing w:before="260" w:after="260" w:line="412" w:lineRule="auto"/>
      <w:outlineLvl w:val="1"/>
    </w:pPr>
    <w:rPr>
      <w:rFonts w:ascii="Arial" w:hAnsi="Arial" w:eastAsia="黑体"/>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5"/>
    <w:basedOn w:val="1"/>
    <w:next w:val="1"/>
    <w:qFormat/>
    <w:uiPriority w:val="1"/>
    <w:pPr>
      <w:spacing w:before="46"/>
      <w:ind w:left="108"/>
      <w:outlineLvl w:val="4"/>
    </w:pPr>
    <w:rPr>
      <w:sz w:val="28"/>
      <w:szCs w:val="28"/>
    </w:rPr>
  </w:style>
  <w:style w:type="paragraph" w:styleId="8">
    <w:name w:val="heading 6"/>
    <w:basedOn w:val="1"/>
    <w:next w:val="1"/>
    <w:qFormat/>
    <w:uiPriority w:val="1"/>
    <w:pPr>
      <w:ind w:left="296"/>
      <w:outlineLvl w:val="5"/>
    </w:pPr>
    <w:rPr>
      <w:b/>
      <w:bCs/>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960" w:firstLineChars="200"/>
    </w:pPr>
    <w:rPr>
      <w:sz w:val="24"/>
      <w:szCs w:val="20"/>
    </w:rPr>
  </w:style>
  <w:style w:type="paragraph" w:styleId="3">
    <w:name w:val="Body Text Indent"/>
    <w:basedOn w:val="1"/>
    <w:qFormat/>
    <w:uiPriority w:val="0"/>
    <w:pPr>
      <w:spacing w:after="120"/>
      <w:ind w:left="420" w:leftChars="200"/>
    </w:pPr>
    <w:rPr>
      <w:rFonts w:ascii="Times New Roman" w:hAnsi="Times New Roman"/>
      <w:szCs w:val="20"/>
    </w:rPr>
  </w:style>
  <w:style w:type="paragraph" w:styleId="9">
    <w:name w:val="Normal Indent"/>
    <w:basedOn w:val="1"/>
    <w:next w:val="1"/>
    <w:qFormat/>
    <w:uiPriority w:val="0"/>
    <w:pPr>
      <w:ind w:firstLine="420"/>
    </w:pPr>
    <w:rPr>
      <w:kern w:val="0"/>
      <w:sz w:val="20"/>
      <w:szCs w:val="20"/>
    </w:rPr>
  </w:style>
  <w:style w:type="paragraph" w:styleId="10">
    <w:name w:val="annotation text"/>
    <w:basedOn w:val="1"/>
    <w:link w:val="36"/>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unhideWhenUsed/>
    <w:qFormat/>
    <w:uiPriority w:val="0"/>
    <w:pPr>
      <w:spacing w:after="120"/>
    </w:pPr>
    <w:rPr>
      <w:rFonts w:ascii="Times New Roman" w:hAnsi="Times New Roman"/>
      <w:szCs w:val="20"/>
    </w:rPr>
  </w:style>
  <w:style w:type="paragraph" w:styleId="13">
    <w:name w:val="toc 3"/>
    <w:basedOn w:val="1"/>
    <w:next w:val="1"/>
    <w:qFormat/>
    <w:uiPriority w:val="39"/>
    <w:pPr>
      <w:ind w:left="400" w:leftChars="400"/>
    </w:pPr>
  </w:style>
  <w:style w:type="paragraph" w:styleId="14">
    <w:name w:val="Plain Text"/>
    <w:basedOn w:val="1"/>
    <w:next w:val="1"/>
    <w:link w:val="41"/>
    <w:qFormat/>
    <w:uiPriority w:val="0"/>
    <w:rPr>
      <w:rFonts w:ascii="宋体"/>
    </w:rPr>
  </w:style>
  <w:style w:type="paragraph" w:styleId="15">
    <w:name w:val="Balloon Text"/>
    <w:basedOn w:val="1"/>
    <w:link w:val="4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200" w:leftChars="200"/>
    </w:pPr>
  </w:style>
  <w:style w:type="paragraph" w:styleId="20">
    <w:name w:val="Normal (Web)"/>
    <w:basedOn w:val="1"/>
    <w:semiHidden/>
    <w:unhideWhenUsed/>
    <w:qFormat/>
    <w:uiPriority w:val="99"/>
    <w:pPr>
      <w:widowControl/>
      <w:jc w:val="left"/>
    </w:pPr>
    <w:rPr>
      <w:rFonts w:ascii="微软雅黑" w:hAnsi="微软雅黑" w:eastAsia="微软雅黑" w:cs="宋体"/>
      <w:kern w:val="0"/>
      <w:sz w:val="24"/>
      <w:szCs w:val="24"/>
    </w:rPr>
  </w:style>
  <w:style w:type="paragraph" w:styleId="21">
    <w:name w:val="annotation subject"/>
    <w:basedOn w:val="10"/>
    <w:next w:val="10"/>
    <w:link w:val="37"/>
    <w:qFormat/>
    <w:uiPriority w:val="0"/>
    <w:rPr>
      <w:b/>
      <w:bCs/>
    </w:rPr>
  </w:style>
  <w:style w:type="paragraph" w:styleId="22">
    <w:name w:val="Body Text First Indent"/>
    <w:basedOn w:val="12"/>
    <w:qFormat/>
    <w:uiPriority w:val="0"/>
    <w:pPr>
      <w:spacing w:line="312" w:lineRule="auto"/>
      <w:ind w:firstLine="420"/>
    </w:pPr>
    <w:rPr>
      <w:szCs w:val="24"/>
    </w:rPr>
  </w:style>
  <w:style w:type="character" w:styleId="25">
    <w:name w:val="Hyperlink"/>
    <w:basedOn w:val="24"/>
    <w:qFormat/>
    <w:uiPriority w:val="99"/>
    <w:rPr>
      <w:color w:val="000000"/>
      <w:u w:val="none"/>
    </w:rPr>
  </w:style>
  <w:style w:type="character" w:styleId="26">
    <w:name w:val="annotation reference"/>
    <w:qFormat/>
    <w:uiPriority w:val="0"/>
    <w:rPr>
      <w:sz w:val="21"/>
    </w:rPr>
  </w:style>
  <w:style w:type="paragraph" w:customStyle="1" w:styleId="27">
    <w:name w:val="TOC 标题1"/>
    <w:basedOn w:val="4"/>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8">
    <w:name w:val="p0"/>
    <w:basedOn w:val="1"/>
    <w:qFormat/>
    <w:uiPriority w:val="0"/>
    <w:pPr>
      <w:widowControl/>
      <w:spacing w:before="75" w:after="75"/>
      <w:jc w:val="left"/>
    </w:pPr>
    <w:rPr>
      <w:rFonts w:ascii="宋体" w:hAnsi="宋体" w:cs="宋体"/>
      <w:kern w:val="0"/>
      <w:sz w:val="24"/>
      <w:szCs w:val="24"/>
    </w:rPr>
  </w:style>
  <w:style w:type="paragraph" w:customStyle="1" w:styleId="29">
    <w:name w:val="Table Paragraph"/>
    <w:basedOn w:val="1"/>
    <w:unhideWhenUsed/>
    <w:qFormat/>
    <w:uiPriority w:val="99"/>
    <w:rPr>
      <w:rFonts w:hint="eastAsia"/>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1">
    <w:name w:val="List Paragraph"/>
    <w:basedOn w:val="1"/>
    <w:unhideWhenUsed/>
    <w:qFormat/>
    <w:uiPriority w:val="99"/>
    <w:pPr>
      <w:ind w:firstLine="420" w:firstLineChars="200"/>
    </w:pPr>
  </w:style>
  <w:style w:type="paragraph" w:customStyle="1" w:styleId="32">
    <w:name w:val="样式 宋体 行距: 1.5 倍行距"/>
    <w:basedOn w:val="1"/>
    <w:qFormat/>
    <w:uiPriority w:val="99"/>
    <w:pPr>
      <w:jc w:val="center"/>
    </w:pPr>
    <w:rPr>
      <w:b/>
      <w:bCs/>
    </w:rPr>
  </w:style>
  <w:style w:type="character" w:customStyle="1" w:styleId="33">
    <w:name w:val="font31"/>
    <w:basedOn w:val="24"/>
    <w:qFormat/>
    <w:uiPriority w:val="0"/>
    <w:rPr>
      <w:rFonts w:hint="eastAsia" w:ascii="仿宋" w:hAnsi="仿宋" w:eastAsia="仿宋" w:cs="仿宋"/>
      <w:color w:val="000000"/>
      <w:sz w:val="28"/>
      <w:szCs w:val="28"/>
      <w:u w:val="none"/>
    </w:rPr>
  </w:style>
  <w:style w:type="character" w:customStyle="1" w:styleId="34">
    <w:name w:val="font01"/>
    <w:basedOn w:val="24"/>
    <w:qFormat/>
    <w:uiPriority w:val="0"/>
    <w:rPr>
      <w:rFonts w:hint="eastAsia" w:ascii="仿宋" w:hAnsi="仿宋" w:eastAsia="仿宋" w:cs="仿宋"/>
      <w:b/>
      <w:color w:val="000000"/>
      <w:sz w:val="28"/>
      <w:szCs w:val="28"/>
      <w:u w:val="none"/>
    </w:rPr>
  </w:style>
  <w:style w:type="paragraph" w:customStyle="1" w:styleId="35">
    <w:name w:val="修订1"/>
    <w:hidden/>
    <w:semiHidden/>
    <w:qFormat/>
    <w:uiPriority w:val="99"/>
    <w:rPr>
      <w:rFonts w:ascii="Calibri" w:hAnsi="Calibri" w:eastAsia="宋体" w:cs="Times New Roman"/>
      <w:kern w:val="2"/>
      <w:sz w:val="21"/>
      <w:szCs w:val="22"/>
      <w:lang w:val="en-US" w:eastAsia="zh-CN" w:bidi="ar-SA"/>
    </w:rPr>
  </w:style>
  <w:style w:type="character" w:customStyle="1" w:styleId="36">
    <w:name w:val="批注文字 Char"/>
    <w:basedOn w:val="24"/>
    <w:link w:val="10"/>
    <w:qFormat/>
    <w:uiPriority w:val="0"/>
    <w:rPr>
      <w:rFonts w:ascii="Calibri" w:hAnsi="Calibri" w:eastAsia="宋体" w:cs="Times New Roman"/>
      <w:kern w:val="2"/>
      <w:sz w:val="21"/>
      <w:szCs w:val="22"/>
    </w:rPr>
  </w:style>
  <w:style w:type="character" w:customStyle="1" w:styleId="37">
    <w:name w:val="批注主题 Char"/>
    <w:basedOn w:val="36"/>
    <w:link w:val="21"/>
    <w:qFormat/>
    <w:uiPriority w:val="0"/>
    <w:rPr>
      <w:rFonts w:ascii="Calibri" w:hAnsi="Calibri" w:eastAsia="宋体" w:cs="Times New Roman"/>
      <w:b/>
      <w:bCs/>
      <w:kern w:val="2"/>
      <w:sz w:val="21"/>
      <w:szCs w:val="22"/>
    </w:rPr>
  </w:style>
  <w:style w:type="character" w:customStyle="1" w:styleId="38">
    <w:name w:val="页眉 Char"/>
    <w:basedOn w:val="24"/>
    <w:link w:val="17"/>
    <w:qFormat/>
    <w:uiPriority w:val="0"/>
    <w:rPr>
      <w:rFonts w:ascii="Calibri" w:hAnsi="Calibri" w:eastAsia="宋体" w:cs="Times New Roman"/>
      <w:kern w:val="2"/>
      <w:sz w:val="18"/>
      <w:szCs w:val="18"/>
    </w:rPr>
  </w:style>
  <w:style w:type="paragraph" w:customStyle="1" w:styleId="39">
    <w:name w:val="修订2"/>
    <w:hidden/>
    <w:semiHidden/>
    <w:qFormat/>
    <w:uiPriority w:val="99"/>
    <w:rPr>
      <w:rFonts w:ascii="Calibri" w:hAnsi="Calibri" w:eastAsia="宋体" w:cs="Times New Roman"/>
      <w:kern w:val="2"/>
      <w:sz w:val="21"/>
      <w:szCs w:val="22"/>
      <w:lang w:val="en-US" w:eastAsia="zh-CN" w:bidi="ar-SA"/>
    </w:rPr>
  </w:style>
  <w:style w:type="character" w:customStyle="1" w:styleId="40">
    <w:name w:val="批注框文本 Char"/>
    <w:basedOn w:val="24"/>
    <w:link w:val="15"/>
    <w:qFormat/>
    <w:uiPriority w:val="0"/>
    <w:rPr>
      <w:rFonts w:ascii="Calibri" w:hAnsi="Calibri" w:eastAsia="宋体" w:cs="Times New Roman"/>
      <w:kern w:val="2"/>
      <w:sz w:val="18"/>
      <w:szCs w:val="18"/>
    </w:rPr>
  </w:style>
  <w:style w:type="character" w:customStyle="1" w:styleId="41">
    <w:name w:val="纯文本 Char"/>
    <w:link w:val="14"/>
    <w:qFormat/>
    <w:uiPriority w:val="0"/>
    <w:rPr>
      <w:rFonts w:ascii="宋体"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53655-4280-4E6D-9D29-73D959CAAC00}">
  <ds:schemaRefs/>
</ds:datastoreItem>
</file>

<file path=docProps/app.xml><?xml version="1.0" encoding="utf-8"?>
<Properties xmlns="http://schemas.openxmlformats.org/officeDocument/2006/extended-properties" xmlns:vt="http://schemas.openxmlformats.org/officeDocument/2006/docPropsVTypes">
  <Template>Normal</Template>
  <Pages>114</Pages>
  <Words>60466</Words>
  <Characters>63292</Characters>
  <Lines>502</Lines>
  <Paragraphs>141</Paragraphs>
  <TotalTime>1</TotalTime>
  <ScaleCrop>false</ScaleCrop>
  <LinksUpToDate>false</LinksUpToDate>
  <CharactersWithSpaces>67725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2022-07-25T07:01:00Z</dcterms:created>
  <dc:creator>ZCCT</dc:creator>
  <cp:lastModifiedBy>陈俊杰</cp:lastModifiedBy>
  <cp:lastPrinted>2022-08-12T07:52:00Z</cp:lastPrinted>
  <dcterms:modified xsi:type="dcterms:W3CDTF">2022-09-27T03:53:29Z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FDD008F9E0F243619ED2FD2C8B599C65</vt:lpwstr>
  </property>
</Properties>
</file>