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auto"/>
          <w:highlight w:val="none"/>
        </w:rPr>
      </w:pPr>
      <w:bookmarkStart w:id="0" w:name="_Toc154922225"/>
      <w:bookmarkStart w:id="1" w:name="_Toc154921241"/>
      <w:bookmarkStart w:id="2" w:name="_Toc144974479"/>
      <w:bookmarkStart w:id="3" w:name="_Toc152042287"/>
      <w:bookmarkStart w:id="4" w:name="_Toc152045511"/>
      <w:bookmarkStart w:id="58" w:name="_GoBack"/>
      <w:bookmarkEnd w:id="58"/>
    </w:p>
    <w:p>
      <w:pPr>
        <w:rPr>
          <w:color w:val="auto"/>
          <w:highlight w:val="none"/>
        </w:rPr>
      </w:pPr>
    </w:p>
    <w:p>
      <w:pPr>
        <w:widowControl/>
        <w:spacing w:line="720" w:lineRule="auto"/>
        <w:jc w:val="center"/>
        <w:outlineLvl w:val="0"/>
        <w:rPr>
          <w:rFonts w:ascii="宋体" w:hAnsi="宋体" w:cs="宋体"/>
          <w:b/>
          <w:bCs/>
          <w:color w:val="auto"/>
          <w:sz w:val="52"/>
          <w:szCs w:val="56"/>
          <w:highlight w:val="none"/>
          <w:shd w:val="clear" w:color="auto" w:fill="FFFFFF"/>
        </w:rPr>
      </w:pPr>
      <w:r>
        <w:rPr>
          <w:rFonts w:hint="eastAsia" w:ascii="宋体" w:hAnsi="宋体" w:cs="宋体"/>
          <w:b/>
          <w:bCs/>
          <w:color w:val="auto"/>
          <w:spacing w:val="-6"/>
          <w:sz w:val="52"/>
          <w:szCs w:val="56"/>
          <w:highlight w:val="none"/>
          <w:shd w:val="clear" w:color="auto" w:fill="FFFFFF"/>
          <w:lang w:eastAsia="zh-CN"/>
        </w:rPr>
        <w:t>增城区南部水厂及配套管网建设工程</w:t>
      </w:r>
      <w:r>
        <w:rPr>
          <w:rFonts w:hint="eastAsia" w:ascii="宋体" w:hAnsi="宋体" w:cs="宋体"/>
          <w:b/>
          <w:bCs/>
          <w:color w:val="auto"/>
          <w:sz w:val="52"/>
          <w:szCs w:val="56"/>
          <w:highlight w:val="none"/>
          <w:shd w:val="clear" w:color="auto" w:fill="FFFFFF"/>
        </w:rPr>
        <w:t>全过程造价咨询服务合同</w:t>
      </w:r>
    </w:p>
    <w:p>
      <w:pPr>
        <w:widowControl/>
        <w:spacing w:line="360" w:lineRule="auto"/>
        <w:jc w:val="center"/>
        <w:rPr>
          <w:rFonts w:ascii="宋体" w:hAnsi="宋体"/>
          <w:b/>
          <w:bCs/>
          <w:color w:val="auto"/>
          <w:sz w:val="32"/>
          <w:szCs w:val="32"/>
          <w:highlight w:val="none"/>
        </w:rPr>
      </w:pPr>
    </w:p>
    <w:p>
      <w:pPr>
        <w:widowControl/>
        <w:spacing w:line="360" w:lineRule="auto"/>
        <w:jc w:val="center"/>
        <w:rPr>
          <w:rFonts w:ascii="宋体" w:hAnsi="宋体"/>
          <w:b/>
          <w:bCs/>
          <w:color w:val="auto"/>
          <w:sz w:val="32"/>
          <w:szCs w:val="32"/>
          <w:highlight w:val="none"/>
        </w:rPr>
      </w:pPr>
    </w:p>
    <w:p>
      <w:pPr>
        <w:widowControl/>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合同编号：</w:t>
      </w: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bidi w:val="0"/>
        <w:rPr>
          <w:color w:val="auto"/>
          <w:highlight w:val="none"/>
        </w:rPr>
      </w:pPr>
    </w:p>
    <w:p>
      <w:pPr>
        <w:widowControl/>
        <w:spacing w:line="360" w:lineRule="auto"/>
        <w:jc w:val="left"/>
        <w:rPr>
          <w:rFonts w:ascii="宋体" w:hAnsi="宋体" w:cs="仿宋_GB2312"/>
          <w:b/>
          <w:color w:val="auto"/>
          <w:w w:val="90"/>
          <w:sz w:val="32"/>
          <w:szCs w:val="32"/>
          <w:highlight w:val="none"/>
          <w:lang w:val="zh-CN"/>
        </w:rPr>
      </w:pPr>
      <w:r>
        <w:rPr>
          <w:rFonts w:hint="eastAsia" w:ascii="宋体" w:hAnsi="宋体"/>
          <w:b/>
          <w:color w:val="auto"/>
          <w:sz w:val="32"/>
          <w:szCs w:val="32"/>
          <w:highlight w:val="none"/>
        </w:rPr>
        <w:t>甲方（委托人）：</w:t>
      </w:r>
      <w:r>
        <w:rPr>
          <w:rFonts w:hint="eastAsia" w:ascii="宋体" w:hAnsi="宋体" w:cs="仿宋_GB2312"/>
          <w:b/>
          <w:color w:val="auto"/>
          <w:w w:val="90"/>
          <w:sz w:val="32"/>
          <w:szCs w:val="32"/>
          <w:highlight w:val="none"/>
          <w:lang w:val="zh-CN"/>
        </w:rPr>
        <w:t>广州增城区东进供水有限公司</w:t>
      </w:r>
    </w:p>
    <w:p>
      <w:pPr>
        <w:widowControl/>
        <w:spacing w:line="360" w:lineRule="auto"/>
        <w:jc w:val="left"/>
        <w:rPr>
          <w:rFonts w:ascii="宋体" w:hAnsi="宋体"/>
          <w:b/>
          <w:color w:val="auto"/>
          <w:spacing w:val="-20"/>
          <w:w w:val="90"/>
          <w:sz w:val="32"/>
          <w:szCs w:val="32"/>
          <w:highlight w:val="none"/>
        </w:rPr>
      </w:pPr>
      <w:r>
        <w:rPr>
          <w:rFonts w:hint="eastAsia" w:ascii="宋体" w:hAnsi="宋体"/>
          <w:b/>
          <w:color w:val="auto"/>
          <w:sz w:val="32"/>
          <w:szCs w:val="32"/>
          <w:highlight w:val="none"/>
        </w:rPr>
        <w:t>乙方（</w:t>
      </w:r>
      <w:r>
        <w:rPr>
          <w:rFonts w:hint="eastAsia" w:ascii="宋体" w:hAnsi="宋体" w:cs="仿宋_GB2312"/>
          <w:b/>
          <w:color w:val="auto"/>
          <w:sz w:val="32"/>
          <w:szCs w:val="32"/>
          <w:highlight w:val="none"/>
          <w:lang w:val="zh-CN"/>
        </w:rPr>
        <w:t>受托人）：</w:t>
      </w:r>
      <w:r>
        <w:rPr>
          <w:rFonts w:hint="eastAsia" w:ascii="宋体" w:hAnsi="宋体" w:cs="仿宋_GB2312"/>
          <w:b/>
          <w:color w:val="auto"/>
          <w:w w:val="90"/>
          <w:sz w:val="32"/>
          <w:szCs w:val="32"/>
          <w:highlight w:val="none"/>
          <w:lang w:val="zh-CN"/>
        </w:rPr>
        <w:t xml:space="preserve">   </w:t>
      </w:r>
    </w:p>
    <w:p>
      <w:pPr>
        <w:widowControl/>
        <w:spacing w:before="100" w:beforeAutospacing="1" w:after="100" w:afterAutospacing="1" w:line="360" w:lineRule="auto"/>
        <w:jc w:val="center"/>
        <w:outlineLvl w:val="0"/>
        <w:rPr>
          <w:rFonts w:ascii="宋体" w:hAnsi="宋体" w:cs="宋体"/>
          <w:b/>
          <w:bCs/>
          <w:color w:val="auto"/>
          <w:sz w:val="36"/>
          <w:szCs w:val="36"/>
          <w:highlight w:val="none"/>
        </w:rPr>
      </w:pPr>
      <w:r>
        <w:rPr>
          <w:rFonts w:ascii="宋体" w:hAnsi="宋体" w:cs="宋体"/>
          <w:b/>
          <w:bCs/>
          <w:color w:val="auto"/>
          <w:sz w:val="30"/>
          <w:szCs w:val="24"/>
          <w:highlight w:val="none"/>
        </w:rPr>
        <w:br w:type="page"/>
      </w:r>
      <w:bookmarkStart w:id="5" w:name="_Toc26113"/>
      <w:bookmarkStart w:id="6" w:name="_Toc21057"/>
      <w:r>
        <w:rPr>
          <w:rFonts w:hint="eastAsia" w:ascii="宋体" w:hAnsi="宋体" w:cs="宋体"/>
          <w:b/>
          <w:bCs/>
          <w:color w:val="auto"/>
          <w:sz w:val="36"/>
          <w:szCs w:val="36"/>
          <w:highlight w:val="none"/>
        </w:rPr>
        <w:t>第一部分　合同协议书</w:t>
      </w:r>
      <w:bookmarkEnd w:id="5"/>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委托人</w:t>
      </w:r>
      <w:r>
        <w:rPr>
          <w:rFonts w:hint="eastAsia" w:ascii="宋体" w:hAnsi="宋体" w:cs="宋体"/>
          <w:b/>
          <w:color w:val="auto"/>
          <w:sz w:val="24"/>
          <w:szCs w:val="24"/>
          <w:highlight w:val="none"/>
          <w:lang w:eastAsia="zh-CN"/>
        </w:rPr>
        <w:t>广州增城区东进供水有限公司</w:t>
      </w:r>
      <w:r>
        <w:rPr>
          <w:rFonts w:hint="eastAsia" w:ascii="宋体" w:hAnsi="宋体" w:cs="宋体"/>
          <w:color w:val="auto"/>
          <w:sz w:val="24"/>
          <w:szCs w:val="24"/>
          <w:highlight w:val="none"/>
        </w:rPr>
        <w:t>（以下称甲方）与</w:t>
      </w:r>
      <w:r>
        <w:rPr>
          <w:rFonts w:hint="eastAsia"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 xml:space="preserve">   </w:t>
      </w: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rPr>
        <w:t>（以下称乙方）依照《中华人民共和国民法典》、《中华人民共和国建筑法》及其它有关法律、法规的规定，遵循平等、自愿、公平和诚实信用的原则，就</w:t>
      </w:r>
      <w:r>
        <w:rPr>
          <w:rFonts w:hint="eastAsia" w:ascii="宋体" w:hAnsi="宋体" w:cs="宋体"/>
          <w:color w:val="auto"/>
          <w:sz w:val="24"/>
          <w:szCs w:val="24"/>
          <w:highlight w:val="none"/>
          <w:u w:val="single"/>
          <w:lang w:eastAsia="zh-CN"/>
        </w:rPr>
        <w:t>增城区南部水厂及配套管网建设工程全过程造价咨询</w:t>
      </w:r>
      <w:r>
        <w:rPr>
          <w:rFonts w:hint="eastAsia" w:ascii="宋体" w:hAnsi="宋体" w:cs="宋体"/>
          <w:color w:val="auto"/>
          <w:sz w:val="24"/>
          <w:szCs w:val="24"/>
          <w:highlight w:val="none"/>
        </w:rPr>
        <w:t>事项协商一致，订立本合同。</w:t>
      </w:r>
    </w:p>
    <w:p>
      <w:pPr>
        <w:widowControl/>
        <w:spacing w:line="360" w:lineRule="auto"/>
        <w:ind w:left="0" w:leftChars="0" w:firstLine="0" w:firstLineChars="0"/>
        <w:jc w:val="left"/>
        <w:outlineLvl w:val="1"/>
        <w:rPr>
          <w:rFonts w:ascii="宋体" w:hAnsi="宋体" w:cs="宋体"/>
          <w:b/>
          <w:color w:val="auto"/>
          <w:sz w:val="24"/>
          <w:szCs w:val="24"/>
          <w:highlight w:val="none"/>
        </w:rPr>
      </w:pPr>
      <w:bookmarkStart w:id="7" w:name="_Toc17833"/>
      <w:bookmarkStart w:id="8" w:name="_Toc4102"/>
      <w:r>
        <w:rPr>
          <w:rFonts w:hint="eastAsia" w:ascii="宋体" w:hAnsi="宋体" w:cs="宋体"/>
          <w:b/>
          <w:color w:val="auto"/>
          <w:sz w:val="24"/>
          <w:szCs w:val="24"/>
          <w:highlight w:val="none"/>
        </w:rPr>
        <w:t>一、甲方委托乙方为以下项目提供建设工程造价咨询服务</w:t>
      </w:r>
      <w:bookmarkEnd w:id="7"/>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1.项目名称：</w:t>
      </w:r>
      <w:r>
        <w:rPr>
          <w:rFonts w:hint="eastAsia" w:ascii="宋体" w:hAnsi="宋体"/>
          <w:color w:val="auto"/>
          <w:sz w:val="24"/>
          <w:szCs w:val="24"/>
          <w:highlight w:val="none"/>
          <w:u w:val="single"/>
          <w:lang w:eastAsia="zh-CN"/>
        </w:rPr>
        <w:t>增城区南部水厂及配套管网建设工程全过程造价咨询。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2.项目地点：</w:t>
      </w:r>
      <w:r>
        <w:rPr>
          <w:rFonts w:hint="eastAsia" w:ascii="宋体" w:hAnsi="宋体"/>
          <w:color w:val="auto"/>
          <w:sz w:val="24"/>
          <w:szCs w:val="24"/>
          <w:highlight w:val="none"/>
          <w:u w:val="single"/>
        </w:rPr>
        <w:t>广州市增城区</w:t>
      </w:r>
      <w:r>
        <w:rPr>
          <w:rFonts w:hint="eastAsia" w:ascii="宋体" w:hAnsi="宋体"/>
          <w:color w:val="auto"/>
          <w:sz w:val="24"/>
          <w:szCs w:val="24"/>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3.项目规模：</w:t>
      </w:r>
      <w:r>
        <w:rPr>
          <w:rFonts w:hint="eastAsia" w:ascii="宋体" w:hAnsi="宋体"/>
          <w:color w:val="auto"/>
          <w:sz w:val="24"/>
          <w:szCs w:val="24"/>
          <w:highlight w:val="none"/>
          <w:u w:val="single"/>
        </w:rPr>
        <w:t>本工程总投资257402.81万元，其中工程费用156945.98万元；项目一期供水规模30万m³/d，部分建（构）筑物土建按远期50万m³/d规模，设备按30万m³/d规模安装；取水泵房土建按55万m³/d规模，设备按33万m³/d规模安装。项目总建筑面积70648平方米，其中厂区建筑面积65968平方米，取水泵房建筑面积4680平方米。主要建设内容：新建厂区内配水井及细格栅、吸水井及送水泵房、污泥调质池及脱水机房、加药间、变配电中心、分配电间、综合楼、中试车间、机修及仓库、门卫等建（构）筑物，土建按远期50万m³/d规模，设备按30万m³/d规模安装；新建混凝池及沉淀池、砂滤池及反冲洗泵房、清水池、排水池及排泥池、浓缩池等建（构）筑物，土建及设备安装按30万m³/d规模；泵站内包括取水泵房、配电房和管理用房、加药间等建筑，土建按55万m³/d规模，设备按33万m³/d规模安装；原水管管径2×DN1800双管布置，总长24千米；清水配水管网管径DN1200~DN1800，总长13.7千米。</w:t>
      </w:r>
    </w:p>
    <w:p>
      <w:pPr>
        <w:widowControl/>
        <w:spacing w:line="360" w:lineRule="auto"/>
        <w:ind w:left="0" w:leftChars="0" w:firstLine="0" w:firstLineChars="0"/>
        <w:jc w:val="left"/>
        <w:outlineLvl w:val="1"/>
        <w:rPr>
          <w:rFonts w:hint="eastAsia" w:ascii="宋体" w:hAnsi="宋体" w:cs="宋体"/>
          <w:b/>
          <w:color w:val="auto"/>
          <w:sz w:val="24"/>
          <w:szCs w:val="24"/>
          <w:highlight w:val="none"/>
        </w:rPr>
      </w:pPr>
      <w:r>
        <w:rPr>
          <w:rFonts w:hint="eastAsia" w:ascii="宋体" w:hAnsi="宋体" w:cs="宋体"/>
          <w:b/>
          <w:color w:val="auto"/>
          <w:sz w:val="24"/>
          <w:szCs w:val="24"/>
          <w:highlight w:val="none"/>
        </w:rPr>
        <w:t>二、服务范围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u w:val="single"/>
          <w:shd w:val="clear" w:color="auto" w:fill="FFFFFF"/>
          <w:lang w:eastAsia="zh-CN"/>
        </w:rPr>
      </w:pPr>
      <w:r>
        <w:rPr>
          <w:rFonts w:hint="eastAsia" w:ascii="宋体" w:hAnsi="宋体" w:cs="宋体"/>
          <w:color w:val="auto"/>
          <w:sz w:val="24"/>
          <w:szCs w:val="24"/>
          <w:highlight w:val="none"/>
          <w:u w:val="single"/>
          <w:lang w:eastAsia="zh-CN"/>
        </w:rPr>
        <w:t>增城区南部水厂及配套管网建设工程全过程造价咨询</w:t>
      </w:r>
      <w:r>
        <w:rPr>
          <w:rFonts w:hint="eastAsia" w:ascii="宋体" w:hAnsi="宋体" w:cs="宋体"/>
          <w:color w:val="auto"/>
          <w:kern w:val="0"/>
          <w:sz w:val="24"/>
          <w:szCs w:val="24"/>
          <w:highlight w:val="none"/>
          <w:u w:val="single"/>
          <w:shd w:val="clear" w:color="auto" w:fill="FFFFFF"/>
        </w:rPr>
        <w:t>，包括（但不限于）</w:t>
      </w:r>
      <w:r>
        <w:rPr>
          <w:rFonts w:hint="eastAsia" w:ascii="宋体" w:hAnsi="宋体" w:cs="宋体"/>
          <w:color w:val="auto"/>
          <w:kern w:val="0"/>
          <w:sz w:val="24"/>
          <w:szCs w:val="24"/>
          <w:highlight w:val="none"/>
          <w:u w:val="singl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szCs w:val="24"/>
          <w:highlight w:val="none"/>
          <w:u w:val="single"/>
          <w:shd w:val="clear" w:color="auto" w:fill="FFFFFF"/>
        </w:rPr>
      </w:pPr>
      <w:r>
        <w:rPr>
          <w:rFonts w:hint="eastAsia" w:ascii="宋体" w:hAnsi="宋体" w:cs="宋体"/>
          <w:color w:val="auto"/>
          <w:kern w:val="0"/>
          <w:sz w:val="24"/>
          <w:szCs w:val="24"/>
          <w:highlight w:val="none"/>
          <w:u w:val="single"/>
          <w:lang w:val="en-US" w:eastAsia="zh-CN"/>
        </w:rPr>
        <w:t>1）</w:t>
      </w:r>
      <w:r>
        <w:rPr>
          <w:rFonts w:hint="eastAsia" w:ascii="宋体" w:hAnsi="宋体" w:cs="宋体"/>
          <w:color w:val="auto"/>
          <w:kern w:val="0"/>
          <w:sz w:val="24"/>
          <w:szCs w:val="24"/>
          <w:highlight w:val="none"/>
          <w:u w:val="single"/>
        </w:rPr>
        <w:t>投资控制；</w:t>
      </w:r>
      <w:r>
        <w:rPr>
          <w:rFonts w:hint="eastAsia" w:ascii="宋体" w:hAnsi="宋体" w:cs="宋体"/>
          <w:color w:val="auto"/>
          <w:kern w:val="0"/>
          <w:sz w:val="24"/>
          <w:szCs w:val="24"/>
          <w:highlight w:val="none"/>
          <w:u w:val="single"/>
          <w:lang w:val="en-US" w:eastAsia="zh-CN"/>
        </w:rPr>
        <w:t>2</w:t>
      </w:r>
      <w:r>
        <w:rPr>
          <w:rFonts w:hint="eastAsia" w:ascii="宋体" w:hAnsi="宋体" w:cs="宋体"/>
          <w:color w:val="auto"/>
          <w:kern w:val="0"/>
          <w:sz w:val="24"/>
          <w:szCs w:val="24"/>
          <w:highlight w:val="none"/>
          <w:u w:val="single"/>
        </w:rPr>
        <w:t>）设计概算审核、评审（如</w:t>
      </w:r>
      <w:r>
        <w:rPr>
          <w:rFonts w:hint="eastAsia" w:ascii="宋体" w:hAnsi="宋体" w:cs="宋体"/>
          <w:strike w:val="0"/>
          <w:dstrike w:val="0"/>
          <w:color w:val="auto"/>
          <w:kern w:val="0"/>
          <w:sz w:val="24"/>
          <w:szCs w:val="24"/>
          <w:highlight w:val="none"/>
          <w:u w:val="single"/>
          <w:lang w:val="en-US" w:eastAsia="zh-CN"/>
        </w:rPr>
        <w:t>需</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3</w:t>
      </w:r>
      <w:r>
        <w:rPr>
          <w:rFonts w:hint="eastAsia" w:ascii="宋体" w:hAnsi="宋体" w:cs="宋体"/>
          <w:color w:val="auto"/>
          <w:kern w:val="0"/>
          <w:sz w:val="24"/>
          <w:szCs w:val="24"/>
          <w:highlight w:val="none"/>
          <w:u w:val="single"/>
        </w:rPr>
        <w:t>）施工图预算审核；</w:t>
      </w:r>
      <w:r>
        <w:rPr>
          <w:rFonts w:hint="eastAsia" w:ascii="宋体" w:hAnsi="宋体" w:cs="宋体"/>
          <w:strike w:val="0"/>
          <w:dstrike w:val="0"/>
          <w:color w:val="auto"/>
          <w:kern w:val="0"/>
          <w:sz w:val="24"/>
          <w:szCs w:val="24"/>
          <w:highlight w:val="none"/>
          <w:u w:val="single"/>
          <w:lang w:val="en-US" w:eastAsia="zh-CN"/>
        </w:rPr>
        <w:t>4</w:t>
      </w:r>
      <w:r>
        <w:rPr>
          <w:rFonts w:hint="eastAsia" w:ascii="宋体" w:hAnsi="宋体" w:cs="宋体"/>
          <w:strike w:val="0"/>
          <w:dstrike w:val="0"/>
          <w:color w:val="auto"/>
          <w:kern w:val="0"/>
          <w:sz w:val="24"/>
          <w:szCs w:val="24"/>
          <w:highlight w:val="none"/>
          <w:u w:val="single"/>
        </w:rPr>
        <w:t>)招标工程量清单和招标控制价编制；</w:t>
      </w:r>
      <w:r>
        <w:rPr>
          <w:rFonts w:hint="eastAsia" w:ascii="宋体" w:hAnsi="宋体" w:cs="宋体"/>
          <w:color w:val="auto"/>
          <w:kern w:val="0"/>
          <w:sz w:val="24"/>
          <w:szCs w:val="24"/>
          <w:highlight w:val="none"/>
          <w:u w:val="single"/>
          <w:lang w:val="en-US" w:eastAsia="zh-CN"/>
        </w:rPr>
        <w:t>5</w:t>
      </w:r>
      <w:r>
        <w:rPr>
          <w:rFonts w:hint="eastAsia" w:ascii="宋体" w:hAnsi="宋体" w:cs="宋体"/>
          <w:color w:val="auto"/>
          <w:kern w:val="0"/>
          <w:sz w:val="24"/>
          <w:szCs w:val="24"/>
          <w:highlight w:val="none"/>
          <w:u w:val="single"/>
        </w:rPr>
        <w:t>)计量支付审核；</w:t>
      </w:r>
      <w:r>
        <w:rPr>
          <w:rFonts w:hint="eastAsia" w:ascii="宋体" w:hAnsi="宋体" w:cs="宋体"/>
          <w:color w:val="auto"/>
          <w:kern w:val="0"/>
          <w:sz w:val="24"/>
          <w:szCs w:val="24"/>
          <w:highlight w:val="none"/>
          <w:u w:val="single"/>
          <w:lang w:val="en-US" w:eastAsia="zh-CN"/>
        </w:rPr>
        <w:t>6</w:t>
      </w:r>
      <w:r>
        <w:rPr>
          <w:rFonts w:hint="eastAsia" w:ascii="宋体" w:hAnsi="宋体" w:cs="宋体"/>
          <w:color w:val="auto"/>
          <w:kern w:val="0"/>
          <w:sz w:val="24"/>
          <w:szCs w:val="24"/>
          <w:highlight w:val="none"/>
          <w:u w:val="single"/>
        </w:rPr>
        <w:t>)主材单价、综合单价、合同变更费用审核；</w:t>
      </w:r>
      <w:r>
        <w:rPr>
          <w:rFonts w:hint="eastAsia" w:ascii="宋体" w:hAnsi="宋体" w:cs="宋体"/>
          <w:color w:val="auto"/>
          <w:kern w:val="0"/>
          <w:sz w:val="24"/>
          <w:szCs w:val="24"/>
          <w:highlight w:val="none"/>
          <w:u w:val="single"/>
          <w:lang w:val="en-US" w:eastAsia="zh-CN"/>
        </w:rPr>
        <w:t>7</w:t>
      </w:r>
      <w:r>
        <w:rPr>
          <w:rFonts w:hint="eastAsia" w:ascii="宋体" w:hAnsi="宋体" w:cs="宋体"/>
          <w:color w:val="auto"/>
          <w:kern w:val="0"/>
          <w:sz w:val="24"/>
          <w:szCs w:val="24"/>
          <w:highlight w:val="none"/>
          <w:u w:val="single"/>
        </w:rPr>
        <w:t>)</w:t>
      </w:r>
      <w:r>
        <w:rPr>
          <w:rFonts w:hint="eastAsia" w:ascii="宋体" w:hAnsi="宋体" w:cs="宋体"/>
          <w:strike w:val="0"/>
          <w:dstrike w:val="0"/>
          <w:color w:val="auto"/>
          <w:kern w:val="0"/>
          <w:sz w:val="24"/>
          <w:szCs w:val="24"/>
          <w:highlight w:val="none"/>
          <w:u w:val="single"/>
        </w:rPr>
        <w:t>设计费、</w:t>
      </w:r>
      <w:r>
        <w:rPr>
          <w:rFonts w:hint="eastAsia" w:ascii="宋体" w:hAnsi="宋体" w:cs="宋体"/>
          <w:color w:val="auto"/>
          <w:kern w:val="0"/>
          <w:sz w:val="24"/>
          <w:szCs w:val="24"/>
          <w:highlight w:val="none"/>
          <w:u w:val="single"/>
        </w:rPr>
        <w:t>监理费和检测监测费等费用审核；</w:t>
      </w:r>
      <w:r>
        <w:rPr>
          <w:rFonts w:hint="eastAsia" w:ascii="宋体" w:hAnsi="宋体" w:cs="宋体"/>
          <w:color w:val="auto"/>
          <w:kern w:val="0"/>
          <w:sz w:val="24"/>
          <w:szCs w:val="24"/>
          <w:highlight w:val="none"/>
          <w:u w:val="single"/>
          <w:lang w:val="en-US" w:eastAsia="zh-CN"/>
        </w:rPr>
        <w:t>8</w:t>
      </w:r>
      <w:r>
        <w:rPr>
          <w:rFonts w:hint="eastAsia" w:ascii="宋体" w:hAnsi="宋体" w:cs="宋体"/>
          <w:color w:val="auto"/>
          <w:kern w:val="0"/>
          <w:sz w:val="24"/>
          <w:szCs w:val="24"/>
          <w:highlight w:val="none"/>
          <w:u w:val="single"/>
        </w:rPr>
        <w:t>)图纸设计变更会签、材料设备看样定板会签；</w:t>
      </w:r>
      <w:r>
        <w:rPr>
          <w:rFonts w:hint="eastAsia" w:ascii="宋体" w:hAnsi="宋体" w:cs="宋体"/>
          <w:color w:val="auto"/>
          <w:kern w:val="0"/>
          <w:sz w:val="24"/>
          <w:szCs w:val="24"/>
          <w:highlight w:val="none"/>
          <w:u w:val="single"/>
          <w:lang w:val="en-US" w:eastAsia="zh-CN"/>
        </w:rPr>
        <w:t>9</w:t>
      </w:r>
      <w:r>
        <w:rPr>
          <w:rFonts w:hint="eastAsia" w:ascii="宋体" w:hAnsi="宋体" w:cs="宋体"/>
          <w:color w:val="auto"/>
          <w:kern w:val="0"/>
          <w:sz w:val="24"/>
          <w:szCs w:val="24"/>
          <w:highlight w:val="none"/>
          <w:u w:val="single"/>
        </w:rPr>
        <w:t>)委托合同价格审核；1</w:t>
      </w:r>
      <w:r>
        <w:rPr>
          <w:rFonts w:hint="eastAsia" w:ascii="宋体" w:hAnsi="宋体" w:cs="宋体"/>
          <w:color w:val="auto"/>
          <w:kern w:val="0"/>
          <w:sz w:val="24"/>
          <w:szCs w:val="24"/>
          <w:highlight w:val="none"/>
          <w:u w:val="single"/>
          <w:lang w:val="en-US" w:eastAsia="zh-CN"/>
        </w:rPr>
        <w:t>0</w:t>
      </w:r>
      <w:r>
        <w:rPr>
          <w:rFonts w:hint="eastAsia" w:ascii="宋体" w:hAnsi="宋体" w:cs="宋体"/>
          <w:color w:val="auto"/>
          <w:kern w:val="0"/>
          <w:sz w:val="24"/>
          <w:szCs w:val="24"/>
          <w:highlight w:val="none"/>
          <w:u w:val="single"/>
        </w:rPr>
        <w:t>)</w:t>
      </w:r>
      <w:r>
        <w:rPr>
          <w:rFonts w:hint="eastAsia" w:ascii="宋体" w:hAnsi="宋体" w:cs="宋体"/>
          <w:strike w:val="0"/>
          <w:dstrike w:val="0"/>
          <w:color w:val="auto"/>
          <w:kern w:val="0"/>
          <w:sz w:val="24"/>
          <w:szCs w:val="24"/>
          <w:highlight w:val="none"/>
          <w:u w:val="single"/>
          <w:lang w:val="en-US" w:eastAsia="zh-CN"/>
        </w:rPr>
        <w:t>施工总承包工程</w:t>
      </w:r>
      <w:r>
        <w:rPr>
          <w:rFonts w:hint="eastAsia" w:ascii="宋体" w:hAnsi="宋体" w:cs="宋体"/>
          <w:color w:val="auto"/>
          <w:kern w:val="0"/>
          <w:sz w:val="24"/>
          <w:szCs w:val="24"/>
          <w:highlight w:val="none"/>
          <w:u w:val="single"/>
        </w:rPr>
        <w:t>结算审核；1</w:t>
      </w:r>
      <w:r>
        <w:rPr>
          <w:rFonts w:hint="eastAsia" w:ascii="宋体" w:hAnsi="宋体" w:cs="宋体"/>
          <w:color w:val="auto"/>
          <w:kern w:val="0"/>
          <w:sz w:val="24"/>
          <w:szCs w:val="24"/>
          <w:highlight w:val="none"/>
          <w:u w:val="single"/>
          <w:lang w:val="en-US" w:eastAsia="zh-CN"/>
        </w:rPr>
        <w:t>1</w:t>
      </w:r>
      <w:r>
        <w:rPr>
          <w:rFonts w:hint="eastAsia" w:ascii="宋体" w:hAnsi="宋体" w:cs="宋体"/>
          <w:color w:val="auto"/>
          <w:kern w:val="0"/>
          <w:sz w:val="24"/>
          <w:szCs w:val="24"/>
          <w:highlight w:val="none"/>
          <w:u w:val="single"/>
        </w:rPr>
        <w:t>)项目业主</w:t>
      </w:r>
      <w:r>
        <w:rPr>
          <w:rFonts w:hint="eastAsia" w:ascii="宋体" w:hAnsi="宋体" w:cs="宋体"/>
          <w:color w:val="auto"/>
          <w:kern w:val="0"/>
          <w:sz w:val="24"/>
          <w:szCs w:val="24"/>
          <w:highlight w:val="none"/>
          <w:u w:val="single"/>
          <w:lang w:val="en-US" w:eastAsia="zh-CN"/>
        </w:rPr>
        <w:t>单独发包（如有）的专业工程施工或设备材料采购的</w:t>
      </w:r>
      <w:r>
        <w:rPr>
          <w:rFonts w:hint="eastAsia" w:ascii="宋体" w:hAnsi="宋体" w:cs="宋体"/>
          <w:color w:val="auto"/>
          <w:kern w:val="0"/>
          <w:sz w:val="24"/>
          <w:szCs w:val="24"/>
          <w:highlight w:val="none"/>
          <w:u w:val="single"/>
        </w:rPr>
        <w:t>合同结算</w:t>
      </w:r>
      <w:r>
        <w:rPr>
          <w:rFonts w:hint="eastAsia" w:ascii="宋体" w:hAnsi="宋体" w:cs="宋体"/>
          <w:color w:val="auto"/>
          <w:kern w:val="0"/>
          <w:sz w:val="24"/>
          <w:szCs w:val="24"/>
          <w:highlight w:val="none"/>
          <w:u w:val="single"/>
          <w:lang w:val="en-US" w:eastAsia="zh-CN"/>
        </w:rPr>
        <w:t>审核</w:t>
      </w:r>
      <w:r>
        <w:rPr>
          <w:rFonts w:hint="eastAsia" w:ascii="宋体" w:hAnsi="宋体" w:cs="宋体"/>
          <w:color w:val="auto"/>
          <w:kern w:val="0"/>
          <w:sz w:val="24"/>
          <w:szCs w:val="24"/>
          <w:highlight w:val="none"/>
          <w:u w:val="single"/>
        </w:rPr>
        <w:t>等。</w:t>
      </w:r>
      <w:r>
        <w:rPr>
          <w:rFonts w:hint="eastAsia" w:ascii="宋体" w:hAnsi="宋体" w:cs="宋体"/>
          <w:color w:val="auto"/>
          <w:kern w:val="0"/>
          <w:sz w:val="24"/>
          <w:szCs w:val="24"/>
          <w:highlight w:val="none"/>
          <w:u w:val="single"/>
          <w:shd w:val="clear" w:color="auto" w:fill="FFFFFF"/>
        </w:rPr>
        <w:t>每个阶段具体的工作内容包括但不限于：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设计阶段：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（1）审查初步设计概算，按时提交审核报告、调整意见及合理化建议。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（2）根据委托人要求进行方案比选及测算，提交合理化建议；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（3）参加图纸会审，根据委托人要求提供造价方面的专业意见；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（4）提供建筑材料、设备造价方面的选择意见，控制投资成本；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（5） 提供类似项目的建筑标准及参考造价供委托人参考，配合委托人修改、确定建筑标准；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（6）若限额指标超限，咨询人应及时分析偏差原因，提出造价节省建议；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（7）若概算（建安费）超出工程费估算，咨询人应及时分析偏差原因，提出造价节省建议；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（8）根据委托人需要，提出、评估和报告不同的建筑形式、施工方法、建筑材料和设备对工程造价的影响；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（9）当设计单位更新此阶段的图纸版本后，咨询人应重复上述工作，直至此阶段最终图纸之设计造价满足委托人成本控制要求；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（10）按委托人要求出席相应的设计协调会及专家论证会，就设计的经济性发表独立的专业意见。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（11）根据委托人要求，提供设计阶段的其他相关服务。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招标阶段：根据招标图纸、招标文件及委托人需求，按委托人要求编制招标项目各专业的工程量清单及招标控制价，如有需要，需配合委托人按广州市建设主管部门及造价管理部门的有关要求完成招标控制价网上备案手续等工作；开标后根据工程的实际需要及委托人要求，对中标单位投标报价文件进行全面复核并提供复核报告；审核招标文件，提交相关计价、计量、支付、索赔等投资控制条款，按时提交审核报告、调整意见及合理化建议。服务期开始时招标控制价已完成审批的项目除外。</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施工阶段：作为独立的一方，做好施工过程所产生的工程量和费用的审核工作，根据施工图及招、投标文件、施工合同审核工程进度款、计算工程实物量、参与材料设备的询价、审核工程变更及签证、与工程承包单位、材料设备供应单位洽谈索赔事项、建立管理台帐等进行动态造价控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（1）调整项目总体投资进度计划，根据实际进度与每月实际投资和计划投资作分析比较，分析成本超支的原因和修正项目投资进度计划；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（2）协助委托人制定工程成本控制方案，包括合同管理、工程变更程序、工程款支付程序等管理方案；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（3）协助委托人处理合同变更，包括合同变更谈判、变更的处理程序，检查变更措施的落实情况；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4）协助委托人处理合同的索赔，维护委托人的合法权益，防止索赔事件的发生。对收到的承包方的索赔报告进行审查分析，收集索赔理由和证据，复核索赔值，起草并提出反索赔报告。调解合同争端，在仲裁过程中提供合法的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5）负责审核施工单位的施工图预算、施工现场的工程量计量、工程变更工程量及价款、现场签证工程量及价款、工程联系单工程量及价款；搜集月度材料信息，编制/审核月度工程量及材差价款；现场签证涉及造价，就工程变更所发生的工程量及时进行签认。就提出的工程变更（包括：图纸会审、图纸修改、工程洽商等）对造价造成的影响提交较准确的计算分析。协助委托人就工程变更涉及的价款与施工方协商，确认变更价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（6）负责审核施工工程进度款，对施工单位提出每期进度款进行准确的审核。做到每期的月进度款审核即为每期实际工程量的阶段性施工结算审核，为竣工结算审核提供准确的结算依据；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（7）负责定期收集和整理有关设备材料的市场价格动态信息并提供给委托人，对施工方案、材料选用提供尽可能节省成本的建议，如发生设计变更、材料或设备价格的浮动等，及时向委托人提供书面意见；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（8）每月提交一份工程成本控制报告。根据截止至当月所签订的施工合同、完成的工程量、确认的变更、确认的材料设备的价格及材料设备价格的走势等资料对项目的最终造价进行预测；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（9）按委托人要求参与施工现场工程例会、图纸会审及与投资控制有关的专题会等；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（10）审核所有涉及造价的工程技术文件并分析造价影响；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（11）各区造价负责人须按时参加每周的监理例会，总负责人每月参加监理例会的次数不得少于1次。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仿宋"/>
          <w:color w:val="auto"/>
          <w:sz w:val="24"/>
          <w:szCs w:val="24"/>
          <w:highlight w:val="none"/>
        </w:rPr>
      </w:pPr>
      <w:r>
        <w:rPr>
          <w:rFonts w:hint="eastAsia" w:ascii="宋体" w:hAnsi="宋体" w:cs="仿宋"/>
          <w:color w:val="auto"/>
          <w:sz w:val="24"/>
          <w:szCs w:val="24"/>
          <w:highlight w:val="none"/>
        </w:rPr>
        <w:t>（1</w:t>
      </w:r>
      <w:r>
        <w:rPr>
          <w:rFonts w:hint="eastAsia" w:ascii="宋体" w:hAnsi="宋体" w:cs="仿宋"/>
          <w:color w:val="auto"/>
          <w:sz w:val="24"/>
          <w:szCs w:val="24"/>
          <w:highlight w:val="none"/>
          <w:lang w:val="en-US" w:eastAsia="zh-CN"/>
        </w:rPr>
        <w:t>2</w:t>
      </w:r>
      <w:r>
        <w:rPr>
          <w:rFonts w:hint="eastAsia" w:ascii="宋体" w:hAnsi="宋体" w:cs="仿宋"/>
          <w:color w:val="auto"/>
          <w:sz w:val="24"/>
          <w:szCs w:val="24"/>
          <w:highlight w:val="none"/>
        </w:rPr>
        <w:t>）</w:t>
      </w:r>
      <w:r>
        <w:rPr>
          <w:rFonts w:hint="eastAsia" w:ascii="宋体" w:hAnsi="宋体" w:eastAsia="宋体" w:cs="仿宋"/>
          <w:bCs w:val="0"/>
          <w:color w:val="auto"/>
          <w:sz w:val="24"/>
          <w:szCs w:val="24"/>
          <w:highlight w:val="none"/>
          <w:lang w:val="zh-CN"/>
        </w:rPr>
        <w:t>全过程造价咨询单位需派驻至少两名人员驻点现场，要求中级工程师职称（造价相关专业），造价行业相关工作经验至少5年。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竣工结算阶段：配合搜集和整理结算依据资料，负责各项工程竣工结算的审核工作，编制建设工程竣工结算报告、竣工项目可行性后评估分析。确保结算报告的完整性、合理性、正确性。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1）负责各阶段已完成工程的结算审核；在收到项目承包单位提交的完整工程竣工（完工）结算资料后1个月内予以审核并提出完整的核实意见，如有必要需与项目承包单位进行对数确认。3个月内完成项目工程结算审核，如有特殊情况经委托人书面同意后可以延长审核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2）在结算完成15个工作日内提交工程造价后评估报告，包括对项目及实施过程的描述、概算、预算、合同价结算价进行比较，对各阶段时期的造价对比分析，按每完成一个节点出一个分析报告，对产生差异的原因及投资控制的效果进行分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决算阶段：配合搜集和整理决算依据资料，配合完成本项目投资控制管理建档工作。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审计阶段：配合审计部门的工程造价审计工作等相关配合服务工作，配合财务工作。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负责在规定的服务周期内完成项目或工程的前期费用、工程相关费等费用的预算价编制、进度款审核和结算价审核工作。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（1）前期费用包括但不限于：前期咨询费、勘察、设计费、土方地形图和控制点费用、七通一平工程费、清表费用、前期服务费、临时设施建造费（施工围墙）等；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（2）工程相关费包括但不限于监理费、专项检测费、监测费、材料检验试验费、面积测绘等。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咨询人提交的所有造价文件格式均需满足委托人的要求。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须提供委托人交代的其他造价咨询服务及投资控制事项（含司法鉴定服务）。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咨询人须按委托人要求指派</w:t>
      </w:r>
      <w:r>
        <w:rPr>
          <w:rFonts w:hint="eastAsia" w:ascii="宋体" w:hAnsi="宋体" w:cs="仿宋"/>
          <w:color w:val="auto"/>
          <w:sz w:val="24"/>
          <w:szCs w:val="24"/>
          <w:highlight w:val="none"/>
          <w:lang w:val="en-US" w:eastAsia="zh-CN"/>
        </w:rPr>
        <w:t>驻场</w:t>
      </w:r>
      <w:r>
        <w:rPr>
          <w:rFonts w:hint="eastAsia" w:ascii="宋体" w:hAnsi="宋体" w:cs="仿宋"/>
          <w:color w:val="auto"/>
          <w:sz w:val="24"/>
          <w:szCs w:val="24"/>
          <w:highlight w:val="none"/>
        </w:rPr>
        <w:t>负责人（注册造价工程师或注册一级造价工程师）定期到项目现场进行沟通对接，以一星期为一周期，每星期不少于一天(8小时)。</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负责建立合同、项目建筑业产值申报、项目纳税、付款、变更签证、预结算等管理台帐。</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向委托人提出专业性建议并提供相关的服务，协助委托人解决合同纠纷。</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对于发生的变更、签证、索赔、反索赔等情况及时与监理单位、委托人进行现场核实，及时进行预估、核算、核对，做到整个过程记录清楚，依据充分，计算清晰，结果明确。因咨询人对现场发生情况没有及时解决而造成工程造价不完整，结算有争议，给委托人带来损失，由咨询人承担相应的违约责任及损失赔偿责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仿宋"/>
          <w:color w:val="auto"/>
          <w:sz w:val="24"/>
          <w:szCs w:val="24"/>
          <w:highlight w:val="none"/>
        </w:rPr>
      </w:pPr>
      <w:r>
        <w:rPr>
          <w:rFonts w:hint="eastAsia" w:ascii="宋体" w:hAnsi="宋体" w:cs="仿宋"/>
          <w:color w:val="auto"/>
          <w:sz w:val="24"/>
          <w:szCs w:val="24"/>
          <w:highlight w:val="none"/>
        </w:rPr>
        <w:t>根据委托人要求，提供其他相关服务。</w:t>
      </w:r>
      <w:bookmarkStart w:id="9" w:name="_Hlk76559076"/>
    </w:p>
    <w:bookmarkEnd w:id="9"/>
    <w:p>
      <w:pPr>
        <w:widowControl/>
        <w:spacing w:line="360" w:lineRule="auto"/>
        <w:ind w:left="0" w:leftChars="0" w:firstLine="0" w:firstLineChars="0"/>
        <w:jc w:val="left"/>
        <w:outlineLvl w:val="1"/>
        <w:rPr>
          <w:rFonts w:hint="eastAsia" w:ascii="宋体" w:hAnsi="宋体" w:cs="宋体"/>
          <w:b/>
          <w:color w:val="auto"/>
          <w:sz w:val="24"/>
          <w:szCs w:val="24"/>
          <w:highlight w:val="none"/>
        </w:rPr>
      </w:pPr>
      <w:bookmarkStart w:id="10" w:name="_Toc28662"/>
      <w:bookmarkStart w:id="11" w:name="_Toc8499"/>
      <w:r>
        <w:rPr>
          <w:rFonts w:hint="eastAsia" w:ascii="宋体" w:hAnsi="宋体" w:cs="宋体"/>
          <w:b/>
          <w:color w:val="auto"/>
          <w:sz w:val="24"/>
          <w:szCs w:val="24"/>
          <w:highlight w:val="none"/>
        </w:rPr>
        <w:t>三、服务期限</w:t>
      </w:r>
      <w:bookmarkEnd w:id="10"/>
      <w:bookmarkEnd w:id="1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本合同服务期限自收到甲方通知开始之日起至本合同约定造价咨询服务工作全部完成时止。甲方根据实际情况，有权对本合同服务期限进行适当调整。</w:t>
      </w:r>
    </w:p>
    <w:p>
      <w:pPr>
        <w:widowControl/>
        <w:spacing w:line="360" w:lineRule="auto"/>
        <w:ind w:left="0" w:leftChars="0" w:firstLine="0" w:firstLineChars="0"/>
        <w:jc w:val="left"/>
        <w:outlineLvl w:val="1"/>
        <w:rPr>
          <w:rFonts w:hint="eastAsia" w:ascii="宋体" w:hAnsi="宋体" w:cs="宋体"/>
          <w:b/>
          <w:color w:val="auto"/>
          <w:sz w:val="24"/>
          <w:szCs w:val="24"/>
          <w:highlight w:val="none"/>
        </w:rPr>
      </w:pPr>
      <w:bookmarkStart w:id="12" w:name="_Toc24706"/>
      <w:bookmarkStart w:id="13" w:name="_Toc6430"/>
      <w:r>
        <w:rPr>
          <w:rFonts w:hint="eastAsia" w:ascii="宋体" w:hAnsi="宋体" w:cs="宋体"/>
          <w:b/>
          <w:color w:val="auto"/>
          <w:sz w:val="24"/>
          <w:szCs w:val="24"/>
          <w:highlight w:val="none"/>
        </w:rPr>
        <w:t>四、服务报酬</w:t>
      </w:r>
      <w:bookmarkEnd w:id="12"/>
      <w:bookmarkEnd w:id="1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经甲乙双方协商一致，本合同服务报酬以人民币为计算及支付货币，具体计算方法按第二部分合同条款第七条的约定执行。</w:t>
      </w:r>
    </w:p>
    <w:p>
      <w:pPr>
        <w:widowControl/>
        <w:spacing w:line="360" w:lineRule="auto"/>
        <w:ind w:left="0" w:leftChars="0" w:firstLine="0" w:firstLineChars="0"/>
        <w:jc w:val="left"/>
        <w:outlineLvl w:val="1"/>
        <w:rPr>
          <w:rFonts w:hint="eastAsia" w:ascii="宋体" w:hAnsi="宋体" w:cs="宋体"/>
          <w:b/>
          <w:color w:val="auto"/>
          <w:sz w:val="24"/>
          <w:szCs w:val="24"/>
          <w:highlight w:val="none"/>
        </w:rPr>
      </w:pPr>
      <w:bookmarkStart w:id="14" w:name="_Toc17583"/>
      <w:bookmarkStart w:id="15" w:name="_Toc10371"/>
      <w:r>
        <w:rPr>
          <w:rFonts w:hint="eastAsia" w:ascii="宋体" w:hAnsi="宋体" w:cs="宋体"/>
          <w:b/>
          <w:color w:val="auto"/>
          <w:sz w:val="24"/>
          <w:szCs w:val="24"/>
          <w:highlight w:val="none"/>
        </w:rPr>
        <w:t>五、合同文件构成及优先顺序</w:t>
      </w:r>
      <w:bookmarkEnd w:id="14"/>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下列文件应被认为是组成本合同的一部分，并互为补充和解释，如各文件存在冲突之处，以如下排列次序在前者优先适用：</w:t>
      </w:r>
    </w:p>
    <w:p>
      <w:pPr>
        <w:numPr>
          <w:ilvl w:val="0"/>
          <w:numId w:val="2"/>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国家和广东省、广州市关于本项目的有关文件；</w:t>
      </w:r>
    </w:p>
    <w:p>
      <w:pPr>
        <w:numPr>
          <w:ilvl w:val="0"/>
          <w:numId w:val="2"/>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本合同履行期间甲乙双方签订的补充合同（协议）或修正文件；</w:t>
      </w:r>
    </w:p>
    <w:p>
      <w:pPr>
        <w:numPr>
          <w:ilvl w:val="0"/>
          <w:numId w:val="2"/>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合同协议书；</w:t>
      </w:r>
    </w:p>
    <w:p>
      <w:pPr>
        <w:numPr>
          <w:ilvl w:val="0"/>
          <w:numId w:val="2"/>
        </w:numPr>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中标通知书；</w:t>
      </w:r>
    </w:p>
    <w:p>
      <w:pPr>
        <w:numPr>
          <w:ilvl w:val="0"/>
          <w:numId w:val="2"/>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合同条款；</w:t>
      </w:r>
    </w:p>
    <w:p>
      <w:pPr>
        <w:numPr>
          <w:ilvl w:val="0"/>
          <w:numId w:val="2"/>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甲方制定的各项造价（咨询）管理制度及规定（包括继续沿用甲方更名前的各项管理制度及规定，如有更新则按更新后的执行，下同）；</w:t>
      </w:r>
    </w:p>
    <w:p>
      <w:pPr>
        <w:numPr>
          <w:ilvl w:val="0"/>
          <w:numId w:val="2"/>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合同附件[属本条第（1）项和第（6）项内容的除外]；</w:t>
      </w:r>
    </w:p>
    <w:p>
      <w:pPr>
        <w:numPr>
          <w:ilvl w:val="0"/>
          <w:numId w:val="2"/>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u w:val="single"/>
          <w:lang w:eastAsia="zh-CN"/>
        </w:rPr>
        <w:t>增城区南部水厂及配套管网建设工程全过程造价咨询</w:t>
      </w:r>
      <w:r>
        <w:rPr>
          <w:rFonts w:hint="eastAsia" w:ascii="宋体" w:hAnsi="宋体" w:cs="宋体"/>
          <w:color w:val="auto"/>
          <w:sz w:val="24"/>
          <w:szCs w:val="24"/>
          <w:highlight w:val="none"/>
        </w:rPr>
        <w:t>招标文件[含招标文件补充文件、澄清文件、答疑文件等，属本条第（7）项内容的除外]；</w:t>
      </w:r>
    </w:p>
    <w:p>
      <w:pPr>
        <w:numPr>
          <w:ilvl w:val="0"/>
          <w:numId w:val="2"/>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乙方投标文件[含投标文件澄清等，属本条第（7）项内容的除外]；</w:t>
      </w:r>
    </w:p>
    <w:p>
      <w:pPr>
        <w:numPr>
          <w:ilvl w:val="0"/>
          <w:numId w:val="2"/>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国家及广东省、广州市的标准、规范及有关技术文件；</w:t>
      </w:r>
    </w:p>
    <w:p>
      <w:pPr>
        <w:numPr>
          <w:ilvl w:val="0"/>
          <w:numId w:val="2"/>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组成合同的其它文件。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通过上述顺序解释仍无法明确的事项，由甲方与乙方协商解决；如协商不成，由甲方按照公平合理和有利于本合同工程建设的原则作出决定。如乙方对此决定不服的，应在接到甲方决定之日起3天内提出书面异议；如期满不提出书面异议的，视为同意甲方的决定。甲方收到乙方的书面异议后应作出进一步的决定，如乙方仍有异议的，可按第二部分合同条款第十一条的约定处理，但在有关部门没有作出正式裁决之前，乙方必须无条件先行执行甲方的决定。</w:t>
      </w:r>
    </w:p>
    <w:p>
      <w:pPr>
        <w:widowControl/>
        <w:spacing w:line="360" w:lineRule="auto"/>
        <w:ind w:left="0" w:leftChars="0" w:firstLine="0" w:firstLineChars="0"/>
        <w:jc w:val="left"/>
        <w:outlineLvl w:val="1"/>
        <w:rPr>
          <w:rFonts w:hint="eastAsia" w:ascii="宋体" w:hAnsi="宋体" w:cs="宋体"/>
          <w:b/>
          <w:color w:val="auto"/>
          <w:sz w:val="24"/>
          <w:szCs w:val="24"/>
          <w:highlight w:val="none"/>
        </w:rPr>
      </w:pPr>
      <w:bookmarkStart w:id="16" w:name="_Toc2982"/>
      <w:bookmarkStart w:id="17" w:name="_Toc1808"/>
      <w:r>
        <w:rPr>
          <w:rFonts w:hint="eastAsia" w:ascii="宋体" w:hAnsi="宋体" w:cs="宋体"/>
          <w:b/>
          <w:color w:val="auto"/>
          <w:sz w:val="24"/>
          <w:szCs w:val="24"/>
          <w:highlight w:val="none"/>
        </w:rPr>
        <w:t>六、乙方承诺按照本合同的约定履行合同义务。</w:t>
      </w:r>
      <w:bookmarkEnd w:id="16"/>
      <w:bookmarkEnd w:id="17"/>
    </w:p>
    <w:p>
      <w:pPr>
        <w:widowControl/>
        <w:spacing w:line="360" w:lineRule="auto"/>
        <w:ind w:left="0" w:leftChars="0" w:firstLine="0" w:firstLineChars="0"/>
        <w:jc w:val="left"/>
        <w:outlineLvl w:val="1"/>
        <w:rPr>
          <w:rFonts w:hint="eastAsia" w:ascii="宋体" w:hAnsi="宋体" w:cs="宋体"/>
          <w:b/>
          <w:color w:val="auto"/>
          <w:sz w:val="24"/>
          <w:szCs w:val="24"/>
          <w:highlight w:val="none"/>
        </w:rPr>
      </w:pPr>
      <w:bookmarkStart w:id="18" w:name="_Toc2559"/>
      <w:bookmarkStart w:id="19" w:name="_Toc541"/>
      <w:r>
        <w:rPr>
          <w:rFonts w:hint="eastAsia" w:ascii="宋体" w:hAnsi="宋体" w:cs="宋体"/>
          <w:b/>
          <w:color w:val="auto"/>
          <w:sz w:val="24"/>
          <w:szCs w:val="24"/>
          <w:highlight w:val="none"/>
        </w:rPr>
        <w:t>七、甲方承诺按照本合同约定的履行合同义务。</w:t>
      </w:r>
      <w:bookmarkEnd w:id="18"/>
      <w:bookmarkEnd w:id="19"/>
    </w:p>
    <w:p>
      <w:pPr>
        <w:widowControl/>
        <w:spacing w:line="360" w:lineRule="auto"/>
        <w:ind w:left="0" w:leftChars="0" w:firstLine="0" w:firstLineChars="0"/>
        <w:jc w:val="left"/>
        <w:outlineLvl w:val="1"/>
        <w:rPr>
          <w:rFonts w:hint="eastAsia" w:ascii="宋体" w:hAnsi="宋体" w:cs="宋体"/>
          <w:b/>
          <w:color w:val="auto"/>
          <w:sz w:val="24"/>
          <w:szCs w:val="24"/>
          <w:highlight w:val="none"/>
        </w:rPr>
      </w:pPr>
      <w:bookmarkStart w:id="20" w:name="_Toc19483"/>
      <w:bookmarkStart w:id="21" w:name="_Toc22039"/>
      <w:r>
        <w:rPr>
          <w:rFonts w:hint="eastAsia" w:ascii="宋体" w:hAnsi="宋体" w:cs="宋体"/>
          <w:b/>
          <w:color w:val="auto"/>
          <w:sz w:val="24"/>
          <w:szCs w:val="24"/>
          <w:highlight w:val="none"/>
        </w:rPr>
        <w:t>八、词语定义</w:t>
      </w:r>
      <w:bookmarkEnd w:id="20"/>
      <w:bookmarkEnd w:id="2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本合同协议书中有关词语含义与合同条款中分别赋予它们的定义相同。</w:t>
      </w:r>
    </w:p>
    <w:p>
      <w:pPr>
        <w:widowControl/>
        <w:spacing w:line="360" w:lineRule="auto"/>
        <w:ind w:left="0" w:leftChars="0" w:firstLine="0" w:firstLineChars="0"/>
        <w:jc w:val="left"/>
        <w:outlineLvl w:val="1"/>
        <w:rPr>
          <w:rFonts w:hint="eastAsia" w:ascii="宋体" w:hAnsi="宋体" w:cs="宋体"/>
          <w:b/>
          <w:color w:val="auto"/>
          <w:sz w:val="24"/>
          <w:szCs w:val="24"/>
          <w:highlight w:val="none"/>
        </w:rPr>
      </w:pPr>
      <w:bookmarkStart w:id="22" w:name="_Toc10162"/>
      <w:bookmarkStart w:id="23" w:name="_Toc28923"/>
      <w:r>
        <w:rPr>
          <w:rFonts w:hint="eastAsia" w:ascii="宋体" w:hAnsi="宋体" w:cs="宋体"/>
          <w:b/>
          <w:color w:val="auto"/>
          <w:sz w:val="24"/>
          <w:szCs w:val="24"/>
          <w:highlight w:val="none"/>
        </w:rPr>
        <w:t>九、合同生效及终止</w:t>
      </w:r>
      <w:bookmarkEnd w:id="22"/>
      <w:bookmarkEnd w:id="23"/>
    </w:p>
    <w:p>
      <w:pPr>
        <w:numPr>
          <w:ilvl w:val="0"/>
          <w:numId w:val="3"/>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本合同自双方签字盖章（公章或合同专用章）之日起生效。</w:t>
      </w:r>
    </w:p>
    <w:p>
      <w:pPr>
        <w:numPr>
          <w:ilvl w:val="0"/>
          <w:numId w:val="3"/>
        </w:num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乙方完成甲方委托的全部工作内容且业主单位按合同约定支付了服务报酬后本合同即终止。</w:t>
      </w:r>
    </w:p>
    <w:p>
      <w:pPr>
        <w:widowControl/>
        <w:spacing w:line="360" w:lineRule="auto"/>
        <w:ind w:left="0" w:leftChars="0" w:firstLine="0" w:firstLineChars="0"/>
        <w:jc w:val="left"/>
        <w:outlineLvl w:val="1"/>
        <w:rPr>
          <w:rFonts w:hint="eastAsia" w:ascii="宋体" w:hAnsi="宋体" w:cs="宋体"/>
          <w:b/>
          <w:color w:val="auto"/>
          <w:sz w:val="24"/>
          <w:szCs w:val="24"/>
          <w:highlight w:val="none"/>
        </w:rPr>
      </w:pPr>
      <w:bookmarkStart w:id="24" w:name="_Toc13175"/>
      <w:bookmarkStart w:id="25" w:name="_Toc6316"/>
      <w:r>
        <w:rPr>
          <w:rFonts w:hint="eastAsia" w:ascii="宋体" w:hAnsi="宋体" w:cs="宋体"/>
          <w:b/>
          <w:color w:val="auto"/>
          <w:sz w:val="24"/>
          <w:szCs w:val="24"/>
          <w:highlight w:val="none"/>
        </w:rPr>
        <w:t>十、合同份数</w:t>
      </w:r>
      <w:bookmarkEnd w:id="24"/>
      <w:bookmarkEnd w:id="2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本合同正本一式两份，双方各执一份；副本八份，其中甲方执六份，乙方执二份。合同正、副本具有同等效力，但当合同正本与副本的表述不一致时，以合同正本为准。</w:t>
      </w:r>
    </w:p>
    <w:p>
      <w:pPr>
        <w:widowControl/>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以下无正文</w:t>
      </w:r>
      <w:r>
        <w:rPr>
          <w:rFonts w:hint="eastAsia" w:ascii="宋体" w:hAnsi="宋体" w:cs="宋体"/>
          <w:color w:val="auto"/>
          <w:sz w:val="24"/>
          <w:szCs w:val="24"/>
          <w:highlight w:val="none"/>
          <w:lang w:eastAsia="zh-CN"/>
        </w:rPr>
        <w:t>）</w:t>
      </w:r>
    </w:p>
    <w:p>
      <w:pPr>
        <w:widowControl/>
        <w:spacing w:line="360" w:lineRule="auto"/>
        <w:jc w:val="left"/>
        <w:rPr>
          <w:rFonts w:ascii="宋体" w:hAnsi="宋体" w:cs="宋体"/>
          <w:color w:val="auto"/>
          <w:sz w:val="24"/>
          <w:szCs w:val="24"/>
          <w:highlight w:val="none"/>
        </w:rPr>
      </w:pPr>
    </w:p>
    <w:p>
      <w:pPr>
        <w:widowControl/>
        <w:spacing w:line="360" w:lineRule="auto"/>
        <w:jc w:val="left"/>
        <w:rPr>
          <w:rFonts w:hint="eastAsia" w:ascii="宋体" w:hAnsi="宋体" w:cs="宋体"/>
          <w:color w:val="auto"/>
          <w:sz w:val="24"/>
          <w:szCs w:val="24"/>
          <w:highlight w:val="none"/>
        </w:rPr>
      </w:pPr>
    </w:p>
    <w:p>
      <w:pPr>
        <w:widowControl/>
        <w:spacing w:line="360" w:lineRule="auto"/>
        <w:jc w:val="left"/>
        <w:rPr>
          <w:rFonts w:hint="eastAsia" w:ascii="宋体" w:hAnsi="宋体" w:cs="宋体"/>
          <w:color w:val="auto"/>
          <w:sz w:val="24"/>
          <w:szCs w:val="24"/>
          <w:highlight w:val="none"/>
        </w:rPr>
      </w:pPr>
    </w:p>
    <w:p>
      <w:pPr>
        <w:widowControl/>
        <w:spacing w:line="360" w:lineRule="auto"/>
        <w:jc w:val="left"/>
        <w:rPr>
          <w:rFonts w:hint="eastAsia" w:ascii="宋体" w:hAnsi="宋体" w:cs="宋体"/>
          <w:color w:val="auto"/>
          <w:sz w:val="24"/>
          <w:szCs w:val="24"/>
          <w:highlight w:val="none"/>
        </w:rPr>
      </w:pPr>
    </w:p>
    <w:p>
      <w:pPr>
        <w:widowControl/>
        <w:spacing w:line="360" w:lineRule="auto"/>
        <w:jc w:val="left"/>
        <w:rPr>
          <w:rFonts w:hint="eastAsia" w:ascii="宋体" w:hAnsi="宋体" w:cs="宋体"/>
          <w:color w:val="auto"/>
          <w:sz w:val="24"/>
          <w:szCs w:val="24"/>
          <w:highlight w:val="none"/>
        </w:rPr>
      </w:pPr>
    </w:p>
    <w:p>
      <w:pPr>
        <w:widowControl/>
        <w:spacing w:line="360" w:lineRule="auto"/>
        <w:jc w:val="left"/>
        <w:rPr>
          <w:rFonts w:hint="eastAsia" w:ascii="宋体" w:hAnsi="宋体" w:cs="宋体"/>
          <w:color w:val="auto"/>
          <w:sz w:val="24"/>
          <w:szCs w:val="24"/>
          <w:highlight w:val="none"/>
        </w:rPr>
      </w:pPr>
    </w:p>
    <w:p>
      <w:pPr>
        <w:pStyle w:val="20"/>
        <w:rPr>
          <w:rFonts w:hint="eastAsia" w:ascii="宋体" w:hAnsi="宋体" w:cs="宋体"/>
          <w:color w:val="auto"/>
          <w:sz w:val="24"/>
          <w:szCs w:val="24"/>
          <w:highlight w:val="none"/>
        </w:rPr>
      </w:pPr>
    </w:p>
    <w:p>
      <w:pPr>
        <w:pStyle w:val="20"/>
        <w:rPr>
          <w:rFonts w:hint="eastAsia" w:ascii="宋体" w:hAnsi="宋体" w:cs="宋体"/>
          <w:color w:val="auto"/>
          <w:sz w:val="24"/>
          <w:szCs w:val="24"/>
          <w:highlight w:val="none"/>
        </w:rPr>
      </w:pPr>
    </w:p>
    <w:p>
      <w:pPr>
        <w:pStyle w:val="20"/>
        <w:rPr>
          <w:rFonts w:hint="eastAsia" w:ascii="宋体" w:hAnsi="宋体" w:cs="宋体"/>
          <w:color w:val="auto"/>
          <w:sz w:val="24"/>
          <w:szCs w:val="24"/>
          <w:highlight w:val="none"/>
        </w:rPr>
      </w:pPr>
    </w:p>
    <w:p>
      <w:pPr>
        <w:pStyle w:val="20"/>
        <w:rPr>
          <w:rFonts w:hint="eastAsia" w:ascii="宋体" w:hAnsi="宋体" w:cs="宋体"/>
          <w:color w:val="auto"/>
          <w:sz w:val="24"/>
          <w:szCs w:val="24"/>
          <w:highlight w:val="none"/>
        </w:rPr>
      </w:pPr>
    </w:p>
    <w:p>
      <w:pPr>
        <w:pStyle w:val="20"/>
        <w:rPr>
          <w:rFonts w:hint="eastAsia" w:ascii="宋体" w:hAnsi="宋体" w:cs="宋体"/>
          <w:color w:val="auto"/>
          <w:sz w:val="24"/>
          <w:szCs w:val="24"/>
          <w:highlight w:val="none"/>
        </w:rPr>
      </w:pPr>
    </w:p>
    <w:p>
      <w:pPr>
        <w:pStyle w:val="20"/>
        <w:rPr>
          <w:rFonts w:hint="eastAsia" w:ascii="宋体" w:hAnsi="宋体" w:cs="宋体"/>
          <w:color w:val="auto"/>
          <w:sz w:val="24"/>
          <w:szCs w:val="24"/>
          <w:highlight w:val="none"/>
        </w:rPr>
      </w:pPr>
    </w:p>
    <w:p>
      <w:pPr>
        <w:pStyle w:val="20"/>
        <w:rPr>
          <w:rFonts w:hint="eastAsia" w:ascii="宋体" w:hAnsi="宋体" w:cs="宋体"/>
          <w:color w:val="auto"/>
          <w:sz w:val="24"/>
          <w:szCs w:val="24"/>
          <w:highlight w:val="none"/>
        </w:rPr>
      </w:pPr>
    </w:p>
    <w:p>
      <w:pPr>
        <w:pStyle w:val="20"/>
        <w:rPr>
          <w:rFonts w:hint="default" w:ascii="宋体" w:hAnsi="宋体" w:cs="宋体"/>
          <w:color w:val="auto"/>
          <w:sz w:val="24"/>
          <w:szCs w:val="24"/>
          <w:highlight w:val="none"/>
        </w:rPr>
      </w:pPr>
    </w:p>
    <w:p>
      <w:pPr>
        <w:widowControl/>
        <w:spacing w:line="360" w:lineRule="auto"/>
        <w:jc w:val="left"/>
        <w:rPr>
          <w:rFonts w:hint="eastAsia" w:ascii="宋体" w:hAnsi="宋体" w:cs="宋体"/>
          <w:color w:val="auto"/>
          <w:sz w:val="24"/>
          <w:szCs w:val="24"/>
          <w:highlight w:val="none"/>
        </w:rPr>
      </w:pPr>
    </w:p>
    <w:p>
      <w:pPr>
        <w:widowControl/>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本页为合同签署页</w:t>
      </w:r>
      <w:r>
        <w:rPr>
          <w:rFonts w:hint="eastAsia" w:ascii="宋体" w:hAnsi="宋体" w:cs="宋体"/>
          <w:color w:val="auto"/>
          <w:sz w:val="24"/>
          <w:szCs w:val="24"/>
          <w:highlight w:val="none"/>
          <w:lang w:eastAsia="zh-CN"/>
        </w:rPr>
        <w:t>）</w:t>
      </w:r>
    </w:p>
    <w:p>
      <w:pPr>
        <w:pStyle w:val="2"/>
        <w:rPr>
          <w:rFonts w:hint="eastAsia" w:ascii="宋体" w:hAnsi="宋体" w:cs="宋体"/>
          <w:color w:val="auto"/>
          <w:sz w:val="24"/>
          <w:szCs w:val="24"/>
          <w:highlight w:val="none"/>
        </w:rPr>
      </w:pPr>
    </w:p>
    <w:p>
      <w:pPr>
        <w:rPr>
          <w:rFonts w:hint="eastAsia"/>
          <w:color w:val="auto"/>
          <w:highlight w:val="none"/>
        </w:rPr>
      </w:pPr>
    </w:p>
    <w:p>
      <w:pPr>
        <w:widowControl/>
        <w:spacing w:line="360" w:lineRule="auto"/>
        <w:jc w:val="left"/>
        <w:rPr>
          <w:rFonts w:ascii="宋体" w:hAnsi="宋体" w:cs="宋体"/>
          <w:color w:val="auto"/>
          <w:w w:val="90"/>
          <w:szCs w:val="21"/>
          <w:highlight w:val="none"/>
        </w:rPr>
      </w:pPr>
      <w:r>
        <w:rPr>
          <w:rFonts w:hint="eastAsia" w:ascii="宋体" w:hAnsi="宋体" w:cs="宋体"/>
          <w:color w:val="auto"/>
          <w:sz w:val="24"/>
          <w:szCs w:val="24"/>
          <w:highlight w:val="none"/>
        </w:rPr>
        <w:t>甲方：</w:t>
      </w:r>
      <w:r>
        <w:rPr>
          <w:rFonts w:hint="eastAsia" w:ascii="宋体" w:hAnsi="宋体" w:cs="宋体"/>
          <w:b/>
          <w:color w:val="auto"/>
          <w:spacing w:val="-20"/>
          <w:sz w:val="24"/>
          <w:szCs w:val="24"/>
          <w:highlight w:val="none"/>
          <w:lang w:eastAsia="zh-CN"/>
        </w:rPr>
        <w:t>广州增城区东进供水有限公司</w:t>
      </w:r>
      <w:r>
        <w:rPr>
          <w:rFonts w:hint="eastAsia" w:ascii="宋体" w:hAnsi="宋体" w:cs="宋体"/>
          <w:color w:val="auto"/>
          <w:spacing w:val="-20"/>
          <w:sz w:val="24"/>
          <w:szCs w:val="24"/>
          <w:highlight w:val="none"/>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乙方：</w:t>
      </w:r>
      <w:r>
        <w:rPr>
          <w:rFonts w:hint="eastAsia" w:ascii="宋体" w:hAnsi="宋体" w:cs="宋体"/>
          <w:b/>
          <w:color w:val="auto"/>
          <w:w w:val="90"/>
          <w:szCs w:val="21"/>
          <w:highlight w:val="none"/>
        </w:rPr>
        <w:t xml:space="preserve"> </w:t>
      </w: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（盖章）                              （盖章）</w:t>
      </w:r>
    </w:p>
    <w:p>
      <w:pPr>
        <w:widowControl/>
        <w:spacing w:line="360" w:lineRule="auto"/>
        <w:contextualSpacing/>
        <w:jc w:val="left"/>
        <w:rPr>
          <w:rFonts w:ascii="宋体" w:hAnsi="宋体" w:cs="宋体"/>
          <w:color w:val="auto"/>
          <w:sz w:val="24"/>
          <w:szCs w:val="24"/>
          <w:highlight w:val="none"/>
        </w:rPr>
      </w:pP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法定代表人：                          法定代表人：</w:t>
      </w:r>
    </w:p>
    <w:p>
      <w:pPr>
        <w:widowControl/>
        <w:spacing w:line="360" w:lineRule="auto"/>
        <w:contextualSpacing/>
        <w:jc w:val="left"/>
        <w:rPr>
          <w:rFonts w:ascii="宋体" w:hAnsi="宋体" w:cs="宋体"/>
          <w:color w:val="auto"/>
          <w:sz w:val="24"/>
          <w:szCs w:val="24"/>
          <w:highlight w:val="none"/>
        </w:rPr>
      </w:pP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委托代理人：                          委托代理人：</w:t>
      </w:r>
    </w:p>
    <w:p>
      <w:pPr>
        <w:widowControl/>
        <w:spacing w:line="360" w:lineRule="auto"/>
        <w:contextualSpacing/>
        <w:jc w:val="left"/>
        <w:rPr>
          <w:rFonts w:ascii="宋体" w:hAnsi="宋体" w:cs="宋体"/>
          <w:color w:val="auto"/>
          <w:sz w:val="24"/>
          <w:szCs w:val="24"/>
          <w:highlight w:val="none"/>
        </w:rPr>
      </w:pP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地址：</w:t>
      </w: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邮编：</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邮编：</w:t>
      </w: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电话：</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电话：</w:t>
      </w: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传真：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传真：</w:t>
      </w:r>
    </w:p>
    <w:p>
      <w:pPr>
        <w:widowControl/>
        <w:spacing w:line="360" w:lineRule="auto"/>
        <w:contextualSpacing/>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签订日期：    年  月  日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开户银行：</w:t>
      </w:r>
    </w:p>
    <w:p>
      <w:pPr>
        <w:keepNext w:val="0"/>
        <w:keepLines w:val="0"/>
        <w:pageBreakBefore w:val="0"/>
        <w:widowControl/>
        <w:kinsoku/>
        <w:wordWrap/>
        <w:overflowPunct/>
        <w:topLinePunct w:val="0"/>
        <w:autoSpaceDE/>
        <w:autoSpaceDN/>
        <w:bidi w:val="0"/>
        <w:adjustRightInd/>
        <w:snapToGrid/>
        <w:spacing w:line="360" w:lineRule="auto"/>
        <w:contextualSpacing/>
        <w:jc w:val="left"/>
        <w:textAlignment w:val="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银行账号：</w:t>
      </w:r>
    </w:p>
    <w:p>
      <w:pPr>
        <w:widowControl/>
        <w:spacing w:line="360" w:lineRule="auto"/>
        <w:contextualSpacing/>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签订日期：    年  月   日</w:t>
      </w:r>
    </w:p>
    <w:p>
      <w:pPr>
        <w:widowControl/>
        <w:spacing w:line="360" w:lineRule="auto"/>
        <w:contextualSpacing/>
        <w:jc w:val="left"/>
        <w:rPr>
          <w:rFonts w:ascii="宋体" w:hAnsi="宋体" w:cs="宋体"/>
          <w:color w:val="auto"/>
          <w:sz w:val="24"/>
          <w:szCs w:val="24"/>
          <w:highlight w:val="none"/>
        </w:rPr>
      </w:pPr>
    </w:p>
    <w:p>
      <w:pPr>
        <w:widowControl/>
        <w:spacing w:line="360" w:lineRule="auto"/>
        <w:contextualSpacing/>
        <w:jc w:val="center"/>
        <w:rPr>
          <w:rFonts w:ascii="宋体" w:hAnsi="宋体" w:cs="宋体"/>
          <w:color w:val="auto"/>
          <w:sz w:val="24"/>
          <w:szCs w:val="24"/>
          <w:highlight w:val="none"/>
        </w:rPr>
      </w:pPr>
      <w:r>
        <w:rPr>
          <w:rFonts w:hint="eastAsia" w:ascii="宋体" w:hAnsi="宋体" w:cs="宋体"/>
          <w:color w:val="auto"/>
          <w:sz w:val="24"/>
          <w:szCs w:val="24"/>
          <w:highlight w:val="none"/>
        </w:rPr>
        <w:t>本合同签订于广东省广州市</w:t>
      </w:r>
      <w:r>
        <w:rPr>
          <w:rFonts w:hint="eastAsia" w:ascii="宋体" w:hAnsi="宋体" w:cs="宋体"/>
          <w:color w:val="auto"/>
          <w:sz w:val="24"/>
          <w:szCs w:val="24"/>
          <w:highlight w:val="none"/>
          <w:lang w:eastAsia="zh-CN"/>
        </w:rPr>
        <w:t>增城区</w:t>
      </w:r>
      <w:r>
        <w:rPr>
          <w:rFonts w:hint="eastAsia" w:ascii="宋体" w:hAnsi="宋体" w:cs="宋体"/>
          <w:color w:val="auto"/>
          <w:sz w:val="24"/>
          <w:szCs w:val="24"/>
          <w:highlight w:val="none"/>
        </w:rPr>
        <w:t>。</w:t>
      </w:r>
    </w:p>
    <w:p>
      <w:pPr>
        <w:widowControl/>
        <w:spacing w:before="100" w:beforeAutospacing="1" w:after="100" w:afterAutospacing="1" w:line="360" w:lineRule="auto"/>
        <w:jc w:val="center"/>
        <w:outlineLvl w:val="0"/>
        <w:rPr>
          <w:rFonts w:ascii="宋体" w:hAnsi="宋体" w:cs="宋体"/>
          <w:b/>
          <w:bCs/>
          <w:color w:val="auto"/>
          <w:sz w:val="36"/>
          <w:szCs w:val="36"/>
          <w:highlight w:val="none"/>
        </w:rPr>
      </w:pPr>
      <w:r>
        <w:rPr>
          <w:rFonts w:ascii="宋体" w:hAnsi="宋体" w:cs="宋体"/>
          <w:b/>
          <w:bCs/>
          <w:color w:val="auto"/>
          <w:sz w:val="36"/>
          <w:szCs w:val="36"/>
          <w:highlight w:val="none"/>
        </w:rPr>
        <w:br w:type="page"/>
      </w:r>
      <w:bookmarkStart w:id="26" w:name="_Toc5849"/>
      <w:bookmarkStart w:id="27" w:name="_Toc4821"/>
      <w:r>
        <w:rPr>
          <w:rFonts w:hint="eastAsia" w:ascii="宋体" w:hAnsi="宋体" w:cs="宋体"/>
          <w:b/>
          <w:bCs/>
          <w:color w:val="auto"/>
          <w:sz w:val="36"/>
          <w:szCs w:val="36"/>
          <w:highlight w:val="none"/>
        </w:rPr>
        <w:t>第二部分　合同条款</w:t>
      </w:r>
      <w:bookmarkEnd w:id="26"/>
      <w:bookmarkEnd w:id="27"/>
    </w:p>
    <w:p>
      <w:pPr>
        <w:widowControl/>
        <w:spacing w:line="360" w:lineRule="auto"/>
        <w:ind w:left="0" w:leftChars="0" w:firstLine="0" w:firstLineChars="0"/>
        <w:jc w:val="left"/>
        <w:outlineLvl w:val="1"/>
        <w:rPr>
          <w:rFonts w:ascii="宋体" w:hAnsi="宋体" w:cs="宋体"/>
          <w:b/>
          <w:color w:val="auto"/>
          <w:sz w:val="24"/>
          <w:szCs w:val="24"/>
          <w:highlight w:val="none"/>
        </w:rPr>
      </w:pPr>
      <w:bookmarkStart w:id="28" w:name="_Toc21509"/>
      <w:bookmarkStart w:id="29" w:name="_Toc8037"/>
      <w:r>
        <w:rPr>
          <w:rFonts w:hint="eastAsia" w:ascii="宋体" w:hAnsi="宋体" w:cs="宋体"/>
          <w:b/>
          <w:color w:val="auto"/>
          <w:sz w:val="24"/>
          <w:szCs w:val="24"/>
          <w:highlight w:val="none"/>
        </w:rPr>
        <w:t>一、词语定义</w:t>
      </w:r>
      <w:bookmarkEnd w:id="28"/>
      <w:bookmarkEnd w:id="29"/>
    </w:p>
    <w:p>
      <w:p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1.1甲方：是指委托建设工程造价咨询业务和聘用工程造价咨询单位的一方，在本合同中特指</w:t>
      </w:r>
      <w:r>
        <w:rPr>
          <w:rFonts w:hint="eastAsia" w:ascii="宋体" w:hAnsi="宋体" w:cs="宋体"/>
          <w:b/>
          <w:color w:val="auto"/>
          <w:sz w:val="24"/>
          <w:szCs w:val="24"/>
          <w:highlight w:val="none"/>
          <w:lang w:eastAsia="zh-CN"/>
        </w:rPr>
        <w:t>广州增城区东进供水有限公司</w:t>
      </w:r>
      <w:r>
        <w:rPr>
          <w:rFonts w:hint="eastAsia" w:ascii="宋体" w:hAnsi="宋体" w:cs="宋体"/>
          <w:color w:val="auto"/>
          <w:sz w:val="24"/>
          <w:szCs w:val="24"/>
          <w:highlight w:val="none"/>
        </w:rPr>
        <w:t>。</w:t>
      </w:r>
    </w:p>
    <w:p>
      <w:p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1.2乙方：是指承担建设工程造价咨询业务和工程造价咨询责任的一方，在本合同中特指</w:t>
      </w: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rPr>
        <w:t>。</w:t>
      </w:r>
    </w:p>
    <w:p>
      <w:p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1.3第三人：是指除甲方、乙方以外与本合同约定咨询业务有关的当事人。</w:t>
      </w:r>
    </w:p>
    <w:p>
      <w:pPr>
        <w:spacing w:line="360" w:lineRule="auto"/>
        <w:ind w:left="0" w:leftChars="0" w:firstLine="480" w:firstLineChars="200"/>
        <w:rPr>
          <w:rFonts w:ascii="宋体" w:hAnsi="宋体" w:cs="宋体"/>
          <w:strike/>
          <w:color w:val="auto"/>
          <w:sz w:val="24"/>
          <w:szCs w:val="24"/>
          <w:highlight w:val="none"/>
        </w:rPr>
      </w:pPr>
      <w:r>
        <w:rPr>
          <w:rFonts w:hint="eastAsia" w:ascii="宋体" w:hAnsi="宋体" w:cs="宋体"/>
          <w:color w:val="auto"/>
          <w:sz w:val="24"/>
          <w:szCs w:val="24"/>
          <w:highlight w:val="none"/>
        </w:rPr>
        <w:t>1.4</w:t>
      </w:r>
      <w:r>
        <w:rPr>
          <w:rFonts w:hint="eastAsia" w:ascii="宋体" w:hAnsi="宋体" w:cs="宋体"/>
          <w:snapToGrid w:val="0"/>
          <w:color w:val="auto"/>
          <w:kern w:val="0"/>
          <w:sz w:val="24"/>
          <w:szCs w:val="24"/>
          <w:highlight w:val="none"/>
        </w:rPr>
        <w:t>天：本合同中规定按天计算时间的，开始当天不计入，从次日开始计算。时限的最后一天是休息日或者其他法定节假日的，以节假日次日为时限的</w:t>
      </w:r>
      <w:r>
        <w:rPr>
          <w:rFonts w:hint="eastAsia" w:ascii="宋体" w:hAnsi="宋体" w:cs="宋体"/>
          <w:color w:val="auto"/>
          <w:sz w:val="24"/>
          <w:szCs w:val="24"/>
          <w:highlight w:val="none"/>
        </w:rPr>
        <w:t>最后</w:t>
      </w:r>
      <w:r>
        <w:rPr>
          <w:rFonts w:hint="eastAsia" w:ascii="宋体" w:hAnsi="宋体" w:cs="宋体"/>
          <w:snapToGrid w:val="0"/>
          <w:color w:val="auto"/>
          <w:kern w:val="0"/>
          <w:sz w:val="24"/>
          <w:szCs w:val="24"/>
          <w:highlight w:val="none"/>
        </w:rPr>
        <w:t>一天。时限的最后一天的截止时间为当日24时。</w:t>
      </w:r>
    </w:p>
    <w:p>
      <w:p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1.5月：是指根据公历从一个月份中任何一日开始到下一个月相应日期的前一日的时间段。</w:t>
      </w:r>
    </w:p>
    <w:p>
      <w:pPr>
        <w:widowControl/>
        <w:spacing w:line="360" w:lineRule="auto"/>
        <w:ind w:left="0" w:leftChars="0" w:firstLine="0" w:firstLineChars="0"/>
        <w:jc w:val="left"/>
        <w:outlineLvl w:val="1"/>
        <w:rPr>
          <w:rFonts w:ascii="宋体" w:hAnsi="宋体" w:cs="宋体"/>
          <w:b/>
          <w:color w:val="auto"/>
          <w:sz w:val="24"/>
          <w:szCs w:val="24"/>
          <w:highlight w:val="none"/>
        </w:rPr>
      </w:pPr>
      <w:bookmarkStart w:id="30" w:name="_Toc28442"/>
      <w:bookmarkStart w:id="31" w:name="_Toc8618"/>
      <w:r>
        <w:rPr>
          <w:rFonts w:hint="eastAsia" w:ascii="宋体" w:hAnsi="宋体" w:cs="宋体"/>
          <w:b/>
          <w:color w:val="auto"/>
          <w:sz w:val="24"/>
          <w:szCs w:val="24"/>
          <w:highlight w:val="none"/>
        </w:rPr>
        <w:t>二、本合同适用的法律、法规及工程造价计价办法和规定</w:t>
      </w:r>
      <w:bookmarkEnd w:id="30"/>
      <w:bookmarkEnd w:id="31"/>
    </w:p>
    <w:p>
      <w:p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2.1本合同适用中华人民共和国法律、法规。</w:t>
      </w:r>
    </w:p>
    <w:p>
      <w:p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本合同适用的工程造价计价办法和规定是：《广东省住房和城乡建设厅关于印发&lt;广东省建设工程计价依据（2018）&gt;的通知》（粤建市〔2019〕6号）、《建设工程工程量清单计价规范》（GB50500-2013）及2012年《广东省房屋建筑和市政修缮工程综合定额》等相关规定。国家及广东省、广州市有最新规定的，从其规定。</w:t>
      </w:r>
    </w:p>
    <w:p>
      <w:pPr>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2.3其它计价依据：甲方的要求、图纸、招标文件。</w:t>
      </w:r>
    </w:p>
    <w:p>
      <w:pPr>
        <w:widowControl/>
        <w:spacing w:line="360" w:lineRule="auto"/>
        <w:ind w:left="0" w:leftChars="0" w:firstLine="0" w:firstLineChars="0"/>
        <w:jc w:val="left"/>
        <w:outlineLvl w:val="1"/>
        <w:rPr>
          <w:rFonts w:ascii="宋体" w:hAnsi="宋体" w:cs="宋体"/>
          <w:b/>
          <w:color w:val="auto"/>
          <w:sz w:val="24"/>
          <w:szCs w:val="24"/>
          <w:highlight w:val="none"/>
        </w:rPr>
      </w:pPr>
      <w:bookmarkStart w:id="32" w:name="_Toc27440"/>
      <w:bookmarkStart w:id="33" w:name="_Toc30977"/>
      <w:r>
        <w:rPr>
          <w:rFonts w:hint="eastAsia" w:ascii="宋体" w:hAnsi="宋体" w:cs="宋体"/>
          <w:b/>
          <w:color w:val="auto"/>
          <w:sz w:val="24"/>
          <w:szCs w:val="24"/>
          <w:highlight w:val="none"/>
        </w:rPr>
        <w:t>三、本合同适用的语言文字</w:t>
      </w:r>
      <w:bookmarkEnd w:id="32"/>
      <w:bookmarkEnd w:id="33"/>
    </w:p>
    <w:p>
      <w:pPr>
        <w:spacing w:line="360" w:lineRule="auto"/>
        <w:ind w:left="0" w:leftChars="0" w:firstLine="480" w:firstLineChars="200"/>
        <w:rPr>
          <w:rFonts w:ascii="宋体" w:hAnsi="宋体" w:cs="宋体"/>
          <w:color w:val="auto"/>
          <w:sz w:val="24"/>
          <w:szCs w:val="24"/>
          <w:highlight w:val="none"/>
        </w:rPr>
      </w:pPr>
      <w:r>
        <w:rPr>
          <w:rFonts w:hint="eastAsia" w:ascii="宋体" w:hAnsi="宋体" w:cs="宋体"/>
          <w:snapToGrid w:val="0"/>
          <w:color w:val="auto"/>
          <w:sz w:val="24"/>
          <w:szCs w:val="24"/>
          <w:highlight w:val="none"/>
        </w:rPr>
        <w:t>本合同及其补充协议、甲乙双方来往文件等均使用中文书写。使用其他文字书写的对双方均不具有法律约束力，但如翻译成中文并经双方法定代表人（或其</w:t>
      </w:r>
      <w:r>
        <w:rPr>
          <w:rFonts w:hint="eastAsia" w:ascii="宋体" w:hAnsi="宋体" w:cs="宋体"/>
          <w:color w:val="auto"/>
          <w:sz w:val="24"/>
          <w:szCs w:val="24"/>
          <w:highlight w:val="none"/>
        </w:rPr>
        <w:t>委托代理人）签字或双方盖章确认的，则对双方均具有法律约束力。</w:t>
      </w:r>
    </w:p>
    <w:p>
      <w:pPr>
        <w:widowControl/>
        <w:spacing w:line="360" w:lineRule="auto"/>
        <w:ind w:left="0" w:leftChars="0" w:firstLine="0" w:firstLineChars="0"/>
        <w:jc w:val="left"/>
        <w:outlineLvl w:val="1"/>
        <w:rPr>
          <w:rFonts w:ascii="宋体" w:hAnsi="宋体" w:cs="宋体"/>
          <w:color w:val="auto"/>
          <w:sz w:val="24"/>
          <w:szCs w:val="24"/>
          <w:highlight w:val="none"/>
        </w:rPr>
      </w:pPr>
      <w:bookmarkStart w:id="34" w:name="_Toc1300"/>
      <w:bookmarkStart w:id="35" w:name="_Toc4356"/>
      <w:r>
        <w:rPr>
          <w:rFonts w:hint="eastAsia" w:ascii="宋体" w:hAnsi="宋体" w:cs="宋体"/>
          <w:b/>
          <w:bCs/>
          <w:color w:val="auto"/>
          <w:sz w:val="24"/>
          <w:szCs w:val="24"/>
          <w:highlight w:val="none"/>
        </w:rPr>
        <w:t>四</w:t>
      </w:r>
      <w:r>
        <w:rPr>
          <w:rFonts w:ascii="宋体" w:hAnsi="宋体" w:cs="宋体"/>
          <w:b/>
          <w:bCs/>
          <w:color w:val="auto"/>
          <w:sz w:val="24"/>
          <w:szCs w:val="24"/>
          <w:highlight w:val="none"/>
        </w:rPr>
        <w:t>、</w:t>
      </w:r>
      <w:r>
        <w:rPr>
          <w:rFonts w:hint="eastAsia" w:ascii="宋体" w:hAnsi="宋体" w:cs="宋体"/>
          <w:b/>
          <w:bCs/>
          <w:color w:val="auto"/>
          <w:sz w:val="24"/>
          <w:szCs w:val="24"/>
          <w:highlight w:val="none"/>
        </w:rPr>
        <w:t>服务</w:t>
      </w:r>
      <w:r>
        <w:rPr>
          <w:rFonts w:ascii="宋体" w:hAnsi="宋体" w:cs="宋体"/>
          <w:b/>
          <w:bCs/>
          <w:color w:val="auto"/>
          <w:sz w:val="24"/>
          <w:szCs w:val="24"/>
          <w:highlight w:val="none"/>
        </w:rPr>
        <w:t>内容</w:t>
      </w:r>
      <w:r>
        <w:rPr>
          <w:rFonts w:hint="eastAsia" w:ascii="宋体" w:hAnsi="宋体" w:cs="宋体"/>
          <w:b/>
          <w:bCs/>
          <w:color w:val="auto"/>
          <w:sz w:val="24"/>
          <w:szCs w:val="24"/>
          <w:highlight w:val="none"/>
        </w:rPr>
        <w:t>及相关服务</w:t>
      </w:r>
      <w:r>
        <w:rPr>
          <w:rFonts w:ascii="宋体" w:hAnsi="宋体" w:cs="宋体"/>
          <w:b/>
          <w:bCs/>
          <w:color w:val="auto"/>
          <w:sz w:val="24"/>
          <w:szCs w:val="24"/>
          <w:highlight w:val="none"/>
        </w:rPr>
        <w:t>要求</w:t>
      </w:r>
      <w:bookmarkEnd w:id="34"/>
      <w:bookmarkEnd w:id="35"/>
    </w:p>
    <w:p>
      <w:pPr>
        <w:keepNext w:val="0"/>
        <w:keepLines w:val="0"/>
        <w:pageBreakBefore w:val="0"/>
        <w:widowControl w:val="0"/>
        <w:kinsoku/>
        <w:wordWrap/>
        <w:overflowPunct/>
        <w:topLinePunct w:val="0"/>
        <w:autoSpaceDE/>
        <w:autoSpaceDN/>
        <w:bidi w:val="0"/>
        <w:adjustRightInd/>
        <w:snapToGrid/>
        <w:spacing w:after="625" w:afterLines="200" w:line="360" w:lineRule="auto"/>
        <w:ind w:left="0" w:leftChars="0" w:firstLine="480" w:firstLineChars="200"/>
        <w:textAlignment w:val="auto"/>
        <w:rPr>
          <w:rFonts w:hint="eastAsia" w:ascii="宋体" w:hAnsi="宋体" w:cs="宋体"/>
          <w:snapToGrid w:val="0"/>
          <w:color w:val="auto"/>
          <w:sz w:val="24"/>
          <w:szCs w:val="24"/>
          <w:highlight w:val="none"/>
        </w:rPr>
      </w:pPr>
      <w:r>
        <w:rPr>
          <w:rFonts w:hint="eastAsia" w:ascii="宋体" w:hAnsi="宋体" w:cs="宋体"/>
          <w:snapToGrid w:val="0"/>
          <w:color w:val="auto"/>
          <w:sz w:val="24"/>
          <w:szCs w:val="24"/>
          <w:highlight w:val="none"/>
        </w:rPr>
        <w:t>4.1本项目工程造价咨询服务的主要内容具体如下：</w:t>
      </w:r>
    </w:p>
    <w:p>
      <w:pPr>
        <w:pStyle w:val="20"/>
        <w:rPr>
          <w:rFonts w:hint="default" w:ascii="Times New Roman" w:hAnsi="Times New Roman" w:cs="Times New Roman"/>
          <w:snapToGrid/>
          <w:color w:val="auto"/>
          <w:sz w:val="20"/>
          <w:szCs w:val="24"/>
          <w:highlight w:val="none"/>
        </w:rPr>
      </w:pPr>
    </w:p>
    <w:tbl>
      <w:tblPr>
        <w:tblStyle w:val="22"/>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4"/>
        <w:gridCol w:w="1070"/>
        <w:gridCol w:w="712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tblHeader/>
          <w:jc w:val="center"/>
        </w:trPr>
        <w:tc>
          <w:tcPr>
            <w:tcW w:w="6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kern w:val="0"/>
                <w:sz w:val="21"/>
                <w:szCs w:val="21"/>
                <w:highlight w:val="none"/>
                <w:shd w:val="clear" w:color="auto" w:fill="FFFFFF"/>
              </w:rPr>
              <w:t>序号</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kern w:val="0"/>
                <w:sz w:val="21"/>
                <w:szCs w:val="21"/>
                <w:highlight w:val="none"/>
                <w:shd w:val="clear" w:color="auto" w:fill="FFFFFF"/>
              </w:rPr>
              <w:t>阶段</w:t>
            </w:r>
          </w:p>
        </w:tc>
        <w:tc>
          <w:tcPr>
            <w:tcW w:w="712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jc w:val="center"/>
              <w:rPr>
                <w:rFonts w:hint="eastAsia" w:ascii="宋体" w:hAnsi="宋体" w:eastAsia="宋体" w:cs="宋体"/>
                <w:b/>
                <w:color w:val="auto"/>
                <w:sz w:val="21"/>
                <w:szCs w:val="21"/>
                <w:highlight w:val="none"/>
                <w:shd w:val="clear" w:color="auto" w:fill="FFFFFF"/>
              </w:rPr>
            </w:pPr>
            <w:r>
              <w:rPr>
                <w:rFonts w:hint="eastAsia" w:ascii="宋体" w:hAnsi="宋体" w:eastAsia="宋体" w:cs="宋体"/>
                <w:b/>
                <w:color w:val="auto"/>
                <w:kern w:val="0"/>
                <w:sz w:val="21"/>
                <w:szCs w:val="21"/>
                <w:highlight w:val="none"/>
                <w:shd w:val="clear" w:color="auto" w:fill="FFFFFF"/>
              </w:rPr>
              <w:t>服务内容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line="276"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1</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line="276"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概算阶段（如需）</w:t>
            </w:r>
          </w:p>
        </w:tc>
        <w:tc>
          <w:tcPr>
            <w:tcW w:w="712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top"/>
          </w:tcPr>
          <w:p>
            <w:pPr>
              <w:widowControl/>
              <w:numPr>
                <w:ilvl w:val="0"/>
                <w:numId w:val="4"/>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负责审核、评审（如需）概算文件，按招标人要求提交概算审核、评审（如需）意见；</w:t>
            </w:r>
          </w:p>
          <w:p>
            <w:pPr>
              <w:widowControl/>
              <w:numPr>
                <w:ilvl w:val="0"/>
                <w:numId w:val="4"/>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负责提交材料设备汇总表，对设计中采用的主材、设备等提供市场信息，提出优化建议；</w:t>
            </w:r>
          </w:p>
          <w:p>
            <w:pPr>
              <w:widowControl/>
              <w:numPr>
                <w:ilvl w:val="0"/>
                <w:numId w:val="4"/>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根据批准的概算，负责审核并提出工程项目的各专业工程和各阶段造价限额设计量化指标；</w:t>
            </w:r>
          </w:p>
          <w:p>
            <w:pPr>
              <w:widowControl/>
              <w:numPr>
                <w:ilvl w:val="0"/>
                <w:numId w:val="4"/>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跟进概算评审的各阶段工作，及时反馈意见，对评审工作进行分解分析，给出专业意见及合理化建议。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line="276"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2</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line="276"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施工图预算阶段</w:t>
            </w:r>
          </w:p>
        </w:tc>
        <w:tc>
          <w:tcPr>
            <w:tcW w:w="712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widowControl/>
              <w:numPr>
                <w:ilvl w:val="0"/>
                <w:numId w:val="5"/>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负责审核施工图预算（含设计图纸修改后调整相应预算），按招标人要求提交审核报告；</w:t>
            </w:r>
          </w:p>
          <w:p>
            <w:pPr>
              <w:widowControl/>
              <w:numPr>
                <w:ilvl w:val="0"/>
                <w:numId w:val="5"/>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负责提交材料设备汇总表，对设计中采用的主材、设备等提供市场信息，提出优化建议。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line="276"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3</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line="276"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招标阶段</w:t>
            </w:r>
          </w:p>
        </w:tc>
        <w:tc>
          <w:tcPr>
            <w:tcW w:w="712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widowControl/>
              <w:numPr>
                <w:ilvl w:val="0"/>
                <w:numId w:val="6"/>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负责按招标人要求编制招标工程量清单及招标控制价，负责进行市场调查、询价，在招标人指定地点进行对数、编制或调整等；</w:t>
            </w:r>
          </w:p>
          <w:p>
            <w:pPr>
              <w:widowControl/>
              <w:numPr>
                <w:ilvl w:val="0"/>
                <w:numId w:val="6"/>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负责根据设计单位的图纸及技术规范、用户需求书，编制设备、材料询价或采购清单；</w:t>
            </w:r>
          </w:p>
          <w:p>
            <w:pPr>
              <w:widowControl/>
              <w:numPr>
                <w:ilvl w:val="0"/>
                <w:numId w:val="6"/>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对中标人提出的造价问题的解答。按广州市建设工程造价管理站招标控制价备案要求提供造价文件（含编制说明、最高投标限价公布函、招标控制价软件版、EXCEL版、XML（cos）版、指标分析表等），并会同招标代理单位完成招标控制价备案工作；</w:t>
            </w:r>
          </w:p>
          <w:p>
            <w:pPr>
              <w:widowControl/>
              <w:numPr>
                <w:ilvl w:val="0"/>
                <w:numId w:val="6"/>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负责对中标人的经济标文件或报价书等进行分析和汇总，提出造价控制建议，并形成清标报告；</w:t>
            </w:r>
          </w:p>
          <w:p>
            <w:pPr>
              <w:widowControl/>
              <w:numPr>
                <w:ilvl w:val="0"/>
                <w:numId w:val="6"/>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负责对合同方式和可能存在的风险因素及解决办法等提出合理化建议供招标人参考。</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line="276"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4</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line="276"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施工阶段</w:t>
            </w:r>
          </w:p>
        </w:tc>
        <w:tc>
          <w:tcPr>
            <w:tcW w:w="712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widowControl/>
              <w:numPr>
                <w:ilvl w:val="0"/>
                <w:numId w:val="7"/>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负责主材单价、综合单价、变更签证等合同变更费用审核；检测监测费用编制或审核；图纸设计变更会签、材料设备看样定板会签；必要时按招标人要求集中会审；</w:t>
            </w:r>
          </w:p>
          <w:p>
            <w:pPr>
              <w:widowControl/>
              <w:numPr>
                <w:ilvl w:val="0"/>
                <w:numId w:val="7"/>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负责施工过程造价控制，定期召开造价控制会议，每月底提交投资控制报告，含项目整体资金使用情况、结算价预估分析、动态成本（须与目标成本对比分析偏差原因及解决方案建议）等；</w:t>
            </w:r>
          </w:p>
          <w:p>
            <w:pPr>
              <w:widowControl/>
              <w:numPr>
                <w:ilvl w:val="0"/>
                <w:numId w:val="7"/>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制定项目总体投资进度计划，根据实际进度与每月实际投资和计划投资作分析比较，分析成本超支的原因和修正项目投资进度计划； </w:t>
            </w:r>
          </w:p>
          <w:p>
            <w:pPr>
              <w:widowControl/>
              <w:numPr>
                <w:ilvl w:val="0"/>
                <w:numId w:val="7"/>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审核工程量与进度款（即计量支付，下同）；</w:t>
            </w:r>
          </w:p>
          <w:p>
            <w:pPr>
              <w:widowControl/>
              <w:numPr>
                <w:ilvl w:val="0"/>
                <w:numId w:val="7"/>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负责建立合同台账、支付台账、变更台账（按变更原因分类）、签证台账、动态投资台账等； </w:t>
            </w:r>
          </w:p>
          <w:p>
            <w:pPr>
              <w:widowControl/>
              <w:numPr>
                <w:ilvl w:val="0"/>
                <w:numId w:val="7"/>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负责定期收集和整理有关设备材料的市场价格动态信息，对施工方案、材料选用提供成本控制建议；</w:t>
            </w:r>
          </w:p>
          <w:p>
            <w:pPr>
              <w:widowControl/>
              <w:numPr>
                <w:ilvl w:val="0"/>
                <w:numId w:val="7"/>
              </w:numPr>
              <w:spacing w:beforeLines="0" w:afterLines="0" w:line="276" w:lineRule="auto"/>
              <w:ind w:left="709" w:hanging="709"/>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rPr>
              <w:t>负责协助第三方的合同索赔处理，参加合同变更谈判，负责处理合同变更，维护业主的合法权益。</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line="276"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sz w:val="21"/>
                <w:szCs w:val="21"/>
                <w:highlight w:val="none"/>
                <w:shd w:val="clear" w:color="auto" w:fill="FFFFFF"/>
              </w:rPr>
              <w:t>5</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line="276" w:lineRule="auto"/>
              <w:jc w:val="center"/>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结（决）算阶段</w:t>
            </w:r>
          </w:p>
        </w:tc>
        <w:tc>
          <w:tcPr>
            <w:tcW w:w="712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widowControl/>
              <w:numPr>
                <w:ilvl w:val="0"/>
                <w:numId w:val="8"/>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负责编制结算计划，建立结算台账；</w:t>
            </w:r>
          </w:p>
          <w:p>
            <w:pPr>
              <w:widowControl/>
              <w:numPr>
                <w:ilvl w:val="0"/>
                <w:numId w:val="8"/>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负责收集和整理结算依据资料，负责组织过程结算；</w:t>
            </w:r>
          </w:p>
          <w:p>
            <w:pPr>
              <w:widowControl/>
              <w:numPr>
                <w:ilvl w:val="0"/>
                <w:numId w:val="8"/>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eastAsia="宋体" w:cs="Calibri"/>
                <w:color w:val="auto"/>
                <w:sz w:val="21"/>
                <w:szCs w:val="21"/>
                <w:highlight w:val="none"/>
              </w:rPr>
              <w:t>负责竣工结算审核、要求收到承建（服务）单位报送的结算文件后按甲方要求的时间内出具结算审核报告</w:t>
            </w:r>
            <w:r>
              <w:rPr>
                <w:rFonts w:hint="eastAsia" w:ascii="宋体" w:hAnsi="宋体" w:eastAsia="宋体" w:cs="Calibri"/>
                <w:color w:val="auto"/>
                <w:sz w:val="21"/>
                <w:szCs w:val="21"/>
                <w:highlight w:val="none"/>
                <w:shd w:val="clear" w:color="auto" w:fill="FFFFFF"/>
              </w:rPr>
              <w:t>；</w:t>
            </w:r>
          </w:p>
          <w:p>
            <w:pPr>
              <w:widowControl/>
              <w:numPr>
                <w:ilvl w:val="0"/>
                <w:numId w:val="8"/>
              </w:numPr>
              <w:spacing w:beforeLines="0" w:afterLines="0" w:line="276" w:lineRule="auto"/>
              <w:ind w:left="709" w:hanging="70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配合结算定审和决算工作。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664"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line="276"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6</w:t>
            </w:r>
          </w:p>
        </w:tc>
        <w:tc>
          <w:tcPr>
            <w:tcW w:w="1070"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shd w:val="solid" w:color="FFFFFF" w:fill="auto"/>
              <w:autoSpaceDN w:val="0"/>
              <w:spacing w:beforeLines="0" w:afterLines="0" w:line="276" w:lineRule="auto"/>
              <w:jc w:val="center"/>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其他</w:t>
            </w:r>
          </w:p>
        </w:tc>
        <w:tc>
          <w:tcPr>
            <w:tcW w:w="7122" w:type="dxa"/>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widowControl/>
              <w:numPr>
                <w:ilvl w:val="0"/>
                <w:numId w:val="9"/>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负责按招标人要求编制各类造价管理文件；</w:t>
            </w:r>
          </w:p>
          <w:p>
            <w:pPr>
              <w:widowControl/>
              <w:numPr>
                <w:ilvl w:val="0"/>
                <w:numId w:val="9"/>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负责委托合同价格审核；</w:t>
            </w:r>
          </w:p>
          <w:p>
            <w:pPr>
              <w:widowControl/>
              <w:numPr>
                <w:ilvl w:val="0"/>
                <w:numId w:val="9"/>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参与设计方案论证会议、技术经济方案比选、变更论证等专题会，提出造价专业意见；督促落实各阶段、各专业工程造价限额设计量化指标；</w:t>
            </w:r>
          </w:p>
          <w:p>
            <w:pPr>
              <w:widowControl/>
              <w:numPr>
                <w:ilvl w:val="0"/>
                <w:numId w:val="9"/>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负责组织相关造价控制评审会议，包括邀请相应的经济专家。视情况邀请高级经济顾问对造价问题进行咨询把关；</w:t>
            </w:r>
          </w:p>
          <w:p>
            <w:pPr>
              <w:widowControl/>
              <w:numPr>
                <w:ilvl w:val="0"/>
                <w:numId w:val="9"/>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配合招标人编制详细的工程成本预测和资金流量预测分析，以作为进度和成本控制的目标；随设计的深入定期分析工程成本、定期修正资金流量预测；</w:t>
            </w:r>
          </w:p>
          <w:p>
            <w:pPr>
              <w:widowControl/>
              <w:numPr>
                <w:ilvl w:val="0"/>
                <w:numId w:val="9"/>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招标人安排的其他造价管理工作，如投资匡算、培训等；</w:t>
            </w:r>
          </w:p>
          <w:p>
            <w:pPr>
              <w:widowControl/>
              <w:numPr>
                <w:ilvl w:val="0"/>
                <w:numId w:val="9"/>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设计费、监理费和检测监测费等费用审核；</w:t>
            </w:r>
          </w:p>
          <w:p>
            <w:pPr>
              <w:widowControl/>
              <w:numPr>
                <w:ilvl w:val="0"/>
                <w:numId w:val="9"/>
              </w:numPr>
              <w:spacing w:beforeLines="0" w:afterLines="0" w:line="276" w:lineRule="auto"/>
              <w:ind w:left="709" w:hanging="70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按要求配合项目审计工作。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856" w:type="dxa"/>
            <w:gridSpan w:val="3"/>
            <w:tcBorders>
              <w:top w:val="single" w:color="000000" w:sz="4" w:space="0"/>
              <w:left w:val="single" w:color="000000" w:sz="4" w:space="0"/>
              <w:bottom w:val="single" w:color="000000" w:sz="4" w:space="0"/>
              <w:right w:val="single" w:color="000000" w:sz="4" w:space="0"/>
              <w:tl2br w:val="nil"/>
              <w:tr2bl w:val="nil"/>
            </w:tcBorders>
            <w:noWrap w:val="0"/>
            <w:tcMar>
              <w:top w:w="0" w:type="dxa"/>
              <w:left w:w="108" w:type="dxa"/>
              <w:bottom w:w="0" w:type="dxa"/>
              <w:right w:w="108" w:type="dxa"/>
            </w:tcMar>
            <w:vAlign w:val="center"/>
          </w:tcPr>
          <w:p>
            <w:pPr>
              <w:widowControl/>
              <w:numPr>
                <w:ilvl w:val="0"/>
                <w:numId w:val="0"/>
              </w:numPr>
              <w:spacing w:beforeLines="0" w:afterLines="0"/>
              <w:rPr>
                <w:rFonts w:hint="eastAsia" w:eastAsia="宋体"/>
                <w:color w:val="auto"/>
                <w:sz w:val="21"/>
                <w:szCs w:val="22"/>
                <w:highlight w:val="none"/>
              </w:rPr>
            </w:pPr>
            <w:r>
              <w:rPr>
                <w:rFonts w:hint="eastAsia" w:eastAsia="宋体"/>
                <w:color w:val="auto"/>
                <w:sz w:val="21"/>
                <w:szCs w:val="22"/>
                <w:highlight w:val="none"/>
              </w:rPr>
              <w:t>备注：</w:t>
            </w:r>
          </w:p>
          <w:p>
            <w:pPr>
              <w:numPr>
                <w:ilvl w:val="0"/>
                <w:numId w:val="10"/>
              </w:numPr>
              <w:spacing w:beforeLines="0" w:afterLines="0"/>
              <w:rPr>
                <w:rFonts w:hint="eastAsia" w:eastAsia="宋体"/>
                <w:color w:val="auto"/>
                <w:sz w:val="21"/>
                <w:szCs w:val="22"/>
                <w:highlight w:val="none"/>
              </w:rPr>
            </w:pPr>
            <w:r>
              <w:rPr>
                <w:rFonts w:hint="eastAsia" w:eastAsia="宋体"/>
                <w:color w:val="auto"/>
                <w:sz w:val="21"/>
                <w:szCs w:val="22"/>
                <w:highlight w:val="none"/>
              </w:rPr>
              <w:t>为实现项目的投资控制目标，由中标人安排有类似的项目管理经验的工程造价专业人员为本项目服务，组成项目组，如需更换人员需提前通知并取得甲方的同意，更换新的人员资格及经验不低于被更换人员。</w:t>
            </w:r>
            <w:r>
              <w:rPr>
                <w:rFonts w:hint="eastAsia" w:ascii="宋体" w:hAnsi="宋体" w:eastAsia="宋体" w:cs="宋体"/>
                <w:color w:val="auto"/>
                <w:kern w:val="0"/>
                <w:sz w:val="21"/>
                <w:szCs w:val="21"/>
                <w:highlight w:val="none"/>
              </w:rPr>
              <w:t>招标人</w:t>
            </w:r>
            <w:r>
              <w:rPr>
                <w:rFonts w:hint="eastAsia" w:eastAsia="宋体"/>
                <w:color w:val="auto"/>
                <w:sz w:val="21"/>
                <w:szCs w:val="22"/>
                <w:highlight w:val="none"/>
              </w:rPr>
              <w:t xml:space="preserve">仅提供驻场人员办公场地，其他如办公设备、办公用品、就餐、住宿、现场踏勘、差旅费、驻场人员费、税费等一切支出由中标人自行解决，费用已包含在合同价款内。 </w:t>
            </w:r>
          </w:p>
          <w:p>
            <w:pPr>
              <w:numPr>
                <w:ilvl w:val="0"/>
                <w:numId w:val="10"/>
              </w:numPr>
              <w:spacing w:beforeLines="0" w:afterLines="0"/>
              <w:rPr>
                <w:rFonts w:hint="eastAsia" w:eastAsia="宋体"/>
                <w:color w:val="auto"/>
                <w:sz w:val="21"/>
                <w:szCs w:val="22"/>
                <w:highlight w:val="none"/>
              </w:rPr>
            </w:pPr>
            <w:r>
              <w:rPr>
                <w:rFonts w:hint="eastAsia" w:eastAsia="宋体"/>
                <w:color w:val="auto"/>
                <w:sz w:val="21"/>
                <w:szCs w:val="22"/>
                <w:highlight w:val="none"/>
              </w:rPr>
              <w:t>驻场人员工作要求：服从发包人管理和工作分配。具体以合同要求为准。</w:t>
            </w:r>
          </w:p>
          <w:p>
            <w:pPr>
              <w:numPr>
                <w:ilvl w:val="0"/>
                <w:numId w:val="10"/>
              </w:numPr>
              <w:spacing w:beforeLines="0" w:afterLines="0"/>
              <w:rPr>
                <w:rFonts w:hint="eastAsia" w:eastAsia="宋体"/>
                <w:color w:val="auto"/>
                <w:sz w:val="21"/>
                <w:szCs w:val="22"/>
                <w:highlight w:val="none"/>
              </w:rPr>
            </w:pPr>
            <w:r>
              <w:rPr>
                <w:rFonts w:hint="eastAsia" w:eastAsia="宋体"/>
                <w:color w:val="auto"/>
                <w:sz w:val="21"/>
                <w:szCs w:val="22"/>
                <w:highlight w:val="none"/>
              </w:rPr>
              <w:t>中标人需在</w:t>
            </w:r>
            <w:r>
              <w:rPr>
                <w:rFonts w:hint="eastAsia" w:ascii="宋体" w:hAnsi="宋体" w:eastAsia="宋体" w:cs="宋体"/>
                <w:color w:val="auto"/>
                <w:kern w:val="0"/>
                <w:sz w:val="21"/>
                <w:szCs w:val="21"/>
                <w:highlight w:val="none"/>
              </w:rPr>
              <w:t>招标人</w:t>
            </w:r>
            <w:r>
              <w:rPr>
                <w:rFonts w:hint="eastAsia" w:eastAsia="宋体"/>
                <w:color w:val="auto"/>
                <w:sz w:val="21"/>
                <w:szCs w:val="22"/>
                <w:highlight w:val="none"/>
              </w:rPr>
              <w:t>要求的期限内完成各项工作内容，如未按要求完成的，</w:t>
            </w:r>
            <w:r>
              <w:rPr>
                <w:rFonts w:hint="eastAsia" w:ascii="宋体" w:hAnsi="宋体" w:eastAsia="宋体" w:cs="宋体"/>
                <w:color w:val="auto"/>
                <w:kern w:val="0"/>
                <w:sz w:val="21"/>
                <w:szCs w:val="21"/>
                <w:highlight w:val="none"/>
              </w:rPr>
              <w:t>招标人</w:t>
            </w:r>
            <w:r>
              <w:rPr>
                <w:rFonts w:hint="eastAsia" w:eastAsia="宋体"/>
                <w:color w:val="auto"/>
                <w:sz w:val="21"/>
                <w:szCs w:val="22"/>
                <w:highlight w:val="none"/>
              </w:rPr>
              <w:t>有权进行相应处理。</w:t>
            </w:r>
          </w:p>
        </w:tc>
      </w:tr>
    </w:tbl>
    <w:p>
      <w:pPr>
        <w:pStyle w:val="27"/>
        <w:spacing w:line="360" w:lineRule="auto"/>
        <w:ind w:left="420"/>
        <w:rPr>
          <w:rFonts w:ascii="宋体" w:hAnsi="宋体" w:cs="宋体"/>
          <w:color w:val="auto"/>
          <w:kern w:val="0"/>
          <w:sz w:val="24"/>
          <w:szCs w:val="24"/>
          <w:highlight w:val="none"/>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szCs w:val="20"/>
          <w:highlight w:val="none"/>
        </w:rPr>
        <w:t>4.2服务质量要求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4.2.1.乙方应熟悉并严格按照国家、省、市有关财政、基建、工程造价方面的法律、法规，以及甲方工程造价管理业务制度要求，依据合同相关约定，本着有依有据、合法合规的原则，科学、客观、公正地开展造价咨询工作，乙方提供的</w:t>
      </w:r>
      <w:r>
        <w:rPr>
          <w:rFonts w:hint="eastAsia" w:ascii="宋体" w:hAnsi="宋体" w:cs="宋体"/>
          <w:color w:val="auto"/>
          <w:sz w:val="24"/>
          <w:szCs w:val="24"/>
          <w:highlight w:val="none"/>
        </w:rPr>
        <w:t>工程造价咨询成果文件</w:t>
      </w:r>
      <w:r>
        <w:rPr>
          <w:rFonts w:hint="eastAsia" w:ascii="宋体" w:hAnsi="宋体" w:cs="宋体"/>
          <w:color w:val="auto"/>
          <w:kern w:val="0"/>
          <w:sz w:val="24"/>
          <w:szCs w:val="24"/>
          <w:highlight w:val="none"/>
        </w:rPr>
        <w:t>应合理体现甲方控制项目投资的要求。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4.2.2.</w:t>
      </w:r>
      <w:r>
        <w:rPr>
          <w:rFonts w:ascii="宋体" w:hAnsi="宋体" w:cs="宋体"/>
          <w:color w:val="auto"/>
          <w:kern w:val="0"/>
          <w:sz w:val="24"/>
          <w:szCs w:val="24"/>
          <w:highlight w:val="none"/>
        </w:rPr>
        <w:t>项目建设实行全过程限额设计和施工。概算金额应低于项目立项批复的估算金额。在不降低勘察设计任务书、初步设计文件、材料设备技术需求书中的主要设计指标（建筑高度、建筑面积等）的前提下，确保施工图预算不超过有权审核部门审定工程设计概算中的建安工程费总额。</w:t>
      </w:r>
      <w:r>
        <w:rPr>
          <w:rFonts w:hint="eastAsia" w:ascii="宋体" w:hAnsi="宋体" w:cs="宋体"/>
          <w:color w:val="auto"/>
          <w:kern w:val="0"/>
          <w:sz w:val="24"/>
          <w:szCs w:val="24"/>
          <w:highlight w:val="none"/>
        </w:rPr>
        <w:t>竣工结算总金额不得超出实际实施范围所对应的批复概算金额。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4.2.3.</w:t>
      </w:r>
      <w:r>
        <w:rPr>
          <w:rFonts w:hint="eastAsia" w:ascii="宋体" w:hAnsi="宋体"/>
          <w:color w:val="auto"/>
          <w:sz w:val="24"/>
          <w:szCs w:val="24"/>
          <w:highlight w:val="none"/>
        </w:rPr>
        <w:t>乙方</w:t>
      </w:r>
      <w:r>
        <w:rPr>
          <w:rFonts w:hint="eastAsia" w:ascii="宋体" w:hAnsi="宋体" w:cs="宋体"/>
          <w:color w:val="auto"/>
          <w:kern w:val="0"/>
          <w:sz w:val="24"/>
          <w:szCs w:val="24"/>
          <w:highlight w:val="none"/>
        </w:rPr>
        <w:t>应确保本工程概算文件、施工图预算文件、招标工程量清单、招标控制价等的编制（审核）工作质量，开项必须齐全、工程量必须准确、造价必须合理，并满足工程投资控制和合同的约定。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4.2.4.乙方</w:t>
      </w:r>
      <w:r>
        <w:rPr>
          <w:rFonts w:ascii="宋体" w:hAnsi="宋体" w:cs="宋体"/>
          <w:color w:val="auto"/>
          <w:kern w:val="0"/>
          <w:sz w:val="24"/>
          <w:szCs w:val="24"/>
          <w:highlight w:val="none"/>
        </w:rPr>
        <w:t>提供的</w:t>
      </w:r>
      <w:r>
        <w:rPr>
          <w:rFonts w:hint="eastAsia" w:ascii="宋体" w:hAnsi="宋体" w:cs="宋体"/>
          <w:color w:val="auto"/>
          <w:kern w:val="0"/>
          <w:sz w:val="24"/>
          <w:szCs w:val="24"/>
          <w:highlight w:val="none"/>
        </w:rPr>
        <w:t>造价成果</w:t>
      </w:r>
      <w:r>
        <w:rPr>
          <w:rFonts w:ascii="宋体" w:hAnsi="宋体" w:cs="宋体"/>
          <w:color w:val="auto"/>
          <w:kern w:val="0"/>
          <w:sz w:val="24"/>
          <w:szCs w:val="24"/>
          <w:highlight w:val="none"/>
        </w:rPr>
        <w:t>文件应包括并不限于：编制说明、造</w:t>
      </w:r>
      <w:r>
        <w:rPr>
          <w:rFonts w:hint="eastAsia" w:ascii="宋体" w:hAnsi="宋体" w:cs="宋体"/>
          <w:color w:val="auto"/>
          <w:kern w:val="0"/>
          <w:sz w:val="24"/>
          <w:szCs w:val="24"/>
          <w:highlight w:val="none"/>
        </w:rPr>
        <w:t>价</w:t>
      </w:r>
      <w:r>
        <w:rPr>
          <w:rFonts w:ascii="宋体" w:hAnsi="宋体" w:cs="宋体"/>
          <w:color w:val="auto"/>
          <w:kern w:val="0"/>
          <w:sz w:val="24"/>
          <w:szCs w:val="24"/>
          <w:highlight w:val="none"/>
        </w:rPr>
        <w:t>文件（含软件版）、工程量计算书、经济指标分析表、</w:t>
      </w:r>
      <w:r>
        <w:rPr>
          <w:rFonts w:hint="eastAsia" w:ascii="宋体" w:hAnsi="宋体" w:cs="宋体"/>
          <w:color w:val="auto"/>
          <w:kern w:val="0"/>
          <w:sz w:val="24"/>
          <w:szCs w:val="24"/>
          <w:highlight w:val="none"/>
        </w:rPr>
        <w:t>主要设备材料价格表、</w:t>
      </w:r>
      <w:r>
        <w:rPr>
          <w:rFonts w:ascii="宋体" w:hAnsi="宋体" w:cs="宋体"/>
          <w:color w:val="auto"/>
          <w:kern w:val="0"/>
          <w:sz w:val="24"/>
          <w:szCs w:val="24"/>
          <w:highlight w:val="none"/>
        </w:rPr>
        <w:t>主要材料设备定价依据文件（含询价文件等）、审核意见落实情况说明和修改对比表等。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ascii="宋体" w:hAnsi="宋体" w:cs="宋体"/>
          <w:color w:val="auto"/>
          <w:kern w:val="0"/>
          <w:sz w:val="24"/>
          <w:szCs w:val="24"/>
          <w:highlight w:val="none"/>
        </w:rPr>
        <w:t>4.2.5乙方至少要提供3个同类项目的技术经济指标供甲方做决策参考。乙方负责对造价成果（含估算及概算</w:t>
      </w:r>
      <w:r>
        <w:rPr>
          <w:rFonts w:hint="eastAsia" w:ascii="宋体" w:hAnsi="宋体" w:cs="宋体"/>
          <w:color w:val="auto"/>
          <w:kern w:val="0"/>
          <w:sz w:val="24"/>
          <w:szCs w:val="24"/>
          <w:highlight w:val="none"/>
        </w:rPr>
        <w:t>、施工图预算</w:t>
      </w:r>
      <w:r>
        <w:rPr>
          <w:rFonts w:ascii="宋体" w:hAnsi="宋体" w:cs="宋体"/>
          <w:color w:val="auto"/>
          <w:kern w:val="0"/>
          <w:sz w:val="24"/>
          <w:szCs w:val="24"/>
          <w:highlight w:val="none"/>
        </w:rPr>
        <w:t>审核结果、招标工程量清单及控制价编制成果、设计变更及合同变更等）进行分析，对比同类项目，找出技术经济指标偏离内容及原因，及时修正，并提出合理化建议。</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4.2.6.</w:t>
      </w:r>
      <w:r>
        <w:rPr>
          <w:rFonts w:hint="eastAsia" w:ascii="宋体" w:hAnsi="宋体"/>
          <w:color w:val="auto"/>
          <w:sz w:val="24"/>
          <w:szCs w:val="24"/>
          <w:highlight w:val="none"/>
        </w:rPr>
        <w:t>乙方</w:t>
      </w:r>
      <w:r>
        <w:rPr>
          <w:rFonts w:hint="eastAsia" w:ascii="宋体" w:hAnsi="宋体" w:cs="宋体"/>
          <w:color w:val="auto"/>
          <w:kern w:val="0"/>
          <w:sz w:val="24"/>
          <w:szCs w:val="24"/>
          <w:highlight w:val="none"/>
        </w:rPr>
        <w:t>应建立健全内部控制制度、质量保证体系和档案管理制度，保证工程造价咨询成果文件的质量，对其完整性、真实性、准确性、有效性负责，并负有保密责任。</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确保工程造价咨询成果文件文字表达清晰、装订整齐。</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确保工程造价咨询成果文件均由专业造价工程师编制，由技术负责人（或项目总工、土建主管、</w:t>
      </w:r>
      <w:r>
        <w:rPr>
          <w:rFonts w:hint="eastAsia" w:ascii="宋体" w:hAnsi="宋体" w:cs="宋体"/>
          <w:color w:val="auto"/>
          <w:kern w:val="0"/>
          <w:sz w:val="24"/>
          <w:szCs w:val="24"/>
          <w:highlight w:val="none"/>
          <w:lang w:eastAsia="zh-CN"/>
        </w:rPr>
        <w:t>安装主管</w:t>
      </w:r>
      <w:r>
        <w:rPr>
          <w:rFonts w:hint="eastAsia" w:ascii="宋体" w:hAnsi="宋体" w:cs="宋体"/>
          <w:color w:val="auto"/>
          <w:kern w:val="0"/>
          <w:sz w:val="24"/>
          <w:szCs w:val="24"/>
          <w:highlight w:val="none"/>
        </w:rPr>
        <w:t>）审核，由项目负责人审定的三级审查制度。工程造价咨询成果文件的编制人应具有注册造价工程师或注册一级造价师或注册二级造价师执业资格，工程造价咨询成果文件的审核人、审定人应具有注册造价工程师或注册一级造价师执业资格。工程造价咨询成果文件的编制人、审核人、审定人应在工程造价咨询的成果文件上签署执业(或从业)资格专用印章，最终的成果文件需经法定代表人签字并加盖公章。</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编制人应认真阅读、复核甲方提供书面资料的有效性、合规性，并应对自身所收集的工程计价基础资料和编制依据的全面性、真实性和适用性负责，全面进行工程的计量与计价，按工程造价咨询服务合同的要求编制工程造价咨询成果文件，并整理好工作过程文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审核人应进一步审核甲方提供的书面资料的有效性、合规性，编制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审定人应再次审核甲方提供的书面资料的有效性、合规性，编制人使用工程计价基础资料和编制依据的全面性、真实性和有效性，并应依据工程经济指标进行工程造价的合理性分析，对工程造价咨询质量进行整体控制。</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乙方应建立工程造价咨询项目档案，保证项目资料的完整，不得损坏、遗失项目资料。加强项目档案管理，及时做好已完成项目的资料移交和归档工作，妥善保管至报告出具之日起十年后。</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加强信息系统管理，及时建立电子信息台账；保证在甲方信息系统中录入或审核的工程造价相关信息及时、完整。</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4.2.7审核工程量与进度款（即计量支付审核）；计量支付与进度相符，不得超付、借项支付等。</w:t>
      </w:r>
    </w:p>
    <w:p>
      <w:pPr>
        <w:keepNext w:val="0"/>
        <w:keepLines w:val="0"/>
        <w:pageBreakBefore w:val="0"/>
        <w:widowControl/>
        <w:kinsoku/>
        <w:wordWrap/>
        <w:overflowPunct/>
        <w:topLinePunct w:val="0"/>
        <w:autoSpaceDE/>
        <w:autoSpaceDN/>
        <w:bidi w:val="0"/>
        <w:adjustRightInd/>
        <w:snapToGrid/>
        <w:spacing w:line="360" w:lineRule="auto"/>
        <w:ind w:firstLine="480" w:firstLineChars="200"/>
        <w:contextualSpacing/>
        <w:jc w:val="left"/>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4.2.8投资估算审核偏差在±16%以内；概算审核偏差在±</w:t>
      </w:r>
      <w:r>
        <w:rPr>
          <w:rFonts w:hint="eastAsia" w:ascii="宋体" w:hAnsi="宋体" w:cs="宋体"/>
          <w:color w:val="auto"/>
          <w:kern w:val="0"/>
          <w:sz w:val="24"/>
          <w:szCs w:val="24"/>
          <w:highlight w:val="none"/>
          <w:lang w:val="en-US" w:eastAsia="zh-CN"/>
        </w:rPr>
        <w:t>8</w:t>
      </w:r>
      <w:r>
        <w:rPr>
          <w:rFonts w:hint="eastAsia" w:ascii="宋体" w:hAnsi="宋体" w:cs="宋体"/>
          <w:color w:val="auto"/>
          <w:kern w:val="0"/>
          <w:sz w:val="24"/>
          <w:szCs w:val="24"/>
          <w:highlight w:val="none"/>
        </w:rPr>
        <w:t>%以内（概算审核偏差=（送审金额-评审金额）/送审金额）；预算及招标控制价偏差在±4%以内；竣工结算审核偏差在±4%以内；单项费用偏差±4%以内；单项工程量偏差在±5%以内；新增主材偏差在±20%以内。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4"/>
          <w:highlight w:val="none"/>
        </w:rPr>
      </w:pPr>
      <w:r>
        <w:rPr>
          <w:rFonts w:hint="eastAsia" w:ascii="宋体" w:hAnsi="宋体"/>
          <w:color w:val="auto"/>
          <w:sz w:val="24"/>
          <w:szCs w:val="24"/>
          <w:highlight w:val="none"/>
        </w:rPr>
        <w:t>4.3服务进度要求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4.3.1</w:t>
      </w:r>
      <w:r>
        <w:rPr>
          <w:rFonts w:hint="eastAsia" w:ascii="宋体" w:hAnsi="宋体"/>
          <w:color w:val="auto"/>
          <w:sz w:val="24"/>
          <w:szCs w:val="24"/>
          <w:highlight w:val="none"/>
        </w:rPr>
        <w:t>乙方</w:t>
      </w:r>
      <w:r>
        <w:rPr>
          <w:rFonts w:hint="eastAsia" w:ascii="宋体" w:hAnsi="宋体" w:cs="宋体"/>
          <w:color w:val="auto"/>
          <w:kern w:val="0"/>
          <w:sz w:val="24"/>
          <w:szCs w:val="24"/>
          <w:highlight w:val="none"/>
        </w:rPr>
        <w:t>应对甲方提供资料的完整性、严谨性把关，对因范围不清晰、图纸不详导致基本工程量难以计算等情况，应在收到资料后2个工作日内向甲方提出资料补充要求。</w:t>
      </w:r>
      <w:r>
        <w:rPr>
          <w:rFonts w:hint="eastAsia" w:ascii="宋体" w:hAnsi="宋体"/>
          <w:snapToGrid w:val="0"/>
          <w:color w:val="auto"/>
          <w:kern w:val="0"/>
          <w:sz w:val="24"/>
          <w:szCs w:val="20"/>
          <w:highlight w:val="none"/>
        </w:rPr>
        <w:t>因乙方未能在上述时间内提出要求而</w:t>
      </w:r>
      <w:r>
        <w:rPr>
          <w:rFonts w:hint="eastAsia" w:ascii="宋体" w:hAnsi="宋体" w:cs="宋体"/>
          <w:color w:val="auto"/>
          <w:kern w:val="0"/>
          <w:sz w:val="24"/>
          <w:szCs w:val="24"/>
          <w:highlight w:val="none"/>
        </w:rPr>
        <w:t>造成编审进度延误或</w:t>
      </w:r>
      <w:r>
        <w:rPr>
          <w:rFonts w:hint="eastAsia" w:ascii="宋体" w:hAnsi="宋体"/>
          <w:snapToGrid w:val="0"/>
          <w:color w:val="auto"/>
          <w:kern w:val="0"/>
          <w:sz w:val="24"/>
          <w:szCs w:val="20"/>
          <w:highlight w:val="none"/>
        </w:rPr>
        <w:t>其他损失的均由乙方自行承担全部责任。</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bCs/>
          <w:snapToGrid w:val="0"/>
          <w:color w:val="auto"/>
          <w:sz w:val="24"/>
          <w:szCs w:val="24"/>
          <w:highlight w:val="none"/>
        </w:rPr>
        <w:t>4.3.2各项服务内容的</w:t>
      </w:r>
      <w:r>
        <w:rPr>
          <w:rFonts w:hint="eastAsia" w:ascii="宋体" w:hAnsi="宋体" w:cs="宋体"/>
          <w:color w:val="auto"/>
          <w:kern w:val="0"/>
          <w:sz w:val="24"/>
          <w:szCs w:val="24"/>
          <w:highlight w:val="none"/>
        </w:rPr>
        <w:t>工作时间</w:t>
      </w:r>
      <w:r>
        <w:rPr>
          <w:rFonts w:hint="eastAsia" w:ascii="宋体" w:hAnsi="宋体"/>
          <w:bCs/>
          <w:snapToGrid w:val="0"/>
          <w:color w:val="auto"/>
          <w:sz w:val="24"/>
          <w:szCs w:val="24"/>
          <w:highlight w:val="none"/>
        </w:rPr>
        <w:t>要求（如有）（以下天数指日历天数）</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资估算审核：自收到可行性研究报告电子版初稿起3天内出具电子版审核说明。电子版审核说明由项目负责人发送甲方，纸质版审核说明在收到甲方通知后2天内提交；除特别说明外，纸质版工作成果文件均应提交一式六份（下同）。</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设计概算、施工图预算评审：自收到完整资料起，出具评审初步意见时间为：送审金额3000万元以内（含本数，下同）的内审15天，送审金额3000万元-2亿元（含本数，下同）的内审20天，送审金额2亿元以上的内审25天，特殊情况经批准后内审延长时间不超过10天；对数时间不超过内审时间，争议问题由乙方项目指挥长或法定代表人主持专题会议解决；对数完成后5天内出具最终评审报告。</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设计概算、施工图预算</w:t>
      </w:r>
      <w:r>
        <w:rPr>
          <w:rFonts w:hint="eastAsia" w:ascii="宋体" w:hAnsi="宋体" w:cs="宋体"/>
          <w:color w:val="auto"/>
          <w:kern w:val="0"/>
          <w:sz w:val="24"/>
          <w:szCs w:val="24"/>
          <w:highlight w:val="none"/>
          <w:lang w:val="en-US" w:eastAsia="zh-CN"/>
        </w:rPr>
        <w:t>符合性审查</w:t>
      </w:r>
      <w:r>
        <w:rPr>
          <w:rFonts w:hint="eastAsia" w:ascii="宋体" w:hAnsi="宋体" w:cs="宋体"/>
          <w:color w:val="auto"/>
          <w:kern w:val="0"/>
          <w:sz w:val="24"/>
          <w:szCs w:val="24"/>
          <w:highlight w:val="none"/>
        </w:rPr>
        <w:t>：自收到完整资料起，出具电子版审核意见时间为：金额3000万元以内（含本数，下同）的3天，金额3000万元-2亿元（含本数，下同）的5天，金额2亿元以上的7天，特殊情况经批准后延长时间不超过10天。</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审核合同价格清单：自收到完整资料起5天内出具电子版审核说明。</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招标工程量清单、招标控制价编制：公告中招标工程量清单、招标控制价自收到甲方通知起10日内出具，终版招标工程量清单、招标控制价自收到完整资料起完成时间为：招标控制价在3000万元以内的20天，3000万元-2亿元的25天，2亿元以上的30天，特殊情况经批准后延长时间不超过10天。</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招标文件（含澄清答疑）审核：自收到资料起2天内出具电子版审核说明。</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清标报告：自收到中标人投标文件5天内出具电子版审核说明。开标后90天内完成与中标人的对数并出具清标报告。</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主材单价、综合单价审核：自收到资料起完成时间为：主材3个以内5天，4-15个10天，16-30个15天，30个以上20天；综合单价3个以内3天，4-15个5天，16个以上10天；特殊情况经批准后延长时间不超过10天；争议问题由乙方项目指挥长或法定代表人主持专题会议解决。</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变更签证合同费用（含委托合同、检测费用）编制或审核：30万元以内的5天，30万元以上的10天，特殊情况经批准后延长时间不超过10天，电子版审核说明提前2天出具，争议问题由乙方项目指挥长或法定代表人主持专题会议解决。</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图纸设计变更会签、材料设备看样定板会签：自收到资料起5天内完成。</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工程进度款审核：自接受完整资料起5日完成。</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结算文件：自收到结算文件起出具结算审核报告时间为：施工类合同30日内，非施工类合同10日内。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4.3.3</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以上工作期限为正常的工作期限，特急项目的工作期限由甲方根据实际情况确定，但最短不少于1天；其他咨询服务工作由甲方视具体情况确定；对于甲方提出的疑问，乙方应在24小时内给予答复。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auto"/>
          <w:sz w:val="24"/>
          <w:szCs w:val="20"/>
          <w:highlight w:val="none"/>
        </w:rPr>
      </w:pPr>
      <w:r>
        <w:rPr>
          <w:rFonts w:hint="eastAsia" w:ascii="宋体" w:hAnsi="宋体"/>
          <w:color w:val="auto"/>
          <w:sz w:val="24"/>
          <w:szCs w:val="24"/>
          <w:highlight w:val="none"/>
        </w:rPr>
        <w:t>4.4服务人员要求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4.4.1</w:t>
      </w:r>
      <w:r>
        <w:rPr>
          <w:rFonts w:hint="eastAsia" w:ascii="宋体" w:hAnsi="宋体"/>
          <w:color w:val="auto"/>
          <w:sz w:val="24"/>
          <w:szCs w:val="24"/>
          <w:highlight w:val="none"/>
          <w:lang w:val="zh-CN"/>
        </w:rPr>
        <w:t>为本项目提供工程</w:t>
      </w:r>
      <w:r>
        <w:rPr>
          <w:rFonts w:hint="eastAsia" w:ascii="宋体" w:hAnsi="宋体"/>
          <w:color w:val="auto"/>
          <w:sz w:val="24"/>
          <w:szCs w:val="24"/>
          <w:highlight w:val="none"/>
        </w:rPr>
        <w:t>造价咨询服务的具体人员详见</w:t>
      </w:r>
      <w:r>
        <w:rPr>
          <w:rFonts w:hint="eastAsia" w:ascii="宋体" w:hAnsi="宋体"/>
          <w:color w:val="auto"/>
          <w:sz w:val="24"/>
          <w:szCs w:val="24"/>
          <w:highlight w:val="none"/>
          <w:lang w:val="zh-CN"/>
        </w:rPr>
        <w:t>附件4</w:t>
      </w:r>
      <w:r>
        <w:rPr>
          <w:rFonts w:hint="eastAsia" w:ascii="宋体" w:hAnsi="宋体"/>
          <w:color w:val="auto"/>
          <w:szCs w:val="20"/>
          <w:highlight w:val="none"/>
          <w:lang w:val="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4.4.2乙方在投标文件《拟投入本项目造价人员一览表》中配备的人员在通过甲方的面试考核后方可确定为本项目的工程造价咨询服务人员，乙方不得擅自更换已确定为本项目的造价咨询服务人员。确因特殊情况需要更换时，应提前书面提出更换人员的原因及更换人员的名单，更换人员的资质、资历、职称、实际工作能力等应不低于投标文件中所承诺人员的素质，同时乙方应按合同约定承担违约责任，但乙方有合法理由（如服务人员因死亡、重大疾病等原因导致不能履行职责）提出申请并经甲方批准更换相关人员的，乙方可不承担违约责任。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4.4.3本项目造价咨询工作必须由上述人员完成。当乙方工作进度不满足甲方要求时，甲方有权要求乙方上述人员驻场办公，必要时，乙方应按甲方要求增加或更换相关人员，直至整改完毕。</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4.4.4项目负责人应全面熟悉项目情况，乙方应安排部门经理以上人员</w:t>
      </w:r>
      <w:r>
        <w:rPr>
          <w:rFonts w:hint="eastAsia" w:ascii="宋体" w:hAnsi="宋体" w:cs="宋体"/>
          <w:color w:val="auto"/>
          <w:kern w:val="0"/>
          <w:sz w:val="24"/>
          <w:highlight w:val="none"/>
        </w:rPr>
        <w:t>（项目负责人、</w:t>
      </w:r>
      <w:r>
        <w:rPr>
          <w:rFonts w:hint="eastAsia" w:ascii="宋体" w:hAnsi="宋体" w:cs="宋体"/>
          <w:color w:val="auto"/>
          <w:kern w:val="0"/>
          <w:sz w:val="24"/>
          <w:highlight w:val="none"/>
          <w:lang w:val="en-US" w:eastAsia="zh-CN"/>
        </w:rPr>
        <w:t>项目技术负责人</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专业主管</w:t>
      </w:r>
      <w:r>
        <w:rPr>
          <w:rFonts w:hint="eastAsia" w:ascii="宋体" w:hAnsi="宋体" w:cs="宋体"/>
          <w:color w:val="auto"/>
          <w:kern w:val="0"/>
          <w:sz w:val="24"/>
          <w:highlight w:val="none"/>
        </w:rPr>
        <w:t>）</w:t>
      </w:r>
      <w:r>
        <w:rPr>
          <w:rFonts w:hint="eastAsia" w:ascii="宋体" w:hAnsi="宋体" w:cs="宋体"/>
          <w:color w:val="auto"/>
          <w:kern w:val="0"/>
          <w:sz w:val="24"/>
          <w:szCs w:val="24"/>
          <w:highlight w:val="none"/>
        </w:rPr>
        <w:t>中的至少1位带队参加会议、完成对数工作。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4.4.5乙方所派出的服务本项目的造价咨询专业人员必须勤勉尽责，恪守职业道德，本着热情服务、秉公办事、廉洁自律的原则开展工作。如出现服务人员未按照合同履行职责，或与第三方串通造成经济损失，或不服从工作安排，不满足工作要求，不遵守管理制度，服务态度恶劣，不胜任工作等情形的，乙方应在接到甲方通知后3天内予以撤换，所调换人员的资质、资历、职称、实际工作能力等应不低于投标文件中所承诺人员的素质且需按合同约定承担违约责任。驻场人员应服从甲方的工作安排和管理，由甲方负责考勤，未经同意不得离开；驻场人员的相关费用已包含在服务报酬中，其薪资福利费用由乙方自行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4.5其它服务要求</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4.5.1乙方须遵守甲方各项规章制度和廉政纪律要求，无条件配合甲方的复核、复审和考核等工作。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4.5.2乙方须具备保障开展工作所需要的交通工具、办公设备和造价审核管理软件等。</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4.5.3乙方应独立完成合同约定的造价咨询服务，未经甲方同意不得将工作内容另行委托第三方实施；对有特殊技术要求的咨询服务项目，需聘请相关专家共同完成咨询服务的，应事先征得甲方同意。未经甲方同意，乙方不得以任何形式向任何单位或个人披露审核项目的相关信息，不得对外提供、泄露相关审核情况。</w:t>
      </w:r>
    </w:p>
    <w:p>
      <w:pPr>
        <w:widowControl/>
        <w:spacing w:line="360" w:lineRule="auto"/>
        <w:ind w:left="0" w:leftChars="0" w:firstLine="0" w:firstLineChars="0"/>
        <w:jc w:val="left"/>
        <w:outlineLvl w:val="1"/>
        <w:rPr>
          <w:rFonts w:hint="eastAsia" w:ascii="宋体" w:hAnsi="宋体" w:cs="宋体"/>
          <w:b/>
          <w:bCs/>
          <w:color w:val="auto"/>
          <w:sz w:val="24"/>
          <w:szCs w:val="24"/>
          <w:highlight w:val="none"/>
        </w:rPr>
      </w:pPr>
      <w:bookmarkStart w:id="36" w:name="_Toc4676"/>
      <w:bookmarkStart w:id="37" w:name="_Toc23986"/>
      <w:r>
        <w:rPr>
          <w:rFonts w:hint="eastAsia" w:ascii="宋体" w:hAnsi="宋体" w:cs="宋体"/>
          <w:b/>
          <w:bCs/>
          <w:color w:val="auto"/>
          <w:sz w:val="24"/>
          <w:szCs w:val="24"/>
          <w:highlight w:val="none"/>
        </w:rPr>
        <w:t>五、甲方的权利和义务</w:t>
      </w:r>
      <w:bookmarkEnd w:id="36"/>
      <w:bookmarkEnd w:id="37"/>
    </w:p>
    <w:p>
      <w:pPr>
        <w:widowControl/>
        <w:spacing w:line="360" w:lineRule="auto"/>
        <w:contextualSpacing/>
        <w:jc w:val="left"/>
        <w:rPr>
          <w:rFonts w:ascii="宋体" w:hAnsi="宋体" w:cs="宋体"/>
          <w:b/>
          <w:color w:val="auto"/>
          <w:sz w:val="24"/>
          <w:szCs w:val="24"/>
          <w:highlight w:val="none"/>
        </w:rPr>
      </w:pPr>
      <w:r>
        <w:rPr>
          <w:rFonts w:hint="eastAsia" w:ascii="宋体" w:hAnsi="宋体" w:cs="宋体"/>
          <w:b/>
          <w:color w:val="auto"/>
          <w:sz w:val="24"/>
          <w:szCs w:val="24"/>
          <w:highlight w:val="none"/>
        </w:rPr>
        <w:t>5.1甲方的权利</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5.1.1甲方有权向乙方询问工作进展情况及相关的内容，并要求乙方提交造价咨询服务业务范围内的专项报告。</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5.1.2甲方有权阐述对具体问题的意见和建议。</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5.1.3乙方派出的项目技术负责人、专业造价工作人员或驻场服务人员未能满足甲方要求时，甲方有权要求乙方更换相关人员，乙方应在收到甲方通知之日起3个日历天内按甲方要求完成更换。</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5.1.4当甲方认定乙方派出的项目技术负责人、专业造价工作人员或驻场服务人员不按合同履行其职责，或与第三人串通给甲方造成经济损失的，甲方有权要求乙方更换相关人员，乙方应在收到甲方通知之日起3个日历天内按甲方要求完成更换。情况严重的，甲方可以单方面解除合同并要求乙方承担相应的赔偿责任。</w:t>
      </w:r>
    </w:p>
    <w:p>
      <w:pPr>
        <w:widowControl/>
        <w:spacing w:line="360" w:lineRule="auto"/>
        <w:contextualSpacing/>
        <w:jc w:val="left"/>
        <w:rPr>
          <w:rFonts w:ascii="宋体" w:hAnsi="宋体" w:cs="宋体"/>
          <w:b/>
          <w:color w:val="auto"/>
          <w:sz w:val="24"/>
          <w:szCs w:val="24"/>
          <w:highlight w:val="none"/>
        </w:rPr>
      </w:pPr>
      <w:r>
        <w:rPr>
          <w:rFonts w:hint="eastAsia" w:ascii="宋体" w:hAnsi="宋体" w:cs="宋体"/>
          <w:b/>
          <w:color w:val="auto"/>
          <w:sz w:val="24"/>
          <w:szCs w:val="24"/>
          <w:highlight w:val="none"/>
        </w:rPr>
        <w:t>5.2甲方的义务</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5.2.1甲方应负责与本合同约定项目造价咨询服务有关的第三人的协调。</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5.2.2</w:t>
      </w:r>
      <w:r>
        <w:rPr>
          <w:rFonts w:hint="eastAsia" w:ascii="宋体" w:hAnsi="宋体" w:cs="宋体"/>
          <w:snapToGrid w:val="0"/>
          <w:color w:val="auto"/>
          <w:sz w:val="24"/>
          <w:szCs w:val="24"/>
          <w:highlight w:val="none"/>
        </w:rPr>
        <w:t>甲方</w:t>
      </w:r>
      <w:r>
        <w:rPr>
          <w:rFonts w:hint="eastAsia" w:ascii="宋体" w:hAnsi="宋体" w:cs="宋体"/>
          <w:color w:val="auto"/>
          <w:sz w:val="24"/>
          <w:szCs w:val="24"/>
          <w:highlight w:val="none"/>
        </w:rPr>
        <w:t>应及时将所拥有的且是乙方</w:t>
      </w:r>
      <w:r>
        <w:rPr>
          <w:rFonts w:hint="eastAsia" w:ascii="宋体" w:hAnsi="宋体" w:cs="宋体"/>
          <w:snapToGrid w:val="0"/>
          <w:color w:val="auto"/>
          <w:sz w:val="24"/>
          <w:szCs w:val="24"/>
          <w:highlight w:val="none"/>
        </w:rPr>
        <w:t>实施本合同约定项目造价咨询服务所必需的有关资料提供给乙方。</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5.2.3甲方应在3个工作日内对乙方书面提交并要求做出答复的事宜做出书面答复。乙方要求第三人提供有关资料时，甲方应负责转达及资料转送。</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5.2.4甲方指定</w:t>
      </w:r>
      <w:r>
        <w:rPr>
          <w:rFonts w:hint="eastAsia" w:ascii="宋体" w:hAnsi="宋体" w:cs="宋体"/>
          <w:color w:val="auto"/>
          <w:sz w:val="24"/>
          <w:szCs w:val="24"/>
          <w:highlight w:val="none"/>
          <w:u w:val="single"/>
        </w:rPr>
        <w:t xml:space="preserve">        </w:t>
      </w:r>
      <w:r>
        <w:rPr>
          <w:rFonts w:hint="eastAsia" w:ascii="宋体" w:hAnsi="宋体" w:cs="宋体"/>
          <w:b/>
          <w:color w:val="auto"/>
          <w:sz w:val="24"/>
          <w:szCs w:val="24"/>
          <w:highlight w:val="none"/>
          <w:u w:val="single"/>
        </w:rPr>
        <w:t xml:space="preserve"> </w:t>
      </w:r>
      <w:r>
        <w:rPr>
          <w:rFonts w:hint="eastAsia" w:ascii="宋体" w:hAnsi="宋体" w:cs="宋体"/>
          <w:color w:val="auto"/>
          <w:sz w:val="24"/>
          <w:szCs w:val="24"/>
          <w:highlight w:val="none"/>
          <w:u w:val="single"/>
        </w:rPr>
        <w:t>（联系电话：         ）</w:t>
      </w:r>
      <w:r>
        <w:rPr>
          <w:rFonts w:hint="eastAsia" w:ascii="宋体" w:hAnsi="宋体" w:cs="宋体"/>
          <w:color w:val="auto"/>
          <w:sz w:val="24"/>
          <w:szCs w:val="24"/>
          <w:highlight w:val="none"/>
        </w:rPr>
        <w:t>为联系人，负责与乙方联系。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5.3甲</w:t>
      </w:r>
      <w:r>
        <w:rPr>
          <w:rFonts w:hint="eastAsia" w:ascii="宋体" w:hAnsi="宋体" w:cs="宋体"/>
          <w:snapToGrid w:val="0"/>
          <w:color w:val="auto"/>
          <w:sz w:val="24"/>
          <w:szCs w:val="24"/>
          <w:highlight w:val="none"/>
        </w:rPr>
        <w:t>方其它权利和义务详见甲方造价管理制度及项目管理要求。</w:t>
      </w:r>
    </w:p>
    <w:p>
      <w:pPr>
        <w:widowControl/>
        <w:spacing w:line="360" w:lineRule="auto"/>
        <w:ind w:left="0" w:leftChars="0" w:firstLine="0" w:firstLineChars="0"/>
        <w:jc w:val="left"/>
        <w:outlineLvl w:val="1"/>
        <w:rPr>
          <w:rFonts w:hint="eastAsia" w:ascii="宋体" w:hAnsi="宋体" w:cs="宋体"/>
          <w:b/>
          <w:bCs/>
          <w:color w:val="auto"/>
          <w:sz w:val="24"/>
          <w:szCs w:val="24"/>
          <w:highlight w:val="none"/>
        </w:rPr>
      </w:pPr>
      <w:bookmarkStart w:id="38" w:name="_Toc13148"/>
      <w:bookmarkStart w:id="39" w:name="_Toc997"/>
      <w:r>
        <w:rPr>
          <w:rFonts w:hint="eastAsia" w:ascii="宋体" w:hAnsi="宋体" w:cs="宋体"/>
          <w:b/>
          <w:bCs/>
          <w:color w:val="auto"/>
          <w:sz w:val="24"/>
          <w:szCs w:val="24"/>
          <w:highlight w:val="none"/>
        </w:rPr>
        <w:t>六、乙方的权利和义务</w:t>
      </w:r>
      <w:bookmarkEnd w:id="38"/>
      <w:bookmarkEnd w:id="39"/>
    </w:p>
    <w:p>
      <w:pPr>
        <w:spacing w:line="360"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6.1乙方的权利</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6.1.1服务期限内，乙方有到工程现场勘察的权利。</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6.1.2乙方有权按照本合同约定获得服务报酬。</w:t>
      </w:r>
    </w:p>
    <w:p>
      <w:pPr>
        <w:spacing w:line="360" w:lineRule="auto"/>
        <w:ind w:firstLine="420"/>
        <w:rPr>
          <w:rFonts w:ascii="宋体" w:hAnsi="宋体" w:cs="宋体"/>
          <w:b/>
          <w:color w:val="auto"/>
          <w:sz w:val="24"/>
          <w:szCs w:val="24"/>
          <w:highlight w:val="none"/>
        </w:rPr>
      </w:pPr>
      <w:r>
        <w:rPr>
          <w:rFonts w:hint="eastAsia" w:ascii="宋体" w:hAnsi="宋体" w:cs="宋体"/>
          <w:b/>
          <w:color w:val="auto"/>
          <w:sz w:val="24"/>
          <w:szCs w:val="24"/>
          <w:highlight w:val="none"/>
        </w:rPr>
        <w:t>6.2乙方的义务</w:t>
      </w:r>
    </w:p>
    <w:p>
      <w:pPr>
        <w:spacing w:line="360" w:lineRule="auto"/>
        <w:ind w:firstLine="420"/>
        <w:rPr>
          <w:rFonts w:ascii="宋体" w:hAnsi="宋体"/>
          <w:color w:val="auto"/>
          <w:kern w:val="0"/>
          <w:sz w:val="24"/>
          <w:szCs w:val="20"/>
          <w:highlight w:val="none"/>
        </w:rPr>
      </w:pPr>
      <w:r>
        <w:rPr>
          <w:rFonts w:hint="eastAsia" w:ascii="宋体" w:hAnsi="宋体"/>
          <w:color w:val="auto"/>
          <w:kern w:val="0"/>
          <w:sz w:val="24"/>
          <w:szCs w:val="20"/>
          <w:highlight w:val="none"/>
        </w:rPr>
        <w:t>6.2.1乙方应依据《工程造价咨询单位管理办法》</w:t>
      </w:r>
      <w:r>
        <w:rPr>
          <w:rFonts w:hint="eastAsia" w:ascii="宋体" w:hAnsi="宋体"/>
          <w:color w:val="auto"/>
          <w:kern w:val="0"/>
          <w:sz w:val="24"/>
          <w:highlight w:val="none"/>
        </w:rPr>
        <w:t>（中华人民共和国建设部令第149号、中华人民共和国住房和城乡建设部令第50号）、《注册造价工程师管理办法》（中华人民共和国建设部令第150号、中华人民共和国住房和城乡建设部令第50号）等国家、广东省、广州市相关规定与本合同约定以及</w:t>
      </w:r>
      <w:r>
        <w:rPr>
          <w:rFonts w:hint="eastAsia" w:ascii="宋体" w:hAnsi="宋体"/>
          <w:color w:val="auto"/>
          <w:kern w:val="0"/>
          <w:sz w:val="24"/>
          <w:szCs w:val="20"/>
          <w:highlight w:val="none"/>
        </w:rPr>
        <w:t>甲方要求实施本合同项下的咨询服务工作、提交工作成果。</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6.2.2乙方应按本合同约定派出项目技术负责人和专业造价工作人员，并按照甲方要求在甲方指定地点办公，为甲方提供全方位服务，保证造价咨询工作顺利进行。</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6.2.3服务期限内，乙方发现甲方提供的资料有缺陷、不明确或存在相互矛盾的，应及时书面通知甲方。</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6.2.4乙方在履行合同过程中接触到的甲方的文件、资料、信息，</w:t>
      </w:r>
      <w:r>
        <w:rPr>
          <w:rFonts w:hint="eastAsia" w:ascii="宋体" w:hAnsi="宋体" w:cs="宋体"/>
          <w:snapToGrid w:val="0"/>
          <w:color w:val="auto"/>
          <w:sz w:val="24"/>
          <w:szCs w:val="24"/>
          <w:highlight w:val="none"/>
        </w:rPr>
        <w:t>均应以绝密件对待；</w:t>
      </w:r>
      <w:r>
        <w:rPr>
          <w:rFonts w:hint="eastAsia" w:ascii="宋体" w:hAnsi="宋体" w:cs="宋体"/>
          <w:color w:val="auto"/>
          <w:sz w:val="24"/>
          <w:szCs w:val="24"/>
          <w:highlight w:val="none"/>
        </w:rPr>
        <w:t>未经甲方书面同意，不得提供给第三人，不得用于本合同以外的其他目的。</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6.2.5未经甲方的书面同意，乙方不得转让本合同约定的权利和义务。</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6.2.6乙方不得从事或参与可能损害甲方利益的任何活动。</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6.2.7未经甲方书面同意，乙方不得更换其派出技术负责人、专业造价工作人员及驻场服务人员。</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6.2.8乙方应当在3个工作日内对甲方或第三人书面提出并要求做出答复的事宜做出书面答复。</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6.2.9乙方应严格按照合同约定及甲方相关管理办法的规定从事咨询服务工作。</w:t>
      </w:r>
    </w:p>
    <w:p>
      <w:pPr>
        <w:spacing w:line="360" w:lineRule="auto"/>
        <w:ind w:firstLine="420"/>
        <w:rPr>
          <w:rFonts w:ascii="宋体" w:hAnsi="宋体" w:cs="宋体"/>
          <w:snapToGrid w:val="0"/>
          <w:color w:val="auto"/>
          <w:sz w:val="24"/>
          <w:szCs w:val="24"/>
          <w:highlight w:val="none"/>
        </w:rPr>
      </w:pPr>
      <w:r>
        <w:rPr>
          <w:rFonts w:hint="eastAsia" w:ascii="宋体" w:hAnsi="宋体" w:cs="宋体"/>
          <w:color w:val="auto"/>
          <w:sz w:val="24"/>
          <w:szCs w:val="24"/>
          <w:highlight w:val="none"/>
        </w:rPr>
        <w:t>6.2.10</w:t>
      </w:r>
      <w:r>
        <w:rPr>
          <w:rFonts w:ascii="宋体" w:hAnsi="宋体" w:cs="宋体"/>
          <w:color w:val="auto"/>
          <w:sz w:val="24"/>
          <w:szCs w:val="24"/>
          <w:highlight w:val="none"/>
        </w:rPr>
        <w:t>乙方应确保造价咨询工作质量，工程量准确、造价合理，满足工程投资控制的要求</w:t>
      </w:r>
      <w:r>
        <w:rPr>
          <w:rFonts w:hint="eastAsia" w:ascii="宋体" w:hAnsi="宋体" w:cs="宋体"/>
          <w:color w:val="auto"/>
          <w:sz w:val="24"/>
          <w:szCs w:val="24"/>
          <w:highlight w:val="none"/>
        </w:rPr>
        <w:t>。</w:t>
      </w:r>
      <w:r>
        <w:rPr>
          <w:rFonts w:hint="eastAsia" w:ascii="宋体" w:hAnsi="宋体" w:cs="宋体"/>
          <w:bCs/>
          <w:snapToGrid w:val="0"/>
          <w:color w:val="auto"/>
          <w:sz w:val="24"/>
          <w:szCs w:val="24"/>
          <w:highlight w:val="none"/>
        </w:rPr>
        <w:t>否则应按本合同条款第8.2款的约定承担</w:t>
      </w:r>
      <w:r>
        <w:rPr>
          <w:rFonts w:hint="eastAsia" w:ascii="宋体" w:hAnsi="宋体" w:cs="宋体"/>
          <w:snapToGrid w:val="0"/>
          <w:color w:val="auto"/>
          <w:sz w:val="24"/>
          <w:szCs w:val="24"/>
          <w:highlight w:val="none"/>
        </w:rPr>
        <w:t>违约责任。</w:t>
      </w:r>
    </w:p>
    <w:p>
      <w:pPr>
        <w:spacing w:line="360" w:lineRule="auto"/>
        <w:ind w:firstLine="420"/>
        <w:rPr>
          <w:rFonts w:ascii="宋体" w:hAnsi="宋体" w:cs="宋体"/>
          <w:color w:val="auto"/>
          <w:sz w:val="24"/>
          <w:szCs w:val="24"/>
          <w:highlight w:val="none"/>
        </w:rPr>
      </w:pPr>
      <w:r>
        <w:rPr>
          <w:rFonts w:hint="eastAsia" w:ascii="宋体" w:hAnsi="宋体" w:cs="宋体"/>
          <w:color w:val="auto"/>
          <w:sz w:val="24"/>
          <w:szCs w:val="24"/>
          <w:highlight w:val="none"/>
        </w:rPr>
        <w:t>6.2.11乙方指定</w:t>
      </w:r>
      <w:r>
        <w:rPr>
          <w:rFonts w:hint="eastAsia" w:ascii="宋体" w:hAnsi="宋体" w:cs="宋体"/>
          <w:color w:val="auto"/>
          <w:sz w:val="24"/>
          <w:szCs w:val="24"/>
          <w:highlight w:val="none"/>
          <w:u w:val="single"/>
        </w:rPr>
        <w:t xml:space="preserve">        </w:t>
      </w:r>
      <w:r>
        <w:rPr>
          <w:rFonts w:hint="eastAsia" w:ascii="宋体" w:hAnsi="宋体" w:cs="宋体"/>
          <w:color w:val="auto"/>
          <w:kern w:val="0"/>
          <w:sz w:val="24"/>
          <w:szCs w:val="24"/>
          <w:highlight w:val="none"/>
          <w:u w:val="single"/>
        </w:rPr>
        <w:t>（联系电话：      ）</w:t>
      </w:r>
      <w:r>
        <w:rPr>
          <w:rFonts w:hint="eastAsia" w:ascii="宋体" w:hAnsi="宋体" w:cs="宋体"/>
          <w:color w:val="auto"/>
          <w:sz w:val="24"/>
          <w:szCs w:val="24"/>
          <w:highlight w:val="none"/>
        </w:rPr>
        <w:t>为联系人，负责与甲方联系。</w:t>
      </w:r>
    </w:p>
    <w:p>
      <w:pPr>
        <w:rPr>
          <w:color w:val="auto"/>
          <w:highlight w:val="none"/>
        </w:rPr>
      </w:pPr>
    </w:p>
    <w:p>
      <w:pPr>
        <w:widowControl/>
        <w:spacing w:line="360" w:lineRule="auto"/>
        <w:ind w:left="0" w:leftChars="0" w:firstLine="0" w:firstLineChars="0"/>
        <w:jc w:val="left"/>
        <w:outlineLvl w:val="1"/>
        <w:rPr>
          <w:rFonts w:hint="eastAsia" w:ascii="宋体" w:hAnsi="宋体" w:cs="宋体"/>
          <w:b/>
          <w:bCs/>
          <w:color w:val="auto"/>
          <w:sz w:val="24"/>
          <w:szCs w:val="24"/>
          <w:highlight w:val="none"/>
        </w:rPr>
      </w:pPr>
      <w:bookmarkStart w:id="40" w:name="_Toc8063"/>
      <w:bookmarkStart w:id="41" w:name="_Toc22615"/>
      <w:r>
        <w:rPr>
          <w:rFonts w:hint="eastAsia" w:ascii="宋体" w:hAnsi="宋体" w:cs="宋体"/>
          <w:b/>
          <w:bCs/>
          <w:color w:val="auto"/>
          <w:sz w:val="24"/>
          <w:szCs w:val="24"/>
          <w:highlight w:val="none"/>
        </w:rPr>
        <w:t>七、服务报酬及其支付方式</w:t>
      </w:r>
      <w:bookmarkEnd w:id="40"/>
      <w:bookmarkEnd w:id="41"/>
    </w:p>
    <w:p>
      <w:pPr>
        <w:spacing w:line="360" w:lineRule="auto"/>
        <w:ind w:left="0" w:leftChars="0"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7.1服务报酬</w:t>
      </w:r>
    </w:p>
    <w:p>
      <w:pPr>
        <w:pStyle w:val="19"/>
        <w:spacing w:before="0" w:beforeAutospacing="0" w:after="0" w:afterAutospacing="0" w:line="360" w:lineRule="auto"/>
        <w:ind w:left="0" w:leftChars="0" w:firstLine="480" w:firstLineChars="200"/>
        <w:rPr>
          <w:rFonts w:hint="eastAsia"/>
          <w:color w:val="auto"/>
          <w:highlight w:val="none"/>
        </w:rPr>
      </w:pPr>
      <w:r>
        <w:rPr>
          <w:rFonts w:hint="eastAsia"/>
          <w:color w:val="auto"/>
          <w:highlight w:val="none"/>
        </w:rPr>
        <w:t>7.1.1甲乙双方约定：本合同造价咨询服务报酬暂定含税总价为人民币  元        （小写：¥    元），不含税价      元，税率    %，增值税     元。造价咨询费率为   %[造价咨询费率=合同价（即中标价    万元）/暂定建筑安装工程费（        万元）*100%]，服务内容占比暂定为100%。</w:t>
      </w:r>
    </w:p>
    <w:p>
      <w:pPr>
        <w:pStyle w:val="19"/>
        <w:spacing w:before="0" w:beforeAutospacing="0" w:after="0" w:afterAutospacing="0" w:line="360" w:lineRule="auto"/>
        <w:ind w:left="0" w:leftChars="0" w:firstLine="480" w:firstLineChars="200"/>
        <w:rPr>
          <w:rFonts w:hint="eastAsia"/>
          <w:color w:val="auto"/>
          <w:highlight w:val="none"/>
        </w:rPr>
      </w:pPr>
      <w:r>
        <w:rPr>
          <w:rFonts w:hint="eastAsia"/>
          <w:color w:val="auto"/>
          <w:highlight w:val="none"/>
        </w:rPr>
        <w:t>7.1.2甲乙双方一致同意按以下约定进行结算：</w:t>
      </w:r>
    </w:p>
    <w:p>
      <w:pPr>
        <w:pStyle w:val="19"/>
        <w:spacing w:before="0" w:beforeAutospacing="0" w:after="0" w:afterAutospacing="0" w:line="360" w:lineRule="auto"/>
        <w:ind w:left="0" w:leftChars="0" w:firstLine="480" w:firstLineChars="200"/>
        <w:rPr>
          <w:rFonts w:hint="eastAsia"/>
          <w:color w:val="auto"/>
          <w:highlight w:val="none"/>
        </w:rPr>
      </w:pPr>
      <w:r>
        <w:rPr>
          <w:rFonts w:hint="eastAsia"/>
          <w:color w:val="auto"/>
          <w:highlight w:val="none"/>
        </w:rPr>
        <w:t>（1）本合同造价咨询服务结算价=概算批复的建筑安装工程费×造价咨询费率×服务内容占比。</w:t>
      </w:r>
    </w:p>
    <w:p>
      <w:pPr>
        <w:pStyle w:val="19"/>
        <w:spacing w:before="0" w:beforeAutospacing="0" w:after="0" w:afterAutospacing="0" w:line="360" w:lineRule="auto"/>
        <w:ind w:left="0" w:leftChars="0" w:firstLine="480" w:firstLineChars="200"/>
        <w:rPr>
          <w:rFonts w:hint="eastAsia"/>
          <w:color w:val="auto"/>
          <w:highlight w:val="none"/>
        </w:rPr>
      </w:pPr>
      <w:r>
        <w:rPr>
          <w:rFonts w:hint="eastAsia"/>
          <w:color w:val="auto"/>
          <w:highlight w:val="none"/>
        </w:rPr>
        <w:t>（2）按上述约定计取的本合同服务报酬结算金额不得超过概算批复的工程造价咨询服务费和本合同7.1.1项的暂定总价。</w:t>
      </w:r>
    </w:p>
    <w:p>
      <w:pPr>
        <w:pStyle w:val="19"/>
        <w:spacing w:before="0" w:beforeAutospacing="0" w:after="0" w:afterAutospacing="0" w:line="360" w:lineRule="auto"/>
        <w:ind w:left="0" w:leftChars="0" w:firstLine="480" w:firstLineChars="200"/>
        <w:rPr>
          <w:rFonts w:hint="eastAsia"/>
          <w:color w:val="auto"/>
          <w:highlight w:val="none"/>
        </w:rPr>
      </w:pPr>
      <w:r>
        <w:rPr>
          <w:rFonts w:hint="eastAsia"/>
          <w:color w:val="auto"/>
          <w:highlight w:val="none"/>
        </w:rPr>
        <w:t>（3）本合同结算以有权审核部门（甲方或甲方主管部门）审核的造价作为最终结算依据办理相关结算手续。</w:t>
      </w:r>
    </w:p>
    <w:p>
      <w:pPr>
        <w:pStyle w:val="69"/>
        <w:spacing w:line="360" w:lineRule="auto"/>
        <w:ind w:left="0" w:leftChars="0" w:right="144" w:firstLine="480" w:firstLineChars="200"/>
        <w:contextualSpacing/>
        <w:jc w:val="left"/>
        <w:rPr>
          <w:color w:val="auto"/>
          <w:highlight w:val="none"/>
        </w:rPr>
      </w:pPr>
      <w:r>
        <w:rPr>
          <w:rFonts w:hint="eastAsia"/>
          <w:color w:val="auto"/>
          <w:highlight w:val="none"/>
        </w:rPr>
        <w:t>7.1.</w:t>
      </w:r>
      <w:r>
        <w:rPr>
          <w:rFonts w:hint="eastAsia"/>
          <w:color w:val="auto"/>
          <w:highlight w:val="none"/>
          <w:lang w:val="en-US" w:eastAsia="zh-CN"/>
        </w:rPr>
        <w:t>3</w:t>
      </w:r>
      <w:r>
        <w:rPr>
          <w:rFonts w:hint="eastAsia"/>
          <w:color w:val="auto"/>
          <w:highlight w:val="none"/>
        </w:rPr>
        <w:t>服务报酬</w:t>
      </w:r>
      <w:r>
        <w:rPr>
          <w:rFonts w:hint="eastAsia"/>
          <w:color w:val="auto"/>
          <w:highlight w:val="none"/>
          <w:lang w:val="zh-CN"/>
        </w:rPr>
        <w:t>包含投入委托项目的管理、交通、食宿、文件制作、驻场以及包含所有税费等一切费用，同时也包含在服务过程中出现特殊情况如乙方服务人员必须加班或甲方要求乙方服务人员加班而产生的加班费用等诸如此类的所有费用，乙方应综合考虑。乙方工作范围内的配合甲方招投标、协助评标、定标、合同签订、组卷、提供其他与造价控制有关的技术服务（如主要材料市场信息及经济指标的比较分析）等工作的相关费用已包括在上述费用中，不再另行计费。除本合同另有约定外，乙方不得再向甲方要求支付其它任何费用。</w:t>
      </w:r>
    </w:p>
    <w:p>
      <w:pPr>
        <w:spacing w:line="360" w:lineRule="auto"/>
        <w:ind w:firstLine="420"/>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7.2服务报酬支付方式</w:t>
      </w:r>
    </w:p>
    <w:p>
      <w:pPr>
        <w:pStyle w:val="10"/>
        <w:spacing w:line="360" w:lineRule="auto"/>
        <w:ind w:left="0" w:leftChars="0" w:firstLine="482" w:firstLineChars="200"/>
        <w:contextualSpacing/>
        <w:rPr>
          <w:rFonts w:ascii="宋体" w:hAnsi="宋体"/>
          <w:b/>
          <w:color w:val="auto"/>
          <w:sz w:val="24"/>
          <w:szCs w:val="24"/>
          <w:highlight w:val="none"/>
          <w:lang w:val="zh-CN"/>
        </w:rPr>
      </w:pPr>
      <w:r>
        <w:rPr>
          <w:rFonts w:ascii="宋体" w:hAnsi="宋体"/>
          <w:b/>
          <w:color w:val="auto"/>
          <w:sz w:val="24"/>
          <w:szCs w:val="24"/>
          <w:highlight w:val="none"/>
          <w:lang w:val="zh-CN"/>
        </w:rPr>
        <w:t>7.2服务报酬支付方式</w:t>
      </w:r>
    </w:p>
    <w:tbl>
      <w:tblPr>
        <w:tblStyle w:val="2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
        <w:gridCol w:w="1175"/>
        <w:gridCol w:w="2503"/>
        <w:gridCol w:w="883"/>
        <w:gridCol w:w="735"/>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584" w:type="dxa"/>
            <w:vAlign w:val="center"/>
          </w:tcPr>
          <w:p>
            <w:pPr>
              <w:spacing w:line="276" w:lineRule="auto"/>
              <w:contextualSpacing/>
              <w:jc w:val="center"/>
              <w:rPr>
                <w:rFonts w:ascii="宋体" w:hAnsi="宋体" w:cs="Calibri"/>
                <w:b/>
                <w:color w:val="auto"/>
                <w:sz w:val="20"/>
                <w:szCs w:val="20"/>
                <w:highlight w:val="none"/>
              </w:rPr>
            </w:pPr>
            <w:r>
              <w:rPr>
                <w:rFonts w:hint="eastAsia" w:ascii="宋体" w:hAnsi="宋体" w:cs="Calibri"/>
                <w:b/>
                <w:color w:val="auto"/>
                <w:sz w:val="20"/>
                <w:szCs w:val="20"/>
                <w:highlight w:val="none"/>
              </w:rPr>
              <w:t>序号</w:t>
            </w:r>
          </w:p>
        </w:tc>
        <w:tc>
          <w:tcPr>
            <w:tcW w:w="1175" w:type="dxa"/>
            <w:vAlign w:val="center"/>
          </w:tcPr>
          <w:p>
            <w:pPr>
              <w:spacing w:line="276" w:lineRule="auto"/>
              <w:contextualSpacing/>
              <w:jc w:val="center"/>
              <w:rPr>
                <w:rFonts w:ascii="宋体" w:hAnsi="宋体" w:cs="Calibri"/>
                <w:b/>
                <w:color w:val="auto"/>
                <w:sz w:val="20"/>
                <w:szCs w:val="20"/>
                <w:highlight w:val="none"/>
              </w:rPr>
            </w:pPr>
            <w:r>
              <w:rPr>
                <w:rFonts w:hint="eastAsia" w:ascii="宋体" w:hAnsi="宋体" w:cs="Calibri"/>
                <w:b/>
                <w:color w:val="auto"/>
                <w:sz w:val="20"/>
                <w:szCs w:val="20"/>
                <w:highlight w:val="none"/>
              </w:rPr>
              <w:t>服务阶段</w:t>
            </w:r>
          </w:p>
        </w:tc>
        <w:tc>
          <w:tcPr>
            <w:tcW w:w="2503" w:type="dxa"/>
            <w:vAlign w:val="center"/>
          </w:tcPr>
          <w:p>
            <w:pPr>
              <w:spacing w:line="276" w:lineRule="auto"/>
              <w:contextualSpacing/>
              <w:jc w:val="center"/>
              <w:rPr>
                <w:rFonts w:ascii="宋体" w:hAnsi="宋体" w:cs="Calibri"/>
                <w:b/>
                <w:color w:val="auto"/>
                <w:sz w:val="20"/>
                <w:szCs w:val="20"/>
                <w:highlight w:val="none"/>
              </w:rPr>
            </w:pPr>
            <w:r>
              <w:rPr>
                <w:rFonts w:hint="eastAsia" w:ascii="宋体" w:hAnsi="宋体" w:cs="Calibri"/>
                <w:b/>
                <w:color w:val="auto"/>
                <w:sz w:val="20"/>
                <w:szCs w:val="20"/>
                <w:highlight w:val="none"/>
              </w:rPr>
              <w:t>支付时间</w:t>
            </w:r>
          </w:p>
        </w:tc>
        <w:tc>
          <w:tcPr>
            <w:tcW w:w="883" w:type="dxa"/>
            <w:vAlign w:val="center"/>
          </w:tcPr>
          <w:p>
            <w:pPr>
              <w:spacing w:line="276" w:lineRule="auto"/>
              <w:contextualSpacing/>
              <w:jc w:val="center"/>
              <w:rPr>
                <w:rFonts w:ascii="宋体" w:hAnsi="宋体"/>
                <w:b/>
                <w:color w:val="auto"/>
                <w:sz w:val="20"/>
                <w:szCs w:val="20"/>
                <w:highlight w:val="none"/>
              </w:rPr>
            </w:pPr>
            <w:r>
              <w:rPr>
                <w:rFonts w:hint="eastAsia" w:ascii="宋体" w:hAnsi="宋体"/>
                <w:b/>
                <w:color w:val="auto"/>
                <w:sz w:val="20"/>
                <w:szCs w:val="20"/>
                <w:highlight w:val="none"/>
              </w:rPr>
              <w:t>服务内容占比</w:t>
            </w:r>
          </w:p>
        </w:tc>
        <w:tc>
          <w:tcPr>
            <w:tcW w:w="735" w:type="dxa"/>
            <w:vAlign w:val="center"/>
          </w:tcPr>
          <w:p>
            <w:pPr>
              <w:spacing w:line="276" w:lineRule="auto"/>
              <w:contextualSpacing/>
              <w:jc w:val="center"/>
              <w:rPr>
                <w:rFonts w:ascii="宋体" w:hAnsi="宋体" w:cs="Calibri"/>
                <w:b/>
                <w:color w:val="auto"/>
                <w:sz w:val="20"/>
                <w:szCs w:val="20"/>
                <w:highlight w:val="none"/>
              </w:rPr>
            </w:pPr>
            <w:r>
              <w:rPr>
                <w:rFonts w:hint="eastAsia" w:ascii="宋体" w:hAnsi="宋体" w:cs="Calibri"/>
                <w:b/>
                <w:color w:val="auto"/>
                <w:sz w:val="20"/>
                <w:szCs w:val="20"/>
                <w:highlight w:val="none"/>
              </w:rPr>
              <w:t>支付比例</w:t>
            </w:r>
          </w:p>
        </w:tc>
        <w:tc>
          <w:tcPr>
            <w:tcW w:w="2642" w:type="dxa"/>
            <w:vAlign w:val="center"/>
          </w:tcPr>
          <w:p>
            <w:pPr>
              <w:spacing w:line="276" w:lineRule="auto"/>
              <w:contextualSpacing/>
              <w:jc w:val="center"/>
              <w:rPr>
                <w:rFonts w:ascii="宋体" w:hAnsi="宋体" w:cs="Calibri"/>
                <w:b/>
                <w:color w:val="auto"/>
                <w:sz w:val="20"/>
                <w:szCs w:val="20"/>
                <w:highlight w:val="none"/>
              </w:rPr>
            </w:pPr>
            <w:r>
              <w:rPr>
                <w:rFonts w:hint="eastAsia" w:ascii="宋体" w:hAnsi="宋体" w:cs="Calibri"/>
                <w:b/>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584" w:type="dxa"/>
            <w:vAlign w:val="center"/>
          </w:tcPr>
          <w:p>
            <w:pPr>
              <w:spacing w:line="276" w:lineRule="auto"/>
              <w:contextualSpacing/>
              <w:jc w:val="center"/>
              <w:rPr>
                <w:rFonts w:hint="default" w:ascii="宋体" w:hAnsi="宋体" w:eastAsia="宋体" w:cs="Calibri"/>
                <w:color w:val="auto"/>
                <w:sz w:val="20"/>
                <w:szCs w:val="20"/>
                <w:highlight w:val="none"/>
                <w:lang w:val="en-US" w:eastAsia="zh-CN"/>
              </w:rPr>
            </w:pPr>
            <w:r>
              <w:rPr>
                <w:rFonts w:hint="eastAsia" w:ascii="宋体" w:hAnsi="宋体" w:cs="Calibri"/>
                <w:sz w:val="20"/>
                <w:szCs w:val="20"/>
              </w:rPr>
              <w:t>1</w:t>
            </w:r>
          </w:p>
        </w:tc>
        <w:tc>
          <w:tcPr>
            <w:tcW w:w="1175" w:type="dxa"/>
            <w:vAlign w:val="center"/>
          </w:tcPr>
          <w:p>
            <w:pPr>
              <w:spacing w:line="240" w:lineRule="auto"/>
              <w:contextualSpacing/>
              <w:rPr>
                <w:rFonts w:hint="eastAsia" w:ascii="宋体" w:hAnsi="宋体" w:cs="Calibri"/>
                <w:color w:val="auto"/>
                <w:sz w:val="20"/>
                <w:szCs w:val="20"/>
                <w:highlight w:val="none"/>
              </w:rPr>
            </w:pPr>
            <w:r>
              <w:rPr>
                <w:rFonts w:hint="eastAsia" w:ascii="宋体" w:hAnsi="宋体" w:cs="Calibri"/>
                <w:sz w:val="20"/>
                <w:szCs w:val="20"/>
              </w:rPr>
              <w:t>预付款</w:t>
            </w:r>
          </w:p>
        </w:tc>
        <w:tc>
          <w:tcPr>
            <w:tcW w:w="2503" w:type="dxa"/>
            <w:vAlign w:val="center"/>
          </w:tcPr>
          <w:p>
            <w:pPr>
              <w:spacing w:line="240" w:lineRule="auto"/>
              <w:contextualSpacing/>
              <w:rPr>
                <w:rFonts w:ascii="宋体" w:hAnsi="宋体" w:cs="Calibri"/>
                <w:color w:val="auto"/>
                <w:sz w:val="20"/>
                <w:szCs w:val="20"/>
                <w:highlight w:val="none"/>
              </w:rPr>
            </w:pPr>
            <w:r>
              <w:rPr>
                <w:rFonts w:hint="eastAsia" w:ascii="宋体" w:hAnsi="宋体" w:cs="Calibri"/>
                <w:sz w:val="20"/>
                <w:szCs w:val="20"/>
              </w:rPr>
              <w:t>合同签订生效</w:t>
            </w:r>
            <w:r>
              <w:rPr>
                <w:rFonts w:hint="eastAsia" w:ascii="宋体" w:hAnsi="宋体" w:cs="Calibri"/>
                <w:sz w:val="20"/>
                <w:szCs w:val="20"/>
                <w:lang w:eastAsia="zh-CN"/>
              </w:rPr>
              <w:t>，</w:t>
            </w:r>
            <w:r>
              <w:rPr>
                <w:rFonts w:hint="eastAsia" w:ascii="宋体" w:hAnsi="宋体" w:cs="Calibri"/>
                <w:sz w:val="20"/>
                <w:szCs w:val="20"/>
              </w:rPr>
              <w:t>乙方提出支付申请后15个工作日内。</w:t>
            </w:r>
          </w:p>
        </w:tc>
        <w:tc>
          <w:tcPr>
            <w:tcW w:w="883" w:type="dxa"/>
            <w:vAlign w:val="center"/>
          </w:tcPr>
          <w:p>
            <w:pPr>
              <w:spacing w:line="276" w:lineRule="auto"/>
              <w:contextualSpacing/>
              <w:jc w:val="center"/>
              <w:rPr>
                <w:rFonts w:ascii="宋体" w:hAnsi="宋体" w:cs="Calibri"/>
                <w:color w:val="auto"/>
                <w:sz w:val="20"/>
                <w:szCs w:val="20"/>
                <w:highlight w:val="none"/>
              </w:rPr>
            </w:pPr>
            <w:r>
              <w:rPr>
                <w:rFonts w:hint="eastAsia" w:ascii="宋体" w:hAnsi="宋体" w:cs="Calibri"/>
                <w:sz w:val="20"/>
                <w:szCs w:val="20"/>
              </w:rPr>
              <w:t>0</w:t>
            </w:r>
          </w:p>
        </w:tc>
        <w:tc>
          <w:tcPr>
            <w:tcW w:w="735" w:type="dxa"/>
            <w:vAlign w:val="center"/>
          </w:tcPr>
          <w:p>
            <w:pPr>
              <w:spacing w:line="276" w:lineRule="auto"/>
              <w:contextualSpacing/>
              <w:jc w:val="center"/>
              <w:rPr>
                <w:rFonts w:ascii="宋体" w:hAnsi="宋体" w:cs="Calibri"/>
                <w:color w:val="auto"/>
                <w:sz w:val="20"/>
                <w:szCs w:val="20"/>
                <w:highlight w:val="none"/>
              </w:rPr>
            </w:pPr>
            <w:r>
              <w:rPr>
                <w:rFonts w:hint="eastAsia" w:ascii="宋体" w:hAnsi="宋体" w:cs="Calibri"/>
                <w:sz w:val="20"/>
                <w:szCs w:val="20"/>
                <w:lang w:val="en-US" w:eastAsia="zh-CN"/>
              </w:rPr>
              <w:t>10</w:t>
            </w:r>
            <w:r>
              <w:rPr>
                <w:rFonts w:hint="eastAsia" w:ascii="宋体" w:hAnsi="宋体" w:cs="Calibri"/>
                <w:sz w:val="20"/>
                <w:szCs w:val="20"/>
              </w:rPr>
              <w:t>%</w:t>
            </w:r>
          </w:p>
        </w:tc>
        <w:tc>
          <w:tcPr>
            <w:tcW w:w="2642" w:type="dxa"/>
            <w:vAlign w:val="center"/>
          </w:tcPr>
          <w:p>
            <w:pPr>
              <w:spacing w:line="276" w:lineRule="auto"/>
              <w:contextualSpacing/>
              <w:jc w:val="center"/>
              <w:rPr>
                <w:rFonts w:hint="default" w:ascii="宋体" w:hAnsi="宋体" w:eastAsia="宋体" w:cs="Calibri"/>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84" w:type="dxa"/>
            <w:vAlign w:val="center"/>
          </w:tcPr>
          <w:p>
            <w:pPr>
              <w:spacing w:line="276" w:lineRule="auto"/>
              <w:contextualSpacing/>
              <w:jc w:val="center"/>
              <w:rPr>
                <w:rFonts w:hint="default" w:ascii="宋体" w:hAnsi="宋体" w:eastAsia="宋体" w:cs="Calibri"/>
                <w:color w:val="auto"/>
                <w:sz w:val="20"/>
                <w:szCs w:val="20"/>
                <w:highlight w:val="none"/>
                <w:lang w:val="en-US" w:eastAsia="zh-CN"/>
              </w:rPr>
            </w:pPr>
            <w:r>
              <w:rPr>
                <w:rFonts w:hint="eastAsia" w:ascii="宋体" w:hAnsi="宋体" w:cs="Calibri"/>
                <w:sz w:val="20"/>
                <w:szCs w:val="20"/>
                <w:lang w:val="en-US" w:eastAsia="zh-CN"/>
              </w:rPr>
              <w:t>2</w:t>
            </w:r>
          </w:p>
        </w:tc>
        <w:tc>
          <w:tcPr>
            <w:tcW w:w="1175" w:type="dxa"/>
            <w:vAlign w:val="center"/>
          </w:tcPr>
          <w:p>
            <w:pPr>
              <w:spacing w:line="240" w:lineRule="auto"/>
              <w:contextualSpacing/>
              <w:rPr>
                <w:rFonts w:hint="eastAsia" w:ascii="宋体" w:hAnsi="宋体" w:cs="Calibri"/>
                <w:color w:val="auto"/>
                <w:sz w:val="20"/>
                <w:szCs w:val="20"/>
                <w:highlight w:val="none"/>
              </w:rPr>
            </w:pPr>
            <w:r>
              <w:rPr>
                <w:rFonts w:hint="eastAsia" w:ascii="宋体" w:hAnsi="宋体" w:cs="Calibri"/>
                <w:sz w:val="20"/>
                <w:szCs w:val="20"/>
                <w:lang w:val="en-US" w:eastAsia="zh-CN"/>
              </w:rPr>
              <w:t>概算阶段、</w:t>
            </w:r>
            <w:r>
              <w:rPr>
                <w:rFonts w:hint="eastAsia" w:ascii="宋体" w:hAnsi="宋体" w:cs="Calibri"/>
                <w:sz w:val="20"/>
                <w:szCs w:val="20"/>
              </w:rPr>
              <w:t>施工图预算阶段或招标阶段</w:t>
            </w:r>
          </w:p>
        </w:tc>
        <w:tc>
          <w:tcPr>
            <w:tcW w:w="2503" w:type="dxa"/>
            <w:vAlign w:val="center"/>
          </w:tcPr>
          <w:p>
            <w:pPr>
              <w:spacing w:line="240" w:lineRule="auto"/>
              <w:contextualSpacing/>
              <w:rPr>
                <w:rFonts w:hint="eastAsia" w:ascii="宋体" w:hAnsi="宋体" w:eastAsia="宋体" w:cs="Calibri"/>
                <w:color w:val="auto"/>
                <w:sz w:val="20"/>
                <w:szCs w:val="20"/>
                <w:highlight w:val="none"/>
                <w:lang w:eastAsia="zh-CN"/>
              </w:rPr>
            </w:pPr>
            <w:r>
              <w:rPr>
                <w:rFonts w:hint="eastAsia" w:ascii="宋体" w:hAnsi="宋体" w:cs="Calibri"/>
                <w:sz w:val="20"/>
                <w:szCs w:val="20"/>
              </w:rPr>
              <w:t>确定施工合同价格清单后提出支付申请后15个工作日内。如出现多批次施工招标，则按每批次招标控制价金额与批复概算中需招标建安工程费金额的比值分次支付。</w:t>
            </w:r>
          </w:p>
        </w:tc>
        <w:tc>
          <w:tcPr>
            <w:tcW w:w="883" w:type="dxa"/>
            <w:vAlign w:val="center"/>
          </w:tcPr>
          <w:p>
            <w:pPr>
              <w:spacing w:line="276" w:lineRule="auto"/>
              <w:contextualSpacing/>
              <w:jc w:val="center"/>
              <w:rPr>
                <w:rFonts w:ascii="宋体" w:hAnsi="宋体" w:cs="Calibri"/>
                <w:color w:val="auto"/>
                <w:sz w:val="20"/>
                <w:szCs w:val="20"/>
                <w:highlight w:val="none"/>
              </w:rPr>
            </w:pPr>
            <w:r>
              <w:rPr>
                <w:rFonts w:hint="eastAsia" w:ascii="宋体" w:hAnsi="宋体" w:cs="Calibri"/>
                <w:sz w:val="20"/>
                <w:szCs w:val="20"/>
              </w:rPr>
              <w:t>40%</w:t>
            </w:r>
          </w:p>
        </w:tc>
        <w:tc>
          <w:tcPr>
            <w:tcW w:w="735" w:type="dxa"/>
            <w:vAlign w:val="center"/>
          </w:tcPr>
          <w:p>
            <w:pPr>
              <w:spacing w:line="276" w:lineRule="auto"/>
              <w:contextualSpacing/>
              <w:jc w:val="center"/>
              <w:rPr>
                <w:rFonts w:ascii="宋体" w:hAnsi="宋体" w:cs="Calibri"/>
                <w:color w:val="auto"/>
                <w:sz w:val="20"/>
                <w:szCs w:val="20"/>
                <w:highlight w:val="none"/>
              </w:rPr>
            </w:pPr>
            <w:r>
              <w:rPr>
                <w:rFonts w:hint="eastAsia" w:ascii="宋体" w:hAnsi="宋体" w:cs="Calibri"/>
                <w:sz w:val="20"/>
                <w:szCs w:val="20"/>
              </w:rPr>
              <w:t>3</w:t>
            </w:r>
            <w:r>
              <w:rPr>
                <w:rFonts w:hint="eastAsia" w:ascii="宋体" w:hAnsi="宋体" w:cs="Calibri"/>
                <w:sz w:val="20"/>
                <w:szCs w:val="20"/>
                <w:lang w:val="en-US" w:eastAsia="zh-CN"/>
              </w:rPr>
              <w:t>0</w:t>
            </w:r>
            <w:r>
              <w:rPr>
                <w:rFonts w:hint="eastAsia" w:ascii="宋体" w:hAnsi="宋体" w:cs="Calibri"/>
                <w:sz w:val="20"/>
                <w:szCs w:val="20"/>
              </w:rPr>
              <w:t>%</w:t>
            </w:r>
          </w:p>
        </w:tc>
        <w:tc>
          <w:tcPr>
            <w:tcW w:w="2642" w:type="dxa"/>
            <w:vAlign w:val="center"/>
          </w:tcPr>
          <w:p>
            <w:pPr>
              <w:spacing w:line="276" w:lineRule="auto"/>
              <w:contextualSpacing/>
              <w:jc w:val="center"/>
              <w:rPr>
                <w:rFonts w:ascii="宋体" w:hAnsi="宋体" w:cs="Calibr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84" w:type="dxa"/>
            <w:vAlign w:val="center"/>
          </w:tcPr>
          <w:p>
            <w:pPr>
              <w:spacing w:line="276" w:lineRule="auto"/>
              <w:contextualSpacing/>
              <w:jc w:val="center"/>
              <w:rPr>
                <w:rFonts w:hint="default" w:ascii="宋体" w:hAnsi="宋体" w:eastAsia="宋体" w:cs="Calibri"/>
                <w:color w:val="auto"/>
                <w:sz w:val="20"/>
                <w:szCs w:val="20"/>
                <w:highlight w:val="none"/>
                <w:lang w:val="en-US" w:eastAsia="zh-CN"/>
              </w:rPr>
            </w:pPr>
            <w:r>
              <w:rPr>
                <w:rFonts w:hint="eastAsia" w:ascii="宋体" w:hAnsi="宋体" w:cs="Calibri"/>
                <w:sz w:val="20"/>
                <w:szCs w:val="20"/>
                <w:lang w:val="en-US" w:eastAsia="zh-CN"/>
              </w:rPr>
              <w:t>3</w:t>
            </w:r>
          </w:p>
        </w:tc>
        <w:tc>
          <w:tcPr>
            <w:tcW w:w="1175" w:type="dxa"/>
            <w:vAlign w:val="center"/>
          </w:tcPr>
          <w:p>
            <w:pPr>
              <w:spacing w:line="240" w:lineRule="auto"/>
              <w:contextualSpacing/>
              <w:rPr>
                <w:rFonts w:hint="eastAsia" w:ascii="宋体" w:hAnsi="宋体" w:cs="Calibri"/>
                <w:color w:val="auto"/>
                <w:sz w:val="20"/>
                <w:szCs w:val="20"/>
                <w:highlight w:val="none"/>
              </w:rPr>
            </w:pPr>
            <w:r>
              <w:rPr>
                <w:rFonts w:hint="eastAsia" w:ascii="宋体" w:hAnsi="宋体" w:cs="Calibri"/>
                <w:sz w:val="20"/>
                <w:szCs w:val="20"/>
              </w:rPr>
              <w:t>施工阶段及其他工作</w:t>
            </w:r>
          </w:p>
        </w:tc>
        <w:tc>
          <w:tcPr>
            <w:tcW w:w="2503" w:type="dxa"/>
            <w:vAlign w:val="center"/>
          </w:tcPr>
          <w:p>
            <w:pPr>
              <w:spacing w:line="240" w:lineRule="auto"/>
              <w:contextualSpacing/>
              <w:rPr>
                <w:rFonts w:hint="eastAsia" w:ascii="宋体" w:hAnsi="宋体" w:eastAsia="宋体" w:cs="Calibri"/>
                <w:color w:val="auto"/>
                <w:sz w:val="20"/>
                <w:szCs w:val="20"/>
                <w:highlight w:val="none"/>
                <w:lang w:eastAsia="zh-CN"/>
              </w:rPr>
            </w:pPr>
            <w:r>
              <w:rPr>
                <w:rFonts w:hint="eastAsia" w:ascii="宋体" w:hAnsi="宋体" w:cs="Calibri"/>
                <w:sz w:val="20"/>
                <w:szCs w:val="20"/>
              </w:rPr>
              <w:t>按工期分季度支付进度款，提出支付申请后15个工作日内。</w:t>
            </w:r>
          </w:p>
        </w:tc>
        <w:tc>
          <w:tcPr>
            <w:tcW w:w="883" w:type="dxa"/>
            <w:vAlign w:val="center"/>
          </w:tcPr>
          <w:p>
            <w:pPr>
              <w:spacing w:line="276" w:lineRule="auto"/>
              <w:contextualSpacing/>
              <w:jc w:val="center"/>
              <w:rPr>
                <w:rFonts w:ascii="宋体" w:hAnsi="宋体" w:cs="Calibri"/>
                <w:color w:val="auto"/>
                <w:sz w:val="20"/>
                <w:szCs w:val="20"/>
                <w:highlight w:val="none"/>
              </w:rPr>
            </w:pPr>
            <w:r>
              <w:rPr>
                <w:rFonts w:hint="eastAsia" w:ascii="宋体" w:hAnsi="宋体" w:cs="Calibri"/>
                <w:sz w:val="20"/>
                <w:szCs w:val="20"/>
              </w:rPr>
              <w:t>40%</w:t>
            </w:r>
          </w:p>
        </w:tc>
        <w:tc>
          <w:tcPr>
            <w:tcW w:w="735" w:type="dxa"/>
            <w:vAlign w:val="center"/>
          </w:tcPr>
          <w:p>
            <w:pPr>
              <w:spacing w:line="276" w:lineRule="auto"/>
              <w:contextualSpacing/>
              <w:jc w:val="center"/>
              <w:rPr>
                <w:rFonts w:ascii="宋体" w:hAnsi="宋体" w:cs="Calibri"/>
                <w:color w:val="auto"/>
                <w:sz w:val="20"/>
                <w:szCs w:val="20"/>
                <w:highlight w:val="none"/>
              </w:rPr>
            </w:pPr>
            <w:r>
              <w:rPr>
                <w:rFonts w:hint="eastAsia" w:ascii="宋体" w:hAnsi="宋体" w:cs="Calibri"/>
                <w:sz w:val="20"/>
                <w:szCs w:val="20"/>
              </w:rPr>
              <w:t>40%</w:t>
            </w:r>
          </w:p>
        </w:tc>
        <w:tc>
          <w:tcPr>
            <w:tcW w:w="2642" w:type="dxa"/>
            <w:vAlign w:val="center"/>
          </w:tcPr>
          <w:p>
            <w:pPr>
              <w:spacing w:line="276" w:lineRule="auto"/>
              <w:contextualSpacing/>
              <w:jc w:val="left"/>
              <w:rPr>
                <w:rFonts w:ascii="宋体" w:hAnsi="宋体" w:cs="Calibri"/>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584" w:type="dxa"/>
            <w:vAlign w:val="center"/>
          </w:tcPr>
          <w:p>
            <w:pPr>
              <w:spacing w:line="276" w:lineRule="auto"/>
              <w:contextualSpacing/>
              <w:jc w:val="center"/>
              <w:rPr>
                <w:rFonts w:hint="default" w:ascii="宋体" w:hAnsi="宋体" w:cs="Calibri"/>
                <w:color w:val="auto"/>
                <w:sz w:val="20"/>
                <w:szCs w:val="20"/>
                <w:highlight w:val="none"/>
                <w:lang w:val="en-US" w:eastAsia="zh-CN"/>
              </w:rPr>
            </w:pPr>
            <w:r>
              <w:rPr>
                <w:rFonts w:hint="eastAsia" w:ascii="宋体" w:hAnsi="宋体" w:cs="Calibri"/>
                <w:sz w:val="20"/>
                <w:szCs w:val="20"/>
                <w:lang w:val="en-US" w:eastAsia="zh-CN"/>
              </w:rPr>
              <w:t>4</w:t>
            </w:r>
          </w:p>
        </w:tc>
        <w:tc>
          <w:tcPr>
            <w:tcW w:w="1175" w:type="dxa"/>
            <w:vAlign w:val="center"/>
          </w:tcPr>
          <w:p>
            <w:pPr>
              <w:spacing w:line="240" w:lineRule="auto"/>
              <w:contextualSpacing/>
              <w:rPr>
                <w:rFonts w:hint="default" w:ascii="宋体" w:hAnsi="宋体" w:eastAsia="宋体" w:cs="Calibri"/>
                <w:color w:val="auto"/>
                <w:sz w:val="20"/>
                <w:szCs w:val="20"/>
                <w:highlight w:val="none"/>
                <w:lang w:val="en-US" w:eastAsia="zh-CN"/>
              </w:rPr>
            </w:pPr>
            <w:r>
              <w:rPr>
                <w:rFonts w:hint="eastAsia" w:ascii="宋体" w:hAnsi="宋体" w:cs="Calibri"/>
                <w:sz w:val="20"/>
                <w:szCs w:val="20"/>
              </w:rPr>
              <w:t>结（决）算阶段</w:t>
            </w:r>
          </w:p>
        </w:tc>
        <w:tc>
          <w:tcPr>
            <w:tcW w:w="2503" w:type="dxa"/>
            <w:vAlign w:val="center"/>
          </w:tcPr>
          <w:p>
            <w:pPr>
              <w:spacing w:line="240" w:lineRule="auto"/>
              <w:contextualSpacing/>
              <w:rPr>
                <w:rFonts w:hint="default" w:ascii="宋体" w:hAnsi="宋体" w:eastAsia="宋体" w:cs="Calibri"/>
                <w:color w:val="auto"/>
                <w:sz w:val="20"/>
                <w:szCs w:val="20"/>
                <w:highlight w:val="none"/>
                <w:lang w:val="en-US" w:eastAsia="zh-CN"/>
              </w:rPr>
            </w:pPr>
            <w:r>
              <w:rPr>
                <w:rFonts w:hint="eastAsia" w:ascii="宋体" w:hAnsi="宋体" w:cs="Calibri"/>
                <w:sz w:val="20"/>
                <w:szCs w:val="20"/>
              </w:rPr>
              <w:t>工程项目竣工结算送有权结算终审部门终审至该项目的结算终审并获得结算批复文件，</w:t>
            </w:r>
          </w:p>
        </w:tc>
        <w:tc>
          <w:tcPr>
            <w:tcW w:w="883" w:type="dxa"/>
            <w:vAlign w:val="center"/>
          </w:tcPr>
          <w:p>
            <w:pPr>
              <w:spacing w:line="276" w:lineRule="auto"/>
              <w:contextualSpacing/>
              <w:jc w:val="center"/>
              <w:rPr>
                <w:rFonts w:hint="default" w:ascii="宋体" w:hAnsi="宋体" w:cs="Calibri"/>
                <w:color w:val="auto"/>
                <w:sz w:val="20"/>
                <w:szCs w:val="20"/>
                <w:highlight w:val="none"/>
                <w:lang w:val="en-US" w:eastAsia="zh-CN"/>
              </w:rPr>
            </w:pPr>
            <w:r>
              <w:rPr>
                <w:rFonts w:hint="eastAsia" w:ascii="宋体" w:hAnsi="宋体" w:cs="Calibri"/>
                <w:sz w:val="20"/>
                <w:szCs w:val="20"/>
                <w:lang w:val="en-US" w:eastAsia="zh-CN"/>
              </w:rPr>
              <w:t>15%</w:t>
            </w:r>
          </w:p>
        </w:tc>
        <w:tc>
          <w:tcPr>
            <w:tcW w:w="735" w:type="dxa"/>
            <w:vAlign w:val="center"/>
          </w:tcPr>
          <w:p>
            <w:pPr>
              <w:spacing w:line="276" w:lineRule="auto"/>
              <w:contextualSpacing/>
              <w:jc w:val="center"/>
              <w:rPr>
                <w:rFonts w:hint="default" w:ascii="宋体" w:hAnsi="宋体" w:cs="Calibri"/>
                <w:color w:val="auto"/>
                <w:sz w:val="20"/>
                <w:szCs w:val="20"/>
                <w:highlight w:val="none"/>
                <w:lang w:val="en-US" w:eastAsia="zh-CN"/>
              </w:rPr>
            </w:pPr>
            <w:r>
              <w:rPr>
                <w:rFonts w:hint="eastAsia" w:ascii="宋体" w:hAnsi="宋体" w:cs="Calibri"/>
                <w:sz w:val="20"/>
                <w:szCs w:val="20"/>
                <w:lang w:val="en-US" w:eastAsia="zh-CN"/>
              </w:rPr>
              <w:t>15%</w:t>
            </w:r>
          </w:p>
        </w:tc>
        <w:tc>
          <w:tcPr>
            <w:tcW w:w="2642" w:type="dxa"/>
            <w:vAlign w:val="center"/>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如项目需上级主管部门委托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审核单位审定的，结算价与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上级主管部门委托审核单位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（如有）最终审定价相差幅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度超过 5%（含本数）的，扣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除合同价的 5%做为违约金；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相差幅度超过 8%（含本数）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的，扣除合同价的 10%做为 </w:t>
            </w:r>
          </w:p>
          <w:p>
            <w:pPr>
              <w:keepNext w:val="0"/>
              <w:keepLines w:val="0"/>
              <w:widowControl/>
              <w:suppressLineNumbers w:val="0"/>
              <w:jc w:val="left"/>
              <w:rPr>
                <w:rFonts w:hint="eastAsia" w:ascii="宋体" w:hAnsi="宋体" w:cs="Calibri"/>
                <w:color w:val="auto"/>
                <w:sz w:val="20"/>
                <w:szCs w:val="20"/>
                <w:highlight w:val="none"/>
              </w:rPr>
            </w:pPr>
            <w:r>
              <w:rPr>
                <w:rFonts w:hint="eastAsia" w:ascii="宋体" w:hAnsi="宋体" w:eastAsia="宋体" w:cs="宋体"/>
                <w:color w:val="000000"/>
                <w:kern w:val="0"/>
                <w:sz w:val="19"/>
                <w:szCs w:val="19"/>
                <w:lang w:val="en-US" w:eastAsia="zh-CN" w:bidi="ar"/>
              </w:rPr>
              <w:t>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84" w:type="dxa"/>
            <w:vAlign w:val="center"/>
          </w:tcPr>
          <w:p>
            <w:pPr>
              <w:spacing w:line="276" w:lineRule="auto"/>
              <w:contextualSpacing/>
              <w:jc w:val="center"/>
              <w:rPr>
                <w:rFonts w:hint="eastAsia" w:ascii="宋体" w:hAnsi="宋体" w:cs="Calibri"/>
                <w:color w:val="auto"/>
                <w:sz w:val="20"/>
                <w:szCs w:val="20"/>
                <w:highlight w:val="none"/>
              </w:rPr>
            </w:pPr>
            <w:r>
              <w:rPr>
                <w:rFonts w:hint="eastAsia" w:ascii="宋体" w:hAnsi="宋体" w:cs="Calibri"/>
                <w:sz w:val="20"/>
                <w:szCs w:val="20"/>
                <w:lang w:val="en-US" w:eastAsia="zh-CN"/>
              </w:rPr>
              <w:t>5</w:t>
            </w:r>
          </w:p>
        </w:tc>
        <w:tc>
          <w:tcPr>
            <w:tcW w:w="1175" w:type="dxa"/>
            <w:vAlign w:val="center"/>
          </w:tcPr>
          <w:p>
            <w:pPr>
              <w:spacing w:line="240" w:lineRule="auto"/>
              <w:contextualSpacing/>
            </w:pPr>
            <w:r>
              <w:rPr>
                <w:rFonts w:hint="eastAsia" w:ascii="宋体" w:hAnsi="宋体" w:cs="Calibri"/>
                <w:sz w:val="20"/>
                <w:szCs w:val="20"/>
                <w:lang w:val="en-US" w:eastAsia="zh-CN"/>
              </w:rPr>
              <w:t>服务费结算结算</w:t>
            </w:r>
          </w:p>
        </w:tc>
        <w:tc>
          <w:tcPr>
            <w:tcW w:w="2503" w:type="dxa"/>
            <w:vAlign w:val="center"/>
          </w:tcPr>
          <w:p>
            <w:pPr>
              <w:spacing w:line="240" w:lineRule="auto"/>
              <w:contextualSpacing/>
            </w:pPr>
            <w:r>
              <w:rPr>
                <w:rFonts w:hint="eastAsia" w:ascii="宋体" w:hAnsi="宋体" w:cs="Calibri"/>
                <w:sz w:val="20"/>
                <w:szCs w:val="20"/>
                <w:lang w:val="en-US" w:eastAsia="zh-CN"/>
              </w:rPr>
              <w:t>在完成全部服务内容后，由甲方对乙方造价咨询服务工作质量情况进行考评（具体考核标准详见附件《造价咨询服务考核评分表》）视考评情况予以支付。</w:t>
            </w:r>
          </w:p>
        </w:tc>
        <w:tc>
          <w:tcPr>
            <w:tcW w:w="883" w:type="dxa"/>
            <w:vAlign w:val="center"/>
          </w:tcPr>
          <w:p>
            <w:pPr>
              <w:spacing w:line="276" w:lineRule="auto"/>
              <w:contextualSpacing/>
              <w:jc w:val="center"/>
              <w:rPr>
                <w:rFonts w:hint="eastAsia" w:ascii="宋体" w:hAnsi="宋体" w:cs="Calibri"/>
                <w:color w:val="auto"/>
                <w:sz w:val="20"/>
                <w:szCs w:val="20"/>
                <w:highlight w:val="none"/>
              </w:rPr>
            </w:pPr>
            <w:r>
              <w:rPr>
                <w:rFonts w:hint="eastAsia" w:ascii="宋体" w:hAnsi="宋体" w:cs="Calibri"/>
                <w:sz w:val="20"/>
                <w:szCs w:val="20"/>
              </w:rPr>
              <w:t>5%</w:t>
            </w:r>
          </w:p>
        </w:tc>
        <w:tc>
          <w:tcPr>
            <w:tcW w:w="735" w:type="dxa"/>
            <w:vAlign w:val="center"/>
          </w:tcPr>
          <w:p>
            <w:pPr>
              <w:spacing w:line="276" w:lineRule="auto"/>
              <w:contextualSpacing/>
              <w:jc w:val="center"/>
              <w:rPr>
                <w:rFonts w:hint="eastAsia" w:ascii="宋体" w:hAnsi="宋体" w:cs="Calibri"/>
                <w:color w:val="auto"/>
                <w:sz w:val="20"/>
                <w:szCs w:val="20"/>
                <w:highlight w:val="none"/>
              </w:rPr>
            </w:pPr>
            <w:r>
              <w:rPr>
                <w:rFonts w:hint="eastAsia" w:ascii="宋体" w:hAnsi="宋体" w:cs="Calibri"/>
                <w:sz w:val="20"/>
                <w:szCs w:val="20"/>
              </w:rPr>
              <w:t>5%</w:t>
            </w:r>
          </w:p>
        </w:tc>
        <w:tc>
          <w:tcPr>
            <w:tcW w:w="2642" w:type="dxa"/>
            <w:vAlign w:val="center"/>
          </w:tcPr>
          <w:p>
            <w:pPr>
              <w:spacing w:line="240" w:lineRule="auto"/>
              <w:contextualSpacing/>
              <w:jc w:val="left"/>
              <w:rPr>
                <w:rFonts w:ascii="宋体" w:hAnsi="宋体" w:cs="Calibri"/>
                <w:color w:val="auto"/>
                <w:sz w:val="20"/>
                <w:szCs w:val="20"/>
                <w:highlight w:val="none"/>
              </w:rPr>
            </w:pPr>
            <w:r>
              <w:rPr>
                <w:rFonts w:hint="eastAsia" w:ascii="宋体" w:hAnsi="宋体" w:cs="Calibri"/>
                <w:sz w:val="20"/>
                <w:szCs w:val="20"/>
              </w:rPr>
              <w:t>乙方在考评中得分90分或以上的，按10%结算支付；85分≤考评得分＜90分，按8%结算支付；75分≤考评得分＜85分，按5%结算支付；65分≤考评得分＜75分，按2%结算支付；考评得分＜65分，则考评情况服务酬金不予结算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4262" w:type="dxa"/>
            <w:gridSpan w:val="3"/>
            <w:vAlign w:val="center"/>
          </w:tcPr>
          <w:p>
            <w:pPr>
              <w:spacing w:line="276" w:lineRule="auto"/>
              <w:contextualSpacing/>
              <w:jc w:val="center"/>
              <w:rPr>
                <w:rFonts w:ascii="宋体" w:hAnsi="宋体" w:cs="Calibri"/>
                <w:color w:val="auto"/>
                <w:sz w:val="20"/>
                <w:szCs w:val="20"/>
                <w:highlight w:val="none"/>
              </w:rPr>
            </w:pPr>
            <w:r>
              <w:rPr>
                <w:rFonts w:hint="eastAsia" w:ascii="宋体" w:hAnsi="宋体" w:cs="Calibri"/>
                <w:sz w:val="20"/>
                <w:szCs w:val="20"/>
              </w:rPr>
              <w:t>合计</w:t>
            </w:r>
          </w:p>
        </w:tc>
        <w:tc>
          <w:tcPr>
            <w:tcW w:w="883" w:type="dxa"/>
            <w:vAlign w:val="center"/>
          </w:tcPr>
          <w:p>
            <w:pPr>
              <w:spacing w:line="276" w:lineRule="auto"/>
              <w:contextualSpacing/>
              <w:jc w:val="center"/>
              <w:rPr>
                <w:rFonts w:ascii="宋体" w:hAnsi="宋体" w:cs="Calibri"/>
                <w:color w:val="auto"/>
                <w:sz w:val="20"/>
                <w:szCs w:val="20"/>
                <w:highlight w:val="none"/>
              </w:rPr>
            </w:pPr>
            <w:r>
              <w:rPr>
                <w:rFonts w:hint="eastAsia" w:ascii="宋体" w:hAnsi="宋体" w:cs="Calibri"/>
                <w:sz w:val="20"/>
                <w:szCs w:val="20"/>
              </w:rPr>
              <w:t>100%</w:t>
            </w:r>
          </w:p>
        </w:tc>
        <w:tc>
          <w:tcPr>
            <w:tcW w:w="735" w:type="dxa"/>
            <w:vAlign w:val="center"/>
          </w:tcPr>
          <w:p>
            <w:pPr>
              <w:spacing w:line="276" w:lineRule="auto"/>
              <w:contextualSpacing/>
              <w:jc w:val="center"/>
              <w:rPr>
                <w:rFonts w:ascii="宋体" w:hAnsi="宋体" w:cs="Calibri"/>
                <w:color w:val="auto"/>
                <w:sz w:val="20"/>
                <w:szCs w:val="20"/>
                <w:highlight w:val="none"/>
              </w:rPr>
            </w:pPr>
            <w:r>
              <w:rPr>
                <w:rFonts w:hint="eastAsia" w:ascii="宋体" w:hAnsi="宋体" w:cs="Calibri"/>
                <w:sz w:val="20"/>
                <w:szCs w:val="20"/>
              </w:rPr>
              <w:t>100%</w:t>
            </w:r>
          </w:p>
        </w:tc>
        <w:tc>
          <w:tcPr>
            <w:tcW w:w="2642" w:type="dxa"/>
            <w:vAlign w:val="center"/>
          </w:tcPr>
          <w:p>
            <w:pPr>
              <w:spacing w:line="276" w:lineRule="auto"/>
              <w:contextualSpacing/>
              <w:jc w:val="left"/>
              <w:rPr>
                <w:rFonts w:ascii="宋体" w:hAnsi="宋体" w:cs="Calibri"/>
                <w:color w:val="auto"/>
                <w:sz w:val="20"/>
                <w:szCs w:val="20"/>
                <w:highlight w:val="none"/>
              </w:rPr>
            </w:pPr>
          </w:p>
        </w:tc>
      </w:tr>
    </w:tbl>
    <w:p>
      <w:pPr>
        <w:pStyle w:val="69"/>
        <w:spacing w:line="360" w:lineRule="auto"/>
        <w:contextualSpacing/>
        <w:jc w:val="both"/>
        <w:rPr>
          <w:color w:val="auto"/>
          <w:sz w:val="21"/>
          <w:szCs w:val="21"/>
          <w:highlight w:val="none"/>
        </w:rPr>
      </w:pPr>
      <w:r>
        <w:rPr>
          <w:rFonts w:hint="eastAsia"/>
          <w:color w:val="auto"/>
          <w:sz w:val="21"/>
          <w:szCs w:val="21"/>
          <w:highlight w:val="none"/>
        </w:rPr>
        <w:t>注：</w:t>
      </w:r>
    </w:p>
    <w:p>
      <w:pPr>
        <w:pStyle w:val="69"/>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contextualSpacing/>
        <w:jc w:val="left"/>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1</w:t>
      </w:r>
      <w:r>
        <w:rPr>
          <w:rFonts w:hint="eastAsia"/>
          <w:color w:val="auto"/>
          <w:sz w:val="21"/>
          <w:szCs w:val="21"/>
          <w:highlight w:val="none"/>
          <w:lang w:eastAsia="zh-CN"/>
        </w:rPr>
        <w:t>）</w:t>
      </w:r>
      <w:r>
        <w:rPr>
          <w:rFonts w:hint="eastAsia"/>
          <w:color w:val="auto"/>
          <w:sz w:val="21"/>
          <w:szCs w:val="21"/>
          <w:highlight w:val="none"/>
        </w:rPr>
        <w:t>每次付款，乙方均需按甲方财务管理制度办理支付申请手续，并提供合法有效增值税一般纳税人服务类专用发票的正式发票。</w:t>
      </w:r>
    </w:p>
    <w:p>
      <w:pPr>
        <w:pStyle w:val="69"/>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contextualSpacing/>
        <w:jc w:val="both"/>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2</w:t>
      </w:r>
      <w:r>
        <w:rPr>
          <w:rFonts w:hint="eastAsia"/>
          <w:color w:val="auto"/>
          <w:sz w:val="21"/>
          <w:szCs w:val="21"/>
          <w:highlight w:val="none"/>
          <w:lang w:eastAsia="zh-CN"/>
        </w:rPr>
        <w:t>）</w:t>
      </w:r>
      <w:r>
        <w:rPr>
          <w:rFonts w:hint="eastAsia"/>
          <w:color w:val="auto"/>
          <w:sz w:val="21"/>
          <w:szCs w:val="21"/>
          <w:highlight w:val="none"/>
        </w:rPr>
        <w:t>实际支付可视项目进展情况、以上表支付比例为限分次支付</w:t>
      </w:r>
      <w:r>
        <w:rPr>
          <w:rFonts w:hint="eastAsia"/>
          <w:color w:val="auto"/>
          <w:sz w:val="21"/>
          <w:szCs w:val="21"/>
          <w:highlight w:val="none"/>
          <w:lang w:eastAsia="zh-CN"/>
        </w:rPr>
        <w:t>。</w:t>
      </w:r>
    </w:p>
    <w:p>
      <w:pPr>
        <w:pStyle w:val="10"/>
        <w:ind w:left="0" w:leftChars="0"/>
        <w:rPr>
          <w:rFonts w:hint="default"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lang w:val="en-US" w:eastAsia="zh-CN"/>
        </w:rPr>
        <w:t>甲方按照实际发生的服务内容和服务阶段支付费用。</w:t>
      </w:r>
    </w:p>
    <w:p>
      <w:pPr>
        <w:pStyle w:val="69"/>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contextualSpacing/>
        <w:jc w:val="both"/>
        <w:textAlignment w:val="auto"/>
        <w:rPr>
          <w:color w:val="auto"/>
          <w:sz w:val="21"/>
          <w:szCs w:val="21"/>
          <w:highlight w:val="none"/>
        </w:rPr>
      </w:pPr>
      <w:r>
        <w:rPr>
          <w:rFonts w:hint="eastAsia"/>
          <w:color w:val="auto"/>
          <w:sz w:val="21"/>
          <w:szCs w:val="21"/>
          <w:highlight w:val="none"/>
          <w:lang w:eastAsia="zh-CN"/>
        </w:rPr>
        <w:t>（</w:t>
      </w:r>
      <w:r>
        <w:rPr>
          <w:rFonts w:hint="eastAsia"/>
          <w:color w:val="auto"/>
          <w:sz w:val="21"/>
          <w:szCs w:val="21"/>
          <w:highlight w:val="none"/>
          <w:lang w:val="en-US" w:eastAsia="zh-CN"/>
        </w:rPr>
        <w:t>4</w:t>
      </w:r>
      <w:r>
        <w:rPr>
          <w:rFonts w:hint="eastAsia"/>
          <w:color w:val="auto"/>
          <w:sz w:val="21"/>
          <w:szCs w:val="21"/>
          <w:highlight w:val="none"/>
          <w:lang w:eastAsia="zh-CN"/>
        </w:rPr>
        <w:t>）</w:t>
      </w:r>
      <w:r>
        <w:rPr>
          <w:rFonts w:hint="eastAsia"/>
          <w:color w:val="auto"/>
          <w:sz w:val="21"/>
          <w:szCs w:val="21"/>
          <w:highlight w:val="none"/>
        </w:rPr>
        <w:t>概算批复后，即根据概算批复及上述第7.1款调整实际支付金额。</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left="0" w:leftChars="0" w:firstLine="0" w:firstLineChars="0"/>
        <w:textAlignment w:val="auto"/>
        <w:rPr>
          <w:color w:val="auto"/>
          <w:highlight w:val="none"/>
        </w:rPr>
      </w:pPr>
      <w:r>
        <w:rPr>
          <w:rFonts w:hint="eastAsia"/>
          <w:color w:val="auto"/>
          <w:szCs w:val="21"/>
          <w:highlight w:val="none"/>
        </w:rPr>
        <w:t>本项目</w:t>
      </w:r>
      <w:r>
        <w:rPr>
          <w:rFonts w:hint="eastAsia"/>
          <w:color w:val="auto"/>
          <w:szCs w:val="21"/>
          <w:highlight w:val="none"/>
          <w:lang w:val="en-US" w:eastAsia="zh-CN"/>
        </w:rPr>
        <w:t>资金来源</w:t>
      </w:r>
      <w:r>
        <w:rPr>
          <w:rFonts w:hint="eastAsia"/>
          <w:color w:val="auto"/>
          <w:szCs w:val="21"/>
          <w:highlight w:val="none"/>
        </w:rPr>
        <w:t>为</w:t>
      </w:r>
      <w:r>
        <w:rPr>
          <w:rFonts w:hint="eastAsia"/>
          <w:color w:val="auto"/>
          <w:szCs w:val="21"/>
          <w:highlight w:val="none"/>
          <w:lang w:val="en-US" w:eastAsia="zh-CN"/>
        </w:rPr>
        <w:t>资本金加融资</w:t>
      </w:r>
      <w:r>
        <w:rPr>
          <w:rFonts w:hint="eastAsia"/>
          <w:color w:val="auto"/>
          <w:szCs w:val="21"/>
          <w:highlight w:val="none"/>
        </w:rPr>
        <w:t>，乙方承诺不因</w:t>
      </w:r>
      <w:r>
        <w:rPr>
          <w:rFonts w:hint="eastAsia"/>
          <w:color w:val="auto"/>
          <w:szCs w:val="21"/>
          <w:highlight w:val="none"/>
          <w:lang w:val="en-US" w:eastAsia="zh-CN"/>
        </w:rPr>
        <w:t>相关单位拨付资金或者发放贷款</w:t>
      </w:r>
      <w:r>
        <w:rPr>
          <w:rFonts w:hint="eastAsia"/>
          <w:color w:val="auto"/>
          <w:szCs w:val="21"/>
          <w:highlight w:val="none"/>
        </w:rPr>
        <w:t>等原因导致的支付延迟而向甲方及业主单位索赔费用或主张相关违约责任，并且此情况不能成为乙方终止或拒绝履行合同约定义务的理由。</w:t>
      </w:r>
    </w:p>
    <w:p>
      <w:pPr>
        <w:pStyle w:val="19"/>
        <w:spacing w:before="0" w:beforeAutospacing="0" w:after="0" w:afterAutospacing="0"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7.3双方一致同意，如本合同工程审计机关对结算评审提出修正意见的，双方应当本着实事求是的原则予以纠正。</w:t>
      </w:r>
    </w:p>
    <w:p>
      <w:pPr>
        <w:pStyle w:val="19"/>
        <w:spacing w:before="0" w:beforeAutospacing="0" w:after="0" w:afterAutospacing="0"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7.4本项目建设资金由业主单位负责落实，具体支付方式由甲方、乙方、业主单位三方另行签订补充合同予以明确。</w:t>
      </w:r>
    </w:p>
    <w:p>
      <w:pPr>
        <w:pStyle w:val="19"/>
        <w:spacing w:before="0" w:beforeAutospacing="0" w:after="0" w:afterAutospacing="0" w:line="360" w:lineRule="auto"/>
        <w:ind w:firstLine="480" w:firstLineChars="200"/>
        <w:rPr>
          <w:rFonts w:hint="eastAsia" w:ascii="宋体" w:hAnsi="宋体" w:eastAsia="宋体" w:cs="Times New Roman"/>
          <w:color w:val="auto"/>
          <w:highlight w:val="none"/>
        </w:rPr>
      </w:pPr>
      <w:r>
        <w:rPr>
          <w:rFonts w:hint="eastAsia" w:ascii="宋体" w:hAnsi="宋体" w:eastAsia="宋体" w:cs="Times New Roman"/>
          <w:color w:val="auto"/>
          <w:highlight w:val="none"/>
        </w:rPr>
        <w:t>7.3双方一致同意，如本合同工程审计机关对结算评审提出修正意见的，双方应当本着实事求是的原则予以纠正。</w:t>
      </w:r>
    </w:p>
    <w:p>
      <w:pPr>
        <w:spacing w:line="360" w:lineRule="auto"/>
        <w:ind w:firstLine="480" w:firstLineChars="200"/>
        <w:rPr>
          <w:rFonts w:ascii="宋体" w:hAnsi="宋体"/>
          <w:snapToGrid w:val="0"/>
          <w:color w:val="auto"/>
          <w:sz w:val="24"/>
          <w:highlight w:val="none"/>
        </w:rPr>
      </w:pPr>
    </w:p>
    <w:p>
      <w:pPr>
        <w:widowControl/>
        <w:spacing w:line="360" w:lineRule="auto"/>
        <w:ind w:left="0" w:leftChars="0" w:firstLine="0" w:firstLineChars="0"/>
        <w:jc w:val="left"/>
        <w:outlineLvl w:val="1"/>
        <w:rPr>
          <w:rFonts w:hint="eastAsia" w:ascii="宋体" w:hAnsi="宋体" w:cs="宋体"/>
          <w:b/>
          <w:bCs/>
          <w:color w:val="auto"/>
          <w:sz w:val="24"/>
          <w:szCs w:val="24"/>
          <w:highlight w:val="none"/>
        </w:rPr>
      </w:pPr>
      <w:bookmarkStart w:id="42" w:name="_Toc29444"/>
      <w:bookmarkStart w:id="43" w:name="_Toc16461"/>
      <w:r>
        <w:rPr>
          <w:rFonts w:hint="eastAsia" w:ascii="宋体" w:hAnsi="宋体" w:cs="宋体"/>
          <w:b/>
          <w:bCs/>
          <w:color w:val="auto"/>
          <w:sz w:val="24"/>
          <w:szCs w:val="24"/>
          <w:highlight w:val="none"/>
        </w:rPr>
        <w:t>八、违约责任</w:t>
      </w:r>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color w:val="auto"/>
          <w:sz w:val="24"/>
          <w:szCs w:val="24"/>
          <w:highlight w:val="none"/>
        </w:rPr>
      </w:pPr>
      <w:r>
        <w:rPr>
          <w:rFonts w:hint="eastAsia" w:ascii="宋体" w:hAnsi="宋体" w:cs="宋体"/>
          <w:b/>
          <w:color w:val="auto"/>
          <w:sz w:val="24"/>
          <w:szCs w:val="24"/>
          <w:highlight w:val="none"/>
        </w:rPr>
        <w:t>8.1甲方违约责任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若由于甲方原因造成未在本合同约定的支付期限内支付服务报酬，甲方除应继续支付服务报酬外，</w:t>
      </w:r>
      <w:r>
        <w:rPr>
          <w:rFonts w:hint="eastAsia" w:ascii="宋体" w:hAnsi="宋体" w:cs="宋体"/>
          <w:snapToGrid w:val="0"/>
          <w:color w:val="auto"/>
          <w:sz w:val="24"/>
          <w:szCs w:val="24"/>
          <w:highlight w:val="none"/>
        </w:rPr>
        <w:t>还应按银行同期活期存款利率给乙方计付款项拖欠期间的利息。（如付款责任主体非甲方则本款不适用）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宋体" w:hAnsi="宋体" w:cs="宋体"/>
          <w:b/>
          <w:color w:val="auto"/>
          <w:sz w:val="24"/>
          <w:szCs w:val="24"/>
          <w:highlight w:val="none"/>
        </w:rPr>
      </w:pPr>
      <w:r>
        <w:rPr>
          <w:rFonts w:hint="eastAsia" w:ascii="宋体" w:hAnsi="宋体" w:cs="宋体"/>
          <w:b/>
          <w:color w:val="auto"/>
          <w:sz w:val="24"/>
          <w:szCs w:val="24"/>
          <w:highlight w:val="none"/>
        </w:rPr>
        <w:t>8.2乙方违约责任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8.2.1乙方承担违约责任的方式包括但不限于：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（1）书面警告。乙方不履行或不完全履行合同或不执行甲方的指令时，甲方有权向乙方发出书面警告。乙方必须在书面警告限定的时间内履行义务或执行指令，否则应承担一次一般违约责任。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（2）一般违约责任。乙方违反本合同的约定须承担一般违约责任时，必须向甲方交纳违约金人民币3000元/次。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（3）严重违约责任。乙方违反本合同的约定须承担严重违约责任时，必须向甲方交纳违约金人民币10000元/次。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（4）下浮支付服务报酬。乙方的违约情节特别严重时，甲方有权在合同约定基础上再下浮支付服务报酬，累计下浮金额不超过服务报酬总额的50%。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strike/>
          <w:color w:val="auto"/>
          <w:sz w:val="24"/>
          <w:szCs w:val="24"/>
          <w:highlight w:val="none"/>
        </w:rPr>
      </w:pPr>
      <w:r>
        <w:rPr>
          <w:rFonts w:hint="eastAsia" w:ascii="宋体" w:hAnsi="宋体" w:cs="宋体"/>
          <w:color w:val="auto"/>
          <w:sz w:val="24"/>
          <w:szCs w:val="24"/>
          <w:highlight w:val="none"/>
        </w:rPr>
        <w:t>（5）部分解除合同或解除合同。乙方累计三次以上（含三次）严重违约或甲方认为其违约情节特别恶劣的，甲方有权单方面部分解除合同或解除合同。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（6）赔偿损失。</w:t>
      </w:r>
      <w:r>
        <w:rPr>
          <w:rFonts w:ascii="宋体" w:hAnsi="宋体" w:cs="宋体"/>
          <w:color w:val="auto"/>
          <w:sz w:val="24"/>
          <w:szCs w:val="24"/>
          <w:highlight w:val="none"/>
        </w:rPr>
        <w:t>因</w:t>
      </w:r>
      <w:r>
        <w:rPr>
          <w:rFonts w:hint="eastAsia" w:ascii="宋体" w:hAnsi="宋体" w:cs="宋体"/>
          <w:color w:val="auto"/>
          <w:sz w:val="24"/>
          <w:szCs w:val="24"/>
          <w:highlight w:val="none"/>
        </w:rPr>
        <w:t>乙方违约或工作失误给甲方造成</w:t>
      </w:r>
      <w:r>
        <w:rPr>
          <w:rFonts w:ascii="宋体" w:hAnsi="宋体" w:cs="宋体"/>
          <w:color w:val="auto"/>
          <w:sz w:val="24"/>
          <w:szCs w:val="24"/>
          <w:highlight w:val="none"/>
        </w:rPr>
        <w:t>损失</w:t>
      </w:r>
      <w:r>
        <w:rPr>
          <w:rFonts w:hint="eastAsia" w:ascii="宋体" w:hAnsi="宋体" w:cs="宋体"/>
          <w:color w:val="auto"/>
          <w:sz w:val="24"/>
          <w:szCs w:val="24"/>
          <w:highlight w:val="none"/>
        </w:rPr>
        <w:t>的</w:t>
      </w:r>
      <w:r>
        <w:rPr>
          <w:rFonts w:ascii="宋体" w:hAnsi="宋体" w:cs="宋体"/>
          <w:color w:val="auto"/>
          <w:sz w:val="24"/>
          <w:szCs w:val="24"/>
          <w:highlight w:val="none"/>
        </w:rPr>
        <w:t>，</w:t>
      </w:r>
      <w:r>
        <w:rPr>
          <w:rFonts w:hint="eastAsia" w:ascii="宋体" w:hAnsi="宋体" w:cs="宋体"/>
          <w:color w:val="auto"/>
          <w:sz w:val="24"/>
          <w:szCs w:val="24"/>
          <w:highlight w:val="none"/>
        </w:rPr>
        <w:t>乙方应向甲方赔偿与违约有直接或间接因果关系的所有损失，但</w:t>
      </w:r>
      <w:r>
        <w:rPr>
          <w:rFonts w:ascii="宋体" w:hAnsi="宋体" w:cs="宋体"/>
          <w:color w:val="auto"/>
          <w:sz w:val="24"/>
          <w:szCs w:val="24"/>
          <w:highlight w:val="none"/>
        </w:rPr>
        <w:t>赔偿总额不应超过</w:t>
      </w:r>
      <w:r>
        <w:rPr>
          <w:rFonts w:hint="eastAsia" w:ascii="宋体" w:hAnsi="宋体" w:cs="宋体"/>
          <w:color w:val="auto"/>
          <w:sz w:val="24"/>
          <w:szCs w:val="24"/>
          <w:highlight w:val="none"/>
        </w:rPr>
        <w:t>服务报酬总额。如果损失是由于乙方故意或严重渎职造成的，乙方应全额赔偿由此给甲方所造成的损失。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8.2.2三次书面警告另行追加一次一般违约责任，三次一般违约责任另行追加一次严重违约责任，累计三次严重违约责任，甲方有权单方面部分解除合同或解除合同。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8.2.3乙方违约需向甲方支付违约金或赔偿金时，违约金和赔偿金应分别计算，甲方有权从应支付给乙方的服务报酬中直接扣除，结算时不予退还，乙方不得有任何异议。同时，甲方保留进一步依法追究乙方有关责任的权利，如：视情况决定将乙方的违约行为通报有关政府主管部门，提起诉讼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8.2.4组织管理方面的违约责任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为保证项目建设有序、规范和顺利进行，乙方必须主动支持甲方的工作，对甲方的指令和书面通知，若无正当理由又未提前报告、得到认可，而公开或变相拒不执行的，第一次按一般违约处理；第二次以后，每违反一次按一次严重违约处理；乙方同时应承担由此给甲方造成的一切经济损失。情节较轻的，可给予书面警告，情节特别严重的，甲方有权视情况单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乙方所配备的造价咨询人员不符合本合同约定的，甲方每发现一人次，有权要求乙方承担一次一般违约责任；同时乙方应在甲方规定的时间内改正，否则应另承担一次严重违约责任；同时甲方有权视情况单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乙方违反本合同约定，项目负责人不按时亲自组织造价咨询工作，未及时向甲方主管部门负责人及时汇报项目争议进展情况的，甲方每发现一次，有权要求乙方承担一次一般违约责任；乙方应在甲方规定的时间内改正，否则应另承担一次严重违约责任；如因此给甲方造成损失的，乙方应赔偿甲方的损失；同时甲方有权视情况单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乙方违反本合同约定，所配备的造价咨询人员（含驻场人员）不按甲方的作息时间在甲方指定的地点驻场办公的，第一次将向乙方发出书面警告，乙方应在甲方规定的时间内改正，第二次以后，每违反一次按一次一般违约处理；同时甲方有权视情况单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（5）乙方违反本合同约定，未经甲方书面同意擅自更换造价咨询人员的，甲方有权发出书面警告，乙方应在甲方规定的时间内改正，否则应承担一次严重违约责任；同时甲方有权方面部分解除合同或解除合同。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乙方违反本合同约定，不按甲方的要求撤换不能胜任工作的造价咨询人员的，甲方有权发出书面警告，乙方应在甲方规定的时间内改正，否则应承担一次严重违约责任；同时甲方有权单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（7）甲方要求乙方有关人员必须参加的会议（含对数等），有关人员必须到会，未经甲方同意不到会或不按期到会的，甲方有权给予书面警告。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8.2.5工作进度方面的违约责任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乙方不按本合同约定的时间向甲方提交合格的造价咨询成果文件的，每延误一天，应按本合同服务报酬总额的1‰向甲方支付违约金；延误20天以上，乙方除按上述约定继续支付违约金外，甲方有权下浮10%支付服务报酬；延误30天以上，甲方有权单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乙方不按本合同约定及时收集整理有关资料以致影响甲方正常工作的，甲方有权要求乙方承担一次一般违约责任；乙方应在甲方规定的时间内改正，否则应另承担一次严重违约责任；如因此给甲方造成损失的，乙方应赔偿甲方的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（3）乙方不按本合同约定的时间向甲方提交造价咨询工作报告和符合归档要求的造价咨询成果文件的，业主单位支付服务报酬的时间相应顺延，且乙方须承担一次严重违约责任。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8.2.6服务质量方面的违约责任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（1）乙方提交的工作成果存在单项漏项或偏差金额（经核实，确属于乙方责任造成的漏项或偏差金额，</w:t>
      </w:r>
      <w:r>
        <w:rPr>
          <w:rFonts w:hint="eastAsia" w:ascii="宋体" w:hAnsi="宋体" w:cs="宋体"/>
          <w:color w:val="auto"/>
          <w:sz w:val="24"/>
          <w:szCs w:val="24"/>
          <w:highlight w:val="none"/>
          <w:lang w:val="en-US" w:eastAsia="zh-CN"/>
        </w:rPr>
        <w:t>且偏差率超出“</w:t>
      </w:r>
      <w:r>
        <w:rPr>
          <w:rFonts w:hint="eastAsia" w:ascii="宋体" w:hAnsi="宋体" w:cs="宋体"/>
          <w:color w:val="auto"/>
          <w:sz w:val="24"/>
          <w:szCs w:val="24"/>
          <w:highlight w:val="none"/>
        </w:rPr>
        <w:t>4.2服务质量要求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允许的范围时</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下同）＜100万元的，按以下约定处理：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漏项或偏差金额累计达到100万元以上且不超过500万元时，甲方即有权要求乙方承担一次一般违约责任；最终确认漏项或偏差累计金额达到500万元以上的，甲方有权要求乙方另行承担一次严重违约责任。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（2）乙方提交的工作成果存在单项漏项或偏差金额≥100万元的，每发现一次，甲方有权要求乙方承担一次严重违约责任。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乙方因承担本款违约责任支付的违约金总额累计不应超过本合同服务报酬暂定总额的50%。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经查实乙方违反本合同约定或者由于乙方的其它原因，致使甲方被投诉的，甲方视情节严重程度有权要求乙方承担一次一般违约或以上的违约责任并下浮10%支付服务报酬。因此致使中标无效需要重新组织招标的，重新组织招标所需要的费用全部由乙方承担。同时，甲方有权单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乙方未按约定向有关部门提交全部招标控制价备案文件，或有其他未妥善办理招标工程量清单或招标控制价相关手续的情形，致使开标时间延误的，每延误一天，应按本合同服务报酬总额的1‰向甲方支付违约金；延误20天以上，乙方除按上述约定继续支付违约金外，甲方有权下浮10%支付服务报酬；延误30天以上，甲方有权单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（5）乙方对本合同约定有关工作事项故意拖延或者不作出明确处理意见的，每发生一次，乙方须承担一次一般违约责任。若因此给甲方造成损失的，乙方应赔偿甲方的全部损失。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（6）由于乙方原因，致使本合同项目在施工阶段中发生三类变更的，甲方有权要求乙方承担一次一般违约责任；发生二类变更的，乙方除应承担一次严重违约责任外</w:t>
      </w:r>
      <w:r>
        <w:rPr>
          <w:rFonts w:hint="eastAsia" w:ascii="宋体" w:hAnsi="宋体" w:cs="宋体"/>
          <w:bCs/>
          <w:snapToGrid w:val="0"/>
          <w:color w:val="auto"/>
          <w:kern w:val="0"/>
          <w:sz w:val="24"/>
          <w:szCs w:val="28"/>
          <w:highlight w:val="none"/>
        </w:rPr>
        <w:t>，还应向甲方赔偿相应的损失</w:t>
      </w:r>
      <w:r>
        <w:rPr>
          <w:rFonts w:hint="eastAsia" w:ascii="宋体" w:hAnsi="宋体" w:cs="宋体"/>
          <w:color w:val="auto"/>
          <w:sz w:val="24"/>
          <w:szCs w:val="24"/>
          <w:highlight w:val="none"/>
        </w:rPr>
        <w:t>；发生一类变更的，甲方有权下浮10%支付服务报酬，且乙方应向甲方赔偿相应的损失，同时，甲方有权单方面部分解除合同或解除合同。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（7）竣工结算总金额超出实际实施范围所对应的批复概算金额，甲方有权下浮10%支付服务报酬，同时，甲方有权单方面部分解除合同或解除合同。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8.2.7工作纪律方面的违约责任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（1）对于异常情况，乙方不如实或不及时上报甲方甚至隐瞒不报的，一经核实，乙方须承担一次严重违约责任。若因此给甲方造成损失的，乙方应赔偿甲方的全部损失。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2）乙方违反本合同约定，接受了与本合同工程建设项目有关的咨询业务，甲方有权单方面部分解除合同或解除合同；同时，甲方将如实通报政府有关部门，由政府有关部门对其进行处罚。若因此给甲方造成损失，乙方应赔偿甲方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3）乙方违反本合同约定或法律规定，向第三方泄露与本合同工程有关的任何招投标资料和情况的，一经核实，甲方有权单方面部分解除合同或解除合同；同时，甲方将如实通报政府有关部门，由政府有关部门对其进行处罚。若因此给甲方造成损失，乙方应赔偿甲方的全部损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4）如发生任何对乙方的投诉情况，经查属实，甲方有权根据情节轻重要求乙方承担一次严重违约责任并且甲方有权下浮10%支付服务报酬。同时，甲方将视情况决定将乙方的违约行为通报有关政府主管部门。如因对乙方的投诉最终导致甲方被投诉的，同时按照</w:t>
      </w:r>
      <w:r>
        <w:rPr>
          <w:rFonts w:hint="eastAsia" w:ascii="宋体" w:hAnsi="宋体" w:cs="宋体"/>
          <w:bCs/>
          <w:snapToGrid w:val="0"/>
          <w:color w:val="auto"/>
          <w:sz w:val="24"/>
          <w:szCs w:val="24"/>
          <w:highlight w:val="none"/>
        </w:rPr>
        <w:t>本合同条款第</w:t>
      </w:r>
      <w:r>
        <w:rPr>
          <w:rFonts w:hint="eastAsia" w:ascii="宋体" w:hAnsi="宋体" w:cs="宋体"/>
          <w:color w:val="auto"/>
          <w:sz w:val="24"/>
          <w:szCs w:val="24"/>
          <w:highlight w:val="none"/>
        </w:rPr>
        <w:t>8.2.6－（3）款执行。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（5）乙方通过提供虚假信息，误导或欺骗等方式，谋取非法利益的；乙方未经甲方书面同意擅自将受托项目转委托给第三方的，每次均须承担严重违约责任一次。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（6）乙方违反回避制度的；乙方拒绝接受甲方跟踪核查的；乙方不按要求保管甲方提供的相关资料的，每次均须承担一般违约责任一次。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（7）乙方违反保密义务，每次均须承担严重违约责任一次，并承担其它相应的法律责任。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8.2.8乙方在项目工作质量考评中合格，但分数低于65分且有单项得分低于合格基准分的，甲方有权下浮10%支付造价咨询服务报酬，并要求乙方对相应单项进行整改，乙方必须无条件接受。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8.2.9乙方向甲方提出的赔偿要求不能成立时，则应补偿由于该赔偿或其他要求所导致甲方的各种费用的支出。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8.2.10在本合同有效期内，乙方的单位名称变更的，应及时以书面形式通知甲方；乙方法定代表人变更的，应在变更后15日内向甲方提交新法定代表人的职务、职称、联系电话、通信地址等信息。否则视为乙方违约，乙方应当承担一次一般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8.2.11除上述约定之外，乙方不履行或不完全履行合同其他义务的，均构成违约，应当承担一次一般违约责任。情节较轻的，可给予书面警告；情节较重的，应当承担一次严重违约责任。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8.2.12乙方违约责任的认定方式：以甲方发出的通知、通报、会议纪要等书面文件确定的内容为准。</w:t>
      </w:r>
    </w:p>
    <w:p>
      <w:pPr>
        <w:widowControl/>
        <w:spacing w:line="360" w:lineRule="auto"/>
        <w:ind w:left="0" w:leftChars="0" w:firstLine="0" w:firstLineChars="0"/>
        <w:jc w:val="left"/>
        <w:outlineLvl w:val="1"/>
        <w:rPr>
          <w:rFonts w:hint="eastAsia" w:ascii="宋体" w:hAnsi="宋体" w:cs="宋体"/>
          <w:b/>
          <w:bCs/>
          <w:color w:val="auto"/>
          <w:sz w:val="24"/>
          <w:szCs w:val="24"/>
          <w:highlight w:val="none"/>
        </w:rPr>
      </w:pPr>
      <w:bookmarkStart w:id="44" w:name="_Toc26934"/>
      <w:bookmarkStart w:id="45" w:name="_Toc24094"/>
      <w:r>
        <w:rPr>
          <w:rFonts w:hint="eastAsia" w:ascii="宋体" w:hAnsi="宋体" w:cs="宋体"/>
          <w:b/>
          <w:bCs/>
          <w:color w:val="auto"/>
          <w:sz w:val="24"/>
          <w:szCs w:val="24"/>
          <w:highlight w:val="none"/>
        </w:rPr>
        <w:t>九、合同变更与终止</w:t>
      </w:r>
      <w:bookmarkEnd w:id="44"/>
      <w:bookmarkEnd w:id="4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9.1由于甲方或第三人的原因使乙方工作受到阻碍或延误以致增加了工作量或持续时间，则乙方应当将此情况与可能产生的影响及时书面通知甲方，完成建设工程造价咨询工作的时间应当相应延长</w:t>
      </w:r>
      <w:r>
        <w:rPr>
          <w:rFonts w:hint="eastAsia" w:ascii="宋体" w:hAnsi="宋体" w:cs="宋体"/>
          <w:color w:val="auto"/>
          <w:sz w:val="24"/>
          <w:szCs w:val="24"/>
          <w:highlight w:val="none"/>
        </w:rPr>
        <w:t>，乙方服务报酬不变</w:t>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9.2当事人一方要求变更或解除合同时，应当至少提前14天通知对方；因变更或解除合同使一方遭受损失的，应由责任方负责赔偿。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color w:val="auto"/>
          <w:sz w:val="24"/>
          <w:szCs w:val="24"/>
          <w:highlight w:val="none"/>
        </w:rPr>
        <w:t>9.3本合同履行期间，如遇不可抗力，致使合同无法履行的，双方应按有关法律规定及时协商处理。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s="宋体"/>
          <w:bCs/>
          <w:snapToGrid w:val="0"/>
          <w:color w:val="auto"/>
          <w:kern w:val="0"/>
          <w:sz w:val="24"/>
          <w:szCs w:val="28"/>
          <w:highlight w:val="none"/>
        </w:rPr>
        <w:t>不可抗力，是指不能预见、不能避免并不能克服、对本合同的约定工作造成实质性影响的自然灾害和战争、动乱（不包括乙方内部的任何纠纷和纷争）等社会事件。</w:t>
      </w:r>
      <w:r>
        <w:rPr>
          <w:rFonts w:hint="eastAsia" w:ascii="宋体" w:hAnsi="宋体" w:cs="宋体"/>
          <w:bCs/>
          <w:snapToGrid w:val="0"/>
          <w:color w:val="auto"/>
          <w:kern w:val="0"/>
          <w:sz w:val="24"/>
          <w:szCs w:val="24"/>
          <w:highlight w:val="none"/>
        </w:rPr>
        <w:t>政府关于本项目政策的重大调整或本项目建设规划方案重大功能性调整，也属不可抗力。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spacing w:val="4"/>
          <w:kern w:val="0"/>
          <w:sz w:val="24"/>
          <w:szCs w:val="24"/>
          <w:highlight w:val="none"/>
        </w:rPr>
      </w:pPr>
      <w:r>
        <w:rPr>
          <w:rFonts w:hint="eastAsia" w:ascii="宋体" w:hAnsi="宋体" w:cs="宋体"/>
          <w:snapToGrid w:val="0"/>
          <w:color w:val="auto"/>
          <w:sz w:val="24"/>
          <w:szCs w:val="24"/>
          <w:highlight w:val="none"/>
        </w:rPr>
        <w:t>9.4变更或解除合同的通知或协议应当采取书面形式，新的协议未达成之前，原合同仍然有效。</w:t>
      </w:r>
    </w:p>
    <w:p>
      <w:pPr>
        <w:widowControl/>
        <w:spacing w:line="360" w:lineRule="auto"/>
        <w:ind w:left="0" w:leftChars="0" w:firstLine="0" w:firstLineChars="0"/>
        <w:jc w:val="left"/>
        <w:outlineLvl w:val="1"/>
        <w:rPr>
          <w:rFonts w:hint="eastAsia" w:ascii="宋体" w:hAnsi="宋体" w:cs="宋体"/>
          <w:b/>
          <w:bCs/>
          <w:color w:val="auto"/>
          <w:sz w:val="24"/>
          <w:szCs w:val="24"/>
          <w:highlight w:val="none"/>
        </w:rPr>
      </w:pPr>
      <w:bookmarkStart w:id="46" w:name="_Toc23310"/>
      <w:bookmarkStart w:id="47" w:name="_Toc22583"/>
      <w:r>
        <w:rPr>
          <w:rFonts w:hint="eastAsia" w:ascii="宋体" w:hAnsi="宋体" w:cs="宋体"/>
          <w:b/>
          <w:bCs/>
          <w:color w:val="auto"/>
          <w:sz w:val="24"/>
          <w:szCs w:val="24"/>
          <w:highlight w:val="none"/>
        </w:rPr>
        <w:t>十、合同争议的解决</w:t>
      </w:r>
      <w:bookmarkEnd w:id="46"/>
      <w:bookmarkEnd w:id="47"/>
    </w:p>
    <w:p>
      <w:pPr>
        <w:spacing w:line="360" w:lineRule="auto"/>
        <w:ind w:left="0" w:leftChars="0" w:firstLine="480" w:firstLineChars="20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lang w:eastAsia="zh-CN"/>
        </w:rPr>
        <w:t>1</w:t>
      </w:r>
      <w:r>
        <w:rPr>
          <w:rFonts w:hint="eastAsia" w:ascii="宋体" w:hAnsi="宋体" w:cs="宋体"/>
          <w:snapToGrid w:val="0"/>
          <w:color w:val="auto"/>
          <w:sz w:val="24"/>
          <w:szCs w:val="24"/>
          <w:highlight w:val="none"/>
          <w:lang w:val="en-US" w:eastAsia="zh-CN"/>
        </w:rPr>
        <w:t>0</w:t>
      </w:r>
      <w:r>
        <w:rPr>
          <w:rFonts w:hint="eastAsia" w:ascii="宋体" w:hAnsi="宋体" w:cs="宋体"/>
          <w:snapToGrid w:val="0"/>
          <w:color w:val="auto"/>
          <w:sz w:val="24"/>
          <w:szCs w:val="24"/>
          <w:highlight w:val="none"/>
        </w:rPr>
        <w:t>.1凡因履行本合同而引起的一切争议或与本合同有关的争议，应由甲乙双方通过友好协商解决。协商不成时，任何一方均有权向甲方住所地人民法院提起诉讼。</w:t>
      </w:r>
    </w:p>
    <w:p>
      <w:pPr>
        <w:spacing w:line="360" w:lineRule="auto"/>
        <w:ind w:left="0" w:leftChars="0" w:firstLine="480" w:firstLineChars="200"/>
        <w:rPr>
          <w:rFonts w:ascii="宋体" w:hAnsi="宋体" w:cs="宋体"/>
          <w:snapToGrid w:val="0"/>
          <w:color w:val="auto"/>
          <w:sz w:val="24"/>
          <w:szCs w:val="24"/>
          <w:highlight w:val="none"/>
        </w:rPr>
      </w:pPr>
      <w:r>
        <w:rPr>
          <w:rFonts w:hint="eastAsia" w:ascii="宋体" w:hAnsi="宋体" w:cs="宋体"/>
          <w:snapToGrid w:val="0"/>
          <w:color w:val="auto"/>
          <w:sz w:val="24"/>
          <w:szCs w:val="24"/>
          <w:highlight w:val="none"/>
          <w:lang w:eastAsia="zh-CN"/>
        </w:rPr>
        <w:t>1</w:t>
      </w:r>
      <w:r>
        <w:rPr>
          <w:rFonts w:hint="eastAsia" w:ascii="宋体" w:hAnsi="宋体" w:cs="宋体"/>
          <w:snapToGrid w:val="0"/>
          <w:color w:val="auto"/>
          <w:sz w:val="24"/>
          <w:szCs w:val="24"/>
          <w:highlight w:val="none"/>
          <w:lang w:val="en-US" w:eastAsia="zh-CN"/>
        </w:rPr>
        <w:t>0</w:t>
      </w:r>
      <w:r>
        <w:rPr>
          <w:rFonts w:hint="eastAsia" w:ascii="宋体" w:hAnsi="宋体" w:cs="宋体"/>
          <w:snapToGrid w:val="0"/>
          <w:color w:val="auto"/>
          <w:sz w:val="24"/>
          <w:szCs w:val="24"/>
          <w:highlight w:val="none"/>
        </w:rPr>
        <w:t>.2乙方承诺：在争议解决期间，仍将尽职尽责继续完成甲方所委托的工作，否则甲方有权先行单方面解除本合同；如甲方决定先行单方面解除本合同的，乙方立即无条件服从并将有关资料无偿移交甲方。</w:t>
      </w:r>
    </w:p>
    <w:p>
      <w:pPr>
        <w:widowControl/>
        <w:spacing w:line="360" w:lineRule="auto"/>
        <w:ind w:left="0" w:leftChars="0" w:firstLine="0" w:firstLineChars="0"/>
        <w:jc w:val="left"/>
        <w:outlineLvl w:val="1"/>
        <w:rPr>
          <w:rFonts w:hint="eastAsia" w:ascii="宋体" w:hAnsi="宋体" w:cs="宋体"/>
          <w:b/>
          <w:bCs/>
          <w:color w:val="auto"/>
          <w:sz w:val="24"/>
          <w:szCs w:val="24"/>
          <w:highlight w:val="none"/>
        </w:rPr>
      </w:pPr>
      <w:bookmarkStart w:id="48" w:name="_Toc23281"/>
      <w:bookmarkStart w:id="49" w:name="_Toc8367"/>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val="en-US" w:eastAsia="zh-CN"/>
        </w:rPr>
        <w:t>一</w:t>
      </w:r>
      <w:r>
        <w:rPr>
          <w:rFonts w:hint="eastAsia" w:ascii="宋体" w:hAnsi="宋体" w:cs="宋体"/>
          <w:b/>
          <w:bCs/>
          <w:color w:val="auto"/>
          <w:sz w:val="24"/>
          <w:szCs w:val="24"/>
          <w:highlight w:val="none"/>
        </w:rPr>
        <w:t>、其它</w:t>
      </w:r>
      <w:bookmarkEnd w:id="48"/>
      <w:bookmarkEnd w:id="49"/>
    </w:p>
    <w:p>
      <w:pPr>
        <w:spacing w:line="360" w:lineRule="auto"/>
        <w:ind w:left="0" w:leftChars="0" w:firstLine="482" w:firstLineChars="200"/>
        <w:rPr>
          <w:rFonts w:ascii="宋体" w:hAnsi="宋体"/>
          <w:b/>
          <w:snapToGrid w:val="0"/>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.1</w:t>
      </w:r>
      <w:r>
        <w:rPr>
          <w:rFonts w:hint="eastAsia" w:ascii="宋体" w:hAnsi="宋体"/>
          <w:b/>
          <w:snapToGrid w:val="0"/>
          <w:color w:val="auto"/>
          <w:sz w:val="24"/>
          <w:szCs w:val="24"/>
          <w:highlight w:val="none"/>
        </w:rPr>
        <w:t>补充条款</w:t>
      </w:r>
    </w:p>
    <w:p>
      <w:pPr>
        <w:spacing w:line="360" w:lineRule="auto"/>
        <w:ind w:left="0" w:leftChars="0" w:firstLine="480" w:firstLineChars="200"/>
        <w:rPr>
          <w:rFonts w:ascii="宋体" w:hAnsi="宋体"/>
          <w:snapToGrid w:val="0"/>
          <w:color w:val="auto"/>
          <w:sz w:val="24"/>
          <w:szCs w:val="24"/>
          <w:highlight w:val="none"/>
        </w:rPr>
      </w:pPr>
      <w:r>
        <w:rPr>
          <w:rFonts w:hint="eastAsia"/>
          <w:color w:val="auto"/>
          <w:sz w:val="24"/>
          <w:szCs w:val="24"/>
          <w:highlight w:val="none"/>
        </w:rPr>
        <w:t>乙方承诺严格按照合同约定履行义务，并同意甲方将其履行合同、招投标文件义务的履约情况和不诚信行为（包括但不限于由甲方组织的考核、考评通报、作出的违约责任处理决定等）在甲方网站和建设项目业主网站及其他媒体上公开披露，由此造成的一切损失和不利后果均由乙方自行承担。</w:t>
      </w:r>
    </w:p>
    <w:p>
      <w:pPr>
        <w:spacing w:line="360" w:lineRule="auto"/>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.2知识产权</w:t>
      </w:r>
    </w:p>
    <w:p>
      <w:pPr>
        <w:spacing w:line="360" w:lineRule="auto"/>
        <w:ind w:left="0" w:leftChars="0" w:firstLine="480" w:firstLineChars="200"/>
        <w:rPr>
          <w:rFonts w:ascii="宋体" w:hAnsi="宋体"/>
          <w:snapToGrid w:val="0"/>
          <w:color w:val="auto"/>
          <w:sz w:val="24"/>
          <w:szCs w:val="24"/>
          <w:highlight w:val="none"/>
        </w:rPr>
      </w:pPr>
      <w:r>
        <w:rPr>
          <w:rFonts w:hint="eastAsia" w:ascii="宋体" w:hAnsi="宋体"/>
          <w:snapToGrid w:val="0"/>
          <w:color w:val="auto"/>
          <w:sz w:val="24"/>
          <w:szCs w:val="24"/>
          <w:highlight w:val="none"/>
        </w:rPr>
        <w:t>乙方应保证在造价咨询服务中所编制的文件不侵犯他人合法权益。乙方为本合同约定项目提供造价咨询服务编制的所有文件的知识产权应属甲方专有。</w:t>
      </w:r>
    </w:p>
    <w:p>
      <w:pPr>
        <w:spacing w:line="360" w:lineRule="auto"/>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eastAsia="zh-CN"/>
        </w:rPr>
        <w:t>1</w:t>
      </w:r>
      <w:r>
        <w:rPr>
          <w:rFonts w:hint="eastAsia" w:ascii="宋体" w:hAnsi="宋体"/>
          <w:b/>
          <w:bCs/>
          <w:color w:val="auto"/>
          <w:sz w:val="24"/>
          <w:szCs w:val="24"/>
          <w:highlight w:val="none"/>
          <w:lang w:val="en-US" w:eastAsia="zh-CN"/>
        </w:rPr>
        <w:t>1</w:t>
      </w:r>
      <w:r>
        <w:rPr>
          <w:rFonts w:hint="eastAsia" w:ascii="宋体" w:hAnsi="宋体"/>
          <w:b/>
          <w:bCs/>
          <w:color w:val="auto"/>
          <w:sz w:val="24"/>
          <w:szCs w:val="24"/>
          <w:highlight w:val="none"/>
        </w:rPr>
        <w:t>.3回避</w:t>
      </w:r>
    </w:p>
    <w:p>
      <w:pPr>
        <w:spacing w:line="360" w:lineRule="auto"/>
        <w:ind w:left="0" w:leftChars="0" w:firstLine="480" w:firstLineChars="200"/>
        <w:rPr>
          <w:rFonts w:ascii="宋体" w:hAnsi="宋体"/>
          <w:snapToGrid w:val="0"/>
          <w:color w:val="auto"/>
          <w:sz w:val="24"/>
          <w:szCs w:val="24"/>
          <w:highlight w:val="none"/>
        </w:rPr>
      </w:pPr>
      <w:r>
        <w:rPr>
          <w:rFonts w:hint="eastAsia" w:ascii="宋体" w:hAnsi="宋体"/>
          <w:color w:val="auto"/>
          <w:sz w:val="24"/>
          <w:szCs w:val="24"/>
          <w:highlight w:val="none"/>
        </w:rPr>
        <w:t>乙方</w:t>
      </w:r>
      <w:r>
        <w:rPr>
          <w:rFonts w:ascii="宋体" w:hAnsi="宋体"/>
          <w:color w:val="auto"/>
          <w:sz w:val="24"/>
          <w:szCs w:val="24"/>
          <w:highlight w:val="none"/>
        </w:rPr>
        <w:t>不得再接受除</w:t>
      </w:r>
      <w:r>
        <w:rPr>
          <w:rFonts w:hint="eastAsia" w:ascii="宋体" w:hAnsi="宋体"/>
          <w:color w:val="auto"/>
          <w:sz w:val="24"/>
          <w:szCs w:val="24"/>
          <w:highlight w:val="none"/>
        </w:rPr>
        <w:t>甲方</w:t>
      </w:r>
      <w:r>
        <w:rPr>
          <w:rFonts w:ascii="宋体" w:hAnsi="宋体"/>
          <w:color w:val="auto"/>
          <w:sz w:val="24"/>
          <w:szCs w:val="24"/>
          <w:highlight w:val="none"/>
        </w:rPr>
        <w:t>外的其他委托人对</w:t>
      </w:r>
      <w:r>
        <w:rPr>
          <w:rFonts w:hint="eastAsia" w:ascii="宋体" w:hAnsi="宋体"/>
          <w:color w:val="auto"/>
          <w:sz w:val="24"/>
          <w:szCs w:val="24"/>
          <w:highlight w:val="none"/>
        </w:rPr>
        <w:t>本</w:t>
      </w:r>
      <w:r>
        <w:rPr>
          <w:rFonts w:ascii="宋体" w:hAnsi="宋体"/>
          <w:color w:val="auto"/>
          <w:sz w:val="24"/>
          <w:szCs w:val="24"/>
          <w:highlight w:val="none"/>
        </w:rPr>
        <w:t>项目的服务委托，即不能就</w:t>
      </w:r>
      <w:r>
        <w:rPr>
          <w:rFonts w:hint="eastAsia" w:ascii="宋体" w:hAnsi="宋体"/>
          <w:color w:val="auto"/>
          <w:sz w:val="24"/>
          <w:szCs w:val="24"/>
          <w:highlight w:val="none"/>
        </w:rPr>
        <w:t>本</w:t>
      </w:r>
      <w:r>
        <w:rPr>
          <w:rFonts w:ascii="宋体" w:hAnsi="宋体"/>
          <w:color w:val="auto"/>
          <w:sz w:val="24"/>
          <w:szCs w:val="24"/>
          <w:highlight w:val="none"/>
        </w:rPr>
        <w:t>项目既接受</w:t>
      </w:r>
      <w:r>
        <w:rPr>
          <w:rFonts w:hint="eastAsia" w:ascii="宋体" w:hAnsi="宋体"/>
          <w:color w:val="auto"/>
          <w:sz w:val="24"/>
          <w:szCs w:val="24"/>
          <w:highlight w:val="none"/>
        </w:rPr>
        <w:t>甲方</w:t>
      </w:r>
      <w:r>
        <w:rPr>
          <w:rFonts w:ascii="宋体" w:hAnsi="宋体"/>
          <w:color w:val="auto"/>
          <w:sz w:val="24"/>
          <w:szCs w:val="24"/>
          <w:highlight w:val="none"/>
        </w:rPr>
        <w:t>的委托，又接受项目投标供应商、</w:t>
      </w:r>
      <w:r>
        <w:rPr>
          <w:rFonts w:hint="eastAsia" w:ascii="宋体" w:hAnsi="宋体"/>
          <w:color w:val="auto"/>
          <w:sz w:val="24"/>
          <w:szCs w:val="24"/>
          <w:highlight w:val="none"/>
        </w:rPr>
        <w:t>施工</w:t>
      </w:r>
      <w:r>
        <w:rPr>
          <w:rFonts w:ascii="宋体" w:hAnsi="宋体"/>
          <w:color w:val="auto"/>
          <w:sz w:val="24"/>
          <w:szCs w:val="24"/>
          <w:highlight w:val="none"/>
        </w:rPr>
        <w:t>承包单位等相对利益关系人的委托</w:t>
      </w:r>
      <w:r>
        <w:rPr>
          <w:rFonts w:hint="eastAsia" w:ascii="宋体" w:hAnsi="宋体"/>
          <w:color w:val="auto"/>
          <w:sz w:val="24"/>
          <w:szCs w:val="24"/>
          <w:highlight w:val="none"/>
        </w:rPr>
        <w:t>，否则甲方有权解除本合同并按合同条款第8.2款的约定追究乙方的违约责任。</w:t>
      </w:r>
    </w:p>
    <w:p>
      <w:pPr>
        <w:widowControl/>
        <w:spacing w:line="360" w:lineRule="auto"/>
        <w:ind w:left="0" w:leftChars="0" w:firstLine="0" w:firstLineChars="0"/>
        <w:jc w:val="left"/>
        <w:outlineLvl w:val="1"/>
        <w:rPr>
          <w:rFonts w:hint="eastAsia" w:ascii="宋体" w:hAnsi="宋体" w:cs="宋体"/>
          <w:b/>
          <w:bCs/>
          <w:color w:val="auto"/>
          <w:sz w:val="24"/>
          <w:szCs w:val="24"/>
          <w:highlight w:val="none"/>
        </w:rPr>
      </w:pPr>
      <w:bookmarkStart w:id="50" w:name="_Toc6702"/>
      <w:bookmarkStart w:id="51" w:name="_Toc29662"/>
      <w:r>
        <w:rPr>
          <w:rFonts w:hint="eastAsia" w:ascii="宋体" w:hAnsi="宋体" w:cs="宋体"/>
          <w:b/>
          <w:bCs/>
          <w:color w:val="auto"/>
          <w:sz w:val="24"/>
          <w:szCs w:val="24"/>
          <w:highlight w:val="none"/>
        </w:rPr>
        <w:t>十</w:t>
      </w:r>
      <w:r>
        <w:rPr>
          <w:rFonts w:hint="eastAsia" w:ascii="宋体" w:hAnsi="宋体" w:cs="宋体"/>
          <w:b/>
          <w:bCs/>
          <w:color w:val="auto"/>
          <w:sz w:val="24"/>
          <w:szCs w:val="24"/>
          <w:highlight w:val="none"/>
          <w:lang w:val="en-US" w:eastAsia="zh-CN"/>
        </w:rPr>
        <w:t>二</w:t>
      </w:r>
      <w:r>
        <w:rPr>
          <w:rFonts w:hint="eastAsia" w:ascii="宋体" w:hAnsi="宋体" w:cs="宋体"/>
          <w:b/>
          <w:bCs/>
          <w:color w:val="auto"/>
          <w:sz w:val="24"/>
          <w:szCs w:val="24"/>
          <w:highlight w:val="none"/>
        </w:rPr>
        <w:t>、附件</w:t>
      </w:r>
      <w:bookmarkEnd w:id="50"/>
      <w:bookmarkEnd w:id="51"/>
    </w:p>
    <w:p>
      <w:pPr>
        <w:spacing w:line="360" w:lineRule="auto"/>
        <w:ind w:firstLine="42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附件1：工程建设廉洁协议书</w:t>
      </w:r>
    </w:p>
    <w:p>
      <w:pPr>
        <w:spacing w:line="360" w:lineRule="auto"/>
        <w:ind w:firstLine="420"/>
        <w:rPr>
          <w:rFonts w:ascii="宋体" w:hAnsi="宋体" w:cs="宋体"/>
          <w:snapToGrid w:val="0"/>
          <w:color w:val="auto"/>
          <w:sz w:val="24"/>
          <w:szCs w:val="24"/>
          <w:highlight w:val="none"/>
        </w:rPr>
      </w:pPr>
      <w:r>
        <w:rPr>
          <w:rFonts w:hint="eastAsia" w:ascii="宋体" w:hAnsi="宋体" w:cs="宋体"/>
          <w:color w:val="auto"/>
          <w:kern w:val="0"/>
          <w:sz w:val="24"/>
          <w:szCs w:val="24"/>
          <w:highlight w:val="none"/>
        </w:rPr>
        <w:t>附件2：</w:t>
      </w:r>
      <w:r>
        <w:rPr>
          <w:rFonts w:hint="eastAsia" w:ascii="宋体" w:hAnsi="宋体" w:cs="宋体"/>
          <w:snapToGrid w:val="0"/>
          <w:color w:val="auto"/>
          <w:sz w:val="24"/>
          <w:szCs w:val="24"/>
          <w:highlight w:val="none"/>
        </w:rPr>
        <w:t>中标通知书</w:t>
      </w:r>
    </w:p>
    <w:p>
      <w:pPr>
        <w:spacing w:line="360" w:lineRule="auto"/>
        <w:ind w:firstLine="420"/>
        <w:rPr>
          <w:rFonts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附件</w:t>
      </w:r>
      <w:r>
        <w:rPr>
          <w:rFonts w:hint="eastAsia" w:ascii="宋体" w:hAnsi="宋体" w:cs="宋体"/>
          <w:snapToGrid w:val="0"/>
          <w:color w:val="auto"/>
          <w:kern w:val="0"/>
          <w:sz w:val="24"/>
          <w:szCs w:val="24"/>
          <w:highlight w:val="none"/>
          <w:lang w:eastAsia="zh-CN"/>
        </w:rPr>
        <w:t>3</w:t>
      </w:r>
      <w:r>
        <w:rPr>
          <w:rFonts w:hint="eastAsia" w:ascii="宋体" w:hAnsi="宋体" w:cs="宋体"/>
          <w:snapToGrid w:val="0"/>
          <w:color w:val="auto"/>
          <w:kern w:val="0"/>
          <w:sz w:val="24"/>
          <w:szCs w:val="24"/>
          <w:highlight w:val="none"/>
        </w:rPr>
        <w:t>：</w:t>
      </w:r>
      <w:r>
        <w:rPr>
          <w:rFonts w:hint="eastAsia" w:ascii="宋体" w:hAnsi="宋体" w:cs="宋体"/>
          <w:color w:val="auto"/>
          <w:kern w:val="0"/>
          <w:sz w:val="24"/>
          <w:szCs w:val="24"/>
          <w:highlight w:val="none"/>
        </w:rPr>
        <w:t>拟投入本项目造价人员一览表</w:t>
      </w:r>
    </w:p>
    <w:p>
      <w:pPr>
        <w:spacing w:line="360" w:lineRule="auto"/>
        <w:ind w:firstLine="42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w:t>
      </w:r>
      <w:r>
        <w:rPr>
          <w:rFonts w:hint="eastAsia" w:ascii="宋体" w:hAnsi="宋体" w:cs="宋体"/>
          <w:snapToGrid w:val="0"/>
          <w:color w:val="auto"/>
          <w:kern w:val="0"/>
          <w:sz w:val="24"/>
          <w:szCs w:val="24"/>
          <w:highlight w:val="none"/>
          <w:lang w:eastAsia="zh-CN"/>
        </w:rPr>
        <w:t>4</w:t>
      </w:r>
      <w:r>
        <w:rPr>
          <w:rFonts w:hint="eastAsia" w:ascii="宋体" w:hAnsi="宋体" w:cs="宋体"/>
          <w:snapToGrid w:val="0"/>
          <w:color w:val="auto"/>
          <w:kern w:val="0"/>
          <w:sz w:val="24"/>
          <w:szCs w:val="24"/>
          <w:highlight w:val="none"/>
        </w:rPr>
        <w:t>：投标函及投标函附录</w:t>
      </w:r>
    </w:p>
    <w:p>
      <w:pPr>
        <w:widowControl/>
        <w:spacing w:line="360" w:lineRule="auto"/>
        <w:ind w:firstLine="420" w:firstLineChars="0"/>
        <w:contextualSpacing w:val="0"/>
        <w:jc w:val="left"/>
        <w:rPr>
          <w:rFonts w:hint="eastAsia"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附件</w:t>
      </w:r>
      <w:r>
        <w:rPr>
          <w:rFonts w:hint="eastAsia" w:ascii="宋体" w:hAnsi="宋体" w:cs="宋体"/>
          <w:snapToGrid/>
          <w:color w:val="auto"/>
          <w:kern w:val="0"/>
          <w:sz w:val="24"/>
          <w:szCs w:val="24"/>
          <w:highlight w:val="none"/>
          <w:lang w:val="en-US" w:eastAsia="zh-CN"/>
        </w:rPr>
        <w:t>5</w:t>
      </w:r>
      <w:r>
        <w:rPr>
          <w:rFonts w:hint="eastAsia" w:ascii="宋体" w:hAnsi="宋体" w:cs="宋体"/>
          <w:snapToGrid w:val="0"/>
          <w:color w:val="auto"/>
          <w:kern w:val="0"/>
          <w:sz w:val="24"/>
          <w:szCs w:val="24"/>
          <w:highlight w:val="none"/>
        </w:rPr>
        <w:t>：乙方营业执照</w:t>
      </w:r>
    </w:p>
    <w:p>
      <w:pPr>
        <w:spacing w:line="360" w:lineRule="auto"/>
        <w:ind w:firstLine="420"/>
        <w:rPr>
          <w:rFonts w:hint="eastAsia" w:ascii="宋体" w:hAnsi="宋体" w:cs="宋体"/>
          <w:snapToGrid/>
          <w:color w:val="auto"/>
          <w:kern w:val="0"/>
          <w:sz w:val="24"/>
          <w:szCs w:val="24"/>
          <w:highlight w:val="none"/>
        </w:rPr>
      </w:pPr>
      <w:r>
        <w:rPr>
          <w:rFonts w:hint="eastAsia" w:ascii="宋体" w:hAnsi="宋体" w:cs="宋体"/>
          <w:snapToGrid/>
          <w:color w:val="auto"/>
          <w:kern w:val="0"/>
          <w:sz w:val="24"/>
          <w:szCs w:val="24"/>
          <w:highlight w:val="none"/>
        </w:rPr>
        <w:t>附件</w:t>
      </w:r>
      <w:r>
        <w:rPr>
          <w:rFonts w:hint="eastAsia" w:ascii="宋体" w:hAnsi="宋体" w:cs="宋体"/>
          <w:snapToGrid/>
          <w:color w:val="auto"/>
          <w:kern w:val="0"/>
          <w:sz w:val="24"/>
          <w:szCs w:val="24"/>
          <w:highlight w:val="none"/>
          <w:lang w:val="en-US" w:eastAsia="zh-CN"/>
        </w:rPr>
        <w:t>6</w:t>
      </w:r>
      <w:r>
        <w:rPr>
          <w:rFonts w:hint="eastAsia" w:ascii="宋体" w:hAnsi="宋体" w:cs="宋体"/>
          <w:snapToGrid/>
          <w:color w:val="auto"/>
          <w:kern w:val="0"/>
          <w:sz w:val="24"/>
          <w:szCs w:val="24"/>
          <w:highlight w:val="none"/>
        </w:rPr>
        <w:t>：造价咨询服务考核评分表</w:t>
      </w:r>
    </w:p>
    <w:p>
      <w:pPr>
        <w:widowControl/>
        <w:spacing w:line="360" w:lineRule="auto"/>
        <w:ind w:firstLine="240" w:firstLineChars="100"/>
        <w:contextualSpacing/>
        <w:jc w:val="left"/>
        <w:outlineLvl w:val="0"/>
        <w:rPr>
          <w:rFonts w:ascii="宋体" w:hAnsi="宋体" w:cs="宋体"/>
          <w:snapToGrid w:val="0"/>
          <w:color w:val="auto"/>
          <w:sz w:val="24"/>
          <w:szCs w:val="24"/>
          <w:highlight w:val="none"/>
        </w:rPr>
      </w:pPr>
      <w:bookmarkStart w:id="52" w:name="_Toc4923"/>
      <w:bookmarkStart w:id="53" w:name="_Toc2233"/>
      <w:r>
        <w:rPr>
          <w:rFonts w:hint="eastAsia" w:ascii="宋体" w:hAnsi="宋体" w:cs="宋体"/>
          <w:snapToGrid w:val="0"/>
          <w:color w:val="auto"/>
          <w:sz w:val="24"/>
          <w:szCs w:val="24"/>
          <w:highlight w:val="none"/>
        </w:rPr>
        <w:t>（本页以下无正文）</w:t>
      </w:r>
      <w:r>
        <w:rPr>
          <w:rFonts w:ascii="宋体" w:hAnsi="宋体" w:cs="宋体"/>
          <w:snapToGrid w:val="0"/>
          <w:color w:val="auto"/>
          <w:sz w:val="24"/>
          <w:szCs w:val="24"/>
          <w:highlight w:val="none"/>
        </w:rPr>
        <w:br w:type="page"/>
      </w:r>
      <w:r>
        <w:rPr>
          <w:rFonts w:hint="eastAsia" w:ascii="宋体" w:hAnsi="宋体" w:cs="宋体"/>
          <w:snapToGrid w:val="0"/>
          <w:color w:val="auto"/>
          <w:sz w:val="24"/>
          <w:szCs w:val="24"/>
          <w:highlight w:val="none"/>
        </w:rPr>
        <w:t>附件1：</w:t>
      </w:r>
      <w:bookmarkEnd w:id="52"/>
      <w:bookmarkEnd w:id="53"/>
    </w:p>
    <w:p>
      <w:pPr>
        <w:widowControl/>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工程建设廉洁协议书</w:t>
      </w:r>
    </w:p>
    <w:p>
      <w:pPr>
        <w:widowControl/>
        <w:adjustRightInd w:val="0"/>
        <w:snapToGrid w:val="0"/>
        <w:spacing w:line="360" w:lineRule="auto"/>
        <w:jc w:val="left"/>
        <w:rPr>
          <w:rFonts w:ascii="宋体" w:hAnsi="宋体"/>
          <w:snapToGrid w:val="0"/>
          <w:color w:val="auto"/>
          <w:kern w:val="0"/>
          <w:szCs w:val="32"/>
          <w:highlight w:val="none"/>
        </w:rPr>
      </w:pPr>
    </w:p>
    <w:p>
      <w:pPr>
        <w:widowControl/>
        <w:adjustRightInd w:val="0"/>
        <w:snapToGrid w:val="0"/>
        <w:spacing w:line="360" w:lineRule="auto"/>
        <w:jc w:val="left"/>
        <w:rPr>
          <w:rFonts w:hint="eastAsia"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工程项目名称：</w:t>
      </w:r>
      <w:r>
        <w:rPr>
          <w:rFonts w:hint="eastAsia" w:ascii="宋体" w:hAnsi="宋体"/>
          <w:snapToGrid w:val="0"/>
          <w:color w:val="auto"/>
          <w:kern w:val="0"/>
          <w:sz w:val="24"/>
          <w:szCs w:val="24"/>
          <w:highlight w:val="none"/>
          <w:lang w:eastAsia="zh-CN"/>
        </w:rPr>
        <w:t>增城区南部水厂及配套管网建设工程全过程造价咨询</w:t>
      </w:r>
    </w:p>
    <w:p>
      <w:pPr>
        <w:widowControl/>
        <w:adjustRightInd w:val="0"/>
        <w:snapToGrid w:val="0"/>
        <w:spacing w:line="360" w:lineRule="auto"/>
        <w:jc w:val="left"/>
        <w:rPr>
          <w:rFonts w:hint="eastAsia" w:ascii="宋体" w:hAnsi="宋体" w:eastAsia="宋体"/>
          <w:snapToGrid w:val="0"/>
          <w:color w:val="auto"/>
          <w:kern w:val="0"/>
          <w:sz w:val="24"/>
          <w:szCs w:val="24"/>
          <w:highlight w:val="none"/>
          <w:u w:val="single"/>
          <w:lang w:eastAsia="zh-CN"/>
        </w:rPr>
      </w:pPr>
      <w:r>
        <w:rPr>
          <w:rFonts w:hint="eastAsia" w:ascii="宋体" w:hAnsi="宋体"/>
          <w:snapToGrid w:val="0"/>
          <w:color w:val="auto"/>
          <w:kern w:val="0"/>
          <w:sz w:val="24"/>
          <w:szCs w:val="24"/>
          <w:highlight w:val="none"/>
        </w:rPr>
        <w:t>工程项目地址：</w:t>
      </w:r>
      <w:r>
        <w:rPr>
          <w:rFonts w:hint="eastAsia" w:ascii="宋体" w:hAnsi="宋体"/>
          <w:snapToGrid w:val="0"/>
          <w:color w:val="auto"/>
          <w:kern w:val="0"/>
          <w:sz w:val="24"/>
          <w:szCs w:val="24"/>
          <w:highlight w:val="none"/>
          <w:lang w:eastAsia="zh-CN"/>
        </w:rPr>
        <w:t>广州市增城区</w:t>
      </w:r>
    </w:p>
    <w:p>
      <w:pPr>
        <w:widowControl/>
        <w:adjustRightInd w:val="0"/>
        <w:snapToGrid w:val="0"/>
        <w:spacing w:line="360" w:lineRule="auto"/>
        <w:jc w:val="left"/>
        <w:rPr>
          <w:rFonts w:hint="eastAsia" w:ascii="宋体" w:hAnsi="宋体" w:eastAsia="宋体"/>
          <w:snapToGrid w:val="0"/>
          <w:color w:val="auto"/>
          <w:kern w:val="0"/>
          <w:sz w:val="24"/>
          <w:szCs w:val="24"/>
          <w:highlight w:val="none"/>
          <w:lang w:eastAsia="zh-CN"/>
        </w:rPr>
      </w:pPr>
      <w:r>
        <w:rPr>
          <w:rFonts w:hint="eastAsia" w:ascii="宋体" w:hAnsi="宋体"/>
          <w:snapToGrid w:val="0"/>
          <w:color w:val="auto"/>
          <w:kern w:val="0"/>
          <w:sz w:val="24"/>
          <w:szCs w:val="24"/>
          <w:highlight w:val="none"/>
        </w:rPr>
        <w:t>甲方（委托人）：</w:t>
      </w:r>
      <w:r>
        <w:rPr>
          <w:rFonts w:hint="eastAsia" w:ascii="宋体" w:hAnsi="宋体"/>
          <w:snapToGrid w:val="0"/>
          <w:color w:val="auto"/>
          <w:kern w:val="0"/>
          <w:sz w:val="24"/>
          <w:szCs w:val="24"/>
          <w:highlight w:val="none"/>
          <w:lang w:eastAsia="zh-CN"/>
        </w:rPr>
        <w:t>广州增城区东进供水有限公司</w:t>
      </w:r>
    </w:p>
    <w:p>
      <w:pPr>
        <w:widowControl/>
        <w:adjustRightInd w:val="0"/>
        <w:snapToGrid w:val="0"/>
        <w:spacing w:line="360" w:lineRule="auto"/>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乙方（受托人）：</w:t>
      </w:r>
      <w:r>
        <w:rPr>
          <w:rFonts w:hint="eastAsia" w:ascii="宋体" w:hAnsi="宋体"/>
          <w:snapToGrid w:val="0"/>
          <w:color w:val="auto"/>
          <w:spacing w:val="-20"/>
          <w:kern w:val="0"/>
          <w:sz w:val="24"/>
          <w:szCs w:val="24"/>
          <w:highlight w:val="none"/>
        </w:rPr>
        <w:t xml:space="preserve"> </w:t>
      </w:r>
    </w:p>
    <w:p>
      <w:pPr>
        <w:widowControl/>
        <w:adjustRightInd w:val="0"/>
        <w:snapToGrid w:val="0"/>
        <w:spacing w:line="360" w:lineRule="auto"/>
        <w:jc w:val="left"/>
        <w:rPr>
          <w:rFonts w:ascii="宋体" w:hAnsi="宋体"/>
          <w:snapToGrid w:val="0"/>
          <w:color w:val="auto"/>
          <w:kern w:val="0"/>
          <w:sz w:val="24"/>
          <w:szCs w:val="24"/>
          <w:highlight w:val="none"/>
        </w:rPr>
      </w:pP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为切实规范甲乙双方的各项建筑活动，预防本工程违法违纪等腐败现象的发生，保障工程建设优质、安全和廉洁，根据《广州市建筑市场廉洁准入规定》及相关法律法规的规定，特订立本协议书。</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第一条 甲乙双方责任</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（一）严格遵守国家和省、市关于市场准入、项目招标投标、工程施工、工程验收、结算和市场活动等有关法律、法规，相关政策，以及廉政建设的各项约定。</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（二）严格执行建设工程项目承发包合同文件，自觉按合同办事。</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建筑活动必须坚持公开、公平、公正、诚信、透明的原则（除法律法规另有规定者外），不得为获取不正当的利益，损害国家、集体和对方利益，不得违反国家、省、市和甲方有关工程建设管理的规章制度。</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（四）发现对方在建筑活动中存在违规、违纪、违法行为的，有权向其上级主管部门或纪检监察、检察等有关机关举报。</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（五）甲乙双方单位监督部门应充分发挥各自职能作用，积极互动形成纵向监督合力，依照本协议书规定，对本工程廉洁从业情况实施监督，及时制止不廉洁行为的发生。</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第二条 甲方责任</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（一）甲方领导干部和从事该工程建设的管理人员，在建筑活动中须严格遵守以下廉洁从业规定：</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1.不准向乙方和相关单位或个人索取钱物或接受回扣、礼金、各种有价证券、信用卡和好处费、感谢费以及其它支付凭证等。</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2.不准接受可能影响公正执行公务的乙方和相关单位或个人的礼物馈赠、宴请、各种形式俱乐部会员资格、高消费娱乐活动。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3.不准在乙方和相关单位报销任何应由甲方或个人负担的费用。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4.不准要求、暗示或接受乙方和相关单位或个人为自己、配偶、子女、其他亲属朋友及身边工作人员的装修住房、婚丧嫁娶、工作安排、学习培训、经商办企业以及出国（境）、旅游、度假等支付费用。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5.不准向乙方介绍配偶、子女、其他亲属朋友及身边工作人员参与同甲方项目工程合同有关的设备、材料、工程分包、劳务等经济活动。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6.不得以任何理由向乙方和相关单位推荐分包单位和要求或暗示乙方购买项目工程合同规定外的材料、设备等。</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（二）正式开工前组织与乙方廉洁责任人见面会，进行廉洁工程建设交底，明确廉洁工程建设责任和目标任务、举报方式。</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（三）加强对质量安全、计量支付、工程变更以及工程结算等建设管理环节的监督管理，特别是各业务审批效能方面的监察检查，提高建设管理服务水平。</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（四）在工地现场设置反腐倡廉举报箱和公开举报电话，并组织开展廉政座谈、法制讲座、参观监狱等活动，加强廉洁自律教育，营造廉洁工地文化氛围，筑牢文化防腐第一道防线。</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（五）成立现场监督工作机构，不定期对工地建设管理及监督工作情况开展巡查，对发现的有关问题，及时协调给予现场解决。</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第三条 乙方责任</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（一）与甲方保持正常的业务交往，遵守以下规定：</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1.不准以任何理由向甲方人员行贿或赠送回扣、礼金、各种有价证券、信用卡和好处费、感谢费及其它支付凭证等。</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2.不准以任何理由为甲方人员组织有可能影响公正执行公务的宴请、各种形式俱乐部及高消费娱乐等活动。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3.不准以任何理由为甲方或个人报销应由对方或个人支付的费用。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4.不准暗示或要求为甲方人员及其配偶、子女、其他亲属朋友及身边工作人员的装修住房、婚丧嫁娶、工作安排、学习培训、经商办企业以及出国（境）、旅游、度假提供方便和支付费用。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5.不准介绍和安排甲方人员及其配偶、子女、其他亲属朋友及身边工作人员参与同甲方工程项目有关的设备、材料、工程分包、劳务等经济活动。</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（二）细化内部廉洁工程建设任务，分解责任，明确落实到项目部管理人员，层层签订廉洁从业责任状，形成有效的管理机制。</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（三）成立现场施工监督工作组，负责项目部廉政责任组织落实，工地廉洁文化建设以及对现场实施进行监督管理，并接受甲方监督工作机构的再监督。</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（四）按甲方要求在工地项目部设置廉洁文化教育专区，开展观看警示教育片、图片展览等教育活动，加强对员工的法律法规、廉洁和职业道德教育。</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第四条 违约责任</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（一）甲方违约责任</w:t>
      </w:r>
    </w:p>
    <w:p>
      <w:pPr>
        <w:widowControl/>
        <w:adjustRightInd w:val="0"/>
        <w:snapToGrid w:val="0"/>
        <w:spacing w:line="360" w:lineRule="auto"/>
        <w:ind w:firstLine="480" w:firstLineChars="200"/>
        <w:jc w:val="left"/>
        <w:rPr>
          <w:rFonts w:ascii="宋体" w:hAnsi="宋体"/>
          <w:bCs/>
          <w:snapToGrid w:val="0"/>
          <w:color w:val="auto"/>
          <w:kern w:val="0"/>
          <w:sz w:val="24"/>
          <w:szCs w:val="24"/>
          <w:highlight w:val="none"/>
        </w:rPr>
      </w:pPr>
      <w:r>
        <w:rPr>
          <w:rFonts w:hint="eastAsia" w:ascii="宋体" w:hAnsi="宋体"/>
          <w:snapToGrid w:val="0"/>
          <w:color w:val="auto"/>
          <w:kern w:val="0"/>
          <w:sz w:val="24"/>
          <w:szCs w:val="24"/>
          <w:highlight w:val="none"/>
        </w:rPr>
        <w:t>1.甲方</w:t>
      </w:r>
      <w:r>
        <w:rPr>
          <w:rFonts w:hint="eastAsia" w:ascii="宋体" w:hAnsi="宋体"/>
          <w:bCs/>
          <w:snapToGrid w:val="0"/>
          <w:color w:val="auto"/>
          <w:kern w:val="0"/>
          <w:sz w:val="24"/>
          <w:szCs w:val="24"/>
          <w:highlight w:val="none"/>
        </w:rPr>
        <w:t>不履行或不完全履行本协议书有关责任义务给乙方造成损失的，在乙方提交足够证据并经查证属实的情况下，甲方赔偿其直接经济损失。</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2.甲方人员出现受贿等严重违法违纪违规行为的，按照管理权限，依据有关法律法规和规定给予党纪、政纪处分或组织处理；涉嫌犯罪的，移交司法机关追究刑事责任。</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（二）乙方违约责任</w:t>
      </w:r>
    </w:p>
    <w:p>
      <w:pPr>
        <w:widowControl/>
        <w:adjustRightInd w:val="0"/>
        <w:snapToGrid w:val="0"/>
        <w:spacing w:line="360" w:lineRule="auto"/>
        <w:ind w:firstLine="480" w:firstLineChars="200"/>
        <w:jc w:val="left"/>
        <w:rPr>
          <w:rFonts w:ascii="宋体" w:hAnsi="宋体"/>
          <w:bCs/>
          <w:snapToGrid w:val="0"/>
          <w:color w:val="auto"/>
          <w:kern w:val="0"/>
          <w:sz w:val="24"/>
          <w:szCs w:val="24"/>
          <w:highlight w:val="none"/>
        </w:rPr>
      </w:pPr>
      <w:r>
        <w:rPr>
          <w:rFonts w:hint="eastAsia" w:ascii="宋体" w:hAnsi="宋体"/>
          <w:snapToGrid w:val="0"/>
          <w:color w:val="auto"/>
          <w:kern w:val="0"/>
          <w:sz w:val="24"/>
          <w:szCs w:val="24"/>
          <w:highlight w:val="none"/>
        </w:rPr>
        <w:t>1.</w:t>
      </w:r>
      <w:r>
        <w:rPr>
          <w:rFonts w:hint="eastAsia" w:ascii="宋体" w:hAnsi="宋体"/>
          <w:bCs/>
          <w:snapToGrid w:val="0"/>
          <w:color w:val="auto"/>
          <w:kern w:val="0"/>
          <w:sz w:val="24"/>
          <w:szCs w:val="24"/>
          <w:highlight w:val="none"/>
        </w:rPr>
        <w:t>乙方不履行或不完全履行本协议书有关责任义务的，</w:t>
      </w:r>
      <w:r>
        <w:rPr>
          <w:rFonts w:hint="eastAsia" w:ascii="宋体" w:hAnsi="宋体"/>
          <w:snapToGrid w:val="0"/>
          <w:color w:val="auto"/>
          <w:kern w:val="0"/>
          <w:sz w:val="24"/>
          <w:szCs w:val="24"/>
          <w:highlight w:val="none"/>
        </w:rPr>
        <w:t>按本工程合同</w:t>
      </w:r>
      <w:r>
        <w:rPr>
          <w:rFonts w:hint="eastAsia" w:ascii="宋体" w:hAnsi="宋体"/>
          <w:bCs/>
          <w:snapToGrid w:val="0"/>
          <w:color w:val="auto"/>
          <w:kern w:val="0"/>
          <w:sz w:val="24"/>
          <w:szCs w:val="24"/>
          <w:highlight w:val="none"/>
        </w:rPr>
        <w:t>规定须承担一次一般违约责任。情节较轻的，可给予书面警告；情节较重的，须承担一次严重违约责任。</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bCs/>
          <w:snapToGrid w:val="0"/>
          <w:color w:val="auto"/>
          <w:kern w:val="0"/>
          <w:sz w:val="24"/>
          <w:szCs w:val="24"/>
          <w:highlight w:val="none"/>
        </w:rPr>
        <w:t>2.乙方</w:t>
      </w:r>
      <w:r>
        <w:rPr>
          <w:rFonts w:hint="eastAsia" w:ascii="宋体" w:hAnsi="宋体"/>
          <w:snapToGrid w:val="0"/>
          <w:color w:val="auto"/>
          <w:kern w:val="0"/>
          <w:sz w:val="24"/>
          <w:szCs w:val="24"/>
          <w:highlight w:val="none"/>
        </w:rPr>
        <w:t>出现严重违法违纪违规行为的，甲方将上报市检察院或监察机关依法查处，并提请建设行政主管部门根据《广州市建筑市场廉洁准入规定》给予限制或者取消其进入广州市建筑市场从事建筑活动的资格等处罚。</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第五条 甲乙双方监管部门</w:t>
      </w:r>
    </w:p>
    <w:p>
      <w:pPr>
        <w:widowControl/>
        <w:adjustRightInd w:val="0"/>
        <w:snapToGrid w:val="0"/>
        <w:spacing w:line="400" w:lineRule="exact"/>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1.甲方监督部门：纪检监察室，举报电话/电子邮箱：</w:t>
      </w:r>
    </w:p>
    <w:p>
      <w:pPr>
        <w:widowControl/>
        <w:adjustRightInd w:val="0"/>
        <w:snapToGrid w:val="0"/>
        <w:spacing w:line="400" w:lineRule="exact"/>
        <w:ind w:firstLine="480" w:firstLineChars="200"/>
        <w:jc w:val="left"/>
        <w:rPr>
          <w:rFonts w:ascii="宋体" w:hAnsi="宋体" w:cs="宋体"/>
          <w:color w:val="auto"/>
          <w:kern w:val="0"/>
          <w:sz w:val="24"/>
          <w:szCs w:val="24"/>
          <w:highlight w:val="none"/>
        </w:rPr>
      </w:pPr>
      <w:r>
        <w:rPr>
          <w:rFonts w:ascii="宋体" w:hAnsi="宋体"/>
          <w:color w:val="auto"/>
          <w:kern w:val="0"/>
          <w:sz w:val="24"/>
          <w:highlight w:val="none"/>
          <w:u w:val="single"/>
        </w:rPr>
        <w:t>020-2290</w:t>
      </w:r>
      <w:r>
        <w:rPr>
          <w:rFonts w:hint="eastAsia" w:ascii="宋体" w:hAnsi="宋体"/>
          <w:color w:val="auto"/>
          <w:kern w:val="0"/>
          <w:sz w:val="24"/>
          <w:highlight w:val="none"/>
          <w:u w:val="single"/>
        </w:rPr>
        <w:t>5611</w:t>
      </w:r>
      <w:r>
        <w:rPr>
          <w:rFonts w:hint="eastAsia" w:ascii="宋体" w:hAnsi="宋体"/>
          <w:snapToGrid w:val="0"/>
          <w:color w:val="auto"/>
          <w:kern w:val="0"/>
          <w:sz w:val="24"/>
          <w:szCs w:val="24"/>
          <w:highlight w:val="none"/>
          <w:u w:val="single"/>
        </w:rPr>
        <w:t>/</w:t>
      </w:r>
      <w:r>
        <w:rPr>
          <w:rFonts w:ascii="宋体" w:hAnsi="宋体"/>
          <w:snapToGrid w:val="0"/>
          <w:color w:val="auto"/>
          <w:kern w:val="0"/>
          <w:sz w:val="24"/>
          <w:szCs w:val="24"/>
          <w:highlight w:val="none"/>
          <w:u w:val="single"/>
        </w:rPr>
        <w:t>gcpcjj@gz.gov</w:t>
      </w:r>
      <w:r>
        <w:rPr>
          <w:rFonts w:hint="eastAsia" w:ascii="宋体" w:hAnsi="宋体"/>
          <w:snapToGrid w:val="0"/>
          <w:color w:val="auto"/>
          <w:kern w:val="0"/>
          <w:sz w:val="24"/>
          <w:szCs w:val="24"/>
          <w:highlight w:val="none"/>
          <w:u w:val="single"/>
        </w:rPr>
        <w:t>.cn（纪委书记信箱）</w:t>
      </w:r>
      <w:r>
        <w:rPr>
          <w:rFonts w:hint="eastAsia" w:ascii="宋体" w:hAnsi="宋体"/>
          <w:snapToGrid w:val="0"/>
          <w:color w:val="auto"/>
          <w:kern w:val="0"/>
          <w:sz w:val="24"/>
          <w:szCs w:val="24"/>
          <w:highlight w:val="none"/>
        </w:rPr>
        <w:t>。</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2.乙方监督部门：</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，举报电话：</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廉政责任人：</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，职务：</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，上级主管部门：</w:t>
      </w:r>
      <w:r>
        <w:rPr>
          <w:rFonts w:hint="eastAsia" w:ascii="宋体" w:hAnsi="宋体"/>
          <w:snapToGrid w:val="0"/>
          <w:color w:val="auto"/>
          <w:kern w:val="0"/>
          <w:sz w:val="24"/>
          <w:szCs w:val="24"/>
          <w:highlight w:val="none"/>
          <w:u w:val="single"/>
        </w:rPr>
        <w:t xml:space="preserve">          </w:t>
      </w:r>
      <w:r>
        <w:rPr>
          <w:rFonts w:hint="eastAsia" w:ascii="宋体" w:hAnsi="宋体"/>
          <w:snapToGrid w:val="0"/>
          <w:color w:val="auto"/>
          <w:kern w:val="0"/>
          <w:sz w:val="24"/>
          <w:szCs w:val="24"/>
          <w:highlight w:val="none"/>
        </w:rPr>
        <w:t>。</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第六条 本协议书作为合同的附件，与合同具有同等法律效力。经双方签字盖章后生效。</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第七条 本协议书有效期为双方签字盖章之日起至所属工程项目合同履行完毕时止。</w:t>
      </w:r>
    </w:p>
    <w:p>
      <w:pPr>
        <w:widowControl/>
        <w:adjustRightInd w:val="0"/>
        <w:snapToGrid w:val="0"/>
        <w:spacing w:line="360" w:lineRule="auto"/>
        <w:ind w:firstLine="480" w:firstLineChars="20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第八条 未尽事宜，由双方协商解决。</w:t>
      </w:r>
    </w:p>
    <w:p>
      <w:pPr>
        <w:widowControl/>
        <w:adjustRightInd w:val="0"/>
        <w:snapToGrid w:val="0"/>
        <w:spacing w:line="360" w:lineRule="auto"/>
        <w:jc w:val="left"/>
        <w:rPr>
          <w:rFonts w:ascii="宋体" w:hAnsi="宋体"/>
          <w:snapToGrid w:val="0"/>
          <w:color w:val="auto"/>
          <w:kern w:val="0"/>
          <w:sz w:val="24"/>
          <w:szCs w:val="24"/>
          <w:highlight w:val="none"/>
        </w:rPr>
      </w:pPr>
    </w:p>
    <w:p>
      <w:pPr>
        <w:widowControl/>
        <w:adjustRightInd w:val="0"/>
        <w:snapToGrid w:val="0"/>
        <w:spacing w:line="360" w:lineRule="auto"/>
        <w:jc w:val="left"/>
        <w:rPr>
          <w:rFonts w:ascii="宋体" w:hAnsi="宋体"/>
          <w:snapToGrid w:val="0"/>
          <w:color w:val="auto"/>
          <w:spacing w:val="-20"/>
          <w:kern w:val="0"/>
          <w:sz w:val="24"/>
          <w:szCs w:val="24"/>
          <w:highlight w:val="none"/>
        </w:rPr>
      </w:pPr>
      <w:r>
        <w:rPr>
          <w:rFonts w:hint="eastAsia" w:ascii="宋体" w:hAnsi="宋体"/>
          <w:snapToGrid w:val="0"/>
          <w:color w:val="auto"/>
          <w:spacing w:val="-20"/>
          <w:kern w:val="0"/>
          <w:sz w:val="24"/>
          <w:szCs w:val="24"/>
          <w:highlight w:val="none"/>
        </w:rPr>
        <w:t>甲方：</w:t>
      </w:r>
      <w:r>
        <w:rPr>
          <w:rFonts w:hint="eastAsia" w:ascii="宋体" w:hAnsi="宋体"/>
          <w:snapToGrid w:val="0"/>
          <w:color w:val="auto"/>
          <w:spacing w:val="-20"/>
          <w:kern w:val="0"/>
          <w:sz w:val="24"/>
          <w:szCs w:val="24"/>
          <w:highlight w:val="none"/>
          <w:lang w:eastAsia="zh-CN"/>
        </w:rPr>
        <w:t>广州增城区东进供水有限公司</w:t>
      </w:r>
      <w:r>
        <w:rPr>
          <w:rFonts w:hint="eastAsia" w:ascii="宋体" w:hAnsi="宋体"/>
          <w:snapToGrid w:val="0"/>
          <w:color w:val="auto"/>
          <w:spacing w:val="-20"/>
          <w:kern w:val="0"/>
          <w:sz w:val="24"/>
          <w:szCs w:val="24"/>
          <w:highlight w:val="none"/>
        </w:rPr>
        <w:t xml:space="preserve">                乙方：   </w:t>
      </w:r>
    </w:p>
    <w:p>
      <w:pPr>
        <w:widowControl/>
        <w:adjustRightInd w:val="0"/>
        <w:snapToGrid w:val="0"/>
        <w:spacing w:line="360" w:lineRule="auto"/>
        <w:ind w:firstLine="1320" w:firstLineChars="550"/>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（盖章）                                （盖章）</w:t>
      </w:r>
    </w:p>
    <w:p>
      <w:pPr>
        <w:widowControl/>
        <w:adjustRightInd w:val="0"/>
        <w:snapToGrid w:val="0"/>
        <w:spacing w:line="360" w:lineRule="auto"/>
        <w:jc w:val="left"/>
        <w:rPr>
          <w:rFonts w:ascii="宋体" w:hAnsi="宋体"/>
          <w:snapToGrid w:val="0"/>
          <w:color w:val="auto"/>
          <w:kern w:val="0"/>
          <w:sz w:val="24"/>
          <w:szCs w:val="24"/>
          <w:highlight w:val="none"/>
        </w:rPr>
      </w:pPr>
    </w:p>
    <w:p>
      <w:pPr>
        <w:widowControl/>
        <w:adjustRightInd w:val="0"/>
        <w:snapToGrid w:val="0"/>
        <w:spacing w:line="360" w:lineRule="auto"/>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法定代表人：                          法定代表人：</w:t>
      </w:r>
    </w:p>
    <w:p>
      <w:pPr>
        <w:widowControl/>
        <w:adjustRightInd w:val="0"/>
        <w:snapToGrid w:val="0"/>
        <w:spacing w:line="360" w:lineRule="auto"/>
        <w:jc w:val="left"/>
        <w:rPr>
          <w:rFonts w:ascii="宋体" w:hAnsi="宋体"/>
          <w:snapToGrid w:val="0"/>
          <w:color w:val="auto"/>
          <w:kern w:val="0"/>
          <w:sz w:val="24"/>
          <w:szCs w:val="24"/>
          <w:highlight w:val="none"/>
        </w:rPr>
      </w:pPr>
    </w:p>
    <w:p>
      <w:pPr>
        <w:widowControl/>
        <w:adjustRightInd w:val="0"/>
        <w:snapToGrid w:val="0"/>
        <w:spacing w:line="360" w:lineRule="auto"/>
        <w:jc w:val="left"/>
        <w:rPr>
          <w:rFonts w:ascii="宋体" w:hAnsi="宋体"/>
          <w:snapToGrid w:val="0"/>
          <w:color w:val="auto"/>
          <w:kern w:val="0"/>
          <w:sz w:val="24"/>
          <w:szCs w:val="24"/>
          <w:highlight w:val="none"/>
        </w:rPr>
      </w:pPr>
      <w:r>
        <w:rPr>
          <w:rFonts w:hint="eastAsia" w:ascii="宋体" w:hAnsi="宋体"/>
          <w:snapToGrid w:val="0"/>
          <w:color w:val="auto"/>
          <w:kern w:val="0"/>
          <w:sz w:val="24"/>
          <w:szCs w:val="24"/>
          <w:highlight w:val="none"/>
        </w:rPr>
        <w:t>委托代理人：                          委托代理人：</w:t>
      </w:r>
    </w:p>
    <w:p>
      <w:pPr>
        <w:widowControl/>
        <w:adjustRightInd w:val="0"/>
        <w:snapToGrid w:val="0"/>
        <w:spacing w:line="360" w:lineRule="auto"/>
        <w:jc w:val="left"/>
        <w:rPr>
          <w:rFonts w:ascii="宋体" w:hAnsi="宋体"/>
          <w:snapToGrid w:val="0"/>
          <w:color w:val="auto"/>
          <w:kern w:val="0"/>
          <w:sz w:val="24"/>
          <w:szCs w:val="24"/>
          <w:highlight w:val="none"/>
        </w:rPr>
      </w:pPr>
    </w:p>
    <w:p>
      <w:pPr>
        <w:widowControl/>
        <w:spacing w:line="360" w:lineRule="auto"/>
        <w:contextualSpacing/>
        <w:jc w:val="left"/>
        <w:rPr>
          <w:rFonts w:ascii="宋体" w:hAnsi="宋体" w:cs="宋体"/>
          <w:snapToGrid w:val="0"/>
          <w:color w:val="auto"/>
          <w:sz w:val="24"/>
          <w:szCs w:val="24"/>
          <w:highlight w:val="none"/>
        </w:rPr>
      </w:pPr>
      <w:r>
        <w:rPr>
          <w:rFonts w:hint="eastAsia" w:ascii="宋体" w:hAnsi="宋体" w:cs="宋体"/>
          <w:snapToGrid w:val="0"/>
          <w:color w:val="auto"/>
          <w:kern w:val="0"/>
          <w:sz w:val="24"/>
          <w:szCs w:val="24"/>
          <w:highlight w:val="none"/>
        </w:rPr>
        <w:t>日期：    年  月  日                  日期：    年  月  日</w:t>
      </w:r>
    </w:p>
    <w:p>
      <w:pPr>
        <w:widowControl/>
        <w:spacing w:line="360" w:lineRule="auto"/>
        <w:contextualSpacing/>
        <w:jc w:val="left"/>
        <w:rPr>
          <w:rFonts w:ascii="宋体" w:hAnsi="宋体" w:cs="宋体"/>
          <w:snapToGrid w:val="0"/>
          <w:color w:val="auto"/>
          <w:sz w:val="24"/>
          <w:szCs w:val="24"/>
          <w:highlight w:val="none"/>
        </w:rPr>
      </w:pPr>
    </w:p>
    <w:p>
      <w:pPr>
        <w:widowControl/>
        <w:spacing w:line="360" w:lineRule="auto"/>
        <w:contextualSpacing/>
        <w:jc w:val="left"/>
        <w:outlineLvl w:val="0"/>
        <w:rPr>
          <w:rFonts w:ascii="宋体" w:hAnsi="宋体" w:cs="宋体"/>
          <w:snapToGrid w:val="0"/>
          <w:color w:val="auto"/>
          <w:sz w:val="24"/>
          <w:szCs w:val="24"/>
          <w:highlight w:val="none"/>
        </w:rPr>
      </w:pPr>
      <w:r>
        <w:rPr>
          <w:rFonts w:ascii="宋体" w:hAnsi="宋体" w:cs="宋体"/>
          <w:snapToGrid w:val="0"/>
          <w:color w:val="auto"/>
          <w:sz w:val="24"/>
          <w:szCs w:val="24"/>
          <w:highlight w:val="none"/>
        </w:rPr>
        <w:br w:type="page"/>
      </w:r>
      <w:bookmarkStart w:id="54" w:name="_Toc15752"/>
      <w:bookmarkStart w:id="55" w:name="_Toc20058"/>
      <w:r>
        <w:rPr>
          <w:rFonts w:hint="eastAsia" w:ascii="宋体" w:hAnsi="宋体" w:cs="宋体"/>
          <w:snapToGrid w:val="0"/>
          <w:color w:val="auto"/>
          <w:sz w:val="24"/>
          <w:szCs w:val="24"/>
          <w:highlight w:val="none"/>
        </w:rPr>
        <w:t>附件2：</w:t>
      </w:r>
      <w:bookmarkEnd w:id="54"/>
      <w:bookmarkEnd w:id="55"/>
    </w:p>
    <w:p>
      <w:pPr>
        <w:widowControl/>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中标通知书</w:t>
      </w:r>
    </w:p>
    <w:p>
      <w:pPr>
        <w:widowControl/>
        <w:autoSpaceDE w:val="0"/>
        <w:autoSpaceDN w:val="0"/>
        <w:adjustRightInd w:val="0"/>
        <w:snapToGrid w:val="0"/>
        <w:spacing w:line="360" w:lineRule="exact"/>
        <w:jc w:val="left"/>
        <w:rPr>
          <w:rFonts w:ascii="宋体" w:hAnsi="宋体"/>
          <w:color w:val="auto"/>
          <w:kern w:val="0"/>
          <w:sz w:val="24"/>
          <w:szCs w:val="24"/>
          <w:highlight w:val="none"/>
        </w:rPr>
      </w:pPr>
      <w:r>
        <w:rPr>
          <w:rFonts w:ascii="宋体" w:hAnsi="宋体" w:cs="宋体"/>
          <w:snapToGrid w:val="0"/>
          <w:color w:val="auto"/>
          <w:sz w:val="24"/>
          <w:szCs w:val="24"/>
          <w:highlight w:val="none"/>
        </w:rPr>
        <w:br w:type="page"/>
      </w:r>
    </w:p>
    <w:p>
      <w:pPr>
        <w:widowControl/>
        <w:spacing w:line="360" w:lineRule="auto"/>
        <w:contextualSpacing/>
        <w:jc w:val="left"/>
        <w:outlineLvl w:val="0"/>
        <w:rPr>
          <w:rFonts w:ascii="宋体" w:hAnsi="宋体" w:cs="宋体"/>
          <w:b/>
          <w:snapToGrid w:val="0"/>
          <w:color w:val="auto"/>
          <w:kern w:val="0"/>
          <w:sz w:val="32"/>
          <w:szCs w:val="32"/>
          <w:highlight w:val="none"/>
        </w:rPr>
      </w:pPr>
      <w:bookmarkStart w:id="56" w:name="_Toc28257"/>
      <w:bookmarkStart w:id="57" w:name="_Toc10586"/>
      <w:r>
        <w:rPr>
          <w:rFonts w:hint="eastAsia" w:ascii="宋体" w:hAnsi="宋体" w:cs="宋体"/>
          <w:snapToGrid w:val="0"/>
          <w:color w:val="auto"/>
          <w:sz w:val="24"/>
          <w:szCs w:val="24"/>
          <w:highlight w:val="none"/>
        </w:rPr>
        <w:t>附件</w:t>
      </w:r>
      <w:r>
        <w:rPr>
          <w:rFonts w:hint="eastAsia" w:ascii="宋体" w:hAnsi="宋体" w:cs="宋体"/>
          <w:snapToGrid w:val="0"/>
          <w:color w:val="auto"/>
          <w:sz w:val="24"/>
          <w:szCs w:val="24"/>
          <w:highlight w:val="none"/>
          <w:lang w:val="en-US" w:eastAsia="zh-CN"/>
        </w:rPr>
        <w:t>3</w:t>
      </w:r>
      <w:r>
        <w:rPr>
          <w:rFonts w:hint="eastAsia" w:ascii="宋体" w:hAnsi="宋体" w:cs="宋体"/>
          <w:snapToGrid w:val="0"/>
          <w:color w:val="auto"/>
          <w:sz w:val="24"/>
          <w:szCs w:val="24"/>
          <w:highlight w:val="none"/>
        </w:rPr>
        <w:t>：</w:t>
      </w:r>
      <w:bookmarkEnd w:id="56"/>
      <w:bookmarkEnd w:id="57"/>
    </w:p>
    <w:p>
      <w:pPr>
        <w:widowControl/>
        <w:adjustRightInd w:val="0"/>
        <w:snapToGrid w:val="0"/>
        <w:spacing w:line="360" w:lineRule="auto"/>
        <w:jc w:val="center"/>
        <w:rPr>
          <w:rFonts w:ascii="宋体" w:hAnsi="宋体"/>
          <w:b/>
          <w:snapToGrid w:val="0"/>
          <w:color w:val="auto"/>
          <w:kern w:val="0"/>
          <w:sz w:val="32"/>
          <w:szCs w:val="32"/>
          <w:highlight w:val="none"/>
        </w:rPr>
      </w:pPr>
      <w:r>
        <w:rPr>
          <w:rFonts w:hint="eastAsia" w:ascii="宋体" w:hAnsi="宋体"/>
          <w:b/>
          <w:snapToGrid w:val="0"/>
          <w:color w:val="auto"/>
          <w:kern w:val="0"/>
          <w:sz w:val="32"/>
          <w:szCs w:val="32"/>
          <w:highlight w:val="none"/>
        </w:rPr>
        <w:t>拟投入本项目造价人员一览表</w:t>
      </w:r>
    </w:p>
    <w:p>
      <w:pPr>
        <w:widowControl/>
        <w:spacing w:line="360" w:lineRule="auto"/>
        <w:contextualSpacing/>
        <w:jc w:val="left"/>
        <w:rPr>
          <w:rFonts w:ascii="宋体" w:hAnsi="宋体" w:cs="宋体"/>
          <w:color w:val="auto"/>
          <w:kern w:val="0"/>
          <w:sz w:val="24"/>
          <w:szCs w:val="24"/>
          <w:highlight w:val="none"/>
        </w:rPr>
      </w:pPr>
    </w:p>
    <w:p>
      <w:pPr>
        <w:rPr>
          <w:color w:val="auto"/>
          <w:sz w:val="24"/>
          <w:szCs w:val="24"/>
          <w:highlight w:val="none"/>
        </w:rPr>
      </w:pPr>
      <w:r>
        <w:rPr>
          <w:rFonts w:ascii="宋体" w:hAnsi="宋体" w:cs="宋体"/>
          <w:color w:val="auto"/>
          <w:kern w:val="0"/>
          <w:sz w:val="24"/>
          <w:szCs w:val="24"/>
          <w:highlight w:val="none"/>
        </w:rPr>
        <w:br w:type="page"/>
      </w:r>
      <w:r>
        <w:rPr>
          <w:rFonts w:hint="eastAsia"/>
          <w:color w:val="auto"/>
          <w:sz w:val="24"/>
          <w:szCs w:val="24"/>
          <w:highlight w:val="none"/>
        </w:rPr>
        <w:t>附件</w:t>
      </w:r>
      <w:r>
        <w:rPr>
          <w:rFonts w:hint="eastAsia"/>
          <w:color w:val="auto"/>
          <w:sz w:val="24"/>
          <w:szCs w:val="24"/>
          <w:highlight w:val="none"/>
          <w:lang w:eastAsia="zh-CN"/>
        </w:rPr>
        <w:t>4</w:t>
      </w:r>
      <w:r>
        <w:rPr>
          <w:rFonts w:hint="eastAsia"/>
          <w:color w:val="auto"/>
          <w:sz w:val="24"/>
          <w:szCs w:val="24"/>
          <w:highlight w:val="none"/>
        </w:rPr>
        <w:t>：投标函及投标函附录</w:t>
      </w:r>
    </w:p>
    <w:p>
      <w:pPr>
        <w:widowControl/>
        <w:spacing w:line="360" w:lineRule="auto"/>
        <w:contextualSpacing/>
        <w:jc w:val="left"/>
        <w:rPr>
          <w:rFonts w:ascii="宋体" w:hAnsi="宋体" w:cs="宋体"/>
          <w:color w:val="auto"/>
          <w:kern w:val="0"/>
          <w:sz w:val="24"/>
          <w:szCs w:val="24"/>
          <w:highlight w:val="none"/>
        </w:rPr>
      </w:pPr>
    </w:p>
    <w:p>
      <w:pPr>
        <w:rPr>
          <w:color w:val="auto"/>
          <w:highlight w:val="none"/>
        </w:rPr>
      </w:pPr>
      <w:r>
        <w:rPr>
          <w:rFonts w:ascii="宋体" w:hAnsi="宋体" w:cs="宋体"/>
          <w:snapToGrid w:val="0"/>
          <w:color w:val="auto"/>
          <w:sz w:val="24"/>
          <w:szCs w:val="24"/>
          <w:highlight w:val="none"/>
        </w:rPr>
        <w:br w:type="page"/>
      </w:r>
    </w:p>
    <w:p>
      <w:pPr>
        <w:rPr>
          <w:rFonts w:hint="eastAsia"/>
          <w:color w:val="auto"/>
          <w:sz w:val="24"/>
          <w:szCs w:val="24"/>
          <w:highlight w:val="none"/>
        </w:rPr>
      </w:pPr>
      <w:r>
        <w:rPr>
          <w:rFonts w:hint="eastAsia"/>
          <w:color w:val="auto"/>
          <w:sz w:val="24"/>
          <w:szCs w:val="24"/>
          <w:highlight w:val="none"/>
        </w:rPr>
        <w:t>附件</w:t>
      </w:r>
      <w:r>
        <w:rPr>
          <w:rFonts w:hint="eastAsia"/>
          <w:color w:val="auto"/>
          <w:sz w:val="24"/>
          <w:szCs w:val="24"/>
          <w:highlight w:val="none"/>
          <w:lang w:val="en-US" w:eastAsia="zh-CN"/>
        </w:rPr>
        <w:t>5</w:t>
      </w:r>
      <w:r>
        <w:rPr>
          <w:rFonts w:hint="eastAsia"/>
          <w:color w:val="auto"/>
          <w:sz w:val="24"/>
          <w:szCs w:val="24"/>
          <w:highlight w:val="none"/>
        </w:rPr>
        <w:t>：乙方营业执照</w:t>
      </w:r>
    </w:p>
    <w:p>
      <w:pPr>
        <w:rPr>
          <w:rFonts w:hint="eastAsia"/>
          <w:color w:val="auto"/>
          <w:sz w:val="24"/>
          <w:szCs w:val="24"/>
          <w:highlight w:val="none"/>
        </w:rPr>
      </w:pPr>
      <w:r>
        <w:rPr>
          <w:rFonts w:hint="eastAsia"/>
          <w:color w:val="auto"/>
          <w:sz w:val="24"/>
          <w:szCs w:val="24"/>
          <w:highlight w:val="none"/>
        </w:rPr>
        <w:br w:type="page"/>
      </w:r>
    </w:p>
    <w:p>
      <w:pPr>
        <w:widowControl/>
        <w:adjustRightInd/>
        <w:snapToGrid/>
        <w:spacing w:line="240" w:lineRule="auto"/>
        <w:jc w:val="left"/>
        <w:rPr>
          <w:rFonts w:hint="eastAsia" w:ascii="Times New Roman" w:hAnsi="Times New Roman" w:eastAsia="宋体"/>
          <w:b w:val="0"/>
          <w:snapToGrid/>
          <w:color w:val="auto"/>
          <w:kern w:val="2"/>
          <w:sz w:val="24"/>
          <w:szCs w:val="24"/>
          <w:highlight w:val="none"/>
          <w:lang w:val="en-US" w:eastAsia="zh-CN"/>
        </w:rPr>
      </w:pPr>
      <w:r>
        <w:rPr>
          <w:rFonts w:hint="eastAsia" w:ascii="Times New Roman" w:hAnsi="Times New Roman" w:eastAsia="宋体"/>
          <w:b w:val="0"/>
          <w:snapToGrid/>
          <w:color w:val="auto"/>
          <w:kern w:val="2"/>
          <w:sz w:val="24"/>
          <w:szCs w:val="24"/>
          <w:highlight w:val="none"/>
          <w:lang w:val="en-US" w:eastAsia="zh-CN"/>
        </w:rPr>
        <w:t>附件6</w:t>
      </w:r>
      <w:r>
        <w:rPr>
          <w:rFonts w:hint="eastAsia" w:ascii="Times New Roman" w:hAnsi="Times New Roman" w:eastAsia="宋体" w:cs="Times New Roman"/>
          <w:b w:val="0"/>
          <w:snapToGrid/>
          <w:color w:val="auto"/>
          <w:kern w:val="2"/>
          <w:sz w:val="24"/>
          <w:szCs w:val="24"/>
          <w:highlight w:val="none"/>
          <w:lang w:val="en-US" w:eastAsia="zh-CN"/>
        </w:rPr>
        <w:t>：</w:t>
      </w:r>
    </w:p>
    <w:p>
      <w:pPr>
        <w:widowControl/>
        <w:adjustRightInd w:val="0"/>
        <w:snapToGrid w:val="0"/>
        <w:spacing w:line="360" w:lineRule="auto"/>
        <w:jc w:val="center"/>
        <w:rPr>
          <w:rFonts w:ascii="仿宋" w:hAnsi="仿宋" w:eastAsia="仿宋"/>
          <w:b/>
          <w:snapToGrid w:val="0"/>
          <w:color w:val="auto"/>
          <w:kern w:val="0"/>
          <w:sz w:val="32"/>
          <w:szCs w:val="32"/>
          <w:highlight w:val="none"/>
        </w:rPr>
      </w:pPr>
      <w:r>
        <w:rPr>
          <w:rFonts w:hint="eastAsia" w:ascii="仿宋" w:hAnsi="仿宋" w:eastAsia="仿宋"/>
          <w:b/>
          <w:snapToGrid w:val="0"/>
          <w:color w:val="auto"/>
          <w:kern w:val="0"/>
          <w:sz w:val="32"/>
          <w:szCs w:val="32"/>
          <w:highlight w:val="none"/>
        </w:rPr>
        <w:t>造价咨询服务考核评分表</w:t>
      </w:r>
    </w:p>
    <w:tbl>
      <w:tblPr>
        <w:tblStyle w:val="22"/>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134"/>
        <w:gridCol w:w="850"/>
        <w:gridCol w:w="709"/>
        <w:gridCol w:w="4285"/>
        <w:gridCol w:w="1102"/>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11" w:type="dxa"/>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序号</w:t>
            </w:r>
          </w:p>
        </w:tc>
        <w:tc>
          <w:tcPr>
            <w:tcW w:w="1134" w:type="dxa"/>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检查项目</w:t>
            </w:r>
          </w:p>
        </w:tc>
        <w:tc>
          <w:tcPr>
            <w:tcW w:w="850" w:type="dxa"/>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基本分</w:t>
            </w:r>
          </w:p>
        </w:tc>
        <w:tc>
          <w:tcPr>
            <w:tcW w:w="709" w:type="dxa"/>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权重</w:t>
            </w:r>
          </w:p>
        </w:tc>
        <w:tc>
          <w:tcPr>
            <w:tcW w:w="4285" w:type="dxa"/>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检查扣分标准</w:t>
            </w:r>
          </w:p>
        </w:tc>
        <w:tc>
          <w:tcPr>
            <w:tcW w:w="1102" w:type="dxa"/>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扣分/加分理由</w:t>
            </w:r>
          </w:p>
        </w:tc>
        <w:tc>
          <w:tcPr>
            <w:tcW w:w="792" w:type="dxa"/>
            <w:vAlign w:val="center"/>
          </w:tcPr>
          <w:p>
            <w:pPr>
              <w:widowControl/>
              <w:jc w:val="center"/>
              <w:rPr>
                <w:rFonts w:ascii="仿宋" w:hAnsi="仿宋" w:eastAsia="仿宋" w:cs="宋体"/>
                <w:b/>
                <w:bCs/>
                <w:color w:val="auto"/>
                <w:kern w:val="0"/>
                <w:szCs w:val="21"/>
                <w:highlight w:val="none"/>
              </w:rPr>
            </w:pPr>
            <w:r>
              <w:rPr>
                <w:rFonts w:hint="eastAsia" w:ascii="仿宋" w:hAnsi="仿宋" w:eastAsia="仿宋" w:cs="宋体"/>
                <w:b/>
                <w:bCs/>
                <w:color w:val="auto"/>
                <w:kern w:val="0"/>
                <w:szCs w:val="21"/>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711" w:type="dxa"/>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一</w:t>
            </w:r>
          </w:p>
        </w:tc>
        <w:tc>
          <w:tcPr>
            <w:tcW w:w="1134" w:type="dxa"/>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造价控制</w:t>
            </w:r>
          </w:p>
        </w:tc>
        <w:tc>
          <w:tcPr>
            <w:tcW w:w="850" w:type="dxa"/>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709" w:type="dxa"/>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30%</w:t>
            </w:r>
          </w:p>
        </w:tc>
        <w:tc>
          <w:tcPr>
            <w:tcW w:w="4285" w:type="dxa"/>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1.本项目结算总金额超出概算对应批复总金额的，本项不得分。</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2.未按合同要求提出限额设计量化指标，扣10分。</w:t>
            </w:r>
          </w:p>
          <w:p>
            <w:pPr>
              <w:widowControl/>
              <w:jc w:val="left"/>
              <w:rPr>
                <w:rFonts w:ascii="仿宋" w:hAnsi="仿宋" w:eastAsia="仿宋" w:cs="宋体"/>
                <w:color w:val="auto"/>
                <w:kern w:val="0"/>
                <w:szCs w:val="21"/>
                <w:highlight w:val="none"/>
              </w:rPr>
            </w:pPr>
            <w:r>
              <w:rPr>
                <w:rFonts w:ascii="仿宋" w:hAnsi="仿宋" w:eastAsia="仿宋" w:cs="宋体"/>
                <w:color w:val="auto"/>
                <w:kern w:val="0"/>
                <w:szCs w:val="21"/>
                <w:highlight w:val="none"/>
              </w:rPr>
              <w:t>3.</w:t>
            </w:r>
            <w:r>
              <w:rPr>
                <w:rFonts w:hint="eastAsia" w:ascii="仿宋" w:hAnsi="仿宋" w:eastAsia="仿宋" w:cs="宋体"/>
                <w:color w:val="auto"/>
                <w:kern w:val="0"/>
                <w:szCs w:val="21"/>
                <w:highlight w:val="none"/>
              </w:rPr>
              <w:t>未按合同要求提交投资控制报告的，每次扣1分。</w:t>
            </w:r>
          </w:p>
        </w:tc>
        <w:tc>
          <w:tcPr>
            <w:tcW w:w="1102" w:type="dxa"/>
            <w:vAlign w:val="center"/>
          </w:tcPr>
          <w:p>
            <w:pPr>
              <w:widowControl/>
              <w:jc w:val="left"/>
              <w:rPr>
                <w:rFonts w:ascii="仿宋" w:hAnsi="仿宋" w:eastAsia="仿宋" w:cs="宋体"/>
                <w:color w:val="auto"/>
                <w:kern w:val="0"/>
                <w:szCs w:val="21"/>
                <w:highlight w:val="none"/>
              </w:rPr>
            </w:pPr>
          </w:p>
        </w:tc>
        <w:tc>
          <w:tcPr>
            <w:tcW w:w="792" w:type="dxa"/>
            <w:vAlign w:val="center"/>
          </w:tcPr>
          <w:p>
            <w:pPr>
              <w:widowControl/>
              <w:jc w:val="left"/>
              <w:rPr>
                <w:rFonts w:ascii="仿宋" w:hAnsi="仿宋" w:eastAsia="仿宋"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711" w:type="dxa"/>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二</w:t>
            </w:r>
          </w:p>
        </w:tc>
        <w:tc>
          <w:tcPr>
            <w:tcW w:w="1134" w:type="dxa"/>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人员驻场情况</w:t>
            </w:r>
          </w:p>
        </w:tc>
        <w:tc>
          <w:tcPr>
            <w:tcW w:w="850" w:type="dxa"/>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709" w:type="dxa"/>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w:t>
            </w:r>
          </w:p>
        </w:tc>
        <w:tc>
          <w:tcPr>
            <w:tcW w:w="4285" w:type="dxa"/>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乙方未按合同要求投入人员（含驻场人员）的，或甲方提出驻场要求时乙方未及时安排人员进行驻场服务的，或甲方要求更换驻场人员时乙方未及时更换的，每出现一次扣</w:t>
            </w:r>
            <w:r>
              <w:rPr>
                <w:rFonts w:ascii="仿宋" w:hAnsi="仿宋" w:eastAsia="仿宋" w:cs="宋体"/>
                <w:color w:val="auto"/>
                <w:kern w:val="0"/>
                <w:szCs w:val="21"/>
                <w:highlight w:val="none"/>
              </w:rPr>
              <w:t>10</w:t>
            </w:r>
            <w:r>
              <w:rPr>
                <w:rFonts w:hint="eastAsia" w:ascii="仿宋" w:hAnsi="仿宋" w:eastAsia="仿宋" w:cs="宋体"/>
                <w:color w:val="auto"/>
                <w:kern w:val="0"/>
                <w:szCs w:val="21"/>
                <w:highlight w:val="none"/>
              </w:rPr>
              <w:t>分</w:t>
            </w:r>
            <w:r>
              <w:rPr>
                <w:rFonts w:ascii="仿宋" w:hAnsi="仿宋" w:eastAsia="仿宋" w:cs="宋体"/>
                <w:color w:val="auto"/>
                <w:kern w:val="0"/>
                <w:szCs w:val="21"/>
                <w:highlight w:val="none"/>
              </w:rPr>
              <w:t>/次.人</w:t>
            </w:r>
            <w:r>
              <w:rPr>
                <w:rFonts w:hint="eastAsia" w:ascii="仿宋" w:hAnsi="仿宋" w:eastAsia="仿宋" w:cs="宋体"/>
                <w:color w:val="auto"/>
                <w:kern w:val="0"/>
                <w:szCs w:val="21"/>
                <w:highlight w:val="none"/>
              </w:rPr>
              <w:t>。（以甲方发出的书面文件认定）</w:t>
            </w:r>
          </w:p>
        </w:tc>
        <w:tc>
          <w:tcPr>
            <w:tcW w:w="1102" w:type="dxa"/>
            <w:vAlign w:val="center"/>
          </w:tcPr>
          <w:p>
            <w:pPr>
              <w:widowControl/>
              <w:jc w:val="left"/>
              <w:rPr>
                <w:rFonts w:ascii="仿宋" w:hAnsi="仿宋" w:eastAsia="仿宋" w:cs="宋体"/>
                <w:color w:val="auto"/>
                <w:kern w:val="0"/>
                <w:szCs w:val="21"/>
                <w:highlight w:val="none"/>
              </w:rPr>
            </w:pPr>
          </w:p>
        </w:tc>
        <w:tc>
          <w:tcPr>
            <w:tcW w:w="792" w:type="dxa"/>
            <w:vAlign w:val="center"/>
          </w:tcPr>
          <w:p>
            <w:pPr>
              <w:widowControl/>
              <w:jc w:val="left"/>
              <w:rPr>
                <w:rFonts w:ascii="仿宋" w:hAnsi="仿宋" w:eastAsia="仿宋"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711" w:type="dxa"/>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三</w:t>
            </w:r>
          </w:p>
        </w:tc>
        <w:tc>
          <w:tcPr>
            <w:tcW w:w="1134" w:type="dxa"/>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工作效率</w:t>
            </w:r>
          </w:p>
        </w:tc>
        <w:tc>
          <w:tcPr>
            <w:tcW w:w="850" w:type="dxa"/>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709" w:type="dxa"/>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20%</w:t>
            </w:r>
          </w:p>
        </w:tc>
        <w:tc>
          <w:tcPr>
            <w:tcW w:w="4285" w:type="dxa"/>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未在合同约定期限内完成工作的，每超出1天，扣2分。</w:t>
            </w:r>
          </w:p>
        </w:tc>
        <w:tc>
          <w:tcPr>
            <w:tcW w:w="1102" w:type="dxa"/>
            <w:vAlign w:val="center"/>
          </w:tcPr>
          <w:p>
            <w:pPr>
              <w:widowControl/>
              <w:jc w:val="left"/>
              <w:rPr>
                <w:rFonts w:ascii="仿宋" w:hAnsi="仿宋" w:eastAsia="仿宋" w:cs="宋体"/>
                <w:color w:val="auto"/>
                <w:kern w:val="0"/>
                <w:szCs w:val="21"/>
                <w:highlight w:val="none"/>
              </w:rPr>
            </w:pPr>
          </w:p>
        </w:tc>
        <w:tc>
          <w:tcPr>
            <w:tcW w:w="792" w:type="dxa"/>
            <w:vAlign w:val="center"/>
          </w:tcPr>
          <w:p>
            <w:pPr>
              <w:widowControl/>
              <w:jc w:val="center"/>
              <w:rPr>
                <w:rFonts w:ascii="仿宋" w:hAnsi="仿宋" w:eastAsia="仿宋"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jc w:val="center"/>
        </w:trPr>
        <w:tc>
          <w:tcPr>
            <w:tcW w:w="711" w:type="dxa"/>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四</w:t>
            </w:r>
          </w:p>
        </w:tc>
        <w:tc>
          <w:tcPr>
            <w:tcW w:w="1134" w:type="dxa"/>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造价文件审核质量</w:t>
            </w:r>
          </w:p>
        </w:tc>
        <w:tc>
          <w:tcPr>
            <w:tcW w:w="850" w:type="dxa"/>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100</w:t>
            </w:r>
          </w:p>
        </w:tc>
        <w:tc>
          <w:tcPr>
            <w:tcW w:w="709" w:type="dxa"/>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30%</w:t>
            </w:r>
          </w:p>
        </w:tc>
        <w:tc>
          <w:tcPr>
            <w:tcW w:w="4285" w:type="dxa"/>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经核实审核质量确属造价咨询单位责任的,按以下标准扣分：</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1、招标工程量清单及控制价计算错误、列项错误、描述错误，出现缺项漏项等引起合同增减额超过5%的，每次扣10分；</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2、合同支付审核出现差错或资料不齐，每单扣2分；</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3、</w:t>
            </w:r>
            <w:r>
              <w:rPr>
                <w:rFonts w:hint="eastAsia" w:ascii="仿宋" w:hAnsi="仿宋" w:eastAsia="仿宋"/>
                <w:color w:val="auto"/>
                <w:szCs w:val="20"/>
                <w:highlight w:val="none"/>
              </w:rPr>
              <w:t>主材单价有综合价不执行、主材单价质量偏差率超过50 %、统计错误5万元以上、文件执行错误的，</w:t>
            </w:r>
            <w:r>
              <w:rPr>
                <w:rFonts w:hint="eastAsia" w:ascii="仿宋" w:hAnsi="仿宋" w:eastAsia="仿宋" w:cs="宋体"/>
                <w:color w:val="auto"/>
                <w:kern w:val="0"/>
                <w:szCs w:val="21"/>
                <w:highlight w:val="none"/>
              </w:rPr>
              <w:t>每次扣2分。</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4、合同结算审核与经第三方结算审计结果3%≤偏差率＜4%，每次扣1分；4%≤偏差率≤5%，每次扣2分；</w:t>
            </w:r>
          </w:p>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5、工程造价文件质量（含预算、招标控制价、结算）偏差率超过合同规定的，本项不得分。</w:t>
            </w:r>
          </w:p>
        </w:tc>
        <w:tc>
          <w:tcPr>
            <w:tcW w:w="1102" w:type="dxa"/>
            <w:vAlign w:val="center"/>
          </w:tcPr>
          <w:p>
            <w:pPr>
              <w:widowControl/>
              <w:jc w:val="left"/>
              <w:rPr>
                <w:rFonts w:ascii="仿宋" w:hAnsi="仿宋" w:eastAsia="仿宋" w:cs="宋体"/>
                <w:color w:val="auto"/>
                <w:kern w:val="0"/>
                <w:szCs w:val="21"/>
                <w:highlight w:val="none"/>
              </w:rPr>
            </w:pPr>
          </w:p>
        </w:tc>
        <w:tc>
          <w:tcPr>
            <w:tcW w:w="792" w:type="dxa"/>
            <w:vAlign w:val="center"/>
          </w:tcPr>
          <w:p>
            <w:pPr>
              <w:widowControl/>
              <w:jc w:val="center"/>
              <w:rPr>
                <w:rFonts w:ascii="仿宋" w:hAnsi="仿宋" w:eastAsia="仿宋"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711" w:type="dxa"/>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五</w:t>
            </w:r>
          </w:p>
        </w:tc>
        <w:tc>
          <w:tcPr>
            <w:tcW w:w="1134" w:type="dxa"/>
            <w:vAlign w:val="center"/>
          </w:tcPr>
          <w:p>
            <w:pPr>
              <w:widowControl/>
              <w:jc w:val="center"/>
              <w:rPr>
                <w:rFonts w:ascii="仿宋" w:hAnsi="仿宋" w:eastAsia="仿宋" w:cs="宋体"/>
                <w:b/>
                <w:color w:val="auto"/>
                <w:kern w:val="0"/>
                <w:szCs w:val="21"/>
                <w:highlight w:val="none"/>
              </w:rPr>
            </w:pPr>
            <w:r>
              <w:rPr>
                <w:rFonts w:hint="eastAsia" w:ascii="仿宋" w:hAnsi="仿宋" w:eastAsia="仿宋" w:cs="宋体"/>
                <w:b/>
                <w:color w:val="auto"/>
                <w:kern w:val="0"/>
                <w:szCs w:val="21"/>
                <w:highlight w:val="none"/>
              </w:rPr>
              <w:t>增值服务（如有）</w:t>
            </w:r>
          </w:p>
        </w:tc>
        <w:tc>
          <w:tcPr>
            <w:tcW w:w="850" w:type="dxa"/>
            <w:vAlign w:val="center"/>
          </w:tcPr>
          <w:p>
            <w:pPr>
              <w:widowControl/>
              <w:jc w:val="center"/>
              <w:rPr>
                <w:rFonts w:ascii="仿宋" w:hAnsi="仿宋" w:eastAsia="仿宋" w:cs="宋体"/>
                <w:color w:val="auto"/>
                <w:kern w:val="0"/>
                <w:szCs w:val="21"/>
                <w:highlight w:val="none"/>
              </w:rPr>
            </w:pPr>
          </w:p>
        </w:tc>
        <w:tc>
          <w:tcPr>
            <w:tcW w:w="709" w:type="dxa"/>
            <w:vAlign w:val="center"/>
          </w:tcPr>
          <w:p>
            <w:pPr>
              <w:widowControl/>
              <w:jc w:val="center"/>
              <w:rPr>
                <w:rFonts w:ascii="仿宋" w:hAnsi="仿宋" w:eastAsia="仿宋" w:cs="宋体"/>
                <w:color w:val="auto"/>
                <w:kern w:val="0"/>
                <w:szCs w:val="21"/>
                <w:highlight w:val="none"/>
              </w:rPr>
            </w:pPr>
          </w:p>
        </w:tc>
        <w:tc>
          <w:tcPr>
            <w:tcW w:w="4285" w:type="dxa"/>
            <w:vAlign w:val="center"/>
          </w:tcPr>
          <w:p>
            <w:pPr>
              <w:widowControl/>
              <w:jc w:val="left"/>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积极主动配合甲方的工作需求，提供合同约定范围外的造价咨询服务工作的，包括但不限于提供咨询服务、专业培训等，根据增值服务工作的重要性及完成质量，每提供一次增值服务加分1-2分；如增值服务获得甲方表扬信，再加3分。</w:t>
            </w:r>
          </w:p>
        </w:tc>
        <w:tc>
          <w:tcPr>
            <w:tcW w:w="1102" w:type="dxa"/>
            <w:vAlign w:val="center"/>
          </w:tcPr>
          <w:p>
            <w:pPr>
              <w:widowControl/>
              <w:jc w:val="left"/>
              <w:rPr>
                <w:rFonts w:ascii="仿宋" w:hAnsi="仿宋" w:eastAsia="仿宋" w:cs="宋体"/>
                <w:color w:val="auto"/>
                <w:kern w:val="0"/>
                <w:szCs w:val="21"/>
                <w:highlight w:val="none"/>
              </w:rPr>
            </w:pPr>
          </w:p>
        </w:tc>
        <w:tc>
          <w:tcPr>
            <w:tcW w:w="792" w:type="dxa"/>
            <w:vAlign w:val="center"/>
          </w:tcPr>
          <w:p>
            <w:pPr>
              <w:widowControl/>
              <w:jc w:val="center"/>
              <w:rPr>
                <w:rFonts w:ascii="仿宋" w:hAnsi="仿宋" w:eastAsia="仿宋"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11" w:type="dxa"/>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b/>
                <w:bCs/>
                <w:color w:val="auto"/>
                <w:kern w:val="0"/>
                <w:szCs w:val="21"/>
                <w:highlight w:val="none"/>
              </w:rPr>
              <w:t>分值汇总</w:t>
            </w:r>
          </w:p>
        </w:tc>
        <w:tc>
          <w:tcPr>
            <w:tcW w:w="1134" w:type="dxa"/>
            <w:vAlign w:val="center"/>
          </w:tcPr>
          <w:p>
            <w:pPr>
              <w:widowControl/>
              <w:jc w:val="center"/>
              <w:rPr>
                <w:rFonts w:ascii="仿宋" w:hAnsi="仿宋" w:eastAsia="仿宋" w:cs="宋体"/>
                <w:color w:val="auto"/>
                <w:kern w:val="0"/>
                <w:szCs w:val="21"/>
                <w:highlight w:val="none"/>
              </w:rPr>
            </w:pPr>
          </w:p>
        </w:tc>
        <w:tc>
          <w:tcPr>
            <w:tcW w:w="850" w:type="dxa"/>
          </w:tcPr>
          <w:p>
            <w:pPr>
              <w:widowControl/>
              <w:jc w:val="center"/>
              <w:rPr>
                <w:rFonts w:ascii="仿宋" w:hAnsi="仿宋" w:eastAsia="仿宋" w:cs="宋体"/>
                <w:color w:val="auto"/>
                <w:kern w:val="0"/>
                <w:szCs w:val="21"/>
                <w:highlight w:val="none"/>
              </w:rPr>
            </w:pPr>
          </w:p>
        </w:tc>
        <w:tc>
          <w:tcPr>
            <w:tcW w:w="709" w:type="dxa"/>
            <w:vAlign w:val="center"/>
          </w:tcPr>
          <w:p>
            <w:pPr>
              <w:widowControl/>
              <w:jc w:val="center"/>
              <w:rPr>
                <w:rFonts w:ascii="仿宋" w:hAnsi="仿宋" w:eastAsia="仿宋" w:cs="宋体"/>
                <w:color w:val="auto"/>
                <w:kern w:val="0"/>
                <w:szCs w:val="21"/>
                <w:highlight w:val="none"/>
              </w:rPr>
            </w:pPr>
          </w:p>
        </w:tc>
        <w:tc>
          <w:tcPr>
            <w:tcW w:w="6179" w:type="dxa"/>
            <w:gridSpan w:val="3"/>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b/>
                <w:bCs/>
                <w:color w:val="auto"/>
                <w:kern w:val="0"/>
                <w:szCs w:val="21"/>
                <w:highlight w:val="none"/>
              </w:rPr>
              <w:t>　</w:t>
            </w:r>
            <w:r>
              <w:rPr>
                <w:rFonts w:hint="eastAsia" w:ascii="仿宋" w:hAnsi="仿宋" w:eastAsia="仿宋" w:cs="宋体"/>
                <w:color w:val="auto"/>
                <w:kern w:val="0"/>
                <w:szCs w:val="21"/>
                <w:highlight w:val="none"/>
              </w:rPr>
              <w:t>　</w:t>
            </w:r>
          </w:p>
        </w:tc>
      </w:tr>
    </w:tbl>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注：1、单项基本分为100分，单项合格基准分为60分。</w:t>
      </w:r>
    </w:p>
    <w:p>
      <w:pPr>
        <w:widowControl/>
        <w:jc w:val="left"/>
        <w:rPr>
          <w:rFonts w:ascii="仿宋" w:hAnsi="仿宋" w:eastAsia="仿宋" w:cs="宋体"/>
          <w:color w:val="auto"/>
          <w:kern w:val="0"/>
          <w:sz w:val="20"/>
          <w:szCs w:val="20"/>
          <w:highlight w:val="none"/>
        </w:rPr>
      </w:pPr>
      <w:r>
        <w:rPr>
          <w:rFonts w:hint="eastAsia" w:ascii="仿宋" w:hAnsi="仿宋" w:eastAsia="仿宋" w:cs="宋体"/>
          <w:color w:val="auto"/>
          <w:kern w:val="0"/>
          <w:sz w:val="20"/>
          <w:szCs w:val="20"/>
          <w:highlight w:val="none"/>
        </w:rPr>
        <w:t xml:space="preserve">    2、第一～四项考核项目满分和计为100分，各项扣分=∑子项扣分*相应权重，扣分总额以该检查项目对应的分值为限，如同一行为符合两项或以上的扣分标准，则累加扣分；</w:t>
      </w:r>
    </w:p>
    <w:p>
      <w:pPr>
        <w:widowControl/>
        <w:jc w:val="left"/>
        <w:rPr>
          <w:rFonts w:ascii="仿宋" w:hAnsi="仿宋" w:eastAsia="仿宋" w:cs="宋体"/>
          <w:color w:val="auto"/>
          <w:kern w:val="0"/>
          <w:sz w:val="20"/>
          <w:szCs w:val="20"/>
          <w:highlight w:val="none"/>
        </w:rPr>
      </w:pPr>
      <w:r>
        <w:rPr>
          <w:rFonts w:ascii="仿宋" w:hAnsi="仿宋" w:eastAsia="仿宋" w:cs="宋体"/>
          <w:color w:val="auto"/>
          <w:kern w:val="0"/>
          <w:sz w:val="20"/>
          <w:szCs w:val="20"/>
          <w:highlight w:val="none"/>
        </w:rPr>
        <w:t>3、第五项</w:t>
      </w:r>
      <w:r>
        <w:rPr>
          <w:rFonts w:hint="eastAsia" w:ascii="仿宋" w:hAnsi="仿宋" w:eastAsia="仿宋" w:cs="宋体"/>
          <w:color w:val="auto"/>
          <w:kern w:val="0"/>
          <w:sz w:val="20"/>
          <w:szCs w:val="20"/>
          <w:highlight w:val="none"/>
        </w:rPr>
        <w:t>为加分条件，在第一～四项考核分数的基础上直接加分。</w:t>
      </w:r>
    </w:p>
    <w:p>
      <w:pPr>
        <w:widowControl/>
        <w:jc w:val="left"/>
        <w:rPr>
          <w:rFonts w:ascii="仿宋" w:hAnsi="仿宋" w:eastAsia="仿宋"/>
          <w:color w:val="auto"/>
          <w:highlight w:val="none"/>
        </w:rPr>
      </w:pPr>
      <w:r>
        <w:rPr>
          <w:rFonts w:ascii="仿宋" w:hAnsi="仿宋" w:eastAsia="仿宋" w:cs="宋体"/>
          <w:color w:val="auto"/>
          <w:kern w:val="0"/>
          <w:sz w:val="20"/>
          <w:szCs w:val="20"/>
          <w:highlight w:val="none"/>
        </w:rPr>
        <w:t>4、最终</w:t>
      </w:r>
      <w:r>
        <w:rPr>
          <w:rFonts w:hint="eastAsia" w:ascii="仿宋" w:hAnsi="仿宋" w:eastAsia="仿宋" w:cs="宋体"/>
          <w:color w:val="auto"/>
          <w:kern w:val="0"/>
          <w:sz w:val="20"/>
          <w:szCs w:val="20"/>
          <w:highlight w:val="none"/>
        </w:rPr>
        <w:t>考核得分</w:t>
      </w:r>
      <w:r>
        <w:rPr>
          <w:rFonts w:ascii="仿宋" w:hAnsi="仿宋" w:eastAsia="仿宋" w:cs="宋体"/>
          <w:color w:val="auto"/>
          <w:kern w:val="0"/>
          <w:sz w:val="20"/>
          <w:szCs w:val="20"/>
          <w:highlight w:val="none"/>
        </w:rPr>
        <w:t>=造价控制</w:t>
      </w:r>
      <w:r>
        <w:rPr>
          <w:rFonts w:hint="eastAsia" w:ascii="仿宋" w:hAnsi="仿宋" w:eastAsia="仿宋" w:cs="宋体"/>
          <w:color w:val="auto"/>
          <w:kern w:val="0"/>
          <w:sz w:val="20"/>
          <w:szCs w:val="20"/>
          <w:highlight w:val="none"/>
        </w:rPr>
        <w:t>得分</w:t>
      </w:r>
      <w:r>
        <w:rPr>
          <w:rFonts w:ascii="仿宋" w:hAnsi="仿宋" w:eastAsia="仿宋" w:cs="宋体"/>
          <w:color w:val="auto"/>
          <w:kern w:val="0"/>
          <w:sz w:val="20"/>
          <w:szCs w:val="20"/>
          <w:highlight w:val="none"/>
        </w:rPr>
        <w:t>*30%权重+人员驻场情况得分*20%权重+工作效率得分*20%权重+</w:t>
      </w:r>
      <w:r>
        <w:rPr>
          <w:rFonts w:hint="eastAsia" w:ascii="仿宋" w:hAnsi="仿宋" w:eastAsia="仿宋" w:cs="宋体"/>
          <w:color w:val="auto"/>
          <w:kern w:val="0"/>
          <w:sz w:val="20"/>
          <w:szCs w:val="20"/>
          <w:highlight w:val="none"/>
        </w:rPr>
        <w:t>造价文件审核质量得分</w:t>
      </w:r>
      <w:r>
        <w:rPr>
          <w:rFonts w:ascii="仿宋" w:hAnsi="仿宋" w:eastAsia="仿宋" w:cs="宋体"/>
          <w:color w:val="auto"/>
          <w:kern w:val="0"/>
          <w:sz w:val="20"/>
          <w:szCs w:val="20"/>
          <w:highlight w:val="none"/>
        </w:rPr>
        <w:t>*30%权重+增值服务得分</w:t>
      </w:r>
      <w:r>
        <w:rPr>
          <w:rFonts w:hint="eastAsia" w:ascii="仿宋" w:hAnsi="仿宋" w:eastAsia="仿宋" w:cs="宋体"/>
          <w:color w:val="auto"/>
          <w:kern w:val="0"/>
          <w:sz w:val="20"/>
          <w:szCs w:val="20"/>
          <w:highlight w:val="none"/>
        </w:rPr>
        <w:t>。最终考核合格分为60分。</w:t>
      </w:r>
    </w:p>
    <w:p>
      <w:pPr>
        <w:pStyle w:val="3"/>
        <w:keepNext w:val="0"/>
        <w:keepLines w:val="0"/>
        <w:jc w:val="center"/>
        <w:rPr>
          <w:color w:val="auto"/>
          <w:sz w:val="24"/>
          <w:szCs w:val="24"/>
          <w:highlight w:val="none"/>
        </w:rPr>
      </w:pPr>
    </w:p>
    <w:p>
      <w:pPr>
        <w:rPr>
          <w:color w:val="auto"/>
          <w:highlight w:val="none"/>
        </w:rPr>
        <w:sectPr>
          <w:pgSz w:w="11905" w:h="16838"/>
          <w:pgMar w:top="1440" w:right="1425" w:bottom="1440" w:left="1800" w:header="720" w:footer="720" w:gutter="0"/>
          <w:cols w:space="720" w:num="1"/>
          <w:rtlGutter w:val="1"/>
          <w:docGrid w:linePitch="286" w:charSpace="0"/>
        </w:sectPr>
      </w:pPr>
    </w:p>
    <w:bookmarkEnd w:id="0"/>
    <w:bookmarkEnd w:id="1"/>
    <w:bookmarkEnd w:id="2"/>
    <w:bookmarkEnd w:id="3"/>
    <w:bookmarkEnd w:id="4"/>
    <w:p>
      <w:pPr>
        <w:rPr>
          <w:color w:val="auto"/>
          <w:highlight w:val="none"/>
        </w:rPr>
      </w:pPr>
    </w:p>
    <w:sectPr>
      <w:footerReference r:id="rId3" w:type="default"/>
      <w:pgSz w:w="11906" w:h="16838"/>
      <w:pgMar w:top="1440" w:right="1800" w:bottom="1440" w:left="1800"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rPr>
        <w:rFonts w:ascii="宋体" w:hAnsi="宋体"/>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A38B4B"/>
    <w:multiLevelType w:val="multilevel"/>
    <w:tmpl w:val="93A38B4B"/>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4305398"/>
    <w:multiLevelType w:val="singleLevel"/>
    <w:tmpl w:val="94305398"/>
    <w:lvl w:ilvl="0" w:tentative="0">
      <w:start w:val="1"/>
      <w:numFmt w:val="decimal"/>
      <w:suff w:val="nothing"/>
      <w:lvlText w:val="%1．"/>
      <w:lvlJc w:val="left"/>
      <w:pPr>
        <w:ind w:left="0" w:firstLine="400"/>
      </w:pPr>
      <w:rPr>
        <w:rFonts w:hint="default"/>
      </w:rPr>
    </w:lvl>
  </w:abstractNum>
  <w:abstractNum w:abstractNumId="2">
    <w:nsid w:val="AF9D6E7A"/>
    <w:multiLevelType w:val="singleLevel"/>
    <w:tmpl w:val="AF9D6E7A"/>
    <w:lvl w:ilvl="0" w:tentative="0">
      <w:start w:val="1"/>
      <w:numFmt w:val="decimal"/>
      <w:lvlText w:val="(%1)"/>
      <w:lvlJc w:val="left"/>
      <w:pPr>
        <w:ind w:left="425" w:hanging="425"/>
      </w:pPr>
      <w:rPr>
        <w:rFonts w:hint="default"/>
      </w:rPr>
    </w:lvl>
  </w:abstractNum>
  <w:abstractNum w:abstractNumId="3">
    <w:nsid w:val="FBE853A0"/>
    <w:multiLevelType w:val="multilevel"/>
    <w:tmpl w:val="FBE853A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1F17C6C"/>
    <w:multiLevelType w:val="singleLevel"/>
    <w:tmpl w:val="01F17C6C"/>
    <w:lvl w:ilvl="0" w:tentative="0">
      <w:start w:val="1"/>
      <w:numFmt w:val="decimal"/>
      <w:suff w:val="nothing"/>
      <w:lvlText w:val="%1．"/>
      <w:lvlJc w:val="left"/>
      <w:pPr>
        <w:ind w:left="0" w:firstLine="400"/>
      </w:pPr>
      <w:rPr>
        <w:rFonts w:hint="default"/>
      </w:rPr>
    </w:lvl>
  </w:abstractNum>
  <w:abstractNum w:abstractNumId="5">
    <w:nsid w:val="05E8E7F1"/>
    <w:multiLevelType w:val="multilevel"/>
    <w:tmpl w:val="05E8E7F1"/>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701BD94"/>
    <w:multiLevelType w:val="singleLevel"/>
    <w:tmpl w:val="1701BD94"/>
    <w:lvl w:ilvl="0" w:tentative="0">
      <w:start w:val="1"/>
      <w:numFmt w:val="decimal"/>
      <w:lvlText w:val="(%1)"/>
      <w:lvlJc w:val="left"/>
      <w:pPr>
        <w:ind w:left="425" w:hanging="425"/>
      </w:pPr>
      <w:rPr>
        <w:rFonts w:hint="default"/>
      </w:rPr>
    </w:lvl>
  </w:abstractNum>
  <w:abstractNum w:abstractNumId="7">
    <w:nsid w:val="22DBE971"/>
    <w:multiLevelType w:val="multilevel"/>
    <w:tmpl w:val="22DBE971"/>
    <w:lvl w:ilvl="0" w:tentative="0">
      <w:start w:val="1"/>
      <w:numFmt w:val="decimal"/>
      <w:suff w:val="nothing"/>
      <w:lvlText w:val="%1、"/>
      <w:lvlJc w:val="left"/>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abstractNum w:abstractNumId="8">
    <w:nsid w:val="438ED7B2"/>
    <w:multiLevelType w:val="singleLevel"/>
    <w:tmpl w:val="438ED7B2"/>
    <w:lvl w:ilvl="0" w:tentative="0">
      <w:start w:val="1"/>
      <w:numFmt w:val="decimal"/>
      <w:suff w:val="nothing"/>
      <w:lvlText w:val="%1．"/>
      <w:lvlJc w:val="left"/>
      <w:pPr>
        <w:ind w:left="0" w:firstLine="400"/>
      </w:pPr>
      <w:rPr>
        <w:rFonts w:hint="default"/>
      </w:rPr>
    </w:lvl>
  </w:abstractNum>
  <w:abstractNum w:abstractNumId="9">
    <w:nsid w:val="5036D80D"/>
    <w:multiLevelType w:val="multilevel"/>
    <w:tmpl w:val="5036D80D"/>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2E976A8"/>
    <w:multiLevelType w:val="multilevel"/>
    <w:tmpl w:val="72E976A8"/>
    <w:lvl w:ilvl="0" w:tentative="0">
      <w:start w:val="1"/>
      <w:numFmt w:val="decimal"/>
      <w:lvlText w:val="（%1）"/>
      <w:lvlJc w:val="left"/>
      <w:pPr>
        <w:ind w:left="420" w:hanging="420"/>
      </w:pPr>
      <w:rPr>
        <w:rFonts w:hint="default"/>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846" w:hanging="420"/>
      </w:pPr>
      <w:rPr>
        <w:rFonts w:hint="eastAsia" w:ascii="仿宋_GB2312" w:eastAsia="仿宋_GB2312"/>
        <w:b w:val="0"/>
        <w:i w:val="0"/>
        <w:sz w:val="24"/>
        <w:lang w:val="en-US"/>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7B2F3634"/>
    <w:multiLevelType w:val="multilevel"/>
    <w:tmpl w:val="7B2F3634"/>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4"/>
  </w:num>
  <w:num w:numId="3">
    <w:abstractNumId w:val="1"/>
  </w:num>
  <w:num w:numId="4">
    <w:abstractNumId w:val="11"/>
  </w:num>
  <w:num w:numId="5">
    <w:abstractNumId w:val="5"/>
  </w:num>
  <w:num w:numId="6">
    <w:abstractNumId w:val="0"/>
  </w:num>
  <w:num w:numId="7">
    <w:abstractNumId w:val="9"/>
  </w:num>
  <w:num w:numId="8">
    <w:abstractNumId w:val="3"/>
  </w:num>
  <w:num w:numId="9">
    <w:abstractNumId w:val="10"/>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24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jMmZlZTRkMTI0ZDI5MTdkMzY2NTQ3MzQ3MWMwMzcifQ=="/>
  </w:docVars>
  <w:rsids>
    <w:rsidRoot w:val="00172A27"/>
    <w:rsid w:val="00077EE0"/>
    <w:rsid w:val="0009791E"/>
    <w:rsid w:val="00381D90"/>
    <w:rsid w:val="0085713B"/>
    <w:rsid w:val="00934CE5"/>
    <w:rsid w:val="00A54FED"/>
    <w:rsid w:val="00B47305"/>
    <w:rsid w:val="00E2183E"/>
    <w:rsid w:val="01AE19BB"/>
    <w:rsid w:val="06141B83"/>
    <w:rsid w:val="0EC904D1"/>
    <w:rsid w:val="10C22F2D"/>
    <w:rsid w:val="15E81965"/>
    <w:rsid w:val="184C6627"/>
    <w:rsid w:val="198313FE"/>
    <w:rsid w:val="1AF8663C"/>
    <w:rsid w:val="1C6C753E"/>
    <w:rsid w:val="220F5B81"/>
    <w:rsid w:val="22C351A0"/>
    <w:rsid w:val="23CA0EE7"/>
    <w:rsid w:val="24B13986"/>
    <w:rsid w:val="28C45EB7"/>
    <w:rsid w:val="2DF138FA"/>
    <w:rsid w:val="2E560813"/>
    <w:rsid w:val="2E5D0D3C"/>
    <w:rsid w:val="2EA62F8F"/>
    <w:rsid w:val="33095920"/>
    <w:rsid w:val="367A4406"/>
    <w:rsid w:val="37647620"/>
    <w:rsid w:val="39DF3830"/>
    <w:rsid w:val="3ACD4548"/>
    <w:rsid w:val="406823F1"/>
    <w:rsid w:val="46B535D2"/>
    <w:rsid w:val="47C46A34"/>
    <w:rsid w:val="499A532E"/>
    <w:rsid w:val="522B1438"/>
    <w:rsid w:val="56533A0A"/>
    <w:rsid w:val="571D6847"/>
    <w:rsid w:val="5A0629BC"/>
    <w:rsid w:val="5D972077"/>
    <w:rsid w:val="61393BF3"/>
    <w:rsid w:val="69065264"/>
    <w:rsid w:val="704A337A"/>
    <w:rsid w:val="76636936"/>
    <w:rsid w:val="766E45BC"/>
    <w:rsid w:val="779C0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29"/>
    <w:qFormat/>
    <w:uiPriority w:val="0"/>
    <w:pPr>
      <w:keepNext/>
      <w:keepLines/>
      <w:spacing w:before="260" w:after="260" w:line="412" w:lineRule="auto"/>
      <w:outlineLvl w:val="1"/>
    </w:pPr>
    <w:rPr>
      <w:rFonts w:ascii="Arial" w:hAnsi="Arial" w:eastAsia="黑体"/>
      <w:b/>
      <w:kern w:val="0"/>
      <w:sz w:val="32"/>
      <w:szCs w:val="20"/>
    </w:rPr>
  </w:style>
  <w:style w:type="paragraph" w:styleId="4">
    <w:name w:val="heading 3"/>
    <w:basedOn w:val="1"/>
    <w:next w:val="1"/>
    <w:link w:val="30"/>
    <w:qFormat/>
    <w:uiPriority w:val="0"/>
    <w:pPr>
      <w:keepNext/>
      <w:keepLines/>
      <w:spacing w:before="260" w:after="260" w:line="412" w:lineRule="auto"/>
      <w:ind w:firstLine="49" w:firstLineChars="49"/>
      <w:outlineLvl w:val="2"/>
    </w:pPr>
    <w:rPr>
      <w:rFonts w:ascii="黑体" w:eastAsia="黑体"/>
      <w:kern w:val="0"/>
      <w:sz w:val="28"/>
      <w:szCs w:val="20"/>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szCs w:val="24"/>
    </w:rPr>
  </w:style>
  <w:style w:type="paragraph" w:styleId="6">
    <w:name w:val="Document Map"/>
    <w:basedOn w:val="1"/>
    <w:link w:val="36"/>
    <w:unhideWhenUsed/>
    <w:qFormat/>
    <w:uiPriority w:val="99"/>
    <w:rPr>
      <w:rFonts w:ascii="宋体"/>
      <w:kern w:val="0"/>
      <w:sz w:val="18"/>
      <w:szCs w:val="18"/>
    </w:rPr>
  </w:style>
  <w:style w:type="paragraph" w:styleId="7">
    <w:name w:val="annotation text"/>
    <w:basedOn w:val="1"/>
    <w:link w:val="35"/>
    <w:qFormat/>
    <w:uiPriority w:val="0"/>
    <w:pPr>
      <w:jc w:val="left"/>
    </w:pPr>
    <w:rPr>
      <w:rFonts w:ascii="Calibri" w:hAnsi="Calibri"/>
    </w:rPr>
  </w:style>
  <w:style w:type="paragraph" w:styleId="8">
    <w:name w:val="Body Text 3"/>
    <w:basedOn w:val="1"/>
    <w:link w:val="53"/>
    <w:qFormat/>
    <w:uiPriority w:val="0"/>
    <w:rPr>
      <w:rFonts w:ascii="宋体"/>
      <w:kern w:val="0"/>
      <w:sz w:val="24"/>
      <w:szCs w:val="20"/>
    </w:rPr>
  </w:style>
  <w:style w:type="paragraph" w:styleId="9">
    <w:name w:val="Body Text"/>
    <w:basedOn w:val="1"/>
    <w:next w:val="1"/>
    <w:link w:val="34"/>
    <w:unhideWhenUsed/>
    <w:qFormat/>
    <w:uiPriority w:val="0"/>
    <w:pPr>
      <w:spacing w:after="120"/>
    </w:pPr>
    <w:rPr>
      <w:kern w:val="0"/>
      <w:sz w:val="20"/>
      <w:szCs w:val="20"/>
    </w:rPr>
  </w:style>
  <w:style w:type="paragraph" w:styleId="10">
    <w:name w:val="Body Text Indent"/>
    <w:basedOn w:val="1"/>
    <w:link w:val="38"/>
    <w:qFormat/>
    <w:uiPriority w:val="0"/>
    <w:pPr>
      <w:spacing w:after="120"/>
      <w:ind w:left="420" w:leftChars="200"/>
    </w:pPr>
    <w:rPr>
      <w:kern w:val="0"/>
      <w:sz w:val="20"/>
      <w:szCs w:val="20"/>
    </w:rPr>
  </w:style>
  <w:style w:type="paragraph" w:styleId="11">
    <w:name w:val="Block Text"/>
    <w:basedOn w:val="1"/>
    <w:qFormat/>
    <w:uiPriority w:val="0"/>
    <w:pPr>
      <w:spacing w:line="440" w:lineRule="exact"/>
      <w:ind w:left="-540" w:leftChars="-257" w:right="-334" w:rightChars="-159" w:firstLine="1140"/>
    </w:pPr>
    <w:rPr>
      <w:sz w:val="24"/>
      <w:szCs w:val="20"/>
    </w:rPr>
  </w:style>
  <w:style w:type="paragraph" w:styleId="12">
    <w:name w:val="toc 3"/>
    <w:basedOn w:val="1"/>
    <w:next w:val="1"/>
    <w:qFormat/>
    <w:uiPriority w:val="39"/>
    <w:pPr>
      <w:ind w:left="400" w:leftChars="400"/>
    </w:pPr>
  </w:style>
  <w:style w:type="paragraph" w:styleId="13">
    <w:name w:val="Balloon Text"/>
    <w:basedOn w:val="1"/>
    <w:link w:val="32"/>
    <w:unhideWhenUsed/>
    <w:qFormat/>
    <w:uiPriority w:val="99"/>
    <w:rPr>
      <w:kern w:val="0"/>
      <w:sz w:val="18"/>
      <w:szCs w:val="18"/>
    </w:rPr>
  </w:style>
  <w:style w:type="paragraph" w:styleId="14">
    <w:name w:val="footer"/>
    <w:basedOn w:val="1"/>
    <w:link w:val="37"/>
    <w:unhideWhenUsed/>
    <w:qFormat/>
    <w:uiPriority w:val="99"/>
    <w:pPr>
      <w:tabs>
        <w:tab w:val="center" w:pos="4153"/>
        <w:tab w:val="right" w:pos="8306"/>
      </w:tabs>
      <w:snapToGrid w:val="0"/>
      <w:jc w:val="left"/>
    </w:pPr>
    <w:rPr>
      <w:kern w:val="0"/>
      <w:sz w:val="18"/>
      <w:szCs w:val="18"/>
    </w:rPr>
  </w:style>
  <w:style w:type="paragraph" w:styleId="15">
    <w:name w:val="header"/>
    <w:basedOn w:val="1"/>
    <w:link w:val="4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style>
  <w:style w:type="paragraph" w:styleId="17">
    <w:name w:val="Body Text Indent 3"/>
    <w:basedOn w:val="1"/>
    <w:link w:val="31"/>
    <w:qFormat/>
    <w:uiPriority w:val="0"/>
    <w:pPr>
      <w:spacing w:after="120"/>
      <w:ind w:left="420" w:leftChars="200"/>
    </w:pPr>
    <w:rPr>
      <w:kern w:val="0"/>
      <w:sz w:val="16"/>
      <w:szCs w:val="16"/>
    </w:rPr>
  </w:style>
  <w:style w:type="paragraph" w:styleId="18">
    <w:name w:val="toc 2"/>
    <w:basedOn w:val="1"/>
    <w:next w:val="1"/>
    <w:qFormat/>
    <w:uiPriority w:val="39"/>
    <w:pPr>
      <w:ind w:left="200" w:leftChars="200"/>
    </w:pPr>
  </w:style>
  <w:style w:type="paragraph" w:styleId="19">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20">
    <w:name w:val="Body Text First Indent"/>
    <w:basedOn w:val="9"/>
    <w:link w:val="46"/>
    <w:qFormat/>
    <w:uiPriority w:val="0"/>
    <w:pPr>
      <w:spacing w:line="312" w:lineRule="auto"/>
      <w:ind w:firstLine="420"/>
    </w:pPr>
    <w:rPr>
      <w:szCs w:val="24"/>
    </w:rPr>
  </w:style>
  <w:style w:type="paragraph" w:styleId="21">
    <w:name w:val="Body Text First Indent 2"/>
    <w:basedOn w:val="10"/>
    <w:qFormat/>
    <w:uiPriority w:val="0"/>
    <w:pPr>
      <w:ind w:firstLine="420"/>
    </w:pPr>
    <w:rPr>
      <w:rFonts w:ascii="Calibri" w:hAnsi="Calibri"/>
      <w:szCs w:val="24"/>
    </w:rPr>
  </w:style>
  <w:style w:type="character" w:styleId="24">
    <w:name w:val="FollowedHyperlink"/>
    <w:unhideWhenUsed/>
    <w:qFormat/>
    <w:uiPriority w:val="99"/>
    <w:rPr>
      <w:color w:val="800080"/>
      <w:u w:val="single"/>
    </w:rPr>
  </w:style>
  <w:style w:type="character" w:styleId="25">
    <w:name w:val="Hyperlink"/>
    <w:unhideWhenUsed/>
    <w:qFormat/>
    <w:uiPriority w:val="99"/>
    <w:rPr>
      <w:color w:val="000000"/>
      <w:u w:val="none"/>
    </w:rPr>
  </w:style>
  <w:style w:type="character" w:styleId="26">
    <w:name w:val="annotation reference"/>
    <w:qFormat/>
    <w:uiPriority w:val="0"/>
    <w:rPr>
      <w:sz w:val="21"/>
      <w:szCs w:val="21"/>
    </w:rPr>
  </w:style>
  <w:style w:type="paragraph" w:customStyle="1" w:styleId="2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8">
    <w:name w:val="标题 1 字符"/>
    <w:basedOn w:val="23"/>
    <w:link w:val="3"/>
    <w:qFormat/>
    <w:uiPriority w:val="0"/>
    <w:rPr>
      <w:rFonts w:ascii="Times New Roman" w:hAnsi="Times New Roman" w:eastAsia="宋体" w:cs="Times New Roman"/>
      <w:b/>
      <w:bCs/>
      <w:kern w:val="44"/>
      <w:sz w:val="44"/>
      <w:szCs w:val="44"/>
    </w:rPr>
  </w:style>
  <w:style w:type="character" w:customStyle="1" w:styleId="29">
    <w:name w:val="标题 2 字符"/>
    <w:basedOn w:val="23"/>
    <w:link w:val="2"/>
    <w:qFormat/>
    <w:uiPriority w:val="0"/>
    <w:rPr>
      <w:rFonts w:ascii="Arial" w:hAnsi="Arial" w:eastAsia="黑体" w:cs="Times New Roman"/>
      <w:b/>
      <w:kern w:val="0"/>
      <w:sz w:val="32"/>
      <w:szCs w:val="20"/>
    </w:rPr>
  </w:style>
  <w:style w:type="character" w:customStyle="1" w:styleId="30">
    <w:name w:val="标题 3 字符"/>
    <w:basedOn w:val="23"/>
    <w:link w:val="4"/>
    <w:qFormat/>
    <w:uiPriority w:val="0"/>
    <w:rPr>
      <w:rFonts w:ascii="黑体" w:hAnsi="Times New Roman" w:eastAsia="黑体" w:cs="Times New Roman"/>
      <w:kern w:val="0"/>
      <w:sz w:val="28"/>
      <w:szCs w:val="20"/>
    </w:rPr>
  </w:style>
  <w:style w:type="character" w:customStyle="1" w:styleId="31">
    <w:name w:val="正文文本缩进 3 字符"/>
    <w:link w:val="17"/>
    <w:qFormat/>
    <w:uiPriority w:val="0"/>
    <w:rPr>
      <w:rFonts w:ascii="Times New Roman" w:hAnsi="Times New Roman" w:eastAsia="宋体" w:cs="Times New Roman"/>
      <w:kern w:val="0"/>
      <w:sz w:val="16"/>
      <w:szCs w:val="16"/>
    </w:rPr>
  </w:style>
  <w:style w:type="character" w:customStyle="1" w:styleId="32">
    <w:name w:val="批注框文本 字符"/>
    <w:link w:val="13"/>
    <w:qFormat/>
    <w:uiPriority w:val="99"/>
    <w:rPr>
      <w:rFonts w:ascii="Times New Roman" w:hAnsi="Times New Roman" w:eastAsia="宋体" w:cs="Times New Roman"/>
      <w:kern w:val="0"/>
      <w:sz w:val="18"/>
      <w:szCs w:val="18"/>
    </w:rPr>
  </w:style>
  <w:style w:type="character" w:customStyle="1" w:styleId="33">
    <w:name w:val="正文文本缩进 3 Char1"/>
    <w:semiHidden/>
    <w:qFormat/>
    <w:uiPriority w:val="99"/>
    <w:rPr>
      <w:kern w:val="2"/>
      <w:sz w:val="16"/>
      <w:szCs w:val="16"/>
    </w:rPr>
  </w:style>
  <w:style w:type="character" w:customStyle="1" w:styleId="34">
    <w:name w:val="正文文本 字符"/>
    <w:link w:val="9"/>
    <w:qFormat/>
    <w:uiPriority w:val="0"/>
    <w:rPr>
      <w:rFonts w:ascii="Times New Roman" w:hAnsi="Times New Roman" w:eastAsia="宋体" w:cs="Times New Roman"/>
      <w:kern w:val="0"/>
      <w:sz w:val="20"/>
      <w:szCs w:val="20"/>
    </w:rPr>
  </w:style>
  <w:style w:type="character" w:customStyle="1" w:styleId="35">
    <w:name w:val="批注文字 字符"/>
    <w:link w:val="7"/>
    <w:qFormat/>
    <w:uiPriority w:val="0"/>
    <w:rPr>
      <w:rFonts w:ascii="Calibri" w:hAnsi="Calibri" w:eastAsia="宋体" w:cs="Times New Roman"/>
    </w:rPr>
  </w:style>
  <w:style w:type="character" w:customStyle="1" w:styleId="36">
    <w:name w:val="文档结构图 字符"/>
    <w:link w:val="6"/>
    <w:qFormat/>
    <w:uiPriority w:val="99"/>
    <w:rPr>
      <w:rFonts w:ascii="宋体" w:hAnsi="Times New Roman" w:eastAsia="宋体" w:cs="Times New Roman"/>
      <w:kern w:val="0"/>
      <w:sz w:val="18"/>
      <w:szCs w:val="18"/>
    </w:rPr>
  </w:style>
  <w:style w:type="character" w:customStyle="1" w:styleId="37">
    <w:name w:val="页脚 字符"/>
    <w:link w:val="14"/>
    <w:qFormat/>
    <w:uiPriority w:val="99"/>
    <w:rPr>
      <w:rFonts w:ascii="Times New Roman" w:hAnsi="Times New Roman" w:eastAsia="宋体" w:cs="Times New Roman"/>
      <w:kern w:val="0"/>
      <w:sz w:val="18"/>
      <w:szCs w:val="18"/>
    </w:rPr>
  </w:style>
  <w:style w:type="character" w:customStyle="1" w:styleId="38">
    <w:name w:val="正文文本缩进 字符"/>
    <w:link w:val="10"/>
    <w:qFormat/>
    <w:uiPriority w:val="0"/>
    <w:rPr>
      <w:rFonts w:ascii="Times New Roman" w:hAnsi="Times New Roman" w:eastAsia="宋体" w:cs="Times New Roman"/>
      <w:kern w:val="0"/>
      <w:sz w:val="20"/>
      <w:szCs w:val="20"/>
    </w:rPr>
  </w:style>
  <w:style w:type="character" w:customStyle="1" w:styleId="39">
    <w:name w:val="文一 Char Char"/>
    <w:link w:val="40"/>
    <w:qFormat/>
    <w:uiPriority w:val="0"/>
    <w:rPr>
      <w:spacing w:val="4"/>
      <w:sz w:val="24"/>
      <w:szCs w:val="24"/>
    </w:rPr>
  </w:style>
  <w:style w:type="paragraph" w:customStyle="1" w:styleId="40">
    <w:name w:val="文一"/>
    <w:basedOn w:val="1"/>
    <w:link w:val="39"/>
    <w:qFormat/>
    <w:uiPriority w:val="0"/>
    <w:pPr>
      <w:topLinePunct/>
      <w:adjustRightInd w:val="0"/>
      <w:snapToGrid w:val="0"/>
      <w:spacing w:line="360" w:lineRule="auto"/>
      <w:ind w:firstLine="200" w:firstLineChars="200"/>
    </w:pPr>
    <w:rPr>
      <w:rFonts w:asciiTheme="minorHAnsi" w:hAnsiTheme="minorHAnsi" w:eastAsiaTheme="minorEastAsia" w:cstheme="minorBidi"/>
      <w:spacing w:val="4"/>
      <w:sz w:val="24"/>
      <w:szCs w:val="24"/>
    </w:rPr>
  </w:style>
  <w:style w:type="character" w:customStyle="1" w:styleId="41">
    <w:name w:val="页脚 Char1"/>
    <w:semiHidden/>
    <w:qFormat/>
    <w:uiPriority w:val="99"/>
    <w:rPr>
      <w:rFonts w:ascii="Calibri" w:hAnsi="Calibri" w:eastAsia="宋体" w:cs="Times New Roman"/>
      <w:sz w:val="18"/>
      <w:szCs w:val="18"/>
    </w:rPr>
  </w:style>
  <w:style w:type="character" w:customStyle="1" w:styleId="42">
    <w:name w:val="批注框文本 Char1"/>
    <w:semiHidden/>
    <w:qFormat/>
    <w:uiPriority w:val="99"/>
    <w:rPr>
      <w:kern w:val="2"/>
      <w:sz w:val="18"/>
      <w:szCs w:val="18"/>
    </w:rPr>
  </w:style>
  <w:style w:type="character" w:customStyle="1" w:styleId="43">
    <w:name w:val="正文文本 3 Char1"/>
    <w:semiHidden/>
    <w:qFormat/>
    <w:uiPriority w:val="99"/>
    <w:rPr>
      <w:kern w:val="2"/>
      <w:sz w:val="16"/>
      <w:szCs w:val="16"/>
    </w:rPr>
  </w:style>
  <w:style w:type="character" w:customStyle="1" w:styleId="44">
    <w:name w:val="批注框文本 Char2"/>
    <w:semiHidden/>
    <w:qFormat/>
    <w:uiPriority w:val="99"/>
    <w:rPr>
      <w:kern w:val="2"/>
      <w:sz w:val="18"/>
      <w:szCs w:val="18"/>
    </w:rPr>
  </w:style>
  <w:style w:type="character" w:customStyle="1" w:styleId="45">
    <w:name w:val="正文文本缩进 Char1"/>
    <w:semiHidden/>
    <w:qFormat/>
    <w:uiPriority w:val="99"/>
    <w:rPr>
      <w:kern w:val="2"/>
      <w:sz w:val="21"/>
      <w:szCs w:val="22"/>
    </w:rPr>
  </w:style>
  <w:style w:type="character" w:customStyle="1" w:styleId="46">
    <w:name w:val="正文文本首行缩进 字符"/>
    <w:link w:val="20"/>
    <w:qFormat/>
    <w:uiPriority w:val="0"/>
    <w:rPr>
      <w:rFonts w:ascii="Times New Roman" w:hAnsi="Times New Roman" w:eastAsia="宋体" w:cs="Times New Roman"/>
      <w:kern w:val="0"/>
      <w:sz w:val="20"/>
      <w:szCs w:val="24"/>
    </w:rPr>
  </w:style>
  <w:style w:type="character" w:customStyle="1" w:styleId="47">
    <w:name w:val="页眉 字符"/>
    <w:link w:val="15"/>
    <w:qFormat/>
    <w:uiPriority w:val="99"/>
    <w:rPr>
      <w:rFonts w:ascii="Times New Roman" w:hAnsi="Times New Roman" w:eastAsia="宋体" w:cs="Times New Roman"/>
      <w:kern w:val="0"/>
      <w:sz w:val="18"/>
      <w:szCs w:val="18"/>
    </w:rPr>
  </w:style>
  <w:style w:type="character" w:customStyle="1" w:styleId="48">
    <w:name w:val="文档结构图 Char1"/>
    <w:semiHidden/>
    <w:qFormat/>
    <w:uiPriority w:val="99"/>
    <w:rPr>
      <w:rFonts w:ascii="宋体"/>
      <w:kern w:val="2"/>
      <w:sz w:val="18"/>
      <w:szCs w:val="18"/>
    </w:rPr>
  </w:style>
  <w:style w:type="character" w:customStyle="1" w:styleId="49">
    <w:name w:val="页眉 Char1"/>
    <w:semiHidden/>
    <w:qFormat/>
    <w:uiPriority w:val="99"/>
    <w:rPr>
      <w:rFonts w:ascii="Calibri" w:hAnsi="Calibri" w:eastAsia="宋体" w:cs="Times New Roman"/>
      <w:sz w:val="18"/>
      <w:szCs w:val="18"/>
    </w:rPr>
  </w:style>
  <w:style w:type="character" w:customStyle="1" w:styleId="50">
    <w:name w:val="正文首行缩进 Char1"/>
    <w:semiHidden/>
    <w:qFormat/>
    <w:uiPriority w:val="99"/>
  </w:style>
  <w:style w:type="character" w:customStyle="1" w:styleId="51">
    <w:name w:val="文档结构图 Char2"/>
    <w:semiHidden/>
    <w:qFormat/>
    <w:uiPriority w:val="99"/>
    <w:rPr>
      <w:rFonts w:ascii="宋体"/>
      <w:kern w:val="2"/>
      <w:sz w:val="18"/>
      <w:szCs w:val="18"/>
    </w:rPr>
  </w:style>
  <w:style w:type="character" w:customStyle="1" w:styleId="52">
    <w:name w:val="正文文本 Char1"/>
    <w:semiHidden/>
    <w:qFormat/>
    <w:uiPriority w:val="99"/>
    <w:rPr>
      <w:kern w:val="2"/>
      <w:sz w:val="21"/>
      <w:szCs w:val="22"/>
    </w:rPr>
  </w:style>
  <w:style w:type="character" w:customStyle="1" w:styleId="53">
    <w:name w:val="正文文本 3 字符"/>
    <w:link w:val="8"/>
    <w:qFormat/>
    <w:uiPriority w:val="0"/>
    <w:rPr>
      <w:rFonts w:ascii="宋体" w:hAnsi="Times New Roman" w:eastAsia="宋体" w:cs="Times New Roman"/>
      <w:kern w:val="0"/>
      <w:sz w:val="24"/>
      <w:szCs w:val="20"/>
    </w:rPr>
  </w:style>
  <w:style w:type="character" w:customStyle="1" w:styleId="54">
    <w:name w:val="页脚 字符1"/>
    <w:basedOn w:val="23"/>
    <w:semiHidden/>
    <w:qFormat/>
    <w:uiPriority w:val="99"/>
    <w:rPr>
      <w:rFonts w:ascii="Times New Roman" w:hAnsi="Times New Roman" w:eastAsia="宋体" w:cs="Times New Roman"/>
      <w:sz w:val="18"/>
      <w:szCs w:val="18"/>
    </w:rPr>
  </w:style>
  <w:style w:type="character" w:customStyle="1" w:styleId="55">
    <w:name w:val="正文文本 3 字符1"/>
    <w:basedOn w:val="23"/>
    <w:semiHidden/>
    <w:qFormat/>
    <w:uiPriority w:val="99"/>
    <w:rPr>
      <w:rFonts w:ascii="Times New Roman" w:hAnsi="Times New Roman" w:eastAsia="宋体" w:cs="Times New Roman"/>
      <w:sz w:val="16"/>
      <w:szCs w:val="16"/>
    </w:rPr>
  </w:style>
  <w:style w:type="character" w:customStyle="1" w:styleId="56">
    <w:name w:val="批注文字 字符1"/>
    <w:basedOn w:val="23"/>
    <w:semiHidden/>
    <w:qFormat/>
    <w:uiPriority w:val="99"/>
    <w:rPr>
      <w:rFonts w:ascii="Times New Roman" w:hAnsi="Times New Roman" w:eastAsia="宋体" w:cs="Times New Roman"/>
    </w:rPr>
  </w:style>
  <w:style w:type="character" w:customStyle="1" w:styleId="57">
    <w:name w:val="正文文本 字符1"/>
    <w:basedOn w:val="23"/>
    <w:semiHidden/>
    <w:qFormat/>
    <w:uiPriority w:val="99"/>
    <w:rPr>
      <w:rFonts w:ascii="Times New Roman" w:hAnsi="Times New Roman" w:eastAsia="宋体" w:cs="Times New Roman"/>
    </w:rPr>
  </w:style>
  <w:style w:type="character" w:customStyle="1" w:styleId="58">
    <w:name w:val="文档结构图 字符1"/>
    <w:basedOn w:val="23"/>
    <w:semiHidden/>
    <w:qFormat/>
    <w:uiPriority w:val="99"/>
    <w:rPr>
      <w:rFonts w:ascii="Microsoft YaHei UI" w:hAnsi="Times New Roman" w:eastAsia="Microsoft YaHei UI" w:cs="Times New Roman"/>
      <w:sz w:val="18"/>
      <w:szCs w:val="18"/>
    </w:rPr>
  </w:style>
  <w:style w:type="character" w:customStyle="1" w:styleId="59">
    <w:name w:val="正文文本缩进 3 字符1"/>
    <w:basedOn w:val="23"/>
    <w:semiHidden/>
    <w:qFormat/>
    <w:uiPriority w:val="99"/>
    <w:rPr>
      <w:rFonts w:ascii="Times New Roman" w:hAnsi="Times New Roman" w:eastAsia="宋体" w:cs="Times New Roman"/>
      <w:sz w:val="16"/>
      <w:szCs w:val="16"/>
    </w:rPr>
  </w:style>
  <w:style w:type="character" w:customStyle="1" w:styleId="60">
    <w:name w:val="正文文本缩进 字符1"/>
    <w:basedOn w:val="23"/>
    <w:semiHidden/>
    <w:qFormat/>
    <w:uiPriority w:val="99"/>
    <w:rPr>
      <w:rFonts w:ascii="Times New Roman" w:hAnsi="Times New Roman" w:eastAsia="宋体" w:cs="Times New Roman"/>
    </w:rPr>
  </w:style>
  <w:style w:type="character" w:customStyle="1" w:styleId="61">
    <w:name w:val="页眉 字符1"/>
    <w:basedOn w:val="23"/>
    <w:semiHidden/>
    <w:qFormat/>
    <w:uiPriority w:val="99"/>
    <w:rPr>
      <w:rFonts w:ascii="Times New Roman" w:hAnsi="Times New Roman" w:eastAsia="宋体" w:cs="Times New Roman"/>
      <w:sz w:val="18"/>
      <w:szCs w:val="18"/>
    </w:rPr>
  </w:style>
  <w:style w:type="paragraph" w:customStyle="1" w:styleId="62">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0"/>
      <w:lang w:val="en-US" w:eastAsia="zh-CN" w:bidi="ar-SA"/>
    </w:rPr>
  </w:style>
  <w:style w:type="paragraph" w:customStyle="1" w:styleId="63">
    <w:name w:val="样式 标题 2 +"/>
    <w:basedOn w:val="2"/>
    <w:qFormat/>
    <w:uiPriority w:val="0"/>
    <w:pPr>
      <w:tabs>
        <w:tab w:val="left" w:pos="0"/>
        <w:tab w:val="left" w:pos="567"/>
      </w:tabs>
      <w:spacing w:line="416" w:lineRule="auto"/>
      <w:ind w:left="420" w:hanging="420"/>
    </w:pPr>
    <w:rPr>
      <w:bCs/>
      <w:szCs w:val="32"/>
    </w:rPr>
  </w:style>
  <w:style w:type="character" w:customStyle="1" w:styleId="64">
    <w:name w:val="正文文本首行缩进 字符1"/>
    <w:basedOn w:val="57"/>
    <w:semiHidden/>
    <w:qFormat/>
    <w:uiPriority w:val="99"/>
    <w:rPr>
      <w:rFonts w:ascii="Times New Roman" w:hAnsi="Times New Roman" w:eastAsia="宋体" w:cs="Times New Roman"/>
    </w:rPr>
  </w:style>
  <w:style w:type="character" w:customStyle="1" w:styleId="65">
    <w:name w:val="批注框文本 字符1"/>
    <w:basedOn w:val="23"/>
    <w:semiHidden/>
    <w:qFormat/>
    <w:uiPriority w:val="99"/>
    <w:rPr>
      <w:rFonts w:ascii="Times New Roman" w:hAnsi="Times New Roman" w:eastAsia="宋体" w:cs="Times New Roman"/>
      <w:sz w:val="18"/>
      <w:szCs w:val="18"/>
    </w:rPr>
  </w:style>
  <w:style w:type="paragraph" w:styleId="66">
    <w:name w:val="List Paragraph"/>
    <w:basedOn w:val="1"/>
    <w:qFormat/>
    <w:uiPriority w:val="34"/>
    <w:pPr>
      <w:ind w:firstLine="420" w:firstLineChars="200"/>
    </w:pPr>
  </w:style>
  <w:style w:type="paragraph" w:customStyle="1" w:styleId="67">
    <w:name w:val="列出段落1"/>
    <w:basedOn w:val="1"/>
    <w:qFormat/>
    <w:uiPriority w:val="99"/>
    <w:pPr>
      <w:widowControl/>
      <w:ind w:firstLine="420" w:firstLineChars="200"/>
    </w:pPr>
    <w:rPr>
      <w:szCs w:val="20"/>
    </w:rPr>
  </w:style>
  <w:style w:type="paragraph" w:customStyle="1" w:styleId="68">
    <w:name w:val="_Style 19"/>
    <w:next w:val="1"/>
    <w:unhideWhenUsed/>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69">
    <w:name w:val="样式"/>
    <w:basedOn w:val="1"/>
    <w:next w:val="10"/>
    <w:qFormat/>
    <w:uiPriority w:val="0"/>
    <w:pPr>
      <w:jc w:val="center"/>
    </w:pPr>
    <w:rPr>
      <w:rFonts w:ascii="宋体" w:hAnsi="宋体"/>
      <w:color w:val="FF0000"/>
      <w:sz w:val="24"/>
      <w:szCs w:val="24"/>
    </w:rPr>
  </w:style>
  <w:style w:type="paragraph" w:customStyle="1" w:styleId="70">
    <w:name w:val="Revision"/>
    <w:unhideWhenUsed/>
    <w:qFormat/>
    <w:uiPriority w:val="99"/>
    <w:rPr>
      <w:rFonts w:ascii="Times New Roman" w:hAnsi="Times New Roman" w:eastAsia="宋体" w:cs="Times New Roman"/>
      <w:kern w:val="2"/>
      <w:sz w:val="21"/>
      <w:szCs w:val="22"/>
      <w:lang w:val="en-US" w:eastAsia="zh-CN" w:bidi="ar-SA"/>
    </w:rPr>
  </w:style>
  <w:style w:type="paragraph" w:customStyle="1" w:styleId="7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20586</Words>
  <Characters>21298</Characters>
  <Lines>429</Lines>
  <Paragraphs>120</Paragraphs>
  <TotalTime>0</TotalTime>
  <ScaleCrop>false</ScaleCrop>
  <LinksUpToDate>false</LinksUpToDate>
  <CharactersWithSpaces>21948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2022-06-06T07:58:00Z</dcterms:created>
  <dc:creator>CHAN HENRY</dc:creator>
  <cp:lastModifiedBy>陈俊杰</cp:lastModifiedBy>
  <dcterms:modified xsi:type="dcterms:W3CDTF">2022-09-27T04:23:57Z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400A494082E642E69A1570160B327A14</vt:lpwstr>
  </property>
</Properties>
</file>