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4DEAC">
      <w:pPr>
        <w:widowControl/>
        <w:autoSpaceDE w:val="0"/>
        <w:autoSpaceDN w:val="0"/>
        <w:adjustRightInd w:val="0"/>
        <w:spacing w:after="160" w:line="360" w:lineRule="auto"/>
        <w:jc w:val="center"/>
        <w:rPr>
          <w:rFonts w:hint="eastAsia" w:ascii="Calibri" w:hAnsi="Calibri" w:eastAsia="楷体_GB2312" w:cs="Calibri"/>
          <w:b/>
          <w:bCs/>
          <w:color w:val="auto"/>
          <w:spacing w:val="26"/>
          <w:sz w:val="52"/>
          <w:szCs w:val="110"/>
          <w:highlight w:val="none"/>
          <w:lang w:eastAsia="zh-CN"/>
          <w14:shadow w14:blurRad="50800" w14:dist="38100" w14:dir="2700000" w14:sx="100000" w14:sy="100000" w14:kx="0" w14:ky="0" w14:algn="tl">
            <w14:srgbClr w14:val="000000">
              <w14:alpha w14:val="60000"/>
            </w14:srgbClr>
          </w14:shadow>
        </w:rPr>
      </w:pPr>
      <w:r>
        <w:rPr>
          <w:rFonts w:hint="eastAsia" w:ascii="Calibri" w:hAnsi="Calibri" w:eastAsia="楷体_GB2312" w:cs="Calibri"/>
          <w:b/>
          <w:bCs/>
          <w:color w:val="auto"/>
          <w:spacing w:val="26"/>
          <w:sz w:val="52"/>
          <w:szCs w:val="110"/>
          <w:highlight w:val="none"/>
          <w:lang w:eastAsia="zh-CN"/>
          <w14:shadow w14:blurRad="50800" w14:dist="38100" w14:dir="2700000" w14:sx="100000" w14:sy="100000" w14:kx="0" w14:ky="0" w14:algn="tl">
            <w14:srgbClr w14:val="000000">
              <w14:alpha w14:val="60000"/>
            </w14:srgbClr>
          </w14:shadow>
        </w:rPr>
        <w:t>永宁街翟洞村安置区建设工程第三方检测监测（第二次）</w:t>
      </w:r>
    </w:p>
    <w:p w14:paraId="60FE2979">
      <w:pPr>
        <w:widowControl/>
        <w:autoSpaceDE w:val="0"/>
        <w:autoSpaceDN w:val="0"/>
        <w:adjustRightInd w:val="0"/>
        <w:spacing w:after="160" w:line="360" w:lineRule="auto"/>
        <w:jc w:val="center"/>
        <w:rPr>
          <w:rFonts w:hint="eastAsia" w:ascii="Calibri" w:hAnsi="Calibri" w:eastAsia="楷体_GB2312" w:cs="Calibri"/>
          <w:b/>
          <w:bCs/>
          <w:color w:val="auto"/>
          <w:spacing w:val="26"/>
          <w:sz w:val="52"/>
          <w:szCs w:val="110"/>
          <w:highlight w:val="none"/>
          <w14:shadow w14:blurRad="50800" w14:dist="38100" w14:dir="2700000" w14:sx="100000" w14:sy="100000" w14:kx="0" w14:ky="0" w14:algn="tl">
            <w14:srgbClr w14:val="000000">
              <w14:alpha w14:val="60000"/>
            </w14:srgbClr>
          </w14:shadow>
        </w:rPr>
      </w:pPr>
    </w:p>
    <w:p w14:paraId="32F21624">
      <w:pPr>
        <w:pStyle w:val="3"/>
        <w:rPr>
          <w:color w:val="auto"/>
          <w:highlight w:val="none"/>
        </w:rPr>
      </w:pPr>
    </w:p>
    <w:p w14:paraId="07701E3B">
      <w:pPr>
        <w:spacing w:line="400" w:lineRule="exact"/>
        <w:jc w:val="center"/>
        <w:rPr>
          <w:rFonts w:ascii="宋体" w:hAnsi="宋体"/>
          <w:color w:val="auto"/>
          <w:sz w:val="32"/>
          <w:szCs w:val="32"/>
          <w:highlight w:val="none"/>
        </w:rPr>
      </w:pPr>
    </w:p>
    <w:p w14:paraId="0CE9BEB3">
      <w:pPr>
        <w:jc w:val="center"/>
        <w:rPr>
          <w:rFonts w:ascii="宋体" w:hAnsi="宋体"/>
          <w:color w:val="auto"/>
          <w:sz w:val="32"/>
          <w:szCs w:val="32"/>
          <w:highlight w:val="none"/>
          <w:u w:val="single"/>
        </w:rPr>
      </w:pPr>
    </w:p>
    <w:p w14:paraId="73C7C596">
      <w:pPr>
        <w:widowControl/>
        <w:spacing w:after="160" w:line="360" w:lineRule="auto"/>
        <w:jc w:val="center"/>
        <w:rPr>
          <w:rFonts w:hint="eastAsia" w:ascii="Calibri" w:hAnsi="Calibri" w:eastAsia="楷体_GB2312" w:cs="Calibri"/>
          <w:b/>
          <w:bCs/>
          <w:color w:val="auto"/>
          <w:spacing w:val="26"/>
          <w:sz w:val="110"/>
          <w:szCs w:val="110"/>
          <w:highlight w:val="none"/>
          <w:lang w:eastAsia="zh-CN"/>
          <w14:shadow w14:blurRad="50800" w14:dist="38100" w14:dir="2700000" w14:sx="100000" w14:sy="100000" w14:kx="0" w14:ky="0" w14:algn="tl">
            <w14:srgbClr w14:val="000000">
              <w14:alpha w14:val="60000"/>
            </w14:srgbClr>
          </w14:shadow>
        </w:rPr>
      </w:pPr>
      <w:r>
        <w:rPr>
          <w:rFonts w:hint="eastAsia" w:ascii="Calibri" w:hAnsi="Calibri" w:eastAsia="楷体_GB2312" w:cs="Calibri"/>
          <w:b/>
          <w:bCs/>
          <w:color w:val="auto"/>
          <w:spacing w:val="26"/>
          <w:sz w:val="110"/>
          <w:szCs w:val="110"/>
          <w:highlight w:val="none"/>
          <w14:shadow w14:blurRad="50800" w14:dist="38100" w14:dir="2700000" w14:sx="100000" w14:sy="100000" w14:kx="0" w14:ky="0" w14:algn="tl">
            <w14:srgbClr w14:val="000000">
              <w14:alpha w14:val="60000"/>
            </w14:srgbClr>
          </w14:shadow>
        </w:rPr>
        <w:t>招标</w:t>
      </w:r>
      <w:r>
        <w:rPr>
          <w:rFonts w:hint="eastAsia" w:ascii="Calibri" w:hAnsi="Calibri" w:eastAsia="楷体_GB2312" w:cs="Calibri"/>
          <w:b/>
          <w:bCs/>
          <w:color w:val="auto"/>
          <w:spacing w:val="26"/>
          <w:sz w:val="110"/>
          <w:szCs w:val="110"/>
          <w:highlight w:val="none"/>
          <w:lang w:val="en-US" w:eastAsia="zh-CN"/>
          <w14:shadow w14:blurRad="50800" w14:dist="38100" w14:dir="2700000" w14:sx="100000" w14:sy="100000" w14:kx="0" w14:ky="0" w14:algn="tl">
            <w14:srgbClr w14:val="000000">
              <w14:alpha w14:val="60000"/>
            </w14:srgbClr>
          </w14:shadow>
        </w:rPr>
        <w:t>公告</w:t>
      </w:r>
    </w:p>
    <w:p w14:paraId="56B29580">
      <w:pPr>
        <w:jc w:val="center"/>
        <w:rPr>
          <w:rFonts w:ascii="宋体" w:hAnsi="宋体"/>
          <w:color w:val="auto"/>
          <w:sz w:val="32"/>
          <w:szCs w:val="32"/>
          <w:highlight w:val="none"/>
          <w:u w:val="single"/>
        </w:rPr>
      </w:pPr>
    </w:p>
    <w:p w14:paraId="02B3FDD7">
      <w:pPr>
        <w:jc w:val="center"/>
        <w:rPr>
          <w:rFonts w:ascii="宋体" w:hAnsi="宋体"/>
          <w:color w:val="auto"/>
          <w:sz w:val="32"/>
          <w:szCs w:val="32"/>
          <w:highlight w:val="none"/>
          <w:u w:val="single"/>
        </w:rPr>
      </w:pPr>
    </w:p>
    <w:p w14:paraId="34D709A1">
      <w:pPr>
        <w:jc w:val="center"/>
        <w:rPr>
          <w:rFonts w:ascii="宋体" w:hAnsi="宋体"/>
          <w:color w:val="auto"/>
          <w:sz w:val="32"/>
          <w:szCs w:val="32"/>
          <w:highlight w:val="none"/>
          <w:u w:val="single"/>
        </w:rPr>
      </w:pPr>
    </w:p>
    <w:p w14:paraId="3E691EDD">
      <w:pPr>
        <w:jc w:val="center"/>
        <w:rPr>
          <w:rFonts w:ascii="宋体" w:hAnsi="宋体"/>
          <w:color w:val="auto"/>
          <w:sz w:val="32"/>
          <w:szCs w:val="32"/>
          <w:highlight w:val="none"/>
          <w:u w:val="single"/>
        </w:rPr>
      </w:pPr>
    </w:p>
    <w:p w14:paraId="437DC658">
      <w:pPr>
        <w:rPr>
          <w:rFonts w:ascii="宋体" w:hAnsi="宋体"/>
          <w:color w:val="auto"/>
          <w:sz w:val="32"/>
          <w:szCs w:val="32"/>
          <w:highlight w:val="none"/>
          <w:u w:val="single"/>
        </w:rPr>
      </w:pPr>
    </w:p>
    <w:p w14:paraId="4AE82F71">
      <w:pPr>
        <w:snapToGrid w:val="0"/>
        <w:spacing w:line="360" w:lineRule="auto"/>
        <w:ind w:firstLine="562" w:firstLineChars="200"/>
        <w:rPr>
          <w:rFonts w:ascii="宋体" w:hAnsi="宋体"/>
          <w:b/>
          <w:color w:val="auto"/>
          <w:sz w:val="28"/>
          <w:szCs w:val="24"/>
          <w:highlight w:val="none"/>
        </w:rPr>
      </w:pPr>
    </w:p>
    <w:p w14:paraId="33A39274">
      <w:pPr>
        <w:autoSpaceDE w:val="0"/>
        <w:autoSpaceDN w:val="0"/>
        <w:adjustRightInd w:val="0"/>
        <w:spacing w:line="360" w:lineRule="auto"/>
        <w:ind w:firstLine="1205"/>
        <w:outlineLvl w:val="0"/>
        <w:rPr>
          <w:rFonts w:hint="eastAsia" w:ascii="宋体" w:hAnsi="宋体" w:cs="宋体"/>
          <w:b/>
          <w:bCs/>
          <w:color w:val="auto"/>
          <w:sz w:val="30"/>
          <w:szCs w:val="30"/>
          <w:highlight w:val="none"/>
          <w:u w:val="single"/>
          <w:lang w:val="zh-CN"/>
        </w:rPr>
      </w:pPr>
      <w:r>
        <w:rPr>
          <w:rFonts w:hint="eastAsia" w:ascii="宋体" w:hAnsi="宋体" w:cs="宋体"/>
          <w:b/>
          <w:bCs/>
          <w:color w:val="auto"/>
          <w:sz w:val="30"/>
          <w:szCs w:val="30"/>
          <w:highlight w:val="none"/>
          <w:lang w:val="zh-CN"/>
        </w:rPr>
        <w:t>招</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标</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人：广州市增城区人民政府永宁街道办事处</w:t>
      </w:r>
    </w:p>
    <w:p w14:paraId="5BC96145">
      <w:pPr>
        <w:autoSpaceDE w:val="0"/>
        <w:autoSpaceDN w:val="0"/>
        <w:adjustRightInd w:val="0"/>
        <w:spacing w:line="360" w:lineRule="auto"/>
        <w:ind w:firstLine="1205"/>
        <w:outlineLvl w:val="0"/>
        <w:rPr>
          <w:rFonts w:hint="eastAsia" w:ascii="宋体" w:hAnsi="宋体" w:cs="宋体"/>
          <w:b/>
          <w:bCs/>
          <w:color w:val="auto"/>
          <w:sz w:val="30"/>
          <w:szCs w:val="30"/>
          <w:highlight w:val="none"/>
          <w:u w:val="single"/>
        </w:rPr>
      </w:pPr>
      <w:r>
        <w:rPr>
          <w:rFonts w:hint="eastAsia" w:ascii="宋体" w:hAnsi="宋体" w:cs="宋体"/>
          <w:b/>
          <w:bCs/>
          <w:color w:val="auto"/>
          <w:sz w:val="30"/>
          <w:szCs w:val="30"/>
          <w:highlight w:val="none"/>
          <w:lang w:val="zh-CN"/>
        </w:rPr>
        <w:t>招标代理机构：广东建瀚工程管理有限公司</w:t>
      </w:r>
    </w:p>
    <w:p w14:paraId="2B642A13">
      <w:pPr>
        <w:spacing w:line="360" w:lineRule="auto"/>
        <w:ind w:firstLine="1193" w:firstLineChars="396"/>
        <w:outlineLvl w:val="0"/>
        <w:rPr>
          <w:rFonts w:hint="eastAsia" w:ascii="宋体" w:hAnsi="宋体" w:cs="宋体"/>
          <w:color w:val="auto"/>
          <w:sz w:val="36"/>
          <w:szCs w:val="36"/>
          <w:highlight w:val="none"/>
        </w:rPr>
        <w:sectPr>
          <w:pgSz w:w="11906" w:h="16838"/>
          <w:pgMar w:top="1440" w:right="1418" w:bottom="1440" w:left="1418" w:header="851" w:footer="992" w:gutter="0"/>
          <w:cols w:space="720" w:num="1"/>
          <w:docGrid w:type="lines" w:linePitch="312" w:charSpace="0"/>
        </w:sectPr>
      </w:pPr>
      <w:r>
        <w:rPr>
          <w:rFonts w:hint="eastAsia" w:ascii="宋体" w:hAnsi="宋体" w:cs="宋体"/>
          <w:b/>
          <w:bCs/>
          <w:color w:val="auto"/>
          <w:sz w:val="30"/>
          <w:szCs w:val="30"/>
          <w:highlight w:val="none"/>
          <w:lang w:val="zh-CN"/>
        </w:rPr>
        <w:t>日</w:t>
      </w:r>
      <w:r>
        <w:rPr>
          <w:rFonts w:hint="eastAsia" w:ascii="宋体" w:hAnsi="宋体" w:cs="宋体"/>
          <w:b/>
          <w:bCs/>
          <w:color w:val="auto"/>
          <w:sz w:val="30"/>
          <w:szCs w:val="30"/>
          <w:highlight w:val="none"/>
        </w:rPr>
        <w:t xml:space="preserve">        </w:t>
      </w:r>
      <w:r>
        <w:rPr>
          <w:rFonts w:hint="eastAsia" w:ascii="宋体" w:hAnsi="宋体" w:cs="宋体"/>
          <w:b/>
          <w:bCs/>
          <w:color w:val="auto"/>
          <w:sz w:val="30"/>
          <w:szCs w:val="30"/>
          <w:highlight w:val="none"/>
          <w:lang w:val="zh-CN"/>
        </w:rPr>
        <w:t>期</w:t>
      </w:r>
      <w:r>
        <w:rPr>
          <w:rFonts w:hint="eastAsia" w:ascii="宋体" w:hAnsi="宋体" w:cs="宋体"/>
          <w:b/>
          <w:bCs/>
          <w:color w:val="auto"/>
          <w:sz w:val="30"/>
          <w:szCs w:val="30"/>
          <w:highlight w:val="none"/>
        </w:rPr>
        <w:t>：202</w:t>
      </w:r>
      <w:r>
        <w:rPr>
          <w:rFonts w:hint="eastAsia" w:ascii="宋体" w:hAnsi="宋体" w:cs="宋体"/>
          <w:b/>
          <w:bCs/>
          <w:color w:val="auto"/>
          <w:sz w:val="30"/>
          <w:szCs w:val="30"/>
          <w:highlight w:val="none"/>
          <w:lang w:val="en-US" w:eastAsia="zh-CN"/>
        </w:rPr>
        <w:t>5</w:t>
      </w:r>
      <w:r>
        <w:rPr>
          <w:rFonts w:hint="eastAsia" w:ascii="宋体" w:hAnsi="宋体" w:cs="宋体"/>
          <w:b/>
          <w:bCs/>
          <w:color w:val="auto"/>
          <w:sz w:val="30"/>
          <w:szCs w:val="30"/>
          <w:highlight w:val="none"/>
          <w:lang w:val="zh-CN"/>
        </w:rPr>
        <w:t>年</w:t>
      </w:r>
      <w:r>
        <w:rPr>
          <w:rFonts w:hint="eastAsia" w:ascii="宋体" w:hAnsi="宋体" w:cs="宋体"/>
          <w:b/>
          <w:bCs/>
          <w:color w:val="auto"/>
          <w:sz w:val="30"/>
          <w:szCs w:val="30"/>
          <w:highlight w:val="none"/>
          <w:lang w:val="en-US" w:eastAsia="zh-CN"/>
        </w:rPr>
        <w:t>3</w:t>
      </w:r>
      <w:r>
        <w:rPr>
          <w:rFonts w:hint="eastAsia" w:ascii="宋体" w:hAnsi="宋体" w:cs="宋体"/>
          <w:b/>
          <w:bCs/>
          <w:color w:val="auto"/>
          <w:sz w:val="30"/>
          <w:szCs w:val="30"/>
          <w:highlight w:val="none"/>
          <w:lang w:val="zh-CN"/>
        </w:rPr>
        <w:t>月</w:t>
      </w:r>
    </w:p>
    <w:p w14:paraId="0AF78EA2">
      <w:pPr>
        <w:rPr>
          <w:color w:val="auto"/>
          <w:highlight w:val="none"/>
        </w:rPr>
      </w:pPr>
    </w:p>
    <w:p w14:paraId="6CE90EF8">
      <w:pPr>
        <w:jc w:val="center"/>
        <w:rPr>
          <w:rFonts w:hint="eastAsia" w:eastAsia="宋体"/>
          <w:b/>
          <w:color w:val="auto"/>
          <w:sz w:val="36"/>
          <w:szCs w:val="32"/>
          <w:highlight w:val="none"/>
          <w:lang w:eastAsia="zh-CN"/>
        </w:rPr>
      </w:pPr>
      <w:r>
        <w:rPr>
          <w:rFonts w:hint="eastAsia"/>
          <w:b/>
          <w:color w:val="auto"/>
          <w:sz w:val="36"/>
          <w:szCs w:val="32"/>
          <w:highlight w:val="none"/>
          <w:lang w:eastAsia="zh-CN"/>
        </w:rPr>
        <w:t>永宁街翟洞村安置区建设工程第三方检测监测（第二次）</w:t>
      </w:r>
    </w:p>
    <w:p w14:paraId="23B5CCAF">
      <w:pPr>
        <w:jc w:val="center"/>
        <w:rPr>
          <w:rFonts w:hint="eastAsia" w:ascii="宋体" w:hAnsi="宋体" w:cs="宋体"/>
          <w:color w:val="auto"/>
          <w:sz w:val="36"/>
          <w:szCs w:val="36"/>
          <w:highlight w:val="none"/>
        </w:rPr>
      </w:pPr>
      <w:r>
        <w:rPr>
          <w:b/>
          <w:color w:val="auto"/>
          <w:sz w:val="36"/>
          <w:szCs w:val="36"/>
          <w:highlight w:val="none"/>
        </w:rPr>
        <w:t>招标公告</w:t>
      </w:r>
    </w:p>
    <w:p w14:paraId="0C3244E4">
      <w:pPr>
        <w:spacing w:line="360" w:lineRule="auto"/>
        <w:outlineLvl w:val="0"/>
        <w:rPr>
          <w:rFonts w:hint="eastAsia" w:ascii="宋体" w:hAnsi="宋体" w:cs="宋体"/>
          <w:b/>
          <w:color w:val="auto"/>
          <w:sz w:val="24"/>
          <w:szCs w:val="24"/>
          <w:highlight w:val="none"/>
        </w:rPr>
      </w:pPr>
      <w:bookmarkStart w:id="0" w:name="_Toc2230_WPSOffice_Level2"/>
      <w:bookmarkStart w:id="1" w:name="_Toc221949923"/>
      <w:bookmarkStart w:id="2" w:name="_Toc11558_WPSOffice_Level2"/>
    </w:p>
    <w:bookmarkEnd w:id="0"/>
    <w:bookmarkEnd w:id="1"/>
    <w:bookmarkEnd w:id="2"/>
    <w:p w14:paraId="4BB7A105">
      <w:pPr>
        <w:spacing w:line="360" w:lineRule="auto"/>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1.招标条件</w:t>
      </w:r>
    </w:p>
    <w:p w14:paraId="3A6DD3BB">
      <w:pPr>
        <w:spacing w:line="360" w:lineRule="auto"/>
        <w:ind w:firstLine="420" w:firstLineChars="200"/>
        <w:rPr>
          <w:rFonts w:hint="eastAsia" w:ascii="宋体" w:hAnsi="宋体" w:cs="宋体"/>
          <w:color w:val="auto"/>
          <w:szCs w:val="21"/>
          <w:highlight w:val="none"/>
        </w:rPr>
      </w:pPr>
      <w:bookmarkStart w:id="3" w:name="_Toc221949924"/>
      <w:bookmarkStart w:id="4" w:name="_Toc222032633"/>
      <w:bookmarkStart w:id="5" w:name="_Toc168476030"/>
      <w:bookmarkStart w:id="6" w:name="_Toc222029464"/>
      <w:bookmarkStart w:id="7" w:name="_Toc222030966"/>
      <w:bookmarkStart w:id="8" w:name="_Toc168475627"/>
      <w:bookmarkStart w:id="9" w:name="_Toc222033815"/>
      <w:bookmarkStart w:id="10" w:name="_Toc259524297"/>
      <w:bookmarkStart w:id="11" w:name="_Toc229305324"/>
      <w:r>
        <w:rPr>
          <w:rFonts w:hint="eastAsia" w:ascii="宋体" w:hAnsi="宋体" w:cs="宋体"/>
          <w:color w:val="auto"/>
          <w:szCs w:val="21"/>
          <w:highlight w:val="none"/>
        </w:rPr>
        <w:t>本招标项目</w:t>
      </w:r>
      <w:r>
        <w:rPr>
          <w:rFonts w:hint="eastAsia" w:ascii="宋体" w:hAnsi="宋体" w:cs="宋体"/>
          <w:color w:val="auto"/>
          <w:szCs w:val="21"/>
          <w:highlight w:val="none"/>
          <w:u w:val="single"/>
          <w:lang w:eastAsia="zh-CN"/>
        </w:rPr>
        <w:t>永宁街翟洞村安置区建设工程</w:t>
      </w:r>
      <w:r>
        <w:rPr>
          <w:rFonts w:hint="eastAsia" w:ascii="宋体" w:hAnsi="宋体" w:cs="宋体"/>
          <w:color w:val="auto"/>
          <w:szCs w:val="21"/>
          <w:highlight w:val="none"/>
        </w:rPr>
        <w:t>已由</w:t>
      </w:r>
      <w:r>
        <w:rPr>
          <w:rFonts w:hint="eastAsia" w:ascii="宋体" w:hAnsi="宋体" w:cs="宋体"/>
          <w:color w:val="auto"/>
          <w:szCs w:val="21"/>
          <w:highlight w:val="none"/>
          <w:u w:val="single"/>
        </w:rPr>
        <w:t>广州市增城区发展和改革局</w:t>
      </w:r>
      <w:r>
        <w:rPr>
          <w:rFonts w:hint="eastAsia" w:ascii="宋体" w:hAnsi="宋体" w:cs="宋体"/>
          <w:color w:val="auto"/>
          <w:szCs w:val="21"/>
          <w:highlight w:val="none"/>
        </w:rPr>
        <w:t>以</w:t>
      </w:r>
      <w:r>
        <w:rPr>
          <w:rFonts w:hint="eastAsia" w:ascii="宋体" w:hAnsi="宋体" w:cs="宋体"/>
          <w:color w:val="auto"/>
          <w:szCs w:val="21"/>
          <w:highlight w:val="none"/>
          <w:u w:val="single"/>
        </w:rPr>
        <w:t>穗增发改投批[2024]74号(2309-440118-04-01-836114)</w:t>
      </w:r>
      <w:r>
        <w:rPr>
          <w:rFonts w:hint="eastAsia" w:ascii="宋体" w:hAnsi="宋体" w:cs="宋体"/>
          <w:color w:val="auto"/>
          <w:szCs w:val="21"/>
          <w:highlight w:val="none"/>
        </w:rPr>
        <w:t>批准建设，建设业主为</w:t>
      </w:r>
      <w:r>
        <w:rPr>
          <w:rFonts w:hint="eastAsia" w:ascii="宋体" w:hAnsi="宋体" w:cs="宋体"/>
          <w:color w:val="auto"/>
          <w:szCs w:val="21"/>
          <w:highlight w:val="none"/>
          <w:u w:val="single"/>
          <w:lang w:eastAsia="zh-CN"/>
        </w:rPr>
        <w:t>广州市增城区人民政府永宁街道办事处</w:t>
      </w:r>
      <w:r>
        <w:rPr>
          <w:rFonts w:hint="eastAsia" w:ascii="宋体" w:hAnsi="宋体" w:cs="宋体"/>
          <w:color w:val="auto"/>
          <w:szCs w:val="21"/>
          <w:highlight w:val="none"/>
        </w:rPr>
        <w:t>，建设资金来自</w:t>
      </w:r>
      <w:r>
        <w:rPr>
          <w:rFonts w:hint="eastAsia" w:ascii="宋体" w:hAnsi="宋体" w:cs="宋体"/>
          <w:color w:val="auto"/>
          <w:szCs w:val="21"/>
          <w:highlight w:val="none"/>
          <w:u w:val="single"/>
          <w:lang w:val="en-US" w:eastAsia="zh-CN"/>
        </w:rPr>
        <w:t>增城区永宁街翟洞周边共建资金安排解决</w:t>
      </w:r>
      <w:r>
        <w:rPr>
          <w:rFonts w:hint="eastAsia" w:ascii="宋体" w:hAnsi="宋体" w:cs="宋体"/>
          <w:color w:val="auto"/>
          <w:szCs w:val="21"/>
          <w:highlight w:val="none"/>
        </w:rPr>
        <w:t>，出资比例为</w:t>
      </w:r>
      <w:r>
        <w:rPr>
          <w:rFonts w:hint="eastAsia" w:ascii="宋体" w:hAnsi="宋体" w:cs="宋体"/>
          <w:color w:val="auto"/>
          <w:szCs w:val="21"/>
          <w:highlight w:val="none"/>
          <w:u w:val="single"/>
        </w:rPr>
        <w:t>100%</w:t>
      </w:r>
      <w:r>
        <w:rPr>
          <w:rFonts w:hint="eastAsia" w:ascii="宋体" w:hAnsi="宋体" w:cs="宋体"/>
          <w:color w:val="auto"/>
          <w:szCs w:val="21"/>
          <w:highlight w:val="none"/>
        </w:rPr>
        <w:t>，招标人为</w:t>
      </w:r>
      <w:r>
        <w:rPr>
          <w:rFonts w:hint="eastAsia" w:ascii="宋体" w:hAnsi="宋体" w:cs="宋体"/>
          <w:color w:val="auto"/>
          <w:szCs w:val="21"/>
          <w:highlight w:val="none"/>
          <w:u w:val="single"/>
          <w:lang w:eastAsia="zh-CN"/>
        </w:rPr>
        <w:t>广州市增城区人民政府永宁街道办事处</w:t>
      </w:r>
      <w:r>
        <w:rPr>
          <w:rFonts w:hint="eastAsia" w:ascii="宋体" w:hAnsi="宋体" w:cs="宋体"/>
          <w:color w:val="auto"/>
          <w:szCs w:val="21"/>
          <w:highlight w:val="none"/>
        </w:rPr>
        <w:t>。项目已具备招标条件，现对该项目的</w:t>
      </w:r>
      <w:r>
        <w:rPr>
          <w:rFonts w:hint="eastAsia" w:ascii="宋体" w:hAnsi="宋体" w:cs="宋体"/>
          <w:color w:val="auto"/>
          <w:szCs w:val="21"/>
          <w:highlight w:val="none"/>
          <w:u w:val="single"/>
          <w:lang w:val="en-US" w:eastAsia="zh-CN"/>
        </w:rPr>
        <w:t>第三方</w:t>
      </w:r>
      <w:r>
        <w:rPr>
          <w:rFonts w:hint="eastAsia" w:ascii="宋体" w:hAnsi="宋体" w:cs="宋体"/>
          <w:color w:val="auto"/>
          <w:szCs w:val="21"/>
          <w:highlight w:val="none"/>
          <w:u w:val="single"/>
        </w:rPr>
        <w:t>检测监测</w:t>
      </w:r>
      <w:r>
        <w:rPr>
          <w:rFonts w:hint="eastAsia" w:ascii="宋体" w:hAnsi="宋体" w:cs="宋体"/>
          <w:color w:val="auto"/>
          <w:szCs w:val="21"/>
          <w:highlight w:val="none"/>
        </w:rPr>
        <w:t>进行公开招标。</w:t>
      </w:r>
    </w:p>
    <w:p w14:paraId="440852DE">
      <w:pPr>
        <w:spacing w:line="360" w:lineRule="auto"/>
        <w:outlineLvl w:val="0"/>
        <w:rPr>
          <w:rFonts w:hint="eastAsia" w:ascii="宋体" w:hAnsi="宋体" w:cs="宋体"/>
          <w:b/>
          <w:color w:val="auto"/>
          <w:sz w:val="24"/>
          <w:szCs w:val="24"/>
          <w:highlight w:val="none"/>
        </w:rPr>
      </w:pPr>
      <w:bookmarkStart w:id="12" w:name="_Toc21759_WPSOffice_Level2"/>
      <w:bookmarkStart w:id="13" w:name="_Toc9584_WPSOffice_Level2"/>
      <w:r>
        <w:rPr>
          <w:rFonts w:hint="eastAsia" w:ascii="宋体" w:hAnsi="宋体" w:cs="宋体"/>
          <w:b/>
          <w:color w:val="auto"/>
          <w:sz w:val="24"/>
          <w:szCs w:val="24"/>
          <w:highlight w:val="none"/>
        </w:rPr>
        <w:t>2. 项目概况与招标范围</w:t>
      </w:r>
      <w:bookmarkEnd w:id="3"/>
      <w:bookmarkEnd w:id="4"/>
      <w:bookmarkEnd w:id="5"/>
      <w:bookmarkEnd w:id="6"/>
      <w:bookmarkEnd w:id="7"/>
      <w:bookmarkEnd w:id="8"/>
      <w:bookmarkEnd w:id="9"/>
      <w:bookmarkEnd w:id="10"/>
      <w:bookmarkEnd w:id="11"/>
      <w:bookmarkEnd w:id="12"/>
      <w:bookmarkEnd w:id="13"/>
    </w:p>
    <w:p w14:paraId="1FF28498">
      <w:pPr>
        <w:spacing w:line="360" w:lineRule="auto"/>
        <w:ind w:firstLine="472" w:firstLineChars="2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2.1项目名称：</w:t>
      </w:r>
      <w:bookmarkStart w:id="14" w:name="_Toc229305325"/>
      <w:bookmarkStart w:id="15" w:name="_Toc221949926"/>
      <w:bookmarkStart w:id="16" w:name="_Toc259524298"/>
      <w:bookmarkStart w:id="17" w:name="_Toc222030967"/>
      <w:bookmarkStart w:id="18" w:name="_Toc144974482"/>
      <w:bookmarkStart w:id="19" w:name="_Toc168475628"/>
      <w:bookmarkStart w:id="20" w:name="_Toc222033816"/>
      <w:bookmarkStart w:id="21" w:name="_Toc168476031"/>
      <w:bookmarkStart w:id="22" w:name="_Toc222029465"/>
      <w:bookmarkStart w:id="23" w:name="_Toc222032634"/>
      <w:r>
        <w:rPr>
          <w:rFonts w:hint="eastAsia" w:ascii="宋体" w:hAnsi="宋体" w:cs="宋体"/>
          <w:color w:val="auto"/>
          <w:szCs w:val="21"/>
          <w:highlight w:val="none"/>
          <w:u w:val="single"/>
          <w:lang w:eastAsia="zh-CN"/>
        </w:rPr>
        <w:t>永宁街翟洞村安置区建设工程第三方检测监测（第二次）</w:t>
      </w:r>
    </w:p>
    <w:p w14:paraId="6A54215F">
      <w:pPr>
        <w:spacing w:line="360" w:lineRule="auto"/>
        <w:ind w:firstLine="472" w:firstLineChars="225"/>
        <w:rPr>
          <w:rStyle w:val="12"/>
          <w:rFonts w:hint="eastAsia" w:ascii="宋体" w:hAnsi="宋体" w:cs="宋体"/>
          <w:color w:val="auto"/>
          <w:szCs w:val="21"/>
          <w:highlight w:val="none"/>
        </w:rPr>
      </w:pPr>
      <w:r>
        <w:rPr>
          <w:rFonts w:hint="eastAsia" w:ascii="宋体" w:hAnsi="宋体" w:cs="宋体"/>
          <w:color w:val="auto"/>
          <w:szCs w:val="21"/>
          <w:highlight w:val="none"/>
        </w:rPr>
        <w:t>2.2建设地点：</w:t>
      </w:r>
      <w:r>
        <w:rPr>
          <w:rFonts w:hint="eastAsia" w:ascii="宋体" w:hAnsi="宋体" w:cs="宋体"/>
          <w:color w:val="auto"/>
          <w:szCs w:val="21"/>
          <w:highlight w:val="none"/>
          <w:u w:val="single"/>
          <w:lang w:val="en-US" w:eastAsia="zh-CN"/>
        </w:rPr>
        <w:t>项目位于永宁街翟洞村北部、荔湖城轻轨站附近</w:t>
      </w:r>
      <w:r>
        <w:rPr>
          <w:rFonts w:hint="eastAsia" w:ascii="宋体" w:hAnsi="宋体" w:cs="宋体"/>
          <w:color w:val="auto"/>
          <w:szCs w:val="21"/>
          <w:highlight w:val="none"/>
          <w:u w:val="single"/>
        </w:rPr>
        <w:t>。</w:t>
      </w:r>
    </w:p>
    <w:p w14:paraId="06A82FC9">
      <w:pPr>
        <w:spacing w:line="360" w:lineRule="auto"/>
        <w:ind w:firstLine="472" w:firstLineChars="225"/>
        <w:rPr>
          <w:rFonts w:hint="eastAsia" w:ascii="宋体" w:hAnsi="宋体" w:cs="宋体"/>
          <w:color w:val="auto"/>
          <w:szCs w:val="21"/>
          <w:highlight w:val="none"/>
          <w:u w:val="single"/>
        </w:rPr>
      </w:pPr>
      <w:r>
        <w:rPr>
          <w:rFonts w:hint="eastAsia" w:ascii="宋体" w:hAnsi="宋体" w:cs="宋体"/>
          <w:color w:val="auto"/>
          <w:szCs w:val="21"/>
          <w:highlight w:val="none"/>
        </w:rPr>
        <w:t>2.3项目规模：</w:t>
      </w:r>
      <w:r>
        <w:rPr>
          <w:rFonts w:hint="eastAsia" w:ascii="宋体" w:hAnsi="宋体" w:eastAsia="宋体" w:cs="宋体"/>
          <w:color w:val="auto"/>
          <w:szCs w:val="21"/>
          <w:highlight w:val="none"/>
          <w:u w:val="single"/>
          <w:lang w:val="en-US" w:eastAsia="zh-CN"/>
        </w:rPr>
        <w:t>项目位于永宁街翟洞村北部、荔湖城轻轨站附近，规划总用地面积25692.5平方米，总建筑面积94452.68平方米，计容积率面积70592平方米，其中:5栋住宅建筑面积67110平方米（拟建两幢二十二层高层住宅、两幢二十三层高层住宅、一幢二十五层高层住宅），单层商业建筑面积1343平方米，配套公建建筑面积2139平方米;不计算容积率建筑面积23860.68平方米，其中:地下室建筑面积22540.68平方米，架空建筑面积1320平方米。项目建设机动车泊位数758个，非机动车泊位数700个，综合容积率2.75，总建筑密度26.01%，绿地率≥30%。项目主要建设内容包括建筑、道路、给排水、交通、电力、照明、通信、绿化景观等工程</w:t>
      </w:r>
      <w:r>
        <w:rPr>
          <w:rFonts w:hint="eastAsia" w:ascii="宋体" w:hAnsi="宋体" w:cs="宋体"/>
          <w:color w:val="auto"/>
          <w:szCs w:val="21"/>
          <w:highlight w:val="none"/>
          <w:u w:val="single"/>
        </w:rPr>
        <w:t>。</w:t>
      </w:r>
    </w:p>
    <w:p w14:paraId="4816C606">
      <w:pPr>
        <w:spacing w:line="360" w:lineRule="auto"/>
        <w:ind w:firstLine="472" w:firstLineChars="225"/>
        <w:rPr>
          <w:rFonts w:hint="eastAsia" w:ascii="宋体" w:hAnsi="宋体" w:cs="宋体"/>
          <w:color w:val="auto"/>
          <w:szCs w:val="21"/>
          <w:highlight w:val="none"/>
          <w:u w:val="single"/>
        </w:rPr>
      </w:pPr>
      <w:r>
        <w:rPr>
          <w:rFonts w:hint="eastAsia" w:ascii="宋体" w:hAnsi="宋体" w:cs="宋体"/>
          <w:color w:val="auto"/>
          <w:szCs w:val="21"/>
          <w:highlight w:val="none"/>
        </w:rPr>
        <w:t>2.4最高投标限价：</w:t>
      </w:r>
      <w:r>
        <w:rPr>
          <w:rFonts w:hint="eastAsia" w:ascii="宋体" w:hAnsi="宋体" w:cs="宋体"/>
          <w:color w:val="auto"/>
          <w:szCs w:val="21"/>
          <w:highlight w:val="none"/>
          <w:u w:val="single"/>
          <w:lang w:val="en-US" w:eastAsia="zh-CN"/>
        </w:rPr>
        <w:t>9583478.86</w:t>
      </w:r>
      <w:r>
        <w:rPr>
          <w:rFonts w:hint="eastAsia" w:ascii="宋体" w:hAnsi="宋体" w:cs="宋体"/>
          <w:color w:val="auto"/>
          <w:szCs w:val="21"/>
          <w:highlight w:val="none"/>
          <w:u w:val="single"/>
        </w:rPr>
        <w:t>元。</w:t>
      </w:r>
    </w:p>
    <w:p w14:paraId="3E92AD77">
      <w:pPr>
        <w:spacing w:line="360" w:lineRule="auto"/>
        <w:ind w:firstLine="472" w:firstLineChars="225"/>
        <w:rPr>
          <w:rFonts w:hint="eastAsia" w:ascii="宋体" w:hAnsi="宋体" w:cs="宋体"/>
          <w:color w:val="auto"/>
          <w:szCs w:val="21"/>
          <w:highlight w:val="none"/>
          <w:u w:val="single"/>
        </w:rPr>
      </w:pPr>
      <w:r>
        <w:rPr>
          <w:rFonts w:hint="eastAsia" w:ascii="宋体" w:hAnsi="宋体" w:cs="宋体"/>
          <w:color w:val="auto"/>
          <w:szCs w:val="21"/>
          <w:highlight w:val="none"/>
        </w:rPr>
        <w:t>2.5服务期限：</w:t>
      </w:r>
      <w:r>
        <w:rPr>
          <w:rFonts w:hint="eastAsia" w:ascii="宋体" w:hAnsi="宋体" w:cs="宋体"/>
          <w:color w:val="auto"/>
          <w:szCs w:val="21"/>
          <w:highlight w:val="none"/>
          <w:u w:val="single"/>
        </w:rPr>
        <w:t>本合同服务期限自本合同签订之日起至所有服务项目完成且结清检测和监测费用之日止。从中标人进场至完成所有检测和监测项目且技术成果通过审批，服务周期必须满足实际施工及验收要求，且招标人有权根据工程实际需要调整工期及验收时间，中标人需配合招标人的调整作出相应的执行计划。</w:t>
      </w:r>
    </w:p>
    <w:p w14:paraId="4D24F3B9">
      <w:pPr>
        <w:pStyle w:val="7"/>
        <w:spacing w:after="0" w:line="360" w:lineRule="auto"/>
        <w:ind w:left="449" w:leftChars="190" w:hanging="50" w:hangingChars="24"/>
        <w:rPr>
          <w:rFonts w:hint="eastAsia" w:cs="宋体"/>
          <w:color w:val="auto"/>
          <w:szCs w:val="21"/>
          <w:highlight w:val="none"/>
          <w:u w:val="single"/>
        </w:rPr>
      </w:pPr>
      <w:r>
        <w:rPr>
          <w:rFonts w:hint="eastAsia" w:ascii="宋体" w:hAnsi="宋体" w:cs="宋体"/>
          <w:color w:val="auto"/>
          <w:szCs w:val="21"/>
          <w:highlight w:val="none"/>
        </w:rPr>
        <w:t>2.6招标内容：</w:t>
      </w:r>
      <w:r>
        <w:rPr>
          <w:rFonts w:hint="eastAsia" w:ascii="宋体" w:hAnsi="宋体" w:cs="宋体"/>
          <w:color w:val="auto"/>
          <w:szCs w:val="21"/>
          <w:highlight w:val="none"/>
          <w:u w:val="single"/>
        </w:rPr>
        <w:t>本次招标内容为建设行政主管部门、监督部门要求的，由业主指定的具有质量监控作用的地基基础检测、见证取样检测、主体结构、钢结构、建筑幕墙检测、节能检测、室内环境检测</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消防检测、防雷检测、水质检测、</w:t>
      </w:r>
      <w:r>
        <w:rPr>
          <w:rFonts w:hint="eastAsia" w:ascii="宋体" w:hAnsi="宋体"/>
          <w:color w:val="auto"/>
          <w:szCs w:val="21"/>
          <w:highlight w:val="none"/>
          <w:u w:val="single"/>
        </w:rPr>
        <w:t>基坑监测、沉降观测、高支模监测</w:t>
      </w:r>
      <w:r>
        <w:rPr>
          <w:rFonts w:hint="eastAsia" w:ascii="宋体" w:hAnsi="宋体" w:cs="宋体"/>
          <w:color w:val="auto"/>
          <w:szCs w:val="21"/>
          <w:highlight w:val="none"/>
          <w:u w:val="single"/>
        </w:rPr>
        <w:t>等按规范和验收要求必须检测和监测的项目，以及为工程验收提供依据的检测和监测项目。</w:t>
      </w:r>
      <w:r>
        <w:rPr>
          <w:rFonts w:hint="eastAsia" w:cs="宋体"/>
          <w:color w:val="auto"/>
          <w:szCs w:val="21"/>
          <w:highlight w:val="none"/>
          <w:u w:val="single"/>
        </w:rPr>
        <w:t>服务范围除以上内容外，还应包括但不限于：</w:t>
      </w:r>
    </w:p>
    <w:p w14:paraId="02515630">
      <w:pPr>
        <w:pStyle w:val="7"/>
        <w:spacing w:after="0" w:line="360" w:lineRule="auto"/>
        <w:ind w:left="0" w:leftChars="0" w:firstLine="371" w:firstLineChars="177"/>
        <w:rPr>
          <w:rFonts w:hint="eastAsia" w:ascii="宋体" w:hAnsi="宋体" w:cs="宋体"/>
          <w:color w:val="auto"/>
          <w:szCs w:val="21"/>
          <w:highlight w:val="none"/>
          <w:u w:val="single"/>
        </w:rPr>
      </w:pPr>
      <w:r>
        <w:rPr>
          <w:rFonts w:hint="eastAsia" w:cs="宋体"/>
          <w:color w:val="auto"/>
          <w:szCs w:val="21"/>
          <w:highlight w:val="none"/>
          <w:u w:val="single"/>
        </w:rPr>
        <w:t>（1）与工程所在行政区域的相关行政主管部门（或建设行政主管部门）和监督部门进行检测监测工作的协调，申报检测监测技术成果的审批。保证技术成果能够通过相关部门认可，确保不因检测监测工作和建筑物主体沉降监测工作而影响本工程项目的建设进度和竣工验收。</w:t>
      </w:r>
    </w:p>
    <w:p w14:paraId="6958FD17">
      <w:pPr>
        <w:pStyle w:val="7"/>
        <w:spacing w:after="0" w:line="360" w:lineRule="auto"/>
        <w:ind w:left="0" w:leftChars="0" w:firstLine="371" w:firstLineChars="177"/>
        <w:rPr>
          <w:rFonts w:ascii="宋体" w:hAnsi="宋体" w:cs="宋体"/>
          <w:color w:val="auto"/>
          <w:szCs w:val="21"/>
          <w:highlight w:val="none"/>
          <w:u w:val="single"/>
        </w:rPr>
      </w:pPr>
      <w:r>
        <w:rPr>
          <w:rFonts w:hint="eastAsia" w:ascii="宋体" w:hAnsi="宋体" w:cs="宋体"/>
          <w:color w:val="auto"/>
          <w:szCs w:val="21"/>
          <w:highlight w:val="none"/>
          <w:u w:val="single"/>
        </w:rPr>
        <w:t>（2）</w:t>
      </w:r>
      <w:r>
        <w:rPr>
          <w:rFonts w:hint="eastAsia" w:cs="宋体"/>
          <w:color w:val="auto"/>
          <w:szCs w:val="21"/>
          <w:highlight w:val="none"/>
          <w:u w:val="single"/>
        </w:rPr>
        <w:t>做好与施工单位、监理单位、设计单位、咨询单位等相关单位的协调工作</w:t>
      </w:r>
      <w:r>
        <w:rPr>
          <w:rFonts w:hint="eastAsia" w:ascii="宋体" w:hAnsi="宋体" w:cs="宋体"/>
          <w:color w:val="auto"/>
          <w:szCs w:val="21"/>
          <w:highlight w:val="none"/>
          <w:u w:val="single"/>
        </w:rPr>
        <w:t>。</w:t>
      </w:r>
    </w:p>
    <w:p w14:paraId="2147939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（3）检测和监测数据的有关信息根据监管部门要求通过市住建监管系统进行传输报送。</w:t>
      </w:r>
    </w:p>
    <w:p w14:paraId="4A92F2BC">
      <w:pPr>
        <w:spacing w:line="360" w:lineRule="auto"/>
        <w:ind w:firstLine="472" w:firstLineChars="225"/>
        <w:rPr>
          <w:rFonts w:hint="eastAsia" w:ascii="宋体" w:hAnsi="宋体" w:cs="宋体"/>
          <w:color w:val="auto"/>
          <w:szCs w:val="21"/>
          <w:highlight w:val="none"/>
          <w:u w:val="single"/>
        </w:rPr>
      </w:pPr>
      <w:r>
        <w:rPr>
          <w:rFonts w:hint="eastAsia" w:ascii="宋体" w:hAnsi="宋体" w:cs="宋体"/>
          <w:color w:val="auto"/>
          <w:szCs w:val="21"/>
          <w:highlight w:val="none"/>
          <w:u w:val="single"/>
        </w:rPr>
        <w:t>（4）根据相关规范和标准、主管部门文件的规定以及设计图纸的有关要求，结合工程实际情况编制相关项目的《检测和监测方案》，并报质监部门备案（如需要）。</w:t>
      </w:r>
    </w:p>
    <w:p w14:paraId="2FD806B6">
      <w:pPr>
        <w:spacing w:line="360" w:lineRule="auto"/>
        <w:ind w:firstLine="472" w:firstLineChars="225"/>
        <w:rPr>
          <w:rFonts w:hint="eastAsia" w:ascii="宋体" w:hAnsi="宋体" w:cs="宋体"/>
          <w:color w:val="auto"/>
          <w:szCs w:val="21"/>
          <w:highlight w:val="none"/>
          <w:u w:val="single"/>
        </w:rPr>
      </w:pPr>
      <w:r>
        <w:rPr>
          <w:rFonts w:hint="eastAsia" w:ascii="宋体" w:hAnsi="宋体" w:cs="宋体"/>
          <w:color w:val="auto"/>
          <w:szCs w:val="21"/>
          <w:highlight w:val="none"/>
          <w:u w:val="single"/>
        </w:rPr>
        <w:t>（5）负责检测和监测的工程质量需符合《建设工程质量管理条例》等国家相关管理要求。</w:t>
      </w:r>
    </w:p>
    <w:p w14:paraId="79B96B22">
      <w:pPr>
        <w:spacing w:line="360" w:lineRule="auto"/>
        <w:ind w:firstLine="472" w:firstLineChars="225"/>
        <w:rPr>
          <w:rFonts w:ascii="宋体" w:hAnsi="宋体" w:cs="宋体"/>
          <w:color w:val="auto"/>
          <w:szCs w:val="21"/>
          <w:highlight w:val="none"/>
          <w:u w:val="single"/>
        </w:rPr>
      </w:pPr>
      <w:r>
        <w:rPr>
          <w:rFonts w:hint="eastAsia" w:ascii="宋体" w:hAnsi="宋体" w:cs="宋体"/>
          <w:color w:val="auto"/>
          <w:szCs w:val="21"/>
          <w:highlight w:val="none"/>
          <w:u w:val="single"/>
        </w:rPr>
        <w:t>（6）除建设行政主管部门、监督部门及现行法律法规要求必须由第三方单位检测和监测项目外，招标人另有要求的检测和监测项目且投标人有资质的，仍属于本次招标范围内。</w:t>
      </w:r>
    </w:p>
    <w:p w14:paraId="284F9D28">
      <w:pPr>
        <w:spacing w:line="360" w:lineRule="auto"/>
        <w:ind w:firstLine="472" w:firstLineChars="225"/>
        <w:rPr>
          <w:color w:val="auto"/>
          <w:highlight w:val="none"/>
        </w:rPr>
      </w:pPr>
      <w:r>
        <w:rPr>
          <w:rFonts w:hint="eastAsia" w:ascii="宋体" w:hAnsi="宋体" w:cs="宋体"/>
          <w:color w:val="auto"/>
          <w:szCs w:val="21"/>
          <w:highlight w:val="none"/>
          <w:u w:val="single"/>
        </w:rPr>
        <w:t>（具体以招标文件、施工图纸、检测和监测方案为准）。</w:t>
      </w:r>
    </w:p>
    <w:p w14:paraId="7AC7695E">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2.7标段划分：</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个标段。</w:t>
      </w:r>
    </w:p>
    <w:p w14:paraId="5BE0B73B">
      <w:pPr>
        <w:spacing w:line="360" w:lineRule="auto"/>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2.8承包方式：综合单价包干，包工、包料、包工期、包质量、包安全、包文明施工。</w:t>
      </w:r>
    </w:p>
    <w:p w14:paraId="18834B22">
      <w:pPr>
        <w:spacing w:line="360" w:lineRule="auto"/>
        <w:outlineLvl w:val="0"/>
        <w:rPr>
          <w:rFonts w:hint="eastAsia" w:ascii="宋体" w:hAnsi="宋体" w:cs="宋体"/>
          <w:b/>
          <w:color w:val="auto"/>
          <w:sz w:val="24"/>
          <w:szCs w:val="24"/>
          <w:highlight w:val="none"/>
        </w:rPr>
      </w:pPr>
      <w:bookmarkStart w:id="24" w:name="_Toc1000_WPSOffice_Level2"/>
      <w:bookmarkStart w:id="25" w:name="_Toc18914_WPSOffice_Level2"/>
      <w:r>
        <w:rPr>
          <w:rFonts w:hint="eastAsia" w:ascii="宋体" w:hAnsi="宋体" w:cs="宋体"/>
          <w:b/>
          <w:color w:val="auto"/>
          <w:sz w:val="24"/>
          <w:szCs w:val="24"/>
          <w:highlight w:val="none"/>
        </w:rPr>
        <w:t>3. 投标人资格要求</w:t>
      </w:r>
      <w:bookmarkEnd w:id="14"/>
      <w:bookmarkEnd w:id="15"/>
      <w:bookmarkEnd w:id="16"/>
      <w:bookmarkEnd w:id="17"/>
      <w:bookmarkEnd w:id="18"/>
      <w:bookmarkEnd w:id="19"/>
      <w:bookmarkEnd w:id="20"/>
      <w:bookmarkEnd w:id="21"/>
      <w:bookmarkEnd w:id="22"/>
      <w:bookmarkEnd w:id="23"/>
      <w:bookmarkEnd w:id="24"/>
      <w:bookmarkEnd w:id="25"/>
    </w:p>
    <w:p w14:paraId="04D89D66">
      <w:pPr>
        <w:spacing w:line="360" w:lineRule="auto"/>
        <w:ind w:firstLine="420" w:firstLineChars="200"/>
        <w:rPr>
          <w:rFonts w:ascii="宋体" w:hAnsi="宋体"/>
          <w:color w:val="auto"/>
          <w:szCs w:val="21"/>
          <w:highlight w:val="none"/>
        </w:rPr>
      </w:pPr>
      <w:bookmarkStart w:id="26" w:name="_Toc31574_WPSOffice_Level2"/>
      <w:bookmarkStart w:id="27" w:name="_Toc222030968"/>
      <w:bookmarkStart w:id="28" w:name="_Toc222032635"/>
      <w:bookmarkStart w:id="29" w:name="_Toc144974483"/>
      <w:bookmarkStart w:id="30" w:name="_Toc168475629"/>
      <w:bookmarkStart w:id="31" w:name="_Toc259524299"/>
      <w:bookmarkStart w:id="32" w:name="_Toc221949930"/>
      <w:bookmarkStart w:id="33" w:name="_Toc168476032"/>
      <w:bookmarkStart w:id="34" w:name="_Toc229305326"/>
      <w:bookmarkStart w:id="35" w:name="_Toc27318_WPSOffice_Level2"/>
      <w:bookmarkStart w:id="36" w:name="_Toc222033817"/>
      <w:bookmarkStart w:id="37" w:name="_Toc222029466"/>
      <w:r>
        <w:rPr>
          <w:rFonts w:hint="eastAsia" w:ascii="宋体" w:hAnsi="宋体"/>
          <w:color w:val="auto"/>
          <w:szCs w:val="21"/>
          <w:highlight w:val="none"/>
        </w:rPr>
        <w:t>3.1投标人</w:t>
      </w:r>
      <w:r>
        <w:rPr>
          <w:rFonts w:hint="eastAsia" w:ascii="宋体" w:hAnsi="宋体" w:cs="宋体"/>
          <w:color w:val="auto"/>
          <w:szCs w:val="21"/>
          <w:highlight w:val="none"/>
        </w:rPr>
        <w:t>（如为联合体，指联合体各方）</w:t>
      </w:r>
      <w:r>
        <w:rPr>
          <w:rFonts w:hint="eastAsia" w:ascii="宋体" w:hAnsi="宋体"/>
          <w:color w:val="auto"/>
          <w:szCs w:val="21"/>
          <w:highlight w:val="none"/>
        </w:rPr>
        <w:t>参加投标的意思表达清楚，投标人代表被授权有效。</w:t>
      </w:r>
    </w:p>
    <w:p w14:paraId="72A0CC4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3.2投标人</w:t>
      </w:r>
      <w:r>
        <w:rPr>
          <w:rFonts w:hint="eastAsia" w:ascii="宋体" w:hAnsi="宋体" w:cs="宋体"/>
          <w:color w:val="auto"/>
          <w:szCs w:val="21"/>
          <w:highlight w:val="none"/>
        </w:rPr>
        <w:t>（如为联合体，指联合体各方）</w:t>
      </w:r>
      <w:r>
        <w:rPr>
          <w:rFonts w:hint="eastAsia" w:ascii="宋体" w:hAnsi="宋体"/>
          <w:color w:val="auto"/>
          <w:szCs w:val="21"/>
          <w:highlight w:val="none"/>
        </w:rPr>
        <w:t>具有独立法人资格，持有事业单位登记管理部门核发的事业单位法人证书或工商行政管理部门核发的企业法人营业执照，且在有效期内。</w:t>
      </w:r>
    </w:p>
    <w:p w14:paraId="2A0BF6C5">
      <w:pPr>
        <w:pStyle w:val="7"/>
        <w:spacing w:after="0" w:line="400" w:lineRule="exact"/>
        <w:ind w:left="0" w:leftChars="0"/>
        <w:rPr>
          <w:rFonts w:hint="eastAsia" w:ascii="宋体" w:hAnsi="宋体" w:eastAsia="宋体" w:cs="宋体"/>
          <w:color w:val="auto"/>
          <w:szCs w:val="21"/>
          <w:highlight w:val="none"/>
        </w:rPr>
      </w:pPr>
      <w:r>
        <w:rPr>
          <w:rFonts w:hint="eastAsia" w:ascii="宋体" w:hAnsi="宋体"/>
          <w:color w:val="auto"/>
          <w:szCs w:val="21"/>
          <w:highlight w:val="none"/>
        </w:rPr>
        <w:t>3.3</w:t>
      </w:r>
      <w:r>
        <w:rPr>
          <w:rFonts w:hint="eastAsia" w:ascii="宋体" w:hAnsi="宋体"/>
          <w:color w:val="auto"/>
          <w:szCs w:val="21"/>
          <w:highlight w:val="none"/>
          <w:lang w:val="en-US" w:eastAsia="zh-CN"/>
        </w:rPr>
        <w:t xml:space="preserve"> </w:t>
      </w:r>
      <w:r>
        <w:rPr>
          <w:rFonts w:hint="eastAsia" w:ascii="宋体" w:hAnsi="宋体" w:eastAsia="宋体" w:cs="宋体"/>
          <w:color w:val="auto"/>
          <w:szCs w:val="21"/>
          <w:highlight w:val="none"/>
        </w:rPr>
        <w:t>投标人须具有以下两种资质：</w:t>
      </w:r>
    </w:p>
    <w:p w14:paraId="3A3E31C5">
      <w:pPr>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szCs w:val="21"/>
          <w:highlight w:val="none"/>
        </w:rPr>
        <w:t>①投标人（若为联合体投标，指联合体承担检测任务的单位）具备建设行政主管部门颁发的建设工程质量检测机构资质证书（检测范围覆盖见证取样检测、地基基础检测、主体结构检测），且证书在有效期内</w:t>
      </w:r>
      <w:r>
        <w:rPr>
          <w:rFonts w:hint="eastAsia" w:ascii="宋体" w:hAnsi="宋体" w:eastAsia="宋体" w:cs="宋体"/>
          <w:color w:val="auto"/>
          <w:szCs w:val="21"/>
          <w:highlight w:val="none"/>
          <w:lang w:eastAsia="zh-CN"/>
        </w:rPr>
        <w:t>；</w:t>
      </w:r>
      <w:r>
        <w:rPr>
          <w:rFonts w:hint="eastAsia" w:ascii="宋体" w:hAnsi="宋体"/>
          <w:color w:val="auto"/>
          <w:szCs w:val="21"/>
          <w:highlight w:val="none"/>
        </w:rPr>
        <w:t>或根据《住房和城乡建设部关于印发《建设工程质量检测机构资质标准》的通知》（建质规〔2023〕1号，以下简称新资质标准）具有有效的建设行政主管部门颁发的建设工程质量检测机构综合资质证书或专项资质证书（专项资质证书包括：建筑材料及构配件、主体结构及装饰装修、地基基础等）。香港企业参加投标的，须在广东省住房和城乡建设主管部门备案且备案的业务范围满足本项目招标文件要求。</w:t>
      </w:r>
    </w:p>
    <w:p w14:paraId="526DE183">
      <w:pPr>
        <w:spacing w:line="360" w:lineRule="auto"/>
        <w:rPr>
          <w:rFonts w:hint="eastAsia" w:ascii="宋体" w:hAnsi="宋体" w:eastAsia="宋体" w:cs="宋体"/>
          <w:color w:val="auto"/>
          <w:szCs w:val="21"/>
          <w:highlight w:val="none"/>
        </w:rPr>
      </w:pPr>
      <w:r>
        <w:rPr>
          <w:rFonts w:hint="eastAsia" w:ascii="宋体" w:hAnsi="宋体"/>
          <w:color w:val="auto"/>
          <w:szCs w:val="21"/>
          <w:highlight w:val="none"/>
        </w:rPr>
        <w:t>[注：依据《广东省住房和城乡建设厅关于印发香港工程建设咨询企业和专业人士在粤港澳大湾区内地城市开业执业试点管理暂行办法的通知》（粤建规范[2020]1号）确定]。 注：旧资质标准按《住房和城乡建设部办公厅关于做好建设工程质量检测机构新旧资质标准过渡工作的通知》（建办质函〔2023〕100号）执行；新资质标准按《住房和城乡建设部关于印发〈建设工程质量检测机构资质标准〉的通知》（建质规〔2023〕1号）执行。</w:t>
      </w:r>
    </w:p>
    <w:p w14:paraId="5F34F22D">
      <w:pPr>
        <w:pStyle w:val="7"/>
        <w:spacing w:after="0" w:line="4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②投标人（若为联合体投标，指联合体承担监测任务的单位）具有以下（1）、（2）</w:t>
      </w:r>
      <w:bookmarkStart w:id="73" w:name="_GoBack"/>
      <w:bookmarkEnd w:id="73"/>
      <w:r>
        <w:rPr>
          <w:rFonts w:hint="eastAsia" w:ascii="宋体" w:hAnsi="宋体" w:eastAsia="宋体" w:cs="宋体"/>
          <w:color w:val="auto"/>
          <w:szCs w:val="21"/>
          <w:highlight w:val="none"/>
        </w:rPr>
        <w:t>项其中之一资质：</w:t>
      </w:r>
    </w:p>
    <w:p w14:paraId="71E96F70">
      <w:pPr>
        <w:pStyle w:val="7"/>
        <w:spacing w:after="0" w:line="4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（1）工程勘察综合甲级资质；</w:t>
      </w:r>
    </w:p>
    <w:p w14:paraId="6FE5BDC8">
      <w:pPr>
        <w:pStyle w:val="7"/>
        <w:spacing w:after="0" w:line="400" w:lineRule="exact"/>
        <w:ind w:left="0" w:left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（2）工程勘察专业类岩土工程乙级（或以上）资质</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工程勘察专业类岩土工程（分项）物探测试检测监测乙级（或以上）资质</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工程勘察专业类工程测量乙级（或以上）资质。</w:t>
      </w:r>
    </w:p>
    <w:p w14:paraId="758042E1">
      <w:pPr>
        <w:pStyle w:val="7"/>
        <w:spacing w:line="400" w:lineRule="exact"/>
        <w:rPr>
          <w:rFonts w:ascii="宋体" w:hAnsi="宋体"/>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rPr>
        <w:t>投标人</w:t>
      </w:r>
      <w:r>
        <w:rPr>
          <w:rFonts w:hint="eastAsia" w:ascii="宋体" w:hAnsi="宋体" w:eastAsia="宋体" w:cs="宋体"/>
          <w:b/>
          <w:bCs w:val="0"/>
          <w:color w:val="auto"/>
          <w:sz w:val="21"/>
          <w:szCs w:val="21"/>
          <w:highlight w:val="none"/>
        </w:rPr>
        <w:t>（若为联合体投标，指联合体各方）</w:t>
      </w:r>
      <w:r>
        <w:rPr>
          <w:rFonts w:hint="eastAsia" w:ascii="宋体" w:hAnsi="宋体" w:eastAsia="宋体" w:cs="宋体"/>
          <w:color w:val="auto"/>
          <w:sz w:val="21"/>
          <w:szCs w:val="21"/>
          <w:highlight w:val="none"/>
        </w:rPr>
        <w:t>应具有质量技术监督部门颁发的CMA计量认证合格证书（CMA计量认证合格证书附表的认证范围覆盖本次招标主要内容：包括</w:t>
      </w:r>
      <w:r>
        <w:rPr>
          <w:rFonts w:hint="eastAsia" w:ascii="宋体" w:hAnsi="宋体" w:eastAsia="宋体" w:cs="宋体"/>
          <w:color w:val="auto"/>
          <w:sz w:val="21"/>
          <w:szCs w:val="21"/>
          <w:highlight w:val="none"/>
          <w:lang w:val="en-US" w:eastAsia="zh-CN"/>
        </w:rPr>
        <w:t>见证取样检测、地基基础检测、</w:t>
      </w:r>
      <w:r>
        <w:rPr>
          <w:rFonts w:hint="eastAsia" w:ascii="宋体" w:hAnsi="宋体" w:eastAsia="宋体" w:cs="宋体"/>
          <w:color w:val="auto"/>
          <w:sz w:val="21"/>
          <w:szCs w:val="21"/>
          <w:highlight w:val="none"/>
        </w:rPr>
        <w:t>主体结构工程现场检测）</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且证书在有效期内。如投标人CMA计量认证合格证书中的检测项目与上述名称不同，但表达的意思一致也视为满足该项条件。</w:t>
      </w:r>
    </w:p>
    <w:p w14:paraId="7181D0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5</w:t>
      </w:r>
      <w:r>
        <w:rPr>
          <w:rFonts w:hint="eastAsia" w:ascii="宋体" w:hAnsi="宋体" w:eastAsia="宋体" w:cs="宋体"/>
          <w:bCs/>
          <w:color w:val="auto"/>
          <w:sz w:val="21"/>
          <w:szCs w:val="21"/>
          <w:highlight w:val="none"/>
        </w:rPr>
        <w:t>投标人拟委派项目负责人要求具备工程类</w:t>
      </w:r>
      <w:r>
        <w:rPr>
          <w:rFonts w:hint="eastAsia" w:ascii="宋体" w:hAnsi="宋体" w:eastAsia="宋体" w:cs="宋体"/>
          <w:bCs/>
          <w:color w:val="auto"/>
          <w:sz w:val="21"/>
          <w:szCs w:val="21"/>
          <w:highlight w:val="none"/>
          <w:lang w:eastAsia="zh-CN"/>
        </w:rPr>
        <w:t>相关专业</w:t>
      </w:r>
      <w:r>
        <w:rPr>
          <w:rFonts w:hint="eastAsia" w:ascii="宋体" w:hAnsi="宋体" w:eastAsia="宋体" w:cs="宋体"/>
          <w:bCs/>
          <w:color w:val="auto"/>
          <w:sz w:val="21"/>
          <w:szCs w:val="21"/>
          <w:highlight w:val="none"/>
        </w:rPr>
        <w:t>工程师或以上技术职称</w:t>
      </w:r>
      <w:r>
        <w:rPr>
          <w:rFonts w:hint="eastAsia" w:ascii="宋体" w:hAnsi="宋体" w:eastAsia="宋体" w:cs="宋体"/>
          <w:b/>
          <w:bCs w:val="0"/>
          <w:color w:val="auto"/>
          <w:sz w:val="21"/>
          <w:szCs w:val="21"/>
          <w:highlight w:val="none"/>
        </w:rPr>
        <w:t>（若为联合体投标，项目负责人须是联合体牵头人（主办方）正式员工）</w:t>
      </w:r>
      <w:r>
        <w:rPr>
          <w:rFonts w:hint="eastAsia" w:ascii="宋体" w:hAnsi="宋体" w:eastAsia="宋体" w:cs="宋体"/>
          <w:bCs/>
          <w:color w:val="auto"/>
          <w:sz w:val="21"/>
          <w:szCs w:val="21"/>
          <w:highlight w:val="none"/>
        </w:rPr>
        <w:t>。</w:t>
      </w:r>
    </w:p>
    <w:p w14:paraId="0E6AE7F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6</w:t>
      </w:r>
      <w:r>
        <w:rPr>
          <w:rFonts w:hint="eastAsia" w:ascii="宋体" w:hAnsi="宋体"/>
          <w:color w:val="auto"/>
          <w:szCs w:val="21"/>
          <w:highlight w:val="none"/>
        </w:rPr>
        <w:t>投标人（若为联合体，指联合体各成员）已按照招标公告附件的格式签名盖章《投标人声明》。</w:t>
      </w:r>
    </w:p>
    <w:p w14:paraId="14152E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val="en-US" w:eastAsia="zh-CN"/>
        </w:rPr>
        <w:t>7</w:t>
      </w:r>
      <w:r>
        <w:rPr>
          <w:rFonts w:hint="eastAsia" w:ascii="宋体" w:hAnsi="宋体"/>
          <w:color w:val="auto"/>
          <w:szCs w:val="21"/>
          <w:highlight w:val="none"/>
        </w:rPr>
        <w:t>投标人</w:t>
      </w:r>
      <w:r>
        <w:rPr>
          <w:rFonts w:hint="eastAsia" w:ascii="宋体" w:hAnsi="宋体" w:cs="宋体"/>
          <w:color w:val="auto"/>
          <w:szCs w:val="21"/>
          <w:highlight w:val="none"/>
        </w:rPr>
        <w:t>（如为联合体，指联合体各方）</w:t>
      </w:r>
      <w:r>
        <w:rPr>
          <w:rFonts w:hint="eastAsia" w:ascii="宋体" w:hAnsi="宋体"/>
          <w:color w:val="auto"/>
          <w:szCs w:val="21"/>
          <w:highlight w:val="none"/>
        </w:rPr>
        <w:t>在广州市住房和城乡建设局建立了企业信用档案，且拟担任本项目的项目负责人是本企业信用档案中的在册人员（信用档案办理详见《广州市住建行业信用管理平台检测企业信息录入指引》</w:t>
      </w:r>
    </w:p>
    <w:p w14:paraId="2E3A6A87">
      <w:pPr>
        <w:spacing w:line="360" w:lineRule="auto"/>
        <w:ind w:firstLine="420" w:firstLineChars="200"/>
        <w:rPr>
          <w:rFonts w:ascii="宋体" w:hAnsi="宋体"/>
          <w:color w:val="auto"/>
          <w:szCs w:val="21"/>
          <w:highlight w:val="none"/>
        </w:rPr>
      </w:pPr>
      <w:r>
        <w:rPr>
          <w:color w:val="auto"/>
          <w:szCs w:val="21"/>
          <w:highlight w:val="none"/>
        </w:rPr>
        <w:fldChar w:fldCharType="begin"/>
      </w:r>
      <w:r>
        <w:rPr>
          <w:color w:val="auto"/>
          <w:szCs w:val="21"/>
          <w:highlight w:val="none"/>
        </w:rPr>
        <w:instrText xml:space="preserve"> HYPERLINK "http://zfcj.gz.gov.cn/zwgk/zsdwxxgkzl/gzsjzyglfwzx/bszy/content/post_8077190.html" </w:instrText>
      </w:r>
      <w:r>
        <w:rPr>
          <w:color w:val="auto"/>
          <w:szCs w:val="21"/>
          <w:highlight w:val="none"/>
        </w:rPr>
        <w:fldChar w:fldCharType="separate"/>
      </w:r>
      <w:r>
        <w:rPr>
          <w:rStyle w:val="10"/>
          <w:rFonts w:hint="eastAsia" w:ascii="宋体" w:hAnsi="宋体"/>
          <w:color w:val="auto"/>
          <w:szCs w:val="21"/>
          <w:highlight w:val="none"/>
        </w:rPr>
        <w:t>http://zfcj.gz.gov.cn/zwgk/zsdwxxgkzl/gzsjzyglfwzx/bszy/content/post_8077190.html</w:t>
      </w:r>
      <w:r>
        <w:rPr>
          <w:rStyle w:val="10"/>
          <w:rFonts w:hint="eastAsia" w:ascii="宋体" w:hAnsi="宋体"/>
          <w:color w:val="auto"/>
          <w:szCs w:val="21"/>
          <w:highlight w:val="none"/>
        </w:rPr>
        <w:fldChar w:fldCharType="end"/>
      </w:r>
      <w:r>
        <w:rPr>
          <w:rFonts w:hint="eastAsia" w:ascii="宋体" w:hAnsi="宋体"/>
          <w:color w:val="auto"/>
          <w:szCs w:val="21"/>
          <w:highlight w:val="none"/>
        </w:rPr>
        <w:t>）</w:t>
      </w:r>
    </w:p>
    <w:p w14:paraId="403A7473">
      <w:pPr>
        <w:spacing w:line="360" w:lineRule="auto"/>
        <w:ind w:firstLine="371" w:firstLineChars="177"/>
        <w:rPr>
          <w:rFonts w:hint="eastAsia" w:ascii="宋体" w:hAnsi="宋体" w:eastAsia="宋体" w:cs="宋体"/>
          <w:color w:val="auto"/>
          <w:szCs w:val="21"/>
          <w:highlight w:val="none"/>
          <w:lang w:eastAsia="zh-CN"/>
        </w:rPr>
      </w:pPr>
      <w:r>
        <w:rPr>
          <w:rFonts w:ascii="宋体" w:hAnsi="宋体" w:cs="宋体"/>
          <w:color w:val="auto"/>
          <w:szCs w:val="21"/>
          <w:highlight w:val="none"/>
        </w:rPr>
        <w:t>3.</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投标人（若为联合体投标，指联合体各方）未被列入拖欠农民工工资失信联合惩戒对象名单。【注：投标人无需提供资料，按广州公共资源交易中心交易系统比对结果进行评审】。</w:t>
      </w:r>
    </w:p>
    <w:p w14:paraId="2F5680B8">
      <w:pPr>
        <w:spacing w:line="360" w:lineRule="auto"/>
        <w:ind w:firstLine="371" w:firstLineChars="177"/>
        <w:rPr>
          <w:rFonts w:ascii="宋体" w:hAnsi="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9</w:t>
      </w:r>
      <w:r>
        <w:rPr>
          <w:rFonts w:hint="eastAsia" w:ascii="宋体" w:hAnsi="宋体"/>
          <w:color w:val="auto"/>
          <w:szCs w:val="21"/>
          <w:highlight w:val="none"/>
        </w:rPr>
        <w:t>投标人</w:t>
      </w:r>
      <w:r>
        <w:rPr>
          <w:rFonts w:hint="eastAsia" w:ascii="宋体" w:hAnsi="宋体" w:cs="宋体"/>
          <w:color w:val="auto"/>
          <w:szCs w:val="21"/>
          <w:highlight w:val="none"/>
        </w:rPr>
        <w:t>（如为联合体，指联合体各方）近二年（从202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1月1日起至今）未因以往检测和监测工作中存在伪造检测和监测数据、出具虚假检测和监测报告的行为被各级建设行政主管部门或市场监督管理部门行政处罚或通报的。（按投标人提供的《投标申请人声明》第三条内容进行评审）。</w:t>
      </w:r>
    </w:p>
    <w:p w14:paraId="53995190">
      <w:pPr>
        <w:wordWrap w:val="0"/>
        <w:adjustRightInd w:val="0"/>
        <w:snapToGrid w:val="0"/>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关于联合体投标：</w:t>
      </w:r>
      <w:r>
        <w:rPr>
          <w:rFonts w:hint="eastAsia" w:ascii="宋体" w:hAnsi="宋体" w:cs="宋体"/>
          <w:b/>
          <w:color w:val="auto"/>
          <w:szCs w:val="21"/>
          <w:highlight w:val="none"/>
          <w:u w:val="single"/>
        </w:rPr>
        <w:t>本项目接受联合体投标。</w:t>
      </w:r>
    </w:p>
    <w:p w14:paraId="7321D35B">
      <w:pPr>
        <w:keepNext w:val="0"/>
        <w:keepLines w:val="0"/>
        <w:pageBreakBefore w:val="0"/>
        <w:widowControl/>
        <w:wordWrap/>
        <w:topLinePunct w:val="0"/>
        <w:autoSpaceDE/>
        <w:autoSpaceDN/>
        <w:bidi w:val="0"/>
        <w:adjustRightInd/>
        <w:spacing w:after="0" w:line="500" w:lineRule="exact"/>
        <w:ind w:firstLine="424" w:firstLineChars="202"/>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1）如投标人组成联合体，只接受不多于2家单位组成的联合体，应当在投标登记前组成，并按招标文件提供的格式签订联合体协议书，明确联合体牵头人（主办方）和各方权利义务，将该联合体协议书随投标文件一并提交招标人；</w:t>
      </w:r>
    </w:p>
    <w:p w14:paraId="3ACE598B">
      <w:pPr>
        <w:keepNext w:val="0"/>
        <w:keepLines w:val="0"/>
        <w:pageBreakBefore w:val="0"/>
        <w:widowControl/>
        <w:wordWrap/>
        <w:topLinePunct w:val="0"/>
        <w:autoSpaceDE/>
        <w:autoSpaceDN/>
        <w:bidi w:val="0"/>
        <w:adjustRightInd/>
        <w:spacing w:after="0" w:line="500" w:lineRule="exact"/>
        <w:ind w:firstLine="424" w:firstLineChars="202"/>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（2）联合体牵头人（主办方）的被授权人作为联合体各方的代表，承担责任和指令，并负责整个投标过程中的一切责任；</w:t>
      </w:r>
    </w:p>
    <w:p w14:paraId="639A66C1">
      <w:pPr>
        <w:keepNext w:val="0"/>
        <w:keepLines w:val="0"/>
        <w:pageBreakBefore w:val="0"/>
        <w:widowControl/>
        <w:wordWrap/>
        <w:topLinePunct w:val="0"/>
        <w:autoSpaceDE/>
        <w:autoSpaceDN/>
        <w:bidi w:val="0"/>
        <w:adjustRightInd/>
        <w:spacing w:after="0" w:line="500" w:lineRule="exact"/>
        <w:ind w:firstLine="424" w:firstLineChars="202"/>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（3）联合体各方不得再以自己名义单独或参加其他联合体在本招标项目中投标，否则各相关投标均无效；</w:t>
      </w:r>
    </w:p>
    <w:p w14:paraId="74DD2501">
      <w:pPr>
        <w:keepNext w:val="0"/>
        <w:keepLines w:val="0"/>
        <w:pageBreakBefore w:val="0"/>
        <w:widowControl/>
        <w:wordWrap/>
        <w:topLinePunct w:val="0"/>
        <w:autoSpaceDE/>
        <w:autoSpaceDN/>
        <w:bidi w:val="0"/>
        <w:adjustRightInd/>
        <w:spacing w:after="0" w:line="500" w:lineRule="exact"/>
        <w:ind w:firstLine="424" w:firstLineChars="202"/>
        <w:textAlignment w:val="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4）联合体投标时，除“联合体协议书”需由联合体各方分别按要求进行签字或盖章外，其他资料若需要签字或盖章的均可由联合体牵头人（主办方）签字或盖章即可；投标资料封面及其他内容及落款中的“投标人”应填写联合体各方的单位全称【格式示例为：（主）单位全称（成）单位全称】，由联合体主办方按要求签字或盖章即可。电子签章由主办方进行签章即可。</w:t>
      </w:r>
    </w:p>
    <w:p w14:paraId="39E12178">
      <w:pPr>
        <w:keepNext w:val="0"/>
        <w:keepLines w:val="0"/>
        <w:pageBreakBefore w:val="0"/>
        <w:widowControl/>
        <w:wordWrap/>
        <w:topLinePunct w:val="0"/>
        <w:autoSpaceDE/>
        <w:autoSpaceDN/>
        <w:bidi w:val="0"/>
        <w:spacing w:after="0" w:line="480" w:lineRule="auto"/>
        <w:ind w:firstLine="424" w:firstLineChars="202"/>
        <w:textAlignment w:val="auto"/>
        <w:rPr>
          <w:rFonts w:hint="eastAsia"/>
          <w:color w:val="auto"/>
          <w:highlight w:val="none"/>
        </w:rPr>
      </w:pPr>
      <w:r>
        <w:rPr>
          <w:rFonts w:hint="eastAsia" w:ascii="宋体" w:hAnsi="宋体" w:eastAsia="宋体" w:cs="宋体"/>
          <w:bCs/>
          <w:color w:val="auto"/>
          <w:sz w:val="21"/>
          <w:szCs w:val="21"/>
          <w:highlight w:val="none"/>
        </w:rPr>
        <w:t>注：未在招标公告第3条投标人资格要求单列的条件，不作为资审不合格的依据。</w:t>
      </w:r>
    </w:p>
    <w:p w14:paraId="04B48A01">
      <w:pPr>
        <w:spacing w:line="360" w:lineRule="auto"/>
        <w:outlineLvl w:val="0"/>
        <w:rPr>
          <w:rFonts w:hint="eastAsia" w:ascii="宋体" w:hAnsi="宋体" w:cs="宋体"/>
          <w:b/>
          <w:color w:val="auto"/>
          <w:sz w:val="24"/>
          <w:szCs w:val="24"/>
          <w:highlight w:val="none"/>
        </w:rPr>
      </w:pPr>
      <w:r>
        <w:rPr>
          <w:rFonts w:hint="eastAsia" w:ascii="宋体" w:hAnsi="宋体" w:cs="宋体"/>
          <w:b/>
          <w:color w:val="auto"/>
          <w:sz w:val="24"/>
          <w:szCs w:val="24"/>
          <w:highlight w:val="none"/>
        </w:rPr>
        <w:t>4. 招标文件的获取</w:t>
      </w:r>
      <w:bookmarkEnd w:id="26"/>
      <w:bookmarkEnd w:id="27"/>
      <w:bookmarkEnd w:id="28"/>
      <w:bookmarkEnd w:id="29"/>
      <w:bookmarkEnd w:id="30"/>
      <w:bookmarkEnd w:id="31"/>
      <w:bookmarkEnd w:id="32"/>
      <w:bookmarkEnd w:id="33"/>
      <w:bookmarkEnd w:id="34"/>
      <w:bookmarkEnd w:id="35"/>
      <w:bookmarkEnd w:id="36"/>
      <w:bookmarkEnd w:id="37"/>
    </w:p>
    <w:p w14:paraId="1FE51C42">
      <w:pPr>
        <w:spacing w:line="360" w:lineRule="auto"/>
        <w:ind w:firstLine="420" w:firstLineChars="200"/>
        <w:rPr>
          <w:rFonts w:hint="eastAsia" w:ascii="宋体" w:hAnsi="宋体"/>
          <w:color w:val="auto"/>
          <w:szCs w:val="21"/>
          <w:highlight w:val="none"/>
        </w:rPr>
      </w:pPr>
      <w:bookmarkStart w:id="38" w:name="_Toc221949931"/>
      <w:r>
        <w:rPr>
          <w:rFonts w:hint="eastAsia" w:ascii="宋体" w:hAnsi="宋体"/>
          <w:color w:val="auto"/>
          <w:szCs w:val="21"/>
          <w:highlight w:val="none"/>
        </w:rPr>
        <w:t>4.1 凡有意参加投标者，请于</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00</w:t>
      </w:r>
      <w:r>
        <w:rPr>
          <w:rFonts w:hint="eastAsia" w:ascii="宋体" w:hAnsi="宋体"/>
          <w:color w:val="auto"/>
          <w:szCs w:val="21"/>
          <w:highlight w:val="none"/>
        </w:rPr>
        <w:t>时</w:t>
      </w:r>
      <w:r>
        <w:rPr>
          <w:rFonts w:hint="eastAsia" w:ascii="宋体" w:hAnsi="宋体"/>
          <w:color w:val="auto"/>
          <w:szCs w:val="21"/>
          <w:highlight w:val="none"/>
          <w:u w:val="single"/>
        </w:rPr>
        <w:t>00</w:t>
      </w:r>
      <w:r>
        <w:rPr>
          <w:rFonts w:hint="eastAsia" w:ascii="宋体" w:hAnsi="宋体"/>
          <w:color w:val="auto"/>
          <w:szCs w:val="21"/>
          <w:highlight w:val="none"/>
        </w:rPr>
        <w:t>分至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分(北京时间，下同)，登录</w:t>
      </w:r>
      <w:r>
        <w:rPr>
          <w:rFonts w:hint="eastAsia" w:ascii="宋体" w:hAnsi="宋体"/>
          <w:color w:val="auto"/>
          <w:szCs w:val="21"/>
          <w:highlight w:val="none"/>
          <w:u w:val="single"/>
        </w:rPr>
        <w:t>广州公共资源交易中心网站（http://www.gzggzy.cn/）</w:t>
      </w:r>
      <w:r>
        <w:rPr>
          <w:rFonts w:hint="eastAsia" w:ascii="宋体" w:hAnsi="宋体"/>
          <w:color w:val="auto"/>
          <w:szCs w:val="21"/>
          <w:highlight w:val="none"/>
        </w:rPr>
        <w:t>下载电子招标文件。</w:t>
      </w:r>
    </w:p>
    <w:p w14:paraId="5A130845">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 公告发布日期（含本日）：</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00</w:t>
      </w:r>
      <w:r>
        <w:rPr>
          <w:rFonts w:hint="eastAsia" w:ascii="宋体" w:hAnsi="宋体"/>
          <w:color w:val="auto"/>
          <w:szCs w:val="21"/>
          <w:highlight w:val="none"/>
        </w:rPr>
        <w:t>时</w:t>
      </w:r>
      <w:r>
        <w:rPr>
          <w:rFonts w:hint="eastAsia" w:ascii="宋体" w:hAnsi="宋体"/>
          <w:color w:val="auto"/>
          <w:szCs w:val="21"/>
          <w:highlight w:val="none"/>
          <w:u w:val="single"/>
        </w:rPr>
        <w:t>00</w:t>
      </w:r>
      <w:r>
        <w:rPr>
          <w:rFonts w:hint="eastAsia" w:ascii="宋体" w:hAnsi="宋体"/>
          <w:color w:val="auto"/>
          <w:szCs w:val="21"/>
          <w:highlight w:val="none"/>
        </w:rPr>
        <w:t>分至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p>
    <w:p w14:paraId="65FDCAB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注：发布招标公告的时间为招标公告发出之日起至递交投标文件截止时间止。</w:t>
      </w:r>
    </w:p>
    <w:p w14:paraId="07C4514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4.2.1投标人通过</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递交电子投标文件。投标人应在递交投标文件截止时间前，登录</w:t>
      </w:r>
      <w:r>
        <w:rPr>
          <w:rFonts w:hint="eastAsia" w:ascii="宋体" w:hAnsi="宋体"/>
          <w:color w:val="auto"/>
          <w:szCs w:val="21"/>
          <w:highlight w:val="none"/>
          <w:u w:val="single"/>
        </w:rPr>
        <w:t>广州公共资源交易中心交易平台</w:t>
      </w:r>
      <w:r>
        <w:rPr>
          <w:rFonts w:hint="eastAsia" w:ascii="宋体" w:hAnsi="宋体"/>
          <w:color w:val="auto"/>
          <w:szCs w:val="21"/>
          <w:highlight w:val="none"/>
        </w:rPr>
        <w:t>网站办理网上投标登记手续。按照交易平台关于全流程电子化项目的相关指南进行操作。详见：</w:t>
      </w:r>
      <w:r>
        <w:rPr>
          <w:rFonts w:hint="eastAsia" w:ascii="宋体" w:hAnsi="宋体"/>
          <w:color w:val="auto"/>
          <w:szCs w:val="21"/>
          <w:highlight w:val="none"/>
          <w:u w:val="single"/>
        </w:rPr>
        <w:t>广州公共资源交易中心网站</w:t>
      </w:r>
      <w:r>
        <w:rPr>
          <w:rFonts w:hint="eastAsia" w:ascii="宋体" w:hAnsi="宋体"/>
          <w:color w:val="auto"/>
          <w:szCs w:val="21"/>
          <w:highlight w:val="none"/>
        </w:rPr>
        <w:t xml:space="preserve">。 </w:t>
      </w:r>
    </w:p>
    <w:p w14:paraId="0B8B5E9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4.2.2开标时间：202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w:t>
      </w:r>
      <w:r>
        <w:rPr>
          <w:rFonts w:hint="eastAsia" w:ascii="宋体" w:hAnsi="宋体"/>
          <w:color w:val="auto"/>
          <w:szCs w:val="21"/>
          <w:highlight w:val="none"/>
          <w:u w:val="single"/>
        </w:rPr>
        <w:t>。</w:t>
      </w:r>
    </w:p>
    <w:p w14:paraId="3CFEE262">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u w:val="single"/>
        </w:rPr>
        <w:t>4.3 本项目采用资格后审方式。</w:t>
      </w:r>
    </w:p>
    <w:p w14:paraId="2E10997C">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注：（1）电子招投标操作流程详见广州公共资源交易中心网站发布的最新版操作指引。</w:t>
      </w:r>
    </w:p>
    <w:p w14:paraId="3041A252">
      <w:pPr>
        <w:spacing w:line="360" w:lineRule="auto"/>
        <w:ind w:firstLine="840" w:firstLineChars="400"/>
        <w:rPr>
          <w:rFonts w:hint="eastAsia" w:ascii="宋体" w:hAnsi="宋体"/>
          <w:color w:val="auto"/>
          <w:szCs w:val="21"/>
          <w:highlight w:val="none"/>
          <w:u w:val="single"/>
        </w:rPr>
      </w:pPr>
      <w:r>
        <w:rPr>
          <w:rFonts w:hint="eastAsia" w:ascii="宋体" w:hAnsi="宋体"/>
          <w:color w:val="auto"/>
          <w:szCs w:val="21"/>
          <w:highlight w:val="none"/>
          <w:u w:val="single"/>
        </w:rPr>
        <w:t>（2）本公告发布之日起开始计算备标时间</w:t>
      </w:r>
      <w:r>
        <w:rPr>
          <w:rFonts w:ascii="宋体" w:hAnsi="宋体"/>
          <w:color w:val="auto"/>
          <w:szCs w:val="21"/>
          <w:highlight w:val="none"/>
          <w:u w:val="single"/>
        </w:rPr>
        <w:t>。</w:t>
      </w:r>
    </w:p>
    <w:bookmarkEnd w:id="38"/>
    <w:p w14:paraId="427337C1">
      <w:pPr>
        <w:spacing w:line="360" w:lineRule="auto"/>
        <w:outlineLvl w:val="0"/>
        <w:rPr>
          <w:rFonts w:hint="eastAsia" w:ascii="宋体" w:hAnsi="宋体" w:cs="宋体"/>
          <w:b/>
          <w:color w:val="auto"/>
          <w:sz w:val="24"/>
          <w:szCs w:val="24"/>
          <w:highlight w:val="none"/>
        </w:rPr>
      </w:pPr>
      <w:bookmarkStart w:id="39" w:name="_Toc222032636"/>
      <w:bookmarkStart w:id="40" w:name="_Toc222030969"/>
      <w:bookmarkStart w:id="41" w:name="_Toc168476033"/>
      <w:bookmarkStart w:id="42" w:name="_Toc168475630"/>
      <w:bookmarkStart w:id="43" w:name="_Toc222033818"/>
      <w:bookmarkStart w:id="44" w:name="_Toc221949934"/>
      <w:bookmarkStart w:id="45" w:name="_Toc144974484"/>
      <w:bookmarkStart w:id="46" w:name="_Toc222029467"/>
      <w:bookmarkStart w:id="47" w:name="_Toc259524300"/>
      <w:bookmarkStart w:id="48" w:name="_Toc20648_WPSOffice_Level2"/>
      <w:bookmarkStart w:id="49" w:name="_Toc16416_WPSOffice_Level2"/>
      <w:bookmarkStart w:id="50" w:name="_Toc229305327"/>
      <w:r>
        <w:rPr>
          <w:rFonts w:hint="eastAsia" w:ascii="宋体" w:hAnsi="宋体" w:cs="宋体"/>
          <w:b/>
          <w:color w:val="auto"/>
          <w:sz w:val="24"/>
          <w:szCs w:val="24"/>
          <w:highlight w:val="none"/>
        </w:rPr>
        <w:t>5. 投标文件的递交</w:t>
      </w:r>
      <w:bookmarkEnd w:id="39"/>
      <w:bookmarkEnd w:id="40"/>
      <w:bookmarkEnd w:id="41"/>
      <w:bookmarkEnd w:id="42"/>
      <w:bookmarkEnd w:id="43"/>
      <w:bookmarkEnd w:id="44"/>
      <w:bookmarkEnd w:id="45"/>
      <w:bookmarkEnd w:id="46"/>
      <w:bookmarkEnd w:id="47"/>
      <w:bookmarkEnd w:id="48"/>
      <w:bookmarkEnd w:id="49"/>
      <w:bookmarkEnd w:id="50"/>
    </w:p>
    <w:p w14:paraId="497E932A">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5.1 投标文件递交的截止时间（投标截止时间，下同）为</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分，投标人应在截止时间前通过</w:t>
      </w:r>
      <w:r>
        <w:rPr>
          <w:rFonts w:hint="eastAsia" w:ascii="宋体" w:hAnsi="宋体"/>
          <w:color w:val="auto"/>
          <w:szCs w:val="21"/>
          <w:highlight w:val="none"/>
          <w:u w:val="single"/>
        </w:rPr>
        <w:t>广州公共资源交易中心网站（网址：http://www.gzggzy.cn/）</w:t>
      </w:r>
      <w:r>
        <w:rPr>
          <w:rFonts w:hint="eastAsia" w:ascii="宋体" w:hAnsi="宋体"/>
          <w:color w:val="auto"/>
          <w:szCs w:val="21"/>
          <w:highlight w:val="none"/>
        </w:rPr>
        <w:t>递交电子投标文件。</w:t>
      </w:r>
    </w:p>
    <w:p w14:paraId="02C767CD">
      <w:pP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递交备用投标文件电子光盘的规定：时间为：</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分至</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5</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分；地点：广州公共资源交易中心第</w:t>
      </w:r>
      <w:r>
        <w:rPr>
          <w:rFonts w:hint="eastAsia" w:ascii="宋体" w:hAnsi="宋体"/>
          <w:color w:val="auto"/>
          <w:szCs w:val="21"/>
          <w:highlight w:val="none"/>
          <w:u w:val="single"/>
        </w:rPr>
        <w:t xml:space="preserve">  </w:t>
      </w:r>
      <w:r>
        <w:rPr>
          <w:rFonts w:hint="eastAsia" w:ascii="宋体" w:hAnsi="宋体"/>
          <w:color w:val="auto"/>
          <w:szCs w:val="21"/>
          <w:highlight w:val="none"/>
        </w:rPr>
        <w:t>开标室。（电子光盘需按规定封装。投标人在将数据刻录到光盘之后，投标前自行检查文件是否可以读取）</w:t>
      </w:r>
    </w:p>
    <w:p w14:paraId="66287279">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5.2逾期送达的投标文件，电子招标投标交易平台将予以拒收。逾期未上传成功的电子投标文件，招标人拒绝接收。</w:t>
      </w:r>
    </w:p>
    <w:p w14:paraId="247A2897">
      <w:pPr>
        <w:spacing w:line="360" w:lineRule="auto"/>
        <w:outlineLvl w:val="0"/>
        <w:rPr>
          <w:rFonts w:hint="eastAsia" w:ascii="宋体" w:hAnsi="宋体" w:cs="宋体"/>
          <w:b/>
          <w:color w:val="auto"/>
          <w:sz w:val="24"/>
          <w:szCs w:val="24"/>
          <w:highlight w:val="none"/>
        </w:rPr>
      </w:pPr>
      <w:bookmarkStart w:id="51" w:name="_Toc27277_WPSOffice_Level2"/>
      <w:bookmarkStart w:id="52" w:name="_Toc9942_WPSOffice_Level2"/>
      <w:bookmarkStart w:id="53" w:name="_Toc229305328"/>
      <w:bookmarkStart w:id="54" w:name="_Toc259524301"/>
      <w:bookmarkStart w:id="55" w:name="_Toc222033819"/>
      <w:bookmarkStart w:id="56" w:name="_Toc222029468"/>
      <w:bookmarkStart w:id="57" w:name="_Toc222030970"/>
      <w:bookmarkStart w:id="58" w:name="_Toc222032637"/>
      <w:bookmarkStart w:id="59" w:name="_Toc221949937"/>
      <w:r>
        <w:rPr>
          <w:rFonts w:hint="eastAsia" w:ascii="宋体" w:hAnsi="宋体" w:cs="宋体"/>
          <w:b/>
          <w:color w:val="auto"/>
          <w:sz w:val="24"/>
          <w:szCs w:val="24"/>
          <w:highlight w:val="none"/>
        </w:rPr>
        <w:t>6.异议受理</w:t>
      </w:r>
      <w:bookmarkEnd w:id="51"/>
      <w:bookmarkEnd w:id="52"/>
    </w:p>
    <w:p w14:paraId="2EAFE97A">
      <w:pPr>
        <w:topLinePunct/>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rPr>
        <w:t>潜在投标人或利害关系人对本招标公告及招标文件有异议的，应当在投标截止时间10日前向招标人书面提出。</w:t>
      </w:r>
    </w:p>
    <w:p w14:paraId="50DA75B6">
      <w:pPr>
        <w:topLinePunct/>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异议受理部门：</w:t>
      </w:r>
      <w:r>
        <w:rPr>
          <w:rFonts w:hint="eastAsia" w:ascii="宋体" w:hAnsi="宋体"/>
          <w:color w:val="auto"/>
          <w:szCs w:val="21"/>
          <w:highlight w:val="none"/>
          <w:u w:val="single"/>
          <w:lang w:eastAsia="zh-CN"/>
        </w:rPr>
        <w:t>广州市增城区人民政府永宁街道办事处</w:t>
      </w:r>
    </w:p>
    <w:p w14:paraId="7948B690">
      <w:pPr>
        <w:topLinePunct/>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异议受理电话：</w:t>
      </w:r>
      <w:r>
        <w:rPr>
          <w:rFonts w:hint="eastAsia" w:ascii="宋体" w:hAnsi="宋体"/>
          <w:color w:val="auto"/>
          <w:szCs w:val="21"/>
          <w:highlight w:val="none"/>
          <w:u w:val="single"/>
          <w:lang w:eastAsia="zh-CN"/>
        </w:rPr>
        <w:t>020-26223256</w:t>
      </w:r>
    </w:p>
    <w:p w14:paraId="58AC2F8D">
      <w:pPr>
        <w:topLinePunct/>
        <w:spacing w:line="360" w:lineRule="auto"/>
        <w:ind w:firstLine="420" w:firstLineChars="200"/>
        <w:rPr>
          <w:rFonts w:hint="eastAsia" w:ascii="宋体" w:hAnsi="宋体" w:eastAsia="宋体"/>
          <w:color w:val="auto"/>
          <w:szCs w:val="21"/>
          <w:highlight w:val="none"/>
          <w:u w:val="single"/>
          <w:lang w:eastAsia="zh-CN"/>
        </w:rPr>
      </w:pPr>
      <w:r>
        <w:rPr>
          <w:rFonts w:hint="eastAsia" w:ascii="宋体" w:hAnsi="宋体"/>
          <w:color w:val="auto"/>
          <w:szCs w:val="21"/>
          <w:highlight w:val="none"/>
        </w:rPr>
        <w:t>地        址：</w:t>
      </w:r>
      <w:r>
        <w:rPr>
          <w:rFonts w:hint="eastAsia" w:ascii="宋体" w:hAnsi="宋体"/>
          <w:color w:val="auto"/>
          <w:szCs w:val="21"/>
          <w:highlight w:val="none"/>
          <w:u w:val="single"/>
          <w:lang w:eastAsia="zh-CN"/>
        </w:rPr>
        <w:t>广州市增城区永宁街道荔香街31号</w:t>
      </w:r>
    </w:p>
    <w:p w14:paraId="250DACC5">
      <w:pPr>
        <w:pStyle w:val="13"/>
        <w:ind w:firstLine="420" w:firstLineChars="200"/>
        <w:jc w:val="left"/>
        <w:rPr>
          <w:rFonts w:hint="eastAsia"/>
          <w:color w:val="auto"/>
          <w:highlight w:val="none"/>
        </w:rPr>
      </w:pPr>
      <w:r>
        <w:rPr>
          <w:rFonts w:hint="eastAsia" w:ascii="宋体" w:hAnsi="宋体" w:cs="Calibri"/>
          <w:b w:val="0"/>
          <w:color w:val="auto"/>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53"/>
    <w:bookmarkEnd w:id="54"/>
    <w:bookmarkEnd w:id="55"/>
    <w:bookmarkEnd w:id="56"/>
    <w:bookmarkEnd w:id="57"/>
    <w:bookmarkEnd w:id="58"/>
    <w:bookmarkEnd w:id="59"/>
    <w:p w14:paraId="7181B8B0">
      <w:pPr>
        <w:spacing w:line="360" w:lineRule="auto"/>
        <w:outlineLvl w:val="0"/>
        <w:rPr>
          <w:rFonts w:hint="eastAsia" w:ascii="宋体" w:hAnsi="宋体" w:cs="宋体"/>
          <w:b/>
          <w:color w:val="auto"/>
          <w:sz w:val="24"/>
          <w:szCs w:val="24"/>
          <w:highlight w:val="none"/>
        </w:rPr>
      </w:pPr>
      <w:bookmarkStart w:id="60" w:name="_Toc221949939"/>
      <w:bookmarkStart w:id="61" w:name="_Toc222029469"/>
      <w:bookmarkStart w:id="62" w:name="_Toc20839_WPSOffice_Level2"/>
      <w:bookmarkStart w:id="63" w:name="_Toc222030971"/>
      <w:bookmarkStart w:id="64" w:name="_Toc168476034"/>
      <w:bookmarkStart w:id="65" w:name="_Toc259524302"/>
      <w:bookmarkStart w:id="66" w:name="_Toc168475631"/>
      <w:bookmarkStart w:id="67" w:name="_Toc229305329"/>
      <w:bookmarkStart w:id="68" w:name="_Toc210_WPSOffice_Level2"/>
      <w:bookmarkStart w:id="69" w:name="_Toc222033820"/>
      <w:bookmarkStart w:id="70" w:name="_Toc222032638"/>
      <w:r>
        <w:rPr>
          <w:rFonts w:hint="eastAsia" w:ascii="宋体" w:hAnsi="宋体" w:cs="宋体"/>
          <w:b/>
          <w:color w:val="auto"/>
          <w:sz w:val="24"/>
          <w:szCs w:val="24"/>
          <w:highlight w:val="none"/>
        </w:rPr>
        <w:t>7.发布公告的媒介</w:t>
      </w:r>
      <w:bookmarkEnd w:id="60"/>
      <w:bookmarkEnd w:id="61"/>
      <w:bookmarkEnd w:id="62"/>
      <w:bookmarkEnd w:id="63"/>
      <w:bookmarkEnd w:id="64"/>
      <w:bookmarkEnd w:id="65"/>
      <w:bookmarkEnd w:id="66"/>
      <w:bookmarkEnd w:id="67"/>
      <w:bookmarkEnd w:id="68"/>
      <w:bookmarkEnd w:id="69"/>
      <w:bookmarkEnd w:id="70"/>
    </w:p>
    <w:p w14:paraId="22AC452C">
      <w:pPr>
        <w:snapToGrid w:val="0"/>
        <w:spacing w:line="360" w:lineRule="auto"/>
        <w:ind w:firstLine="457" w:firstLineChars="218"/>
        <w:rPr>
          <w:rFonts w:hint="eastAsia" w:ascii="宋体" w:hAnsi="宋体"/>
          <w:color w:val="auto"/>
          <w:szCs w:val="21"/>
          <w:highlight w:val="none"/>
        </w:rPr>
      </w:pPr>
      <w:r>
        <w:rPr>
          <w:rFonts w:hint="eastAsia" w:ascii="宋体" w:hAnsi="宋体"/>
          <w:color w:val="auto"/>
          <w:szCs w:val="21"/>
          <w:highlight w:val="none"/>
        </w:rPr>
        <w:t>本次招标公告同时在</w:t>
      </w:r>
      <w:r>
        <w:rPr>
          <w:rFonts w:hint="eastAsia" w:ascii="宋体" w:hAnsi="宋体"/>
          <w:color w:val="auto"/>
          <w:szCs w:val="21"/>
          <w:highlight w:val="none"/>
          <w:u w:val="single"/>
        </w:rPr>
        <w:t>广州公共资源交易网（网址：http://www.gzggzy.cn/）、广东省招标投标监管网（网址：https://www.gdzwfw.gov.cn/ztbjg-portal/#/index）</w:t>
      </w:r>
      <w:r>
        <w:rPr>
          <w:rFonts w:hint="eastAsia" w:ascii="宋体" w:hAnsi="宋体" w:cs="宋体"/>
          <w:color w:val="auto"/>
          <w:sz w:val="24"/>
          <w:u w:val="single"/>
          <w:lang w:eastAsia="zh-CN"/>
        </w:rPr>
        <w:t>、</w:t>
      </w:r>
      <w:r>
        <w:rPr>
          <w:rFonts w:hint="eastAsia" w:ascii="宋体" w:hAnsi="宋体" w:cs="宋体"/>
          <w:color w:val="auto"/>
          <w:sz w:val="24"/>
          <w:szCs w:val="24"/>
          <w:highlight w:val="none"/>
          <w:u w:val="single"/>
        </w:rPr>
        <w:t>广州市增城区人民政府门户网站（http://www.zc.gov.cn/）的“首页&gt;公开&gt;公共资源配置领域&gt;工程建设项目招投标”栏目</w:t>
      </w:r>
      <w:r>
        <w:rPr>
          <w:rFonts w:hint="eastAsia" w:ascii="宋体" w:hAnsi="宋体"/>
          <w:color w:val="auto"/>
          <w:szCs w:val="21"/>
          <w:highlight w:val="none"/>
          <w:u w:val="single"/>
        </w:rPr>
        <w:t>和中国招标投标公共服务平台（网址：http://www.cebpubservice.com/）</w:t>
      </w:r>
      <w:r>
        <w:rPr>
          <w:rFonts w:hint="eastAsia" w:ascii="宋体" w:hAnsi="宋体"/>
          <w:color w:val="auto"/>
          <w:szCs w:val="21"/>
          <w:highlight w:val="none"/>
        </w:rPr>
        <w:t>发布。本公告的修改、补充，在广州公共资源交易中心网站上发布。</w:t>
      </w:r>
    </w:p>
    <w:p w14:paraId="544626E4">
      <w:pPr>
        <w:spacing w:line="360" w:lineRule="auto"/>
        <w:outlineLvl w:val="0"/>
        <w:rPr>
          <w:rFonts w:hint="eastAsia" w:ascii="宋体" w:hAnsi="宋体" w:cs="宋体"/>
          <w:b/>
          <w:color w:val="auto"/>
          <w:sz w:val="24"/>
          <w:szCs w:val="24"/>
          <w:highlight w:val="none"/>
        </w:rPr>
      </w:pPr>
      <w:bookmarkStart w:id="71" w:name="_Toc31605_WPSOffice_Level2"/>
      <w:bookmarkStart w:id="72" w:name="_Toc32469_WPSOffice_Level2"/>
      <w:r>
        <w:rPr>
          <w:rFonts w:hint="eastAsia" w:ascii="宋体" w:hAnsi="宋体" w:cs="宋体"/>
          <w:b/>
          <w:color w:val="auto"/>
          <w:sz w:val="24"/>
          <w:szCs w:val="24"/>
          <w:highlight w:val="none"/>
        </w:rPr>
        <w:t>8. 联系方式</w:t>
      </w:r>
      <w:bookmarkEnd w:id="71"/>
      <w:bookmarkEnd w:id="72"/>
    </w:p>
    <w:tbl>
      <w:tblPr>
        <w:tblStyle w:val="8"/>
        <w:tblW w:w="9889" w:type="dxa"/>
        <w:jc w:val="center"/>
        <w:tblLayout w:type="fixed"/>
        <w:tblCellMar>
          <w:top w:w="0" w:type="dxa"/>
          <w:left w:w="108" w:type="dxa"/>
          <w:bottom w:w="0" w:type="dxa"/>
          <w:right w:w="108" w:type="dxa"/>
        </w:tblCellMar>
      </w:tblPr>
      <w:tblGrid>
        <w:gridCol w:w="5302"/>
        <w:gridCol w:w="4587"/>
      </w:tblGrid>
      <w:tr w14:paraId="1406B9C0">
        <w:tblPrEx>
          <w:tblCellMar>
            <w:top w:w="0" w:type="dxa"/>
            <w:left w:w="108" w:type="dxa"/>
            <w:bottom w:w="0" w:type="dxa"/>
            <w:right w:w="108" w:type="dxa"/>
          </w:tblCellMar>
        </w:tblPrEx>
        <w:trPr>
          <w:trHeight w:val="411" w:hRule="atLeast"/>
          <w:jc w:val="center"/>
        </w:trPr>
        <w:tc>
          <w:tcPr>
            <w:tcW w:w="5302" w:type="dxa"/>
            <w:noWrap w:val="0"/>
            <w:vAlign w:val="top"/>
          </w:tcPr>
          <w:p w14:paraId="4433DCC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 标 人：</w:t>
            </w:r>
            <w:r>
              <w:rPr>
                <w:rFonts w:hint="eastAsia" w:ascii="宋体" w:hAnsi="宋体" w:cs="宋体"/>
                <w:color w:val="auto"/>
                <w:szCs w:val="21"/>
                <w:highlight w:val="none"/>
                <w:u w:val="single"/>
                <w:lang w:eastAsia="zh-CN"/>
              </w:rPr>
              <w:t>广州市增城区人民政府永宁街道办事处</w:t>
            </w:r>
          </w:p>
        </w:tc>
        <w:tc>
          <w:tcPr>
            <w:tcW w:w="4587" w:type="dxa"/>
            <w:noWrap w:val="0"/>
            <w:vAlign w:val="top"/>
          </w:tcPr>
          <w:p w14:paraId="68CE0BD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招标代理机构：</w:t>
            </w:r>
            <w:r>
              <w:rPr>
                <w:rFonts w:hint="eastAsia" w:ascii="宋体" w:hAnsi="宋体" w:cs="宋体"/>
                <w:color w:val="auto"/>
                <w:szCs w:val="21"/>
                <w:highlight w:val="none"/>
                <w:u w:val="single"/>
                <w:lang w:eastAsia="zh-CN"/>
              </w:rPr>
              <w:t>广东建瀚工程管理有限公司</w:t>
            </w:r>
          </w:p>
        </w:tc>
      </w:tr>
      <w:tr w14:paraId="0898962B">
        <w:tblPrEx>
          <w:tblCellMar>
            <w:top w:w="0" w:type="dxa"/>
            <w:left w:w="108" w:type="dxa"/>
            <w:bottom w:w="0" w:type="dxa"/>
            <w:right w:w="108" w:type="dxa"/>
          </w:tblCellMar>
        </w:tblPrEx>
        <w:trPr>
          <w:trHeight w:val="336" w:hRule="atLeast"/>
          <w:jc w:val="center"/>
        </w:trPr>
        <w:tc>
          <w:tcPr>
            <w:tcW w:w="5302" w:type="dxa"/>
            <w:noWrap w:val="0"/>
            <w:vAlign w:val="top"/>
          </w:tcPr>
          <w:p w14:paraId="2A330E93">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广州市增城区永宁街道荔香街31号</w:t>
            </w:r>
          </w:p>
        </w:tc>
        <w:tc>
          <w:tcPr>
            <w:tcW w:w="4587" w:type="dxa"/>
            <w:noWrap w:val="0"/>
            <w:vAlign w:val="top"/>
          </w:tcPr>
          <w:p w14:paraId="308AC164">
            <w:pPr>
              <w:spacing w:line="360" w:lineRule="auto"/>
              <w:ind w:left="1050" w:hanging="1050" w:hangingChars="5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广州市白云区春满街35号2号楼</w:t>
            </w:r>
          </w:p>
        </w:tc>
      </w:tr>
      <w:tr w14:paraId="53443D1A">
        <w:tblPrEx>
          <w:tblCellMar>
            <w:top w:w="0" w:type="dxa"/>
            <w:left w:w="108" w:type="dxa"/>
            <w:bottom w:w="0" w:type="dxa"/>
            <w:right w:w="108" w:type="dxa"/>
          </w:tblCellMar>
        </w:tblPrEx>
        <w:trPr>
          <w:trHeight w:val="268" w:hRule="atLeast"/>
          <w:jc w:val="center"/>
        </w:trPr>
        <w:tc>
          <w:tcPr>
            <w:tcW w:w="5302" w:type="dxa"/>
            <w:noWrap w:val="0"/>
            <w:vAlign w:val="top"/>
          </w:tcPr>
          <w:p w14:paraId="639E85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编：</w:t>
            </w:r>
            <w:r>
              <w:rPr>
                <w:rFonts w:hint="eastAsia" w:ascii="宋体" w:hAnsi="宋体" w:cs="宋体"/>
                <w:color w:val="auto"/>
                <w:szCs w:val="21"/>
                <w:highlight w:val="none"/>
                <w:u w:val="single"/>
              </w:rPr>
              <w:t>510000</w:t>
            </w:r>
          </w:p>
        </w:tc>
        <w:tc>
          <w:tcPr>
            <w:tcW w:w="4587" w:type="dxa"/>
            <w:noWrap w:val="0"/>
            <w:vAlign w:val="top"/>
          </w:tcPr>
          <w:p w14:paraId="0FD356B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邮    编：</w:t>
            </w:r>
            <w:r>
              <w:rPr>
                <w:rFonts w:hint="eastAsia" w:ascii="宋体" w:hAnsi="宋体" w:cs="宋体"/>
                <w:color w:val="auto"/>
                <w:szCs w:val="21"/>
                <w:highlight w:val="none"/>
                <w:u w:val="single"/>
              </w:rPr>
              <w:t>510000</w:t>
            </w:r>
          </w:p>
        </w:tc>
      </w:tr>
      <w:tr w14:paraId="144CDCAB">
        <w:tblPrEx>
          <w:tblCellMar>
            <w:top w:w="0" w:type="dxa"/>
            <w:left w:w="108" w:type="dxa"/>
            <w:bottom w:w="0" w:type="dxa"/>
            <w:right w:w="108" w:type="dxa"/>
          </w:tblCellMar>
        </w:tblPrEx>
        <w:trPr>
          <w:trHeight w:val="90" w:hRule="atLeast"/>
          <w:jc w:val="center"/>
        </w:trPr>
        <w:tc>
          <w:tcPr>
            <w:tcW w:w="5302" w:type="dxa"/>
            <w:noWrap w:val="0"/>
            <w:vAlign w:val="top"/>
          </w:tcPr>
          <w:p w14:paraId="3D6F01D4">
            <w:pPr>
              <w:spacing w:line="360" w:lineRule="auto"/>
              <w:rPr>
                <w:rFonts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袁</w:t>
            </w:r>
            <w:r>
              <w:rPr>
                <w:rFonts w:hint="eastAsia" w:ascii="宋体" w:hAnsi="宋体" w:cs="宋体"/>
                <w:color w:val="auto"/>
                <w:szCs w:val="21"/>
                <w:highlight w:val="none"/>
                <w:u w:val="single"/>
              </w:rPr>
              <w:t>工</w:t>
            </w:r>
          </w:p>
        </w:tc>
        <w:tc>
          <w:tcPr>
            <w:tcW w:w="4587" w:type="dxa"/>
            <w:noWrap w:val="0"/>
            <w:vAlign w:val="top"/>
          </w:tcPr>
          <w:p w14:paraId="377C085D">
            <w:pPr>
              <w:spacing w:line="360" w:lineRule="auto"/>
              <w:rPr>
                <w:rFonts w:ascii="宋体" w:hAnsi="宋体" w:cs="宋体"/>
                <w:color w:val="auto"/>
                <w:szCs w:val="21"/>
                <w:highlight w:val="none"/>
              </w:rPr>
            </w:pPr>
            <w:r>
              <w:rPr>
                <w:rFonts w:hint="eastAsia" w:ascii="宋体" w:hAnsi="宋体" w:cs="宋体"/>
                <w:color w:val="auto"/>
                <w:szCs w:val="21"/>
                <w:highlight w:val="none"/>
              </w:rPr>
              <w:t>联 系 人：</w:t>
            </w:r>
            <w:r>
              <w:rPr>
                <w:rFonts w:hint="eastAsia" w:ascii="宋体" w:hAnsi="宋体" w:cs="宋体"/>
                <w:color w:val="auto"/>
                <w:szCs w:val="21"/>
                <w:highlight w:val="none"/>
                <w:u w:val="single"/>
                <w:lang w:val="en-US" w:eastAsia="zh-CN"/>
              </w:rPr>
              <w:t>王</w:t>
            </w:r>
            <w:r>
              <w:rPr>
                <w:rFonts w:hint="eastAsia" w:ascii="宋体" w:hAnsi="宋体" w:cs="宋体"/>
                <w:color w:val="auto"/>
                <w:szCs w:val="21"/>
                <w:highlight w:val="none"/>
                <w:u w:val="single"/>
              </w:rPr>
              <w:t>工</w:t>
            </w:r>
          </w:p>
        </w:tc>
      </w:tr>
      <w:tr w14:paraId="29775AAA">
        <w:tblPrEx>
          <w:tblCellMar>
            <w:top w:w="0" w:type="dxa"/>
            <w:left w:w="108" w:type="dxa"/>
            <w:bottom w:w="0" w:type="dxa"/>
            <w:right w:w="108" w:type="dxa"/>
          </w:tblCellMar>
        </w:tblPrEx>
        <w:trPr>
          <w:trHeight w:val="90" w:hRule="atLeast"/>
          <w:jc w:val="center"/>
        </w:trPr>
        <w:tc>
          <w:tcPr>
            <w:tcW w:w="5302" w:type="dxa"/>
            <w:noWrap w:val="0"/>
            <w:vAlign w:val="top"/>
          </w:tcPr>
          <w:p w14:paraId="2C7D97E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lang w:eastAsia="zh-CN"/>
              </w:rPr>
              <w:t>020-26223256</w:t>
            </w:r>
          </w:p>
        </w:tc>
        <w:tc>
          <w:tcPr>
            <w:tcW w:w="4587" w:type="dxa"/>
            <w:noWrap w:val="0"/>
            <w:vAlign w:val="top"/>
          </w:tcPr>
          <w:p w14:paraId="52FD609A">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020-</w:t>
            </w:r>
            <w:r>
              <w:rPr>
                <w:rFonts w:hint="eastAsia" w:ascii="宋体" w:hAnsi="宋体" w:cs="宋体"/>
                <w:color w:val="auto"/>
                <w:szCs w:val="21"/>
                <w:highlight w:val="none"/>
                <w:u w:val="single"/>
                <w:lang w:val="en-US" w:eastAsia="zh-CN"/>
              </w:rPr>
              <w:t>37871723</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3145791285</w:t>
            </w:r>
          </w:p>
        </w:tc>
      </w:tr>
      <w:tr w14:paraId="36666B7E">
        <w:tblPrEx>
          <w:tblCellMar>
            <w:top w:w="0" w:type="dxa"/>
            <w:left w:w="108" w:type="dxa"/>
            <w:bottom w:w="0" w:type="dxa"/>
            <w:right w:w="108" w:type="dxa"/>
          </w:tblCellMar>
        </w:tblPrEx>
        <w:trPr>
          <w:trHeight w:val="162" w:hRule="atLeast"/>
          <w:jc w:val="center"/>
        </w:trPr>
        <w:tc>
          <w:tcPr>
            <w:tcW w:w="5302" w:type="dxa"/>
            <w:noWrap w:val="0"/>
            <w:vAlign w:val="top"/>
          </w:tcPr>
          <w:p w14:paraId="2DA91C0E">
            <w:pPr>
              <w:spacing w:line="360" w:lineRule="auto"/>
              <w:rPr>
                <w:rFonts w:hint="eastAsia" w:ascii="宋体" w:hAnsi="宋体" w:cs="宋体"/>
                <w:color w:val="auto"/>
                <w:szCs w:val="21"/>
                <w:highlight w:val="none"/>
              </w:rPr>
            </w:pPr>
          </w:p>
        </w:tc>
        <w:tc>
          <w:tcPr>
            <w:tcW w:w="4587" w:type="dxa"/>
            <w:noWrap w:val="0"/>
            <w:vAlign w:val="top"/>
          </w:tcPr>
          <w:p w14:paraId="5CA37A9A">
            <w:pPr>
              <w:spacing w:line="360" w:lineRule="auto"/>
              <w:rPr>
                <w:rFonts w:hint="eastAsia" w:ascii="宋体" w:hAnsi="宋体" w:cs="宋体"/>
                <w:color w:val="auto"/>
                <w:szCs w:val="21"/>
                <w:highlight w:val="none"/>
              </w:rPr>
            </w:pPr>
          </w:p>
        </w:tc>
      </w:tr>
      <w:tr w14:paraId="67AD4AC3">
        <w:tblPrEx>
          <w:tblCellMar>
            <w:top w:w="0" w:type="dxa"/>
            <w:left w:w="108" w:type="dxa"/>
            <w:bottom w:w="0" w:type="dxa"/>
            <w:right w:w="108" w:type="dxa"/>
          </w:tblCellMar>
        </w:tblPrEx>
        <w:trPr>
          <w:trHeight w:val="133" w:hRule="atLeast"/>
          <w:jc w:val="center"/>
        </w:trPr>
        <w:tc>
          <w:tcPr>
            <w:tcW w:w="5302" w:type="dxa"/>
            <w:noWrap w:val="0"/>
            <w:vAlign w:val="top"/>
          </w:tcPr>
          <w:p w14:paraId="7906A2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招标监督机构：</w:t>
            </w:r>
            <w:r>
              <w:rPr>
                <w:rFonts w:hint="eastAsia" w:ascii="宋体" w:hAnsi="宋体" w:cs="宋体"/>
                <w:color w:val="auto"/>
                <w:szCs w:val="21"/>
                <w:highlight w:val="none"/>
                <w:u w:val="single"/>
                <w:lang w:eastAsia="zh-CN"/>
              </w:rPr>
              <w:t>广州市增城区人民政府永宁街道办事处</w:t>
            </w:r>
          </w:p>
        </w:tc>
        <w:tc>
          <w:tcPr>
            <w:tcW w:w="4587" w:type="dxa"/>
            <w:noWrap w:val="0"/>
            <w:vAlign w:val="top"/>
          </w:tcPr>
          <w:p w14:paraId="2DD25F87">
            <w:pPr>
              <w:spacing w:line="360" w:lineRule="auto"/>
              <w:rPr>
                <w:rFonts w:hint="eastAsia" w:ascii="宋体" w:hAnsi="宋体" w:cs="宋体"/>
                <w:color w:val="auto"/>
                <w:szCs w:val="21"/>
                <w:highlight w:val="none"/>
              </w:rPr>
            </w:pPr>
          </w:p>
        </w:tc>
      </w:tr>
      <w:tr w14:paraId="1022F97E">
        <w:tblPrEx>
          <w:tblCellMar>
            <w:top w:w="0" w:type="dxa"/>
            <w:left w:w="108" w:type="dxa"/>
            <w:bottom w:w="0" w:type="dxa"/>
            <w:right w:w="108" w:type="dxa"/>
          </w:tblCellMar>
        </w:tblPrEx>
        <w:trPr>
          <w:trHeight w:val="90" w:hRule="atLeast"/>
          <w:jc w:val="center"/>
        </w:trPr>
        <w:tc>
          <w:tcPr>
            <w:tcW w:w="5302" w:type="dxa"/>
            <w:noWrap w:val="0"/>
            <w:vAlign w:val="top"/>
          </w:tcPr>
          <w:p w14:paraId="5DA9F7A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lang w:eastAsia="zh-CN"/>
              </w:rPr>
              <w:t>广州市增城区永宁街道荔香街31号</w:t>
            </w:r>
          </w:p>
        </w:tc>
        <w:tc>
          <w:tcPr>
            <w:tcW w:w="4587" w:type="dxa"/>
            <w:noWrap w:val="0"/>
            <w:vAlign w:val="top"/>
          </w:tcPr>
          <w:p w14:paraId="736F415C">
            <w:pPr>
              <w:spacing w:line="360" w:lineRule="auto"/>
              <w:rPr>
                <w:rFonts w:hint="eastAsia" w:ascii="宋体" w:hAnsi="宋体" w:cs="宋体"/>
                <w:color w:val="auto"/>
                <w:szCs w:val="21"/>
                <w:highlight w:val="none"/>
              </w:rPr>
            </w:pPr>
          </w:p>
        </w:tc>
      </w:tr>
      <w:tr w14:paraId="09378FAD">
        <w:tblPrEx>
          <w:tblCellMar>
            <w:top w:w="0" w:type="dxa"/>
            <w:left w:w="108" w:type="dxa"/>
            <w:bottom w:w="0" w:type="dxa"/>
            <w:right w:w="108" w:type="dxa"/>
          </w:tblCellMar>
        </w:tblPrEx>
        <w:trPr>
          <w:trHeight w:val="186" w:hRule="atLeast"/>
          <w:jc w:val="center"/>
        </w:trPr>
        <w:tc>
          <w:tcPr>
            <w:tcW w:w="5302" w:type="dxa"/>
            <w:noWrap w:val="0"/>
            <w:vAlign w:val="top"/>
          </w:tcPr>
          <w:p w14:paraId="06B04A0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监  督 电 话：</w:t>
            </w:r>
            <w:r>
              <w:rPr>
                <w:rFonts w:hint="eastAsia" w:ascii="宋体" w:hAnsi="宋体" w:cs="宋体"/>
                <w:color w:val="auto"/>
                <w:szCs w:val="21"/>
                <w:highlight w:val="none"/>
                <w:u w:val="single"/>
                <w:lang w:eastAsia="zh-CN"/>
              </w:rPr>
              <w:t>020-26223256</w:t>
            </w:r>
          </w:p>
        </w:tc>
        <w:tc>
          <w:tcPr>
            <w:tcW w:w="4587" w:type="dxa"/>
            <w:noWrap w:val="0"/>
            <w:vAlign w:val="top"/>
          </w:tcPr>
          <w:p w14:paraId="4CF572E8">
            <w:pPr>
              <w:spacing w:line="360" w:lineRule="auto"/>
              <w:rPr>
                <w:rFonts w:hint="eastAsia" w:ascii="宋体" w:hAnsi="宋体" w:cs="宋体"/>
                <w:color w:val="auto"/>
                <w:szCs w:val="21"/>
                <w:highlight w:val="none"/>
              </w:rPr>
            </w:pPr>
          </w:p>
        </w:tc>
      </w:tr>
    </w:tbl>
    <w:p w14:paraId="38A4A751">
      <w:pPr>
        <w:spacing w:line="360" w:lineRule="auto"/>
        <w:rPr>
          <w:rFonts w:hint="eastAsia" w:ascii="宋体" w:hAnsi="宋体" w:cs="宋体"/>
          <w:color w:val="auto"/>
          <w:szCs w:val="21"/>
          <w:highlight w:val="none"/>
        </w:rPr>
      </w:pPr>
    </w:p>
    <w:p w14:paraId="1AAEF5CE">
      <w:pPr>
        <w:spacing w:line="360" w:lineRule="auto"/>
        <w:ind w:left="5830" w:right="227" w:rightChars="108" w:hanging="5829" w:hangingChars="2776"/>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FD39B2">
      <w:pPr>
        <w:pageBreakBefore/>
        <w:adjustRightInd w:val="0"/>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附件一：</w:t>
      </w:r>
    </w:p>
    <w:p w14:paraId="7190AA52">
      <w:pPr>
        <w:snapToGrid w:val="0"/>
        <w:spacing w:before="260" w:after="260" w:line="360" w:lineRule="auto"/>
        <w:ind w:right="384"/>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投标申请人声明</w:t>
      </w:r>
    </w:p>
    <w:p w14:paraId="16F25824">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本招标项目招标人及招标监管机构：</w:t>
      </w:r>
    </w:p>
    <w:p w14:paraId="44F67DF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本公司就参加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投标工作，作出郑重声明：</w:t>
      </w:r>
    </w:p>
    <w:p w14:paraId="0AAD0B9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5D569A8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二、本公司保证在本项目投标中不与其他单位围标、串标，不出让投标资格，不向招标人或评标委员会成员行贿。</w:t>
      </w:r>
    </w:p>
    <w:p w14:paraId="4C197C8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w:t>
      </w:r>
      <w:r>
        <w:rPr>
          <w:rFonts w:hint="eastAsia" w:ascii="宋体" w:hAnsi="宋体" w:cs="宋体"/>
          <w:b/>
          <w:bCs/>
          <w:color w:val="auto"/>
          <w:szCs w:val="21"/>
          <w:highlight w:val="none"/>
        </w:rPr>
        <w:t>本公司近二年（从202</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rPr>
        <w:t>年1月1日起至投标截止时间止）未因以往检测和监测工作中存在伪造检测和监测数据、出具虚假检测和监测报告的行为被各级建设行政主管部门或市场监督管理部门行政处罚或通报的。</w:t>
      </w:r>
    </w:p>
    <w:p w14:paraId="7B1658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color w:val="auto"/>
          <w:szCs w:val="21"/>
          <w:highlight w:val="none"/>
        </w:rPr>
        <w:t>本公司不存在招标文件第二章投标人须知第1.4.3项所规定的任何一种情形。</w:t>
      </w:r>
    </w:p>
    <w:p w14:paraId="41239BA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五、本公司及其有隶属关系的机构没有参加本项目的设计、前期工作、招标文件编写、监理工作；本公司与承担本招标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w:t>
      </w:r>
    </w:p>
    <w:p w14:paraId="27AD075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六、与本公司单位负责人为同一人或者与本公司存在控股、管理关系的其他单位包括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。（注：本条由投标人如实填写，如有，应列出全部满足招标公告资质要求的相关单位的名称；如无，则填写“无”。）</w:t>
      </w:r>
    </w:p>
    <w:p w14:paraId="15D6E90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七、本公司承诺，中标后严格执行安全生产相关管理规定。 </w:t>
      </w:r>
    </w:p>
    <w:p w14:paraId="575E5CA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0C5B0E81">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本公司违反上述保证，或本声明陈述与事实不符，经查实，本公司愿意接受公开通报，承担由此带来的法律后果，并自愿停止参加广州市行政辖区内的招标投标活动三个月。</w:t>
      </w:r>
    </w:p>
    <w:p w14:paraId="134FD84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特此声明。</w:t>
      </w:r>
    </w:p>
    <w:p w14:paraId="2AD49DF6">
      <w:pPr>
        <w:pStyle w:val="14"/>
        <w:wordWrap w:val="0"/>
        <w:spacing w:line="400" w:lineRule="exact"/>
        <w:ind w:firstLine="0"/>
        <w:jc w:val="right"/>
        <w:rPr>
          <w:rFonts w:hint="eastAsia" w:ascii="宋体" w:hAnsi="宋体" w:eastAsia="宋体" w:cs="宋体"/>
          <w:color w:val="auto"/>
          <w:sz w:val="21"/>
          <w:szCs w:val="21"/>
          <w:highlight w:val="none"/>
        </w:rPr>
      </w:pPr>
    </w:p>
    <w:p w14:paraId="60BC243A">
      <w:pPr>
        <w:pStyle w:val="14"/>
        <w:spacing w:line="400" w:lineRule="exact"/>
        <w:ind w:firstLine="0"/>
        <w:jc w:val="right"/>
        <w:rPr>
          <w:rFonts w:hint="eastAsia" w:ascii="宋体" w:hAnsi="宋体" w:eastAsia="宋体" w:cs="宋体"/>
          <w:color w:val="auto"/>
          <w:sz w:val="21"/>
          <w:szCs w:val="21"/>
          <w:highlight w:val="none"/>
        </w:rPr>
      </w:pPr>
    </w:p>
    <w:p w14:paraId="73CE7206">
      <w:pPr>
        <w:pStyle w:val="14"/>
        <w:wordWrap w:val="0"/>
        <w:spacing w:line="400" w:lineRule="exact"/>
        <w:ind w:firstLine="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投标单位（盖公章）：</w:t>
      </w:r>
    </w:p>
    <w:p w14:paraId="65EFD49A">
      <w:pPr>
        <w:pStyle w:val="14"/>
        <w:wordWrap w:val="0"/>
        <w:spacing w:line="4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法定代表人或授权委托人（签字或盖章）：</w:t>
      </w:r>
    </w:p>
    <w:p w14:paraId="18151A53">
      <w:pPr>
        <w:pStyle w:val="14"/>
        <w:wordWrap w:val="0"/>
        <w:spacing w:line="400" w:lineRule="exact"/>
        <w:ind w:firstLine="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616E3469">
      <w:pPr>
        <w:rPr>
          <w:rFonts w:hint="eastAsia"/>
          <w:color w:val="auto"/>
          <w:highlight w:val="none"/>
        </w:rPr>
      </w:pPr>
      <w:r>
        <w:rPr>
          <w:rFonts w:hint="eastAsia" w:ascii="宋体" w:hAnsi="宋体" w:cs="宋体"/>
          <w:color w:val="auto"/>
          <w:szCs w:val="21"/>
          <w:highlight w:val="none"/>
        </w:rPr>
        <w:br w:type="page"/>
      </w:r>
      <w:r>
        <w:rPr>
          <w:rFonts w:hint="eastAsia"/>
          <w:color w:val="auto"/>
          <w:highlight w:val="none"/>
        </w:rPr>
        <w:t>附件二：</w:t>
      </w:r>
    </w:p>
    <w:p w14:paraId="463969A6">
      <w:pPr>
        <w:snapToGrid w:val="0"/>
        <w:spacing w:before="260" w:after="260" w:line="360" w:lineRule="auto"/>
        <w:ind w:right="384"/>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联合体协议书</w:t>
      </w:r>
    </w:p>
    <w:p w14:paraId="6EC0D475">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（所有成员单位名称）自愿组成</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（项目名称）招标项目投标。现就联合体投标事宜订立如下协议。</w:t>
      </w:r>
    </w:p>
    <w:p w14:paraId="71DA9E56">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1. </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szCs w:val="21"/>
          <w:highlight w:val="none"/>
        </w:rPr>
        <w:t>（联合体名称）牵头人。</w:t>
      </w:r>
    </w:p>
    <w:p w14:paraId="3DB16699">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 联合体各成员授权牵头人代表联合体参加投标活动，签署文件，提交和接收相关的资料、信息及指示，进行合同谈判活动，负责合同实施阶段的组织和协调工作，以及处理与本招标项目有关的一切事宜。</w:t>
      </w:r>
    </w:p>
    <w:p w14:paraId="3046EA93">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 联合体牵头人在本项目中签署的一切文件和处理的一切事宜，联合体各成员均予以承认。联合体各成员将严格按照招标文件、投标文件和合同的要求全面履行义务，并向招标人承担连带责任。</w:t>
      </w:r>
    </w:p>
    <w:p w14:paraId="2319918C">
      <w:pPr>
        <w:snapToGrid w:val="0"/>
        <w:spacing w:line="400" w:lineRule="exact"/>
        <w:ind w:firstLine="420" w:firstLineChars="200"/>
        <w:rPr>
          <w:rFonts w:hint="eastAsia" w:ascii="宋体" w:hAnsi="宋体"/>
          <w:color w:val="auto"/>
          <w:szCs w:val="21"/>
          <w:highlight w:val="none"/>
          <w:u w:val="single"/>
        </w:rPr>
      </w:pPr>
      <w:r>
        <w:rPr>
          <w:rFonts w:hint="eastAsia" w:ascii="宋体" w:hAnsi="宋体"/>
          <w:color w:val="auto"/>
          <w:szCs w:val="21"/>
          <w:highlight w:val="none"/>
        </w:rPr>
        <w:t>4. 联合体各成员单位内部的职责分工如下：</w:t>
      </w:r>
    </w:p>
    <w:p w14:paraId="00900E46">
      <w:pPr>
        <w:topLinePunct/>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①             ：</w:t>
      </w:r>
      <w:r>
        <w:rPr>
          <w:rFonts w:hint="eastAsia" w:ascii="宋体" w:hAnsi="宋体" w:cs="宋体"/>
          <w:color w:val="auto"/>
          <w:szCs w:val="21"/>
          <w:highlight w:val="none"/>
        </w:rPr>
        <w:t>为整个项目的牵头人（主办方），具体负责</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，还负责管理的职责。若联合体成员方违约时，牵头人（主办方）应承担连带责任，具体按合同要求。</w:t>
      </w:r>
    </w:p>
    <w:p w14:paraId="1BB24BDD">
      <w:pPr>
        <w:topLinePunct/>
        <w:snapToGrid w:val="0"/>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u w:val="single"/>
        </w:rPr>
        <w:t>②             ：</w:t>
      </w:r>
      <w:r>
        <w:rPr>
          <w:rFonts w:hint="eastAsia" w:ascii="宋体" w:hAnsi="宋体" w:cs="宋体"/>
          <w:color w:val="auto"/>
          <w:szCs w:val="21"/>
          <w:highlight w:val="none"/>
        </w:rPr>
        <w:t>为整个项目的成员方，具体负责</w:t>
      </w:r>
      <w:r>
        <w:rPr>
          <w:rFonts w:hint="eastAsia" w:ascii="宋体" w:hAnsi="宋体" w:cs="宋体"/>
          <w:color w:val="auto"/>
          <w:szCs w:val="21"/>
          <w:highlight w:val="none"/>
          <w:u w:val="single"/>
        </w:rPr>
        <w:t xml:space="preserve">   （项目名称）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，具体按合同要求。</w:t>
      </w:r>
    </w:p>
    <w:p w14:paraId="28FD1FBF">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 本协议书自所有成员单位法定代表人签字或盖单位章之日起生效，合同履行完毕后自动失效。</w:t>
      </w:r>
    </w:p>
    <w:p w14:paraId="2D49C652">
      <w:pPr>
        <w:pStyle w:val="7"/>
        <w:snapToGrid w:val="0"/>
        <w:spacing w:after="0" w:line="400" w:lineRule="exact"/>
        <w:ind w:left="440" w:leftChars="0"/>
        <w:rPr>
          <w:rFonts w:hint="eastAsia"/>
          <w:color w:val="auto"/>
          <w:szCs w:val="21"/>
          <w:highlight w:val="none"/>
        </w:rPr>
      </w:pPr>
    </w:p>
    <w:p w14:paraId="5C96D30B">
      <w:pPr>
        <w:snapToGrid w:val="0"/>
        <w:spacing w:line="40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联合体牵头人名称：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0F49133E">
      <w:pPr>
        <w:snapToGrid w:val="0"/>
        <w:spacing w:line="40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3F4FE38C">
      <w:pPr>
        <w:snapToGrid w:val="0"/>
        <w:spacing w:line="400" w:lineRule="exact"/>
        <w:rPr>
          <w:rFonts w:ascii="宋体" w:hAnsi="宋体"/>
          <w:color w:val="auto"/>
          <w:szCs w:val="21"/>
          <w:highlight w:val="none"/>
        </w:rPr>
      </w:pPr>
    </w:p>
    <w:p w14:paraId="52075F83">
      <w:pPr>
        <w:snapToGrid w:val="0"/>
        <w:spacing w:line="40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联合体成员名称：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14:paraId="759AF997">
      <w:pPr>
        <w:snapToGrid w:val="0"/>
        <w:spacing w:line="400" w:lineRule="exact"/>
        <w:ind w:firstLine="3255" w:firstLineChars="15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14:paraId="01472151">
      <w:pPr>
        <w:snapToGrid w:val="0"/>
        <w:spacing w:line="400" w:lineRule="exact"/>
        <w:ind w:firstLine="4515" w:firstLineChars="21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53E90F27">
      <w:pPr>
        <w:snapToGrid w:val="0"/>
        <w:spacing w:line="400" w:lineRule="exact"/>
        <w:rPr>
          <w:rFonts w:hint="eastAsia" w:ascii="宋体" w:hAnsi="宋体" w:cs="宋体"/>
          <w:b/>
          <w:bCs/>
          <w:color w:val="auto"/>
          <w:szCs w:val="21"/>
          <w:highlight w:val="none"/>
          <w:u w:val="single"/>
          <w:lang w:val="zh-CN"/>
        </w:rPr>
      </w:pPr>
    </w:p>
    <w:p w14:paraId="144247CF">
      <w:pPr>
        <w:snapToGrid w:val="0"/>
        <w:spacing w:line="400" w:lineRule="exact"/>
        <w:rPr>
          <w:rFonts w:hint="eastAsia" w:ascii="宋体" w:hAnsi="宋体" w:cs="宋体"/>
          <w:b/>
          <w:bCs/>
          <w:color w:val="auto"/>
          <w:szCs w:val="21"/>
          <w:highlight w:val="none"/>
          <w:u w:val="single"/>
          <w:lang w:val="zh-CN"/>
        </w:rPr>
      </w:pPr>
    </w:p>
    <w:p w14:paraId="3E4C35D9">
      <w:pPr>
        <w:snapToGrid w:val="0"/>
        <w:spacing w:line="400" w:lineRule="exact"/>
        <w:rPr>
          <w:rFonts w:hint="eastAsia" w:ascii="宋体" w:hAnsi="宋体" w:cs="宋体"/>
          <w:b/>
          <w:bCs/>
          <w:color w:val="auto"/>
          <w:szCs w:val="21"/>
          <w:highlight w:val="none"/>
          <w:u w:val="single"/>
          <w:lang w:val="zh-CN"/>
        </w:rPr>
      </w:pPr>
      <w:r>
        <w:rPr>
          <w:rFonts w:hint="eastAsia" w:ascii="宋体" w:hAnsi="宋体" w:cs="宋体"/>
          <w:b/>
          <w:bCs/>
          <w:color w:val="auto"/>
          <w:szCs w:val="21"/>
          <w:highlight w:val="none"/>
          <w:u w:val="single"/>
          <w:lang w:val="zh-CN"/>
        </w:rPr>
        <w:t>注：非联合体投标的，无需提交本协议书。</w:t>
      </w:r>
    </w:p>
    <w:p w14:paraId="5738452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2EC76">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14:paraId="1D69A817">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1u5d9AAAAACAQAADwAAAAAAAAABACAAAAAiAAAA&#10;ZHJzL2Rvd25yZXYueG1sUEsBAhQAFAAAAAgAh07iQEwKYFIPAgAAEQQAAA4AAAAAAAAAAQAgAAAA&#10;HwEAAGRycy9lMm9Eb2MueG1sUEsFBgAAAAAGAAYAWQEAAKAFAAAAAA==&#10;">
              <v:fill on="f" focussize="0,0"/>
              <v:stroke on="f"/>
              <v:imagedata o:title=""/>
              <o:lock v:ext="edit" aspectratio="f"/>
              <v:textbox inset="0mm,0mm,0mm,0mm" style="mso-fit-shape-to-text:t;">
                <w:txbxContent>
                  <w:p w14:paraId="1D69A81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yOTFhZjI4ODZkMDdkYmYwYThlYmZlNTQ0ODMwNWIifQ=="/>
  </w:docVars>
  <w:rsids>
    <w:rsidRoot w:val="00000000"/>
    <w:rsid w:val="028A203B"/>
    <w:rsid w:val="1BFD53AC"/>
    <w:rsid w:val="3B6375EF"/>
    <w:rsid w:val="40B86B9E"/>
    <w:rsid w:val="44527EAC"/>
    <w:rsid w:val="4F7245F5"/>
    <w:rsid w:val="5299243E"/>
    <w:rsid w:val="5964577C"/>
    <w:rsid w:val="6641744D"/>
    <w:rsid w:val="7B39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line="412" w:lineRule="auto"/>
      <w:jc w:val="center"/>
      <w:outlineLvl w:val="1"/>
    </w:pPr>
    <w:rPr>
      <w:rFonts w:ascii="Arial" w:hAnsi="Arial"/>
      <w:b/>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Calibri" w:hAnsi="Calibri"/>
    </w:rPr>
  </w:style>
  <w:style w:type="paragraph" w:styleId="4">
    <w:name w:val="Body Text Indent"/>
    <w:basedOn w:val="1"/>
    <w:qFormat/>
    <w:uiPriority w:val="0"/>
    <w:pPr>
      <w:autoSpaceDE w:val="0"/>
      <w:autoSpaceDN w:val="0"/>
      <w:adjustRightInd w:val="0"/>
      <w:spacing w:line="0" w:lineRule="atLeast"/>
      <w:ind w:firstLine="525"/>
    </w:pPr>
    <w:rPr>
      <w:rFonts w:ascii="宋体" w:hAnsi="宋体"/>
      <w:color w:val="000000"/>
      <w:kern w:val="0"/>
      <w:sz w:val="20"/>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1"/>
    <w:basedOn w:val="1"/>
    <w:next w:val="1"/>
    <w:qFormat/>
    <w:uiPriority w:val="39"/>
    <w:rPr>
      <w:rFonts w:ascii="Calibri" w:hAnsi="Calibri"/>
    </w:rPr>
  </w:style>
  <w:style w:type="paragraph" w:styleId="7">
    <w:name w:val="Body Text First Indent 2"/>
    <w:basedOn w:val="4"/>
    <w:qFormat/>
    <w:uiPriority w:val="0"/>
    <w:pPr>
      <w:autoSpaceDE/>
      <w:autoSpaceDN/>
      <w:adjustRightInd/>
      <w:spacing w:after="120" w:line="240" w:lineRule="auto"/>
      <w:ind w:left="420" w:leftChars="200" w:firstLine="420" w:firstLineChars="200"/>
    </w:pPr>
    <w:rPr>
      <w:rFonts w:ascii="Times New Roman" w:hAnsi="Times New Roman"/>
      <w:color w:val="auto"/>
      <w:kern w:val="2"/>
      <w:sz w:val="21"/>
    </w:rPr>
  </w:style>
  <w:style w:type="character" w:styleId="10">
    <w:name w:val="Hyperlink"/>
    <w:qFormat/>
    <w:uiPriority w:val="99"/>
    <w:rPr>
      <w:rFonts w:ascii="Calibri" w:hAnsi="Calibri" w:eastAsia="宋体" w:cs="Times New Roman"/>
      <w:color w:val="0000FF"/>
      <w:u w:val="single"/>
    </w:rPr>
  </w:style>
  <w:style w:type="paragraph" w:customStyle="1" w:styleId="11">
    <w:name w:val="_Style 3"/>
    <w:basedOn w:val="1"/>
    <w:qFormat/>
    <w:uiPriority w:val="0"/>
    <w:pPr>
      <w:spacing w:line="360" w:lineRule="auto"/>
      <w:jc w:val="center"/>
    </w:pPr>
    <w:rPr>
      <w:szCs w:val="20"/>
    </w:rPr>
  </w:style>
  <w:style w:type="character" w:customStyle="1" w:styleId="12">
    <w:name w:val="Span_underline"/>
    <w:qFormat/>
    <w:uiPriority w:val="0"/>
    <w:rPr>
      <w:u w:val="single"/>
    </w:rPr>
  </w:style>
  <w:style w:type="paragraph" w:customStyle="1" w:styleId="13">
    <w:name w:val="样式 宋体 行距: 1.5 倍行距"/>
    <w:basedOn w:val="1"/>
    <w:qFormat/>
    <w:uiPriority w:val="0"/>
    <w:pPr>
      <w:jc w:val="center"/>
    </w:pPr>
    <w:rPr>
      <w:rFonts w:ascii="Calibri" w:hAnsi="Calibri"/>
      <w:b/>
    </w:rPr>
  </w:style>
  <w:style w:type="paragraph" w:customStyle="1" w:styleId="1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5797</Words>
  <Characters>6337</Characters>
  <Lines>0</Lines>
  <Paragraphs>0</Paragraphs>
  <TotalTime>0</TotalTime>
  <ScaleCrop>false</ScaleCrop>
  <LinksUpToDate>false</LinksUpToDate>
  <CharactersWithSpaces>6813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2025-01-15T09:13:00Z</dcterms:created>
  <dc:creator>Mi</dc:creator>
  <cp:lastModifiedBy>.</cp:lastModifiedBy>
  <dcterms:modified xsi:type="dcterms:W3CDTF">2025-03-21T02:40:34Z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eyJoZGlkIjoiMDg1ZmYyZjUzMzIwYWYxYWIwZDcyOWNiNjUyYWYxMTAiLCJ1c2VySWQiOiIxMTgxMzk4Mjg2In0=</vt:lpwstr>
  </property>
  <property fmtid="{D5CDD505-2E9C-101B-9397-08002B2CF9AE}" pid="4" name="ICV">
    <vt:lpwstr>1DB5487343364B3881A20E0167FB64B7_13</vt:lpwstr>
  </property>
</Properties>
</file>