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E6555">
      <w:pPr>
        <w:jc w:val="center"/>
        <w:rPr>
          <w:rFonts w:ascii="华文中宋" w:hAnsi="华文中宋" w:eastAsia="华文中宋"/>
          <w:b/>
          <w:spacing w:val="20"/>
          <w:sz w:val="60"/>
          <w:szCs w:val="60"/>
          <w:highlight w:val="none"/>
        </w:rPr>
      </w:pPr>
    </w:p>
    <w:p w14:paraId="71CBB5E6">
      <w:pPr>
        <w:jc w:val="center"/>
        <w:rPr>
          <w:rFonts w:hint="eastAsia" w:ascii="宋体"/>
          <w:b/>
          <w:color w:val="auto"/>
          <w:spacing w:val="20"/>
          <w:sz w:val="48"/>
          <w:szCs w:val="48"/>
          <w:highlight w:val="none"/>
        </w:rPr>
      </w:pPr>
      <w:r>
        <w:rPr>
          <w:rFonts w:hint="eastAsia" w:ascii="宋体"/>
          <w:b/>
          <w:color w:val="auto"/>
          <w:spacing w:val="20"/>
          <w:sz w:val="48"/>
          <w:szCs w:val="48"/>
          <w:highlight w:val="none"/>
        </w:rPr>
        <w:t>广东石油化工学院西城校区图书馆工程</w:t>
      </w:r>
    </w:p>
    <w:p w14:paraId="0F988912">
      <w:pPr>
        <w:jc w:val="center"/>
        <w:rPr>
          <w:rFonts w:hint="eastAsia" w:ascii="宋体" w:eastAsia="宋体"/>
          <w:b/>
          <w:color w:val="auto"/>
          <w:spacing w:val="20"/>
          <w:sz w:val="48"/>
          <w:szCs w:val="48"/>
          <w:highlight w:val="none"/>
          <w:lang w:eastAsia="zh-CN"/>
        </w:rPr>
      </w:pPr>
      <w:r>
        <w:rPr>
          <w:rFonts w:hint="eastAsia" w:ascii="宋体"/>
          <w:b/>
          <w:color w:val="auto"/>
          <w:spacing w:val="20"/>
          <w:sz w:val="48"/>
          <w:szCs w:val="48"/>
          <w:highlight w:val="none"/>
        </w:rPr>
        <w:t>项目施工</w:t>
      </w:r>
      <w:r>
        <w:rPr>
          <w:rFonts w:hint="eastAsia" w:ascii="宋体"/>
          <w:b/>
          <w:color w:val="auto"/>
          <w:spacing w:val="20"/>
          <w:sz w:val="48"/>
          <w:szCs w:val="48"/>
          <w:highlight w:val="none"/>
          <w:lang w:val="en-US" w:eastAsia="zh-CN"/>
        </w:rPr>
        <w:t>监理</w:t>
      </w:r>
    </w:p>
    <w:p w14:paraId="7FDCE62B">
      <w:pPr>
        <w:jc w:val="center"/>
        <w:rPr>
          <w:rFonts w:hint="eastAsia" w:ascii="宋体" w:hAnsi="宋体"/>
          <w:b/>
          <w:color w:val="auto"/>
          <w:spacing w:val="40"/>
          <w:sz w:val="60"/>
          <w:szCs w:val="60"/>
          <w:highlight w:val="none"/>
        </w:rPr>
      </w:pPr>
      <w:r>
        <w:rPr>
          <w:rFonts w:hint="eastAsia" w:ascii="宋体" w:hAnsi="宋体"/>
          <w:b/>
          <w:sz w:val="32"/>
          <w:szCs w:val="32"/>
          <w:highlight w:val="none"/>
        </w:rPr>
        <w:t>（适用于两阶段评标法的监理招标项目)</w:t>
      </w:r>
    </w:p>
    <w:p w14:paraId="146D2F01">
      <w:pPr>
        <w:jc w:val="center"/>
        <w:rPr>
          <w:rFonts w:hint="eastAsia" w:ascii="宋体" w:hAnsi="宋体"/>
          <w:b/>
          <w:color w:val="auto"/>
          <w:spacing w:val="40"/>
          <w:sz w:val="60"/>
          <w:szCs w:val="60"/>
          <w:highlight w:val="none"/>
        </w:rPr>
      </w:pPr>
    </w:p>
    <w:p w14:paraId="4D218086">
      <w:pPr>
        <w:jc w:val="center"/>
        <w:rPr>
          <w:rFonts w:hint="eastAsia" w:ascii="宋体" w:hAnsi="宋体"/>
          <w:b/>
          <w:color w:val="auto"/>
          <w:spacing w:val="40"/>
          <w:sz w:val="60"/>
          <w:szCs w:val="60"/>
          <w:highlight w:val="none"/>
        </w:rPr>
      </w:pPr>
    </w:p>
    <w:p w14:paraId="6CD97BAD">
      <w:pPr>
        <w:jc w:val="center"/>
        <w:rPr>
          <w:rFonts w:ascii="宋体"/>
          <w:b/>
          <w:color w:val="auto"/>
          <w:spacing w:val="40"/>
          <w:sz w:val="72"/>
          <w:szCs w:val="72"/>
          <w:highlight w:val="none"/>
        </w:rPr>
      </w:pPr>
      <w:r>
        <w:rPr>
          <w:rFonts w:hint="eastAsia" w:ascii="宋体" w:hAnsi="宋体"/>
          <w:b/>
          <w:color w:val="auto"/>
          <w:spacing w:val="40"/>
          <w:sz w:val="72"/>
          <w:szCs w:val="72"/>
          <w:highlight w:val="none"/>
        </w:rPr>
        <w:t>招标文件</w:t>
      </w:r>
    </w:p>
    <w:p w14:paraId="72DF46A7">
      <w:pPr>
        <w:jc w:val="center"/>
        <w:rPr>
          <w:rFonts w:ascii="宋体"/>
          <w:b/>
          <w:color w:val="auto"/>
          <w:sz w:val="32"/>
          <w:highlight w:val="none"/>
        </w:rPr>
      </w:pPr>
    </w:p>
    <w:p w14:paraId="2CE52A9E">
      <w:pPr>
        <w:rPr>
          <w:rFonts w:ascii="宋体"/>
          <w:color w:val="auto"/>
          <w:sz w:val="32"/>
          <w:highlight w:val="none"/>
        </w:rPr>
      </w:pPr>
    </w:p>
    <w:p w14:paraId="43FF8995">
      <w:pPr>
        <w:rPr>
          <w:rFonts w:ascii="宋体"/>
          <w:color w:val="auto"/>
          <w:sz w:val="32"/>
          <w:highlight w:val="none"/>
        </w:rPr>
      </w:pPr>
    </w:p>
    <w:p w14:paraId="55AEE52F">
      <w:pPr>
        <w:rPr>
          <w:rFonts w:ascii="宋体"/>
          <w:color w:val="auto"/>
          <w:sz w:val="32"/>
          <w:highlight w:val="none"/>
        </w:rPr>
      </w:pPr>
    </w:p>
    <w:p w14:paraId="21FEB31A">
      <w:pPr>
        <w:rPr>
          <w:rFonts w:ascii="宋体"/>
          <w:color w:val="auto"/>
          <w:sz w:val="32"/>
          <w:highlight w:val="none"/>
        </w:rPr>
      </w:pPr>
    </w:p>
    <w:p w14:paraId="53719F5F">
      <w:pPr>
        <w:rPr>
          <w:rFonts w:ascii="宋体"/>
          <w:color w:val="auto"/>
          <w:sz w:val="32"/>
          <w:highlight w:val="none"/>
        </w:rPr>
      </w:pPr>
    </w:p>
    <w:p w14:paraId="4A97CE03">
      <w:pPr>
        <w:rPr>
          <w:rFonts w:ascii="宋体"/>
          <w:color w:val="auto"/>
          <w:sz w:val="32"/>
          <w:highlight w:val="none"/>
        </w:rPr>
      </w:pPr>
    </w:p>
    <w:p w14:paraId="2468265F">
      <w:pPr>
        <w:spacing w:line="480" w:lineRule="auto"/>
        <w:ind w:firstLine="1269" w:firstLineChars="395"/>
        <w:rPr>
          <w:rFonts w:ascii="宋体" w:hAnsi="宋体"/>
          <w:b/>
          <w:color w:val="auto"/>
          <w:sz w:val="32"/>
          <w:highlight w:val="none"/>
          <w:u w:val="single"/>
        </w:rPr>
      </w:pPr>
      <w:r>
        <w:rPr>
          <w:rFonts w:hint="eastAsia" w:ascii="宋体" w:hAnsi="宋体"/>
          <w:b/>
          <w:color w:val="auto"/>
          <w:sz w:val="32"/>
          <w:highlight w:val="none"/>
        </w:rPr>
        <w:t>招    标  人：广东省代建项目管理局</w:t>
      </w:r>
    </w:p>
    <w:p w14:paraId="66A0BCC4">
      <w:pPr>
        <w:spacing w:line="480" w:lineRule="auto"/>
        <w:ind w:firstLine="1269" w:firstLineChars="395"/>
        <w:rPr>
          <w:rFonts w:hint="eastAsia" w:ascii="宋体" w:hAnsi="宋体" w:eastAsia="宋体"/>
          <w:b/>
          <w:color w:val="auto"/>
          <w:sz w:val="32"/>
          <w:highlight w:val="none"/>
          <w:lang w:val="en-US" w:eastAsia="zh-CN"/>
        </w:rPr>
      </w:pPr>
      <w:r>
        <w:rPr>
          <w:rFonts w:hint="eastAsia" w:ascii="宋体" w:hAnsi="宋体"/>
          <w:b/>
          <w:color w:val="auto"/>
          <w:sz w:val="32"/>
          <w:highlight w:val="none"/>
        </w:rPr>
        <w:t>招标代理机构：</w:t>
      </w:r>
      <w:r>
        <w:rPr>
          <w:rFonts w:hint="eastAsia" w:ascii="宋体" w:hAnsi="宋体"/>
          <w:b/>
          <w:color w:val="auto"/>
          <w:sz w:val="32"/>
          <w:highlight w:val="none"/>
          <w:lang w:eastAsia="zh-CN"/>
        </w:rPr>
        <w:t>广东省国际工程咨询有限公司</w:t>
      </w:r>
    </w:p>
    <w:p w14:paraId="37F95DA2">
      <w:pPr>
        <w:spacing w:line="480" w:lineRule="auto"/>
        <w:ind w:firstLine="1272" w:firstLineChars="396"/>
        <w:rPr>
          <w:rFonts w:ascii="宋体" w:hAnsi="宋体"/>
          <w:b/>
          <w:color w:val="auto"/>
          <w:sz w:val="32"/>
          <w:highlight w:val="none"/>
        </w:rPr>
      </w:pPr>
      <w:r>
        <w:rPr>
          <w:rFonts w:hint="eastAsia" w:ascii="宋体" w:hAnsi="宋体"/>
          <w:b/>
          <w:color w:val="auto"/>
          <w:sz w:val="32"/>
          <w:highlight w:val="none"/>
        </w:rPr>
        <w:t>日        期：</w:t>
      </w:r>
      <w:r>
        <w:rPr>
          <w:rFonts w:hint="eastAsia" w:ascii="宋体" w:hAnsi="宋体"/>
          <w:b/>
          <w:color w:val="auto"/>
          <w:sz w:val="32"/>
          <w:highlight w:val="none"/>
          <w:lang w:val="en-US" w:eastAsia="zh-CN"/>
        </w:rPr>
        <w:t>2025</w:t>
      </w:r>
      <w:r>
        <w:rPr>
          <w:rFonts w:hint="eastAsia" w:ascii="宋体" w:hAnsi="宋体"/>
          <w:b/>
          <w:color w:val="auto"/>
          <w:sz w:val="32"/>
          <w:highlight w:val="none"/>
        </w:rPr>
        <w:t>年</w:t>
      </w:r>
      <w:r>
        <w:rPr>
          <w:rFonts w:hint="eastAsia" w:ascii="宋体" w:hAnsi="宋体"/>
          <w:b/>
          <w:color w:val="auto"/>
          <w:sz w:val="32"/>
          <w:highlight w:val="none"/>
          <w:lang w:val="en-US" w:eastAsia="zh-CN"/>
        </w:rPr>
        <w:t>3</w:t>
      </w:r>
      <w:r>
        <w:rPr>
          <w:rFonts w:hint="eastAsia" w:ascii="宋体" w:hAnsi="宋体"/>
          <w:b/>
          <w:color w:val="auto"/>
          <w:sz w:val="32"/>
          <w:highlight w:val="none"/>
        </w:rPr>
        <w:t>月</w:t>
      </w:r>
    </w:p>
    <w:p w14:paraId="1D42A283">
      <w:pPr>
        <w:spacing w:line="480" w:lineRule="auto"/>
        <w:ind w:firstLine="944" w:firstLineChars="196"/>
        <w:rPr>
          <w:rFonts w:hAnsi="宋体"/>
          <w:b/>
          <w:bCs/>
          <w:sz w:val="36"/>
          <w:highlight w:val="none"/>
        </w:rPr>
      </w:pPr>
      <w:r>
        <w:rPr>
          <w:rFonts w:ascii="宋体" w:hAnsi="宋体"/>
          <w:b/>
          <w:bCs/>
          <w:sz w:val="48"/>
          <w:highlight w:val="none"/>
        </w:rPr>
        <w:br w:type="page"/>
      </w:r>
    </w:p>
    <w:p w14:paraId="443B1F5B">
      <w:pPr>
        <w:spacing w:line="480" w:lineRule="auto"/>
        <w:ind w:firstLine="602" w:firstLineChars="200"/>
        <w:jc w:val="center"/>
        <w:rPr>
          <w:rFonts w:ascii="黑体" w:hAnsi="黑体" w:eastAsia="黑体" w:cs="黑体"/>
          <w:b/>
          <w:bCs/>
          <w:sz w:val="30"/>
          <w:szCs w:val="30"/>
          <w:highlight w:val="none"/>
        </w:rPr>
      </w:pPr>
      <w:r>
        <w:rPr>
          <w:rFonts w:hint="eastAsia" w:ascii="黑体" w:hAnsi="黑体" w:eastAsia="黑体" w:cs="黑体"/>
          <w:b/>
          <w:bCs/>
          <w:sz w:val="30"/>
          <w:szCs w:val="30"/>
          <w:highlight w:val="none"/>
        </w:rPr>
        <w:t>使 用 说 明</w:t>
      </w:r>
    </w:p>
    <w:p w14:paraId="11D8D1F5">
      <w:pPr>
        <w:spacing w:line="432" w:lineRule="auto"/>
        <w:ind w:firstLine="480" w:firstLineChars="200"/>
        <w:rPr>
          <w:rFonts w:ascii="宋体" w:hAnsi="宋体"/>
          <w:sz w:val="24"/>
          <w:highlight w:val="none"/>
        </w:rPr>
      </w:pPr>
      <w:r>
        <w:rPr>
          <w:rFonts w:hint="eastAsia" w:ascii="宋体" w:hAnsi="宋体"/>
          <w:sz w:val="24"/>
          <w:highlight w:val="none"/>
        </w:rPr>
        <w:t>1、为进一步规范房屋建筑和市政基础设施工程建设项目施工监理招标投标活动，根据《中华人民共和国建筑法》、《中华人民共和国招标投标法》及其实施条例等有关法律法规规章规定，结合本市实际，制定</w:t>
      </w:r>
      <w:r>
        <w:rPr>
          <w:rFonts w:hint="eastAsia" w:ascii="宋体" w:hAnsi="宋体" w:cs="仿宋_GB2312"/>
          <w:sz w:val="24"/>
          <w:highlight w:val="none"/>
        </w:rPr>
        <w:t>本示范文本</w:t>
      </w:r>
      <w:r>
        <w:rPr>
          <w:rFonts w:hint="eastAsia" w:ascii="宋体" w:hAnsi="宋体"/>
          <w:bCs/>
          <w:sz w:val="24"/>
          <w:highlight w:val="none"/>
        </w:rPr>
        <w:t>（修订版）</w:t>
      </w:r>
      <w:r>
        <w:rPr>
          <w:rFonts w:hint="eastAsia" w:ascii="宋体" w:hAnsi="宋体"/>
          <w:sz w:val="24"/>
          <w:highlight w:val="none"/>
        </w:rPr>
        <w:t>，自发布之日起参照使用。</w:t>
      </w:r>
    </w:p>
    <w:p w14:paraId="5D441210">
      <w:pPr>
        <w:spacing w:line="432" w:lineRule="auto"/>
        <w:ind w:firstLine="480" w:firstLineChars="200"/>
        <w:rPr>
          <w:rFonts w:ascii="宋体" w:hAnsi="宋体"/>
          <w:b/>
          <w:bCs/>
          <w:sz w:val="24"/>
          <w:highlight w:val="none"/>
        </w:rPr>
      </w:pPr>
      <w:r>
        <w:rPr>
          <w:rFonts w:hint="eastAsia" w:ascii="宋体" w:hAnsi="宋体"/>
          <w:sz w:val="24"/>
          <w:highlight w:val="none"/>
        </w:rPr>
        <w:t>2、</w:t>
      </w:r>
      <w:r>
        <w:rPr>
          <w:rFonts w:hint="eastAsia" w:ascii="宋体" w:hAnsi="宋体"/>
          <w:b/>
          <w:bCs/>
          <w:sz w:val="24"/>
          <w:highlight w:val="none"/>
        </w:rPr>
        <w:t>招标人必须如实填写招标文件中的所有空格，无内容者或不采用者应用斜画线表示。招标人在填写本招标文件的空白栏目时，应采用与本招标文件不同的字体。对本招标文件（含合同）示范文本进行补充、删除或修改的内容，应统一写入</w:t>
      </w:r>
      <w:r>
        <w:rPr>
          <w:rFonts w:hint="eastAsia" w:ascii="宋体" w:hAnsi="宋体"/>
          <w:b/>
          <w:bCs/>
          <w:sz w:val="24"/>
          <w:highlight w:val="none"/>
          <w:u w:val="single"/>
        </w:rPr>
        <w:t>招标文件指导文本修改补充申报表</w:t>
      </w:r>
      <w:r>
        <w:rPr>
          <w:rFonts w:hint="eastAsia" w:ascii="宋体" w:hAnsi="宋体"/>
          <w:b/>
          <w:bCs/>
          <w:sz w:val="24"/>
          <w:highlight w:val="none"/>
        </w:rPr>
        <w:t>。同时，应明确注明是对招标文件示范文本何部分的何章何节何条何款进行的补充或修改。</w:t>
      </w:r>
      <w:r>
        <w:rPr>
          <w:rFonts w:hint="eastAsia" w:ascii="宋体" w:hAnsi="宋体"/>
          <w:b/>
          <w:bCs/>
          <w:sz w:val="24"/>
          <w:highlight w:val="none"/>
          <w:u w:val="single"/>
        </w:rPr>
        <w:t>招标文件指导文本修改补充申报表</w:t>
      </w:r>
      <w:r>
        <w:rPr>
          <w:rFonts w:hint="eastAsia" w:ascii="宋体" w:hAnsi="宋体"/>
          <w:b/>
          <w:bCs/>
          <w:sz w:val="24"/>
          <w:highlight w:val="none"/>
        </w:rPr>
        <w:t>内容与其他部分有冲突时，以招标文件范本修改补充申报表内容为准（但与相关法律、法规、政策相冲突的除外）。招标管理部门应在招标文件备案时对招标人填写内容及招标文件范本修改补充申报表内容进行重点审查。</w:t>
      </w:r>
    </w:p>
    <w:p w14:paraId="539A806A">
      <w:pPr>
        <w:spacing w:line="432" w:lineRule="auto"/>
        <w:ind w:firstLine="480" w:firstLineChars="200"/>
        <w:rPr>
          <w:rFonts w:ascii="宋体" w:hAnsi="宋体"/>
          <w:sz w:val="24"/>
          <w:highlight w:val="none"/>
        </w:rPr>
      </w:pPr>
      <w:r>
        <w:rPr>
          <w:rFonts w:hint="eastAsia" w:ascii="宋体" w:hAnsi="宋体"/>
          <w:sz w:val="24"/>
          <w:highlight w:val="none"/>
        </w:rPr>
        <w:t>3、招标人一般应参照招标文件指导文本编制项目招标文件，其所作出的补充或修改应经项目所在地招标管理部门备案同意。</w:t>
      </w:r>
    </w:p>
    <w:p w14:paraId="4841536A">
      <w:pPr>
        <w:spacing w:line="432" w:lineRule="auto"/>
        <w:ind w:firstLine="480" w:firstLineChars="200"/>
        <w:rPr>
          <w:rFonts w:ascii="宋体" w:hAnsi="宋体"/>
          <w:sz w:val="24"/>
          <w:highlight w:val="none"/>
        </w:rPr>
      </w:pPr>
      <w:r>
        <w:rPr>
          <w:rFonts w:hint="eastAsia" w:ascii="宋体" w:hAnsi="宋体"/>
          <w:sz w:val="24"/>
          <w:highlight w:val="none"/>
        </w:rPr>
        <w:t>4、按照本招标文件指导文本编制的招标文件的解释权属于招标人，招标人对招标文件指导文本的内容存在异议时，可向招标管理部门申请解释。</w:t>
      </w:r>
    </w:p>
    <w:p w14:paraId="359C1CED">
      <w:pPr>
        <w:spacing w:line="432" w:lineRule="auto"/>
        <w:ind w:firstLine="480" w:firstLineChars="200"/>
        <w:rPr>
          <w:rFonts w:ascii="华文中宋" w:hAnsi="华文中宋" w:eastAsia="华文中宋"/>
          <w:sz w:val="24"/>
          <w:highlight w:val="none"/>
        </w:rPr>
      </w:pPr>
      <w:r>
        <w:rPr>
          <w:rFonts w:hint="eastAsia" w:ascii="宋体" w:hAnsi="宋体"/>
          <w:sz w:val="24"/>
          <w:highlight w:val="none"/>
        </w:rPr>
        <w:t>5、本招标文件指导文本修订版由于水平和时间有限，难免存在不妥之处，各编制单位和使用单位在使用过程中，如有意见和建议，请及时向茂名市建设工程招标投标办公室书面反映，以便修改和完善，在此预致谢忱</w:t>
      </w:r>
      <w:r>
        <w:rPr>
          <w:rFonts w:hint="eastAsia" w:ascii="华文中宋" w:hAnsi="华文中宋" w:eastAsia="华文中宋"/>
          <w:sz w:val="24"/>
          <w:highlight w:val="none"/>
        </w:rPr>
        <w:t>。</w:t>
      </w:r>
    </w:p>
    <w:p w14:paraId="75C5332C">
      <w:pPr>
        <w:jc w:val="left"/>
        <w:rPr>
          <w:rFonts w:ascii="黑体" w:hAnsi="黑体" w:eastAsia="黑体" w:cs="黑体"/>
          <w:b/>
          <w:iCs/>
          <w:spacing w:val="40"/>
          <w:sz w:val="84"/>
          <w:szCs w:val="84"/>
          <w:highlight w:val="none"/>
        </w:rPr>
      </w:pPr>
      <w:r>
        <w:rPr>
          <w:rFonts w:ascii="黑体" w:hAnsi="黑体" w:eastAsia="黑体" w:cs="黑体"/>
          <w:b/>
          <w:iCs/>
          <w:spacing w:val="40"/>
          <w:sz w:val="84"/>
          <w:szCs w:val="84"/>
          <w:highlight w:val="none"/>
        </w:rPr>
        <w:br w:type="page"/>
      </w:r>
    </w:p>
    <w:p w14:paraId="4361B534">
      <w:pPr>
        <w:jc w:val="center"/>
        <w:rPr>
          <w:rFonts w:ascii="黑体" w:hAnsi="黑体" w:eastAsia="黑体" w:cs="黑体"/>
          <w:b/>
          <w:iCs/>
          <w:spacing w:val="40"/>
          <w:sz w:val="84"/>
          <w:szCs w:val="84"/>
          <w:highlight w:val="none"/>
        </w:rPr>
      </w:pPr>
    </w:p>
    <w:p w14:paraId="69C0703F">
      <w:pPr>
        <w:jc w:val="center"/>
        <w:rPr>
          <w:rFonts w:ascii="黑体" w:hAnsi="黑体" w:eastAsia="黑体" w:cs="黑体"/>
          <w:b/>
          <w:iCs/>
          <w:spacing w:val="40"/>
          <w:sz w:val="84"/>
          <w:szCs w:val="84"/>
          <w:highlight w:val="none"/>
        </w:rPr>
      </w:pPr>
      <w:r>
        <w:rPr>
          <w:rFonts w:hint="eastAsia" w:ascii="黑体" w:hAnsi="黑体" w:eastAsia="黑体" w:cs="黑体"/>
          <w:b/>
          <w:iCs/>
          <w:spacing w:val="40"/>
          <w:sz w:val="84"/>
          <w:szCs w:val="84"/>
          <w:highlight w:val="none"/>
        </w:rPr>
        <w:t>目  录</w:t>
      </w:r>
    </w:p>
    <w:p w14:paraId="50ABA2A9">
      <w:pPr>
        <w:pStyle w:val="34"/>
        <w:tabs>
          <w:tab w:val="right" w:leader="dot" w:pos="9070"/>
          <w:tab w:val="clear" w:pos="9458"/>
        </w:tabs>
        <w:rPr>
          <w:sz w:val="28"/>
          <w:szCs w:val="28"/>
          <w:highlight w:val="none"/>
        </w:rPr>
      </w:pPr>
      <w:r>
        <w:rPr>
          <w:rFonts w:ascii="宋体" w:hAnsi="宋体"/>
          <w:b/>
          <w:spacing w:val="40"/>
          <w:sz w:val="28"/>
          <w:szCs w:val="28"/>
          <w:highlight w:val="none"/>
        </w:rPr>
        <w:fldChar w:fldCharType="begin"/>
      </w:r>
      <w:r>
        <w:rPr>
          <w:rFonts w:hint="eastAsia" w:ascii="宋体" w:hAnsi="宋体"/>
          <w:b/>
          <w:spacing w:val="40"/>
          <w:sz w:val="28"/>
          <w:szCs w:val="28"/>
          <w:highlight w:val="none"/>
        </w:rPr>
        <w:instrText xml:space="preserve">TOC \o "1-3" \h \z \u</w:instrText>
      </w:r>
      <w:r>
        <w:rPr>
          <w:rFonts w:ascii="宋体" w:hAnsi="宋体"/>
          <w:b/>
          <w:spacing w:val="40"/>
          <w:sz w:val="28"/>
          <w:szCs w:val="28"/>
          <w:highlight w:val="none"/>
        </w:rPr>
        <w:fldChar w:fldCharType="separate"/>
      </w:r>
      <w:r>
        <w:rPr>
          <w:highlight w:val="none"/>
        </w:rPr>
        <w:fldChar w:fldCharType="begin"/>
      </w:r>
      <w:r>
        <w:rPr>
          <w:highlight w:val="none"/>
        </w:rPr>
        <w:instrText xml:space="preserve"> HYPERLINK \l "_Toc29046" </w:instrText>
      </w:r>
      <w:r>
        <w:rPr>
          <w:highlight w:val="none"/>
        </w:rPr>
        <w:fldChar w:fldCharType="separate"/>
      </w:r>
      <w:r>
        <w:rPr>
          <w:rFonts w:hint="eastAsia"/>
          <w:sz w:val="28"/>
          <w:szCs w:val="28"/>
          <w:highlight w:val="none"/>
        </w:rPr>
        <w:t>第一章 招标公告</w:t>
      </w:r>
      <w:r>
        <w:rPr>
          <w:sz w:val="28"/>
          <w:szCs w:val="28"/>
          <w:highlight w:val="none"/>
        </w:rPr>
        <w:tab/>
      </w:r>
      <w:r>
        <w:rPr>
          <w:sz w:val="28"/>
          <w:szCs w:val="28"/>
          <w:highlight w:val="none"/>
        </w:rPr>
        <w:fldChar w:fldCharType="begin"/>
      </w:r>
      <w:r>
        <w:rPr>
          <w:sz w:val="28"/>
          <w:szCs w:val="28"/>
          <w:highlight w:val="none"/>
        </w:rPr>
        <w:instrText xml:space="preserve"> PAGEREF _Toc29046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4CD96BD3">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"_Toc18089" </w:instrText>
      </w:r>
      <w:r>
        <w:rPr>
          <w:highlight w:val="none"/>
        </w:rPr>
        <w:fldChar w:fldCharType="separate"/>
      </w:r>
      <w:r>
        <w:rPr>
          <w:rFonts w:hint="eastAsia"/>
          <w:sz w:val="28"/>
          <w:szCs w:val="28"/>
          <w:highlight w:val="none"/>
        </w:rPr>
        <w:t xml:space="preserve">第二章 </w:t>
      </w:r>
      <w:r>
        <w:rPr>
          <w:rFonts w:hint="eastAsia"/>
          <w:spacing w:val="10"/>
          <w:sz w:val="28"/>
          <w:szCs w:val="28"/>
          <w:highlight w:val="none"/>
        </w:rPr>
        <w:t>投标人须知</w:t>
      </w:r>
      <w:r>
        <w:rPr>
          <w:sz w:val="28"/>
          <w:szCs w:val="28"/>
          <w:highlight w:val="none"/>
        </w:rPr>
        <w:tab/>
      </w:r>
      <w:r>
        <w:rPr>
          <w:sz w:val="28"/>
          <w:szCs w:val="28"/>
          <w:highlight w:val="none"/>
        </w:rPr>
        <w:fldChar w:fldCharType="end"/>
      </w:r>
      <w:r>
        <w:rPr>
          <w:rFonts w:hint="eastAsia" w:ascii="宋体" w:hAnsi="宋体"/>
          <w:spacing w:val="40"/>
          <w:sz w:val="28"/>
          <w:szCs w:val="28"/>
          <w:highlight w:val="none"/>
        </w:rPr>
        <w:t>8</w:t>
      </w:r>
    </w:p>
    <w:p w14:paraId="719E64B2">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"_Toc28556" </w:instrText>
      </w:r>
      <w:r>
        <w:rPr>
          <w:highlight w:val="none"/>
        </w:rPr>
        <w:fldChar w:fldCharType="separate"/>
      </w:r>
      <w:r>
        <w:rPr>
          <w:rFonts w:hint="eastAsia" w:ascii="宋体" w:hAnsi="宋体"/>
          <w:sz w:val="28"/>
          <w:szCs w:val="28"/>
          <w:highlight w:val="none"/>
        </w:rPr>
        <w:t xml:space="preserve">第一节 </w:t>
      </w:r>
      <w:r>
        <w:rPr>
          <w:rFonts w:hint="eastAsia"/>
          <w:spacing w:val="4"/>
          <w:sz w:val="28"/>
          <w:szCs w:val="28"/>
          <w:highlight w:val="none"/>
        </w:rPr>
        <w:t>投标人须知前附表</w:t>
      </w:r>
      <w:r>
        <w:rPr>
          <w:sz w:val="28"/>
          <w:szCs w:val="28"/>
          <w:highlight w:val="none"/>
        </w:rPr>
        <w:tab/>
      </w:r>
      <w:r>
        <w:rPr>
          <w:sz w:val="28"/>
          <w:szCs w:val="28"/>
          <w:highlight w:val="none"/>
        </w:rPr>
        <w:fldChar w:fldCharType="end"/>
      </w:r>
      <w:r>
        <w:rPr>
          <w:rFonts w:hint="eastAsia" w:ascii="宋体" w:hAnsi="宋体"/>
          <w:spacing w:val="40"/>
          <w:sz w:val="28"/>
          <w:szCs w:val="28"/>
          <w:highlight w:val="none"/>
        </w:rPr>
        <w:t>9</w:t>
      </w:r>
    </w:p>
    <w:p w14:paraId="14A9DFDF">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"_Toc10896" </w:instrText>
      </w:r>
      <w:r>
        <w:rPr>
          <w:highlight w:val="none"/>
        </w:rPr>
        <w:fldChar w:fldCharType="separate"/>
      </w:r>
      <w:r>
        <w:rPr>
          <w:rFonts w:hint="eastAsia" w:ascii="宋体" w:hAnsi="宋体" w:cs="黑体"/>
          <w:kern w:val="0"/>
          <w:sz w:val="28"/>
          <w:szCs w:val="28"/>
          <w:highlight w:val="none"/>
        </w:rPr>
        <w:t>第二节 招标文件范本修改补充申报表</w:t>
      </w:r>
      <w:r>
        <w:rPr>
          <w:sz w:val="28"/>
          <w:szCs w:val="28"/>
          <w:highlight w:val="none"/>
        </w:rPr>
        <w:tab/>
      </w:r>
      <w:r>
        <w:rPr>
          <w:sz w:val="28"/>
          <w:szCs w:val="28"/>
          <w:highlight w:val="none"/>
        </w:rPr>
        <w:fldChar w:fldCharType="end"/>
      </w:r>
      <w:r>
        <w:rPr>
          <w:rFonts w:hint="eastAsia" w:ascii="宋体" w:hAnsi="宋体"/>
          <w:spacing w:val="40"/>
          <w:sz w:val="28"/>
          <w:szCs w:val="28"/>
          <w:highlight w:val="none"/>
        </w:rPr>
        <w:t>18</w:t>
      </w:r>
    </w:p>
    <w:p w14:paraId="27BD13A6">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"_Toc12206" </w:instrText>
      </w:r>
      <w:r>
        <w:rPr>
          <w:highlight w:val="none"/>
        </w:rPr>
        <w:fldChar w:fldCharType="separate"/>
      </w:r>
      <w:r>
        <w:rPr>
          <w:rFonts w:hint="eastAsia" w:ascii="宋体" w:hAnsi="宋体" w:cs="黑体"/>
          <w:kern w:val="0"/>
          <w:sz w:val="28"/>
          <w:szCs w:val="28"/>
          <w:highlight w:val="none"/>
        </w:rPr>
        <w:t>第三节 投标人须知</w:t>
      </w:r>
      <w:r>
        <w:rPr>
          <w:sz w:val="28"/>
          <w:szCs w:val="28"/>
          <w:highlight w:val="none"/>
        </w:rPr>
        <w:tab/>
      </w:r>
      <w:r>
        <w:rPr>
          <w:sz w:val="28"/>
          <w:szCs w:val="28"/>
          <w:highlight w:val="none"/>
        </w:rPr>
        <w:fldChar w:fldCharType="end"/>
      </w:r>
      <w:r>
        <w:rPr>
          <w:rFonts w:hint="eastAsia" w:ascii="宋体" w:hAnsi="宋体"/>
          <w:spacing w:val="40"/>
          <w:sz w:val="28"/>
          <w:szCs w:val="28"/>
          <w:highlight w:val="none"/>
        </w:rPr>
        <w:t>19</w:t>
      </w:r>
    </w:p>
    <w:p w14:paraId="6B440F39">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"_Toc14400" </w:instrText>
      </w:r>
      <w:r>
        <w:rPr>
          <w:highlight w:val="none"/>
        </w:rPr>
        <w:fldChar w:fldCharType="separate"/>
      </w:r>
      <w:r>
        <w:rPr>
          <w:rFonts w:hint="eastAsia"/>
          <w:sz w:val="28"/>
          <w:szCs w:val="28"/>
          <w:highlight w:val="none"/>
        </w:rPr>
        <w:t>第三章 评标办法</w:t>
      </w:r>
      <w:r>
        <w:rPr>
          <w:sz w:val="28"/>
          <w:szCs w:val="28"/>
          <w:highlight w:val="none"/>
        </w:rPr>
        <w:tab/>
      </w:r>
      <w:r>
        <w:rPr>
          <w:sz w:val="28"/>
          <w:szCs w:val="28"/>
          <w:highlight w:val="none"/>
        </w:rPr>
        <w:fldChar w:fldCharType="begin"/>
      </w:r>
      <w:r>
        <w:rPr>
          <w:sz w:val="28"/>
          <w:szCs w:val="28"/>
          <w:highlight w:val="none"/>
        </w:rPr>
        <w:instrText xml:space="preserve"> PAGEREF _Toc14400 </w:instrText>
      </w:r>
      <w:r>
        <w:rPr>
          <w:sz w:val="28"/>
          <w:szCs w:val="28"/>
          <w:highlight w:val="none"/>
        </w:rPr>
        <w:fldChar w:fldCharType="separate"/>
      </w:r>
      <w:r>
        <w:rPr>
          <w:sz w:val="28"/>
          <w:szCs w:val="28"/>
          <w:highlight w:val="none"/>
        </w:rPr>
        <w:t>33</w:t>
      </w:r>
      <w:r>
        <w:rPr>
          <w:sz w:val="28"/>
          <w:szCs w:val="28"/>
          <w:highlight w:val="none"/>
        </w:rPr>
        <w:fldChar w:fldCharType="end"/>
      </w:r>
      <w:r>
        <w:rPr>
          <w:sz w:val="28"/>
          <w:szCs w:val="28"/>
          <w:highlight w:val="none"/>
        </w:rPr>
        <w:fldChar w:fldCharType="end"/>
      </w:r>
    </w:p>
    <w:p w14:paraId="3A84508B">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"_Toc722" </w:instrText>
      </w:r>
      <w:r>
        <w:rPr>
          <w:highlight w:val="none"/>
        </w:rPr>
        <w:fldChar w:fldCharType="separate"/>
      </w:r>
      <w:r>
        <w:rPr>
          <w:rFonts w:hint="eastAsia"/>
          <w:sz w:val="28"/>
          <w:szCs w:val="28"/>
          <w:highlight w:val="none"/>
        </w:rPr>
        <w:t>第四章 合同条款及格式</w:t>
      </w:r>
      <w:r>
        <w:rPr>
          <w:sz w:val="28"/>
          <w:szCs w:val="28"/>
          <w:highlight w:val="none"/>
        </w:rPr>
        <w:tab/>
      </w:r>
      <w:r>
        <w:rPr>
          <w:sz w:val="28"/>
          <w:szCs w:val="28"/>
          <w:highlight w:val="none"/>
        </w:rPr>
        <w:fldChar w:fldCharType="begin"/>
      </w:r>
      <w:r>
        <w:rPr>
          <w:sz w:val="28"/>
          <w:szCs w:val="28"/>
          <w:highlight w:val="none"/>
        </w:rPr>
        <w:instrText xml:space="preserve"> PAGEREF _Toc722 </w:instrText>
      </w:r>
      <w:r>
        <w:rPr>
          <w:sz w:val="28"/>
          <w:szCs w:val="28"/>
          <w:highlight w:val="none"/>
        </w:rPr>
        <w:fldChar w:fldCharType="separate"/>
      </w:r>
      <w:r>
        <w:rPr>
          <w:sz w:val="28"/>
          <w:szCs w:val="28"/>
          <w:highlight w:val="none"/>
        </w:rPr>
        <w:t>35</w:t>
      </w:r>
      <w:r>
        <w:rPr>
          <w:sz w:val="28"/>
          <w:szCs w:val="28"/>
          <w:highlight w:val="none"/>
        </w:rPr>
        <w:fldChar w:fldCharType="end"/>
      </w:r>
      <w:r>
        <w:rPr>
          <w:sz w:val="28"/>
          <w:szCs w:val="28"/>
          <w:highlight w:val="none"/>
        </w:rPr>
        <w:fldChar w:fldCharType="end"/>
      </w:r>
    </w:p>
    <w:p w14:paraId="2E92F9F3">
      <w:pPr>
        <w:pStyle w:val="34"/>
        <w:tabs>
          <w:tab w:val="right" w:leader="dot" w:pos="9070"/>
          <w:tab w:val="clear" w:pos="9458"/>
        </w:tabs>
        <w:rPr>
          <w:sz w:val="28"/>
          <w:szCs w:val="28"/>
          <w:highlight w:val="none"/>
        </w:rPr>
      </w:pPr>
      <w:r>
        <w:rPr>
          <w:highlight w:val="none"/>
        </w:rPr>
        <w:fldChar w:fldCharType="begin"/>
      </w:r>
      <w:r>
        <w:rPr>
          <w:highlight w:val="none"/>
        </w:rPr>
        <w:instrText xml:space="preserve"> HYPERLINK \l "_Toc5750" </w:instrText>
      </w:r>
      <w:r>
        <w:rPr>
          <w:highlight w:val="none"/>
        </w:rPr>
        <w:fldChar w:fldCharType="separate"/>
      </w:r>
      <w:r>
        <w:rPr>
          <w:rFonts w:hint="eastAsia"/>
          <w:sz w:val="28"/>
          <w:szCs w:val="28"/>
          <w:highlight w:val="none"/>
        </w:rPr>
        <w:t xml:space="preserve">第五章 </w:t>
      </w:r>
      <w:r>
        <w:rPr>
          <w:rFonts w:hint="eastAsia"/>
          <w:spacing w:val="10"/>
          <w:sz w:val="28"/>
          <w:szCs w:val="28"/>
          <w:highlight w:val="none"/>
        </w:rPr>
        <w:t>投标文件格式</w:t>
      </w:r>
      <w:r>
        <w:rPr>
          <w:sz w:val="28"/>
          <w:szCs w:val="28"/>
          <w:highlight w:val="none"/>
        </w:rPr>
        <w:tab/>
      </w:r>
      <w:r>
        <w:rPr>
          <w:sz w:val="28"/>
          <w:szCs w:val="28"/>
          <w:highlight w:val="none"/>
        </w:rPr>
        <w:fldChar w:fldCharType="begin"/>
      </w:r>
      <w:r>
        <w:rPr>
          <w:sz w:val="28"/>
          <w:szCs w:val="28"/>
          <w:highlight w:val="none"/>
        </w:rPr>
        <w:instrText xml:space="preserve"> PAGEREF _Toc5750 </w:instrText>
      </w:r>
      <w:r>
        <w:rPr>
          <w:sz w:val="28"/>
          <w:szCs w:val="28"/>
          <w:highlight w:val="none"/>
        </w:rPr>
        <w:fldChar w:fldCharType="separate"/>
      </w:r>
      <w:r>
        <w:rPr>
          <w:sz w:val="28"/>
          <w:szCs w:val="28"/>
          <w:highlight w:val="none"/>
        </w:rPr>
        <w:t>117</w:t>
      </w:r>
      <w:r>
        <w:rPr>
          <w:sz w:val="28"/>
          <w:szCs w:val="28"/>
          <w:highlight w:val="none"/>
        </w:rPr>
        <w:fldChar w:fldCharType="end"/>
      </w:r>
      <w:r>
        <w:rPr>
          <w:sz w:val="28"/>
          <w:szCs w:val="28"/>
          <w:highlight w:val="none"/>
        </w:rPr>
        <w:fldChar w:fldCharType="end"/>
      </w:r>
    </w:p>
    <w:p w14:paraId="474AF4FC">
      <w:pPr>
        <w:jc w:val="center"/>
        <w:rPr>
          <w:rFonts w:ascii="宋体" w:hAnsi="宋体"/>
          <w:b/>
          <w:spacing w:val="40"/>
          <w:sz w:val="30"/>
          <w:szCs w:val="30"/>
          <w:highlight w:val="none"/>
        </w:rPr>
      </w:pPr>
      <w:r>
        <w:rPr>
          <w:rFonts w:ascii="宋体" w:hAnsi="宋体"/>
          <w:spacing w:val="40"/>
          <w:sz w:val="28"/>
          <w:szCs w:val="28"/>
          <w:highlight w:val="none"/>
        </w:rPr>
        <w:fldChar w:fldCharType="end"/>
      </w:r>
    </w:p>
    <w:p w14:paraId="33C8E8D2">
      <w:pPr>
        <w:jc w:val="center"/>
        <w:rPr>
          <w:rFonts w:ascii="隶书" w:eastAsia="隶书"/>
          <w:b/>
          <w:i/>
          <w:spacing w:val="40"/>
          <w:sz w:val="84"/>
          <w:szCs w:val="84"/>
          <w:highlight w:val="none"/>
        </w:rPr>
      </w:pPr>
    </w:p>
    <w:p w14:paraId="216C2D78">
      <w:pPr>
        <w:jc w:val="center"/>
        <w:rPr>
          <w:rFonts w:ascii="隶书" w:eastAsia="隶书"/>
          <w:b/>
          <w:i/>
          <w:spacing w:val="40"/>
          <w:sz w:val="84"/>
          <w:szCs w:val="84"/>
          <w:highlight w:val="none"/>
        </w:rPr>
      </w:pPr>
    </w:p>
    <w:p w14:paraId="033F1227">
      <w:pPr>
        <w:jc w:val="center"/>
        <w:rPr>
          <w:rFonts w:ascii="隶书" w:eastAsia="隶书"/>
          <w:b/>
          <w:i/>
          <w:spacing w:val="40"/>
          <w:sz w:val="84"/>
          <w:szCs w:val="84"/>
          <w:highlight w:val="none"/>
        </w:rPr>
      </w:pPr>
    </w:p>
    <w:p w14:paraId="2FBD879F">
      <w:pPr>
        <w:jc w:val="center"/>
        <w:rPr>
          <w:rFonts w:ascii="隶书" w:eastAsia="隶书"/>
          <w:b/>
          <w:i/>
          <w:spacing w:val="40"/>
          <w:sz w:val="84"/>
          <w:szCs w:val="84"/>
          <w:highlight w:val="none"/>
        </w:rPr>
      </w:pPr>
    </w:p>
    <w:p w14:paraId="6412F5BD">
      <w:pPr>
        <w:pStyle w:val="45"/>
        <w:rPr>
          <w:rFonts w:hint="eastAsia"/>
          <w:highlight w:val="none"/>
        </w:rPr>
        <w:sectPr>
          <w:headerReference r:id="rId3" w:type="default"/>
          <w:footerReference r:id="rId4" w:type="default"/>
          <w:pgSz w:w="11906" w:h="16838"/>
          <w:pgMar w:top="1418" w:right="1418" w:bottom="1418" w:left="1418" w:header="851" w:footer="624" w:gutter="0"/>
          <w:pgNumType w:start="1"/>
          <w:cols w:space="720" w:num="1"/>
          <w:docGrid w:type="lines" w:linePitch="312" w:charSpace="0"/>
        </w:sectPr>
      </w:pPr>
      <w:bookmarkStart w:id="0" w:name="_Toc29046"/>
      <w:bookmarkStart w:id="1" w:name="_Toc454627367"/>
    </w:p>
    <w:p w14:paraId="6CAC775C">
      <w:pPr>
        <w:pStyle w:val="45"/>
        <w:rPr>
          <w:highlight w:val="none"/>
        </w:rPr>
      </w:pPr>
      <w:r>
        <w:rPr>
          <w:rFonts w:hint="eastAsia"/>
          <w:highlight w:val="none"/>
        </w:rPr>
        <w:t>第一章 招标公告</w:t>
      </w:r>
      <w:bookmarkEnd w:id="0"/>
      <w:bookmarkEnd w:id="1"/>
    </w:p>
    <w:p w14:paraId="1F3F8E37">
      <w:pPr>
        <w:pStyle w:val="45"/>
        <w:outlineLvl w:val="9"/>
        <w:rPr>
          <w:highlight w:val="none"/>
        </w:rPr>
      </w:pPr>
    </w:p>
    <w:p w14:paraId="55CD894B">
      <w:pPr>
        <w:autoSpaceDE w:val="0"/>
        <w:autoSpaceDN w:val="0"/>
        <w:adjustRightInd w:val="0"/>
        <w:outlineLvl w:val="9"/>
        <w:rPr>
          <w:rFonts w:ascii="黑体" w:eastAsia="黑体" w:cs="黑体"/>
          <w:kern w:val="0"/>
          <w:sz w:val="44"/>
          <w:szCs w:val="44"/>
          <w:highlight w:val="none"/>
        </w:rPr>
      </w:pPr>
    </w:p>
    <w:p w14:paraId="11B095A9">
      <w:pPr>
        <w:autoSpaceDE w:val="0"/>
        <w:autoSpaceDN w:val="0"/>
        <w:adjustRightInd w:val="0"/>
        <w:outlineLvl w:val="9"/>
        <w:rPr>
          <w:rFonts w:ascii="黑体" w:eastAsia="黑体" w:cs="黑体"/>
          <w:kern w:val="0"/>
          <w:sz w:val="44"/>
          <w:szCs w:val="44"/>
          <w:highlight w:val="none"/>
        </w:rPr>
      </w:pPr>
    </w:p>
    <w:p w14:paraId="78B8D6BA">
      <w:pPr>
        <w:autoSpaceDE w:val="0"/>
        <w:autoSpaceDN w:val="0"/>
        <w:adjustRightInd w:val="0"/>
        <w:outlineLvl w:val="9"/>
        <w:rPr>
          <w:rFonts w:ascii="宋体" w:cs="宋体"/>
          <w:kern w:val="0"/>
          <w:szCs w:val="21"/>
          <w:highlight w:val="none"/>
        </w:rPr>
      </w:pPr>
    </w:p>
    <w:p w14:paraId="19B70B74">
      <w:pPr>
        <w:spacing w:line="360" w:lineRule="auto"/>
        <w:outlineLvl w:val="9"/>
        <w:rPr>
          <w:b/>
          <w:spacing w:val="6"/>
          <w:sz w:val="44"/>
          <w:highlight w:val="none"/>
        </w:rPr>
        <w:sectPr>
          <w:footerReference r:id="rId5" w:type="default"/>
          <w:pgSz w:w="11906" w:h="16838"/>
          <w:pgMar w:top="1418" w:right="1418" w:bottom="1418" w:left="1418" w:header="851" w:footer="624" w:gutter="0"/>
          <w:pgNumType w:fmt="decimal" w:start="1"/>
          <w:cols w:space="720" w:num="1"/>
          <w:docGrid w:type="lines" w:linePitch="312" w:charSpace="0"/>
        </w:sectPr>
      </w:pPr>
    </w:p>
    <w:p w14:paraId="15B5C158">
      <w:pPr>
        <w:spacing w:line="520" w:lineRule="exact"/>
        <w:jc w:val="center"/>
        <w:rPr>
          <w:rFonts w:ascii="楷体_GB2312" w:eastAsia="楷体_GB2312"/>
          <w:b/>
          <w:sz w:val="30"/>
          <w:szCs w:val="30"/>
          <w:highlight w:val="none"/>
          <w:u w:val="single"/>
        </w:rPr>
      </w:pPr>
      <w:bookmarkStart w:id="2" w:name="_Toc12206"/>
      <w:r>
        <w:rPr>
          <w:rFonts w:hint="eastAsia" w:ascii="宋体" w:hAnsi="宋体" w:eastAsia="宋体" w:cs="Times New Roman"/>
          <w:b/>
          <w:bCs/>
          <w:sz w:val="28"/>
          <w:szCs w:val="28"/>
          <w:highlight w:val="none"/>
        </w:rPr>
        <w:t>广东石油化工学院西城校区图书馆工程项目</w:t>
      </w:r>
      <w:r>
        <w:rPr>
          <w:rFonts w:hint="eastAsia" w:ascii="宋体" w:hAnsi="宋体" w:eastAsia="宋体" w:cs="Times New Roman"/>
          <w:b/>
          <w:bCs/>
          <w:sz w:val="28"/>
          <w:szCs w:val="28"/>
          <w:highlight w:val="none"/>
          <w:lang w:eastAsia="zh-CN"/>
        </w:rPr>
        <w:t>施工监理</w:t>
      </w:r>
      <w:r>
        <w:rPr>
          <w:rFonts w:hint="eastAsia" w:ascii="宋体" w:hAnsi="宋体" w:eastAsia="宋体" w:cs="Times New Roman"/>
          <w:b/>
          <w:bCs/>
          <w:sz w:val="28"/>
          <w:szCs w:val="28"/>
          <w:highlight w:val="none"/>
        </w:rPr>
        <w:t>招标公</w:t>
      </w:r>
      <w:r>
        <w:rPr>
          <w:rFonts w:hint="eastAsia" w:ascii="宋体" w:hAnsi="宋体"/>
          <w:b/>
          <w:bCs/>
          <w:sz w:val="28"/>
          <w:szCs w:val="28"/>
          <w:highlight w:val="none"/>
        </w:rPr>
        <w:t>告</w:t>
      </w:r>
    </w:p>
    <w:tbl>
      <w:tblPr>
        <w:tblStyle w:val="4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2001"/>
        <w:gridCol w:w="809"/>
        <w:gridCol w:w="620"/>
        <w:gridCol w:w="778"/>
        <w:gridCol w:w="471"/>
        <w:gridCol w:w="768"/>
        <w:gridCol w:w="1967"/>
      </w:tblGrid>
      <w:tr w14:paraId="12A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000C4927">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投资项目代码</w:t>
            </w:r>
          </w:p>
        </w:tc>
        <w:tc>
          <w:tcPr>
            <w:tcW w:w="3995" w:type="pct"/>
            <w:gridSpan w:val="7"/>
            <w:noWrap w:val="0"/>
            <w:vAlign w:val="center"/>
          </w:tcPr>
          <w:p w14:paraId="404D62D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rPr>
              <w:t>2211-440902-05-01-269245</w:t>
            </w:r>
          </w:p>
        </w:tc>
      </w:tr>
      <w:tr w14:paraId="73DB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2791B846">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投资项目名称</w:t>
            </w:r>
          </w:p>
        </w:tc>
        <w:tc>
          <w:tcPr>
            <w:tcW w:w="3995" w:type="pct"/>
            <w:gridSpan w:val="7"/>
            <w:noWrap w:val="0"/>
            <w:vAlign w:val="center"/>
          </w:tcPr>
          <w:p w14:paraId="6F5AB9B7">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rPr>
              <w:t>广东石油化工学院西城校区图书馆工程</w:t>
            </w:r>
          </w:p>
        </w:tc>
      </w:tr>
      <w:tr w14:paraId="78CA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3EDAFF28">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招标项目名称</w:t>
            </w:r>
          </w:p>
        </w:tc>
        <w:tc>
          <w:tcPr>
            <w:tcW w:w="3995" w:type="pct"/>
            <w:gridSpan w:val="7"/>
            <w:noWrap w:val="0"/>
            <w:vAlign w:val="center"/>
          </w:tcPr>
          <w:p w14:paraId="6A0A957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eastAsia="zh-CN"/>
              </w:rPr>
              <w:t>广东石油化工学院西城校区图书馆工程项目施工监理</w:t>
            </w:r>
          </w:p>
        </w:tc>
      </w:tr>
      <w:tr w14:paraId="4C6D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1DC716BE">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标段（包）名称</w:t>
            </w:r>
          </w:p>
        </w:tc>
        <w:tc>
          <w:tcPr>
            <w:tcW w:w="1848" w:type="pct"/>
            <w:gridSpan w:val="3"/>
            <w:noWrap w:val="0"/>
            <w:vAlign w:val="center"/>
          </w:tcPr>
          <w:p w14:paraId="504115B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eastAsia="zh-CN"/>
              </w:rPr>
              <w:t>广东石油化工学院西城校区图书馆工程项目施工监理</w:t>
            </w:r>
          </w:p>
        </w:tc>
        <w:tc>
          <w:tcPr>
            <w:tcW w:w="1087" w:type="pct"/>
            <w:gridSpan w:val="3"/>
            <w:noWrap w:val="0"/>
            <w:vAlign w:val="center"/>
          </w:tcPr>
          <w:p w14:paraId="19FC3B2B">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val="en-US" w:eastAsia="zh-CN"/>
              </w:rPr>
              <w:t>公告性质</w:t>
            </w:r>
          </w:p>
        </w:tc>
        <w:tc>
          <w:tcPr>
            <w:tcW w:w="1060" w:type="pct"/>
            <w:noWrap w:val="0"/>
            <w:vAlign w:val="center"/>
          </w:tcPr>
          <w:p w14:paraId="616CB34C">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val="en-US" w:eastAsia="zh-CN"/>
              </w:rPr>
              <w:t>正常</w:t>
            </w:r>
          </w:p>
        </w:tc>
      </w:tr>
      <w:tr w14:paraId="7810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04" w:type="pct"/>
            <w:noWrap w:val="0"/>
            <w:vAlign w:val="center"/>
          </w:tcPr>
          <w:p w14:paraId="1FBBFD3B">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资格审查方式</w:t>
            </w:r>
          </w:p>
        </w:tc>
        <w:tc>
          <w:tcPr>
            <w:tcW w:w="3995" w:type="pct"/>
            <w:gridSpan w:val="7"/>
            <w:noWrap w:val="0"/>
            <w:vAlign w:val="center"/>
          </w:tcPr>
          <w:p w14:paraId="09FCD39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资格后审</w:t>
            </w:r>
          </w:p>
        </w:tc>
      </w:tr>
      <w:tr w14:paraId="2A57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360CBD66">
            <w:pPr>
              <w:keepNext w:val="0"/>
              <w:keepLines w:val="0"/>
              <w:widowControl/>
              <w:suppressLineNumbers w:val="0"/>
              <w:jc w:val="center"/>
              <w:textAlignment w:val="center"/>
              <w:rPr>
                <w:rFonts w:hint="eastAsia" w:ascii="宋体" w:hAnsi="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招标项目</w:t>
            </w:r>
            <w:r>
              <w:rPr>
                <w:rFonts w:hint="eastAsia" w:ascii="宋体" w:hAnsi="宋体" w:cs="宋体"/>
                <w:b/>
                <w:bCs/>
                <w:i w:val="0"/>
                <w:color w:val="auto"/>
                <w:kern w:val="0"/>
                <w:sz w:val="24"/>
                <w:szCs w:val="24"/>
                <w:highlight w:val="none"/>
                <w:u w:val="none"/>
                <w:lang w:val="en-US" w:eastAsia="zh-CN" w:bidi="ar"/>
              </w:rPr>
              <w:t>实施</w:t>
            </w:r>
          </w:p>
          <w:p w14:paraId="4A869BED">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cs="宋体"/>
                <w:b/>
                <w:bCs/>
                <w:i w:val="0"/>
                <w:color w:val="auto"/>
                <w:kern w:val="0"/>
                <w:sz w:val="24"/>
                <w:szCs w:val="24"/>
                <w:highlight w:val="none"/>
                <w:u w:val="none"/>
                <w:lang w:val="en-US" w:eastAsia="zh-CN" w:bidi="ar"/>
              </w:rPr>
              <w:t>（交货）</w:t>
            </w:r>
            <w:r>
              <w:rPr>
                <w:rFonts w:hint="eastAsia" w:ascii="宋体" w:hAnsi="宋体" w:eastAsia="宋体" w:cs="宋体"/>
                <w:b/>
                <w:bCs/>
                <w:i w:val="0"/>
                <w:color w:val="auto"/>
                <w:kern w:val="0"/>
                <w:sz w:val="24"/>
                <w:szCs w:val="24"/>
                <w:highlight w:val="none"/>
                <w:u w:val="none"/>
                <w:lang w:val="en-US" w:eastAsia="zh-CN" w:bidi="ar"/>
              </w:rPr>
              <w:t>地点</w:t>
            </w:r>
          </w:p>
        </w:tc>
        <w:tc>
          <w:tcPr>
            <w:tcW w:w="3995" w:type="pct"/>
            <w:gridSpan w:val="7"/>
            <w:noWrap w:val="0"/>
            <w:vAlign w:val="center"/>
          </w:tcPr>
          <w:p w14:paraId="0BA312A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eastAsia="zh-CN"/>
              </w:rPr>
              <w:t>茂名市茂南区公馆镇科创路1号广东石油化工学院西城校区内</w:t>
            </w:r>
          </w:p>
        </w:tc>
      </w:tr>
      <w:tr w14:paraId="031D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11556D1D">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资金来源</w:t>
            </w:r>
          </w:p>
        </w:tc>
        <w:tc>
          <w:tcPr>
            <w:tcW w:w="1514" w:type="pct"/>
            <w:gridSpan w:val="2"/>
            <w:noWrap w:val="0"/>
            <w:vAlign w:val="center"/>
          </w:tcPr>
          <w:p w14:paraId="46314119">
            <w:pPr>
              <w:keepNext w:val="0"/>
              <w:keepLines w:val="0"/>
              <w:widowControl/>
              <w:suppressLineNumbers w:val="0"/>
              <w:jc w:val="center"/>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sz w:val="24"/>
                <w:szCs w:val="24"/>
                <w:highlight w:val="none"/>
                <w:u w:val="none"/>
                <w:lang w:eastAsia="zh-CN"/>
              </w:rPr>
              <w:t>从“粤东西北新建本科高校(校区)开办经费”项目支出15427万元，其余资金由学校自筹解决</w:t>
            </w:r>
          </w:p>
        </w:tc>
        <w:tc>
          <w:tcPr>
            <w:tcW w:w="753" w:type="pct"/>
            <w:gridSpan w:val="2"/>
            <w:noWrap w:val="0"/>
            <w:vAlign w:val="center"/>
          </w:tcPr>
          <w:p w14:paraId="69B31B33">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资金来源</w:t>
            </w:r>
          </w:p>
          <w:p w14:paraId="0A600CE2">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构成</w:t>
            </w:r>
          </w:p>
        </w:tc>
        <w:tc>
          <w:tcPr>
            <w:tcW w:w="1727" w:type="pct"/>
            <w:gridSpan w:val="3"/>
            <w:noWrap w:val="0"/>
            <w:vAlign w:val="center"/>
          </w:tcPr>
          <w:p w14:paraId="595AE09E">
            <w:pPr>
              <w:keepNext w:val="0"/>
              <w:keepLines w:val="0"/>
              <w:widowControl/>
              <w:suppressLineNumbers w:val="0"/>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sz w:val="24"/>
                <w:szCs w:val="24"/>
                <w:highlight w:val="none"/>
                <w:u w:val="none"/>
                <w:lang w:eastAsia="zh-CN"/>
              </w:rPr>
              <w:t>从“粤东西北新建本科高校(校区)开办经费”项目支出15427万元，其余资金由学校自筹解决</w:t>
            </w:r>
          </w:p>
        </w:tc>
      </w:tr>
      <w:tr w14:paraId="02A3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 w:type="pct"/>
            <w:noWrap w:val="0"/>
            <w:vAlign w:val="center"/>
          </w:tcPr>
          <w:p w14:paraId="07D51F31">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招标范围及规模</w:t>
            </w:r>
          </w:p>
        </w:tc>
        <w:tc>
          <w:tcPr>
            <w:tcW w:w="3995" w:type="pct"/>
            <w:gridSpan w:val="7"/>
            <w:noWrap w:val="0"/>
            <w:vAlign w:val="center"/>
          </w:tcPr>
          <w:p w14:paraId="46C96A3D">
            <w:pPr>
              <w:rPr>
                <w:rFonts w:hint="eastAsia"/>
                <w:highlight w:val="none"/>
              </w:rPr>
            </w:pPr>
            <w:r>
              <w:rPr>
                <w:rFonts w:hint="eastAsia" w:ascii="宋体" w:hAnsi="宋体" w:cs="宋体"/>
                <w:color w:val="auto"/>
                <w:kern w:val="2"/>
                <w:sz w:val="24"/>
                <w:szCs w:val="24"/>
                <w:highlight w:val="none"/>
                <w:u w:val="none"/>
              </w:rPr>
              <w:t>项目总建筑面积355</w:t>
            </w:r>
            <w:r>
              <w:rPr>
                <w:rFonts w:hint="eastAsia" w:ascii="宋体" w:hAnsi="宋体" w:cs="宋体"/>
                <w:color w:val="auto"/>
                <w:kern w:val="2"/>
                <w:sz w:val="24"/>
                <w:szCs w:val="24"/>
                <w:highlight w:val="none"/>
                <w:u w:val="none"/>
                <w:lang w:val="en-US" w:eastAsia="zh-CN"/>
              </w:rPr>
              <w:t>24</w:t>
            </w:r>
            <w:r>
              <w:rPr>
                <w:rFonts w:hint="eastAsia" w:ascii="宋体" w:hAnsi="宋体" w:cs="宋体"/>
                <w:color w:val="auto"/>
                <w:kern w:val="2"/>
                <w:sz w:val="24"/>
                <w:szCs w:val="24"/>
                <w:highlight w:val="none"/>
                <w:u w:val="none"/>
              </w:rPr>
              <w:t>平方米，</w:t>
            </w:r>
            <w:r>
              <w:rPr>
                <w:rFonts w:hint="eastAsia" w:ascii="宋体" w:hAnsi="宋体" w:cs="宋体"/>
                <w:color w:val="auto"/>
                <w:kern w:val="2"/>
                <w:sz w:val="24"/>
                <w:szCs w:val="24"/>
                <w:highlight w:val="none"/>
                <w:u w:val="none"/>
                <w:lang w:val="en-US" w:eastAsia="zh-CN"/>
              </w:rPr>
              <w:t>包括</w:t>
            </w:r>
            <w:r>
              <w:rPr>
                <w:rFonts w:hint="eastAsia" w:ascii="宋体" w:hAnsi="宋体" w:cs="宋体"/>
                <w:color w:val="auto"/>
                <w:kern w:val="2"/>
                <w:sz w:val="24"/>
                <w:szCs w:val="24"/>
                <w:highlight w:val="none"/>
                <w:u w:val="none"/>
              </w:rPr>
              <w:t>地上</w:t>
            </w:r>
            <w:r>
              <w:rPr>
                <w:rFonts w:hint="eastAsia" w:ascii="宋体" w:hAnsi="宋体" w:cs="宋体"/>
                <w:color w:val="auto"/>
                <w:kern w:val="2"/>
                <w:sz w:val="24"/>
                <w:szCs w:val="24"/>
                <w:highlight w:val="none"/>
                <w:u w:val="none"/>
                <w:lang w:val="en-US" w:eastAsia="zh-CN"/>
              </w:rPr>
              <w:t>建筑面积31457</w:t>
            </w:r>
            <w:r>
              <w:rPr>
                <w:rFonts w:hint="eastAsia" w:ascii="宋体" w:hAnsi="宋体" w:cs="宋体"/>
                <w:color w:val="auto"/>
                <w:kern w:val="2"/>
                <w:sz w:val="24"/>
                <w:szCs w:val="24"/>
                <w:highlight w:val="none"/>
                <w:u w:val="none"/>
              </w:rPr>
              <w:t>平方米，地下</w:t>
            </w:r>
            <w:r>
              <w:rPr>
                <w:rFonts w:hint="eastAsia" w:ascii="宋体" w:hAnsi="宋体" w:cs="宋体"/>
                <w:color w:val="auto"/>
                <w:kern w:val="2"/>
                <w:sz w:val="24"/>
                <w:szCs w:val="24"/>
                <w:highlight w:val="none"/>
                <w:u w:val="none"/>
                <w:lang w:val="en-US" w:eastAsia="zh-CN"/>
              </w:rPr>
              <w:t>室建筑面积4067</w:t>
            </w:r>
            <w:r>
              <w:rPr>
                <w:rFonts w:hint="eastAsia" w:ascii="宋体" w:hAnsi="宋体" w:cs="宋体"/>
                <w:color w:val="auto"/>
                <w:kern w:val="2"/>
                <w:sz w:val="24"/>
                <w:szCs w:val="24"/>
                <w:highlight w:val="none"/>
                <w:u w:val="none"/>
              </w:rPr>
              <w:t>平方米。主要建设内容包括新建图书馆和院系资料室、人防地下室，</w:t>
            </w:r>
            <w:r>
              <w:rPr>
                <w:rFonts w:hint="eastAsia" w:ascii="宋体" w:hAnsi="宋体" w:cs="宋体"/>
                <w:color w:val="auto"/>
                <w:kern w:val="2"/>
                <w:sz w:val="24"/>
                <w:szCs w:val="24"/>
                <w:highlight w:val="none"/>
                <w:u w:val="none"/>
                <w:lang w:val="en-US" w:eastAsia="zh-CN"/>
              </w:rPr>
              <w:t>标识工程、雨水调蓄池，以及周边道路、广场、绿化等</w:t>
            </w:r>
            <w:r>
              <w:rPr>
                <w:rFonts w:hint="eastAsia" w:ascii="宋体" w:hAnsi="宋体" w:cs="宋体"/>
                <w:color w:val="auto"/>
                <w:kern w:val="2"/>
                <w:sz w:val="24"/>
                <w:szCs w:val="24"/>
                <w:highlight w:val="none"/>
                <w:u w:val="none"/>
              </w:rPr>
              <w:t>。项目建设工期为18个月。项目</w:t>
            </w:r>
            <w:r>
              <w:rPr>
                <w:rFonts w:hint="eastAsia" w:ascii="宋体" w:hAnsi="宋体" w:cs="宋体"/>
                <w:color w:val="auto"/>
                <w:kern w:val="2"/>
                <w:sz w:val="24"/>
                <w:szCs w:val="24"/>
                <w:highlight w:val="none"/>
                <w:u w:val="none"/>
                <w:lang w:val="en-US" w:eastAsia="zh-CN"/>
              </w:rPr>
              <w:t>概算</w:t>
            </w:r>
            <w:r>
              <w:rPr>
                <w:rFonts w:hint="eastAsia" w:ascii="宋体" w:hAnsi="宋体" w:cs="宋体"/>
                <w:color w:val="auto"/>
                <w:kern w:val="2"/>
                <w:sz w:val="24"/>
                <w:szCs w:val="24"/>
                <w:highlight w:val="none"/>
                <w:u w:val="none"/>
              </w:rPr>
              <w:t>总投资</w:t>
            </w:r>
            <w:r>
              <w:rPr>
                <w:rFonts w:hint="eastAsia" w:ascii="宋体" w:hAnsi="宋体" w:cs="宋体"/>
                <w:color w:val="auto"/>
                <w:kern w:val="2"/>
                <w:sz w:val="24"/>
                <w:szCs w:val="24"/>
                <w:highlight w:val="none"/>
                <w:u w:val="none"/>
                <w:lang w:val="en-US" w:eastAsia="zh-CN"/>
              </w:rPr>
              <w:t>17195</w:t>
            </w:r>
            <w:r>
              <w:rPr>
                <w:rFonts w:hint="eastAsia" w:ascii="宋体" w:hAnsi="宋体" w:cs="宋体"/>
                <w:color w:val="auto"/>
                <w:kern w:val="2"/>
                <w:sz w:val="24"/>
                <w:szCs w:val="24"/>
                <w:highlight w:val="none"/>
                <w:u w:val="none"/>
              </w:rPr>
              <w:t>万元，其中</w:t>
            </w:r>
            <w:r>
              <w:rPr>
                <w:rFonts w:hint="eastAsia" w:ascii="宋体" w:hAnsi="宋体" w:cs="宋体"/>
                <w:color w:val="auto"/>
                <w:kern w:val="2"/>
                <w:sz w:val="24"/>
                <w:szCs w:val="24"/>
                <w:highlight w:val="none"/>
                <w:u w:val="none"/>
                <w:lang w:eastAsia="zh-CN"/>
              </w:rPr>
              <w:t>：</w:t>
            </w:r>
            <w:r>
              <w:rPr>
                <w:rFonts w:hint="eastAsia" w:ascii="宋体" w:hAnsi="宋体" w:cs="宋体"/>
                <w:color w:val="auto"/>
                <w:kern w:val="2"/>
                <w:sz w:val="24"/>
                <w:szCs w:val="24"/>
                <w:highlight w:val="none"/>
                <w:u w:val="none"/>
              </w:rPr>
              <w:t>工程费用</w:t>
            </w:r>
            <w:r>
              <w:rPr>
                <w:rFonts w:hint="eastAsia" w:ascii="宋体" w:hAnsi="宋体" w:cs="宋体"/>
                <w:color w:val="auto"/>
                <w:kern w:val="2"/>
                <w:sz w:val="24"/>
                <w:szCs w:val="24"/>
                <w:highlight w:val="none"/>
                <w:u w:val="none"/>
                <w:lang w:val="en-US" w:eastAsia="zh-CN"/>
              </w:rPr>
              <w:t>14540</w:t>
            </w:r>
            <w:r>
              <w:rPr>
                <w:rFonts w:hint="eastAsia" w:ascii="宋体" w:hAnsi="宋体" w:cs="宋体"/>
                <w:color w:val="auto"/>
                <w:kern w:val="2"/>
                <w:sz w:val="24"/>
                <w:szCs w:val="24"/>
                <w:highlight w:val="none"/>
                <w:u w:val="none"/>
              </w:rPr>
              <w:t>万元，工程建设其他费用</w:t>
            </w:r>
            <w:r>
              <w:rPr>
                <w:rFonts w:hint="eastAsia" w:ascii="宋体" w:hAnsi="宋体" w:cs="宋体"/>
                <w:color w:val="auto"/>
                <w:kern w:val="2"/>
                <w:sz w:val="24"/>
                <w:szCs w:val="24"/>
                <w:highlight w:val="none"/>
                <w:u w:val="none"/>
                <w:lang w:val="en-US" w:eastAsia="zh-CN"/>
              </w:rPr>
              <w:t>1836</w:t>
            </w:r>
            <w:r>
              <w:rPr>
                <w:rFonts w:hint="eastAsia" w:ascii="宋体" w:hAnsi="宋体" w:cs="宋体"/>
                <w:color w:val="auto"/>
                <w:kern w:val="2"/>
                <w:sz w:val="24"/>
                <w:szCs w:val="24"/>
                <w:highlight w:val="none"/>
                <w:u w:val="none"/>
              </w:rPr>
              <w:t>万元，预备费</w:t>
            </w:r>
            <w:r>
              <w:rPr>
                <w:rFonts w:hint="eastAsia" w:ascii="宋体" w:hAnsi="宋体" w:cs="宋体"/>
                <w:color w:val="auto"/>
                <w:kern w:val="2"/>
                <w:sz w:val="24"/>
                <w:szCs w:val="24"/>
                <w:highlight w:val="none"/>
                <w:u w:val="none"/>
                <w:lang w:val="en-US" w:eastAsia="zh-CN"/>
              </w:rPr>
              <w:t>819</w:t>
            </w:r>
            <w:r>
              <w:rPr>
                <w:rFonts w:hint="eastAsia" w:ascii="宋体" w:hAnsi="宋体" w:cs="宋体"/>
                <w:color w:val="auto"/>
                <w:kern w:val="2"/>
                <w:sz w:val="24"/>
                <w:szCs w:val="24"/>
                <w:highlight w:val="none"/>
                <w:u w:val="none"/>
              </w:rPr>
              <w:t>万元。</w:t>
            </w:r>
            <w:r>
              <w:rPr>
                <w:rFonts w:hint="eastAsia" w:ascii="宋体" w:hAnsi="宋体" w:cs="宋体"/>
                <w:b/>
                <w:bCs/>
                <w:color w:val="auto"/>
                <w:kern w:val="2"/>
                <w:sz w:val="24"/>
                <w:szCs w:val="24"/>
                <w:highlight w:val="none"/>
                <w:u w:val="none"/>
              </w:rPr>
              <w:t>项目</w:t>
            </w:r>
            <w:r>
              <w:rPr>
                <w:rFonts w:hint="eastAsia" w:ascii="宋体" w:hAnsi="宋体" w:cs="宋体"/>
                <w:b/>
                <w:bCs/>
                <w:color w:val="auto"/>
                <w:kern w:val="2"/>
                <w:sz w:val="24"/>
                <w:szCs w:val="24"/>
                <w:highlight w:val="none"/>
                <w:u w:val="none"/>
                <w:lang w:val="en-US" w:eastAsia="zh-CN"/>
              </w:rPr>
              <w:t>最大单体建筑面积35524</w:t>
            </w:r>
            <w:r>
              <w:rPr>
                <w:rFonts w:hint="eastAsia" w:ascii="宋体" w:hAnsi="宋体" w:cs="宋体"/>
                <w:b/>
                <w:bCs/>
                <w:color w:val="auto"/>
                <w:kern w:val="2"/>
                <w:sz w:val="24"/>
                <w:szCs w:val="24"/>
                <w:highlight w:val="none"/>
                <w:u w:val="none"/>
              </w:rPr>
              <w:t>平方米</w:t>
            </w:r>
            <w:r>
              <w:rPr>
                <w:rFonts w:hint="eastAsia" w:ascii="宋体" w:hAnsi="宋体" w:cs="宋体"/>
                <w:b/>
                <w:bCs/>
                <w:color w:val="auto"/>
                <w:kern w:val="2"/>
                <w:sz w:val="24"/>
                <w:szCs w:val="24"/>
                <w:highlight w:val="none"/>
                <w:u w:val="none"/>
                <w:lang w:val="en-US" w:eastAsia="zh-CN"/>
              </w:rPr>
              <w:t>，最大单跨跨度25.05</w:t>
            </w:r>
            <w:r>
              <w:rPr>
                <w:rFonts w:hint="eastAsia" w:ascii="宋体" w:hAnsi="宋体" w:cs="宋体"/>
                <w:b/>
                <w:bCs/>
                <w:color w:val="auto"/>
                <w:kern w:val="2"/>
                <w:sz w:val="24"/>
                <w:szCs w:val="24"/>
                <w:highlight w:val="none"/>
                <w:u w:val="none"/>
              </w:rPr>
              <w:t>平方米</w:t>
            </w:r>
            <w:r>
              <w:rPr>
                <w:rFonts w:hint="eastAsia" w:ascii="宋体" w:hAnsi="宋体" w:cs="宋体"/>
                <w:b/>
                <w:bCs/>
                <w:color w:val="auto"/>
                <w:kern w:val="2"/>
                <w:sz w:val="24"/>
                <w:szCs w:val="24"/>
                <w:highlight w:val="none"/>
                <w:u w:val="none"/>
                <w:lang w:val="en-US" w:eastAsia="zh-CN"/>
              </w:rPr>
              <w:t>，最大</w:t>
            </w:r>
            <w:r>
              <w:rPr>
                <w:rFonts w:hint="eastAsia" w:ascii="宋体" w:hAnsi="宋体" w:cs="宋体"/>
                <w:b/>
                <w:bCs/>
                <w:color w:val="auto"/>
                <w:kern w:val="2"/>
                <w:sz w:val="24"/>
                <w:szCs w:val="24"/>
                <w:highlight w:val="none"/>
                <w:u w:val="none"/>
              </w:rPr>
              <w:t>建筑高度55</w:t>
            </w:r>
            <w:r>
              <w:rPr>
                <w:rFonts w:hint="eastAsia" w:ascii="宋体" w:hAnsi="宋体" w:cs="宋体"/>
                <w:b/>
                <w:bCs/>
                <w:color w:val="auto"/>
                <w:kern w:val="2"/>
                <w:sz w:val="24"/>
                <w:szCs w:val="24"/>
                <w:highlight w:val="none"/>
                <w:u w:val="none"/>
                <w:lang w:val="en-US" w:eastAsia="zh-CN"/>
              </w:rPr>
              <w:t>米</w:t>
            </w:r>
            <w:r>
              <w:rPr>
                <w:rFonts w:hint="eastAsia" w:ascii="宋体" w:hAnsi="宋体" w:cs="宋体"/>
                <w:b/>
                <w:bCs/>
                <w:color w:val="auto"/>
                <w:kern w:val="2"/>
                <w:sz w:val="24"/>
                <w:szCs w:val="24"/>
                <w:highlight w:val="none"/>
                <w:u w:val="none"/>
              </w:rPr>
              <w:t>，地上</w:t>
            </w:r>
            <w:r>
              <w:rPr>
                <w:rFonts w:hint="eastAsia" w:ascii="宋体" w:hAnsi="宋体" w:cs="宋体"/>
                <w:b/>
                <w:bCs/>
                <w:color w:val="auto"/>
                <w:kern w:val="2"/>
                <w:sz w:val="24"/>
                <w:szCs w:val="24"/>
                <w:highlight w:val="none"/>
                <w:u w:val="none"/>
                <w:lang w:val="en-US" w:eastAsia="zh-CN"/>
              </w:rPr>
              <w:t>12</w:t>
            </w:r>
            <w:r>
              <w:rPr>
                <w:rFonts w:hint="eastAsia" w:ascii="宋体" w:hAnsi="宋体" w:cs="宋体"/>
                <w:b/>
                <w:bCs/>
                <w:color w:val="auto"/>
                <w:kern w:val="2"/>
                <w:sz w:val="24"/>
                <w:szCs w:val="24"/>
                <w:highlight w:val="none"/>
                <w:u w:val="none"/>
              </w:rPr>
              <w:t>层，地下1层。</w:t>
            </w:r>
          </w:p>
        </w:tc>
      </w:tr>
      <w:tr w14:paraId="0DD3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1D561EFA">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招标内容</w:t>
            </w:r>
          </w:p>
        </w:tc>
        <w:tc>
          <w:tcPr>
            <w:tcW w:w="3995" w:type="pct"/>
            <w:gridSpan w:val="7"/>
            <w:noWrap w:val="0"/>
            <w:vAlign w:val="center"/>
          </w:tcPr>
          <w:p w14:paraId="33F44E8D">
            <w:pPr>
              <w:pStyle w:val="3"/>
              <w:numPr>
                <w:ilvl w:val="1"/>
                <w:numId w:val="0"/>
              </w:numPr>
              <w:tabs>
                <w:tab w:val="clear" w:pos="576"/>
              </w:tabs>
              <w:spacing w:before="0" w:line="240" w:lineRule="auto"/>
              <w:jc w:val="both"/>
              <w:rPr>
                <w:rFonts w:hint="default" w:ascii="宋体" w:hAnsi="宋体" w:eastAsia="宋体" w:cs="宋体"/>
                <w:bCs w:val="0"/>
                <w:color w:val="auto"/>
                <w:kern w:val="2"/>
                <w:sz w:val="24"/>
                <w:szCs w:val="24"/>
                <w:highlight w:val="none"/>
                <w:u w:val="none"/>
                <w:lang w:val="en-US" w:eastAsia="zh-CN" w:bidi="ar-SA"/>
              </w:rPr>
            </w:pPr>
            <w:r>
              <w:rPr>
                <w:rFonts w:hint="default" w:ascii="宋体" w:hAnsi="宋体" w:eastAsia="宋体" w:cs="宋体"/>
                <w:bCs w:val="0"/>
                <w:color w:val="auto"/>
                <w:kern w:val="2"/>
                <w:sz w:val="24"/>
                <w:szCs w:val="24"/>
                <w:highlight w:val="none"/>
                <w:u w:val="none"/>
                <w:lang w:val="en-US" w:eastAsia="zh-CN" w:bidi="ar-SA"/>
              </w:rPr>
              <w:t>（1）广东石油化工学院西城校区图书馆工程项目施工准备阶段、施工阶段、工程质量保修期的质量监督、安全生产监督管理、投资控制、进度控制、合同管理、信息管理、组织协调；协调各进驻单位同步建设，对各进驻单位进度统一调控，避免相互干扰，确保实现工程的总体目标。</w:t>
            </w:r>
          </w:p>
          <w:p w14:paraId="42B77034">
            <w:pPr>
              <w:pStyle w:val="3"/>
              <w:numPr>
                <w:ilvl w:val="1"/>
                <w:numId w:val="0"/>
              </w:numPr>
              <w:tabs>
                <w:tab w:val="clear" w:pos="576"/>
              </w:tabs>
              <w:spacing w:before="0" w:line="240" w:lineRule="auto"/>
              <w:jc w:val="both"/>
              <w:rPr>
                <w:rFonts w:hint="default" w:ascii="宋体" w:hAnsi="宋体" w:eastAsia="宋体" w:cs="宋体"/>
                <w:bCs w:val="0"/>
                <w:color w:val="auto"/>
                <w:kern w:val="2"/>
                <w:sz w:val="24"/>
                <w:szCs w:val="24"/>
                <w:highlight w:val="none"/>
                <w:u w:val="none"/>
                <w:lang w:val="en-US" w:eastAsia="zh-CN" w:bidi="ar-SA"/>
              </w:rPr>
            </w:pPr>
            <w:r>
              <w:rPr>
                <w:rFonts w:hint="default" w:ascii="宋体" w:hAnsi="宋体" w:eastAsia="宋体" w:cs="宋体"/>
                <w:bCs w:val="0"/>
                <w:color w:val="auto"/>
                <w:kern w:val="2"/>
                <w:sz w:val="24"/>
                <w:szCs w:val="24"/>
                <w:highlight w:val="none"/>
                <w:u w:val="none"/>
                <w:lang w:val="en-US" w:eastAsia="zh-CN" w:bidi="ar-SA"/>
              </w:rPr>
              <w:t>（2）按委托人的要求提前进场参与开工前期的准备和筹划工作，协助委托人对施工图纸提出意见，制定工程管理办法、各参建方职责及有关事务性工作。</w:t>
            </w:r>
          </w:p>
          <w:p w14:paraId="2088283D">
            <w:pPr>
              <w:pStyle w:val="3"/>
              <w:numPr>
                <w:ilvl w:val="1"/>
                <w:numId w:val="0"/>
              </w:numPr>
              <w:tabs>
                <w:tab w:val="clear" w:pos="576"/>
              </w:tabs>
              <w:spacing w:before="0" w:line="240" w:lineRule="auto"/>
              <w:jc w:val="both"/>
              <w:rPr>
                <w:rFonts w:hint="default"/>
                <w:highlight w:val="none"/>
                <w:lang w:val="en-US" w:eastAsia="zh-CN"/>
              </w:rPr>
            </w:pPr>
            <w:r>
              <w:rPr>
                <w:rFonts w:hint="default" w:ascii="宋体" w:hAnsi="宋体" w:eastAsia="宋体" w:cs="宋体"/>
                <w:bCs w:val="0"/>
                <w:color w:val="auto"/>
                <w:kern w:val="2"/>
                <w:sz w:val="24"/>
                <w:szCs w:val="24"/>
                <w:highlight w:val="none"/>
                <w:u w:val="none"/>
                <w:lang w:val="en-US" w:eastAsia="zh-CN" w:bidi="ar-SA"/>
              </w:rPr>
              <w:t>（3）熟悉本项目的BIM技术方案，运用BIM模型对施工阶段进行监督管理。</w:t>
            </w:r>
          </w:p>
        </w:tc>
      </w:tr>
      <w:tr w14:paraId="3EC8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53F04741">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工期（交货期）</w:t>
            </w:r>
          </w:p>
        </w:tc>
        <w:tc>
          <w:tcPr>
            <w:tcW w:w="3995" w:type="pct"/>
            <w:gridSpan w:val="7"/>
            <w:noWrap w:val="0"/>
            <w:vAlign w:val="center"/>
          </w:tcPr>
          <w:p w14:paraId="59C5CA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建设监理总服务期为31个月，包括施工工期19个月、施工准备及结决算阶段服务期12个月。</w:t>
            </w:r>
          </w:p>
        </w:tc>
      </w:tr>
      <w:tr w14:paraId="2625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04" w:type="pct"/>
            <w:noWrap w:val="0"/>
            <w:vAlign w:val="center"/>
          </w:tcPr>
          <w:p w14:paraId="4137373B">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最高投标限价</w:t>
            </w:r>
          </w:p>
        </w:tc>
        <w:tc>
          <w:tcPr>
            <w:tcW w:w="3995" w:type="pct"/>
            <w:gridSpan w:val="7"/>
            <w:noWrap w:val="0"/>
            <w:vAlign w:val="center"/>
          </w:tcPr>
          <w:p w14:paraId="020E70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rPr>
            </w:pPr>
            <w:r>
              <w:rPr>
                <w:rFonts w:hint="default" w:ascii="宋体" w:hAnsi="宋体" w:cs="宋体"/>
                <w:color w:val="auto"/>
                <w:kern w:val="0"/>
                <w:sz w:val="24"/>
                <w:szCs w:val="24"/>
                <w:highlight w:val="none"/>
              </w:rPr>
              <w:t>297.95</w:t>
            </w:r>
            <w:r>
              <w:rPr>
                <w:rFonts w:hint="default" w:ascii="宋体" w:hAnsi="宋体" w:cs="宋体"/>
                <w:color w:val="auto"/>
                <w:kern w:val="0"/>
                <w:sz w:val="24"/>
                <w:szCs w:val="24"/>
                <w:highlight w:val="none"/>
                <w:lang w:val="en-US" w:eastAsia="zh-CN"/>
              </w:rPr>
              <w:t>万元</w:t>
            </w:r>
          </w:p>
        </w:tc>
      </w:tr>
      <w:tr w14:paraId="23C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004" w:type="pct"/>
            <w:noWrap w:val="0"/>
            <w:vAlign w:val="center"/>
          </w:tcPr>
          <w:p w14:paraId="1CA5CDBA">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是否接受联合体投标</w:t>
            </w:r>
          </w:p>
        </w:tc>
        <w:tc>
          <w:tcPr>
            <w:tcW w:w="3995" w:type="pct"/>
            <w:gridSpan w:val="7"/>
            <w:noWrap w:val="0"/>
            <w:vAlign w:val="center"/>
          </w:tcPr>
          <w:p w14:paraId="7F11DF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否</w:t>
            </w:r>
          </w:p>
        </w:tc>
      </w:tr>
      <w:tr w14:paraId="357F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4" w:type="pct"/>
            <w:vMerge w:val="restart"/>
            <w:noWrap w:val="0"/>
            <w:vAlign w:val="center"/>
          </w:tcPr>
          <w:p w14:paraId="726A0843">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投标资格能力要求（包括但不限于资质人员、业绩等要求）</w:t>
            </w:r>
          </w:p>
        </w:tc>
        <w:tc>
          <w:tcPr>
            <w:tcW w:w="1078" w:type="pct"/>
            <w:noWrap w:val="0"/>
            <w:vAlign w:val="center"/>
          </w:tcPr>
          <w:p w14:paraId="27C1969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投标人资格要求</w:t>
            </w:r>
          </w:p>
        </w:tc>
        <w:tc>
          <w:tcPr>
            <w:tcW w:w="2917" w:type="pct"/>
            <w:gridSpan w:val="6"/>
            <w:noWrap w:val="0"/>
            <w:vAlign w:val="center"/>
          </w:tcPr>
          <w:p w14:paraId="6FDCE385">
            <w:pPr>
              <w:spacing w:line="240" w:lineRule="auto"/>
              <w:rPr>
                <w:rFonts w:hint="eastAsia"/>
                <w:highlight w:val="none"/>
                <w:lang w:val="en-US" w:eastAsia="zh-CN"/>
              </w:rPr>
            </w:pPr>
            <w:r>
              <w:rPr>
                <w:rFonts w:hint="eastAsia" w:ascii="宋体" w:hAnsi="宋体" w:eastAsia="宋体" w:cs="宋体"/>
                <w:i w:val="0"/>
                <w:color w:val="auto"/>
                <w:kern w:val="0"/>
                <w:sz w:val="24"/>
                <w:szCs w:val="24"/>
                <w:highlight w:val="none"/>
                <w:u w:val="none"/>
                <w:lang w:val="en-US" w:eastAsia="zh-CN" w:bidi="ar"/>
              </w:rPr>
              <w:t>投标人须具备建设行政主管部门颁发的工程监理综合资质或房屋建筑工程监理甲级资质，</w:t>
            </w:r>
            <w:r>
              <w:rPr>
                <w:rFonts w:hint="eastAsia" w:ascii="宋体" w:hAnsi="宋体"/>
                <w:sz w:val="24"/>
                <w:szCs w:val="24"/>
                <w:highlight w:val="none"/>
              </w:rPr>
              <w:t>且营业执照有效，广东省外企业须在“进粤企业和人员诚信信息登记平台”录入信息并通过数据规范检查</w:t>
            </w:r>
            <w:r>
              <w:rPr>
                <w:rFonts w:hint="eastAsia" w:ascii="宋体" w:hAnsi="宋体" w:eastAsia="宋体" w:cs="宋体"/>
                <w:i w:val="0"/>
                <w:color w:val="auto"/>
                <w:kern w:val="0"/>
                <w:sz w:val="24"/>
                <w:szCs w:val="24"/>
                <w:highlight w:val="none"/>
                <w:u w:val="none"/>
                <w:lang w:val="en-US" w:eastAsia="zh-CN" w:bidi="ar"/>
              </w:rPr>
              <w:t>。</w:t>
            </w:r>
          </w:p>
        </w:tc>
      </w:tr>
      <w:tr w14:paraId="30D7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8" w:hRule="atLeast"/>
          <w:jc w:val="center"/>
        </w:trPr>
        <w:tc>
          <w:tcPr>
            <w:tcW w:w="1004" w:type="pct"/>
            <w:vMerge w:val="continue"/>
            <w:noWrap w:val="0"/>
            <w:vAlign w:val="center"/>
          </w:tcPr>
          <w:p w14:paraId="3C22F778">
            <w:pPr>
              <w:keepNext w:val="0"/>
              <w:keepLines w:val="0"/>
              <w:widowControl/>
              <w:suppressLineNumbers w:val="0"/>
              <w:jc w:val="center"/>
              <w:textAlignment w:val="center"/>
              <w:rPr>
                <w:b/>
                <w:bCs/>
                <w:color w:val="auto"/>
                <w:sz w:val="24"/>
                <w:szCs w:val="24"/>
                <w:highlight w:val="none"/>
              </w:rPr>
            </w:pPr>
          </w:p>
        </w:tc>
        <w:tc>
          <w:tcPr>
            <w:tcW w:w="1078" w:type="pct"/>
            <w:noWrap w:val="0"/>
            <w:vAlign w:val="center"/>
          </w:tcPr>
          <w:p w14:paraId="3864349D">
            <w:pPr>
              <w:keepNext w:val="0"/>
              <w:keepLines w:val="0"/>
              <w:widowControl/>
              <w:suppressLineNumbers w:val="0"/>
              <w:jc w:val="center"/>
              <w:textAlignment w:val="center"/>
              <w:rPr>
                <w:rFonts w:hint="eastAsia" w:ascii="宋体" w:hAnsi="宋体" w:cs="宋体"/>
                <w:color w:val="auto"/>
                <w:kern w:val="0"/>
                <w:sz w:val="24"/>
                <w:szCs w:val="24"/>
                <w:highlight w:val="none"/>
                <w:u w:val="none"/>
                <w:lang w:bidi="ar"/>
              </w:rPr>
            </w:pPr>
            <w:r>
              <w:rPr>
                <w:rFonts w:hint="eastAsia" w:ascii="宋体" w:hAnsi="宋体" w:eastAsia="宋体" w:cs="宋体"/>
                <w:color w:val="auto"/>
                <w:kern w:val="0"/>
                <w:sz w:val="24"/>
                <w:szCs w:val="24"/>
                <w:highlight w:val="none"/>
                <w:u w:val="none"/>
                <w:lang w:val="en-US" w:eastAsia="zh-CN" w:bidi="ar"/>
              </w:rPr>
              <w:t>监理人员专业配备要求</w:t>
            </w:r>
          </w:p>
          <w:p w14:paraId="21764557">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p>
        </w:tc>
        <w:tc>
          <w:tcPr>
            <w:tcW w:w="2917" w:type="pct"/>
            <w:gridSpan w:val="6"/>
            <w:noWrap w:val="0"/>
            <w:vAlign w:val="center"/>
          </w:tcPr>
          <w:p w14:paraId="0E8E92A9">
            <w:pPr>
              <w:keepNext w:val="0"/>
              <w:keepLines w:val="0"/>
              <w:widowControl/>
              <w:suppressLineNumbers w:val="0"/>
              <w:spacing w:line="400" w:lineRule="exact"/>
              <w:jc w:val="left"/>
              <w:textAlignment w:val="auto"/>
              <w:rPr>
                <w:rFonts w:hint="default" w:ascii="宋体" w:hAnsi="宋体" w:eastAsia="宋体" w:cs="宋体"/>
                <w:i w:val="0"/>
                <w:color w:val="auto"/>
                <w:kern w:val="0"/>
                <w:sz w:val="24"/>
                <w:szCs w:val="24"/>
                <w:highlight w:val="none"/>
                <w:u w:val="none"/>
                <w:lang w:val="en-US" w:eastAsia="zh-CN" w:bidi="ar"/>
              </w:rPr>
            </w:pPr>
            <w:r>
              <w:rPr>
                <w:rFonts w:hint="default" w:ascii="宋体" w:hAnsi="宋体" w:eastAsia="宋体" w:cs="宋体"/>
                <w:b/>
                <w:bCs/>
                <w:i w:val="0"/>
                <w:color w:val="auto"/>
                <w:kern w:val="0"/>
                <w:sz w:val="24"/>
                <w:szCs w:val="24"/>
                <w:highlight w:val="none"/>
                <w:u w:val="none"/>
                <w:lang w:val="en-US" w:eastAsia="zh-CN" w:bidi="ar"/>
              </w:rPr>
              <w:t>①拟委任的项目总监理工程师（1名）</w:t>
            </w:r>
            <w:r>
              <w:rPr>
                <w:rFonts w:hint="default" w:ascii="宋体" w:hAnsi="宋体" w:eastAsia="宋体" w:cs="宋体"/>
                <w:i w:val="0"/>
                <w:color w:val="auto"/>
                <w:kern w:val="0"/>
                <w:sz w:val="24"/>
                <w:szCs w:val="24"/>
                <w:highlight w:val="none"/>
                <w:u w:val="none"/>
                <w:lang w:val="en-US" w:eastAsia="zh-CN" w:bidi="ar"/>
              </w:rPr>
              <w:t>：具有房屋建筑工程专业国家注册监理工程师资格，且为本单位在职人员；</w:t>
            </w:r>
          </w:p>
          <w:p w14:paraId="31EC9BEA">
            <w:pPr>
              <w:widowControl/>
              <w:spacing w:line="400" w:lineRule="exact"/>
              <w:jc w:val="left"/>
              <w:rPr>
                <w:rFonts w:hint="eastAsia" w:ascii="宋体" w:hAnsi="宋体"/>
                <w:color w:val="auto"/>
                <w:spacing w:val="-4"/>
                <w:sz w:val="24"/>
                <w:szCs w:val="24"/>
                <w:highlight w:val="none"/>
              </w:rPr>
            </w:pPr>
            <w:r>
              <w:rPr>
                <w:rFonts w:hint="default" w:ascii="宋体" w:hAnsi="宋体" w:cs="宋体"/>
                <w:b/>
                <w:bCs/>
                <w:color w:val="auto"/>
                <w:kern w:val="0"/>
                <w:sz w:val="24"/>
                <w:szCs w:val="24"/>
                <w:highlight w:val="none"/>
                <w:u w:val="none"/>
                <w:lang w:bidi="ar"/>
              </w:rPr>
              <w:t>②拟委任的项目总监代表（</w:t>
            </w:r>
            <w:r>
              <w:rPr>
                <w:rFonts w:hint="default" w:cs="宋体"/>
                <w:b/>
                <w:bCs/>
                <w:color w:val="auto"/>
                <w:kern w:val="0"/>
                <w:sz w:val="24"/>
                <w:szCs w:val="24"/>
                <w:highlight w:val="none"/>
                <w:u w:val="none"/>
                <w:lang w:val="en-US" w:eastAsia="zh-CN" w:bidi="ar"/>
              </w:rPr>
              <w:t>1</w:t>
            </w:r>
            <w:r>
              <w:rPr>
                <w:rFonts w:hint="default" w:ascii="宋体" w:hAnsi="宋体" w:cs="宋体"/>
                <w:b/>
                <w:bCs/>
                <w:color w:val="auto"/>
                <w:kern w:val="0"/>
                <w:sz w:val="24"/>
                <w:szCs w:val="24"/>
                <w:highlight w:val="none"/>
                <w:u w:val="none"/>
                <w:lang w:bidi="ar"/>
              </w:rPr>
              <w:t>名）</w:t>
            </w:r>
            <w:r>
              <w:rPr>
                <w:rFonts w:hint="default" w:ascii="宋体" w:hAnsi="宋体" w:cs="宋体"/>
                <w:b w:val="0"/>
                <w:color w:val="auto"/>
                <w:kern w:val="0"/>
                <w:sz w:val="24"/>
                <w:szCs w:val="24"/>
                <w:highlight w:val="none"/>
                <w:u w:val="none"/>
                <w:lang w:bidi="ar"/>
              </w:rPr>
              <w:t>：具有房屋建筑工程类注册执业资格或具有建筑工程类中级及以上专业技术职称、3年及以上工程实践经验并经监理业务培训的人员，且为本单位在职人员。</w:t>
            </w:r>
          </w:p>
          <w:p w14:paraId="29D6CDA3">
            <w:pPr>
              <w:widowControl/>
              <w:spacing w:line="400" w:lineRule="exact"/>
              <w:jc w:val="left"/>
              <w:rPr>
                <w:rFonts w:hint="eastAsia" w:ascii="宋体" w:hAnsi="宋体"/>
                <w:color w:val="auto"/>
                <w:spacing w:val="-4"/>
                <w:sz w:val="24"/>
                <w:szCs w:val="24"/>
                <w:highlight w:val="none"/>
              </w:rPr>
            </w:pPr>
            <w:r>
              <w:rPr>
                <w:rFonts w:hint="eastAsia" w:ascii="宋体" w:hAnsi="宋体"/>
                <w:color w:val="auto"/>
                <w:spacing w:val="-4"/>
                <w:sz w:val="24"/>
                <w:szCs w:val="24"/>
                <w:highlight w:val="none"/>
              </w:rPr>
              <w:t>注</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1.若提供的为技术职称，所提供的证书上无法证明3年及以上工程实践经验的，需提供曾在工作实践单位</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需为工程类单位或企业</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的超过3年</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含</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社保管理机构的证明材料</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如社保管理机构的查询机器打印件</w:t>
            </w:r>
            <w:r>
              <w:rPr>
                <w:rFonts w:hint="eastAsia" w:ascii="宋体" w:hAnsi="宋体"/>
                <w:color w:val="auto"/>
                <w:spacing w:val="-4"/>
                <w:sz w:val="24"/>
                <w:szCs w:val="24"/>
                <w:highlight w:val="none"/>
                <w:lang w:eastAsia="zh-CN"/>
              </w:rPr>
              <w:t>），</w:t>
            </w:r>
            <w:r>
              <w:rPr>
                <w:rFonts w:hint="eastAsia" w:ascii="宋体" w:hAnsi="宋体" w:cs="宋体"/>
                <w:sz w:val="24"/>
                <w:szCs w:val="24"/>
                <w:highlight w:val="none"/>
                <w:lang w:eastAsia="zh-CN"/>
              </w:rPr>
              <w:t>已退休人员可提供退休证明及返聘合同代替社保证明，</w:t>
            </w:r>
            <w:r>
              <w:rPr>
                <w:rFonts w:hint="eastAsia" w:ascii="宋体" w:hAnsi="宋体"/>
                <w:color w:val="auto"/>
                <w:spacing w:val="-4"/>
                <w:sz w:val="24"/>
                <w:szCs w:val="24"/>
                <w:highlight w:val="none"/>
              </w:rPr>
              <w:t>提供相关监理培训证明材料。</w:t>
            </w:r>
          </w:p>
          <w:p w14:paraId="62194531">
            <w:pPr>
              <w:widowControl/>
              <w:spacing w:line="400" w:lineRule="exact"/>
              <w:rPr>
                <w:rFonts w:hint="default" w:ascii="宋体" w:hAnsi="宋体" w:cs="宋体"/>
                <w:b w:val="0"/>
                <w:color w:val="auto"/>
                <w:kern w:val="0"/>
                <w:sz w:val="24"/>
                <w:szCs w:val="24"/>
                <w:highlight w:val="none"/>
                <w:u w:val="none"/>
                <w:lang w:bidi="ar"/>
              </w:rPr>
            </w:pPr>
            <w:r>
              <w:rPr>
                <w:rFonts w:hint="eastAsia" w:ascii="宋体" w:hAnsi="宋体"/>
                <w:color w:val="auto"/>
                <w:spacing w:val="-4"/>
                <w:sz w:val="24"/>
                <w:szCs w:val="24"/>
                <w:highlight w:val="none"/>
              </w:rPr>
              <w:t>2.若提供的为注册执业资格的，则须提供相关注册执业证书。</w:t>
            </w:r>
          </w:p>
          <w:p w14:paraId="25A82726">
            <w:pPr>
              <w:widowControl/>
              <w:spacing w:line="400" w:lineRule="exact"/>
              <w:jc w:val="left"/>
              <w:rPr>
                <w:rFonts w:hint="default" w:ascii="宋体" w:hAnsi="宋体" w:cs="宋体"/>
                <w:b w:val="0"/>
                <w:color w:val="auto"/>
                <w:kern w:val="0"/>
                <w:sz w:val="24"/>
                <w:szCs w:val="24"/>
                <w:highlight w:val="none"/>
                <w:u w:val="none"/>
                <w:lang w:bidi="ar"/>
              </w:rPr>
            </w:pPr>
            <w:r>
              <w:rPr>
                <w:rFonts w:hint="default" w:ascii="宋体" w:hAnsi="宋体" w:cs="宋体"/>
                <w:b/>
                <w:bCs/>
                <w:color w:val="auto"/>
                <w:kern w:val="0"/>
                <w:sz w:val="24"/>
                <w:szCs w:val="24"/>
                <w:highlight w:val="none"/>
                <w:u w:val="none"/>
                <w:lang w:bidi="ar"/>
              </w:rPr>
              <w:t>③</w:t>
            </w:r>
            <w:r>
              <w:rPr>
                <w:rFonts w:hint="eastAsia" w:cs="宋体"/>
                <w:b/>
                <w:bCs/>
                <w:color w:val="auto"/>
                <w:kern w:val="0"/>
                <w:sz w:val="24"/>
                <w:szCs w:val="24"/>
                <w:highlight w:val="none"/>
                <w:u w:val="none"/>
                <w:lang w:val="en-US" w:eastAsia="zh-CN" w:bidi="ar"/>
              </w:rPr>
              <w:t>其他监理人员（4名）</w:t>
            </w:r>
            <w:r>
              <w:rPr>
                <w:rFonts w:hint="default" w:ascii="宋体" w:hAnsi="宋体" w:cs="宋体"/>
                <w:b w:val="0"/>
                <w:color w:val="auto"/>
                <w:kern w:val="0"/>
                <w:sz w:val="24"/>
                <w:szCs w:val="24"/>
                <w:highlight w:val="none"/>
                <w:u w:val="none"/>
                <w:lang w:bidi="ar"/>
              </w:rPr>
              <w:t>：</w:t>
            </w:r>
          </w:p>
          <w:p w14:paraId="402F6E3C">
            <w:pPr>
              <w:widowControl/>
              <w:spacing w:line="400" w:lineRule="exact"/>
              <w:jc w:val="left"/>
              <w:rPr>
                <w:rFonts w:hint="eastAsia" w:ascii="宋体" w:hAnsi="宋体"/>
                <w:color w:val="auto"/>
                <w:spacing w:val="-4"/>
                <w:sz w:val="24"/>
                <w:szCs w:val="24"/>
                <w:highlight w:val="none"/>
              </w:rPr>
            </w:pPr>
            <w:r>
              <w:rPr>
                <w:rFonts w:hint="eastAsia" w:ascii="宋体" w:hAnsi="宋体"/>
                <w:b/>
                <w:bCs/>
                <w:color w:val="auto"/>
                <w:spacing w:val="-4"/>
                <w:sz w:val="24"/>
                <w:szCs w:val="24"/>
                <w:highlight w:val="none"/>
              </w:rPr>
              <w:t>专业监理工程师（</w:t>
            </w:r>
            <w:r>
              <w:rPr>
                <w:rFonts w:hint="eastAsia" w:ascii="宋体" w:hAnsi="宋体"/>
                <w:b/>
                <w:bCs/>
                <w:color w:val="auto"/>
                <w:spacing w:val="-4"/>
                <w:sz w:val="24"/>
                <w:szCs w:val="24"/>
                <w:highlight w:val="none"/>
                <w:u w:val="single"/>
                <w:lang w:val="en-US" w:eastAsia="zh-CN"/>
              </w:rPr>
              <w:t>2</w:t>
            </w:r>
            <w:r>
              <w:rPr>
                <w:rFonts w:hint="eastAsia" w:ascii="宋体" w:hAnsi="宋体"/>
                <w:b/>
                <w:bCs/>
                <w:color w:val="auto"/>
                <w:spacing w:val="-4"/>
                <w:sz w:val="24"/>
                <w:szCs w:val="24"/>
                <w:highlight w:val="none"/>
              </w:rPr>
              <w:t>名）</w:t>
            </w:r>
            <w:r>
              <w:rPr>
                <w:rFonts w:hint="eastAsia" w:ascii="宋体" w:hAnsi="宋体"/>
                <w:color w:val="auto"/>
                <w:spacing w:val="-4"/>
                <w:sz w:val="24"/>
                <w:szCs w:val="24"/>
                <w:highlight w:val="none"/>
              </w:rPr>
              <w:t>：具有房屋建筑工程类注册执业资格或具有建筑工程类中级及以上专业技术职称、2年及以上工程实践经验并经监理业务培训的人员，且为本单位在职人员。</w:t>
            </w:r>
          </w:p>
          <w:p w14:paraId="06647392">
            <w:pPr>
              <w:widowControl/>
              <w:spacing w:line="400" w:lineRule="exact"/>
              <w:jc w:val="left"/>
              <w:rPr>
                <w:rFonts w:hint="eastAsia" w:ascii="宋体" w:hAnsi="宋体"/>
                <w:color w:val="auto"/>
                <w:spacing w:val="-4"/>
                <w:sz w:val="24"/>
                <w:szCs w:val="24"/>
                <w:highlight w:val="none"/>
              </w:rPr>
            </w:pPr>
            <w:r>
              <w:rPr>
                <w:rFonts w:hint="eastAsia" w:ascii="宋体" w:hAnsi="宋体"/>
                <w:color w:val="auto"/>
                <w:spacing w:val="-4"/>
                <w:sz w:val="24"/>
                <w:szCs w:val="24"/>
                <w:highlight w:val="none"/>
              </w:rPr>
              <w:t>注</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1.若提供的为技术职称，所提供的证书上无法证明</w:t>
            </w:r>
            <w:r>
              <w:rPr>
                <w:rFonts w:hint="eastAsia" w:ascii="宋体" w:hAnsi="宋体"/>
                <w:color w:val="auto"/>
                <w:spacing w:val="-4"/>
                <w:sz w:val="24"/>
                <w:szCs w:val="24"/>
                <w:highlight w:val="none"/>
                <w:lang w:val="en-US" w:eastAsia="zh-CN"/>
              </w:rPr>
              <w:t>2</w:t>
            </w:r>
            <w:r>
              <w:rPr>
                <w:rFonts w:hint="eastAsia" w:ascii="宋体" w:hAnsi="宋体"/>
                <w:color w:val="auto"/>
                <w:spacing w:val="-4"/>
                <w:sz w:val="24"/>
                <w:szCs w:val="24"/>
                <w:highlight w:val="none"/>
              </w:rPr>
              <w:t>年及以上工程实践经验的，需提供曾在工作实践单位</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需为工程类单位或企业</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的超过</w:t>
            </w:r>
            <w:r>
              <w:rPr>
                <w:rFonts w:hint="eastAsia" w:ascii="宋体" w:hAnsi="宋体"/>
                <w:color w:val="auto"/>
                <w:spacing w:val="-4"/>
                <w:sz w:val="24"/>
                <w:szCs w:val="24"/>
                <w:highlight w:val="none"/>
                <w:lang w:val="en-US" w:eastAsia="zh-CN"/>
              </w:rPr>
              <w:t>2</w:t>
            </w:r>
            <w:r>
              <w:rPr>
                <w:rFonts w:hint="eastAsia" w:ascii="宋体" w:hAnsi="宋体"/>
                <w:color w:val="auto"/>
                <w:spacing w:val="-4"/>
                <w:sz w:val="24"/>
                <w:szCs w:val="24"/>
                <w:highlight w:val="none"/>
              </w:rPr>
              <w:t>年</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含</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社保管理机构的证明材料</w:t>
            </w:r>
            <w:r>
              <w:rPr>
                <w:rFonts w:hint="eastAsia" w:ascii="宋体" w:hAnsi="宋体"/>
                <w:color w:val="auto"/>
                <w:spacing w:val="-4"/>
                <w:sz w:val="24"/>
                <w:szCs w:val="24"/>
                <w:highlight w:val="none"/>
                <w:lang w:eastAsia="zh-CN"/>
              </w:rPr>
              <w:t>（</w:t>
            </w:r>
            <w:r>
              <w:rPr>
                <w:rFonts w:hint="eastAsia" w:ascii="宋体" w:hAnsi="宋体"/>
                <w:color w:val="auto"/>
                <w:spacing w:val="-4"/>
                <w:sz w:val="24"/>
                <w:szCs w:val="24"/>
                <w:highlight w:val="none"/>
              </w:rPr>
              <w:t>如社保管理机构的查询机器打印件</w:t>
            </w:r>
            <w:r>
              <w:rPr>
                <w:rFonts w:hint="eastAsia" w:ascii="宋体" w:hAnsi="宋体"/>
                <w:color w:val="auto"/>
                <w:spacing w:val="-4"/>
                <w:sz w:val="24"/>
                <w:szCs w:val="24"/>
                <w:highlight w:val="none"/>
                <w:lang w:eastAsia="zh-CN"/>
              </w:rPr>
              <w:t>），</w:t>
            </w:r>
            <w:r>
              <w:rPr>
                <w:rFonts w:hint="eastAsia" w:ascii="宋体" w:hAnsi="宋体" w:cs="宋体"/>
                <w:sz w:val="24"/>
                <w:szCs w:val="24"/>
                <w:highlight w:val="none"/>
                <w:lang w:eastAsia="zh-CN"/>
              </w:rPr>
              <w:t>已退休人员可提供退休证明及返聘合同代替社保证明，</w:t>
            </w:r>
            <w:r>
              <w:rPr>
                <w:rFonts w:hint="eastAsia" w:ascii="宋体" w:hAnsi="宋体"/>
                <w:color w:val="auto"/>
                <w:spacing w:val="-4"/>
                <w:sz w:val="24"/>
                <w:szCs w:val="24"/>
                <w:highlight w:val="none"/>
              </w:rPr>
              <w:t>提供相关监理培训证明材料。</w:t>
            </w:r>
          </w:p>
          <w:p w14:paraId="3842600A">
            <w:pPr>
              <w:widowControl/>
              <w:spacing w:line="400" w:lineRule="exact"/>
              <w:jc w:val="left"/>
              <w:rPr>
                <w:rFonts w:hint="eastAsia" w:ascii="宋体" w:hAnsi="宋体"/>
                <w:color w:val="auto"/>
                <w:spacing w:val="-4"/>
                <w:sz w:val="24"/>
                <w:szCs w:val="24"/>
                <w:highlight w:val="none"/>
              </w:rPr>
            </w:pPr>
            <w:r>
              <w:rPr>
                <w:rFonts w:hint="eastAsia" w:ascii="宋体" w:hAnsi="宋体"/>
                <w:color w:val="auto"/>
                <w:spacing w:val="-4"/>
                <w:sz w:val="24"/>
                <w:szCs w:val="24"/>
                <w:highlight w:val="none"/>
              </w:rPr>
              <w:t>2.若提供的为注册执业资格的，则须提供相关注册执业证书。</w:t>
            </w:r>
          </w:p>
          <w:p w14:paraId="7506FCEC">
            <w:pPr>
              <w:keepNext w:val="0"/>
              <w:keepLines w:val="0"/>
              <w:widowControl/>
              <w:suppressLineNumbers w:val="0"/>
              <w:spacing w:line="400" w:lineRule="exact"/>
              <w:jc w:val="left"/>
              <w:textAlignment w:val="auto"/>
              <w:rPr>
                <w:rFonts w:hint="eastAsia" w:ascii="宋体" w:hAnsi="宋体" w:eastAsia="宋体" w:cs="Times New Roman"/>
                <w:color w:val="auto"/>
                <w:spacing w:val="-4"/>
                <w:sz w:val="24"/>
                <w:szCs w:val="24"/>
                <w:highlight w:val="none"/>
              </w:rPr>
            </w:pPr>
            <w:r>
              <w:rPr>
                <w:rFonts w:hint="eastAsia" w:ascii="宋体" w:hAnsi="宋体" w:eastAsia="宋体" w:cs="Times New Roman"/>
                <w:b/>
                <w:bCs/>
                <w:color w:val="auto"/>
                <w:spacing w:val="-4"/>
                <w:sz w:val="24"/>
                <w:szCs w:val="24"/>
                <w:highlight w:val="none"/>
              </w:rPr>
              <w:t>监理员（</w:t>
            </w:r>
            <w:r>
              <w:rPr>
                <w:rFonts w:hint="eastAsia" w:ascii="宋体" w:hAnsi="宋体" w:cs="Times New Roman"/>
                <w:b/>
                <w:bCs/>
                <w:color w:val="auto"/>
                <w:spacing w:val="-4"/>
                <w:sz w:val="24"/>
                <w:szCs w:val="24"/>
                <w:highlight w:val="none"/>
                <w:u w:val="none"/>
                <w:lang w:val="en-US" w:eastAsia="zh-CN"/>
              </w:rPr>
              <w:t>2</w:t>
            </w:r>
            <w:r>
              <w:rPr>
                <w:rFonts w:hint="eastAsia" w:ascii="宋体" w:hAnsi="宋体" w:eastAsia="宋体" w:cs="Times New Roman"/>
                <w:b/>
                <w:bCs/>
                <w:color w:val="auto"/>
                <w:spacing w:val="-4"/>
                <w:sz w:val="24"/>
                <w:szCs w:val="24"/>
                <w:highlight w:val="none"/>
              </w:rPr>
              <w:t>名）：</w:t>
            </w:r>
            <w:r>
              <w:rPr>
                <w:rFonts w:hint="eastAsia" w:ascii="宋体" w:hAnsi="宋体" w:eastAsia="宋体" w:cs="Times New Roman"/>
                <w:color w:val="auto"/>
                <w:spacing w:val="-4"/>
                <w:sz w:val="24"/>
                <w:szCs w:val="24"/>
                <w:highlight w:val="none"/>
              </w:rPr>
              <w:t>具有中专及以上学历并经监理业务培训的人员，且为本单位在职人员。</w:t>
            </w:r>
          </w:p>
          <w:p w14:paraId="12004912">
            <w:pPr>
              <w:keepNext w:val="0"/>
              <w:keepLines w:val="0"/>
              <w:widowControl/>
              <w:suppressLineNumbers w:val="0"/>
              <w:spacing w:line="400" w:lineRule="exact"/>
              <w:jc w:val="left"/>
              <w:textAlignment w:val="auto"/>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Times New Roman"/>
                <w:color w:val="auto"/>
                <w:spacing w:val="-4"/>
                <w:sz w:val="24"/>
                <w:szCs w:val="24"/>
                <w:highlight w:val="none"/>
                <w:lang w:val="en-US" w:eastAsia="zh-CN"/>
              </w:rPr>
              <w:t>注：提供中专及以上毕业证书、</w:t>
            </w:r>
            <w:r>
              <w:rPr>
                <w:rFonts w:hint="eastAsia" w:ascii="宋体" w:hAnsi="宋体"/>
                <w:color w:val="auto"/>
                <w:spacing w:val="-4"/>
                <w:sz w:val="24"/>
                <w:szCs w:val="24"/>
                <w:highlight w:val="none"/>
              </w:rPr>
              <w:t>相关监理培训证明材料</w:t>
            </w:r>
            <w:r>
              <w:rPr>
                <w:rFonts w:hint="eastAsia" w:ascii="宋体" w:hAnsi="宋体" w:eastAsia="宋体" w:cs="Times New Roman"/>
                <w:color w:val="auto"/>
                <w:spacing w:val="-4"/>
                <w:sz w:val="24"/>
                <w:szCs w:val="24"/>
                <w:highlight w:val="none"/>
                <w:lang w:val="en-US" w:eastAsia="zh-CN"/>
              </w:rPr>
              <w:t>。</w:t>
            </w:r>
          </w:p>
        </w:tc>
      </w:tr>
      <w:tr w14:paraId="782B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04" w:type="pct"/>
            <w:vMerge w:val="restart"/>
            <w:noWrap w:val="0"/>
            <w:vAlign w:val="center"/>
          </w:tcPr>
          <w:p w14:paraId="68A0E3AA">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是否采用电子</w:t>
            </w:r>
          </w:p>
          <w:p w14:paraId="342306F5">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招标投标方式</w:t>
            </w:r>
          </w:p>
        </w:tc>
        <w:tc>
          <w:tcPr>
            <w:tcW w:w="1078" w:type="pct"/>
            <w:vMerge w:val="restart"/>
            <w:noWrap w:val="0"/>
            <w:vAlign w:val="center"/>
          </w:tcPr>
          <w:p w14:paraId="6657396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否</w:t>
            </w:r>
          </w:p>
        </w:tc>
        <w:tc>
          <w:tcPr>
            <w:tcW w:w="770" w:type="pct"/>
            <w:gridSpan w:val="2"/>
            <w:vMerge w:val="restart"/>
            <w:noWrap w:val="0"/>
            <w:vAlign w:val="center"/>
          </w:tcPr>
          <w:p w14:paraId="705D255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获取招标文件的方式</w:t>
            </w:r>
          </w:p>
        </w:tc>
        <w:tc>
          <w:tcPr>
            <w:tcW w:w="673" w:type="pct"/>
            <w:gridSpan w:val="2"/>
            <w:noWrap w:val="0"/>
            <w:vAlign w:val="center"/>
          </w:tcPr>
          <w:p w14:paraId="59731C67">
            <w:pPr>
              <w:keepNext w:val="0"/>
              <w:keepLines w:val="0"/>
              <w:widowControl/>
              <w:suppressLineNumbers w:val="0"/>
              <w:jc w:val="both"/>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eastAsia="zh-CN"/>
              </w:rPr>
              <w:t>下载</w:t>
            </w:r>
            <w:r>
              <w:rPr>
                <w:rFonts w:hint="eastAsia" w:ascii="宋体" w:hAnsi="宋体" w:eastAsia="宋体" w:cs="宋体"/>
                <w:i w:val="0"/>
                <w:color w:val="auto"/>
                <w:sz w:val="24"/>
                <w:szCs w:val="24"/>
                <w:highlight w:val="none"/>
                <w:u w:val="none"/>
                <w:lang w:val="en-US" w:eastAsia="zh-CN"/>
              </w:rPr>
              <w:t>招标文件的网络地址</w:t>
            </w:r>
          </w:p>
        </w:tc>
        <w:tc>
          <w:tcPr>
            <w:tcW w:w="1474" w:type="pct"/>
            <w:gridSpan w:val="2"/>
            <w:noWrap w:val="0"/>
            <w:vAlign w:val="center"/>
          </w:tcPr>
          <w:p w14:paraId="1592F9D7">
            <w:pPr>
              <w:keepNext w:val="0"/>
              <w:keepLines w:val="0"/>
              <w:widowControl/>
              <w:suppressLineNumbers w:val="0"/>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hAnsi="宋体"/>
                <w:color w:val="auto"/>
                <w:sz w:val="24"/>
                <w:szCs w:val="24"/>
                <w:highlight w:val="none"/>
              </w:rPr>
              <w:t>广州交易集团有限公司（广州公共资源交易中心）网站</w:t>
            </w:r>
            <w:r>
              <w:rPr>
                <w:rFonts w:hint="eastAsia" w:hAnsi="宋体"/>
                <w:color w:val="auto"/>
                <w:sz w:val="24"/>
                <w:szCs w:val="24"/>
                <w:highlight w:val="none"/>
                <w:lang w:eastAsia="zh-CN"/>
              </w:rPr>
              <w:t>（</w:t>
            </w:r>
            <w:r>
              <w:rPr>
                <w:rFonts w:hint="eastAsia" w:hAnsi="宋体"/>
                <w:color w:val="auto"/>
                <w:sz w:val="24"/>
                <w:szCs w:val="24"/>
                <w:highlight w:val="none"/>
              </w:rPr>
              <w:t>http//www.gzggzy.cn）</w:t>
            </w:r>
          </w:p>
        </w:tc>
      </w:tr>
      <w:tr w14:paraId="2080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04" w:type="pct"/>
            <w:vMerge w:val="continue"/>
            <w:noWrap w:val="0"/>
            <w:vAlign w:val="center"/>
          </w:tcPr>
          <w:p w14:paraId="4BA48A31">
            <w:pPr>
              <w:keepNext w:val="0"/>
              <w:keepLines w:val="0"/>
              <w:widowControl/>
              <w:suppressLineNumbers w:val="0"/>
              <w:jc w:val="both"/>
              <w:textAlignment w:val="center"/>
              <w:rPr>
                <w:b/>
                <w:bCs/>
                <w:color w:val="auto"/>
                <w:sz w:val="24"/>
                <w:szCs w:val="24"/>
                <w:highlight w:val="none"/>
              </w:rPr>
            </w:pPr>
          </w:p>
        </w:tc>
        <w:tc>
          <w:tcPr>
            <w:tcW w:w="1078" w:type="pct"/>
            <w:vMerge w:val="continue"/>
            <w:noWrap w:val="0"/>
            <w:vAlign w:val="center"/>
          </w:tcPr>
          <w:p w14:paraId="04D10C8C">
            <w:pPr>
              <w:keepNext w:val="0"/>
              <w:keepLines w:val="0"/>
              <w:widowControl/>
              <w:suppressLineNumbers w:val="0"/>
              <w:jc w:val="both"/>
              <w:textAlignment w:val="center"/>
              <w:rPr>
                <w:color w:val="auto"/>
                <w:sz w:val="24"/>
                <w:szCs w:val="24"/>
                <w:highlight w:val="none"/>
              </w:rPr>
            </w:pPr>
          </w:p>
        </w:tc>
        <w:tc>
          <w:tcPr>
            <w:tcW w:w="770" w:type="pct"/>
            <w:gridSpan w:val="2"/>
            <w:vMerge w:val="continue"/>
            <w:noWrap w:val="0"/>
            <w:vAlign w:val="center"/>
          </w:tcPr>
          <w:p w14:paraId="6DF20DD5">
            <w:pPr>
              <w:keepNext w:val="0"/>
              <w:keepLines w:val="0"/>
              <w:widowControl/>
              <w:suppressLineNumbers w:val="0"/>
              <w:jc w:val="both"/>
              <w:textAlignment w:val="center"/>
              <w:rPr>
                <w:color w:val="auto"/>
                <w:sz w:val="24"/>
                <w:szCs w:val="24"/>
                <w:highlight w:val="none"/>
              </w:rPr>
            </w:pPr>
          </w:p>
        </w:tc>
        <w:tc>
          <w:tcPr>
            <w:tcW w:w="673" w:type="pct"/>
            <w:gridSpan w:val="2"/>
            <w:noWrap w:val="0"/>
            <w:vAlign w:val="center"/>
          </w:tcPr>
          <w:p w14:paraId="2593DFFB">
            <w:pPr>
              <w:keepNext w:val="0"/>
              <w:keepLines w:val="0"/>
              <w:widowControl/>
              <w:suppressLineNumbers w:val="0"/>
              <w:jc w:val="both"/>
              <w:textAlignment w:val="center"/>
              <w:rPr>
                <w:rFonts w:hint="eastAsia" w:eastAsia="宋体"/>
                <w:color w:val="auto"/>
                <w:sz w:val="24"/>
                <w:szCs w:val="24"/>
                <w:highlight w:val="none"/>
                <w:lang w:eastAsia="zh-CN"/>
              </w:rPr>
            </w:pPr>
            <w:r>
              <w:rPr>
                <w:rFonts w:hint="eastAsia" w:ascii="宋体" w:hAnsi="宋体" w:eastAsia="宋体" w:cs="宋体"/>
                <w:i w:val="0"/>
                <w:color w:val="auto"/>
                <w:sz w:val="24"/>
                <w:szCs w:val="24"/>
                <w:highlight w:val="none"/>
                <w:u w:val="none"/>
                <w:lang w:eastAsia="zh-CN"/>
              </w:rPr>
              <w:t>获取</w:t>
            </w:r>
            <w:r>
              <w:rPr>
                <w:rFonts w:hint="eastAsia" w:ascii="宋体" w:hAnsi="宋体" w:eastAsia="宋体" w:cs="宋体"/>
                <w:i w:val="0"/>
                <w:color w:val="auto"/>
                <w:sz w:val="24"/>
                <w:szCs w:val="24"/>
                <w:highlight w:val="none"/>
                <w:u w:val="none"/>
                <w:lang w:val="en-US" w:eastAsia="zh-CN"/>
              </w:rPr>
              <w:t>招标文件的方式</w:t>
            </w:r>
          </w:p>
        </w:tc>
        <w:tc>
          <w:tcPr>
            <w:tcW w:w="1474" w:type="pct"/>
            <w:gridSpan w:val="2"/>
            <w:noWrap w:val="0"/>
            <w:vAlign w:val="center"/>
          </w:tcPr>
          <w:p w14:paraId="7489E3E7">
            <w:pPr>
              <w:keepNext w:val="0"/>
              <w:keepLines w:val="0"/>
              <w:widowControl/>
              <w:suppressLineNumbers w:val="0"/>
              <w:jc w:val="center"/>
              <w:textAlignment w:val="center"/>
              <w:rPr>
                <w:rFonts w:hint="default"/>
                <w:color w:val="auto"/>
                <w:sz w:val="24"/>
                <w:szCs w:val="24"/>
                <w:highlight w:val="none"/>
                <w:lang w:val="en-US"/>
              </w:rPr>
            </w:pPr>
            <w:r>
              <w:rPr>
                <w:rFonts w:hint="eastAsia" w:ascii="宋体" w:hAnsi="宋体" w:eastAsia="宋体" w:cs="宋体"/>
                <w:i w:val="0"/>
                <w:color w:val="auto"/>
                <w:kern w:val="0"/>
                <w:sz w:val="24"/>
                <w:szCs w:val="24"/>
                <w:highlight w:val="none"/>
                <w:u w:val="none"/>
                <w:lang w:val="en-US" w:eastAsia="zh-CN" w:bidi="ar"/>
              </w:rPr>
              <w:t>网上下载</w:t>
            </w:r>
          </w:p>
        </w:tc>
      </w:tr>
      <w:tr w14:paraId="57F9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04" w:type="pct"/>
            <w:noWrap w:val="0"/>
            <w:vAlign w:val="center"/>
          </w:tcPr>
          <w:p w14:paraId="7F294755">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获取招标文件</w:t>
            </w:r>
          </w:p>
          <w:p w14:paraId="21316333">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开始时间</w:t>
            </w:r>
          </w:p>
        </w:tc>
        <w:tc>
          <w:tcPr>
            <w:tcW w:w="1078" w:type="pct"/>
            <w:noWrap w:val="0"/>
            <w:vAlign w:val="center"/>
          </w:tcPr>
          <w:p w14:paraId="1369641D">
            <w:pPr>
              <w:jc w:val="both"/>
              <w:rPr>
                <w:rFonts w:hint="default"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 xml:space="preserve">2025年   </w:t>
            </w:r>
            <w:r>
              <w:rPr>
                <w:rFonts w:hint="eastAsia" w:ascii="宋体" w:hAnsi="宋体" w:eastAsia="宋体" w:cs="宋体"/>
                <w:i w:val="0"/>
                <w:color w:val="auto"/>
                <w:sz w:val="24"/>
                <w:szCs w:val="24"/>
                <w:highlight w:val="none"/>
                <w:u w:val="none"/>
                <w:lang w:val="en-US" w:eastAsia="zh-CN"/>
              </w:rPr>
              <w:t>月</w:t>
            </w:r>
            <w:r>
              <w:rPr>
                <w:rFonts w:hint="eastAsia" w:ascii="宋体" w:hAnsi="宋体" w:cs="宋体"/>
                <w:i w:val="0"/>
                <w:color w:val="auto"/>
                <w:sz w:val="24"/>
                <w:szCs w:val="24"/>
                <w:highlight w:val="none"/>
                <w:u w:val="none"/>
                <w:lang w:val="en-US" w:eastAsia="zh-CN"/>
              </w:rPr>
              <w:t xml:space="preserve">  </w:t>
            </w:r>
            <w:r>
              <w:rPr>
                <w:rFonts w:hint="eastAsia" w:ascii="宋体" w:hAnsi="宋体" w:eastAsia="宋体" w:cs="宋体"/>
                <w:i w:val="0"/>
                <w:color w:val="auto"/>
                <w:sz w:val="24"/>
                <w:szCs w:val="24"/>
                <w:highlight w:val="none"/>
                <w:u w:val="none"/>
                <w:lang w:val="en-US" w:eastAsia="zh-CN"/>
              </w:rPr>
              <w:t>日</w:t>
            </w:r>
            <w:r>
              <w:rPr>
                <w:rFonts w:hint="eastAsia" w:ascii="宋体" w:hAnsi="宋体" w:cs="宋体"/>
                <w:i w:val="0"/>
                <w:color w:val="auto"/>
                <w:sz w:val="24"/>
                <w:szCs w:val="24"/>
                <w:highlight w:val="none"/>
                <w:u w:val="none"/>
                <w:lang w:val="en-US" w:eastAsia="zh-CN"/>
              </w:rPr>
              <w:t xml:space="preserve">  时  分</w:t>
            </w:r>
            <w:r>
              <w:rPr>
                <w:rFonts w:hint="eastAsia" w:ascii="宋体" w:hAnsi="宋体" w:cs="宋体"/>
                <w:color w:val="auto"/>
                <w:kern w:val="0"/>
                <w:sz w:val="24"/>
                <w:szCs w:val="24"/>
                <w:highlight w:val="none"/>
              </w:rPr>
              <w:t>（</w:t>
            </w:r>
            <w:r>
              <w:rPr>
                <w:rFonts w:hint="eastAsia" w:ascii="宋体" w:hAnsi="宋体" w:eastAsia="宋体" w:cs="宋体"/>
                <w:color w:val="auto"/>
                <w:kern w:val="2"/>
                <w:sz w:val="24"/>
                <w:szCs w:val="24"/>
                <w:highlight w:val="none"/>
                <w:u w:val="none"/>
                <w:lang w:val="en-US" w:eastAsia="zh-CN" w:bidi="ar"/>
              </w:rPr>
              <w:t>详见广州公共资源交易中心招标公告日程安排</w:t>
            </w:r>
            <w:r>
              <w:rPr>
                <w:rFonts w:hint="eastAsia" w:ascii="宋体" w:hAnsi="宋体" w:cs="宋体"/>
                <w:color w:val="auto"/>
                <w:kern w:val="0"/>
                <w:sz w:val="24"/>
                <w:szCs w:val="24"/>
                <w:highlight w:val="none"/>
              </w:rPr>
              <w:t>）</w:t>
            </w:r>
          </w:p>
        </w:tc>
        <w:tc>
          <w:tcPr>
            <w:tcW w:w="770" w:type="pct"/>
            <w:gridSpan w:val="2"/>
            <w:noWrap w:val="0"/>
            <w:vAlign w:val="center"/>
          </w:tcPr>
          <w:p w14:paraId="6096DCF1">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获取招标文件截止时间</w:t>
            </w:r>
          </w:p>
        </w:tc>
        <w:tc>
          <w:tcPr>
            <w:tcW w:w="2147" w:type="pct"/>
            <w:gridSpan w:val="4"/>
            <w:noWrap w:val="0"/>
            <w:vAlign w:val="center"/>
          </w:tcPr>
          <w:p w14:paraId="5A139692">
            <w:pPr>
              <w:jc w:val="center"/>
              <w:rPr>
                <w:rFonts w:hint="default"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 xml:space="preserve">2025年 </w:t>
            </w:r>
            <w:r>
              <w:rPr>
                <w:rFonts w:hint="eastAsia" w:ascii="宋体" w:hAnsi="宋体" w:eastAsia="宋体" w:cs="宋体"/>
                <w:i w:val="0"/>
                <w:color w:val="auto"/>
                <w:sz w:val="24"/>
                <w:szCs w:val="24"/>
                <w:highlight w:val="none"/>
                <w:u w:val="none"/>
                <w:lang w:val="en-US" w:eastAsia="zh-CN"/>
              </w:rPr>
              <w:t>月</w:t>
            </w:r>
            <w:r>
              <w:rPr>
                <w:rFonts w:hint="eastAsia" w:ascii="宋体" w:hAnsi="宋体" w:cs="宋体"/>
                <w:i w:val="0"/>
                <w:color w:val="auto"/>
                <w:sz w:val="24"/>
                <w:szCs w:val="24"/>
                <w:highlight w:val="none"/>
                <w:u w:val="none"/>
                <w:lang w:val="en-US" w:eastAsia="zh-CN"/>
              </w:rPr>
              <w:t xml:space="preserve">  </w:t>
            </w:r>
            <w:r>
              <w:rPr>
                <w:rFonts w:hint="eastAsia" w:ascii="宋体" w:hAnsi="宋体" w:eastAsia="宋体" w:cs="宋体"/>
                <w:i w:val="0"/>
                <w:color w:val="auto"/>
                <w:sz w:val="24"/>
                <w:szCs w:val="24"/>
                <w:highlight w:val="none"/>
                <w:u w:val="none"/>
                <w:lang w:val="en-US" w:eastAsia="zh-CN"/>
              </w:rPr>
              <w:t>日</w:t>
            </w:r>
            <w:r>
              <w:rPr>
                <w:rFonts w:hint="eastAsia" w:ascii="宋体" w:hAnsi="宋体" w:cs="宋体"/>
                <w:i w:val="0"/>
                <w:color w:val="auto"/>
                <w:sz w:val="24"/>
                <w:szCs w:val="24"/>
                <w:highlight w:val="none"/>
                <w:u w:val="none"/>
                <w:lang w:val="en-US" w:eastAsia="zh-CN"/>
              </w:rPr>
              <w:t xml:space="preserve">  时  分</w:t>
            </w:r>
            <w:r>
              <w:rPr>
                <w:rFonts w:hint="eastAsia" w:ascii="宋体" w:hAnsi="宋体" w:cs="宋体"/>
                <w:color w:val="auto"/>
                <w:kern w:val="0"/>
                <w:sz w:val="24"/>
                <w:szCs w:val="24"/>
                <w:highlight w:val="none"/>
              </w:rPr>
              <w:t>（</w:t>
            </w:r>
            <w:r>
              <w:rPr>
                <w:rFonts w:hint="eastAsia" w:ascii="宋体" w:hAnsi="宋体" w:eastAsia="宋体" w:cs="宋体"/>
                <w:color w:val="auto"/>
                <w:kern w:val="2"/>
                <w:sz w:val="24"/>
                <w:szCs w:val="24"/>
                <w:highlight w:val="none"/>
                <w:u w:val="none"/>
                <w:lang w:val="en-US" w:eastAsia="zh-CN" w:bidi="ar"/>
              </w:rPr>
              <w:t>详见广州公共资源交易中心招标公告日程安排</w:t>
            </w:r>
            <w:r>
              <w:rPr>
                <w:rFonts w:hint="eastAsia" w:ascii="宋体" w:hAnsi="宋体" w:cs="宋体"/>
                <w:color w:val="auto"/>
                <w:kern w:val="0"/>
                <w:sz w:val="24"/>
                <w:szCs w:val="24"/>
                <w:highlight w:val="none"/>
              </w:rPr>
              <w:t>）</w:t>
            </w:r>
          </w:p>
        </w:tc>
      </w:tr>
      <w:tr w14:paraId="592A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1004" w:type="pct"/>
            <w:noWrap w:val="0"/>
            <w:vAlign w:val="center"/>
          </w:tcPr>
          <w:p w14:paraId="7BFD172C">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递交投标文件截止时间</w:t>
            </w:r>
          </w:p>
        </w:tc>
        <w:tc>
          <w:tcPr>
            <w:tcW w:w="1078" w:type="pct"/>
            <w:noWrap w:val="0"/>
            <w:vAlign w:val="center"/>
          </w:tcPr>
          <w:p w14:paraId="551C1A60">
            <w:pPr>
              <w:keepNext w:val="0"/>
              <w:keepLines w:val="0"/>
              <w:widowControl/>
              <w:suppressLineNumbers w:val="0"/>
              <w:jc w:val="both"/>
              <w:textAlignment w:val="center"/>
              <w:rPr>
                <w:rFonts w:hint="eastAsia" w:ascii="宋体" w:hAnsi="宋体" w:cs="宋体"/>
                <w:b w:val="0"/>
                <w:bCs w:val="0"/>
                <w:color w:val="auto"/>
                <w:sz w:val="24"/>
                <w:szCs w:val="24"/>
                <w:highlight w:val="none"/>
                <w:u w:val="none"/>
              </w:rPr>
            </w:pPr>
            <w:r>
              <w:rPr>
                <w:rFonts w:hint="eastAsia" w:ascii="宋体" w:hAnsi="宋体" w:cs="宋体"/>
                <w:b w:val="0"/>
                <w:bCs w:val="0"/>
                <w:color w:val="auto"/>
                <w:sz w:val="24"/>
                <w:szCs w:val="24"/>
                <w:highlight w:val="none"/>
                <w:u w:val="none"/>
                <w:lang w:val="en-US" w:eastAsia="zh-CN"/>
              </w:rPr>
              <w:t>2025年  月  日 时  分（</w:t>
            </w:r>
            <w:r>
              <w:rPr>
                <w:rFonts w:hint="eastAsia" w:ascii="宋体" w:hAnsi="宋体" w:eastAsia="宋体" w:cs="宋体"/>
                <w:color w:val="auto"/>
                <w:kern w:val="2"/>
                <w:sz w:val="24"/>
                <w:szCs w:val="24"/>
                <w:highlight w:val="none"/>
                <w:u w:val="none"/>
                <w:lang w:val="en-US" w:eastAsia="zh-CN" w:bidi="ar"/>
              </w:rPr>
              <w:t>详见广州公共资源交易中心招标公告日程安排</w:t>
            </w:r>
            <w:r>
              <w:rPr>
                <w:rFonts w:hint="eastAsia" w:ascii="宋体" w:hAnsi="宋体" w:cs="宋体"/>
                <w:b w:val="0"/>
                <w:bCs w:val="0"/>
                <w:color w:val="auto"/>
                <w:sz w:val="24"/>
                <w:szCs w:val="24"/>
                <w:highlight w:val="none"/>
                <w:u w:val="none"/>
                <w:lang w:val="en-US" w:eastAsia="zh-CN"/>
              </w:rPr>
              <w:t>）</w:t>
            </w:r>
          </w:p>
        </w:tc>
        <w:tc>
          <w:tcPr>
            <w:tcW w:w="770" w:type="pct"/>
            <w:gridSpan w:val="2"/>
            <w:noWrap w:val="0"/>
            <w:vAlign w:val="center"/>
          </w:tcPr>
          <w:p w14:paraId="15741AE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投标文件递交方式</w:t>
            </w:r>
          </w:p>
        </w:tc>
        <w:tc>
          <w:tcPr>
            <w:tcW w:w="2147" w:type="pct"/>
            <w:gridSpan w:val="4"/>
            <w:noWrap w:val="0"/>
            <w:vAlign w:val="center"/>
          </w:tcPr>
          <w:p w14:paraId="64E502A4">
            <w:pPr>
              <w:keepNext w:val="0"/>
              <w:keepLines w:val="0"/>
              <w:widowControl/>
              <w:numPr>
                <w:ilvl w:val="0"/>
                <w:numId w:val="0"/>
              </w:numPr>
              <w:suppressLineNumbers w:val="0"/>
              <w:jc w:val="both"/>
              <w:textAlignment w:val="center"/>
              <w:rPr>
                <w:rFonts w:hint="eastAsia" w:ascii="宋体" w:hAnsi="宋体" w:eastAsia="宋体" w:cs="宋体"/>
                <w:i w:val="0"/>
                <w:color w:val="auto"/>
                <w:sz w:val="24"/>
                <w:szCs w:val="24"/>
                <w:highlight w:val="none"/>
                <w:u w:val="none"/>
              </w:rPr>
            </w:pPr>
            <w:r>
              <w:rPr>
                <w:rFonts w:hint="eastAsia" w:ascii="宋体" w:hAnsi="宋体" w:cs="宋体"/>
                <w:color w:val="auto"/>
                <w:sz w:val="24"/>
                <w:szCs w:val="24"/>
                <w:highlight w:val="none"/>
              </w:rPr>
              <w:t>投标人应于投标截止时间前将投标文件密封送达广州公共资源交易中心开标室（具体开标室详见招标公告日程安排）。逾期送达的或者未送达指定地点的投标文件，招标人不予受理。</w:t>
            </w:r>
          </w:p>
        </w:tc>
      </w:tr>
      <w:tr w14:paraId="3E15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04" w:type="pct"/>
            <w:noWrap w:val="0"/>
            <w:vAlign w:val="center"/>
          </w:tcPr>
          <w:p w14:paraId="459DEDE9">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开标时间</w:t>
            </w:r>
          </w:p>
        </w:tc>
        <w:tc>
          <w:tcPr>
            <w:tcW w:w="1078" w:type="pct"/>
            <w:noWrap w:val="0"/>
            <w:vAlign w:val="center"/>
          </w:tcPr>
          <w:p w14:paraId="115C3167">
            <w:pPr>
              <w:keepNext w:val="0"/>
              <w:keepLines w:val="0"/>
              <w:widowControl/>
              <w:suppressLineNumbers w:val="0"/>
              <w:jc w:val="both"/>
              <w:textAlignment w:val="center"/>
              <w:rPr>
                <w:rFonts w:hint="eastAsia" w:ascii="宋体" w:hAnsi="宋体" w:cs="宋体"/>
                <w:b w:val="0"/>
                <w:bCs w:val="0"/>
                <w:color w:val="auto"/>
                <w:sz w:val="24"/>
                <w:szCs w:val="24"/>
                <w:highlight w:val="none"/>
                <w:u w:val="none"/>
              </w:rPr>
            </w:pPr>
            <w:r>
              <w:rPr>
                <w:rFonts w:hint="eastAsia" w:ascii="宋体" w:hAnsi="宋体" w:cs="宋体"/>
                <w:b w:val="0"/>
                <w:bCs w:val="0"/>
                <w:color w:val="auto"/>
                <w:sz w:val="24"/>
                <w:szCs w:val="24"/>
                <w:highlight w:val="none"/>
                <w:u w:val="none"/>
                <w:lang w:val="en-US" w:eastAsia="zh-CN"/>
              </w:rPr>
              <w:t>2025年  月  日 时  分（与投标截止时间为同一时间）</w:t>
            </w:r>
          </w:p>
        </w:tc>
        <w:tc>
          <w:tcPr>
            <w:tcW w:w="770" w:type="pct"/>
            <w:gridSpan w:val="2"/>
            <w:noWrap w:val="0"/>
            <w:vAlign w:val="center"/>
          </w:tcPr>
          <w:p w14:paraId="1A596153">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开标地点</w:t>
            </w:r>
          </w:p>
        </w:tc>
        <w:tc>
          <w:tcPr>
            <w:tcW w:w="2147" w:type="pct"/>
            <w:gridSpan w:val="4"/>
            <w:noWrap w:val="0"/>
            <w:vAlign w:val="center"/>
          </w:tcPr>
          <w:p w14:paraId="5B29CF67">
            <w:pPr>
              <w:keepNext w:val="0"/>
              <w:keepLines w:val="0"/>
              <w:widowControl/>
              <w:suppressLineNumbers w:val="0"/>
              <w:jc w:val="both"/>
              <w:textAlignment w:val="center"/>
              <w:rPr>
                <w:rFonts w:hint="eastAsia" w:ascii="宋体" w:hAnsi="宋体" w:eastAsia="宋体" w:cs="宋体"/>
                <w:i w:val="0"/>
                <w:color w:val="auto"/>
                <w:sz w:val="24"/>
                <w:szCs w:val="24"/>
                <w:highlight w:val="none"/>
                <w:u w:val="none"/>
              </w:rPr>
            </w:pPr>
            <w:r>
              <w:rPr>
                <w:rFonts w:hint="eastAsia" w:ascii="宋体" w:hAnsi="宋体" w:cs="宋体"/>
                <w:b w:val="0"/>
                <w:bCs w:val="0"/>
                <w:color w:val="auto"/>
                <w:sz w:val="24"/>
                <w:szCs w:val="24"/>
                <w:highlight w:val="none"/>
                <w:u w:val="none"/>
              </w:rPr>
              <w:t>广州交易集团有限公司（广州公共资源交易中心）开标室</w:t>
            </w:r>
            <w:r>
              <w:rPr>
                <w:rFonts w:hint="eastAsia" w:ascii="宋体" w:hAnsi="宋体" w:cs="宋体"/>
                <w:bCs/>
                <w:color w:val="auto"/>
                <w:spacing w:val="10"/>
                <w:sz w:val="24"/>
                <w:szCs w:val="24"/>
                <w:highlight w:val="none"/>
                <w:u w:val="none"/>
              </w:rPr>
              <w:t>（</w:t>
            </w:r>
            <w:r>
              <w:rPr>
                <w:rFonts w:hint="eastAsia" w:ascii="宋体" w:hAnsi="宋体" w:cs="宋体"/>
                <w:bCs/>
                <w:color w:val="auto"/>
                <w:spacing w:val="10"/>
                <w:sz w:val="24"/>
                <w:szCs w:val="24"/>
                <w:highlight w:val="none"/>
                <w:u w:val="none"/>
                <w:lang w:val="en-US" w:eastAsia="zh-CN"/>
              </w:rPr>
              <w:t>地址：</w:t>
            </w:r>
            <w:r>
              <w:rPr>
                <w:rFonts w:hint="eastAsia" w:ascii="宋体" w:hAnsi="宋体" w:cs="宋体"/>
                <w:bCs/>
                <w:color w:val="auto"/>
                <w:spacing w:val="10"/>
                <w:sz w:val="24"/>
                <w:szCs w:val="24"/>
                <w:highlight w:val="none"/>
                <w:u w:val="none"/>
              </w:rPr>
              <w:t>广州市天河区天润路333号）</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color w:val="auto"/>
                <w:kern w:val="2"/>
                <w:sz w:val="24"/>
                <w:szCs w:val="24"/>
                <w:highlight w:val="none"/>
                <w:u w:val="none"/>
                <w:lang w:val="en-US" w:eastAsia="zh-CN" w:bidi="ar"/>
              </w:rPr>
              <w:t>详见广州公共资源交易中心招标公告日程安排</w:t>
            </w:r>
            <w:r>
              <w:rPr>
                <w:rFonts w:hint="eastAsia" w:ascii="宋体" w:hAnsi="宋体" w:cs="宋体"/>
                <w:b w:val="0"/>
                <w:bCs w:val="0"/>
                <w:color w:val="auto"/>
                <w:sz w:val="24"/>
                <w:szCs w:val="24"/>
                <w:highlight w:val="none"/>
                <w:u w:val="none"/>
                <w:lang w:val="en-US" w:eastAsia="zh-CN"/>
              </w:rPr>
              <w:t>）</w:t>
            </w:r>
          </w:p>
        </w:tc>
      </w:tr>
      <w:tr w14:paraId="0DFD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004" w:type="pct"/>
            <w:noWrap w:val="0"/>
            <w:vAlign w:val="center"/>
          </w:tcPr>
          <w:p w14:paraId="4B6D2572">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发布公告媒介</w:t>
            </w:r>
          </w:p>
        </w:tc>
        <w:tc>
          <w:tcPr>
            <w:tcW w:w="3995" w:type="pct"/>
            <w:gridSpan w:val="7"/>
            <w:noWrap w:val="0"/>
            <w:vAlign w:val="center"/>
          </w:tcPr>
          <w:p w14:paraId="21F92FDE">
            <w:pPr>
              <w:keepNext w:val="0"/>
              <w:keepLines w:val="0"/>
              <w:widowControl/>
              <w:suppressLineNumbers w:val="0"/>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广东省招标投标监管网、广东省公共资源交易平台</w:t>
            </w:r>
            <w:r>
              <w:rPr>
                <w:rFonts w:hint="eastAsia" w:ascii="宋体" w:hAnsi="宋体" w:cs="宋体"/>
                <w:i w:val="0"/>
                <w:color w:val="auto"/>
                <w:kern w:val="0"/>
                <w:sz w:val="24"/>
                <w:szCs w:val="24"/>
                <w:highlight w:val="none"/>
                <w:u w:val="none"/>
                <w:lang w:val="en-US" w:eastAsia="zh-CN" w:bidi="ar"/>
              </w:rPr>
              <w:t>、广州交易集团有限公司（广州公共资源交易中心）官网</w:t>
            </w:r>
          </w:p>
        </w:tc>
      </w:tr>
      <w:tr w14:paraId="22C7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6694ED4D">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招标人</w:t>
            </w:r>
          </w:p>
        </w:tc>
        <w:tc>
          <w:tcPr>
            <w:tcW w:w="1078" w:type="pct"/>
            <w:noWrap w:val="0"/>
            <w:vAlign w:val="center"/>
          </w:tcPr>
          <w:p w14:paraId="0669720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Times New Roman"/>
                <w:bCs/>
                <w:color w:val="auto"/>
                <w:kern w:val="0"/>
                <w:sz w:val="24"/>
                <w:szCs w:val="32"/>
                <w:highlight w:val="none"/>
              </w:rPr>
              <w:t>广东省代建项目管理局</w:t>
            </w:r>
          </w:p>
        </w:tc>
        <w:tc>
          <w:tcPr>
            <w:tcW w:w="770" w:type="pct"/>
            <w:gridSpan w:val="2"/>
            <w:noWrap w:val="0"/>
            <w:vAlign w:val="center"/>
          </w:tcPr>
          <w:p w14:paraId="7A38C253">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联系地址</w:t>
            </w:r>
          </w:p>
        </w:tc>
        <w:tc>
          <w:tcPr>
            <w:tcW w:w="2147" w:type="pct"/>
            <w:gridSpan w:val="4"/>
            <w:noWrap w:val="0"/>
            <w:vAlign w:val="center"/>
          </w:tcPr>
          <w:p w14:paraId="39497DA7">
            <w:pPr>
              <w:jc w:val="center"/>
              <w:rPr>
                <w:rFonts w:hint="default" w:ascii="宋体" w:hAnsi="宋体" w:eastAsia="宋体" w:cs="宋体"/>
                <w:i w:val="0"/>
                <w:color w:val="auto"/>
                <w:sz w:val="24"/>
                <w:szCs w:val="24"/>
                <w:highlight w:val="none"/>
                <w:u w:val="none"/>
                <w:lang w:val="en-US" w:eastAsia="zh-CN"/>
              </w:rPr>
            </w:pPr>
            <w:r>
              <w:rPr>
                <w:rFonts w:hint="eastAsia" w:ascii="宋体" w:hAnsi="宋体"/>
                <w:bCs/>
                <w:color w:val="auto"/>
                <w:kern w:val="0"/>
                <w:sz w:val="24"/>
                <w:highlight w:val="none"/>
              </w:rPr>
              <w:t>广州市天河区黄埔大道西108号</w:t>
            </w:r>
          </w:p>
        </w:tc>
      </w:tr>
      <w:tr w14:paraId="56D1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04" w:type="pct"/>
            <w:noWrap w:val="0"/>
            <w:vAlign w:val="center"/>
          </w:tcPr>
          <w:p w14:paraId="017C5EC4">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招标人联系人</w:t>
            </w:r>
          </w:p>
        </w:tc>
        <w:tc>
          <w:tcPr>
            <w:tcW w:w="1078" w:type="pct"/>
            <w:noWrap w:val="0"/>
            <w:vAlign w:val="center"/>
          </w:tcPr>
          <w:p w14:paraId="392045AB">
            <w:pPr>
              <w:jc w:val="center"/>
              <w:rPr>
                <w:rFonts w:hint="default" w:ascii="宋体" w:hAnsi="宋体" w:eastAsia="宋体" w:cs="宋体"/>
                <w:i w:val="0"/>
                <w:color w:val="auto"/>
                <w:sz w:val="24"/>
                <w:szCs w:val="24"/>
                <w:highlight w:val="none"/>
                <w:u w:val="none"/>
                <w:lang w:val="en-US" w:eastAsia="zh-CN"/>
              </w:rPr>
            </w:pPr>
            <w:r>
              <w:rPr>
                <w:rFonts w:hint="eastAsia" w:ascii="宋体" w:hAnsi="宋体"/>
                <w:bCs/>
                <w:color w:val="auto"/>
                <w:kern w:val="0"/>
                <w:sz w:val="24"/>
                <w:highlight w:val="none"/>
                <w:lang w:val="en-US" w:eastAsia="zh-CN"/>
              </w:rPr>
              <w:t>陈庆华</w:t>
            </w:r>
          </w:p>
        </w:tc>
        <w:tc>
          <w:tcPr>
            <w:tcW w:w="770" w:type="pct"/>
            <w:gridSpan w:val="2"/>
            <w:noWrap w:val="0"/>
            <w:vAlign w:val="center"/>
          </w:tcPr>
          <w:p w14:paraId="27E24769">
            <w:pPr>
              <w:keepNext w:val="0"/>
              <w:keepLines w:val="0"/>
              <w:widowControl/>
              <w:suppressLineNumbers w:val="0"/>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b/>
                <w:bCs/>
                <w:i w:val="0"/>
                <w:color w:val="auto"/>
                <w:kern w:val="0"/>
                <w:sz w:val="24"/>
                <w:szCs w:val="24"/>
                <w:highlight w:val="none"/>
                <w:u w:val="none"/>
                <w:lang w:val="en-US" w:eastAsia="zh-CN" w:bidi="ar"/>
              </w:rPr>
              <w:t>联系电话</w:t>
            </w:r>
          </w:p>
        </w:tc>
        <w:tc>
          <w:tcPr>
            <w:tcW w:w="2147" w:type="pct"/>
            <w:gridSpan w:val="4"/>
            <w:noWrap w:val="0"/>
            <w:vAlign w:val="center"/>
          </w:tcPr>
          <w:p w14:paraId="49FEEE36">
            <w:pPr>
              <w:jc w:val="center"/>
              <w:rPr>
                <w:rFonts w:hint="eastAsia" w:ascii="宋体" w:hAnsi="宋体" w:eastAsia="宋体" w:cs="宋体"/>
                <w:i w:val="0"/>
                <w:color w:val="auto"/>
                <w:sz w:val="24"/>
                <w:szCs w:val="24"/>
                <w:highlight w:val="none"/>
                <w:u w:val="none"/>
                <w:lang w:eastAsia="zh-CN"/>
              </w:rPr>
            </w:pPr>
            <w:r>
              <w:rPr>
                <w:rFonts w:hint="eastAsia" w:ascii="宋体" w:hAnsi="宋体"/>
                <w:bCs/>
                <w:color w:val="auto"/>
                <w:kern w:val="0"/>
                <w:sz w:val="24"/>
                <w:highlight w:val="none"/>
                <w:lang w:val="en-US" w:eastAsia="zh-CN"/>
              </w:rPr>
              <w:t>020-83620834</w:t>
            </w:r>
          </w:p>
        </w:tc>
      </w:tr>
      <w:tr w14:paraId="7B3B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04" w:type="pct"/>
            <w:noWrap w:val="0"/>
            <w:vAlign w:val="center"/>
          </w:tcPr>
          <w:p w14:paraId="2BF3800B">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招标代理机构</w:t>
            </w:r>
          </w:p>
        </w:tc>
        <w:tc>
          <w:tcPr>
            <w:tcW w:w="1078" w:type="pct"/>
            <w:noWrap w:val="0"/>
            <w:vAlign w:val="center"/>
          </w:tcPr>
          <w:p w14:paraId="3EC3C1A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eastAsia="zh-CN"/>
              </w:rPr>
            </w:pPr>
            <w:r>
              <w:rPr>
                <w:rFonts w:hint="eastAsia" w:ascii="宋体" w:hAnsi="宋体" w:eastAsia="宋体" w:cs="宋体"/>
                <w:i w:val="0"/>
                <w:color w:val="auto"/>
                <w:sz w:val="24"/>
                <w:szCs w:val="24"/>
                <w:highlight w:val="none"/>
                <w:u w:val="none"/>
                <w:lang w:eastAsia="zh-CN"/>
              </w:rPr>
              <w:t>广东省国际工程咨询有限公司</w:t>
            </w:r>
          </w:p>
        </w:tc>
        <w:tc>
          <w:tcPr>
            <w:tcW w:w="770" w:type="pct"/>
            <w:gridSpan w:val="2"/>
            <w:noWrap w:val="0"/>
            <w:vAlign w:val="center"/>
          </w:tcPr>
          <w:p w14:paraId="0BDD75D7">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联系地址</w:t>
            </w:r>
          </w:p>
        </w:tc>
        <w:tc>
          <w:tcPr>
            <w:tcW w:w="2147" w:type="pct"/>
            <w:gridSpan w:val="4"/>
            <w:noWrap w:val="0"/>
            <w:vAlign w:val="center"/>
          </w:tcPr>
          <w:p w14:paraId="7297DF63">
            <w:pPr>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sz w:val="24"/>
                <w:szCs w:val="24"/>
                <w:highlight w:val="none"/>
                <w:u w:val="none"/>
              </w:rPr>
              <w:t>广州市越秀区环市中路316号金鹰大厦10楼</w:t>
            </w:r>
          </w:p>
        </w:tc>
      </w:tr>
      <w:tr w14:paraId="7B55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04" w:type="pct"/>
            <w:noWrap w:val="0"/>
            <w:vAlign w:val="center"/>
          </w:tcPr>
          <w:p w14:paraId="4D7A1236">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招标代理联系人</w:t>
            </w:r>
          </w:p>
        </w:tc>
        <w:tc>
          <w:tcPr>
            <w:tcW w:w="1078" w:type="pct"/>
            <w:noWrap w:val="0"/>
            <w:vAlign w:val="center"/>
          </w:tcPr>
          <w:p w14:paraId="3F02FFFE">
            <w:pPr>
              <w:jc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Times New Roman"/>
                <w:bCs/>
                <w:color w:val="auto"/>
                <w:kern w:val="0"/>
                <w:sz w:val="24"/>
                <w:highlight w:val="none"/>
                <w:lang w:val="en-US" w:eastAsia="zh-CN"/>
              </w:rPr>
              <w:t>谭慧、单卫红</w:t>
            </w:r>
          </w:p>
        </w:tc>
        <w:tc>
          <w:tcPr>
            <w:tcW w:w="770" w:type="pct"/>
            <w:gridSpan w:val="2"/>
            <w:noWrap w:val="0"/>
            <w:vAlign w:val="center"/>
          </w:tcPr>
          <w:p w14:paraId="7BCD6077">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联系电话</w:t>
            </w:r>
          </w:p>
        </w:tc>
        <w:tc>
          <w:tcPr>
            <w:tcW w:w="2147" w:type="pct"/>
            <w:gridSpan w:val="4"/>
            <w:noWrap w:val="0"/>
            <w:vAlign w:val="center"/>
          </w:tcPr>
          <w:p w14:paraId="60BF409D">
            <w:pPr>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sz w:val="24"/>
                <w:szCs w:val="24"/>
                <w:highlight w:val="none"/>
                <w:u w:val="none"/>
              </w:rPr>
              <w:t>020-33972107</w:t>
            </w:r>
          </w:p>
        </w:tc>
      </w:tr>
      <w:tr w14:paraId="6221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04" w:type="pct"/>
            <w:noWrap w:val="0"/>
            <w:vAlign w:val="center"/>
          </w:tcPr>
          <w:p w14:paraId="43DFE298">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招标监督机构</w:t>
            </w:r>
          </w:p>
        </w:tc>
        <w:tc>
          <w:tcPr>
            <w:tcW w:w="1078" w:type="pct"/>
            <w:noWrap w:val="0"/>
            <w:vAlign w:val="center"/>
          </w:tcPr>
          <w:p w14:paraId="3B22698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eastAsia="zh-CN"/>
              </w:rPr>
              <w:t>茂名市住房和城乡建设局</w:t>
            </w:r>
          </w:p>
        </w:tc>
        <w:tc>
          <w:tcPr>
            <w:tcW w:w="770" w:type="pct"/>
            <w:gridSpan w:val="2"/>
            <w:noWrap w:val="0"/>
            <w:vAlign w:val="center"/>
          </w:tcPr>
          <w:p w14:paraId="06AFA5F0">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联系电话</w:t>
            </w:r>
          </w:p>
        </w:tc>
        <w:tc>
          <w:tcPr>
            <w:tcW w:w="2147" w:type="pct"/>
            <w:gridSpan w:val="4"/>
            <w:noWrap w:val="0"/>
            <w:vAlign w:val="center"/>
          </w:tcPr>
          <w:p w14:paraId="402153CA">
            <w:pPr>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rPr>
              <w:t>0668-2280606</w:t>
            </w:r>
          </w:p>
        </w:tc>
      </w:tr>
      <w:tr w14:paraId="0BA8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4" w:type="pct"/>
            <w:noWrap w:val="0"/>
            <w:vAlign w:val="center"/>
          </w:tcPr>
          <w:p w14:paraId="2814767B">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其他依法应当载明的内容</w:t>
            </w:r>
          </w:p>
        </w:tc>
        <w:tc>
          <w:tcPr>
            <w:tcW w:w="3995" w:type="pct"/>
            <w:gridSpan w:val="7"/>
            <w:noWrap w:val="0"/>
            <w:vAlign w:val="center"/>
          </w:tcPr>
          <w:p w14:paraId="08D296FF">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eastAsia="宋体" w:cs="宋体"/>
                <w:i w:val="0"/>
                <w:color w:val="auto"/>
                <w:sz w:val="24"/>
                <w:szCs w:val="24"/>
                <w:highlight w:val="none"/>
                <w:u w:val="none"/>
                <w:lang w:bidi="ar"/>
              </w:rPr>
              <w:t>1.递交投标文件截止时间与开标时间是否有变化，请密切留意相关的公告或通知。</w:t>
            </w:r>
          </w:p>
          <w:p w14:paraId="6ABE912A">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2</w:t>
            </w:r>
            <w:r>
              <w:rPr>
                <w:rFonts w:hint="eastAsia" w:ascii="宋体" w:hAnsi="宋体" w:eastAsia="宋体" w:cs="宋体"/>
                <w:i w:val="0"/>
                <w:color w:val="auto"/>
                <w:sz w:val="24"/>
                <w:szCs w:val="24"/>
                <w:highlight w:val="none"/>
                <w:u w:val="none"/>
                <w:lang w:bidi="ar"/>
              </w:rPr>
              <w:t>.“信用中国”网站（www.creditchina.gov.cn)查询：投标人被列为严重失信主体或</w:t>
            </w:r>
            <w:r>
              <w:rPr>
                <w:rFonts w:hint="eastAsia" w:ascii="宋体" w:hAnsi="宋体" w:cs="宋体"/>
                <w:i w:val="0"/>
                <w:color w:val="auto"/>
                <w:sz w:val="24"/>
                <w:szCs w:val="24"/>
                <w:highlight w:val="none"/>
                <w:u w:val="none"/>
                <w:lang w:eastAsia="zh-CN" w:bidi="ar"/>
              </w:rPr>
              <w:t>拖欠农民工工资失信联合惩戒对象名单</w:t>
            </w:r>
            <w:r>
              <w:rPr>
                <w:rFonts w:hint="eastAsia" w:ascii="宋体" w:hAnsi="宋体" w:eastAsia="宋体" w:cs="宋体"/>
                <w:i w:val="0"/>
                <w:color w:val="auto"/>
                <w:sz w:val="24"/>
                <w:szCs w:val="24"/>
                <w:highlight w:val="none"/>
                <w:u w:val="none"/>
                <w:lang w:bidi="ar"/>
              </w:rPr>
              <w:t>或被人民法院列为失信被执行人的，投标活动依法予以限制，不接受其投标。</w:t>
            </w:r>
          </w:p>
          <w:p w14:paraId="65F87307">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3</w:t>
            </w:r>
            <w:r>
              <w:rPr>
                <w:rFonts w:hint="eastAsia" w:ascii="宋体" w:hAnsi="宋体" w:eastAsia="宋体" w:cs="宋体"/>
                <w:i w:val="0"/>
                <w:color w:val="auto"/>
                <w:sz w:val="24"/>
                <w:szCs w:val="24"/>
                <w:highlight w:val="none"/>
                <w:u w:val="none"/>
                <w:lang w:bidi="ar"/>
              </w:rPr>
              <w:t>.投标人若对招标文件有疑问，在招标文件《投标人须知》规定时间内以匿名方式在广州公共资源交易中心(http://www.gzggzy.cn) 答疑专区进行网上提问。招标人(或招标代理) 将对投标人的问题统一做出澄清和解答，并发布在广州公共资源交易中心。投标人应自行留意招标人(或招标代理)发布的招标文件澄清、修改或补充内容。否则，造成的一切后果由投标人自行承担。</w:t>
            </w:r>
          </w:p>
          <w:p w14:paraId="62F86F19">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4</w:t>
            </w:r>
            <w:r>
              <w:rPr>
                <w:rFonts w:hint="eastAsia" w:ascii="宋体" w:hAnsi="宋体" w:eastAsia="宋体" w:cs="宋体"/>
                <w:i w:val="0"/>
                <w:color w:val="auto"/>
                <w:sz w:val="24"/>
                <w:szCs w:val="24"/>
                <w:highlight w:val="none"/>
                <w:u w:val="none"/>
                <w:lang w:bidi="ar"/>
              </w:rPr>
              <w:t>.对于本项目的招标公告和招标文件存在任何违规或不公平内容，投标人可向招标人提出异议。</w:t>
            </w:r>
          </w:p>
          <w:p w14:paraId="56FA3482">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5</w:t>
            </w:r>
            <w:r>
              <w:rPr>
                <w:rFonts w:hint="eastAsia" w:ascii="宋体" w:hAnsi="宋体" w:eastAsia="宋体" w:cs="宋体"/>
                <w:i w:val="0"/>
                <w:color w:val="auto"/>
                <w:sz w:val="24"/>
                <w:szCs w:val="24"/>
                <w:highlight w:val="none"/>
                <w:u w:val="none"/>
                <w:lang w:bidi="ar"/>
              </w:rPr>
              <w:t>.开标时要求投标人的企业法定代表人或委托代理人</w:t>
            </w:r>
            <w:r>
              <w:rPr>
                <w:rFonts w:hint="eastAsia" w:ascii="宋体" w:hAnsi="宋体" w:cs="宋体"/>
                <w:i w:val="0"/>
                <w:color w:val="auto"/>
                <w:sz w:val="24"/>
                <w:szCs w:val="24"/>
                <w:highlight w:val="none"/>
                <w:u w:val="none"/>
                <w:lang w:eastAsia="zh-CN" w:bidi="ar"/>
              </w:rPr>
              <w:t>（</w:t>
            </w:r>
            <w:r>
              <w:rPr>
                <w:rFonts w:hint="eastAsia" w:ascii="宋体" w:hAnsi="宋体" w:cs="宋体"/>
                <w:sz w:val="24"/>
                <w:szCs w:val="24"/>
                <w:highlight w:val="none"/>
              </w:rPr>
              <w:t>委托代理人需为投标单位在职员工，提供投标单位为其购买的近三个月社保证明（</w:t>
            </w:r>
            <w:r>
              <w:rPr>
                <w:rFonts w:hint="eastAsia" w:ascii="宋体" w:hAnsi="宋体" w:cs="宋体"/>
                <w:sz w:val="24"/>
                <w:szCs w:val="24"/>
                <w:highlight w:val="none"/>
                <w:lang w:eastAsia="zh-CN"/>
              </w:rPr>
              <w:t>2024年12月</w:t>
            </w:r>
            <w:r>
              <w:rPr>
                <w:rFonts w:hint="eastAsia" w:ascii="宋体" w:hAnsi="宋体" w:cs="宋体"/>
                <w:sz w:val="24"/>
                <w:szCs w:val="24"/>
                <w:highlight w:val="none"/>
              </w:rPr>
              <w:t>至</w:t>
            </w:r>
            <w:r>
              <w:rPr>
                <w:rFonts w:hint="eastAsia" w:ascii="宋体" w:hAnsi="宋体" w:cs="宋体"/>
                <w:sz w:val="24"/>
                <w:szCs w:val="24"/>
                <w:highlight w:val="none"/>
                <w:lang w:eastAsia="zh-CN"/>
              </w:rPr>
              <w:t>2025年2月</w:t>
            </w:r>
            <w:r>
              <w:rPr>
                <w:rFonts w:hint="eastAsia" w:ascii="宋体" w:hAnsi="宋体" w:cs="宋体"/>
                <w:sz w:val="24"/>
                <w:szCs w:val="24"/>
                <w:highlight w:val="none"/>
              </w:rPr>
              <w:t>的社保管理机构的证明材料，如社保管理机构的查询机器打印件），</w:t>
            </w:r>
            <w:r>
              <w:rPr>
                <w:rFonts w:hint="eastAsia" w:ascii="宋体" w:hAnsi="宋体" w:cs="宋体"/>
                <w:sz w:val="24"/>
                <w:szCs w:val="24"/>
                <w:highlight w:val="none"/>
                <w:lang w:eastAsia="zh-CN"/>
              </w:rPr>
              <w:t>已退休人员可提供退休证明及返聘合同代替社保证明</w:t>
            </w:r>
            <w:r>
              <w:rPr>
                <w:rFonts w:hint="eastAsia" w:ascii="宋体" w:hAnsi="宋体" w:cs="宋体"/>
                <w:sz w:val="24"/>
                <w:szCs w:val="24"/>
                <w:highlight w:val="none"/>
              </w:rPr>
              <w:t>。</w:t>
            </w:r>
            <w:r>
              <w:rPr>
                <w:rFonts w:hint="eastAsia" w:ascii="宋体" w:hAnsi="宋体" w:cs="宋体"/>
                <w:i w:val="0"/>
                <w:color w:val="auto"/>
                <w:sz w:val="24"/>
                <w:szCs w:val="24"/>
                <w:highlight w:val="none"/>
                <w:u w:val="none"/>
                <w:lang w:eastAsia="zh-CN" w:bidi="ar"/>
              </w:rPr>
              <w:t>）</w:t>
            </w:r>
            <w:r>
              <w:rPr>
                <w:rFonts w:hint="eastAsia" w:ascii="宋体" w:hAnsi="宋体" w:eastAsia="宋体" w:cs="宋体"/>
                <w:i w:val="0"/>
                <w:color w:val="auto"/>
                <w:sz w:val="24"/>
                <w:szCs w:val="24"/>
                <w:highlight w:val="none"/>
                <w:u w:val="none"/>
                <w:lang w:bidi="ar"/>
              </w:rPr>
              <w:t>准时参加开标会,且需在</w:t>
            </w:r>
            <w:r>
              <w:rPr>
                <w:rFonts w:hint="eastAsia" w:ascii="宋体" w:hAnsi="宋体" w:cs="宋体"/>
                <w:i w:val="0"/>
                <w:color w:val="auto"/>
                <w:sz w:val="24"/>
                <w:szCs w:val="24"/>
                <w:highlight w:val="none"/>
                <w:u w:val="none"/>
                <w:lang w:val="en-US" w:eastAsia="zh-CN" w:bidi="ar"/>
              </w:rPr>
              <w:t>投标</w:t>
            </w:r>
            <w:r>
              <w:rPr>
                <w:rFonts w:hint="eastAsia" w:ascii="宋体" w:hAnsi="宋体" w:eastAsia="宋体" w:cs="宋体"/>
                <w:i w:val="0"/>
                <w:color w:val="auto"/>
                <w:sz w:val="24"/>
                <w:szCs w:val="24"/>
                <w:highlight w:val="none"/>
                <w:u w:val="none"/>
                <w:lang w:bidi="ar"/>
              </w:rPr>
              <w:t>截止时间前进场做签到工作,开标时手持本人身份证原件、法定代表人身份证明书原件、法人授权委托证明书原件（法定代表人出席开标会的，则无需提供）</w:t>
            </w:r>
            <w:r>
              <w:rPr>
                <w:rFonts w:hint="eastAsia" w:ascii="宋体" w:hAnsi="宋体" w:cs="宋体"/>
                <w:i w:val="0"/>
                <w:color w:val="auto"/>
                <w:sz w:val="24"/>
                <w:szCs w:val="24"/>
                <w:highlight w:val="none"/>
                <w:u w:val="none"/>
                <w:lang w:eastAsia="zh-CN" w:bidi="ar"/>
              </w:rPr>
              <w:t>、</w:t>
            </w:r>
            <w:r>
              <w:rPr>
                <w:rFonts w:hint="eastAsia" w:ascii="宋体" w:hAnsi="宋体" w:cs="宋体"/>
                <w:color w:val="auto"/>
                <w:kern w:val="0"/>
                <w:sz w:val="24"/>
                <w:szCs w:val="24"/>
                <w:highlight w:val="none"/>
                <w:lang w:eastAsia="zh-CN"/>
              </w:rPr>
              <w:t>近三个月社保证明（2024年12月至2025年2月的社保管理机构的证明材料，如社保管理机构的查询机器打印件），已退休人员可提供退休证明及返聘合同代替社保证明）</w:t>
            </w:r>
            <w:r>
              <w:rPr>
                <w:rFonts w:hint="eastAsia" w:ascii="宋体" w:hAnsi="宋体" w:eastAsia="宋体" w:cs="宋体"/>
                <w:i w:val="0"/>
                <w:color w:val="auto"/>
                <w:sz w:val="24"/>
                <w:szCs w:val="24"/>
                <w:highlight w:val="none"/>
                <w:u w:val="none"/>
                <w:lang w:bidi="ar"/>
              </w:rPr>
              <w:t>（法定代表人出席开标会的，则无需提供）</w:t>
            </w:r>
            <w:r>
              <w:rPr>
                <w:rFonts w:hint="eastAsia" w:ascii="宋体" w:hAnsi="宋体" w:cs="宋体"/>
                <w:color w:val="auto"/>
                <w:kern w:val="0"/>
                <w:sz w:val="24"/>
                <w:szCs w:val="24"/>
                <w:highlight w:val="none"/>
                <w:lang w:eastAsia="zh-CN"/>
              </w:rPr>
              <w:t>。</w:t>
            </w:r>
          </w:p>
          <w:p w14:paraId="50CEDE39">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6</w:t>
            </w:r>
            <w:r>
              <w:rPr>
                <w:rFonts w:hint="eastAsia" w:ascii="宋体" w:hAnsi="宋体" w:eastAsia="宋体" w:cs="宋体"/>
                <w:i w:val="0"/>
                <w:color w:val="auto"/>
                <w:sz w:val="24"/>
                <w:szCs w:val="24"/>
                <w:highlight w:val="none"/>
                <w:u w:val="none"/>
                <w:lang w:bidi="ar"/>
              </w:rPr>
              <w:t>.投标人缴交件资料费人民币 0 元。</w:t>
            </w:r>
          </w:p>
          <w:p w14:paraId="3D582D8E">
            <w:pPr>
              <w:pStyle w:val="26"/>
              <w:numPr>
                <w:ilvl w:val="0"/>
                <w:numId w:val="0"/>
              </w:numPr>
              <w:ind w:firstLine="480" w:firstLineChars="200"/>
              <w:jc w:val="both"/>
              <w:rPr>
                <w:rFonts w:hint="eastAsia" w:ascii="宋体" w:hAnsi="宋体" w:eastAsia="宋体" w:cs="宋体"/>
                <w:i w:val="0"/>
                <w:color w:val="auto"/>
                <w:sz w:val="24"/>
                <w:szCs w:val="24"/>
                <w:highlight w:val="none"/>
                <w:u w:val="none"/>
                <w:lang w:bidi="ar"/>
              </w:rPr>
            </w:pPr>
            <w:r>
              <w:rPr>
                <w:rFonts w:hint="eastAsia" w:ascii="宋体" w:hAnsi="宋体" w:cs="宋体"/>
                <w:i w:val="0"/>
                <w:color w:val="auto"/>
                <w:sz w:val="24"/>
                <w:szCs w:val="24"/>
                <w:highlight w:val="none"/>
                <w:u w:val="none"/>
                <w:lang w:val="en-US" w:eastAsia="zh-CN" w:bidi="ar"/>
              </w:rPr>
              <w:t>7</w:t>
            </w:r>
            <w:r>
              <w:rPr>
                <w:rFonts w:hint="eastAsia" w:ascii="宋体" w:hAnsi="宋体" w:eastAsia="宋体" w:cs="宋体"/>
                <w:i w:val="0"/>
                <w:color w:val="auto"/>
                <w:sz w:val="24"/>
                <w:szCs w:val="24"/>
                <w:highlight w:val="none"/>
                <w:u w:val="none"/>
                <w:lang w:bidi="ar"/>
              </w:rPr>
              <w:t>.逾期送达的或者未送达指定地点的投标文件，招标人不予受理。</w:t>
            </w:r>
          </w:p>
        </w:tc>
      </w:tr>
    </w:tbl>
    <w:p w14:paraId="526B15E1">
      <w:pPr>
        <w:jc w:val="right"/>
        <w:rPr>
          <w:rFonts w:ascii="宋体" w:hAnsi="宋体" w:cs="宋体"/>
          <w:bCs/>
          <w:spacing w:val="10"/>
          <w:sz w:val="24"/>
          <w:szCs w:val="24"/>
          <w:highlight w:val="none"/>
        </w:rPr>
      </w:pPr>
    </w:p>
    <w:p w14:paraId="11BC525B">
      <w:pPr>
        <w:rPr>
          <w:rFonts w:ascii="宋体" w:hAnsi="宋体"/>
          <w:sz w:val="28"/>
          <w:szCs w:val="28"/>
          <w:highlight w:val="none"/>
        </w:rPr>
      </w:pPr>
      <w:r>
        <w:rPr>
          <w:rFonts w:hint="eastAsia" w:ascii="宋体" w:hAnsi="宋体"/>
          <w:sz w:val="28"/>
          <w:szCs w:val="28"/>
          <w:highlight w:val="none"/>
        </w:rPr>
        <w:br w:type="page"/>
      </w:r>
      <w:r>
        <w:rPr>
          <w:rFonts w:hint="eastAsia" w:ascii="宋体" w:hAnsi="宋体"/>
          <w:sz w:val="28"/>
          <w:szCs w:val="28"/>
          <w:highlight w:val="none"/>
        </w:rPr>
        <w:t>附件</w:t>
      </w:r>
    </w:p>
    <w:p w14:paraId="1BBD8B46">
      <w:pPr>
        <w:rPr>
          <w:rFonts w:ascii="宋体" w:hAnsi="宋体"/>
          <w:sz w:val="24"/>
          <w:szCs w:val="24"/>
          <w:highlight w:val="none"/>
        </w:rPr>
      </w:pPr>
      <w:r>
        <w:rPr>
          <w:rFonts w:hint="eastAsia" w:ascii="宋体" w:hAnsi="宋体"/>
          <w:sz w:val="24"/>
          <w:szCs w:val="24"/>
          <w:highlight w:val="none"/>
          <w:u w:val="single"/>
        </w:rPr>
        <w:t>广东石油化工学院西城校区图书馆工程项目施工监理</w:t>
      </w:r>
      <w:r>
        <w:rPr>
          <w:rFonts w:hint="eastAsia" w:ascii="宋体" w:hAnsi="宋体"/>
          <w:sz w:val="24"/>
          <w:szCs w:val="24"/>
          <w:highlight w:val="none"/>
        </w:rPr>
        <w:t>拒绝投标单位名单（部分）</w:t>
      </w:r>
    </w:p>
    <w:tbl>
      <w:tblPr>
        <w:tblStyle w:val="49"/>
        <w:tblW w:w="1026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958"/>
        <w:gridCol w:w="2107"/>
        <w:gridCol w:w="2108"/>
        <w:gridCol w:w="1187"/>
      </w:tblGrid>
      <w:tr w14:paraId="5DC1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restart"/>
            <w:tcBorders>
              <w:top w:val="single" w:color="auto" w:sz="4" w:space="0"/>
              <w:left w:val="single" w:color="auto" w:sz="4" w:space="0"/>
              <w:bottom w:val="single" w:color="auto" w:sz="4" w:space="0"/>
              <w:right w:val="single" w:color="auto" w:sz="4" w:space="0"/>
            </w:tcBorders>
            <w:vAlign w:val="center"/>
          </w:tcPr>
          <w:p w14:paraId="4ED3E7CB">
            <w:pPr>
              <w:jc w:val="center"/>
              <w:rPr>
                <w:rFonts w:ascii="宋体" w:hAnsi="宋体"/>
                <w:sz w:val="28"/>
                <w:szCs w:val="28"/>
                <w:highlight w:val="none"/>
              </w:rPr>
            </w:pPr>
            <w:r>
              <w:rPr>
                <w:rFonts w:hint="eastAsia" w:ascii="宋体" w:hAnsi="宋体"/>
                <w:sz w:val="28"/>
                <w:szCs w:val="28"/>
                <w:highlight w:val="none"/>
              </w:rPr>
              <w:t>序号</w:t>
            </w:r>
          </w:p>
        </w:tc>
        <w:tc>
          <w:tcPr>
            <w:tcW w:w="3958" w:type="dxa"/>
            <w:vMerge w:val="restart"/>
            <w:tcBorders>
              <w:top w:val="single" w:color="auto" w:sz="4" w:space="0"/>
              <w:left w:val="nil"/>
              <w:bottom w:val="single" w:color="auto" w:sz="4" w:space="0"/>
              <w:right w:val="single" w:color="auto" w:sz="4" w:space="0"/>
            </w:tcBorders>
            <w:vAlign w:val="center"/>
          </w:tcPr>
          <w:p w14:paraId="048E05FE">
            <w:pPr>
              <w:jc w:val="center"/>
              <w:rPr>
                <w:rFonts w:ascii="宋体" w:hAnsi="宋体"/>
                <w:sz w:val="28"/>
                <w:szCs w:val="28"/>
                <w:highlight w:val="none"/>
              </w:rPr>
            </w:pPr>
            <w:r>
              <w:rPr>
                <w:rFonts w:hint="eastAsia" w:ascii="宋体" w:hAnsi="宋体"/>
                <w:sz w:val="28"/>
                <w:szCs w:val="28"/>
                <w:highlight w:val="none"/>
              </w:rPr>
              <w:t>单位</w:t>
            </w:r>
          </w:p>
        </w:tc>
        <w:tc>
          <w:tcPr>
            <w:tcW w:w="4215" w:type="dxa"/>
            <w:gridSpan w:val="2"/>
            <w:tcBorders>
              <w:top w:val="single" w:color="auto" w:sz="4" w:space="0"/>
              <w:left w:val="nil"/>
              <w:bottom w:val="single" w:color="auto" w:sz="4" w:space="0"/>
              <w:right w:val="single" w:color="auto" w:sz="4" w:space="0"/>
            </w:tcBorders>
            <w:vAlign w:val="center"/>
          </w:tcPr>
          <w:p w14:paraId="6C3E7E81">
            <w:pPr>
              <w:jc w:val="center"/>
              <w:rPr>
                <w:rFonts w:ascii="宋体" w:hAnsi="宋体"/>
                <w:sz w:val="28"/>
                <w:szCs w:val="28"/>
                <w:highlight w:val="none"/>
              </w:rPr>
            </w:pPr>
            <w:r>
              <w:rPr>
                <w:rFonts w:hint="eastAsia" w:ascii="宋体" w:hAnsi="宋体"/>
                <w:sz w:val="28"/>
                <w:szCs w:val="28"/>
                <w:highlight w:val="none"/>
              </w:rPr>
              <w:t>拒绝投标期</w:t>
            </w:r>
          </w:p>
        </w:tc>
        <w:tc>
          <w:tcPr>
            <w:tcW w:w="1187" w:type="dxa"/>
            <w:vMerge w:val="restart"/>
            <w:tcBorders>
              <w:top w:val="single" w:color="auto" w:sz="4" w:space="0"/>
              <w:left w:val="nil"/>
              <w:right w:val="single" w:color="auto" w:sz="4" w:space="0"/>
            </w:tcBorders>
            <w:vAlign w:val="center"/>
          </w:tcPr>
          <w:p w14:paraId="206E04A9">
            <w:pPr>
              <w:jc w:val="center"/>
              <w:rPr>
                <w:rFonts w:ascii="宋体" w:hAnsi="宋体"/>
                <w:sz w:val="28"/>
                <w:szCs w:val="28"/>
                <w:highlight w:val="none"/>
              </w:rPr>
            </w:pPr>
            <w:r>
              <w:rPr>
                <w:rFonts w:hint="eastAsia" w:ascii="宋体" w:hAnsi="宋体"/>
                <w:sz w:val="28"/>
                <w:szCs w:val="28"/>
                <w:highlight w:val="none"/>
              </w:rPr>
              <w:t>备注</w:t>
            </w:r>
          </w:p>
        </w:tc>
      </w:tr>
      <w:tr w14:paraId="632B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tcBorders>
              <w:top w:val="single" w:color="auto" w:sz="4" w:space="0"/>
              <w:left w:val="single" w:color="auto" w:sz="4" w:space="0"/>
              <w:bottom w:val="single" w:color="auto" w:sz="4" w:space="0"/>
              <w:right w:val="single" w:color="auto" w:sz="4" w:space="0"/>
            </w:tcBorders>
            <w:vAlign w:val="center"/>
          </w:tcPr>
          <w:p w14:paraId="79EC1AE4">
            <w:pPr>
              <w:widowControl/>
              <w:jc w:val="left"/>
              <w:rPr>
                <w:rFonts w:ascii="宋体" w:hAnsi="宋体"/>
                <w:sz w:val="28"/>
                <w:szCs w:val="28"/>
                <w:highlight w:val="none"/>
              </w:rPr>
            </w:pPr>
          </w:p>
        </w:tc>
        <w:tc>
          <w:tcPr>
            <w:tcW w:w="3958" w:type="dxa"/>
            <w:vMerge w:val="continue"/>
            <w:tcBorders>
              <w:top w:val="single" w:color="auto" w:sz="4" w:space="0"/>
              <w:left w:val="nil"/>
              <w:bottom w:val="single" w:color="auto" w:sz="4" w:space="0"/>
              <w:right w:val="single" w:color="auto" w:sz="4" w:space="0"/>
            </w:tcBorders>
            <w:vAlign w:val="center"/>
          </w:tcPr>
          <w:p w14:paraId="5357238A">
            <w:pPr>
              <w:widowControl/>
              <w:jc w:val="left"/>
              <w:rPr>
                <w:rFonts w:ascii="宋体" w:hAnsi="宋体"/>
                <w:sz w:val="28"/>
                <w:szCs w:val="28"/>
                <w:highlight w:val="none"/>
              </w:rPr>
            </w:pPr>
          </w:p>
        </w:tc>
        <w:tc>
          <w:tcPr>
            <w:tcW w:w="2107" w:type="dxa"/>
            <w:tcBorders>
              <w:top w:val="single" w:color="auto" w:sz="4" w:space="0"/>
              <w:left w:val="nil"/>
              <w:bottom w:val="single" w:color="auto" w:sz="4" w:space="0"/>
              <w:right w:val="single" w:color="auto" w:sz="4" w:space="0"/>
            </w:tcBorders>
          </w:tcPr>
          <w:p w14:paraId="514A0855">
            <w:pPr>
              <w:jc w:val="center"/>
              <w:rPr>
                <w:rFonts w:ascii="宋体" w:hAnsi="宋体"/>
                <w:sz w:val="28"/>
                <w:szCs w:val="28"/>
                <w:highlight w:val="none"/>
              </w:rPr>
            </w:pPr>
            <w:r>
              <w:rPr>
                <w:rFonts w:hint="eastAsia" w:ascii="宋体" w:hAnsi="宋体"/>
                <w:sz w:val="28"/>
                <w:szCs w:val="28"/>
                <w:highlight w:val="none"/>
              </w:rPr>
              <w:t>起始日期</w:t>
            </w:r>
          </w:p>
        </w:tc>
        <w:tc>
          <w:tcPr>
            <w:tcW w:w="2108" w:type="dxa"/>
            <w:tcBorders>
              <w:top w:val="single" w:color="auto" w:sz="4" w:space="0"/>
              <w:left w:val="nil"/>
              <w:bottom w:val="single" w:color="auto" w:sz="4" w:space="0"/>
              <w:right w:val="single" w:color="auto" w:sz="4" w:space="0"/>
            </w:tcBorders>
          </w:tcPr>
          <w:p w14:paraId="70813E50">
            <w:pPr>
              <w:jc w:val="center"/>
              <w:rPr>
                <w:rFonts w:ascii="宋体" w:hAnsi="宋体"/>
                <w:sz w:val="28"/>
                <w:szCs w:val="28"/>
                <w:highlight w:val="none"/>
              </w:rPr>
            </w:pPr>
            <w:r>
              <w:rPr>
                <w:rFonts w:hint="eastAsia" w:ascii="宋体" w:hAnsi="宋体"/>
                <w:sz w:val="28"/>
                <w:szCs w:val="28"/>
                <w:highlight w:val="none"/>
              </w:rPr>
              <w:t>截止日期</w:t>
            </w:r>
          </w:p>
        </w:tc>
        <w:tc>
          <w:tcPr>
            <w:tcW w:w="1187" w:type="dxa"/>
            <w:vMerge w:val="continue"/>
            <w:tcBorders>
              <w:left w:val="nil"/>
              <w:bottom w:val="single" w:color="auto" w:sz="4" w:space="0"/>
              <w:right w:val="single" w:color="auto" w:sz="4" w:space="0"/>
            </w:tcBorders>
          </w:tcPr>
          <w:p w14:paraId="7EA687CE">
            <w:pPr>
              <w:jc w:val="center"/>
              <w:rPr>
                <w:rFonts w:ascii="宋体" w:hAnsi="宋体"/>
                <w:sz w:val="28"/>
                <w:szCs w:val="28"/>
                <w:highlight w:val="none"/>
              </w:rPr>
            </w:pPr>
          </w:p>
        </w:tc>
      </w:tr>
      <w:tr w14:paraId="165F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14:paraId="231D2962">
            <w:pPr>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w:t>
            </w:r>
          </w:p>
        </w:tc>
        <w:tc>
          <w:tcPr>
            <w:tcW w:w="3958" w:type="dxa"/>
            <w:tcBorders>
              <w:top w:val="single" w:color="auto" w:sz="4" w:space="0"/>
              <w:left w:val="nil"/>
              <w:bottom w:val="single" w:color="auto" w:sz="4" w:space="0"/>
              <w:right w:val="single" w:color="auto" w:sz="4" w:space="0"/>
            </w:tcBorders>
            <w:vAlign w:val="center"/>
          </w:tcPr>
          <w:p w14:paraId="003915BB">
            <w:pPr>
              <w:jc w:val="center"/>
              <w:rPr>
                <w:rFonts w:hint="eastAsia" w:ascii="宋体" w:hAnsi="宋体" w:eastAsia="宋体" w:cs="Times New Roman"/>
                <w:sz w:val="24"/>
                <w:szCs w:val="24"/>
                <w:highlight w:val="none"/>
              </w:rPr>
            </w:pPr>
          </w:p>
        </w:tc>
        <w:tc>
          <w:tcPr>
            <w:tcW w:w="2107" w:type="dxa"/>
            <w:tcBorders>
              <w:top w:val="single" w:color="auto" w:sz="4" w:space="0"/>
              <w:left w:val="nil"/>
              <w:bottom w:val="single" w:color="auto" w:sz="4" w:space="0"/>
              <w:right w:val="single" w:color="auto" w:sz="4" w:space="0"/>
            </w:tcBorders>
            <w:vAlign w:val="center"/>
          </w:tcPr>
          <w:p w14:paraId="07D00681">
            <w:pPr>
              <w:jc w:val="center"/>
              <w:rPr>
                <w:rFonts w:hint="eastAsia" w:ascii="宋体" w:hAnsi="宋体" w:eastAsia="宋体" w:cs="Times New Roman"/>
                <w:sz w:val="24"/>
                <w:szCs w:val="24"/>
                <w:highlight w:val="none"/>
              </w:rPr>
            </w:pPr>
          </w:p>
        </w:tc>
        <w:tc>
          <w:tcPr>
            <w:tcW w:w="2108" w:type="dxa"/>
            <w:tcBorders>
              <w:top w:val="single" w:color="auto" w:sz="4" w:space="0"/>
              <w:left w:val="nil"/>
              <w:bottom w:val="single" w:color="auto" w:sz="4" w:space="0"/>
              <w:right w:val="single" w:color="auto" w:sz="4" w:space="0"/>
            </w:tcBorders>
            <w:vAlign w:val="center"/>
          </w:tcPr>
          <w:p w14:paraId="2E8EC9AE">
            <w:pPr>
              <w:jc w:val="center"/>
              <w:rPr>
                <w:rFonts w:hint="eastAsia" w:ascii="宋体" w:hAnsi="宋体" w:eastAsia="宋体" w:cs="Times New Roman"/>
                <w:sz w:val="24"/>
                <w:szCs w:val="24"/>
                <w:highlight w:val="none"/>
              </w:rPr>
            </w:pPr>
          </w:p>
        </w:tc>
        <w:tc>
          <w:tcPr>
            <w:tcW w:w="1187" w:type="dxa"/>
            <w:tcBorders>
              <w:top w:val="single" w:color="auto" w:sz="4" w:space="0"/>
              <w:left w:val="nil"/>
              <w:bottom w:val="single" w:color="auto" w:sz="4" w:space="0"/>
              <w:right w:val="single" w:color="auto" w:sz="4" w:space="0"/>
            </w:tcBorders>
            <w:vAlign w:val="center"/>
          </w:tcPr>
          <w:p w14:paraId="6BE0AF70">
            <w:pPr>
              <w:jc w:val="center"/>
              <w:rPr>
                <w:rFonts w:ascii="宋体" w:hAnsi="宋体" w:eastAsia="宋体" w:cs="Times New Roman"/>
                <w:sz w:val="28"/>
                <w:szCs w:val="28"/>
                <w:highlight w:val="none"/>
              </w:rPr>
            </w:pPr>
          </w:p>
        </w:tc>
      </w:tr>
      <w:tr w14:paraId="1526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14:paraId="65E9C8AA">
            <w:pPr>
              <w:jc w:val="center"/>
              <w:rPr>
                <w:rFonts w:hint="eastAsia" w:ascii="宋体" w:hAnsi="宋体"/>
                <w:sz w:val="24"/>
                <w:szCs w:val="24"/>
                <w:highlight w:val="none"/>
              </w:rPr>
            </w:pPr>
            <w:r>
              <w:rPr>
                <w:rFonts w:hint="eastAsia" w:ascii="宋体" w:hAnsi="宋体"/>
                <w:sz w:val="24"/>
                <w:szCs w:val="24"/>
                <w:highlight w:val="none"/>
              </w:rPr>
              <w:t>2</w:t>
            </w:r>
          </w:p>
        </w:tc>
        <w:tc>
          <w:tcPr>
            <w:tcW w:w="3958" w:type="dxa"/>
            <w:tcBorders>
              <w:top w:val="single" w:color="auto" w:sz="4" w:space="0"/>
              <w:left w:val="nil"/>
              <w:bottom w:val="single" w:color="auto" w:sz="4" w:space="0"/>
              <w:right w:val="single" w:color="auto" w:sz="4" w:space="0"/>
            </w:tcBorders>
            <w:vAlign w:val="center"/>
          </w:tcPr>
          <w:p w14:paraId="2F7AB698">
            <w:pPr>
              <w:jc w:val="center"/>
              <w:rPr>
                <w:rFonts w:hint="eastAsia" w:ascii="宋体" w:hAnsi="宋体"/>
                <w:sz w:val="24"/>
                <w:szCs w:val="24"/>
                <w:highlight w:val="none"/>
              </w:rPr>
            </w:pPr>
          </w:p>
        </w:tc>
        <w:tc>
          <w:tcPr>
            <w:tcW w:w="2107" w:type="dxa"/>
            <w:tcBorders>
              <w:top w:val="single" w:color="auto" w:sz="4" w:space="0"/>
              <w:left w:val="nil"/>
              <w:bottom w:val="single" w:color="auto" w:sz="4" w:space="0"/>
              <w:right w:val="single" w:color="auto" w:sz="4" w:space="0"/>
            </w:tcBorders>
            <w:vAlign w:val="center"/>
          </w:tcPr>
          <w:p w14:paraId="1F565E71">
            <w:pPr>
              <w:jc w:val="center"/>
              <w:rPr>
                <w:rFonts w:hint="eastAsia" w:ascii="宋体" w:hAnsi="宋体"/>
                <w:sz w:val="24"/>
                <w:szCs w:val="24"/>
                <w:highlight w:val="none"/>
              </w:rPr>
            </w:pPr>
          </w:p>
        </w:tc>
        <w:tc>
          <w:tcPr>
            <w:tcW w:w="2108" w:type="dxa"/>
            <w:tcBorders>
              <w:top w:val="single" w:color="auto" w:sz="4" w:space="0"/>
              <w:left w:val="nil"/>
              <w:bottom w:val="single" w:color="auto" w:sz="4" w:space="0"/>
              <w:right w:val="single" w:color="auto" w:sz="4" w:space="0"/>
            </w:tcBorders>
            <w:vAlign w:val="center"/>
          </w:tcPr>
          <w:p w14:paraId="7178CD49">
            <w:pPr>
              <w:jc w:val="center"/>
              <w:rPr>
                <w:rFonts w:hint="eastAsia" w:ascii="宋体" w:hAnsi="宋体"/>
                <w:sz w:val="24"/>
                <w:szCs w:val="24"/>
                <w:highlight w:val="none"/>
              </w:rPr>
            </w:pPr>
          </w:p>
        </w:tc>
        <w:tc>
          <w:tcPr>
            <w:tcW w:w="1187" w:type="dxa"/>
            <w:tcBorders>
              <w:top w:val="single" w:color="auto" w:sz="4" w:space="0"/>
              <w:left w:val="nil"/>
              <w:bottom w:val="single" w:color="auto" w:sz="4" w:space="0"/>
              <w:right w:val="single" w:color="auto" w:sz="4" w:space="0"/>
            </w:tcBorders>
            <w:vAlign w:val="center"/>
          </w:tcPr>
          <w:p w14:paraId="73940F33">
            <w:pPr>
              <w:jc w:val="center"/>
              <w:rPr>
                <w:rFonts w:ascii="宋体" w:hAnsi="宋体"/>
                <w:sz w:val="28"/>
                <w:szCs w:val="28"/>
                <w:highlight w:val="none"/>
              </w:rPr>
            </w:pPr>
          </w:p>
        </w:tc>
      </w:tr>
    </w:tbl>
    <w:p w14:paraId="4479A04D">
      <w:pPr>
        <w:spacing w:line="360" w:lineRule="auto"/>
        <w:jc w:val="left"/>
        <w:rPr>
          <w:rFonts w:hAnsi="宋体"/>
          <w:bCs/>
          <w:sz w:val="24"/>
          <w:szCs w:val="24"/>
          <w:highlight w:val="none"/>
        </w:rPr>
      </w:pPr>
      <w:r>
        <w:rPr>
          <w:rFonts w:hint="eastAsia" w:ascii="宋体" w:hAnsi="宋体"/>
          <w:sz w:val="28"/>
          <w:szCs w:val="28"/>
          <w:highlight w:val="none"/>
        </w:rPr>
        <w:t>说明：</w:t>
      </w:r>
      <w:r>
        <w:rPr>
          <w:rFonts w:hint="eastAsia" w:hAnsi="宋体"/>
          <w:bCs/>
          <w:sz w:val="24"/>
          <w:szCs w:val="24"/>
          <w:highlight w:val="none"/>
        </w:rPr>
        <w:t>1.在拒绝投标期内，拒绝上述单位参与</w:t>
      </w:r>
      <w:r>
        <w:rPr>
          <w:rFonts w:hint="eastAsia" w:hAnsi="宋体"/>
          <w:bCs/>
          <w:sz w:val="24"/>
          <w:szCs w:val="24"/>
          <w:highlight w:val="none"/>
          <w:u w:val="single"/>
        </w:rPr>
        <w:t>广东石油化工学院西城校区图书馆工程项目施工监理</w:t>
      </w:r>
      <w:r>
        <w:rPr>
          <w:rFonts w:hint="eastAsia" w:hAnsi="宋体"/>
          <w:bCs/>
          <w:sz w:val="24"/>
          <w:szCs w:val="24"/>
          <w:highlight w:val="none"/>
        </w:rPr>
        <w:t>的投标。</w:t>
      </w:r>
    </w:p>
    <w:p w14:paraId="0A978447">
      <w:pPr>
        <w:spacing w:line="360" w:lineRule="auto"/>
        <w:ind w:firstLine="720" w:firstLineChars="300"/>
        <w:jc w:val="left"/>
        <w:rPr>
          <w:rFonts w:hAnsi="宋体"/>
          <w:bCs/>
          <w:sz w:val="24"/>
          <w:szCs w:val="24"/>
          <w:highlight w:val="none"/>
        </w:rPr>
      </w:pPr>
      <w:r>
        <w:rPr>
          <w:rFonts w:hint="eastAsia" w:hAnsi="宋体"/>
          <w:bCs/>
          <w:sz w:val="24"/>
          <w:szCs w:val="24"/>
          <w:highlight w:val="none"/>
        </w:rPr>
        <w:t>2.若上述单位及拒绝期限发生变化的，则以最新书面文件为准。</w:t>
      </w:r>
    </w:p>
    <w:p w14:paraId="0723F58A">
      <w:pPr>
        <w:ind w:firstLine="720" w:firstLineChars="300"/>
        <w:rPr>
          <w:rFonts w:hint="eastAsia" w:hAnsi="宋体"/>
          <w:bCs/>
          <w:sz w:val="24"/>
          <w:szCs w:val="24"/>
          <w:highlight w:val="none"/>
        </w:rPr>
      </w:pPr>
      <w:r>
        <w:rPr>
          <w:rFonts w:hint="eastAsia" w:hAnsi="宋体"/>
          <w:bCs/>
          <w:sz w:val="24"/>
          <w:szCs w:val="24"/>
          <w:highlight w:val="none"/>
        </w:rPr>
        <w:t>3.上述单位名单未含被人民法院列为失信被执行人企业。</w:t>
      </w:r>
    </w:p>
    <w:p w14:paraId="0860997E">
      <w:pPr>
        <w:ind w:firstLine="720" w:firstLineChars="300"/>
        <w:rPr>
          <w:rFonts w:ascii="隶书" w:eastAsia="隶书"/>
          <w:b/>
          <w:i/>
          <w:spacing w:val="40"/>
          <w:sz w:val="84"/>
          <w:szCs w:val="84"/>
          <w:highlight w:val="none"/>
        </w:rPr>
      </w:pPr>
      <w:r>
        <w:rPr>
          <w:rFonts w:hint="eastAsia" w:hAnsi="宋体"/>
          <w:bCs/>
          <w:sz w:val="24"/>
          <w:szCs w:val="24"/>
          <w:highlight w:val="none"/>
        </w:rPr>
        <w:br w:type="page"/>
      </w:r>
    </w:p>
    <w:p w14:paraId="52F0064D">
      <w:pPr>
        <w:jc w:val="center"/>
        <w:rPr>
          <w:rFonts w:ascii="隶书" w:eastAsia="隶书"/>
          <w:b/>
          <w:i/>
          <w:spacing w:val="40"/>
          <w:sz w:val="84"/>
          <w:szCs w:val="84"/>
          <w:highlight w:val="none"/>
        </w:rPr>
      </w:pPr>
    </w:p>
    <w:p w14:paraId="74437D6A">
      <w:pPr>
        <w:jc w:val="center"/>
        <w:rPr>
          <w:rFonts w:ascii="隶书" w:eastAsia="隶书"/>
          <w:b/>
          <w:i/>
          <w:spacing w:val="40"/>
          <w:sz w:val="84"/>
          <w:szCs w:val="84"/>
          <w:highlight w:val="none"/>
        </w:rPr>
      </w:pPr>
    </w:p>
    <w:p w14:paraId="47DACA33">
      <w:pPr>
        <w:pStyle w:val="45"/>
        <w:rPr>
          <w:spacing w:val="10"/>
          <w:sz w:val="72"/>
          <w:highlight w:val="none"/>
        </w:rPr>
      </w:pPr>
      <w:bookmarkStart w:id="3" w:name="_Toc454627369"/>
      <w:r>
        <w:rPr>
          <w:rFonts w:hint="eastAsia"/>
          <w:highlight w:val="none"/>
        </w:rPr>
        <w:t xml:space="preserve">第二章 </w:t>
      </w:r>
      <w:r>
        <w:rPr>
          <w:rFonts w:hint="eastAsia"/>
          <w:spacing w:val="10"/>
          <w:highlight w:val="none"/>
        </w:rPr>
        <w:t>投标人须知</w:t>
      </w:r>
      <w:bookmarkEnd w:id="3"/>
    </w:p>
    <w:p w14:paraId="610F6431">
      <w:pPr>
        <w:jc w:val="center"/>
        <w:rPr>
          <w:b/>
          <w:spacing w:val="10"/>
          <w:sz w:val="72"/>
          <w:highlight w:val="none"/>
        </w:rPr>
      </w:pPr>
    </w:p>
    <w:p w14:paraId="5D85381B">
      <w:pPr>
        <w:jc w:val="center"/>
        <w:rPr>
          <w:b/>
          <w:spacing w:val="6"/>
          <w:sz w:val="44"/>
          <w:highlight w:val="none"/>
        </w:rPr>
      </w:pPr>
    </w:p>
    <w:p w14:paraId="5822B736">
      <w:pPr>
        <w:jc w:val="center"/>
        <w:rPr>
          <w:b/>
          <w:spacing w:val="6"/>
          <w:sz w:val="44"/>
          <w:highlight w:val="none"/>
        </w:rPr>
      </w:pPr>
    </w:p>
    <w:p w14:paraId="3B193383">
      <w:pPr>
        <w:jc w:val="center"/>
        <w:rPr>
          <w:b/>
          <w:spacing w:val="6"/>
          <w:sz w:val="44"/>
          <w:highlight w:val="none"/>
        </w:rPr>
      </w:pPr>
    </w:p>
    <w:p w14:paraId="37A8EC62">
      <w:pPr>
        <w:jc w:val="center"/>
        <w:rPr>
          <w:b/>
          <w:spacing w:val="6"/>
          <w:sz w:val="44"/>
          <w:highlight w:val="none"/>
        </w:rPr>
      </w:pPr>
    </w:p>
    <w:p w14:paraId="5B59C0FC">
      <w:pPr>
        <w:jc w:val="center"/>
        <w:rPr>
          <w:b/>
          <w:spacing w:val="6"/>
          <w:sz w:val="44"/>
          <w:highlight w:val="none"/>
        </w:rPr>
      </w:pPr>
    </w:p>
    <w:p w14:paraId="46723782">
      <w:pPr>
        <w:jc w:val="center"/>
        <w:rPr>
          <w:b/>
          <w:spacing w:val="6"/>
          <w:sz w:val="44"/>
          <w:highlight w:val="none"/>
        </w:rPr>
      </w:pPr>
    </w:p>
    <w:p w14:paraId="0490B592">
      <w:pPr>
        <w:spacing w:line="480" w:lineRule="exact"/>
        <w:jc w:val="center"/>
        <w:rPr>
          <w:b/>
          <w:spacing w:val="6"/>
          <w:sz w:val="44"/>
          <w:highlight w:val="none"/>
        </w:rPr>
        <w:sectPr>
          <w:headerReference r:id="rId6" w:type="default"/>
          <w:footerReference r:id="rId7" w:type="default"/>
          <w:pgSz w:w="11906" w:h="16838"/>
          <w:pgMar w:top="1418" w:right="1418" w:bottom="1418" w:left="1418" w:header="851" w:footer="737" w:gutter="0"/>
          <w:pgNumType w:fmt="decimal"/>
          <w:cols w:space="720" w:num="1"/>
          <w:docGrid w:type="lines" w:linePitch="312" w:charSpace="0"/>
        </w:sectPr>
      </w:pPr>
    </w:p>
    <w:p w14:paraId="1225A0B2">
      <w:pPr>
        <w:spacing w:afterLines="50" w:line="400" w:lineRule="exact"/>
        <w:jc w:val="center"/>
        <w:outlineLvl w:val="1"/>
        <w:rPr>
          <w:b/>
          <w:spacing w:val="4"/>
          <w:sz w:val="32"/>
          <w:highlight w:val="none"/>
        </w:rPr>
      </w:pPr>
      <w:bookmarkStart w:id="4" w:name="_Toc454627370"/>
      <w:bookmarkStart w:id="5" w:name="_Toc454626790"/>
      <w:r>
        <w:rPr>
          <w:rFonts w:hint="eastAsia" w:ascii="宋体" w:hAnsi="宋体"/>
          <w:b/>
          <w:sz w:val="32"/>
          <w:szCs w:val="32"/>
          <w:highlight w:val="none"/>
        </w:rPr>
        <w:t xml:space="preserve">第一节   </w:t>
      </w:r>
      <w:r>
        <w:rPr>
          <w:rFonts w:hint="eastAsia"/>
          <w:b/>
          <w:spacing w:val="4"/>
          <w:sz w:val="32"/>
          <w:highlight w:val="none"/>
        </w:rPr>
        <w:t>投标人须知前附表</w:t>
      </w:r>
      <w:bookmarkEnd w:id="4"/>
      <w:bookmarkEnd w:id="5"/>
    </w:p>
    <w:tbl>
      <w:tblPr>
        <w:tblStyle w:val="49"/>
        <w:tblpPr w:leftFromText="180" w:rightFromText="180" w:vertAnchor="text" w:tblpX="-34" w:tblpY="1"/>
        <w:tblOverlap w:val="never"/>
        <w:tblW w:w="976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6"/>
        <w:gridCol w:w="1277"/>
        <w:gridCol w:w="1797"/>
        <w:gridCol w:w="9"/>
        <w:gridCol w:w="6649"/>
      </w:tblGrid>
      <w:tr w14:paraId="2A553A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624" w:hRule="exact"/>
        </w:trPr>
        <w:tc>
          <w:tcPr>
            <w:tcW w:w="1277" w:type="dxa"/>
            <w:vAlign w:val="center"/>
          </w:tcPr>
          <w:p w14:paraId="5E1A64B8">
            <w:pPr>
              <w:spacing w:line="360" w:lineRule="auto"/>
              <w:jc w:val="center"/>
              <w:rPr>
                <w:rFonts w:ascii="宋体" w:hAnsi="宋体"/>
                <w:b/>
                <w:sz w:val="24"/>
                <w:szCs w:val="24"/>
                <w:highlight w:val="none"/>
              </w:rPr>
            </w:pPr>
            <w:r>
              <w:rPr>
                <w:rFonts w:hint="eastAsia" w:ascii="宋体" w:hAnsi="宋体"/>
                <w:b/>
                <w:sz w:val="24"/>
                <w:szCs w:val="24"/>
                <w:highlight w:val="none"/>
              </w:rPr>
              <w:t>条款</w:t>
            </w:r>
          </w:p>
        </w:tc>
        <w:tc>
          <w:tcPr>
            <w:tcW w:w="1797" w:type="dxa"/>
            <w:vAlign w:val="center"/>
          </w:tcPr>
          <w:p w14:paraId="6E988150">
            <w:pPr>
              <w:spacing w:line="360" w:lineRule="auto"/>
              <w:jc w:val="center"/>
              <w:rPr>
                <w:rFonts w:ascii="宋体" w:hAnsi="宋体"/>
                <w:b/>
                <w:sz w:val="24"/>
                <w:szCs w:val="24"/>
                <w:highlight w:val="none"/>
              </w:rPr>
            </w:pPr>
            <w:r>
              <w:rPr>
                <w:rFonts w:hint="eastAsia" w:ascii="宋体" w:hAnsi="宋体"/>
                <w:b/>
                <w:sz w:val="24"/>
                <w:szCs w:val="24"/>
                <w:highlight w:val="none"/>
              </w:rPr>
              <w:t>条 款 名 称</w:t>
            </w:r>
          </w:p>
        </w:tc>
        <w:tc>
          <w:tcPr>
            <w:tcW w:w="6658" w:type="dxa"/>
            <w:gridSpan w:val="2"/>
            <w:vAlign w:val="center"/>
          </w:tcPr>
          <w:p w14:paraId="02CCB989">
            <w:pPr>
              <w:spacing w:line="360" w:lineRule="auto"/>
              <w:jc w:val="center"/>
              <w:rPr>
                <w:rFonts w:ascii="宋体" w:hAnsi="宋体"/>
                <w:b/>
                <w:sz w:val="24"/>
                <w:szCs w:val="24"/>
                <w:highlight w:val="none"/>
              </w:rPr>
            </w:pPr>
            <w:r>
              <w:rPr>
                <w:rFonts w:hint="eastAsia" w:ascii="宋体" w:hAnsi="宋体"/>
                <w:bCs/>
                <w:spacing w:val="10"/>
                <w:sz w:val="24"/>
                <w:szCs w:val="24"/>
                <w:highlight w:val="none"/>
              </w:rPr>
              <w:t>编列内容</w:t>
            </w:r>
          </w:p>
        </w:tc>
      </w:tr>
      <w:tr w14:paraId="24041C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954" w:hRule="exact"/>
        </w:trPr>
        <w:tc>
          <w:tcPr>
            <w:tcW w:w="1277" w:type="dxa"/>
            <w:vAlign w:val="center"/>
          </w:tcPr>
          <w:p w14:paraId="1FD6A84D">
            <w:pPr>
              <w:spacing w:line="360" w:lineRule="auto"/>
              <w:jc w:val="center"/>
              <w:rPr>
                <w:rFonts w:ascii="宋体" w:hAnsi="宋体"/>
                <w:sz w:val="24"/>
                <w:szCs w:val="24"/>
                <w:highlight w:val="none"/>
              </w:rPr>
            </w:pPr>
            <w:r>
              <w:rPr>
                <w:rFonts w:hint="eastAsia" w:ascii="宋体" w:hAnsi="宋体"/>
                <w:sz w:val="24"/>
                <w:szCs w:val="24"/>
                <w:highlight w:val="none"/>
              </w:rPr>
              <w:t>1.1.2</w:t>
            </w:r>
          </w:p>
        </w:tc>
        <w:tc>
          <w:tcPr>
            <w:tcW w:w="1797" w:type="dxa"/>
            <w:vAlign w:val="center"/>
          </w:tcPr>
          <w:p w14:paraId="1CC87DB6">
            <w:pPr>
              <w:spacing w:line="360" w:lineRule="auto"/>
              <w:jc w:val="left"/>
              <w:rPr>
                <w:rFonts w:ascii="宋体" w:hAnsi="宋体"/>
                <w:sz w:val="24"/>
                <w:szCs w:val="24"/>
                <w:highlight w:val="none"/>
              </w:rPr>
            </w:pPr>
            <w:r>
              <w:rPr>
                <w:rFonts w:hint="eastAsia" w:ascii="宋体" w:hAnsi="宋体"/>
                <w:sz w:val="24"/>
                <w:szCs w:val="24"/>
                <w:highlight w:val="none"/>
              </w:rPr>
              <w:t>招标人</w:t>
            </w:r>
          </w:p>
        </w:tc>
        <w:tc>
          <w:tcPr>
            <w:tcW w:w="6658" w:type="dxa"/>
            <w:gridSpan w:val="2"/>
            <w:vAlign w:val="center"/>
          </w:tcPr>
          <w:p w14:paraId="6039EA66">
            <w:pPr>
              <w:tabs>
                <w:tab w:val="left" w:pos="540"/>
              </w:tabs>
              <w:spacing w:line="4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名  称：广东省代建项目管理局</w:t>
            </w:r>
          </w:p>
          <w:p w14:paraId="7C8B0DC5">
            <w:pPr>
              <w:tabs>
                <w:tab w:val="left" w:pos="540"/>
              </w:tabs>
              <w:spacing w:line="4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地  址：广州市黄埔大道西108号</w:t>
            </w:r>
          </w:p>
          <w:p w14:paraId="74CA2409">
            <w:pPr>
              <w:tabs>
                <w:tab w:val="left" w:pos="540"/>
              </w:tabs>
              <w:spacing w:line="360" w:lineRule="auto"/>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联系人：</w:t>
            </w:r>
            <w:r>
              <w:rPr>
                <w:rFonts w:hint="eastAsia" w:ascii="宋体" w:hAnsi="宋体" w:cs="Times New Roman"/>
                <w:bCs/>
                <w:color w:val="auto"/>
                <w:kern w:val="0"/>
                <w:sz w:val="24"/>
                <w:highlight w:val="none"/>
                <w:lang w:val="en-US" w:eastAsia="zh-CN"/>
              </w:rPr>
              <w:t>陈庆华</w:t>
            </w:r>
          </w:p>
          <w:p w14:paraId="75CC58B9">
            <w:pPr>
              <w:tabs>
                <w:tab w:val="left" w:pos="540"/>
              </w:tabs>
              <w:spacing w:line="360" w:lineRule="auto"/>
              <w:rPr>
                <w:rFonts w:ascii="宋体" w:hAnsi="宋体"/>
                <w:bCs/>
                <w:spacing w:val="10"/>
                <w:sz w:val="24"/>
                <w:szCs w:val="24"/>
                <w:highlight w:val="none"/>
              </w:rPr>
            </w:pPr>
            <w:r>
              <w:rPr>
                <w:rFonts w:hint="eastAsia" w:ascii="宋体" w:hAnsi="宋体" w:eastAsia="宋体" w:cs="Times New Roman"/>
                <w:bCs/>
                <w:color w:val="auto"/>
                <w:kern w:val="0"/>
                <w:sz w:val="24"/>
                <w:highlight w:val="none"/>
                <w:lang w:val="en-US" w:eastAsia="zh-CN"/>
              </w:rPr>
              <w:t>电  话：020-83620834</w:t>
            </w:r>
          </w:p>
        </w:tc>
      </w:tr>
      <w:tr w14:paraId="001EDC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982" w:hRule="exact"/>
        </w:trPr>
        <w:tc>
          <w:tcPr>
            <w:tcW w:w="1277" w:type="dxa"/>
            <w:vAlign w:val="center"/>
          </w:tcPr>
          <w:p w14:paraId="4D7D0A26">
            <w:pPr>
              <w:spacing w:line="360" w:lineRule="auto"/>
              <w:jc w:val="center"/>
              <w:rPr>
                <w:rFonts w:ascii="宋体" w:hAnsi="宋体"/>
                <w:sz w:val="24"/>
                <w:szCs w:val="24"/>
                <w:highlight w:val="none"/>
              </w:rPr>
            </w:pPr>
            <w:r>
              <w:rPr>
                <w:rFonts w:hint="eastAsia" w:ascii="宋体" w:hAnsi="宋体"/>
                <w:sz w:val="24"/>
                <w:szCs w:val="24"/>
                <w:highlight w:val="none"/>
              </w:rPr>
              <w:t>1.1.3</w:t>
            </w:r>
          </w:p>
        </w:tc>
        <w:tc>
          <w:tcPr>
            <w:tcW w:w="1797" w:type="dxa"/>
            <w:vAlign w:val="center"/>
          </w:tcPr>
          <w:p w14:paraId="7968BA55">
            <w:pPr>
              <w:spacing w:line="360" w:lineRule="auto"/>
              <w:jc w:val="left"/>
              <w:rPr>
                <w:rFonts w:ascii="宋体" w:hAnsi="宋体"/>
                <w:sz w:val="24"/>
                <w:szCs w:val="24"/>
                <w:highlight w:val="none"/>
              </w:rPr>
            </w:pPr>
            <w:r>
              <w:rPr>
                <w:rFonts w:hint="eastAsia" w:ascii="宋体" w:hAnsi="宋体"/>
                <w:sz w:val="24"/>
                <w:szCs w:val="24"/>
                <w:highlight w:val="none"/>
              </w:rPr>
              <w:t>招标代理机构</w:t>
            </w:r>
          </w:p>
        </w:tc>
        <w:tc>
          <w:tcPr>
            <w:tcW w:w="6658" w:type="dxa"/>
            <w:gridSpan w:val="2"/>
            <w:vAlign w:val="center"/>
          </w:tcPr>
          <w:p w14:paraId="43DC7238">
            <w:pPr>
              <w:spacing w:line="360" w:lineRule="auto"/>
              <w:rPr>
                <w:rFonts w:hint="eastAsia" w:ascii="宋体" w:hAnsi="宋体"/>
                <w:sz w:val="24"/>
                <w:szCs w:val="24"/>
                <w:highlight w:val="none"/>
              </w:rPr>
            </w:pPr>
            <w:r>
              <w:rPr>
                <w:rFonts w:hint="eastAsia" w:ascii="宋体" w:hAnsi="宋体"/>
                <w:sz w:val="24"/>
                <w:szCs w:val="24"/>
                <w:highlight w:val="none"/>
              </w:rPr>
              <w:t>名  称：广东省国际工程咨询有限公司</w:t>
            </w:r>
          </w:p>
          <w:p w14:paraId="41C19F05">
            <w:pPr>
              <w:spacing w:line="360" w:lineRule="auto"/>
              <w:rPr>
                <w:rFonts w:hint="eastAsia" w:ascii="宋体" w:hAnsi="宋体"/>
                <w:sz w:val="24"/>
                <w:szCs w:val="24"/>
                <w:highlight w:val="none"/>
              </w:rPr>
            </w:pPr>
            <w:r>
              <w:rPr>
                <w:rFonts w:hint="eastAsia" w:ascii="宋体" w:hAnsi="宋体"/>
                <w:sz w:val="24"/>
                <w:szCs w:val="24"/>
                <w:highlight w:val="none"/>
              </w:rPr>
              <w:t>地  址：广州市环市中路316号金鹰大厦10楼</w:t>
            </w:r>
          </w:p>
          <w:p w14:paraId="1CDAFC5B">
            <w:pPr>
              <w:spacing w:line="360" w:lineRule="auto"/>
              <w:rPr>
                <w:rFonts w:hint="eastAsia" w:ascii="宋体" w:hAnsi="宋体"/>
                <w:sz w:val="24"/>
                <w:szCs w:val="24"/>
                <w:highlight w:val="none"/>
              </w:rPr>
            </w:pPr>
            <w:r>
              <w:rPr>
                <w:rFonts w:hint="eastAsia" w:ascii="宋体" w:hAnsi="宋体"/>
                <w:sz w:val="24"/>
                <w:szCs w:val="24"/>
                <w:highlight w:val="none"/>
              </w:rPr>
              <w:t>联系人：谭慧、单卫红</w:t>
            </w:r>
          </w:p>
          <w:p w14:paraId="51AE1548">
            <w:pPr>
              <w:spacing w:line="360" w:lineRule="auto"/>
              <w:rPr>
                <w:rFonts w:ascii="宋体" w:hAnsi="宋体"/>
                <w:sz w:val="24"/>
                <w:szCs w:val="24"/>
                <w:highlight w:val="none"/>
              </w:rPr>
            </w:pPr>
            <w:r>
              <w:rPr>
                <w:rFonts w:hint="eastAsia" w:ascii="宋体" w:hAnsi="宋体"/>
                <w:sz w:val="24"/>
                <w:szCs w:val="24"/>
                <w:highlight w:val="none"/>
              </w:rPr>
              <w:t>电  话：</w:t>
            </w:r>
            <w:r>
              <w:rPr>
                <w:rFonts w:hint="eastAsia" w:ascii="宋体" w:hAnsi="宋体"/>
                <w:sz w:val="24"/>
                <w:szCs w:val="24"/>
                <w:highlight w:val="none"/>
                <w:lang w:eastAsia="zh-CN"/>
              </w:rPr>
              <w:t>020-33972107</w:t>
            </w:r>
          </w:p>
        </w:tc>
      </w:tr>
      <w:tr w14:paraId="2701BE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624" w:hRule="exact"/>
        </w:trPr>
        <w:tc>
          <w:tcPr>
            <w:tcW w:w="1277" w:type="dxa"/>
            <w:vAlign w:val="center"/>
          </w:tcPr>
          <w:p w14:paraId="248290AD">
            <w:pPr>
              <w:spacing w:line="360" w:lineRule="auto"/>
              <w:jc w:val="center"/>
              <w:rPr>
                <w:rFonts w:ascii="宋体" w:hAnsi="宋体"/>
                <w:sz w:val="24"/>
                <w:szCs w:val="24"/>
                <w:highlight w:val="none"/>
              </w:rPr>
            </w:pPr>
            <w:r>
              <w:rPr>
                <w:rFonts w:hint="eastAsia" w:ascii="宋体" w:hAnsi="宋体"/>
                <w:sz w:val="24"/>
                <w:szCs w:val="24"/>
                <w:highlight w:val="none"/>
              </w:rPr>
              <w:t>1.1.4</w:t>
            </w:r>
          </w:p>
        </w:tc>
        <w:tc>
          <w:tcPr>
            <w:tcW w:w="1797" w:type="dxa"/>
            <w:vAlign w:val="center"/>
          </w:tcPr>
          <w:p w14:paraId="738C6627">
            <w:pPr>
              <w:spacing w:line="360" w:lineRule="auto"/>
              <w:jc w:val="left"/>
              <w:rPr>
                <w:rFonts w:ascii="宋体" w:hAnsi="宋体"/>
                <w:sz w:val="24"/>
                <w:szCs w:val="24"/>
                <w:highlight w:val="none"/>
              </w:rPr>
            </w:pPr>
            <w:r>
              <w:rPr>
                <w:rFonts w:hint="eastAsia" w:ascii="宋体" w:hAnsi="宋体"/>
                <w:sz w:val="24"/>
                <w:szCs w:val="24"/>
                <w:highlight w:val="none"/>
              </w:rPr>
              <w:t>项目名称</w:t>
            </w:r>
          </w:p>
        </w:tc>
        <w:tc>
          <w:tcPr>
            <w:tcW w:w="6658" w:type="dxa"/>
            <w:gridSpan w:val="2"/>
            <w:vAlign w:val="center"/>
          </w:tcPr>
          <w:p w14:paraId="1B7CC8F7">
            <w:pPr>
              <w:tabs>
                <w:tab w:val="left" w:pos="540"/>
              </w:tabs>
              <w:spacing w:line="380" w:lineRule="exact"/>
              <w:rPr>
                <w:rFonts w:hint="eastAsia" w:ascii="宋体" w:hAnsi="宋体" w:eastAsia="宋体"/>
                <w:sz w:val="24"/>
                <w:szCs w:val="24"/>
                <w:highlight w:val="none"/>
                <w:lang w:eastAsia="zh-CN"/>
              </w:rPr>
            </w:pPr>
            <w:r>
              <w:rPr>
                <w:rFonts w:hint="eastAsia" w:ascii="宋体" w:hAnsi="宋体"/>
                <w:sz w:val="24"/>
                <w:szCs w:val="24"/>
                <w:highlight w:val="none"/>
              </w:rPr>
              <w:t>广东石油化工学院西城校区图书馆工程项目施工</w:t>
            </w:r>
            <w:r>
              <w:rPr>
                <w:rFonts w:hint="eastAsia" w:ascii="宋体" w:hAnsi="宋体"/>
                <w:sz w:val="24"/>
                <w:szCs w:val="24"/>
                <w:highlight w:val="none"/>
                <w:lang w:val="en-US" w:eastAsia="zh-CN"/>
              </w:rPr>
              <w:t>监理</w:t>
            </w:r>
          </w:p>
        </w:tc>
      </w:tr>
      <w:tr w14:paraId="6B7DC1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788" w:hRule="exact"/>
        </w:trPr>
        <w:tc>
          <w:tcPr>
            <w:tcW w:w="1277" w:type="dxa"/>
            <w:tcBorders>
              <w:bottom w:val="single" w:color="auto" w:sz="4" w:space="0"/>
            </w:tcBorders>
            <w:vAlign w:val="center"/>
          </w:tcPr>
          <w:p w14:paraId="1D9A42C4">
            <w:pPr>
              <w:spacing w:line="360" w:lineRule="auto"/>
              <w:jc w:val="center"/>
              <w:rPr>
                <w:rFonts w:ascii="宋体" w:hAnsi="宋体"/>
                <w:sz w:val="24"/>
                <w:szCs w:val="24"/>
                <w:highlight w:val="none"/>
              </w:rPr>
            </w:pPr>
            <w:r>
              <w:rPr>
                <w:rFonts w:hint="eastAsia" w:ascii="宋体" w:hAnsi="宋体"/>
                <w:sz w:val="24"/>
                <w:szCs w:val="24"/>
                <w:highlight w:val="none"/>
              </w:rPr>
              <w:t>1.1.5</w:t>
            </w:r>
          </w:p>
        </w:tc>
        <w:tc>
          <w:tcPr>
            <w:tcW w:w="1797" w:type="dxa"/>
            <w:vAlign w:val="center"/>
          </w:tcPr>
          <w:p w14:paraId="272AB295">
            <w:pPr>
              <w:spacing w:line="360" w:lineRule="auto"/>
              <w:jc w:val="left"/>
              <w:rPr>
                <w:rFonts w:ascii="宋体" w:hAnsi="宋体"/>
                <w:sz w:val="24"/>
                <w:szCs w:val="24"/>
                <w:highlight w:val="none"/>
              </w:rPr>
            </w:pPr>
            <w:r>
              <w:rPr>
                <w:rFonts w:hint="eastAsia" w:ascii="宋体" w:hAnsi="宋体"/>
                <w:sz w:val="24"/>
                <w:szCs w:val="24"/>
                <w:highlight w:val="none"/>
              </w:rPr>
              <w:t>建设地点</w:t>
            </w:r>
          </w:p>
        </w:tc>
        <w:tc>
          <w:tcPr>
            <w:tcW w:w="6658" w:type="dxa"/>
            <w:gridSpan w:val="2"/>
            <w:vAlign w:val="center"/>
          </w:tcPr>
          <w:p w14:paraId="5239B5A4">
            <w:pPr>
              <w:tabs>
                <w:tab w:val="left" w:pos="540"/>
              </w:tabs>
              <w:spacing w:line="400" w:lineRule="exact"/>
              <w:rPr>
                <w:rFonts w:ascii="宋体" w:hAnsi="宋体"/>
                <w:sz w:val="24"/>
                <w:szCs w:val="24"/>
                <w:highlight w:val="none"/>
              </w:rPr>
            </w:pPr>
            <w:r>
              <w:rPr>
                <w:rFonts w:hint="eastAsia" w:ascii="宋体" w:hAnsi="宋体" w:eastAsia="宋体" w:cs="Times New Roman"/>
                <w:spacing w:val="6"/>
                <w:sz w:val="24"/>
                <w:szCs w:val="24"/>
                <w:highlight w:val="none"/>
              </w:rPr>
              <w:t>茂名市茂南区公馆镇科创路1号广东石油化工学院西城校区内。</w:t>
            </w:r>
          </w:p>
        </w:tc>
      </w:tr>
      <w:tr w14:paraId="1B45ED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2914" w:hRule="exact"/>
        </w:trPr>
        <w:tc>
          <w:tcPr>
            <w:tcW w:w="1277" w:type="dxa"/>
            <w:tcBorders>
              <w:top w:val="single" w:color="auto" w:sz="4" w:space="0"/>
            </w:tcBorders>
            <w:vAlign w:val="center"/>
          </w:tcPr>
          <w:p w14:paraId="7B9B8575">
            <w:pPr>
              <w:spacing w:line="360" w:lineRule="auto"/>
              <w:jc w:val="center"/>
              <w:rPr>
                <w:rFonts w:ascii="宋体" w:hAnsi="宋体"/>
                <w:sz w:val="24"/>
                <w:szCs w:val="24"/>
                <w:highlight w:val="none"/>
              </w:rPr>
            </w:pPr>
            <w:r>
              <w:rPr>
                <w:rFonts w:hint="eastAsia" w:ascii="宋体" w:hAnsi="宋体"/>
                <w:sz w:val="24"/>
                <w:szCs w:val="24"/>
                <w:highlight w:val="none"/>
              </w:rPr>
              <w:t>1.1.6</w:t>
            </w:r>
          </w:p>
        </w:tc>
        <w:tc>
          <w:tcPr>
            <w:tcW w:w="1797" w:type="dxa"/>
            <w:vAlign w:val="center"/>
          </w:tcPr>
          <w:p w14:paraId="5A36E170">
            <w:pPr>
              <w:spacing w:line="360" w:lineRule="auto"/>
              <w:jc w:val="left"/>
              <w:rPr>
                <w:rFonts w:ascii="宋体" w:hAnsi="宋体"/>
                <w:sz w:val="24"/>
                <w:szCs w:val="24"/>
                <w:highlight w:val="none"/>
              </w:rPr>
            </w:pPr>
            <w:r>
              <w:rPr>
                <w:rFonts w:hint="eastAsia" w:ascii="宋体" w:hAnsi="宋体"/>
                <w:sz w:val="24"/>
                <w:szCs w:val="24"/>
                <w:highlight w:val="none"/>
              </w:rPr>
              <w:t>项目概况</w:t>
            </w:r>
          </w:p>
        </w:tc>
        <w:tc>
          <w:tcPr>
            <w:tcW w:w="6658" w:type="dxa"/>
            <w:gridSpan w:val="2"/>
            <w:vAlign w:val="center"/>
          </w:tcPr>
          <w:p w14:paraId="77F8A484">
            <w:pPr>
              <w:spacing w:line="360" w:lineRule="auto"/>
              <w:rPr>
                <w:rFonts w:hint="default" w:ascii="宋体" w:hAnsi="宋体" w:eastAsia="宋体"/>
                <w:sz w:val="24"/>
                <w:szCs w:val="24"/>
                <w:highlight w:val="none"/>
                <w:lang w:val="en-US" w:eastAsia="zh-CN"/>
              </w:rPr>
            </w:pPr>
            <w:r>
              <w:rPr>
                <w:rFonts w:hint="eastAsia" w:ascii="宋体" w:hAnsi="宋体" w:cs="宋体"/>
                <w:color w:val="auto"/>
                <w:kern w:val="2"/>
                <w:sz w:val="24"/>
                <w:szCs w:val="24"/>
                <w:highlight w:val="none"/>
                <w:u w:val="none"/>
              </w:rPr>
              <w:t>项目总建筑面积355</w:t>
            </w:r>
            <w:r>
              <w:rPr>
                <w:rFonts w:hint="eastAsia" w:ascii="宋体" w:hAnsi="宋体" w:cs="宋体"/>
                <w:color w:val="auto"/>
                <w:kern w:val="2"/>
                <w:sz w:val="24"/>
                <w:szCs w:val="24"/>
                <w:highlight w:val="none"/>
                <w:u w:val="none"/>
                <w:lang w:val="en-US" w:eastAsia="zh-CN"/>
              </w:rPr>
              <w:t>24</w:t>
            </w:r>
            <w:r>
              <w:rPr>
                <w:rFonts w:hint="eastAsia" w:ascii="宋体" w:hAnsi="宋体" w:cs="宋体"/>
                <w:color w:val="auto"/>
                <w:kern w:val="2"/>
                <w:sz w:val="24"/>
                <w:szCs w:val="24"/>
                <w:highlight w:val="none"/>
                <w:u w:val="none"/>
              </w:rPr>
              <w:t>平方米，</w:t>
            </w:r>
            <w:r>
              <w:rPr>
                <w:rFonts w:hint="eastAsia" w:ascii="宋体" w:hAnsi="宋体" w:cs="宋体"/>
                <w:color w:val="auto"/>
                <w:kern w:val="2"/>
                <w:sz w:val="24"/>
                <w:szCs w:val="24"/>
                <w:highlight w:val="none"/>
                <w:u w:val="none"/>
                <w:lang w:val="en-US" w:eastAsia="zh-CN"/>
              </w:rPr>
              <w:t>包括</w:t>
            </w:r>
            <w:r>
              <w:rPr>
                <w:rFonts w:hint="eastAsia" w:ascii="宋体" w:hAnsi="宋体" w:cs="宋体"/>
                <w:color w:val="auto"/>
                <w:kern w:val="2"/>
                <w:sz w:val="24"/>
                <w:szCs w:val="24"/>
                <w:highlight w:val="none"/>
                <w:u w:val="none"/>
              </w:rPr>
              <w:t>地上</w:t>
            </w:r>
            <w:r>
              <w:rPr>
                <w:rFonts w:hint="eastAsia" w:ascii="宋体" w:hAnsi="宋体" w:cs="宋体"/>
                <w:color w:val="auto"/>
                <w:kern w:val="2"/>
                <w:sz w:val="24"/>
                <w:szCs w:val="24"/>
                <w:highlight w:val="none"/>
                <w:u w:val="none"/>
                <w:lang w:val="en-US" w:eastAsia="zh-CN"/>
              </w:rPr>
              <w:t>建筑面积31457</w:t>
            </w:r>
            <w:r>
              <w:rPr>
                <w:rFonts w:hint="eastAsia" w:ascii="宋体" w:hAnsi="宋体" w:cs="宋体"/>
                <w:color w:val="auto"/>
                <w:kern w:val="2"/>
                <w:sz w:val="24"/>
                <w:szCs w:val="24"/>
                <w:highlight w:val="none"/>
                <w:u w:val="none"/>
              </w:rPr>
              <w:t>平方米，地下</w:t>
            </w:r>
            <w:r>
              <w:rPr>
                <w:rFonts w:hint="eastAsia" w:ascii="宋体" w:hAnsi="宋体" w:cs="宋体"/>
                <w:color w:val="auto"/>
                <w:kern w:val="2"/>
                <w:sz w:val="24"/>
                <w:szCs w:val="24"/>
                <w:highlight w:val="none"/>
                <w:u w:val="none"/>
                <w:lang w:val="en-US" w:eastAsia="zh-CN"/>
              </w:rPr>
              <w:t>室建筑面积4067</w:t>
            </w:r>
            <w:r>
              <w:rPr>
                <w:rFonts w:hint="eastAsia" w:ascii="宋体" w:hAnsi="宋体" w:cs="宋体"/>
                <w:color w:val="auto"/>
                <w:kern w:val="2"/>
                <w:sz w:val="24"/>
                <w:szCs w:val="24"/>
                <w:highlight w:val="none"/>
                <w:u w:val="none"/>
              </w:rPr>
              <w:t>平方米。主要建设内容包括新建图书馆和院系资料室、人防地下室，</w:t>
            </w:r>
            <w:r>
              <w:rPr>
                <w:rFonts w:hint="eastAsia" w:ascii="宋体" w:hAnsi="宋体" w:cs="宋体"/>
                <w:color w:val="auto"/>
                <w:kern w:val="2"/>
                <w:sz w:val="24"/>
                <w:szCs w:val="24"/>
                <w:highlight w:val="none"/>
                <w:u w:val="none"/>
                <w:lang w:val="en-US" w:eastAsia="zh-CN"/>
              </w:rPr>
              <w:t>标识工程、雨水调蓄池，以及周边道路、广场、绿化等</w:t>
            </w:r>
            <w:r>
              <w:rPr>
                <w:rFonts w:hint="eastAsia" w:ascii="宋体" w:hAnsi="宋体" w:cs="宋体"/>
                <w:color w:val="auto"/>
                <w:kern w:val="2"/>
                <w:sz w:val="24"/>
                <w:szCs w:val="24"/>
                <w:highlight w:val="none"/>
                <w:u w:val="none"/>
              </w:rPr>
              <w:t>。项目建设工期为18个月。项目</w:t>
            </w:r>
            <w:r>
              <w:rPr>
                <w:rFonts w:hint="eastAsia" w:ascii="宋体" w:hAnsi="宋体" w:cs="宋体"/>
                <w:color w:val="auto"/>
                <w:kern w:val="2"/>
                <w:sz w:val="24"/>
                <w:szCs w:val="24"/>
                <w:highlight w:val="none"/>
                <w:u w:val="none"/>
                <w:lang w:val="en-US" w:eastAsia="zh-CN"/>
              </w:rPr>
              <w:t>概算</w:t>
            </w:r>
            <w:r>
              <w:rPr>
                <w:rFonts w:hint="eastAsia" w:ascii="宋体" w:hAnsi="宋体" w:cs="宋体"/>
                <w:color w:val="auto"/>
                <w:kern w:val="2"/>
                <w:sz w:val="24"/>
                <w:szCs w:val="24"/>
                <w:highlight w:val="none"/>
                <w:u w:val="none"/>
              </w:rPr>
              <w:t>总投资</w:t>
            </w:r>
            <w:r>
              <w:rPr>
                <w:rFonts w:hint="eastAsia" w:ascii="宋体" w:hAnsi="宋体" w:cs="宋体"/>
                <w:color w:val="auto"/>
                <w:kern w:val="2"/>
                <w:sz w:val="24"/>
                <w:szCs w:val="24"/>
                <w:highlight w:val="none"/>
                <w:u w:val="none"/>
                <w:lang w:val="en-US" w:eastAsia="zh-CN"/>
              </w:rPr>
              <w:t>17195</w:t>
            </w:r>
            <w:r>
              <w:rPr>
                <w:rFonts w:hint="eastAsia" w:ascii="宋体" w:hAnsi="宋体" w:cs="宋体"/>
                <w:color w:val="auto"/>
                <w:kern w:val="2"/>
                <w:sz w:val="24"/>
                <w:szCs w:val="24"/>
                <w:highlight w:val="none"/>
                <w:u w:val="none"/>
              </w:rPr>
              <w:t>万元，其中</w:t>
            </w:r>
            <w:r>
              <w:rPr>
                <w:rFonts w:hint="eastAsia" w:ascii="宋体" w:hAnsi="宋体" w:cs="宋体"/>
                <w:color w:val="auto"/>
                <w:kern w:val="2"/>
                <w:sz w:val="24"/>
                <w:szCs w:val="24"/>
                <w:highlight w:val="none"/>
                <w:u w:val="none"/>
                <w:lang w:eastAsia="zh-CN"/>
              </w:rPr>
              <w:t>：</w:t>
            </w:r>
            <w:r>
              <w:rPr>
                <w:rFonts w:hint="eastAsia" w:ascii="宋体" w:hAnsi="宋体" w:cs="宋体"/>
                <w:color w:val="auto"/>
                <w:kern w:val="2"/>
                <w:sz w:val="24"/>
                <w:szCs w:val="24"/>
                <w:highlight w:val="none"/>
                <w:u w:val="none"/>
              </w:rPr>
              <w:t>工程费用</w:t>
            </w:r>
            <w:r>
              <w:rPr>
                <w:rFonts w:hint="eastAsia" w:ascii="宋体" w:hAnsi="宋体" w:cs="宋体"/>
                <w:color w:val="auto"/>
                <w:kern w:val="2"/>
                <w:sz w:val="24"/>
                <w:szCs w:val="24"/>
                <w:highlight w:val="none"/>
                <w:u w:val="none"/>
                <w:lang w:val="en-US" w:eastAsia="zh-CN"/>
              </w:rPr>
              <w:t>14540</w:t>
            </w:r>
            <w:r>
              <w:rPr>
                <w:rFonts w:hint="eastAsia" w:ascii="宋体" w:hAnsi="宋体" w:cs="宋体"/>
                <w:color w:val="auto"/>
                <w:kern w:val="2"/>
                <w:sz w:val="24"/>
                <w:szCs w:val="24"/>
                <w:highlight w:val="none"/>
                <w:u w:val="none"/>
              </w:rPr>
              <w:t>万元，工程建设其他费用</w:t>
            </w:r>
            <w:r>
              <w:rPr>
                <w:rFonts w:hint="eastAsia" w:ascii="宋体" w:hAnsi="宋体" w:cs="宋体"/>
                <w:color w:val="auto"/>
                <w:kern w:val="2"/>
                <w:sz w:val="24"/>
                <w:szCs w:val="24"/>
                <w:highlight w:val="none"/>
                <w:u w:val="none"/>
                <w:lang w:val="en-US" w:eastAsia="zh-CN"/>
              </w:rPr>
              <w:t>1836</w:t>
            </w:r>
            <w:r>
              <w:rPr>
                <w:rFonts w:hint="eastAsia" w:ascii="宋体" w:hAnsi="宋体" w:cs="宋体"/>
                <w:color w:val="auto"/>
                <w:kern w:val="2"/>
                <w:sz w:val="24"/>
                <w:szCs w:val="24"/>
                <w:highlight w:val="none"/>
                <w:u w:val="none"/>
              </w:rPr>
              <w:t>万元，预备费</w:t>
            </w:r>
            <w:r>
              <w:rPr>
                <w:rFonts w:hint="eastAsia" w:ascii="宋体" w:hAnsi="宋体" w:cs="宋体"/>
                <w:color w:val="auto"/>
                <w:kern w:val="2"/>
                <w:sz w:val="24"/>
                <w:szCs w:val="24"/>
                <w:highlight w:val="none"/>
                <w:u w:val="none"/>
                <w:lang w:val="en-US" w:eastAsia="zh-CN"/>
              </w:rPr>
              <w:t>819</w:t>
            </w:r>
            <w:r>
              <w:rPr>
                <w:rFonts w:hint="eastAsia" w:ascii="宋体" w:hAnsi="宋体" w:cs="宋体"/>
                <w:color w:val="auto"/>
                <w:kern w:val="2"/>
                <w:sz w:val="24"/>
                <w:szCs w:val="24"/>
                <w:highlight w:val="none"/>
                <w:u w:val="none"/>
              </w:rPr>
              <w:t>万元</w:t>
            </w:r>
            <w:r>
              <w:rPr>
                <w:rFonts w:hint="eastAsia" w:ascii="宋体" w:hAnsi="宋体"/>
                <w:sz w:val="24"/>
                <w:szCs w:val="24"/>
                <w:highlight w:val="none"/>
                <w:lang w:val="en-US" w:eastAsia="zh-CN"/>
              </w:rPr>
              <w:t>。</w:t>
            </w:r>
          </w:p>
        </w:tc>
      </w:tr>
      <w:tr w14:paraId="60273B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420" w:hRule="exact"/>
        </w:trPr>
        <w:tc>
          <w:tcPr>
            <w:tcW w:w="1277" w:type="dxa"/>
            <w:vAlign w:val="center"/>
          </w:tcPr>
          <w:p w14:paraId="744E2192">
            <w:pPr>
              <w:spacing w:line="360" w:lineRule="auto"/>
              <w:jc w:val="center"/>
              <w:rPr>
                <w:rFonts w:ascii="宋体" w:hAnsi="宋体"/>
                <w:sz w:val="24"/>
                <w:szCs w:val="24"/>
                <w:highlight w:val="none"/>
              </w:rPr>
            </w:pPr>
            <w:r>
              <w:rPr>
                <w:rFonts w:hint="eastAsia" w:ascii="宋体" w:hAnsi="宋体"/>
                <w:sz w:val="24"/>
                <w:szCs w:val="24"/>
                <w:highlight w:val="none"/>
              </w:rPr>
              <w:t>1.1.7</w:t>
            </w:r>
          </w:p>
        </w:tc>
        <w:tc>
          <w:tcPr>
            <w:tcW w:w="1797" w:type="dxa"/>
            <w:vAlign w:val="center"/>
          </w:tcPr>
          <w:p w14:paraId="35880F87">
            <w:pPr>
              <w:spacing w:line="360" w:lineRule="auto"/>
              <w:rPr>
                <w:rFonts w:ascii="宋体" w:hAnsi="宋体"/>
                <w:sz w:val="24"/>
                <w:szCs w:val="24"/>
                <w:highlight w:val="none"/>
              </w:rPr>
            </w:pPr>
            <w:r>
              <w:rPr>
                <w:rFonts w:ascii="宋体" w:hAnsi="宋体"/>
                <w:sz w:val="24"/>
                <w:szCs w:val="24"/>
                <w:highlight w:val="none"/>
              </w:rPr>
              <w:t>监理机构</w:t>
            </w:r>
            <w:r>
              <w:rPr>
                <w:rFonts w:hint="eastAsia" w:ascii="宋体" w:hAnsi="宋体"/>
                <w:sz w:val="24"/>
                <w:szCs w:val="24"/>
                <w:highlight w:val="none"/>
              </w:rPr>
              <w:t>设置</w:t>
            </w:r>
          </w:p>
        </w:tc>
        <w:tc>
          <w:tcPr>
            <w:tcW w:w="6658" w:type="dxa"/>
            <w:gridSpan w:val="2"/>
            <w:vAlign w:val="center"/>
          </w:tcPr>
          <w:p w14:paraId="784AE57B">
            <w:pPr>
              <w:spacing w:line="360" w:lineRule="auto"/>
              <w:rPr>
                <w:rFonts w:ascii="宋体" w:hAnsi="宋体"/>
                <w:sz w:val="24"/>
                <w:szCs w:val="24"/>
                <w:highlight w:val="none"/>
              </w:rPr>
            </w:pPr>
            <w:r>
              <w:rPr>
                <w:rFonts w:hint="eastAsia" w:ascii="宋体" w:hAnsi="宋体"/>
                <w:sz w:val="24"/>
                <w:szCs w:val="24"/>
                <w:highlight w:val="none"/>
                <w:u w:val="single"/>
                <w:lang w:val="en-US" w:eastAsia="zh-CN"/>
              </w:rPr>
              <w:t xml:space="preserve">  一  </w:t>
            </w:r>
            <w:r>
              <w:rPr>
                <w:rFonts w:hint="eastAsia" w:ascii="宋体" w:hAnsi="宋体"/>
                <w:sz w:val="24"/>
                <w:szCs w:val="24"/>
                <w:highlight w:val="none"/>
              </w:rPr>
              <w:t>级监理机构</w:t>
            </w:r>
          </w:p>
        </w:tc>
      </w:tr>
      <w:tr w14:paraId="71E8B8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396" w:hRule="atLeast"/>
        </w:trPr>
        <w:tc>
          <w:tcPr>
            <w:tcW w:w="1277" w:type="dxa"/>
            <w:vAlign w:val="center"/>
          </w:tcPr>
          <w:p w14:paraId="11DDE3B1">
            <w:pPr>
              <w:spacing w:line="360" w:lineRule="auto"/>
              <w:jc w:val="center"/>
              <w:rPr>
                <w:rFonts w:ascii="宋体" w:hAnsi="宋体"/>
                <w:sz w:val="24"/>
                <w:szCs w:val="24"/>
                <w:highlight w:val="none"/>
              </w:rPr>
            </w:pPr>
            <w:r>
              <w:rPr>
                <w:rFonts w:hint="eastAsia" w:ascii="宋体" w:hAnsi="宋体"/>
                <w:sz w:val="24"/>
                <w:szCs w:val="24"/>
                <w:highlight w:val="none"/>
              </w:rPr>
              <w:t>1.1.8</w:t>
            </w:r>
          </w:p>
        </w:tc>
        <w:tc>
          <w:tcPr>
            <w:tcW w:w="1797" w:type="dxa"/>
            <w:vAlign w:val="center"/>
          </w:tcPr>
          <w:p w14:paraId="2CD558C7">
            <w:pPr>
              <w:spacing w:line="360" w:lineRule="auto"/>
              <w:rPr>
                <w:rFonts w:ascii="宋体" w:hAnsi="宋体"/>
                <w:sz w:val="24"/>
                <w:szCs w:val="24"/>
                <w:highlight w:val="none"/>
              </w:rPr>
            </w:pPr>
            <w:r>
              <w:rPr>
                <w:rFonts w:hint="eastAsia" w:ascii="宋体" w:hAnsi="宋体"/>
                <w:sz w:val="24"/>
                <w:szCs w:val="24"/>
                <w:highlight w:val="none"/>
              </w:rPr>
              <w:t>资金来源</w:t>
            </w:r>
          </w:p>
        </w:tc>
        <w:tc>
          <w:tcPr>
            <w:tcW w:w="6658" w:type="dxa"/>
            <w:gridSpan w:val="2"/>
            <w:vAlign w:val="center"/>
          </w:tcPr>
          <w:p w14:paraId="1541EB8A">
            <w:pPr>
              <w:spacing w:line="360" w:lineRule="auto"/>
              <w:rPr>
                <w:rFonts w:ascii="宋体" w:hAnsi="宋体"/>
                <w:sz w:val="24"/>
                <w:szCs w:val="24"/>
                <w:highlight w:val="none"/>
              </w:rPr>
            </w:pPr>
            <w:r>
              <w:rPr>
                <w:rFonts w:hint="eastAsia" w:ascii="宋体" w:hAnsi="宋体"/>
                <w:sz w:val="24"/>
                <w:szCs w:val="24"/>
                <w:highlight w:val="none"/>
              </w:rPr>
              <w:t>从“粤东西北新建本科高校(校区)开办经费”项目支出15427万元，其余资金由学校自筹解决。</w:t>
            </w:r>
          </w:p>
        </w:tc>
      </w:tr>
      <w:tr w14:paraId="1BC368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619" w:hRule="atLeast"/>
        </w:trPr>
        <w:tc>
          <w:tcPr>
            <w:tcW w:w="1277" w:type="dxa"/>
            <w:vAlign w:val="center"/>
          </w:tcPr>
          <w:p w14:paraId="56A896A0">
            <w:pPr>
              <w:snapToGrid w:val="0"/>
              <w:spacing w:line="360" w:lineRule="auto"/>
              <w:jc w:val="center"/>
              <w:rPr>
                <w:rFonts w:ascii="宋体" w:hAnsi="宋体"/>
                <w:sz w:val="24"/>
                <w:szCs w:val="24"/>
                <w:highlight w:val="none"/>
              </w:rPr>
            </w:pPr>
            <w:r>
              <w:rPr>
                <w:rFonts w:hint="eastAsia" w:ascii="宋体" w:hAnsi="宋体"/>
                <w:sz w:val="24"/>
                <w:szCs w:val="24"/>
                <w:highlight w:val="none"/>
              </w:rPr>
              <w:t>1.2.1</w:t>
            </w:r>
          </w:p>
        </w:tc>
        <w:tc>
          <w:tcPr>
            <w:tcW w:w="1797" w:type="dxa"/>
            <w:vAlign w:val="center"/>
          </w:tcPr>
          <w:p w14:paraId="02B3124C">
            <w:pPr>
              <w:spacing w:line="360" w:lineRule="auto"/>
              <w:rPr>
                <w:rFonts w:ascii="宋体" w:hAnsi="宋体"/>
                <w:sz w:val="24"/>
                <w:szCs w:val="24"/>
                <w:highlight w:val="none"/>
              </w:rPr>
            </w:pPr>
            <w:r>
              <w:rPr>
                <w:rFonts w:hint="eastAsia" w:ascii="宋体" w:hAnsi="宋体"/>
                <w:sz w:val="24"/>
                <w:szCs w:val="24"/>
                <w:highlight w:val="none"/>
              </w:rPr>
              <w:t>招标范围</w:t>
            </w:r>
          </w:p>
        </w:tc>
        <w:tc>
          <w:tcPr>
            <w:tcW w:w="6658" w:type="dxa"/>
            <w:gridSpan w:val="2"/>
            <w:vAlign w:val="center"/>
          </w:tcPr>
          <w:p w14:paraId="00F97FC0">
            <w:pPr>
              <w:spacing w:line="360" w:lineRule="auto"/>
              <w:rPr>
                <w:rFonts w:ascii="宋体" w:hAnsi="宋体"/>
                <w:sz w:val="24"/>
                <w:szCs w:val="24"/>
                <w:highlight w:val="none"/>
              </w:rPr>
            </w:pPr>
            <w:r>
              <w:rPr>
                <w:rFonts w:hint="eastAsia" w:ascii="宋体" w:hAnsi="宋体"/>
                <w:sz w:val="24"/>
                <w:szCs w:val="24"/>
                <w:highlight w:val="none"/>
                <w:lang w:val="en-US" w:eastAsia="zh-CN"/>
              </w:rPr>
              <w:t>详见招标公告。</w:t>
            </w:r>
          </w:p>
        </w:tc>
      </w:tr>
      <w:tr w14:paraId="7F3F0A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615" w:hRule="atLeast"/>
        </w:trPr>
        <w:tc>
          <w:tcPr>
            <w:tcW w:w="1277" w:type="dxa"/>
            <w:vAlign w:val="center"/>
          </w:tcPr>
          <w:p w14:paraId="5A6DADE5">
            <w:pPr>
              <w:spacing w:line="360" w:lineRule="auto"/>
              <w:jc w:val="center"/>
              <w:rPr>
                <w:rFonts w:ascii="宋体" w:hAnsi="宋体"/>
                <w:sz w:val="24"/>
                <w:szCs w:val="24"/>
                <w:highlight w:val="none"/>
              </w:rPr>
            </w:pPr>
            <w:r>
              <w:rPr>
                <w:rFonts w:hint="eastAsia" w:ascii="宋体" w:hAnsi="宋体"/>
                <w:sz w:val="24"/>
                <w:szCs w:val="24"/>
                <w:highlight w:val="none"/>
              </w:rPr>
              <w:t>1.2.2</w:t>
            </w:r>
          </w:p>
        </w:tc>
        <w:tc>
          <w:tcPr>
            <w:tcW w:w="1797" w:type="dxa"/>
            <w:vAlign w:val="center"/>
          </w:tcPr>
          <w:p w14:paraId="2AD3F645">
            <w:pPr>
              <w:spacing w:line="360" w:lineRule="auto"/>
              <w:rPr>
                <w:rFonts w:ascii="宋体" w:hAnsi="宋体"/>
                <w:sz w:val="24"/>
                <w:szCs w:val="24"/>
                <w:highlight w:val="none"/>
              </w:rPr>
            </w:pPr>
            <w:r>
              <w:rPr>
                <w:rFonts w:hint="eastAsia" w:ascii="宋体" w:hAnsi="宋体"/>
                <w:sz w:val="24"/>
                <w:szCs w:val="24"/>
                <w:highlight w:val="none"/>
              </w:rPr>
              <w:t>监理服务阶段</w:t>
            </w:r>
          </w:p>
        </w:tc>
        <w:tc>
          <w:tcPr>
            <w:tcW w:w="6658" w:type="dxa"/>
            <w:gridSpan w:val="2"/>
            <w:vAlign w:val="center"/>
          </w:tcPr>
          <w:p w14:paraId="42348068">
            <w:pPr>
              <w:spacing w:line="360" w:lineRule="auto"/>
              <w:rPr>
                <w:rFonts w:ascii="宋体" w:hAnsi="宋体"/>
                <w:sz w:val="24"/>
                <w:szCs w:val="24"/>
                <w:highlight w:val="none"/>
              </w:rPr>
            </w:pPr>
            <w:r>
              <w:rPr>
                <w:rFonts w:hint="default" w:ascii="宋体" w:hAnsi="宋体" w:eastAsia="宋体" w:cs="宋体"/>
                <w:bCs w:val="0"/>
                <w:color w:val="auto"/>
                <w:kern w:val="2"/>
                <w:sz w:val="24"/>
                <w:szCs w:val="24"/>
                <w:highlight w:val="none"/>
                <w:u w:val="none"/>
                <w:lang w:val="en-US" w:eastAsia="zh-CN" w:bidi="ar-SA"/>
              </w:rPr>
              <w:t>项目施工准备阶段、施工阶段、工程质量保修期的质量监督、安全生产监督管理、投资控制、进度控制、合同管理、信息管理、组织协调</w:t>
            </w:r>
            <w:r>
              <w:rPr>
                <w:rFonts w:hint="eastAsia" w:ascii="宋体" w:hAnsi="宋体" w:cs="宋体"/>
                <w:bCs w:val="0"/>
                <w:color w:val="auto"/>
                <w:kern w:val="2"/>
                <w:sz w:val="24"/>
                <w:szCs w:val="24"/>
                <w:highlight w:val="none"/>
                <w:u w:val="none"/>
                <w:lang w:val="en-US" w:eastAsia="zh-CN" w:bidi="ar-SA"/>
              </w:rPr>
              <w:t>。</w:t>
            </w:r>
          </w:p>
        </w:tc>
      </w:tr>
      <w:tr w14:paraId="252CA9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270" w:hRule="atLeast"/>
        </w:trPr>
        <w:tc>
          <w:tcPr>
            <w:tcW w:w="1277" w:type="dxa"/>
            <w:vAlign w:val="center"/>
          </w:tcPr>
          <w:p w14:paraId="7FEF62FB">
            <w:pPr>
              <w:spacing w:line="360" w:lineRule="auto"/>
              <w:jc w:val="center"/>
              <w:rPr>
                <w:rFonts w:ascii="宋体" w:hAnsi="宋体"/>
                <w:sz w:val="24"/>
                <w:szCs w:val="24"/>
                <w:highlight w:val="none"/>
              </w:rPr>
            </w:pPr>
            <w:r>
              <w:rPr>
                <w:rFonts w:hint="eastAsia" w:ascii="宋体" w:hAnsi="宋体"/>
                <w:sz w:val="24"/>
                <w:szCs w:val="24"/>
                <w:highlight w:val="none"/>
              </w:rPr>
              <w:t>1.2.3</w:t>
            </w:r>
          </w:p>
        </w:tc>
        <w:tc>
          <w:tcPr>
            <w:tcW w:w="1797" w:type="dxa"/>
            <w:vAlign w:val="center"/>
          </w:tcPr>
          <w:p w14:paraId="3F9CF36D">
            <w:pPr>
              <w:spacing w:line="360" w:lineRule="auto"/>
              <w:rPr>
                <w:rFonts w:ascii="宋体" w:hAnsi="宋体"/>
                <w:sz w:val="24"/>
                <w:szCs w:val="24"/>
                <w:highlight w:val="none"/>
              </w:rPr>
            </w:pPr>
            <w:r>
              <w:rPr>
                <w:rFonts w:hint="eastAsia" w:ascii="宋体" w:hAnsi="宋体"/>
                <w:sz w:val="24"/>
                <w:szCs w:val="24"/>
                <w:highlight w:val="none"/>
              </w:rPr>
              <w:t>监理工作范围</w:t>
            </w:r>
          </w:p>
        </w:tc>
        <w:tc>
          <w:tcPr>
            <w:tcW w:w="6658" w:type="dxa"/>
            <w:gridSpan w:val="2"/>
            <w:vAlign w:val="center"/>
          </w:tcPr>
          <w:p w14:paraId="5142F565">
            <w:pPr>
              <w:spacing w:line="360" w:lineRule="auto"/>
              <w:rPr>
                <w:rFonts w:hint="eastAsia" w:ascii="宋体" w:hAnsi="宋体"/>
                <w:sz w:val="24"/>
                <w:szCs w:val="24"/>
                <w:highlight w:val="none"/>
              </w:rPr>
            </w:pPr>
            <w:r>
              <w:rPr>
                <w:rFonts w:hint="eastAsia" w:ascii="宋体" w:hAnsi="宋体"/>
                <w:sz w:val="24"/>
                <w:szCs w:val="24"/>
                <w:highlight w:val="none"/>
              </w:rPr>
              <w:t>（1）广东石油化工学院西城校区图书馆工程项目施工准备阶段、施工阶段、工程质量保修期的质量监督、安全生产监督管理、投资控制、进度控制、合同管理、信息管理、组织协调；协调各进驻单位同步建设，对各进驻单位进度统一调控，避免相互干扰，确保实现工程的总体目标。</w:t>
            </w:r>
          </w:p>
          <w:p w14:paraId="18B0AF1B">
            <w:pPr>
              <w:spacing w:line="360" w:lineRule="auto"/>
              <w:rPr>
                <w:rFonts w:hint="eastAsia" w:ascii="宋体" w:hAnsi="宋体"/>
                <w:sz w:val="24"/>
                <w:szCs w:val="24"/>
                <w:highlight w:val="none"/>
              </w:rPr>
            </w:pPr>
            <w:r>
              <w:rPr>
                <w:rFonts w:hint="eastAsia" w:ascii="宋体" w:hAnsi="宋体"/>
                <w:sz w:val="24"/>
                <w:szCs w:val="24"/>
                <w:highlight w:val="none"/>
              </w:rPr>
              <w:t>（2）按委托人的要求提前进场参与开工前期的准备和筹划工作，协助委托人对施工图纸提出意见，制定工程管理办法、各参建方职责及有关事务性工作。</w:t>
            </w:r>
          </w:p>
          <w:p w14:paraId="315743C8">
            <w:pPr>
              <w:spacing w:line="360" w:lineRule="auto"/>
              <w:rPr>
                <w:rFonts w:ascii="宋体" w:hAnsi="宋体"/>
                <w:sz w:val="24"/>
                <w:szCs w:val="24"/>
                <w:highlight w:val="none"/>
              </w:rPr>
            </w:pPr>
            <w:r>
              <w:rPr>
                <w:rFonts w:hint="eastAsia" w:ascii="宋体" w:hAnsi="宋体"/>
                <w:sz w:val="24"/>
                <w:szCs w:val="24"/>
                <w:highlight w:val="none"/>
              </w:rPr>
              <w:t>（3）熟悉本项目的BIM技术方案，运用BIM模型对施工阶段进行监督管理。</w:t>
            </w:r>
          </w:p>
        </w:tc>
      </w:tr>
      <w:tr w14:paraId="45B53A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59" w:hRule="atLeast"/>
        </w:trPr>
        <w:tc>
          <w:tcPr>
            <w:tcW w:w="1277" w:type="dxa"/>
            <w:vAlign w:val="center"/>
          </w:tcPr>
          <w:p w14:paraId="297D0835">
            <w:pPr>
              <w:spacing w:line="360" w:lineRule="auto"/>
              <w:jc w:val="center"/>
              <w:rPr>
                <w:rFonts w:ascii="宋体" w:hAnsi="宋体"/>
                <w:sz w:val="24"/>
                <w:szCs w:val="24"/>
                <w:highlight w:val="none"/>
              </w:rPr>
            </w:pPr>
            <w:r>
              <w:rPr>
                <w:rFonts w:hint="eastAsia" w:ascii="宋体" w:hAnsi="宋体"/>
                <w:sz w:val="24"/>
                <w:szCs w:val="24"/>
                <w:highlight w:val="none"/>
              </w:rPr>
              <w:t>1.2.4</w:t>
            </w:r>
          </w:p>
        </w:tc>
        <w:tc>
          <w:tcPr>
            <w:tcW w:w="1797" w:type="dxa"/>
            <w:vAlign w:val="center"/>
          </w:tcPr>
          <w:p w14:paraId="0355ADE7">
            <w:pPr>
              <w:spacing w:line="360" w:lineRule="auto"/>
              <w:rPr>
                <w:rFonts w:ascii="宋体" w:hAnsi="宋体"/>
                <w:sz w:val="24"/>
                <w:szCs w:val="24"/>
                <w:highlight w:val="none"/>
              </w:rPr>
            </w:pPr>
            <w:r>
              <w:rPr>
                <w:rFonts w:hint="eastAsia" w:ascii="宋体" w:hAnsi="宋体"/>
                <w:sz w:val="24"/>
                <w:szCs w:val="24"/>
                <w:highlight w:val="none"/>
              </w:rPr>
              <w:t>监理</w:t>
            </w:r>
            <w:r>
              <w:rPr>
                <w:rFonts w:ascii="宋体" w:hAnsi="宋体"/>
                <w:sz w:val="24"/>
                <w:szCs w:val="24"/>
                <w:highlight w:val="none"/>
              </w:rPr>
              <w:t>质量要求</w:t>
            </w:r>
          </w:p>
        </w:tc>
        <w:tc>
          <w:tcPr>
            <w:tcW w:w="6658" w:type="dxa"/>
            <w:gridSpan w:val="2"/>
            <w:vAlign w:val="center"/>
          </w:tcPr>
          <w:p w14:paraId="7B873EF9">
            <w:pPr>
              <w:spacing w:line="360" w:lineRule="auto"/>
              <w:rPr>
                <w:rFonts w:hint="eastAsia" w:ascii="宋体" w:hAnsi="宋体"/>
                <w:sz w:val="24"/>
                <w:szCs w:val="24"/>
                <w:highlight w:val="none"/>
              </w:rPr>
            </w:pPr>
            <w:r>
              <w:rPr>
                <w:rFonts w:hint="eastAsia" w:ascii="宋体" w:hAnsi="宋体"/>
                <w:sz w:val="24"/>
                <w:szCs w:val="24"/>
                <w:highlight w:val="none"/>
              </w:rPr>
              <w:t>质量目标：达国家合格或以上标准。</w:t>
            </w:r>
          </w:p>
          <w:p w14:paraId="0512D7E0">
            <w:pPr>
              <w:spacing w:line="360" w:lineRule="auto"/>
              <w:rPr>
                <w:rFonts w:hint="eastAsia" w:ascii="宋体" w:hAnsi="宋体"/>
                <w:sz w:val="24"/>
                <w:szCs w:val="24"/>
                <w:highlight w:val="none"/>
              </w:rPr>
            </w:pPr>
            <w:r>
              <w:rPr>
                <w:rFonts w:hint="eastAsia" w:ascii="宋体" w:hAnsi="宋体"/>
                <w:sz w:val="24"/>
                <w:szCs w:val="24"/>
                <w:highlight w:val="none"/>
              </w:rPr>
              <w:t>执行标准：执行国家、广东省、茂名市现行工程质量验评标准。</w:t>
            </w:r>
          </w:p>
          <w:p w14:paraId="6E220312">
            <w:pPr>
              <w:spacing w:line="360" w:lineRule="auto"/>
              <w:rPr>
                <w:rFonts w:ascii="宋体" w:hAnsi="宋体"/>
                <w:sz w:val="24"/>
                <w:szCs w:val="24"/>
                <w:highlight w:val="none"/>
              </w:rPr>
            </w:pPr>
            <w:r>
              <w:rPr>
                <w:rFonts w:hint="eastAsia" w:ascii="宋体" w:hAnsi="宋体"/>
                <w:sz w:val="24"/>
                <w:szCs w:val="24"/>
                <w:highlight w:val="none"/>
              </w:rPr>
              <w:t>其它说明：综合验收达到施工招标质量要求。</w:t>
            </w:r>
          </w:p>
        </w:tc>
      </w:tr>
      <w:tr w14:paraId="71E936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59" w:hRule="atLeast"/>
        </w:trPr>
        <w:tc>
          <w:tcPr>
            <w:tcW w:w="1277" w:type="dxa"/>
            <w:vAlign w:val="center"/>
          </w:tcPr>
          <w:p w14:paraId="50EBB2A7">
            <w:pPr>
              <w:snapToGrid w:val="0"/>
              <w:spacing w:line="360" w:lineRule="auto"/>
              <w:jc w:val="center"/>
              <w:rPr>
                <w:rFonts w:ascii="宋体" w:hAnsi="宋体"/>
                <w:sz w:val="24"/>
                <w:szCs w:val="24"/>
                <w:highlight w:val="none"/>
              </w:rPr>
            </w:pPr>
            <w:r>
              <w:rPr>
                <w:rFonts w:hint="eastAsia" w:ascii="宋体" w:hAnsi="宋体"/>
                <w:sz w:val="24"/>
                <w:szCs w:val="24"/>
                <w:highlight w:val="none"/>
              </w:rPr>
              <w:t>1.3</w:t>
            </w:r>
          </w:p>
        </w:tc>
        <w:tc>
          <w:tcPr>
            <w:tcW w:w="1797" w:type="dxa"/>
            <w:vAlign w:val="center"/>
          </w:tcPr>
          <w:p w14:paraId="79700199">
            <w:pPr>
              <w:spacing w:line="360" w:lineRule="auto"/>
              <w:rPr>
                <w:rFonts w:ascii="宋体" w:hAnsi="宋体"/>
                <w:sz w:val="24"/>
                <w:szCs w:val="24"/>
                <w:highlight w:val="none"/>
              </w:rPr>
            </w:pPr>
            <w:r>
              <w:rPr>
                <w:rFonts w:hint="eastAsia" w:ascii="宋体" w:hAnsi="宋体"/>
                <w:sz w:val="24"/>
                <w:szCs w:val="24"/>
                <w:highlight w:val="none"/>
              </w:rPr>
              <w:t>建设工期和</w:t>
            </w:r>
          </w:p>
          <w:p w14:paraId="5FD8C403">
            <w:pPr>
              <w:spacing w:line="360" w:lineRule="auto"/>
              <w:rPr>
                <w:rFonts w:ascii="宋体" w:hAnsi="宋体"/>
                <w:sz w:val="24"/>
                <w:szCs w:val="24"/>
                <w:highlight w:val="none"/>
              </w:rPr>
            </w:pPr>
            <w:r>
              <w:rPr>
                <w:rFonts w:hint="eastAsia" w:ascii="宋体" w:hAnsi="宋体"/>
                <w:sz w:val="24"/>
                <w:szCs w:val="24"/>
                <w:highlight w:val="none"/>
              </w:rPr>
              <w:t>监理服务期</w:t>
            </w:r>
          </w:p>
        </w:tc>
        <w:tc>
          <w:tcPr>
            <w:tcW w:w="6658" w:type="dxa"/>
            <w:gridSpan w:val="2"/>
            <w:vAlign w:val="center"/>
          </w:tcPr>
          <w:p w14:paraId="79116FD9">
            <w:pPr>
              <w:spacing w:line="360" w:lineRule="auto"/>
              <w:rPr>
                <w:rFonts w:ascii="宋体" w:hAnsi="宋体"/>
                <w:sz w:val="24"/>
                <w:szCs w:val="24"/>
                <w:highlight w:val="none"/>
              </w:rPr>
            </w:pPr>
            <w:r>
              <w:rPr>
                <w:rFonts w:hint="default" w:ascii="宋体" w:hAnsi="宋体" w:eastAsia="宋体" w:cs="宋体"/>
                <w:color w:val="auto"/>
                <w:kern w:val="0"/>
                <w:sz w:val="24"/>
                <w:szCs w:val="24"/>
                <w:highlight w:val="none"/>
                <w:lang w:val="en-US" w:eastAsia="zh-CN"/>
              </w:rPr>
              <w:t>建设监理总服务期为31个月，包括施工工期19个月、施工准备及结决算阶段服务期12个月。</w:t>
            </w:r>
            <w:r>
              <w:rPr>
                <w:rFonts w:hint="eastAsia" w:ascii="宋体" w:hAnsi="宋体"/>
                <w:sz w:val="24"/>
                <w:szCs w:val="24"/>
                <w:highlight w:val="none"/>
              </w:rPr>
              <w:t>监理服务期为本项目</w:t>
            </w:r>
            <w:r>
              <w:rPr>
                <w:rFonts w:ascii="宋体" w:hAnsi="宋体"/>
                <w:sz w:val="24"/>
                <w:szCs w:val="24"/>
                <w:highlight w:val="none"/>
              </w:rPr>
              <w:t>范围内所有工程</w:t>
            </w:r>
            <w:r>
              <w:rPr>
                <w:rFonts w:hint="eastAsia" w:ascii="宋体" w:hAnsi="宋体"/>
                <w:sz w:val="24"/>
                <w:szCs w:val="24"/>
                <w:highlight w:val="none"/>
              </w:rPr>
              <w:t>从施工准备阶段到工程缺陷责任期结束。</w:t>
            </w:r>
          </w:p>
        </w:tc>
      </w:tr>
      <w:tr w14:paraId="5AC2D3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2782" w:hRule="exact"/>
        </w:trPr>
        <w:tc>
          <w:tcPr>
            <w:tcW w:w="1277" w:type="dxa"/>
            <w:vAlign w:val="center"/>
          </w:tcPr>
          <w:p w14:paraId="2F6DDB31">
            <w:pPr>
              <w:snapToGrid w:val="0"/>
              <w:spacing w:line="360" w:lineRule="auto"/>
              <w:jc w:val="center"/>
              <w:rPr>
                <w:rFonts w:ascii="宋体" w:hAnsi="宋体"/>
                <w:sz w:val="24"/>
                <w:szCs w:val="24"/>
                <w:highlight w:val="none"/>
              </w:rPr>
            </w:pPr>
            <w:r>
              <w:rPr>
                <w:rFonts w:hint="eastAsia" w:ascii="宋体" w:hAnsi="宋体"/>
                <w:sz w:val="24"/>
                <w:szCs w:val="24"/>
                <w:highlight w:val="none"/>
              </w:rPr>
              <w:t>1.4.1</w:t>
            </w:r>
          </w:p>
        </w:tc>
        <w:tc>
          <w:tcPr>
            <w:tcW w:w="1797" w:type="dxa"/>
            <w:vAlign w:val="center"/>
          </w:tcPr>
          <w:p w14:paraId="0CE9A0CA">
            <w:pPr>
              <w:autoSpaceDE w:val="0"/>
              <w:autoSpaceDN w:val="0"/>
              <w:adjustRightInd w:val="0"/>
              <w:spacing w:line="360" w:lineRule="auto"/>
              <w:jc w:val="center"/>
              <w:rPr>
                <w:rFonts w:ascii="宋体" w:hAnsi="宋体"/>
                <w:bCs/>
                <w:sz w:val="24"/>
                <w:szCs w:val="24"/>
                <w:highlight w:val="none"/>
              </w:rPr>
            </w:pPr>
            <w:r>
              <w:rPr>
                <w:rFonts w:hint="eastAsia" w:ascii="宋体" w:hAnsi="宋体" w:cs="宋体"/>
                <w:kern w:val="0"/>
                <w:sz w:val="24"/>
                <w:szCs w:val="24"/>
                <w:highlight w:val="none"/>
              </w:rPr>
              <w:t>投标人资质条件</w:t>
            </w:r>
            <w:r>
              <w:rPr>
                <w:rFonts w:hint="eastAsia" w:ascii="宋体" w:hAnsi="宋体" w:cs="宋体"/>
                <w:spacing w:val="-67"/>
                <w:kern w:val="0"/>
                <w:sz w:val="24"/>
                <w:szCs w:val="24"/>
                <w:highlight w:val="none"/>
              </w:rPr>
              <w:t>、</w:t>
            </w:r>
            <w:r>
              <w:rPr>
                <w:rFonts w:hint="eastAsia" w:ascii="宋体" w:hAnsi="宋体" w:cs="宋体"/>
                <w:kern w:val="0"/>
                <w:sz w:val="24"/>
                <w:szCs w:val="24"/>
                <w:highlight w:val="none"/>
              </w:rPr>
              <w:t>能力和信誉</w:t>
            </w:r>
          </w:p>
        </w:tc>
        <w:tc>
          <w:tcPr>
            <w:tcW w:w="6658" w:type="dxa"/>
            <w:gridSpan w:val="2"/>
            <w:vAlign w:val="center"/>
          </w:tcPr>
          <w:p w14:paraId="66022EC6">
            <w:pPr>
              <w:autoSpaceDE w:val="0"/>
              <w:autoSpaceDN w:val="0"/>
              <w:adjustRightInd w:val="0"/>
              <w:spacing w:line="360" w:lineRule="auto"/>
              <w:ind w:firstLine="120" w:firstLineChars="50"/>
              <w:rPr>
                <w:rFonts w:ascii="宋体" w:hAnsi="宋体"/>
                <w:sz w:val="24"/>
                <w:szCs w:val="24"/>
                <w:highlight w:val="none"/>
              </w:rPr>
            </w:pPr>
            <w:r>
              <w:rPr>
                <w:rFonts w:hint="eastAsia" w:ascii="宋体" w:hAnsi="宋体" w:cs="宋体"/>
                <w:kern w:val="0"/>
                <w:sz w:val="24"/>
                <w:szCs w:val="24"/>
                <w:highlight w:val="none"/>
              </w:rPr>
              <w:t>资质要求：</w:t>
            </w:r>
            <w:r>
              <w:rPr>
                <w:rFonts w:hint="eastAsia" w:ascii="宋体" w:hAnsi="宋体"/>
                <w:sz w:val="24"/>
                <w:szCs w:val="24"/>
                <w:highlight w:val="none"/>
              </w:rPr>
              <w:t xml:space="preserve">见附录 1 </w:t>
            </w:r>
          </w:p>
          <w:p w14:paraId="06229497">
            <w:pPr>
              <w:autoSpaceDE w:val="0"/>
              <w:autoSpaceDN w:val="0"/>
              <w:adjustRightInd w:val="0"/>
              <w:spacing w:line="360" w:lineRule="auto"/>
              <w:ind w:firstLine="120" w:firstLineChars="50"/>
              <w:rPr>
                <w:rFonts w:ascii="宋体" w:hAnsi="宋体"/>
                <w:sz w:val="24"/>
                <w:szCs w:val="24"/>
                <w:highlight w:val="none"/>
              </w:rPr>
            </w:pPr>
            <w:r>
              <w:rPr>
                <w:rFonts w:hint="eastAsia" w:ascii="宋体" w:hAnsi="宋体" w:cs="宋体"/>
                <w:kern w:val="0"/>
                <w:sz w:val="24"/>
                <w:szCs w:val="24"/>
                <w:highlight w:val="none"/>
              </w:rPr>
              <w:t>信誉要求：</w:t>
            </w:r>
            <w:r>
              <w:rPr>
                <w:rFonts w:hint="eastAsia" w:ascii="宋体" w:hAnsi="宋体"/>
                <w:sz w:val="24"/>
                <w:szCs w:val="24"/>
                <w:highlight w:val="none"/>
              </w:rPr>
              <w:t>见附录</w:t>
            </w:r>
            <w:r>
              <w:rPr>
                <w:rFonts w:ascii="宋体" w:hAnsi="宋体"/>
                <w:sz w:val="24"/>
                <w:szCs w:val="24"/>
                <w:highlight w:val="none"/>
              </w:rPr>
              <w:t xml:space="preserve"> 2 </w:t>
            </w:r>
          </w:p>
          <w:p w14:paraId="33E00891">
            <w:pPr>
              <w:autoSpaceDE w:val="0"/>
              <w:autoSpaceDN w:val="0"/>
              <w:adjustRightInd w:val="0"/>
              <w:spacing w:line="360" w:lineRule="auto"/>
              <w:ind w:firstLine="120" w:firstLineChars="50"/>
              <w:rPr>
                <w:rFonts w:ascii="宋体" w:hAnsi="宋体"/>
                <w:sz w:val="24"/>
                <w:szCs w:val="24"/>
                <w:highlight w:val="none"/>
              </w:rPr>
            </w:pPr>
            <w:r>
              <w:rPr>
                <w:rFonts w:hint="eastAsia" w:ascii="宋体" w:hAnsi="宋体" w:cs="宋体"/>
                <w:kern w:val="0"/>
                <w:sz w:val="24"/>
                <w:szCs w:val="24"/>
                <w:highlight w:val="none"/>
              </w:rPr>
              <w:t>业绩要求：</w:t>
            </w:r>
            <w:r>
              <w:rPr>
                <w:rFonts w:hint="eastAsia" w:ascii="宋体" w:hAnsi="宋体"/>
                <w:sz w:val="24"/>
                <w:szCs w:val="24"/>
                <w:highlight w:val="none"/>
              </w:rPr>
              <w:t>见附录</w:t>
            </w:r>
            <w:r>
              <w:rPr>
                <w:rFonts w:ascii="宋体" w:hAnsi="宋体"/>
                <w:sz w:val="24"/>
                <w:szCs w:val="24"/>
                <w:highlight w:val="none"/>
              </w:rPr>
              <w:t xml:space="preserve"> 3</w:t>
            </w:r>
          </w:p>
          <w:p w14:paraId="002492FA">
            <w:pPr>
              <w:autoSpaceDE w:val="0"/>
              <w:autoSpaceDN w:val="0"/>
              <w:adjustRightInd w:val="0"/>
              <w:spacing w:line="360" w:lineRule="auto"/>
              <w:ind w:firstLine="120" w:firstLineChars="50"/>
              <w:rPr>
                <w:rFonts w:ascii="宋体" w:hAnsi="宋体"/>
                <w:sz w:val="24"/>
                <w:szCs w:val="24"/>
                <w:highlight w:val="none"/>
              </w:rPr>
            </w:pPr>
            <w:r>
              <w:rPr>
                <w:rFonts w:hint="eastAsia" w:ascii="宋体" w:hAnsi="宋体" w:cs="宋体"/>
                <w:kern w:val="0"/>
                <w:sz w:val="24"/>
                <w:szCs w:val="24"/>
                <w:highlight w:val="none"/>
              </w:rPr>
              <w:t>财务要求：</w:t>
            </w:r>
            <w:r>
              <w:rPr>
                <w:rFonts w:hint="eastAsia" w:ascii="宋体" w:hAnsi="宋体"/>
                <w:sz w:val="24"/>
                <w:szCs w:val="24"/>
                <w:highlight w:val="none"/>
              </w:rPr>
              <w:t>见附录</w:t>
            </w:r>
            <w:r>
              <w:rPr>
                <w:rFonts w:ascii="宋体" w:hAnsi="宋体"/>
                <w:sz w:val="24"/>
                <w:szCs w:val="24"/>
                <w:highlight w:val="none"/>
              </w:rPr>
              <w:t xml:space="preserve"> 4</w:t>
            </w:r>
          </w:p>
          <w:p w14:paraId="6F08407D">
            <w:pPr>
              <w:autoSpaceDE w:val="0"/>
              <w:autoSpaceDN w:val="0"/>
              <w:adjustRightInd w:val="0"/>
              <w:spacing w:line="360" w:lineRule="auto"/>
              <w:ind w:firstLine="120" w:firstLineChars="50"/>
              <w:rPr>
                <w:rFonts w:ascii="宋体" w:hAnsi="宋体"/>
                <w:sz w:val="24"/>
                <w:szCs w:val="24"/>
                <w:highlight w:val="none"/>
              </w:rPr>
            </w:pPr>
            <w:r>
              <w:rPr>
                <w:rFonts w:hint="eastAsia" w:ascii="宋体" w:hAnsi="宋体"/>
                <w:bCs/>
                <w:sz w:val="24"/>
                <w:szCs w:val="24"/>
                <w:highlight w:val="none"/>
              </w:rPr>
              <w:t>人员要求：</w:t>
            </w:r>
            <w:r>
              <w:rPr>
                <w:rFonts w:hint="eastAsia" w:ascii="宋体" w:hAnsi="宋体"/>
                <w:sz w:val="24"/>
                <w:szCs w:val="24"/>
                <w:highlight w:val="none"/>
              </w:rPr>
              <w:t>见附录</w:t>
            </w:r>
            <w:r>
              <w:rPr>
                <w:rFonts w:hint="eastAsia" w:ascii="宋体" w:hAnsi="宋体"/>
                <w:sz w:val="24"/>
                <w:szCs w:val="24"/>
                <w:highlight w:val="none"/>
                <w:lang w:val="en-US" w:eastAsia="zh-CN"/>
              </w:rPr>
              <w:t xml:space="preserve"> </w:t>
            </w:r>
            <w:r>
              <w:rPr>
                <w:rFonts w:hint="eastAsia" w:ascii="宋体" w:hAnsi="宋体"/>
                <w:sz w:val="24"/>
                <w:szCs w:val="24"/>
                <w:highlight w:val="none"/>
              </w:rPr>
              <w:t>5</w:t>
            </w:r>
          </w:p>
        </w:tc>
      </w:tr>
      <w:tr w14:paraId="67B9C8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93" w:hRule="exact"/>
        </w:trPr>
        <w:tc>
          <w:tcPr>
            <w:tcW w:w="1277" w:type="dxa"/>
            <w:vAlign w:val="center"/>
          </w:tcPr>
          <w:p w14:paraId="567C7273">
            <w:pPr>
              <w:snapToGrid w:val="0"/>
              <w:spacing w:line="360" w:lineRule="auto"/>
              <w:jc w:val="center"/>
              <w:rPr>
                <w:rFonts w:ascii="宋体" w:hAnsi="宋体"/>
                <w:sz w:val="24"/>
                <w:szCs w:val="24"/>
                <w:highlight w:val="none"/>
              </w:rPr>
            </w:pPr>
            <w:r>
              <w:rPr>
                <w:rFonts w:hint="eastAsia" w:ascii="宋体" w:hAnsi="宋体"/>
                <w:sz w:val="24"/>
                <w:szCs w:val="24"/>
                <w:highlight w:val="none"/>
              </w:rPr>
              <w:t>1.4.2</w:t>
            </w:r>
          </w:p>
        </w:tc>
        <w:tc>
          <w:tcPr>
            <w:tcW w:w="1797" w:type="dxa"/>
            <w:vAlign w:val="center"/>
          </w:tcPr>
          <w:p w14:paraId="66296283">
            <w:pPr>
              <w:snapToGrid w:val="0"/>
              <w:spacing w:line="360" w:lineRule="auto"/>
              <w:jc w:val="center"/>
              <w:rPr>
                <w:rFonts w:ascii="宋体" w:hAnsi="宋体"/>
                <w:sz w:val="24"/>
                <w:szCs w:val="24"/>
                <w:highlight w:val="none"/>
              </w:rPr>
            </w:pPr>
            <w:r>
              <w:rPr>
                <w:rFonts w:hint="eastAsia" w:ascii="宋体" w:hAnsi="宋体"/>
                <w:sz w:val="24"/>
                <w:szCs w:val="24"/>
                <w:highlight w:val="none"/>
              </w:rPr>
              <w:t>是否接受</w:t>
            </w:r>
          </w:p>
          <w:p w14:paraId="3F20477C">
            <w:pPr>
              <w:snapToGrid w:val="0"/>
              <w:spacing w:line="360" w:lineRule="auto"/>
              <w:jc w:val="center"/>
              <w:rPr>
                <w:rFonts w:ascii="宋体" w:hAnsi="宋体"/>
                <w:sz w:val="24"/>
                <w:szCs w:val="24"/>
                <w:highlight w:val="none"/>
              </w:rPr>
            </w:pPr>
            <w:r>
              <w:rPr>
                <w:rFonts w:hint="eastAsia" w:ascii="宋体" w:hAnsi="宋体"/>
                <w:sz w:val="24"/>
                <w:szCs w:val="24"/>
                <w:highlight w:val="none"/>
              </w:rPr>
              <w:t>联合体投标</w:t>
            </w:r>
          </w:p>
        </w:tc>
        <w:tc>
          <w:tcPr>
            <w:tcW w:w="6658" w:type="dxa"/>
            <w:gridSpan w:val="2"/>
            <w:vAlign w:val="center"/>
          </w:tcPr>
          <w:p w14:paraId="23B92FE5">
            <w:pPr>
              <w:snapToGrid w:val="0"/>
              <w:spacing w:line="360" w:lineRule="auto"/>
              <w:rPr>
                <w:rFonts w:ascii="宋体" w:hAnsi="宋体"/>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rPr>
              <w:t>不接受</w:t>
            </w:r>
          </w:p>
          <w:p w14:paraId="265956E8">
            <w:pPr>
              <w:snapToGrid w:val="0"/>
              <w:spacing w:line="360" w:lineRule="auto"/>
              <w:rPr>
                <w:rFonts w:ascii="宋体" w:hAnsi="宋体"/>
                <w:sz w:val="24"/>
                <w:szCs w:val="24"/>
                <w:highlight w:val="none"/>
              </w:rPr>
            </w:pPr>
            <w:r>
              <w:rPr>
                <w:rFonts w:hint="eastAsia" w:ascii="宋体" w:hAnsi="宋体"/>
                <w:sz w:val="24"/>
                <w:szCs w:val="24"/>
                <w:highlight w:val="none"/>
              </w:rPr>
              <w:t>□接受</w:t>
            </w:r>
          </w:p>
        </w:tc>
      </w:tr>
      <w:tr w14:paraId="042896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007" w:hRule="exact"/>
        </w:trPr>
        <w:tc>
          <w:tcPr>
            <w:tcW w:w="1277" w:type="dxa"/>
            <w:vAlign w:val="center"/>
          </w:tcPr>
          <w:p w14:paraId="3397BE83">
            <w:pPr>
              <w:snapToGrid w:val="0"/>
              <w:spacing w:line="360" w:lineRule="auto"/>
              <w:jc w:val="center"/>
              <w:rPr>
                <w:rFonts w:ascii="宋体" w:hAnsi="宋体"/>
                <w:sz w:val="24"/>
                <w:szCs w:val="24"/>
                <w:highlight w:val="none"/>
              </w:rPr>
            </w:pPr>
            <w:r>
              <w:rPr>
                <w:rFonts w:hint="eastAsia" w:ascii="宋体" w:hAnsi="宋体"/>
                <w:sz w:val="24"/>
                <w:szCs w:val="24"/>
                <w:highlight w:val="none"/>
              </w:rPr>
              <w:t>1.9.1</w:t>
            </w:r>
          </w:p>
        </w:tc>
        <w:tc>
          <w:tcPr>
            <w:tcW w:w="1797" w:type="dxa"/>
            <w:vAlign w:val="center"/>
          </w:tcPr>
          <w:p w14:paraId="54BE20B3">
            <w:pPr>
              <w:snapToGrid w:val="0"/>
              <w:spacing w:line="360" w:lineRule="auto"/>
              <w:jc w:val="center"/>
              <w:rPr>
                <w:rFonts w:ascii="宋体" w:hAnsi="宋体"/>
                <w:sz w:val="24"/>
                <w:szCs w:val="24"/>
                <w:highlight w:val="none"/>
              </w:rPr>
            </w:pPr>
            <w:r>
              <w:rPr>
                <w:rFonts w:hint="eastAsia" w:ascii="宋体" w:hAnsi="宋体"/>
                <w:bCs/>
                <w:sz w:val="24"/>
                <w:szCs w:val="24"/>
                <w:highlight w:val="none"/>
              </w:rPr>
              <w:t>踏勘现场</w:t>
            </w:r>
          </w:p>
        </w:tc>
        <w:tc>
          <w:tcPr>
            <w:tcW w:w="6658" w:type="dxa"/>
            <w:gridSpan w:val="2"/>
            <w:vAlign w:val="center"/>
          </w:tcPr>
          <w:p w14:paraId="0BDD286E">
            <w:pPr>
              <w:tabs>
                <w:tab w:val="left" w:pos="540"/>
              </w:tabs>
              <w:spacing w:line="360" w:lineRule="auto"/>
              <w:rPr>
                <w:rFonts w:ascii="宋体" w:hAnsi="宋体"/>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rPr>
              <w:t xml:space="preserve">  不组织，投标人可依据项目建设地点自行踏勘现场。</w:t>
            </w:r>
          </w:p>
          <w:p w14:paraId="17170C97">
            <w:pPr>
              <w:tabs>
                <w:tab w:val="left" w:pos="540"/>
              </w:tabs>
              <w:spacing w:line="360" w:lineRule="auto"/>
              <w:rPr>
                <w:rFonts w:ascii="宋体" w:hAnsi="宋体"/>
                <w:sz w:val="24"/>
                <w:szCs w:val="24"/>
                <w:highlight w:val="none"/>
              </w:rPr>
            </w:pPr>
            <w:r>
              <w:rPr>
                <w:rFonts w:hint="eastAsia" w:ascii="宋体" w:hAnsi="宋体"/>
                <w:sz w:val="24"/>
                <w:szCs w:val="24"/>
                <w:highlight w:val="none"/>
              </w:rPr>
              <w:t>□组织</w:t>
            </w:r>
          </w:p>
        </w:tc>
      </w:tr>
      <w:tr w14:paraId="1F8E7B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516" w:hRule="exact"/>
        </w:trPr>
        <w:tc>
          <w:tcPr>
            <w:tcW w:w="1277" w:type="dxa"/>
            <w:vAlign w:val="center"/>
          </w:tcPr>
          <w:p w14:paraId="0FA0D5E2">
            <w:pPr>
              <w:spacing w:line="360" w:lineRule="auto"/>
              <w:jc w:val="center"/>
              <w:rPr>
                <w:rFonts w:ascii="宋体" w:hAnsi="宋体"/>
                <w:sz w:val="24"/>
                <w:szCs w:val="24"/>
                <w:highlight w:val="none"/>
              </w:rPr>
            </w:pPr>
            <w:r>
              <w:rPr>
                <w:rFonts w:hint="eastAsia" w:ascii="宋体" w:hAnsi="宋体"/>
                <w:sz w:val="24"/>
                <w:szCs w:val="24"/>
                <w:highlight w:val="none"/>
              </w:rPr>
              <w:t>1.10.1</w:t>
            </w:r>
          </w:p>
        </w:tc>
        <w:tc>
          <w:tcPr>
            <w:tcW w:w="1797" w:type="dxa"/>
            <w:vAlign w:val="center"/>
          </w:tcPr>
          <w:p w14:paraId="4200F27B">
            <w:pPr>
              <w:tabs>
                <w:tab w:val="left" w:pos="540"/>
              </w:tabs>
              <w:spacing w:line="360" w:lineRule="auto"/>
              <w:jc w:val="center"/>
              <w:rPr>
                <w:rFonts w:ascii="宋体" w:hAnsi="宋体"/>
                <w:bCs/>
                <w:sz w:val="24"/>
                <w:szCs w:val="24"/>
                <w:highlight w:val="none"/>
              </w:rPr>
            </w:pPr>
            <w:r>
              <w:rPr>
                <w:rFonts w:hint="eastAsia" w:ascii="宋体" w:hAnsi="宋体"/>
                <w:bCs/>
                <w:sz w:val="24"/>
                <w:szCs w:val="24"/>
                <w:highlight w:val="none"/>
              </w:rPr>
              <w:t>投标预备会</w:t>
            </w:r>
          </w:p>
        </w:tc>
        <w:tc>
          <w:tcPr>
            <w:tcW w:w="6658" w:type="dxa"/>
            <w:gridSpan w:val="2"/>
            <w:vAlign w:val="center"/>
          </w:tcPr>
          <w:p w14:paraId="486B4DD3">
            <w:pPr>
              <w:tabs>
                <w:tab w:val="left" w:pos="540"/>
              </w:tabs>
              <w:spacing w:line="360" w:lineRule="auto"/>
              <w:rPr>
                <w:rFonts w:ascii="宋体" w:hAnsi="宋体"/>
                <w:sz w:val="24"/>
                <w:szCs w:val="24"/>
                <w:highlight w:val="none"/>
              </w:rPr>
            </w:pPr>
            <w:r>
              <w:rPr>
                <w:rFonts w:hint="eastAsia" w:ascii="宋体" w:hAnsi="宋体"/>
                <w:sz w:val="24"/>
                <w:szCs w:val="24"/>
                <w:highlight w:val="none"/>
                <w:bdr w:val="single" w:color="auto" w:sz="4" w:space="0"/>
              </w:rPr>
              <w:t>√</w:t>
            </w:r>
            <w:r>
              <w:rPr>
                <w:rFonts w:hint="eastAsia" w:ascii="宋体" w:hAnsi="宋体"/>
                <w:sz w:val="24"/>
                <w:szCs w:val="24"/>
                <w:highlight w:val="none"/>
              </w:rPr>
              <w:t xml:space="preserve">  不召开。</w:t>
            </w:r>
          </w:p>
          <w:p w14:paraId="61FD0DFD">
            <w:pPr>
              <w:tabs>
                <w:tab w:val="left" w:pos="540"/>
              </w:tabs>
              <w:spacing w:line="360" w:lineRule="auto"/>
              <w:rPr>
                <w:rFonts w:ascii="宋体" w:hAnsi="宋体"/>
                <w:sz w:val="24"/>
                <w:szCs w:val="24"/>
                <w:highlight w:val="none"/>
              </w:rPr>
            </w:pPr>
            <w:r>
              <w:rPr>
                <w:rFonts w:hint="eastAsia" w:ascii="宋体" w:hAnsi="宋体"/>
                <w:sz w:val="24"/>
                <w:szCs w:val="24"/>
                <w:highlight w:val="none"/>
              </w:rPr>
              <w:t>□召开，召开时间：</w:t>
            </w:r>
          </w:p>
          <w:p w14:paraId="0CC226DD">
            <w:pPr>
              <w:tabs>
                <w:tab w:val="left" w:pos="540"/>
              </w:tabs>
              <w:spacing w:line="360" w:lineRule="auto"/>
              <w:rPr>
                <w:rFonts w:ascii="宋体" w:hAnsi="宋体"/>
                <w:sz w:val="24"/>
                <w:szCs w:val="24"/>
                <w:highlight w:val="none"/>
              </w:rPr>
            </w:pPr>
            <w:r>
              <w:rPr>
                <w:rFonts w:hint="eastAsia" w:ascii="宋体" w:hAnsi="宋体"/>
                <w:sz w:val="24"/>
                <w:szCs w:val="24"/>
                <w:highlight w:val="none"/>
              </w:rPr>
              <w:t xml:space="preserve">        召开地点：</w:t>
            </w:r>
          </w:p>
        </w:tc>
      </w:tr>
      <w:tr w14:paraId="409461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134" w:hRule="exact"/>
        </w:trPr>
        <w:tc>
          <w:tcPr>
            <w:tcW w:w="1277" w:type="dxa"/>
            <w:vAlign w:val="center"/>
          </w:tcPr>
          <w:p w14:paraId="13251860">
            <w:pPr>
              <w:spacing w:line="360" w:lineRule="auto"/>
              <w:jc w:val="center"/>
              <w:rPr>
                <w:rFonts w:ascii="宋体" w:hAnsi="宋体"/>
                <w:sz w:val="24"/>
                <w:szCs w:val="24"/>
                <w:highlight w:val="none"/>
              </w:rPr>
            </w:pPr>
            <w:r>
              <w:rPr>
                <w:rFonts w:hint="eastAsia" w:ascii="宋体" w:hAnsi="宋体"/>
                <w:sz w:val="24"/>
                <w:szCs w:val="24"/>
                <w:highlight w:val="none"/>
              </w:rPr>
              <w:t>1.11</w:t>
            </w:r>
          </w:p>
        </w:tc>
        <w:tc>
          <w:tcPr>
            <w:tcW w:w="1797" w:type="dxa"/>
            <w:vAlign w:val="center"/>
          </w:tcPr>
          <w:p w14:paraId="245E16F5">
            <w:pPr>
              <w:tabs>
                <w:tab w:val="left" w:pos="540"/>
              </w:tabs>
              <w:spacing w:line="360" w:lineRule="auto"/>
              <w:jc w:val="center"/>
              <w:rPr>
                <w:rFonts w:ascii="宋体" w:hAnsi="宋体"/>
                <w:bCs/>
                <w:sz w:val="24"/>
                <w:szCs w:val="24"/>
                <w:highlight w:val="none"/>
              </w:rPr>
            </w:pPr>
            <w:r>
              <w:rPr>
                <w:rFonts w:hint="eastAsia" w:ascii="宋体" w:hAnsi="宋体"/>
                <w:bCs/>
                <w:sz w:val="24"/>
                <w:szCs w:val="24"/>
                <w:highlight w:val="none"/>
              </w:rPr>
              <w:t>分包</w:t>
            </w:r>
          </w:p>
        </w:tc>
        <w:tc>
          <w:tcPr>
            <w:tcW w:w="6658" w:type="dxa"/>
            <w:gridSpan w:val="2"/>
            <w:vAlign w:val="center"/>
          </w:tcPr>
          <w:p w14:paraId="6C68393C">
            <w:pPr>
              <w:tabs>
                <w:tab w:val="left" w:pos="540"/>
              </w:tabs>
              <w:spacing w:line="360" w:lineRule="auto"/>
              <w:rPr>
                <w:rFonts w:ascii="宋体" w:hAnsi="宋体"/>
                <w:bCs/>
                <w:spacing w:val="10"/>
                <w:sz w:val="24"/>
                <w:szCs w:val="24"/>
                <w:highlight w:val="none"/>
              </w:rPr>
            </w:pPr>
            <w:r>
              <w:rPr>
                <w:rFonts w:hint="eastAsia" w:ascii="宋体" w:hAnsi="宋体"/>
                <w:sz w:val="24"/>
                <w:szCs w:val="24"/>
                <w:highlight w:val="none"/>
                <w:lang w:eastAsia="zh-CN"/>
              </w:rPr>
              <w:t>☑</w:t>
            </w:r>
            <w:r>
              <w:rPr>
                <w:rFonts w:hint="eastAsia" w:ascii="宋体" w:hAnsi="宋体"/>
                <w:sz w:val="24"/>
                <w:szCs w:val="24"/>
                <w:highlight w:val="none"/>
              </w:rPr>
              <w:t xml:space="preserve">  不允许</w:t>
            </w:r>
          </w:p>
          <w:p w14:paraId="6BD6BF61">
            <w:pPr>
              <w:numPr>
                <w:ilvl w:val="0"/>
                <w:numId w:val="10"/>
              </w:numPr>
              <w:tabs>
                <w:tab w:val="left" w:pos="540"/>
              </w:tabs>
              <w:spacing w:line="360" w:lineRule="auto"/>
              <w:rPr>
                <w:rFonts w:ascii="宋体" w:hAnsi="宋体"/>
                <w:bCs/>
                <w:spacing w:val="10"/>
                <w:sz w:val="24"/>
                <w:szCs w:val="24"/>
                <w:highlight w:val="none"/>
              </w:rPr>
            </w:pPr>
            <w:r>
              <w:rPr>
                <w:rFonts w:hint="eastAsia" w:ascii="宋体" w:hAnsi="宋体"/>
                <w:sz w:val="24"/>
                <w:szCs w:val="24"/>
                <w:highlight w:val="none"/>
              </w:rPr>
              <w:t>允许</w:t>
            </w:r>
          </w:p>
        </w:tc>
      </w:tr>
      <w:tr w14:paraId="449F24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343" w:hRule="exact"/>
        </w:trPr>
        <w:tc>
          <w:tcPr>
            <w:tcW w:w="1277" w:type="dxa"/>
            <w:vAlign w:val="center"/>
          </w:tcPr>
          <w:p w14:paraId="2DE80CA6">
            <w:pPr>
              <w:spacing w:line="360" w:lineRule="auto"/>
              <w:jc w:val="center"/>
              <w:rPr>
                <w:rFonts w:ascii="宋体" w:hAnsi="宋体"/>
                <w:sz w:val="24"/>
                <w:szCs w:val="24"/>
                <w:highlight w:val="none"/>
              </w:rPr>
            </w:pPr>
            <w:r>
              <w:rPr>
                <w:rFonts w:ascii="宋体" w:hAnsi="宋体"/>
                <w:sz w:val="24"/>
                <w:szCs w:val="24"/>
                <w:highlight w:val="none"/>
              </w:rPr>
              <w:t>2.2.1</w:t>
            </w:r>
          </w:p>
        </w:tc>
        <w:tc>
          <w:tcPr>
            <w:tcW w:w="1806" w:type="dxa"/>
            <w:gridSpan w:val="2"/>
            <w:vAlign w:val="center"/>
          </w:tcPr>
          <w:p w14:paraId="4DDCA412">
            <w:pPr>
              <w:tabs>
                <w:tab w:val="left" w:pos="540"/>
              </w:tabs>
              <w:spacing w:line="360" w:lineRule="auto"/>
              <w:jc w:val="center"/>
              <w:rPr>
                <w:rFonts w:ascii="宋体" w:hAnsi="宋体"/>
                <w:sz w:val="24"/>
                <w:szCs w:val="24"/>
                <w:highlight w:val="none"/>
              </w:rPr>
            </w:pPr>
            <w:r>
              <w:rPr>
                <w:rFonts w:hint="eastAsia" w:ascii="宋体" w:hAnsi="宋体"/>
                <w:bCs/>
                <w:sz w:val="24"/>
                <w:szCs w:val="24"/>
                <w:highlight w:val="none"/>
              </w:rPr>
              <w:t>招标人澄清、修改或答疑期限和投标人质疑期限</w:t>
            </w:r>
          </w:p>
        </w:tc>
        <w:tc>
          <w:tcPr>
            <w:tcW w:w="6649" w:type="dxa"/>
            <w:vAlign w:val="center"/>
          </w:tcPr>
          <w:p w14:paraId="41B1BA3C">
            <w:pPr>
              <w:widowControl/>
              <w:tabs>
                <w:tab w:val="left" w:pos="540"/>
              </w:tabs>
              <w:spacing w:line="360" w:lineRule="auto"/>
              <w:rPr>
                <w:rFonts w:ascii="宋体"/>
                <w:sz w:val="24"/>
                <w:szCs w:val="24"/>
                <w:highlight w:val="none"/>
              </w:rPr>
            </w:pPr>
            <w:r>
              <w:rPr>
                <w:rFonts w:hint="eastAsia" w:ascii="宋体"/>
                <w:sz w:val="24"/>
                <w:szCs w:val="24"/>
                <w:highlight w:val="none"/>
              </w:rPr>
              <w:t>1.招标人澄清、修改或补充期限：投标截止日期15日前。</w:t>
            </w:r>
          </w:p>
          <w:p w14:paraId="76244DC2">
            <w:pPr>
              <w:widowControl/>
              <w:tabs>
                <w:tab w:val="left" w:pos="540"/>
              </w:tabs>
              <w:spacing w:line="360" w:lineRule="auto"/>
              <w:rPr>
                <w:rFonts w:ascii="宋体"/>
                <w:sz w:val="24"/>
                <w:szCs w:val="24"/>
                <w:highlight w:val="none"/>
              </w:rPr>
            </w:pPr>
            <w:r>
              <w:rPr>
                <w:rFonts w:hint="eastAsia" w:ascii="宋体"/>
                <w:sz w:val="24"/>
                <w:szCs w:val="24"/>
                <w:highlight w:val="none"/>
              </w:rPr>
              <w:t>2.投标人质疑期限：投标截止日期10日前。</w:t>
            </w:r>
          </w:p>
          <w:p w14:paraId="50A90BEF">
            <w:pPr>
              <w:tabs>
                <w:tab w:val="left" w:pos="540"/>
              </w:tabs>
              <w:spacing w:line="360" w:lineRule="auto"/>
              <w:rPr>
                <w:rFonts w:ascii="宋体" w:hAnsi="宋体"/>
                <w:bCs/>
                <w:spacing w:val="-6"/>
                <w:sz w:val="24"/>
                <w:szCs w:val="24"/>
                <w:highlight w:val="none"/>
              </w:rPr>
            </w:pPr>
            <w:r>
              <w:rPr>
                <w:rFonts w:hint="eastAsia" w:ascii="宋体"/>
                <w:sz w:val="24"/>
                <w:szCs w:val="24"/>
                <w:highlight w:val="none"/>
              </w:rPr>
              <w:t>招标人答疑期限：投标截止日期7日前。</w:t>
            </w:r>
          </w:p>
        </w:tc>
      </w:tr>
      <w:tr w14:paraId="68F90F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01" w:hRule="exact"/>
        </w:trPr>
        <w:tc>
          <w:tcPr>
            <w:tcW w:w="1277" w:type="dxa"/>
            <w:vAlign w:val="center"/>
          </w:tcPr>
          <w:p w14:paraId="05AFB544">
            <w:pPr>
              <w:spacing w:line="360" w:lineRule="auto"/>
              <w:ind w:firstLine="120" w:firstLineChars="50"/>
              <w:jc w:val="center"/>
              <w:rPr>
                <w:rFonts w:ascii="宋体" w:hAnsi="宋体"/>
                <w:sz w:val="24"/>
                <w:szCs w:val="24"/>
                <w:highlight w:val="none"/>
              </w:rPr>
            </w:pPr>
            <w:r>
              <w:rPr>
                <w:rFonts w:hint="eastAsia" w:ascii="宋体" w:hAnsi="宋体"/>
                <w:sz w:val="24"/>
                <w:szCs w:val="24"/>
                <w:highlight w:val="none"/>
              </w:rPr>
              <w:t>2.2.2</w:t>
            </w:r>
          </w:p>
        </w:tc>
        <w:tc>
          <w:tcPr>
            <w:tcW w:w="1806" w:type="dxa"/>
            <w:gridSpan w:val="2"/>
            <w:vAlign w:val="center"/>
          </w:tcPr>
          <w:p w14:paraId="3F0C80FA">
            <w:pPr>
              <w:spacing w:line="360" w:lineRule="auto"/>
              <w:ind w:firstLine="120" w:firstLineChars="50"/>
              <w:jc w:val="center"/>
              <w:rPr>
                <w:rFonts w:ascii="宋体" w:hAnsi="宋体"/>
                <w:sz w:val="24"/>
                <w:szCs w:val="24"/>
                <w:highlight w:val="none"/>
              </w:rPr>
            </w:pPr>
            <w:r>
              <w:rPr>
                <w:rFonts w:hint="eastAsia" w:ascii="宋体" w:hAnsi="宋体"/>
                <w:sz w:val="24"/>
                <w:szCs w:val="24"/>
                <w:highlight w:val="none"/>
              </w:rPr>
              <w:t>招标人答疑截止时间</w:t>
            </w:r>
          </w:p>
        </w:tc>
        <w:tc>
          <w:tcPr>
            <w:tcW w:w="6649" w:type="dxa"/>
            <w:vAlign w:val="center"/>
          </w:tcPr>
          <w:p w14:paraId="47A66B3C">
            <w:pPr>
              <w:spacing w:line="360" w:lineRule="auto"/>
              <w:ind w:firstLine="120" w:firstLineChars="50"/>
              <w:rPr>
                <w:rFonts w:ascii="宋体" w:hAnsi="宋体"/>
                <w:sz w:val="24"/>
                <w:szCs w:val="24"/>
                <w:highlight w:val="none"/>
              </w:rPr>
            </w:pPr>
            <w:r>
              <w:rPr>
                <w:rFonts w:hint="eastAsia" w:ascii="宋体" w:hAnsi="宋体"/>
                <w:sz w:val="24"/>
                <w:szCs w:val="24"/>
                <w:highlight w:val="none"/>
              </w:rPr>
              <w:t>收到澄清要求之日起3日内。</w:t>
            </w:r>
          </w:p>
        </w:tc>
      </w:tr>
      <w:tr w14:paraId="1FBB21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6008" w:hRule="exact"/>
        </w:trPr>
        <w:tc>
          <w:tcPr>
            <w:tcW w:w="1277" w:type="dxa"/>
            <w:vAlign w:val="center"/>
          </w:tcPr>
          <w:p w14:paraId="66B98D88">
            <w:pPr>
              <w:spacing w:line="360" w:lineRule="auto"/>
              <w:jc w:val="center"/>
              <w:rPr>
                <w:rFonts w:ascii="宋体" w:hAnsi="宋体"/>
                <w:sz w:val="24"/>
                <w:szCs w:val="24"/>
                <w:highlight w:val="none"/>
              </w:rPr>
            </w:pPr>
            <w:r>
              <w:rPr>
                <w:rFonts w:hint="eastAsia" w:ascii="宋体" w:hAnsi="宋体"/>
                <w:sz w:val="24"/>
                <w:szCs w:val="24"/>
                <w:highlight w:val="none"/>
              </w:rPr>
              <w:t>3.1.3</w:t>
            </w:r>
          </w:p>
        </w:tc>
        <w:tc>
          <w:tcPr>
            <w:tcW w:w="1806" w:type="dxa"/>
            <w:gridSpan w:val="2"/>
            <w:vAlign w:val="center"/>
          </w:tcPr>
          <w:p w14:paraId="061EF592">
            <w:pPr>
              <w:tabs>
                <w:tab w:val="left" w:pos="540"/>
              </w:tabs>
              <w:spacing w:line="360" w:lineRule="auto"/>
              <w:jc w:val="center"/>
              <w:rPr>
                <w:rFonts w:ascii="宋体" w:hAnsi="宋体"/>
                <w:sz w:val="24"/>
                <w:szCs w:val="24"/>
                <w:highlight w:val="none"/>
              </w:rPr>
            </w:pPr>
            <w:r>
              <w:rPr>
                <w:rFonts w:hint="eastAsia" w:ascii="宋体" w:hAnsi="宋体"/>
                <w:sz w:val="24"/>
                <w:szCs w:val="24"/>
                <w:highlight w:val="none"/>
              </w:rPr>
              <w:t>投标文件电子版内容</w:t>
            </w:r>
          </w:p>
        </w:tc>
        <w:tc>
          <w:tcPr>
            <w:tcW w:w="6649" w:type="dxa"/>
            <w:vAlign w:val="center"/>
          </w:tcPr>
          <w:p w14:paraId="31F2D3B1">
            <w:pPr>
              <w:widowControl/>
              <w:spacing w:line="440" w:lineRule="exact"/>
              <w:rPr>
                <w:rFonts w:hint="eastAsia" w:ascii="宋体" w:hAnsi="Times New Roman" w:eastAsia="宋体" w:cs="Times New Roman"/>
                <w:sz w:val="24"/>
                <w:szCs w:val="24"/>
                <w:highlight w:val="none"/>
              </w:rPr>
            </w:pPr>
            <w:r>
              <w:rPr>
                <w:rFonts w:hint="eastAsia" w:ascii="宋体" w:hAnsi="Times New Roman" w:eastAsia="宋体" w:cs="Times New Roman"/>
                <w:sz w:val="24"/>
                <w:szCs w:val="24"/>
                <w:highlight w:val="none"/>
              </w:rPr>
              <w:t>投标人在递交投标文件的同时，需要递交：</w:t>
            </w:r>
          </w:p>
          <w:p w14:paraId="3C2D2A5E">
            <w:pPr>
              <w:widowControl/>
              <w:spacing w:line="440" w:lineRule="exact"/>
              <w:rPr>
                <w:rFonts w:hint="eastAsia" w:ascii="宋体" w:hAnsi="Times New Roman" w:eastAsia="宋体" w:cs="Times New Roman"/>
                <w:sz w:val="24"/>
                <w:szCs w:val="24"/>
                <w:highlight w:val="none"/>
              </w:rPr>
            </w:pPr>
            <w:r>
              <w:rPr>
                <w:rFonts w:hint="eastAsia" w:ascii="宋体" w:hAnsi="Times New Roman" w:eastAsia="宋体" w:cs="Times New Roman"/>
                <w:sz w:val="24"/>
                <w:szCs w:val="24"/>
                <w:highlight w:val="none"/>
              </w:rPr>
              <w:t>1.商务投标文件电子版（光盘一套，U盘一套），内容包括：</w:t>
            </w:r>
          </w:p>
          <w:p w14:paraId="71E5770C">
            <w:pPr>
              <w:widowControl/>
              <w:spacing w:line="440" w:lineRule="exact"/>
              <w:rPr>
                <w:rFonts w:hint="eastAsia" w:ascii="宋体" w:hAnsi="Times New Roman" w:eastAsia="宋体" w:cs="Times New Roman"/>
                <w:sz w:val="24"/>
                <w:szCs w:val="24"/>
                <w:highlight w:val="none"/>
              </w:rPr>
            </w:pPr>
            <w:r>
              <w:rPr>
                <w:rFonts w:hint="eastAsia" w:ascii="宋体" w:hAnsi="Times New Roman" w:eastAsia="宋体" w:cs="Times New Roman"/>
                <w:sz w:val="24"/>
                <w:szCs w:val="24"/>
                <w:highlight w:val="none"/>
              </w:rPr>
              <w:t>（1）商务投标文件（第一册）的Word版；</w:t>
            </w:r>
          </w:p>
          <w:p w14:paraId="36D8AF0D">
            <w:pPr>
              <w:widowControl/>
              <w:spacing w:line="440" w:lineRule="exact"/>
              <w:rPr>
                <w:rFonts w:hint="eastAsia" w:ascii="宋体" w:hAnsi="Times New Roman" w:eastAsia="宋体" w:cs="Times New Roman"/>
                <w:sz w:val="24"/>
                <w:szCs w:val="24"/>
                <w:highlight w:val="none"/>
              </w:rPr>
            </w:pPr>
            <w:r>
              <w:rPr>
                <w:rFonts w:hint="eastAsia" w:ascii="宋体" w:hAnsi="Times New Roman" w:eastAsia="宋体" w:cs="Times New Roman"/>
                <w:sz w:val="24"/>
                <w:szCs w:val="24"/>
                <w:highlight w:val="none"/>
              </w:rPr>
              <w:t>（2）商务投标文件（第一册）</w:t>
            </w:r>
            <w:r>
              <w:rPr>
                <w:rFonts w:hint="eastAsia" w:ascii="宋体" w:hAnsi="Times New Roman" w:eastAsia="宋体" w:cs="Times New Roman"/>
                <w:b w:val="0"/>
                <w:bCs w:val="0"/>
                <w:sz w:val="24"/>
                <w:szCs w:val="24"/>
                <w:highlight w:val="none"/>
                <w:lang w:val="en-US" w:eastAsia="zh-CN"/>
              </w:rPr>
              <w:t>正本盖章签字扫描件</w:t>
            </w:r>
            <w:r>
              <w:rPr>
                <w:rFonts w:hint="eastAsia" w:ascii="宋体" w:hAnsi="Times New Roman" w:eastAsia="宋体" w:cs="Times New Roman"/>
                <w:sz w:val="24"/>
                <w:szCs w:val="24"/>
                <w:highlight w:val="none"/>
              </w:rPr>
              <w:t>及其随附复印件所有内容的PDF格式的电子版，该内容应按投标文件纸质版（含随附复印件）的顺序排列。</w:t>
            </w:r>
          </w:p>
          <w:p w14:paraId="6A9B1B8D">
            <w:pPr>
              <w:widowControl/>
              <w:spacing w:line="440" w:lineRule="exact"/>
              <w:rPr>
                <w:rFonts w:hint="eastAsia" w:ascii="宋体" w:hAnsi="Times New Roman" w:eastAsia="宋体" w:cs="Times New Roman"/>
                <w:sz w:val="24"/>
                <w:szCs w:val="24"/>
                <w:highlight w:val="none"/>
              </w:rPr>
            </w:pPr>
            <w:r>
              <w:rPr>
                <w:rFonts w:hint="eastAsia" w:ascii="宋体" w:hAnsi="Times New Roman" w:eastAsia="宋体" w:cs="Times New Roman"/>
                <w:sz w:val="24"/>
                <w:szCs w:val="24"/>
                <w:highlight w:val="none"/>
              </w:rPr>
              <w:t>2.技术投标文件电子版（第</w:t>
            </w:r>
            <w:r>
              <w:rPr>
                <w:rFonts w:hint="eastAsia" w:ascii="宋体" w:hAnsi="Times New Roman" w:eastAsia="宋体" w:cs="Times New Roman"/>
                <w:sz w:val="24"/>
                <w:szCs w:val="24"/>
                <w:highlight w:val="none"/>
                <w:lang w:val="en-US" w:eastAsia="zh-CN"/>
              </w:rPr>
              <w:t>二</w:t>
            </w:r>
            <w:r>
              <w:rPr>
                <w:rFonts w:hint="eastAsia" w:ascii="宋体" w:hAnsi="Times New Roman" w:eastAsia="宋体" w:cs="Times New Roman"/>
                <w:sz w:val="24"/>
                <w:szCs w:val="24"/>
                <w:highlight w:val="none"/>
              </w:rPr>
              <w:t>册）（Word版，光盘一套，U盘一套）。</w:t>
            </w:r>
          </w:p>
          <w:p w14:paraId="1180F279">
            <w:pPr>
              <w:widowControl/>
              <w:spacing w:line="440" w:lineRule="exact"/>
              <w:ind w:firstLine="0" w:firstLineChars="0"/>
              <w:rPr>
                <w:rFonts w:hint="eastAsia" w:ascii="宋体" w:hAnsi="Times New Roman" w:eastAsia="宋体" w:cs="Times New Roman"/>
                <w:kern w:val="2"/>
                <w:sz w:val="24"/>
                <w:szCs w:val="24"/>
                <w:highlight w:val="none"/>
                <w:lang w:val="en-US" w:eastAsia="zh-CN" w:bidi="ar"/>
              </w:rPr>
            </w:pPr>
            <w:r>
              <w:rPr>
                <w:rFonts w:hint="eastAsia" w:ascii="宋体" w:hAnsi="Times New Roman" w:eastAsia="宋体" w:cs="Times New Roman"/>
                <w:sz w:val="24"/>
                <w:szCs w:val="24"/>
                <w:highlight w:val="none"/>
                <w:lang w:val="en-US" w:eastAsia="zh-CN"/>
              </w:rPr>
              <w:t>3.经济报价投标文件</w:t>
            </w:r>
            <w:r>
              <w:rPr>
                <w:rFonts w:hint="eastAsia" w:ascii="宋体" w:hAnsi="Times New Roman" w:eastAsia="宋体" w:cs="Times New Roman"/>
                <w:kern w:val="2"/>
                <w:sz w:val="24"/>
                <w:szCs w:val="24"/>
                <w:highlight w:val="none"/>
                <w:lang w:val="en-US" w:eastAsia="zh-CN" w:bidi="ar"/>
              </w:rPr>
              <w:t>电子版</w:t>
            </w:r>
            <w:r>
              <w:rPr>
                <w:rFonts w:hint="eastAsia" w:ascii="宋体" w:hAnsi="Times New Roman" w:eastAsia="宋体" w:cs="Times New Roman"/>
                <w:sz w:val="24"/>
                <w:szCs w:val="24"/>
                <w:highlight w:val="none"/>
              </w:rPr>
              <w:t>（第</w:t>
            </w:r>
            <w:r>
              <w:rPr>
                <w:rFonts w:hint="eastAsia" w:ascii="宋体" w:cs="Times New Roman"/>
                <w:sz w:val="24"/>
                <w:szCs w:val="24"/>
                <w:highlight w:val="none"/>
                <w:lang w:val="en-US" w:eastAsia="zh-CN"/>
              </w:rPr>
              <w:t>三</w:t>
            </w:r>
            <w:r>
              <w:rPr>
                <w:rFonts w:hint="eastAsia" w:ascii="宋体" w:hAnsi="Times New Roman" w:eastAsia="宋体" w:cs="Times New Roman"/>
                <w:sz w:val="24"/>
                <w:szCs w:val="24"/>
                <w:highlight w:val="none"/>
              </w:rPr>
              <w:t>册）</w:t>
            </w:r>
            <w:r>
              <w:rPr>
                <w:rFonts w:hint="eastAsia" w:ascii="宋体" w:hAnsi="Times New Roman" w:eastAsia="宋体" w:cs="Times New Roman"/>
                <w:kern w:val="2"/>
                <w:sz w:val="24"/>
                <w:szCs w:val="24"/>
                <w:highlight w:val="none"/>
                <w:lang w:val="en-US" w:eastAsia="zh-CN" w:bidi="ar"/>
              </w:rPr>
              <w:t>（</w:t>
            </w:r>
            <w:r>
              <w:rPr>
                <w:rFonts w:hint="eastAsia" w:ascii="宋体" w:hAnsi="Times New Roman" w:eastAsia="宋体" w:cs="Times New Roman"/>
                <w:sz w:val="24"/>
                <w:szCs w:val="24"/>
                <w:highlight w:val="none"/>
              </w:rPr>
              <w:t>光盘一套，U盘一套</w:t>
            </w:r>
            <w:r>
              <w:rPr>
                <w:rFonts w:hint="eastAsia" w:ascii="宋体" w:hAnsi="Times New Roman" w:eastAsia="宋体" w:cs="Times New Roman"/>
                <w:kern w:val="2"/>
                <w:sz w:val="24"/>
                <w:szCs w:val="24"/>
                <w:highlight w:val="none"/>
                <w:lang w:val="en-US" w:eastAsia="zh-CN" w:bidi="ar"/>
              </w:rPr>
              <w:t>）。</w:t>
            </w:r>
          </w:p>
          <w:p w14:paraId="764F5CF1">
            <w:pPr>
              <w:widowControl/>
              <w:spacing w:line="440" w:lineRule="exact"/>
              <w:ind w:firstLine="0" w:firstLineChars="0"/>
              <w:rPr>
                <w:rFonts w:hint="eastAsia" w:ascii="宋体" w:hAnsi="Times New Roman" w:eastAsia="宋体" w:cs="Times New Roman"/>
                <w:b w:val="0"/>
                <w:bCs w:val="0"/>
                <w:kern w:val="2"/>
                <w:sz w:val="24"/>
                <w:szCs w:val="24"/>
                <w:highlight w:val="none"/>
              </w:rPr>
            </w:pPr>
            <w:r>
              <w:rPr>
                <w:rFonts w:hint="eastAsia" w:ascii="宋体" w:hAnsi="Times New Roman" w:eastAsia="宋体" w:cs="Times New Roman"/>
                <w:b w:val="0"/>
                <w:bCs w:val="0"/>
                <w:kern w:val="2"/>
                <w:sz w:val="24"/>
                <w:szCs w:val="24"/>
                <w:highlight w:val="none"/>
              </w:rPr>
              <w:t>（1）工程监理投标报价书的Word版；</w:t>
            </w:r>
          </w:p>
          <w:p w14:paraId="02C135D5">
            <w:pPr>
              <w:widowControl/>
              <w:spacing w:line="440" w:lineRule="exact"/>
              <w:rPr>
                <w:rFonts w:hint="default" w:ascii="宋体" w:eastAsia="宋体"/>
                <w:sz w:val="24"/>
                <w:szCs w:val="24"/>
                <w:highlight w:val="none"/>
                <w:lang w:val="en-US" w:eastAsia="zh-CN"/>
              </w:rPr>
            </w:pPr>
            <w:r>
              <w:rPr>
                <w:rFonts w:hint="eastAsia" w:ascii="宋体" w:hAnsi="Times New Roman" w:eastAsia="宋体" w:cs="Times New Roman"/>
                <w:b w:val="0"/>
                <w:bCs w:val="0"/>
                <w:kern w:val="2"/>
                <w:sz w:val="24"/>
                <w:szCs w:val="24"/>
                <w:highlight w:val="none"/>
              </w:rPr>
              <w:t>（2）工程监理投标报价书</w:t>
            </w:r>
            <w:r>
              <w:rPr>
                <w:rFonts w:hint="eastAsia" w:ascii="宋体" w:hAnsi="Times New Roman" w:eastAsia="宋体" w:cs="Times New Roman"/>
                <w:b w:val="0"/>
                <w:bCs w:val="0"/>
                <w:kern w:val="2"/>
                <w:sz w:val="24"/>
                <w:szCs w:val="24"/>
                <w:highlight w:val="none"/>
                <w:lang w:val="en-US" w:eastAsia="zh-CN"/>
              </w:rPr>
              <w:t>正本</w:t>
            </w:r>
            <w:r>
              <w:rPr>
                <w:rFonts w:hint="eastAsia" w:ascii="宋体"/>
                <w:b w:val="0"/>
                <w:bCs w:val="0"/>
                <w:sz w:val="24"/>
                <w:szCs w:val="24"/>
                <w:highlight w:val="none"/>
                <w:lang w:val="en-US" w:eastAsia="zh-CN"/>
              </w:rPr>
              <w:t>盖章签字</w:t>
            </w:r>
            <w:r>
              <w:rPr>
                <w:rFonts w:hint="eastAsia" w:ascii="宋体" w:hAnsi="Times New Roman" w:eastAsia="宋体" w:cs="Times New Roman"/>
                <w:b w:val="0"/>
                <w:bCs w:val="0"/>
                <w:kern w:val="2"/>
                <w:sz w:val="24"/>
                <w:szCs w:val="24"/>
                <w:highlight w:val="none"/>
                <w:lang w:val="en-US" w:eastAsia="zh-CN"/>
              </w:rPr>
              <w:t>扫描件</w:t>
            </w:r>
            <w:r>
              <w:rPr>
                <w:rFonts w:hint="eastAsia" w:ascii="宋体" w:hAnsi="Times New Roman" w:eastAsia="宋体" w:cs="Times New Roman"/>
                <w:b w:val="0"/>
                <w:bCs w:val="0"/>
                <w:kern w:val="2"/>
                <w:sz w:val="24"/>
                <w:szCs w:val="24"/>
                <w:highlight w:val="none"/>
              </w:rPr>
              <w:t>。</w:t>
            </w:r>
          </w:p>
        </w:tc>
      </w:tr>
      <w:tr w14:paraId="564ADA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7038" w:hRule="exact"/>
        </w:trPr>
        <w:tc>
          <w:tcPr>
            <w:tcW w:w="1277" w:type="dxa"/>
            <w:vAlign w:val="center"/>
          </w:tcPr>
          <w:p w14:paraId="55F2D370">
            <w:pPr>
              <w:spacing w:line="360" w:lineRule="auto"/>
              <w:jc w:val="center"/>
              <w:rPr>
                <w:rFonts w:ascii="宋体" w:hAnsi="宋体"/>
                <w:sz w:val="24"/>
                <w:szCs w:val="24"/>
                <w:highlight w:val="none"/>
              </w:rPr>
            </w:pPr>
            <w:r>
              <w:rPr>
                <w:rFonts w:hint="eastAsia" w:ascii="宋体" w:hAnsi="宋体"/>
                <w:sz w:val="24"/>
                <w:szCs w:val="24"/>
                <w:highlight w:val="none"/>
              </w:rPr>
              <w:t>3.2.1</w:t>
            </w:r>
          </w:p>
        </w:tc>
        <w:tc>
          <w:tcPr>
            <w:tcW w:w="1806" w:type="dxa"/>
            <w:gridSpan w:val="2"/>
            <w:vAlign w:val="center"/>
          </w:tcPr>
          <w:p w14:paraId="7CD0D8F1">
            <w:pPr>
              <w:spacing w:line="360" w:lineRule="auto"/>
              <w:jc w:val="center"/>
              <w:rPr>
                <w:rFonts w:ascii="宋体" w:hAnsi="宋体"/>
                <w:sz w:val="24"/>
                <w:szCs w:val="24"/>
                <w:highlight w:val="none"/>
              </w:rPr>
            </w:pPr>
            <w:r>
              <w:rPr>
                <w:rFonts w:hint="eastAsia" w:ascii="宋体" w:hAnsi="宋体"/>
                <w:sz w:val="24"/>
                <w:szCs w:val="24"/>
                <w:highlight w:val="none"/>
              </w:rPr>
              <w:t>监理费用</w:t>
            </w:r>
          </w:p>
        </w:tc>
        <w:tc>
          <w:tcPr>
            <w:tcW w:w="6649" w:type="dxa"/>
            <w:vAlign w:val="center"/>
          </w:tcPr>
          <w:p w14:paraId="5D018D81">
            <w:pPr>
              <w:widowControl/>
              <w:adjustRightInd w:val="0"/>
              <w:spacing w:line="360" w:lineRule="auto"/>
              <w:jc w:val="left"/>
              <w:rPr>
                <w:rFonts w:hAnsi="宋体"/>
                <w:b/>
                <w:sz w:val="24"/>
                <w:szCs w:val="24"/>
                <w:highlight w:val="none"/>
              </w:rPr>
            </w:pPr>
            <w:r>
              <w:rPr>
                <w:rFonts w:hint="eastAsia" w:hAnsi="宋体"/>
                <w:b/>
                <w:sz w:val="24"/>
                <w:szCs w:val="24"/>
                <w:highlight w:val="none"/>
              </w:rPr>
              <w:t>招标控制价计费方式：</w:t>
            </w:r>
          </w:p>
          <w:p w14:paraId="50D08A59">
            <w:pPr>
              <w:widowControl/>
              <w:adjustRightIn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本项目监理费用的计算参照《关于印发＜建设工程监理与相关服务收费管理规定＞的通知》（发改价格〔2007〕670号）规定标准，并按（发改价格〔2015〕299号）实行市场调节价。</w:t>
            </w:r>
          </w:p>
          <w:p w14:paraId="00ADC734">
            <w:pPr>
              <w:widowControl/>
              <w:adjustRightInd w:val="0"/>
              <w:spacing w:line="360" w:lineRule="auto"/>
              <w:ind w:firstLine="480" w:firstLineChars="200"/>
              <w:jc w:val="left"/>
              <w:rPr>
                <w:rFonts w:hAnsi="宋体"/>
                <w:sz w:val="24"/>
                <w:szCs w:val="24"/>
                <w:highlight w:val="none"/>
              </w:rPr>
            </w:pPr>
            <w:r>
              <w:rPr>
                <w:rFonts w:hint="eastAsia" w:hAnsi="宋体"/>
                <w:sz w:val="24"/>
                <w:szCs w:val="24"/>
                <w:highlight w:val="none"/>
              </w:rPr>
              <w:t>本项目调整系数为：专业调整系数取</w:t>
            </w:r>
            <w:r>
              <w:rPr>
                <w:rFonts w:hint="eastAsia" w:hAnsi="宋体"/>
                <w:b/>
                <w:bCs/>
                <w:sz w:val="24"/>
                <w:szCs w:val="24"/>
                <w:highlight w:val="none"/>
                <w:u w:val="single"/>
              </w:rPr>
              <w:t xml:space="preserve"> </w:t>
            </w:r>
            <w:r>
              <w:rPr>
                <w:rFonts w:hint="eastAsia" w:hAnsi="宋体"/>
                <w:b/>
                <w:bCs/>
                <w:sz w:val="24"/>
                <w:szCs w:val="24"/>
                <w:highlight w:val="none"/>
                <w:u w:val="single"/>
                <w:lang w:val="en-US" w:eastAsia="zh-CN"/>
              </w:rPr>
              <w:t>1.0</w:t>
            </w:r>
            <w:r>
              <w:rPr>
                <w:rFonts w:hint="eastAsia" w:hAnsi="宋体"/>
                <w:b/>
                <w:bCs/>
                <w:sz w:val="24"/>
                <w:szCs w:val="24"/>
                <w:highlight w:val="none"/>
                <w:u w:val="single"/>
              </w:rPr>
              <w:t xml:space="preserve"> </w:t>
            </w:r>
            <w:r>
              <w:rPr>
                <w:rFonts w:hint="eastAsia" w:hAnsi="宋体"/>
                <w:sz w:val="24"/>
                <w:szCs w:val="24"/>
                <w:highlight w:val="none"/>
              </w:rPr>
              <w:t>、工程复杂程度调整系数取</w:t>
            </w:r>
            <w:r>
              <w:rPr>
                <w:rFonts w:hint="eastAsia" w:hAnsi="宋体"/>
                <w:b/>
                <w:bCs/>
                <w:sz w:val="24"/>
                <w:szCs w:val="24"/>
                <w:highlight w:val="none"/>
                <w:u w:val="single"/>
              </w:rPr>
              <w:t xml:space="preserve"> </w:t>
            </w:r>
            <w:r>
              <w:rPr>
                <w:rFonts w:hint="eastAsia" w:hAnsi="宋体"/>
                <w:b/>
                <w:bCs/>
                <w:sz w:val="24"/>
                <w:szCs w:val="24"/>
                <w:highlight w:val="none"/>
                <w:u w:val="single"/>
                <w:lang w:val="en-US" w:eastAsia="zh-CN"/>
              </w:rPr>
              <w:t>1.0</w:t>
            </w:r>
            <w:r>
              <w:rPr>
                <w:rFonts w:hint="eastAsia" w:hAnsi="宋体"/>
                <w:b/>
                <w:bCs/>
                <w:sz w:val="24"/>
                <w:szCs w:val="24"/>
                <w:highlight w:val="none"/>
                <w:u w:val="single"/>
              </w:rPr>
              <w:t xml:space="preserve"> </w:t>
            </w:r>
            <w:r>
              <w:rPr>
                <w:rFonts w:hint="eastAsia" w:hAnsi="宋体"/>
                <w:sz w:val="24"/>
                <w:szCs w:val="24"/>
                <w:highlight w:val="none"/>
              </w:rPr>
              <w:t>、高程调整系数取</w:t>
            </w:r>
            <w:r>
              <w:rPr>
                <w:rFonts w:hint="eastAsia" w:hAnsi="宋体"/>
                <w:b/>
                <w:bCs/>
                <w:sz w:val="24"/>
                <w:szCs w:val="24"/>
                <w:highlight w:val="none"/>
                <w:u w:val="single"/>
              </w:rPr>
              <w:t xml:space="preserve"> </w:t>
            </w:r>
            <w:r>
              <w:rPr>
                <w:rFonts w:hint="eastAsia" w:hAnsi="宋体"/>
                <w:b/>
                <w:bCs/>
                <w:sz w:val="24"/>
                <w:szCs w:val="24"/>
                <w:highlight w:val="none"/>
                <w:u w:val="single"/>
                <w:lang w:val="en-US" w:eastAsia="zh-CN"/>
              </w:rPr>
              <w:t>1.0</w:t>
            </w:r>
            <w:r>
              <w:rPr>
                <w:rFonts w:hint="eastAsia" w:hAnsi="宋体"/>
                <w:b/>
                <w:bCs/>
                <w:sz w:val="24"/>
                <w:szCs w:val="24"/>
                <w:highlight w:val="none"/>
                <w:u w:val="single"/>
              </w:rPr>
              <w:t xml:space="preserve"> </w:t>
            </w:r>
            <w:r>
              <w:rPr>
                <w:rFonts w:hint="eastAsia" w:hAnsi="宋体"/>
                <w:sz w:val="24"/>
                <w:szCs w:val="24"/>
                <w:highlight w:val="none"/>
              </w:rPr>
              <w:t>。</w:t>
            </w:r>
          </w:p>
          <w:p w14:paraId="6235A5BD">
            <w:pPr>
              <w:widowControl/>
              <w:adjustRightIn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项目监理费暂按 概算批复的建筑安装工程费14540 万元为计费额，最终工程造价以政府结算终审部门的审定为准。</w:t>
            </w:r>
          </w:p>
          <w:p w14:paraId="6DC32516">
            <w:pPr>
              <w:spacing w:line="360" w:lineRule="auto"/>
              <w:rPr>
                <w:rFonts w:hAnsi="宋体"/>
                <w:b/>
                <w:bCs/>
                <w:sz w:val="24"/>
                <w:szCs w:val="24"/>
                <w:highlight w:val="none"/>
                <w:u w:val="single"/>
              </w:rPr>
            </w:pPr>
            <w:r>
              <w:rPr>
                <w:rFonts w:hint="eastAsia" w:hAnsi="宋体"/>
                <w:sz w:val="24"/>
                <w:szCs w:val="24"/>
                <w:highlight w:val="none"/>
              </w:rPr>
              <w:t>本项目按监理基准价</w:t>
            </w:r>
            <w:r>
              <w:rPr>
                <w:rFonts w:hint="eastAsia" w:hAnsi="宋体"/>
                <w:b/>
                <w:bCs/>
                <w:sz w:val="24"/>
                <w:szCs w:val="24"/>
                <w:highlight w:val="none"/>
                <w:u w:val="single"/>
              </w:rPr>
              <w:t xml:space="preserve">¥ </w:t>
            </w:r>
            <w:r>
              <w:rPr>
                <w:rFonts w:hint="eastAsia" w:hAnsi="宋体"/>
                <w:b/>
                <w:bCs/>
                <w:sz w:val="24"/>
                <w:szCs w:val="24"/>
                <w:highlight w:val="none"/>
                <w:u w:val="single"/>
                <w:lang w:val="en-US" w:eastAsia="zh-CN"/>
              </w:rPr>
              <w:t>297.95</w:t>
            </w:r>
            <w:r>
              <w:rPr>
                <w:rFonts w:hint="eastAsia" w:hAnsi="宋体"/>
                <w:b/>
                <w:bCs/>
                <w:sz w:val="24"/>
                <w:szCs w:val="24"/>
                <w:highlight w:val="none"/>
                <w:u w:val="single"/>
              </w:rPr>
              <w:t xml:space="preserve"> 万元</w:t>
            </w:r>
            <w:r>
              <w:rPr>
                <w:rFonts w:hint="eastAsia" w:hAnsi="宋体"/>
                <w:sz w:val="24"/>
                <w:szCs w:val="24"/>
                <w:highlight w:val="none"/>
              </w:rPr>
              <w:t>作为招标控制价。</w:t>
            </w:r>
          </w:p>
          <w:p w14:paraId="638D2B9E">
            <w:pPr>
              <w:autoSpaceDE w:val="0"/>
              <w:autoSpaceDN w:val="0"/>
              <w:adjustRightInd w:val="0"/>
              <w:spacing w:line="360" w:lineRule="auto"/>
              <w:jc w:val="left"/>
              <w:rPr>
                <w:rFonts w:hAnsi="宋体"/>
                <w:b/>
                <w:sz w:val="24"/>
                <w:szCs w:val="24"/>
                <w:highlight w:val="none"/>
              </w:rPr>
            </w:pPr>
            <w:r>
              <w:rPr>
                <w:rFonts w:hint="eastAsia" w:hAnsi="宋体"/>
                <w:b/>
                <w:sz w:val="24"/>
                <w:szCs w:val="24"/>
                <w:highlight w:val="none"/>
              </w:rPr>
              <w:t>报价方式：</w:t>
            </w:r>
          </w:p>
          <w:p w14:paraId="6177B997">
            <w:pPr>
              <w:autoSpaceDE w:val="0"/>
              <w:autoSpaceDN w:val="0"/>
              <w:adjustRightInd w:val="0"/>
              <w:spacing w:line="360" w:lineRule="auto"/>
              <w:ind w:firstLine="360" w:firstLineChars="150"/>
              <w:jc w:val="left"/>
              <w:rPr>
                <w:rFonts w:hAnsi="宋体"/>
                <w:sz w:val="24"/>
                <w:szCs w:val="24"/>
                <w:highlight w:val="none"/>
              </w:rPr>
            </w:pPr>
            <w:r>
              <w:rPr>
                <w:rFonts w:hint="eastAsia" w:hAnsi="宋体"/>
                <w:sz w:val="24"/>
                <w:szCs w:val="24"/>
                <w:highlight w:val="none"/>
              </w:rPr>
              <w:t>本项目监理招标以投报监理服务费下浮率的方式进行报价（监理服务费下浮率在</w:t>
            </w:r>
            <w:r>
              <w:rPr>
                <w:rFonts w:hint="eastAsia" w:hAnsi="宋体"/>
                <w:sz w:val="24"/>
                <w:szCs w:val="24"/>
                <w:highlight w:val="none"/>
                <w:u w:val="single"/>
              </w:rPr>
              <w:t>20</w:t>
            </w:r>
            <w:r>
              <w:rPr>
                <w:rFonts w:hint="eastAsia" w:hAnsi="宋体"/>
                <w:sz w:val="24"/>
                <w:szCs w:val="24"/>
                <w:highlight w:val="none"/>
              </w:rPr>
              <w:t>%＜a≤</w:t>
            </w:r>
            <w:r>
              <w:rPr>
                <w:rFonts w:hint="eastAsia" w:hAnsi="宋体"/>
                <w:sz w:val="24"/>
                <w:szCs w:val="24"/>
                <w:highlight w:val="none"/>
                <w:u w:val="single"/>
              </w:rPr>
              <w:t>40</w:t>
            </w:r>
            <w:r>
              <w:rPr>
                <w:rFonts w:hint="eastAsia" w:hAnsi="宋体"/>
                <w:sz w:val="24"/>
                <w:szCs w:val="24"/>
                <w:highlight w:val="none"/>
              </w:rPr>
              <w:t>%区间进行投报，</w:t>
            </w:r>
            <w:r>
              <w:rPr>
                <w:rFonts w:hint="eastAsia" w:ascii="宋体" w:hAnsi="宋体"/>
                <w:bCs/>
                <w:sz w:val="24"/>
                <w:szCs w:val="24"/>
                <w:highlight w:val="none"/>
              </w:rPr>
              <w:t>百分数保留二位小数，</w:t>
            </w:r>
            <w:r>
              <w:rPr>
                <w:rFonts w:hint="eastAsia" w:hAnsi="宋体"/>
                <w:sz w:val="24"/>
                <w:szCs w:val="24"/>
                <w:highlight w:val="none"/>
              </w:rPr>
              <w:t>不在此范围的投标为无效标）。</w:t>
            </w:r>
          </w:p>
          <w:p w14:paraId="1FFB9A9D">
            <w:pPr>
              <w:spacing w:line="360" w:lineRule="auto"/>
              <w:rPr>
                <w:rFonts w:hAnsi="宋体"/>
                <w:b/>
                <w:bCs/>
                <w:sz w:val="24"/>
                <w:szCs w:val="24"/>
                <w:highlight w:val="none"/>
                <w:u w:val="single"/>
              </w:rPr>
            </w:pPr>
            <w:r>
              <w:rPr>
                <w:rFonts w:hint="eastAsia" w:hAnsi="宋体"/>
                <w:sz w:val="24"/>
                <w:szCs w:val="24"/>
                <w:highlight w:val="none"/>
              </w:rPr>
              <w:t>每个投标人只允许有一个报价，多个报价或超出范围的投标报价其投标文件作无效标处理。</w:t>
            </w:r>
          </w:p>
        </w:tc>
      </w:tr>
      <w:tr w14:paraId="28902C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92" w:hRule="exact"/>
        </w:trPr>
        <w:tc>
          <w:tcPr>
            <w:tcW w:w="1277" w:type="dxa"/>
            <w:vAlign w:val="center"/>
          </w:tcPr>
          <w:p w14:paraId="3EE8D2F5">
            <w:pPr>
              <w:spacing w:line="360" w:lineRule="auto"/>
              <w:jc w:val="center"/>
              <w:rPr>
                <w:rFonts w:ascii="宋体" w:hAnsi="宋体"/>
                <w:sz w:val="24"/>
                <w:szCs w:val="24"/>
                <w:highlight w:val="none"/>
              </w:rPr>
            </w:pPr>
            <w:r>
              <w:rPr>
                <w:rFonts w:hint="eastAsia" w:ascii="宋体" w:hAnsi="宋体"/>
                <w:sz w:val="24"/>
                <w:szCs w:val="24"/>
                <w:highlight w:val="none"/>
              </w:rPr>
              <w:t>3.2.4</w:t>
            </w:r>
          </w:p>
        </w:tc>
        <w:tc>
          <w:tcPr>
            <w:tcW w:w="1806" w:type="dxa"/>
            <w:gridSpan w:val="2"/>
            <w:vAlign w:val="center"/>
          </w:tcPr>
          <w:p w14:paraId="0E79B6FC">
            <w:pPr>
              <w:spacing w:line="360" w:lineRule="auto"/>
              <w:jc w:val="center"/>
              <w:rPr>
                <w:rFonts w:ascii="宋体" w:hAnsi="宋体"/>
                <w:sz w:val="24"/>
                <w:szCs w:val="24"/>
                <w:highlight w:val="none"/>
              </w:rPr>
            </w:pPr>
            <w:r>
              <w:rPr>
                <w:rFonts w:hint="eastAsia" w:ascii="宋体" w:hAnsi="宋体"/>
                <w:sz w:val="24"/>
                <w:szCs w:val="24"/>
                <w:highlight w:val="none"/>
              </w:rPr>
              <w:t>监理服务费</w:t>
            </w:r>
          </w:p>
          <w:p w14:paraId="0011F343">
            <w:pPr>
              <w:spacing w:line="360" w:lineRule="auto"/>
              <w:jc w:val="center"/>
              <w:rPr>
                <w:rFonts w:ascii="宋体" w:hAnsi="宋体"/>
                <w:sz w:val="24"/>
                <w:szCs w:val="24"/>
                <w:highlight w:val="none"/>
              </w:rPr>
            </w:pPr>
            <w:r>
              <w:rPr>
                <w:rFonts w:hint="eastAsia" w:ascii="宋体" w:hAnsi="宋体"/>
                <w:sz w:val="24"/>
                <w:szCs w:val="24"/>
                <w:highlight w:val="none"/>
              </w:rPr>
              <w:t>是否调整</w:t>
            </w:r>
          </w:p>
        </w:tc>
        <w:tc>
          <w:tcPr>
            <w:tcW w:w="6649" w:type="dxa"/>
            <w:vAlign w:val="center"/>
          </w:tcPr>
          <w:p w14:paraId="6CC92A54">
            <w:pPr>
              <w:spacing w:line="360" w:lineRule="auto"/>
              <w:rPr>
                <w:rFonts w:hint="eastAsia" w:ascii="宋体" w:hAnsi="宋体" w:eastAsia="宋体"/>
                <w:spacing w:val="-4"/>
                <w:sz w:val="24"/>
                <w:szCs w:val="24"/>
                <w:highlight w:val="none"/>
                <w:lang w:eastAsia="zh-CN"/>
              </w:rPr>
            </w:pPr>
            <w:r>
              <w:rPr>
                <w:rFonts w:hint="eastAsia" w:ascii="宋体" w:hAnsi="宋体"/>
                <w:spacing w:val="-2"/>
                <w:sz w:val="24"/>
                <w:szCs w:val="24"/>
                <w:highlight w:val="none"/>
              </w:rPr>
              <w:t>详见</w:t>
            </w:r>
            <w:r>
              <w:rPr>
                <w:rFonts w:hint="eastAsia" w:ascii="宋体" w:hAnsi="宋体"/>
                <w:spacing w:val="-2"/>
                <w:sz w:val="24"/>
                <w:szCs w:val="24"/>
                <w:highlight w:val="none"/>
                <w:lang w:val="en-US" w:eastAsia="zh-CN"/>
              </w:rPr>
              <w:t>本项目监理</w:t>
            </w:r>
            <w:r>
              <w:rPr>
                <w:rFonts w:hint="eastAsia" w:ascii="宋体" w:hAnsi="宋体"/>
                <w:spacing w:val="-2"/>
                <w:sz w:val="24"/>
                <w:szCs w:val="24"/>
                <w:highlight w:val="none"/>
              </w:rPr>
              <w:t>合同</w:t>
            </w:r>
            <w:r>
              <w:rPr>
                <w:rFonts w:hint="eastAsia" w:ascii="宋体" w:hAnsi="宋体"/>
                <w:spacing w:val="-2"/>
                <w:sz w:val="24"/>
                <w:szCs w:val="24"/>
                <w:highlight w:val="none"/>
                <w:lang w:eastAsia="zh-CN"/>
              </w:rPr>
              <w:t>。</w:t>
            </w:r>
          </w:p>
        </w:tc>
      </w:tr>
      <w:tr w14:paraId="06EA01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839" w:hRule="exact"/>
        </w:trPr>
        <w:tc>
          <w:tcPr>
            <w:tcW w:w="1277" w:type="dxa"/>
            <w:vAlign w:val="center"/>
          </w:tcPr>
          <w:p w14:paraId="7EAD4D74">
            <w:pPr>
              <w:spacing w:line="360" w:lineRule="auto"/>
              <w:jc w:val="center"/>
              <w:rPr>
                <w:rFonts w:ascii="宋体" w:hAnsi="宋体"/>
                <w:sz w:val="24"/>
                <w:szCs w:val="24"/>
                <w:highlight w:val="none"/>
              </w:rPr>
            </w:pPr>
            <w:r>
              <w:rPr>
                <w:rFonts w:hint="eastAsia" w:ascii="宋体" w:hAnsi="宋体"/>
                <w:sz w:val="24"/>
                <w:szCs w:val="24"/>
                <w:highlight w:val="none"/>
              </w:rPr>
              <w:t>3.3.1</w:t>
            </w:r>
          </w:p>
        </w:tc>
        <w:tc>
          <w:tcPr>
            <w:tcW w:w="1806" w:type="dxa"/>
            <w:gridSpan w:val="2"/>
            <w:vAlign w:val="center"/>
          </w:tcPr>
          <w:p w14:paraId="6025AC16">
            <w:pPr>
              <w:spacing w:line="360" w:lineRule="auto"/>
              <w:jc w:val="center"/>
              <w:rPr>
                <w:rFonts w:ascii="宋体" w:hAnsi="宋体"/>
                <w:sz w:val="24"/>
                <w:szCs w:val="24"/>
                <w:highlight w:val="none"/>
              </w:rPr>
            </w:pPr>
            <w:r>
              <w:rPr>
                <w:rFonts w:hint="eastAsia" w:ascii="宋体" w:hAnsi="宋体"/>
                <w:sz w:val="24"/>
                <w:szCs w:val="24"/>
                <w:highlight w:val="none"/>
              </w:rPr>
              <w:t>投标文件有效期</w:t>
            </w:r>
          </w:p>
        </w:tc>
        <w:tc>
          <w:tcPr>
            <w:tcW w:w="6649" w:type="dxa"/>
            <w:vAlign w:val="center"/>
          </w:tcPr>
          <w:p w14:paraId="43CE718A">
            <w:pPr>
              <w:spacing w:line="360" w:lineRule="auto"/>
              <w:rPr>
                <w:rFonts w:ascii="宋体" w:hAnsi="宋体"/>
                <w:sz w:val="24"/>
                <w:szCs w:val="24"/>
                <w:highlight w:val="none"/>
              </w:rPr>
            </w:pPr>
            <w:r>
              <w:rPr>
                <w:rFonts w:hint="eastAsia" w:ascii="宋体" w:hAnsi="宋体"/>
                <w:sz w:val="24"/>
                <w:szCs w:val="24"/>
                <w:highlight w:val="none"/>
              </w:rPr>
              <w:t>递交投标文件截止时间之日起</w:t>
            </w:r>
            <w:r>
              <w:rPr>
                <w:rFonts w:hint="eastAsia" w:ascii="宋体" w:hAnsi="宋体"/>
                <w:sz w:val="24"/>
                <w:szCs w:val="24"/>
                <w:highlight w:val="none"/>
                <w:u w:val="single"/>
              </w:rPr>
              <w:t xml:space="preserve"> 90 </w:t>
            </w:r>
            <w:r>
              <w:rPr>
                <w:rFonts w:hint="eastAsia" w:ascii="宋体" w:hAnsi="宋体"/>
                <w:sz w:val="24"/>
                <w:szCs w:val="24"/>
                <w:highlight w:val="none"/>
              </w:rPr>
              <w:t>天内。</w:t>
            </w:r>
          </w:p>
        </w:tc>
      </w:tr>
      <w:tr w14:paraId="7EF4BE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843" w:hRule="exact"/>
        </w:trPr>
        <w:tc>
          <w:tcPr>
            <w:tcW w:w="1277" w:type="dxa"/>
            <w:vAlign w:val="center"/>
          </w:tcPr>
          <w:p w14:paraId="6BB9E1A0">
            <w:pPr>
              <w:spacing w:line="360" w:lineRule="auto"/>
              <w:jc w:val="center"/>
              <w:rPr>
                <w:rFonts w:ascii="宋体" w:hAnsi="宋体"/>
                <w:sz w:val="24"/>
                <w:szCs w:val="24"/>
                <w:highlight w:val="none"/>
              </w:rPr>
            </w:pPr>
            <w:r>
              <w:rPr>
                <w:rFonts w:hint="eastAsia" w:ascii="宋体" w:hAnsi="宋体"/>
                <w:sz w:val="24"/>
                <w:szCs w:val="24"/>
                <w:highlight w:val="none"/>
              </w:rPr>
              <w:t>3.4.1</w:t>
            </w:r>
          </w:p>
        </w:tc>
        <w:tc>
          <w:tcPr>
            <w:tcW w:w="1806" w:type="dxa"/>
            <w:gridSpan w:val="2"/>
            <w:vAlign w:val="center"/>
          </w:tcPr>
          <w:p w14:paraId="60E71520">
            <w:pPr>
              <w:spacing w:line="360" w:lineRule="auto"/>
              <w:jc w:val="center"/>
              <w:rPr>
                <w:rFonts w:ascii="宋体" w:hAnsi="宋体"/>
                <w:sz w:val="24"/>
                <w:szCs w:val="24"/>
                <w:highlight w:val="none"/>
              </w:rPr>
            </w:pPr>
            <w:r>
              <w:rPr>
                <w:rFonts w:hint="eastAsia" w:ascii="宋体" w:hAnsi="宋体"/>
                <w:sz w:val="24"/>
                <w:szCs w:val="24"/>
                <w:highlight w:val="none"/>
              </w:rPr>
              <w:t>投标保证金形式</w:t>
            </w:r>
          </w:p>
        </w:tc>
        <w:tc>
          <w:tcPr>
            <w:tcW w:w="6649" w:type="dxa"/>
            <w:vAlign w:val="center"/>
          </w:tcPr>
          <w:p w14:paraId="7B7B0ED7">
            <w:pPr>
              <w:tabs>
                <w:tab w:val="left" w:pos="540"/>
              </w:tabs>
              <w:spacing w:line="320" w:lineRule="exact"/>
              <w:rPr>
                <w:rFonts w:ascii="宋体" w:hAnsi="宋体"/>
                <w:b/>
                <w:sz w:val="24"/>
                <w:szCs w:val="24"/>
                <w:highlight w:val="none"/>
              </w:rPr>
            </w:pPr>
            <w:r>
              <w:rPr>
                <w:rFonts w:hint="eastAsia" w:ascii="宋体" w:hAnsi="宋体"/>
                <w:sz w:val="24"/>
                <w:szCs w:val="24"/>
                <w:highlight w:val="none"/>
              </w:rPr>
              <w:t>本项目</w:t>
            </w:r>
            <w:r>
              <w:rPr>
                <w:rFonts w:hint="eastAsia" w:ascii="宋体" w:hAnsi="宋体"/>
                <w:kern w:val="2"/>
                <w:sz w:val="24"/>
                <w:szCs w:val="24"/>
                <w:highlight w:val="none"/>
              </w:rPr>
              <w:t>不要求递交投标保证金</w:t>
            </w:r>
            <w:r>
              <w:rPr>
                <w:rFonts w:hint="eastAsia" w:ascii="宋体" w:hAnsi="宋体"/>
                <w:sz w:val="24"/>
                <w:szCs w:val="24"/>
                <w:highlight w:val="none"/>
                <w:lang w:eastAsia="zh-CN"/>
              </w:rPr>
              <w:t>。</w:t>
            </w:r>
          </w:p>
        </w:tc>
      </w:tr>
      <w:tr w14:paraId="692401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94" w:hRule="exact"/>
        </w:trPr>
        <w:tc>
          <w:tcPr>
            <w:tcW w:w="1277" w:type="dxa"/>
            <w:vAlign w:val="center"/>
          </w:tcPr>
          <w:p w14:paraId="004CD08A">
            <w:pPr>
              <w:spacing w:line="360" w:lineRule="auto"/>
              <w:jc w:val="center"/>
              <w:rPr>
                <w:rFonts w:ascii="宋体" w:hAnsi="宋体"/>
                <w:sz w:val="24"/>
                <w:szCs w:val="24"/>
                <w:highlight w:val="none"/>
              </w:rPr>
            </w:pPr>
            <w:r>
              <w:rPr>
                <w:rFonts w:ascii="宋体" w:hAnsi="宋体"/>
                <w:sz w:val="24"/>
                <w:szCs w:val="24"/>
                <w:highlight w:val="none"/>
              </w:rPr>
              <w:t>3.6</w:t>
            </w:r>
          </w:p>
        </w:tc>
        <w:tc>
          <w:tcPr>
            <w:tcW w:w="1806" w:type="dxa"/>
            <w:gridSpan w:val="2"/>
            <w:vAlign w:val="center"/>
          </w:tcPr>
          <w:p w14:paraId="3A0D1F07">
            <w:pPr>
              <w:tabs>
                <w:tab w:val="left" w:pos="540"/>
              </w:tabs>
              <w:spacing w:line="360" w:lineRule="auto"/>
              <w:jc w:val="center"/>
              <w:rPr>
                <w:rFonts w:ascii="宋体" w:hAnsi="宋体"/>
                <w:sz w:val="24"/>
                <w:szCs w:val="24"/>
                <w:highlight w:val="none"/>
              </w:rPr>
            </w:pPr>
            <w:r>
              <w:rPr>
                <w:rFonts w:hint="eastAsia" w:ascii="宋体" w:hAnsi="宋体"/>
                <w:sz w:val="24"/>
                <w:szCs w:val="24"/>
                <w:highlight w:val="none"/>
              </w:rPr>
              <w:t>是否允许递交备选投标方案</w:t>
            </w:r>
          </w:p>
        </w:tc>
        <w:tc>
          <w:tcPr>
            <w:tcW w:w="6649" w:type="dxa"/>
            <w:vAlign w:val="center"/>
          </w:tcPr>
          <w:p w14:paraId="622385A6">
            <w:pPr>
              <w:tabs>
                <w:tab w:val="left" w:pos="540"/>
              </w:tabs>
              <w:spacing w:line="360" w:lineRule="auto"/>
              <w:rPr>
                <w:rFonts w:ascii="宋体" w:hAnsi="宋体"/>
                <w:bCs/>
                <w:spacing w:val="10"/>
                <w:sz w:val="24"/>
                <w:szCs w:val="24"/>
                <w:highlight w:val="none"/>
                <w:u w:val="single"/>
              </w:rPr>
            </w:pPr>
            <w:r>
              <w:rPr>
                <w:rFonts w:hint="eastAsia" w:ascii="宋体" w:hAnsi="宋体"/>
                <w:sz w:val="24"/>
                <w:szCs w:val="24"/>
                <w:highlight w:val="none"/>
                <w:bdr w:val="single" w:color="auto" w:sz="4" w:space="0"/>
              </w:rPr>
              <w:t>√</w:t>
            </w:r>
            <w:r>
              <w:rPr>
                <w:rFonts w:hint="eastAsia" w:ascii="宋体" w:hAnsi="宋体" w:cs="宋体"/>
                <w:kern w:val="0"/>
                <w:sz w:val="24"/>
                <w:szCs w:val="24"/>
                <w:highlight w:val="none"/>
                <w:u w:val="single"/>
              </w:rPr>
              <w:t>不允许</w:t>
            </w:r>
          </w:p>
          <w:p w14:paraId="35B1B835">
            <w:pPr>
              <w:tabs>
                <w:tab w:val="left" w:pos="540"/>
              </w:tabs>
              <w:spacing w:line="360" w:lineRule="auto"/>
              <w:rPr>
                <w:rFonts w:ascii="宋体" w:hAnsi="宋体"/>
                <w:bCs/>
                <w:spacing w:val="10"/>
                <w:sz w:val="24"/>
                <w:szCs w:val="24"/>
                <w:highlight w:val="none"/>
              </w:rPr>
            </w:pPr>
            <w:r>
              <w:rPr>
                <w:rFonts w:ascii="宋体" w:hAnsi="宋体"/>
                <w:bCs/>
                <w:spacing w:val="10"/>
                <w:sz w:val="24"/>
                <w:szCs w:val="24"/>
                <w:highlight w:val="none"/>
              </w:rPr>
              <w:t>□</w:t>
            </w:r>
            <w:r>
              <w:rPr>
                <w:rFonts w:hint="eastAsia" w:ascii="宋体" w:hAnsi="宋体"/>
                <w:bCs/>
                <w:spacing w:val="10"/>
                <w:sz w:val="24"/>
                <w:szCs w:val="24"/>
                <w:highlight w:val="none"/>
              </w:rPr>
              <w:t>允许，允许备选方案个。</w:t>
            </w:r>
          </w:p>
        </w:tc>
      </w:tr>
      <w:tr w14:paraId="792200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88" w:hRule="atLeast"/>
        </w:trPr>
        <w:tc>
          <w:tcPr>
            <w:tcW w:w="1277" w:type="dxa"/>
            <w:vAlign w:val="center"/>
          </w:tcPr>
          <w:p w14:paraId="7E3E8A7F">
            <w:pPr>
              <w:spacing w:line="360" w:lineRule="auto"/>
              <w:jc w:val="center"/>
              <w:rPr>
                <w:rFonts w:ascii="宋体" w:hAnsi="宋体"/>
                <w:sz w:val="24"/>
                <w:szCs w:val="24"/>
                <w:highlight w:val="none"/>
              </w:rPr>
            </w:pPr>
            <w:r>
              <w:rPr>
                <w:rFonts w:ascii="宋体" w:hAnsi="宋体"/>
                <w:sz w:val="24"/>
                <w:szCs w:val="24"/>
                <w:highlight w:val="none"/>
              </w:rPr>
              <w:t>3.7.3</w:t>
            </w:r>
          </w:p>
        </w:tc>
        <w:tc>
          <w:tcPr>
            <w:tcW w:w="1806" w:type="dxa"/>
            <w:gridSpan w:val="2"/>
            <w:vAlign w:val="center"/>
          </w:tcPr>
          <w:p w14:paraId="3205650B">
            <w:pPr>
              <w:autoSpaceDE w:val="0"/>
              <w:autoSpaceDN w:val="0"/>
              <w:adjustRightInd w:val="0"/>
              <w:ind w:left="42" w:leftChars="20" w:right="42" w:rightChars="20"/>
              <w:jc w:val="center"/>
              <w:rPr>
                <w:rFonts w:ascii="宋体" w:hAnsi="宋体"/>
                <w:spacing w:val="-4"/>
                <w:kern w:val="0"/>
                <w:sz w:val="24"/>
                <w:szCs w:val="24"/>
                <w:highlight w:val="none"/>
              </w:rPr>
            </w:pPr>
            <w:r>
              <w:rPr>
                <w:rFonts w:hint="eastAsia" w:ascii="宋体" w:hAnsi="宋体" w:cs="宋体"/>
                <w:spacing w:val="-4"/>
                <w:kern w:val="0"/>
                <w:sz w:val="24"/>
                <w:szCs w:val="24"/>
                <w:highlight w:val="none"/>
              </w:rPr>
              <w:t>签字或盖章要求</w:t>
            </w:r>
          </w:p>
        </w:tc>
        <w:tc>
          <w:tcPr>
            <w:tcW w:w="6649" w:type="dxa"/>
            <w:vAlign w:val="center"/>
          </w:tcPr>
          <w:p w14:paraId="3E04B425">
            <w:pPr>
              <w:tabs>
                <w:tab w:val="left" w:pos="540"/>
              </w:tabs>
              <w:spacing w:line="360" w:lineRule="auto"/>
              <w:ind w:left="42" w:leftChars="20" w:right="42" w:rightChars="20"/>
              <w:rPr>
                <w:rFonts w:ascii="宋体" w:hAnsi="宋体"/>
                <w:kern w:val="0"/>
                <w:sz w:val="24"/>
                <w:szCs w:val="24"/>
                <w:highlight w:val="none"/>
              </w:rPr>
            </w:pPr>
            <w:r>
              <w:rPr>
                <w:rFonts w:hint="eastAsia" w:ascii="宋体" w:hAnsi="宋体" w:cs="宋体"/>
                <w:kern w:val="0"/>
                <w:sz w:val="24"/>
                <w:szCs w:val="24"/>
                <w:highlight w:val="none"/>
              </w:rPr>
              <w:t>详见投标人须知第3.7款</w:t>
            </w:r>
          </w:p>
        </w:tc>
      </w:tr>
      <w:tr w14:paraId="0F4130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1784" w:hRule="atLeast"/>
        </w:trPr>
        <w:tc>
          <w:tcPr>
            <w:tcW w:w="1277" w:type="dxa"/>
            <w:vAlign w:val="center"/>
          </w:tcPr>
          <w:p w14:paraId="29E3DA72">
            <w:pPr>
              <w:spacing w:line="360" w:lineRule="auto"/>
              <w:jc w:val="center"/>
              <w:rPr>
                <w:rFonts w:ascii="宋体" w:hAnsi="宋体"/>
                <w:sz w:val="24"/>
                <w:szCs w:val="24"/>
                <w:highlight w:val="none"/>
              </w:rPr>
            </w:pPr>
            <w:r>
              <w:rPr>
                <w:rFonts w:hint="eastAsia" w:ascii="宋体" w:hAnsi="宋体"/>
                <w:sz w:val="24"/>
                <w:szCs w:val="24"/>
                <w:highlight w:val="none"/>
              </w:rPr>
              <w:t>3.7.4</w:t>
            </w:r>
          </w:p>
        </w:tc>
        <w:tc>
          <w:tcPr>
            <w:tcW w:w="1806" w:type="dxa"/>
            <w:gridSpan w:val="2"/>
            <w:vAlign w:val="center"/>
          </w:tcPr>
          <w:p w14:paraId="45BF5368">
            <w:pPr>
              <w:tabs>
                <w:tab w:val="left" w:pos="540"/>
              </w:tabs>
              <w:spacing w:line="360" w:lineRule="exact"/>
              <w:jc w:val="center"/>
              <w:rPr>
                <w:rFonts w:ascii="宋体" w:hAnsi="宋体"/>
                <w:bCs/>
                <w:spacing w:val="10"/>
                <w:sz w:val="24"/>
                <w:szCs w:val="24"/>
                <w:highlight w:val="none"/>
              </w:rPr>
            </w:pPr>
            <w:r>
              <w:rPr>
                <w:rFonts w:hint="eastAsia" w:ascii="宋体" w:hAnsi="宋体"/>
                <w:bCs/>
                <w:spacing w:val="10"/>
                <w:sz w:val="24"/>
                <w:szCs w:val="24"/>
                <w:highlight w:val="none"/>
              </w:rPr>
              <w:t>投标文件份数</w:t>
            </w:r>
          </w:p>
        </w:tc>
        <w:tc>
          <w:tcPr>
            <w:tcW w:w="6649" w:type="dxa"/>
            <w:vAlign w:val="center"/>
          </w:tcPr>
          <w:p w14:paraId="7A3DEC14">
            <w:pPr>
              <w:spacing w:line="360" w:lineRule="auto"/>
              <w:jc w:val="left"/>
              <w:rPr>
                <w:rFonts w:hint="eastAsia" w:ascii="宋体" w:hAnsi="宋体" w:eastAsia="宋体"/>
                <w:sz w:val="24"/>
                <w:szCs w:val="24"/>
                <w:highlight w:val="none"/>
                <w:lang w:eastAsia="zh-CN"/>
              </w:rPr>
            </w:pPr>
            <w:r>
              <w:rPr>
                <w:rFonts w:hint="eastAsia" w:ascii="宋体" w:hAnsi="宋体"/>
                <w:sz w:val="24"/>
                <w:szCs w:val="24"/>
                <w:highlight w:val="none"/>
              </w:rPr>
              <w:t>商务投标文件1套正本4套副本及电子版光盘、U盘各1套；技术投标文件1套正本4套副本及电子版光盘、U盘各1套</w:t>
            </w:r>
            <w:r>
              <w:rPr>
                <w:rFonts w:hint="eastAsia" w:ascii="宋体" w:hAnsi="宋体"/>
                <w:sz w:val="24"/>
                <w:szCs w:val="24"/>
                <w:highlight w:val="none"/>
                <w:lang w:eastAsia="zh-CN"/>
              </w:rPr>
              <w:t>；</w:t>
            </w:r>
          </w:p>
          <w:p w14:paraId="2579BFE0">
            <w:pPr>
              <w:spacing w:line="360" w:lineRule="auto"/>
              <w:jc w:val="left"/>
              <w:rPr>
                <w:rFonts w:hint="eastAsia" w:ascii="宋体" w:hAnsi="宋体"/>
                <w:sz w:val="24"/>
                <w:szCs w:val="24"/>
                <w:highlight w:val="none"/>
              </w:rPr>
            </w:pPr>
            <w:r>
              <w:rPr>
                <w:rFonts w:hint="eastAsia" w:ascii="宋体" w:hAnsi="Times New Roman" w:eastAsia="宋体" w:cs="Times New Roman"/>
                <w:sz w:val="24"/>
                <w:szCs w:val="24"/>
                <w:highlight w:val="none"/>
                <w:lang w:val="en-US" w:eastAsia="zh-CN"/>
              </w:rPr>
              <w:t>经济报价投标文件</w:t>
            </w:r>
            <w:r>
              <w:rPr>
                <w:rFonts w:hint="eastAsia" w:ascii="宋体" w:hAnsi="宋体"/>
                <w:sz w:val="24"/>
                <w:szCs w:val="24"/>
                <w:highlight w:val="none"/>
              </w:rPr>
              <w:t>1套正本4套副本及电子版光盘、U盘各1套。</w:t>
            </w:r>
          </w:p>
        </w:tc>
      </w:tr>
      <w:tr w14:paraId="0336E5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90" w:hRule="atLeast"/>
        </w:trPr>
        <w:tc>
          <w:tcPr>
            <w:tcW w:w="1277" w:type="dxa"/>
            <w:vAlign w:val="center"/>
          </w:tcPr>
          <w:p w14:paraId="5BCAA4AE">
            <w:pPr>
              <w:spacing w:line="360" w:lineRule="auto"/>
              <w:jc w:val="center"/>
              <w:rPr>
                <w:rFonts w:ascii="宋体" w:hAnsi="宋体"/>
                <w:sz w:val="24"/>
                <w:szCs w:val="24"/>
                <w:highlight w:val="none"/>
              </w:rPr>
            </w:pPr>
            <w:r>
              <w:rPr>
                <w:rFonts w:hint="eastAsia" w:ascii="宋体" w:hAnsi="宋体"/>
                <w:sz w:val="24"/>
                <w:szCs w:val="24"/>
                <w:highlight w:val="none"/>
              </w:rPr>
              <w:t>3.7.5</w:t>
            </w:r>
          </w:p>
        </w:tc>
        <w:tc>
          <w:tcPr>
            <w:tcW w:w="1806" w:type="dxa"/>
            <w:gridSpan w:val="2"/>
            <w:vAlign w:val="center"/>
          </w:tcPr>
          <w:p w14:paraId="0835AB47">
            <w:pPr>
              <w:autoSpaceDE w:val="0"/>
              <w:autoSpaceDN w:val="0"/>
              <w:adjustRightInd w:val="0"/>
              <w:spacing w:line="320" w:lineRule="exact"/>
              <w:ind w:left="42" w:leftChars="20" w:right="42" w:rightChars="20"/>
              <w:jc w:val="center"/>
              <w:rPr>
                <w:rFonts w:ascii="宋体" w:hAnsi="宋体" w:cs="宋体"/>
                <w:kern w:val="0"/>
                <w:sz w:val="24"/>
                <w:szCs w:val="24"/>
                <w:highlight w:val="none"/>
              </w:rPr>
            </w:pPr>
            <w:r>
              <w:rPr>
                <w:rFonts w:hint="eastAsia" w:ascii="宋体" w:hAnsi="宋体" w:cs="宋体"/>
                <w:kern w:val="0"/>
                <w:sz w:val="24"/>
                <w:szCs w:val="24"/>
                <w:highlight w:val="none"/>
              </w:rPr>
              <w:t>装订要求</w:t>
            </w:r>
          </w:p>
        </w:tc>
        <w:tc>
          <w:tcPr>
            <w:tcW w:w="6649" w:type="dxa"/>
            <w:vAlign w:val="center"/>
          </w:tcPr>
          <w:p w14:paraId="276EDAD8">
            <w:pPr>
              <w:widowControl/>
              <w:spacing w:line="400" w:lineRule="exact"/>
              <w:ind w:left="63" w:leftChars="30" w:right="63" w:rightChars="30" w:firstLine="0" w:firstLineChars="0"/>
              <w:jc w:val="left"/>
              <w:rPr>
                <w:rFonts w:ascii="宋体" w:hAnsi="宋体"/>
                <w:sz w:val="24"/>
                <w:szCs w:val="24"/>
                <w:highlight w:val="none"/>
                <w:u w:val="single"/>
              </w:rPr>
            </w:pPr>
            <w:r>
              <w:rPr>
                <w:rFonts w:hint="eastAsia" w:ascii="宋体" w:hAnsi="宋体"/>
                <w:sz w:val="24"/>
                <w:szCs w:val="24"/>
                <w:highlight w:val="none"/>
                <w:u w:val="single"/>
              </w:rPr>
              <w:t>按照投标人须知第3.1.1项规定的投标文件组成内容，投标文件应按以下要求装订：</w:t>
            </w:r>
          </w:p>
          <w:p w14:paraId="78E80F36">
            <w:pPr>
              <w:widowControl/>
              <w:spacing w:line="400" w:lineRule="exact"/>
              <w:ind w:left="63" w:leftChars="30" w:right="63" w:rightChars="30" w:firstLine="0" w:firstLineChars="0"/>
              <w:jc w:val="left"/>
              <w:rPr>
                <w:rFonts w:ascii="宋体" w:hAnsi="宋体"/>
                <w:sz w:val="24"/>
                <w:szCs w:val="24"/>
                <w:highlight w:val="none"/>
                <w:u w:val="single"/>
              </w:rPr>
            </w:pPr>
            <w:r>
              <w:rPr>
                <w:rFonts w:hint="eastAsia" w:ascii="宋体" w:hAnsi="宋体"/>
                <w:sz w:val="24"/>
                <w:szCs w:val="24"/>
                <w:highlight w:val="none"/>
                <w:u w:val="single"/>
              </w:rPr>
              <w:t>□ 不分册装订。</w:t>
            </w:r>
          </w:p>
          <w:p w14:paraId="2595DE4C">
            <w:pPr>
              <w:widowControl/>
              <w:spacing w:line="400" w:lineRule="exact"/>
              <w:ind w:left="63" w:leftChars="30" w:right="63" w:rightChars="30" w:firstLine="0" w:firstLineChars="0"/>
              <w:jc w:val="left"/>
              <w:rPr>
                <w:rFonts w:ascii="宋体" w:hAnsi="宋体"/>
                <w:sz w:val="24"/>
                <w:szCs w:val="24"/>
                <w:highlight w:val="none"/>
                <w:u w:val="single"/>
              </w:rPr>
            </w:pPr>
            <w:r>
              <w:rPr>
                <w:rFonts w:hint="eastAsia" w:ascii="宋体" w:hAnsi="宋体"/>
                <w:sz w:val="24"/>
                <w:szCs w:val="24"/>
                <w:highlight w:val="none"/>
                <w:bdr w:val="single" w:color="auto" w:sz="4" w:space="0"/>
              </w:rPr>
              <w:t>√</w:t>
            </w:r>
            <w:r>
              <w:rPr>
                <w:rFonts w:hint="eastAsia" w:ascii="宋体" w:hAnsi="宋体"/>
                <w:sz w:val="24"/>
                <w:szCs w:val="24"/>
                <w:highlight w:val="none"/>
                <w:u w:val="single"/>
              </w:rPr>
              <w:t xml:space="preserve"> 分册装订，分别为：</w:t>
            </w:r>
          </w:p>
          <w:p w14:paraId="7E031E01">
            <w:pPr>
              <w:widowControl/>
              <w:numPr>
                <w:ilvl w:val="0"/>
                <w:numId w:val="0"/>
              </w:numPr>
              <w:spacing w:line="400" w:lineRule="exact"/>
              <w:ind w:left="303" w:leftChars="0" w:right="63" w:rightChars="30" w:firstLine="0" w:firstLineChars="0"/>
              <w:jc w:val="left"/>
              <w:rPr>
                <w:rFonts w:ascii="宋体" w:hAnsi="宋体"/>
                <w:sz w:val="24"/>
                <w:szCs w:val="24"/>
                <w:highlight w:val="none"/>
              </w:rPr>
            </w:pPr>
            <w:r>
              <w:rPr>
                <w:rFonts w:ascii="宋体" w:hAnsi="宋体" w:eastAsia="宋体" w:cs="Times New Roman"/>
                <w:kern w:val="2"/>
                <w:sz w:val="24"/>
                <w:szCs w:val="24"/>
                <w:highlight w:val="none"/>
                <w:lang w:val="en-US" w:eastAsia="zh-CN" w:bidi="ar-SA"/>
              </w:rPr>
              <w:t>（1）</w:t>
            </w:r>
            <w:r>
              <w:rPr>
                <w:rFonts w:hint="eastAsia" w:ascii="宋体" w:hAnsi="宋体"/>
                <w:sz w:val="24"/>
                <w:szCs w:val="24"/>
                <w:highlight w:val="none"/>
                <w:u w:val="single"/>
              </w:rPr>
              <w:t>第一册  商务投标文件（如果页数过多可分册装订，应注明册序号）；</w:t>
            </w:r>
          </w:p>
          <w:p w14:paraId="35846D4E">
            <w:pPr>
              <w:widowControl/>
              <w:spacing w:line="400" w:lineRule="exact"/>
              <w:ind w:left="63" w:leftChars="30" w:right="63" w:rightChars="30"/>
              <w:jc w:val="left"/>
              <w:rPr>
                <w:rFonts w:hint="eastAsia" w:ascii="宋体" w:hAnsi="宋体" w:eastAsia="宋体"/>
                <w:sz w:val="24"/>
                <w:szCs w:val="24"/>
                <w:highlight w:val="none"/>
                <w:lang w:eastAsia="zh-CN"/>
              </w:rPr>
            </w:pPr>
            <w:r>
              <w:rPr>
                <w:rFonts w:hint="eastAsia" w:ascii="宋体" w:hAnsi="宋体"/>
                <w:sz w:val="24"/>
                <w:szCs w:val="24"/>
                <w:highlight w:val="none"/>
              </w:rPr>
              <w:t xml:space="preserve">  （2</w:t>
            </w:r>
            <w:r>
              <w:rPr>
                <w:rFonts w:ascii="宋体" w:hAnsi="宋体"/>
                <w:sz w:val="24"/>
                <w:szCs w:val="24"/>
                <w:highlight w:val="none"/>
              </w:rPr>
              <w:t>）</w:t>
            </w:r>
            <w:r>
              <w:rPr>
                <w:rFonts w:hint="eastAsia" w:ascii="宋体" w:hAnsi="宋体"/>
                <w:sz w:val="24"/>
                <w:szCs w:val="24"/>
                <w:highlight w:val="none"/>
              </w:rPr>
              <w:t xml:space="preserve"> 第二册  技术投标文件</w:t>
            </w:r>
            <w:r>
              <w:rPr>
                <w:rFonts w:hint="eastAsia" w:ascii="宋体" w:hAnsi="宋体"/>
                <w:b/>
                <w:sz w:val="24"/>
                <w:szCs w:val="24"/>
                <w:highlight w:val="none"/>
                <w:lang w:eastAsia="zh-CN"/>
              </w:rPr>
              <w:t>；</w:t>
            </w:r>
          </w:p>
          <w:p w14:paraId="5B7A72D6">
            <w:pPr>
              <w:keepNext w:val="0"/>
              <w:keepLines w:val="0"/>
              <w:widowControl/>
              <w:numPr>
                <w:ilvl w:val="0"/>
                <w:numId w:val="11"/>
              </w:numPr>
              <w:suppressLineNumbers w:val="0"/>
              <w:spacing w:line="400" w:lineRule="exact"/>
              <w:ind w:left="63" w:leftChars="30" w:right="63" w:rightChars="30" w:firstLine="240" w:firstLineChars="100"/>
              <w:jc w:val="lef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 xml:space="preserve">第三册 </w:t>
            </w:r>
            <w:r>
              <w:rPr>
                <w:rFonts w:hint="eastAsia" w:ascii="宋体" w:hAnsi="宋体" w:cs="Times New Roman"/>
                <w:sz w:val="24"/>
                <w:szCs w:val="24"/>
                <w:highlight w:val="none"/>
                <w:lang w:val="en-US" w:eastAsia="zh-CN"/>
              </w:rPr>
              <w:t xml:space="preserve"> </w:t>
            </w:r>
            <w:r>
              <w:rPr>
                <w:rFonts w:hint="eastAsia" w:ascii="宋体" w:hAnsi="Times New Roman" w:eastAsia="宋体" w:cs="Times New Roman"/>
                <w:sz w:val="24"/>
                <w:szCs w:val="24"/>
                <w:highlight w:val="none"/>
                <w:lang w:val="en-US" w:eastAsia="zh-CN"/>
              </w:rPr>
              <w:t>经济报价投标文件</w:t>
            </w:r>
            <w:r>
              <w:rPr>
                <w:rFonts w:hint="eastAsia" w:ascii="宋体" w:cs="Times New Roman"/>
                <w:sz w:val="24"/>
                <w:szCs w:val="24"/>
                <w:highlight w:val="none"/>
                <w:lang w:val="en-US" w:eastAsia="zh-CN"/>
              </w:rPr>
              <w:t>。</w:t>
            </w:r>
          </w:p>
          <w:p w14:paraId="40E1662C">
            <w:pPr>
              <w:widowControl/>
              <w:spacing w:line="400" w:lineRule="exact"/>
              <w:ind w:left="63" w:leftChars="30" w:right="63" w:rightChars="30"/>
              <w:jc w:val="left"/>
              <w:rPr>
                <w:rFonts w:hint="eastAsia" w:ascii="宋体" w:hAnsi="宋体" w:eastAsia="宋体"/>
                <w:sz w:val="24"/>
                <w:szCs w:val="24"/>
                <w:highlight w:val="none"/>
                <w:lang w:eastAsia="zh-CN"/>
              </w:rPr>
            </w:pPr>
            <w:r>
              <w:rPr>
                <w:rFonts w:hint="eastAsia" w:ascii="宋体" w:hAnsi="宋体"/>
                <w:sz w:val="24"/>
                <w:szCs w:val="24"/>
                <w:highlight w:val="none"/>
              </w:rPr>
              <w:t>第一册</w:t>
            </w:r>
            <w:r>
              <w:rPr>
                <w:rFonts w:hint="eastAsia" w:ascii="宋体" w:hAnsi="宋体"/>
                <w:sz w:val="24"/>
                <w:szCs w:val="24"/>
                <w:highlight w:val="none"/>
                <w:lang w:eastAsia="zh-CN"/>
              </w:rPr>
              <w:t>、</w:t>
            </w:r>
            <w:r>
              <w:rPr>
                <w:rFonts w:ascii="宋体" w:hAnsi="宋体"/>
                <w:sz w:val="24"/>
                <w:szCs w:val="24"/>
                <w:highlight w:val="none"/>
              </w:rPr>
              <w:t>第二册</w:t>
            </w:r>
            <w:r>
              <w:rPr>
                <w:rFonts w:hint="eastAsia" w:ascii="宋体" w:hAnsi="宋体"/>
                <w:sz w:val="24"/>
                <w:szCs w:val="24"/>
                <w:highlight w:val="none"/>
                <w:lang w:val="en-US" w:eastAsia="zh-CN"/>
              </w:rPr>
              <w:t>和第三册</w:t>
            </w:r>
            <w:r>
              <w:rPr>
                <w:rFonts w:hint="eastAsia" w:ascii="宋体" w:hAnsi="宋体"/>
                <w:sz w:val="24"/>
                <w:szCs w:val="24"/>
                <w:highlight w:val="none"/>
              </w:rPr>
              <w:t>采用</w:t>
            </w:r>
            <w:r>
              <w:rPr>
                <w:rFonts w:hint="eastAsia" w:ascii="宋体" w:hAnsi="宋体"/>
                <w:sz w:val="24"/>
                <w:szCs w:val="24"/>
                <w:highlight w:val="none"/>
                <w:u w:val="single"/>
              </w:rPr>
              <w:t xml:space="preserve"> 胶装 </w:t>
            </w:r>
            <w:r>
              <w:rPr>
                <w:rFonts w:hint="eastAsia" w:ascii="宋体" w:hAnsi="宋体"/>
                <w:sz w:val="24"/>
                <w:szCs w:val="24"/>
                <w:highlight w:val="none"/>
              </w:rPr>
              <w:t>方式装订，装订应牢固、不易拆散</w:t>
            </w:r>
            <w:r>
              <w:rPr>
                <w:rFonts w:hint="eastAsia" w:ascii="宋体" w:hAnsi="宋体" w:eastAsia="宋体" w:cs="Times New Roman"/>
                <w:sz w:val="24"/>
                <w:szCs w:val="24"/>
                <w:highlight w:val="none"/>
              </w:rPr>
              <w:t>和换页，不得采用活页装订。</w:t>
            </w:r>
          </w:p>
        </w:tc>
      </w:tr>
      <w:tr w14:paraId="1817A9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Before w:val="1"/>
          <w:wBefore w:w="36" w:type="dxa"/>
          <w:trHeight w:val="4569" w:hRule="atLeast"/>
        </w:trPr>
        <w:tc>
          <w:tcPr>
            <w:tcW w:w="1277" w:type="dxa"/>
            <w:vAlign w:val="center"/>
          </w:tcPr>
          <w:p w14:paraId="0D0EACBA">
            <w:pPr>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4.1.1</w:t>
            </w:r>
          </w:p>
        </w:tc>
        <w:tc>
          <w:tcPr>
            <w:tcW w:w="1806" w:type="dxa"/>
            <w:gridSpan w:val="2"/>
            <w:vAlign w:val="center"/>
          </w:tcPr>
          <w:p w14:paraId="7CC0F0FD">
            <w:pPr>
              <w:tabs>
                <w:tab w:val="left" w:pos="540"/>
              </w:tabs>
              <w:spacing w:line="360" w:lineRule="exact"/>
              <w:jc w:val="center"/>
              <w:rPr>
                <w:rFonts w:ascii="宋体" w:hAnsi="宋体"/>
                <w:bCs/>
                <w:spacing w:val="10"/>
                <w:sz w:val="24"/>
                <w:szCs w:val="24"/>
                <w:highlight w:val="none"/>
              </w:rPr>
            </w:pPr>
            <w:r>
              <w:rPr>
                <w:rFonts w:hint="eastAsia" w:ascii="宋体" w:hAnsi="宋体"/>
                <w:bCs/>
                <w:spacing w:val="10"/>
                <w:sz w:val="24"/>
                <w:szCs w:val="24"/>
                <w:highlight w:val="none"/>
              </w:rPr>
              <w:t>投标文件的</w:t>
            </w:r>
          </w:p>
          <w:p w14:paraId="42F3C776">
            <w:pPr>
              <w:autoSpaceDE w:val="0"/>
              <w:autoSpaceDN w:val="0"/>
              <w:adjustRightInd w:val="0"/>
              <w:spacing w:line="320" w:lineRule="exact"/>
              <w:ind w:left="42" w:leftChars="20" w:right="42" w:rightChars="20"/>
              <w:jc w:val="center"/>
              <w:rPr>
                <w:rFonts w:ascii="宋体" w:hAnsi="宋体" w:cs="宋体"/>
                <w:kern w:val="0"/>
                <w:sz w:val="24"/>
                <w:szCs w:val="24"/>
                <w:highlight w:val="none"/>
              </w:rPr>
            </w:pPr>
            <w:r>
              <w:rPr>
                <w:rFonts w:hint="eastAsia" w:ascii="宋体" w:hAnsi="宋体" w:cs="宋体"/>
                <w:kern w:val="0"/>
                <w:sz w:val="24"/>
                <w:szCs w:val="24"/>
                <w:highlight w:val="none"/>
              </w:rPr>
              <w:t>密封</w:t>
            </w:r>
          </w:p>
        </w:tc>
        <w:tc>
          <w:tcPr>
            <w:tcW w:w="6649" w:type="dxa"/>
            <w:vAlign w:val="center"/>
          </w:tcPr>
          <w:p w14:paraId="5E664598">
            <w:pPr>
              <w:spacing w:line="360" w:lineRule="auto"/>
              <w:rPr>
                <w:rFonts w:ascii="宋体" w:hAnsi="宋体"/>
                <w:spacing w:val="-6"/>
                <w:sz w:val="24"/>
                <w:szCs w:val="24"/>
                <w:highlight w:val="none"/>
              </w:rPr>
            </w:pPr>
            <w:r>
              <w:rPr>
                <w:rFonts w:hint="eastAsia" w:ascii="宋体" w:hAnsi="宋体"/>
                <w:spacing w:val="-6"/>
                <w:sz w:val="24"/>
                <w:szCs w:val="24"/>
                <w:highlight w:val="none"/>
              </w:rPr>
              <w:t>将</w:t>
            </w:r>
            <w:r>
              <w:rPr>
                <w:rFonts w:ascii="宋体" w:hAnsi="宋体"/>
                <w:spacing w:val="-6"/>
                <w:sz w:val="24"/>
                <w:szCs w:val="24"/>
                <w:highlight w:val="none"/>
              </w:rPr>
              <w:t>投标文件的</w:t>
            </w:r>
            <w:r>
              <w:rPr>
                <w:rFonts w:hint="eastAsia" w:ascii="宋体" w:hAnsi="宋体"/>
                <w:spacing w:val="-6"/>
                <w:sz w:val="24"/>
                <w:szCs w:val="24"/>
                <w:highlight w:val="none"/>
              </w:rPr>
              <w:t>商务投标文件正、副本</w:t>
            </w:r>
            <w:r>
              <w:rPr>
                <w:rFonts w:ascii="宋体" w:hAnsi="宋体"/>
                <w:spacing w:val="-6"/>
                <w:sz w:val="24"/>
                <w:szCs w:val="24"/>
                <w:highlight w:val="none"/>
              </w:rPr>
              <w:t>密封于</w:t>
            </w:r>
            <w:r>
              <w:rPr>
                <w:rFonts w:hint="eastAsia" w:ascii="宋体" w:hAnsi="宋体"/>
                <w:b/>
                <w:spacing w:val="-6"/>
                <w:sz w:val="24"/>
                <w:szCs w:val="24"/>
                <w:highlight w:val="none"/>
              </w:rPr>
              <w:t>第</w:t>
            </w:r>
            <w:r>
              <w:rPr>
                <w:rFonts w:ascii="宋体" w:hAnsi="宋体"/>
                <w:b/>
                <w:spacing w:val="-6"/>
                <w:sz w:val="24"/>
                <w:szCs w:val="24"/>
                <w:highlight w:val="none"/>
              </w:rPr>
              <w:t>一个</w:t>
            </w:r>
            <w:r>
              <w:rPr>
                <w:rFonts w:hint="eastAsia" w:ascii="宋体" w:hAnsi="宋体"/>
                <w:b/>
                <w:spacing w:val="-6"/>
                <w:sz w:val="24"/>
                <w:szCs w:val="24"/>
                <w:highlight w:val="none"/>
              </w:rPr>
              <w:t>封套</w:t>
            </w:r>
            <w:r>
              <w:rPr>
                <w:rFonts w:ascii="宋体" w:hAnsi="宋体"/>
                <w:spacing w:val="-6"/>
                <w:sz w:val="24"/>
                <w:szCs w:val="24"/>
                <w:highlight w:val="none"/>
              </w:rPr>
              <w:t>中</w:t>
            </w:r>
            <w:r>
              <w:rPr>
                <w:rFonts w:hint="eastAsia" w:ascii="宋体" w:hAnsi="宋体"/>
                <w:spacing w:val="-6"/>
                <w:sz w:val="24"/>
                <w:szCs w:val="24"/>
                <w:highlight w:val="none"/>
              </w:rPr>
              <w:t>【商务投标文件</w:t>
            </w:r>
            <w:r>
              <w:rPr>
                <w:rFonts w:hint="eastAsia" w:ascii="宋体" w:hAnsi="宋体" w:cs="宋体"/>
                <w:spacing w:val="-6"/>
                <w:kern w:val="0"/>
                <w:sz w:val="24"/>
                <w:szCs w:val="24"/>
                <w:highlight w:val="none"/>
              </w:rPr>
              <w:t>电子版</w:t>
            </w:r>
            <w:r>
              <w:rPr>
                <w:rFonts w:hint="eastAsia" w:ascii="宋体" w:hAnsi="宋体"/>
                <w:spacing w:val="-6"/>
                <w:sz w:val="24"/>
                <w:szCs w:val="24"/>
                <w:highlight w:val="none"/>
              </w:rPr>
              <w:t>单独用1个信封包装好并在信封外面作投标人名称标记附在</w:t>
            </w:r>
            <w:r>
              <w:rPr>
                <w:rFonts w:hint="eastAsia" w:ascii="宋体" w:hAnsi="宋体"/>
                <w:b/>
                <w:spacing w:val="-6"/>
                <w:sz w:val="24"/>
                <w:szCs w:val="24"/>
                <w:highlight w:val="none"/>
              </w:rPr>
              <w:t>第一个封套</w:t>
            </w:r>
            <w:r>
              <w:rPr>
                <w:rFonts w:hint="eastAsia" w:ascii="宋体" w:hAnsi="宋体"/>
                <w:spacing w:val="-6"/>
                <w:sz w:val="24"/>
                <w:szCs w:val="24"/>
                <w:highlight w:val="none"/>
              </w:rPr>
              <w:t>内】；</w:t>
            </w:r>
            <w:r>
              <w:rPr>
                <w:rFonts w:ascii="宋体" w:hAnsi="宋体"/>
                <w:spacing w:val="-6"/>
                <w:sz w:val="24"/>
                <w:szCs w:val="24"/>
                <w:highlight w:val="none"/>
              </w:rPr>
              <w:t>技术</w:t>
            </w:r>
            <w:r>
              <w:rPr>
                <w:rFonts w:hint="eastAsia" w:ascii="宋体" w:hAnsi="宋体"/>
                <w:spacing w:val="-6"/>
                <w:sz w:val="24"/>
                <w:szCs w:val="24"/>
                <w:highlight w:val="none"/>
              </w:rPr>
              <w:t>投标文件的</w:t>
            </w:r>
            <w:r>
              <w:rPr>
                <w:rFonts w:ascii="宋体" w:hAnsi="宋体"/>
                <w:spacing w:val="-6"/>
                <w:sz w:val="24"/>
                <w:szCs w:val="24"/>
                <w:highlight w:val="none"/>
              </w:rPr>
              <w:t>正</w:t>
            </w:r>
            <w:r>
              <w:rPr>
                <w:rFonts w:hint="eastAsia" w:ascii="宋体" w:hAnsi="宋体"/>
                <w:spacing w:val="-6"/>
                <w:sz w:val="24"/>
                <w:szCs w:val="24"/>
                <w:highlight w:val="none"/>
              </w:rPr>
              <w:t>、副</w:t>
            </w:r>
            <w:r>
              <w:rPr>
                <w:rFonts w:ascii="宋体" w:hAnsi="宋体"/>
                <w:spacing w:val="-6"/>
                <w:sz w:val="24"/>
                <w:szCs w:val="24"/>
                <w:highlight w:val="none"/>
              </w:rPr>
              <w:t>本密封于</w:t>
            </w:r>
            <w:r>
              <w:rPr>
                <w:rFonts w:hint="eastAsia" w:ascii="宋体" w:hAnsi="宋体"/>
                <w:b/>
                <w:spacing w:val="-6"/>
                <w:sz w:val="24"/>
                <w:szCs w:val="24"/>
                <w:highlight w:val="none"/>
              </w:rPr>
              <w:t>第二</w:t>
            </w:r>
            <w:r>
              <w:rPr>
                <w:rFonts w:ascii="宋体" w:hAnsi="宋体"/>
                <w:b/>
                <w:spacing w:val="-6"/>
                <w:sz w:val="24"/>
                <w:szCs w:val="24"/>
                <w:highlight w:val="none"/>
              </w:rPr>
              <w:t>个</w:t>
            </w:r>
            <w:r>
              <w:rPr>
                <w:rFonts w:hint="eastAsia" w:ascii="宋体" w:hAnsi="宋体"/>
                <w:b/>
                <w:spacing w:val="-6"/>
                <w:sz w:val="24"/>
                <w:szCs w:val="24"/>
                <w:highlight w:val="none"/>
              </w:rPr>
              <w:t>封套</w:t>
            </w:r>
            <w:r>
              <w:rPr>
                <w:rFonts w:ascii="宋体" w:hAnsi="宋体"/>
                <w:spacing w:val="-6"/>
                <w:sz w:val="24"/>
                <w:szCs w:val="24"/>
                <w:highlight w:val="none"/>
              </w:rPr>
              <w:t>中</w:t>
            </w:r>
            <w:r>
              <w:rPr>
                <w:rFonts w:hint="eastAsia" w:ascii="宋体" w:hAnsi="宋体"/>
                <w:sz w:val="24"/>
                <w:szCs w:val="24"/>
                <w:highlight w:val="none"/>
              </w:rPr>
              <w:t>【技术投标文件电子版单独用1个信封包装好并在信封外面作投标人名称标记附在第</w:t>
            </w:r>
            <w:r>
              <w:rPr>
                <w:rFonts w:hint="eastAsia" w:ascii="宋体" w:hAnsi="宋体"/>
                <w:sz w:val="24"/>
                <w:szCs w:val="24"/>
                <w:highlight w:val="none"/>
                <w:lang w:val="en-US" w:eastAsia="zh-CN"/>
              </w:rPr>
              <w:t>二</w:t>
            </w:r>
            <w:r>
              <w:rPr>
                <w:rFonts w:hint="eastAsia" w:ascii="宋体" w:hAnsi="宋体"/>
                <w:sz w:val="24"/>
                <w:szCs w:val="24"/>
                <w:highlight w:val="none"/>
              </w:rPr>
              <w:t>个封套内】</w:t>
            </w:r>
            <w:r>
              <w:rPr>
                <w:rFonts w:hint="eastAsia" w:ascii="宋体" w:hAnsi="宋体"/>
                <w:spacing w:val="-6"/>
                <w:sz w:val="24"/>
                <w:szCs w:val="24"/>
                <w:highlight w:val="none"/>
              </w:rPr>
              <w:t>，</w:t>
            </w:r>
            <w:r>
              <w:rPr>
                <w:rFonts w:hint="eastAsia" w:ascii="宋体" w:hAnsi="宋体"/>
                <w:spacing w:val="-6"/>
                <w:sz w:val="24"/>
                <w:szCs w:val="24"/>
                <w:highlight w:val="none"/>
                <w:lang w:val="en-US" w:eastAsia="zh-CN"/>
              </w:rPr>
              <w:t>保密信封文件</w:t>
            </w:r>
            <w:r>
              <w:rPr>
                <w:rFonts w:ascii="宋体" w:hAnsi="宋体"/>
                <w:spacing w:val="-6"/>
                <w:sz w:val="24"/>
                <w:szCs w:val="24"/>
                <w:highlight w:val="none"/>
              </w:rPr>
              <w:t>密封于</w:t>
            </w:r>
            <w:r>
              <w:rPr>
                <w:rFonts w:hint="eastAsia" w:ascii="宋体" w:hAnsi="宋体"/>
                <w:b/>
                <w:spacing w:val="-6"/>
                <w:sz w:val="24"/>
                <w:szCs w:val="24"/>
                <w:highlight w:val="none"/>
              </w:rPr>
              <w:t>第三</w:t>
            </w:r>
            <w:r>
              <w:rPr>
                <w:rFonts w:ascii="宋体" w:hAnsi="宋体"/>
                <w:b/>
                <w:spacing w:val="-6"/>
                <w:sz w:val="24"/>
                <w:szCs w:val="24"/>
                <w:highlight w:val="none"/>
              </w:rPr>
              <w:t>个</w:t>
            </w:r>
            <w:r>
              <w:rPr>
                <w:rFonts w:hint="eastAsia" w:ascii="宋体" w:hAnsi="宋体"/>
                <w:b/>
                <w:spacing w:val="-6"/>
                <w:sz w:val="24"/>
                <w:szCs w:val="24"/>
                <w:highlight w:val="none"/>
              </w:rPr>
              <w:t>封套</w:t>
            </w:r>
            <w:r>
              <w:rPr>
                <w:rFonts w:ascii="宋体" w:hAnsi="宋体"/>
                <w:spacing w:val="-6"/>
                <w:sz w:val="24"/>
                <w:szCs w:val="24"/>
                <w:highlight w:val="none"/>
              </w:rPr>
              <w:t>中</w:t>
            </w:r>
            <w:r>
              <w:rPr>
                <w:rFonts w:hint="eastAsia"/>
                <w:highlight w:val="none"/>
                <w:lang w:eastAsia="zh-CN"/>
              </w:rPr>
              <w:t>，</w:t>
            </w:r>
            <w:r>
              <w:rPr>
                <w:rFonts w:hint="eastAsia" w:ascii="宋体" w:hAnsi="宋体" w:eastAsia="宋体" w:cs="Times New Roman"/>
                <w:spacing w:val="-6"/>
                <w:sz w:val="24"/>
                <w:szCs w:val="24"/>
                <w:highlight w:val="none"/>
                <w:lang w:val="en-US" w:eastAsia="zh-CN"/>
              </w:rPr>
              <w:t>经济报价投标文件</w:t>
            </w:r>
            <w:r>
              <w:rPr>
                <w:rFonts w:hint="eastAsia" w:ascii="宋体" w:hAnsi="宋体"/>
                <w:sz w:val="24"/>
                <w:szCs w:val="24"/>
                <w:highlight w:val="none"/>
              </w:rPr>
              <w:t>密封于</w:t>
            </w:r>
            <w:r>
              <w:rPr>
                <w:rFonts w:hint="eastAsia" w:ascii="宋体" w:hAnsi="宋体"/>
                <w:b/>
                <w:bCs/>
                <w:sz w:val="24"/>
                <w:szCs w:val="24"/>
                <w:highlight w:val="none"/>
              </w:rPr>
              <w:t>第四个封套</w:t>
            </w:r>
            <w:r>
              <w:rPr>
                <w:rFonts w:hint="eastAsia" w:ascii="宋体" w:hAnsi="宋体"/>
                <w:sz w:val="24"/>
                <w:szCs w:val="24"/>
                <w:highlight w:val="none"/>
              </w:rPr>
              <w:t>中【经济报价投标文件电子版单独用1个信封包装好并在信封外面作投标人名称标记附在第四个封套内】。</w:t>
            </w:r>
            <w:r>
              <w:rPr>
                <w:rFonts w:ascii="宋体" w:hAnsi="宋体"/>
                <w:spacing w:val="-6"/>
                <w:sz w:val="24"/>
                <w:szCs w:val="24"/>
                <w:highlight w:val="none"/>
              </w:rPr>
              <w:t>封套上应分别标明“</w:t>
            </w:r>
            <w:r>
              <w:rPr>
                <w:rFonts w:hint="eastAsia" w:ascii="宋体" w:hAnsi="宋体"/>
                <w:spacing w:val="-6"/>
                <w:sz w:val="24"/>
                <w:szCs w:val="24"/>
                <w:highlight w:val="none"/>
              </w:rPr>
              <w:t>商务投标</w:t>
            </w:r>
            <w:r>
              <w:rPr>
                <w:rFonts w:ascii="宋体" w:hAnsi="宋体"/>
                <w:spacing w:val="-6"/>
                <w:sz w:val="24"/>
                <w:szCs w:val="24"/>
                <w:highlight w:val="none"/>
              </w:rPr>
              <w:t>文件”</w:t>
            </w:r>
            <w:r>
              <w:rPr>
                <w:rFonts w:hint="eastAsia" w:ascii="宋体" w:hAnsi="宋体"/>
                <w:spacing w:val="-6"/>
                <w:sz w:val="24"/>
                <w:szCs w:val="24"/>
                <w:highlight w:val="none"/>
              </w:rPr>
              <w:t>或“</w:t>
            </w:r>
            <w:r>
              <w:rPr>
                <w:rFonts w:ascii="宋体" w:hAnsi="宋体"/>
                <w:spacing w:val="-6"/>
                <w:sz w:val="24"/>
                <w:szCs w:val="24"/>
                <w:highlight w:val="none"/>
              </w:rPr>
              <w:t>技术</w:t>
            </w:r>
            <w:r>
              <w:rPr>
                <w:rFonts w:hint="eastAsia" w:ascii="宋体" w:hAnsi="宋体"/>
                <w:spacing w:val="-6"/>
                <w:sz w:val="24"/>
                <w:szCs w:val="24"/>
                <w:highlight w:val="none"/>
              </w:rPr>
              <w:t>投标文件”或</w:t>
            </w:r>
            <w:r>
              <w:rPr>
                <w:rFonts w:ascii="宋体" w:hAnsi="宋体"/>
                <w:spacing w:val="-6"/>
                <w:sz w:val="24"/>
                <w:szCs w:val="24"/>
                <w:highlight w:val="none"/>
              </w:rPr>
              <w:t>“</w:t>
            </w:r>
            <w:r>
              <w:rPr>
                <w:rFonts w:hint="eastAsia" w:ascii="宋体" w:hAnsi="宋体"/>
                <w:spacing w:val="-6"/>
                <w:sz w:val="24"/>
                <w:szCs w:val="24"/>
                <w:highlight w:val="none"/>
              </w:rPr>
              <w:t>保密信封文件</w:t>
            </w:r>
            <w:r>
              <w:rPr>
                <w:rFonts w:ascii="宋体" w:hAnsi="宋体"/>
                <w:spacing w:val="-6"/>
                <w:sz w:val="24"/>
                <w:szCs w:val="24"/>
                <w:highlight w:val="none"/>
              </w:rPr>
              <w:t>”</w:t>
            </w:r>
            <w:r>
              <w:rPr>
                <w:rFonts w:hint="eastAsia" w:ascii="宋体" w:hAnsi="宋体"/>
                <w:spacing w:val="-6"/>
                <w:sz w:val="24"/>
                <w:szCs w:val="24"/>
                <w:highlight w:val="none"/>
                <w:lang w:val="en-US" w:eastAsia="zh-CN"/>
              </w:rPr>
              <w:t>或“经济报价投标文件”</w:t>
            </w:r>
            <w:r>
              <w:rPr>
                <w:rFonts w:ascii="宋体" w:hAnsi="宋体"/>
                <w:spacing w:val="-6"/>
                <w:sz w:val="24"/>
                <w:szCs w:val="24"/>
                <w:highlight w:val="none"/>
              </w:rPr>
              <w:t>字样</w:t>
            </w:r>
            <w:r>
              <w:rPr>
                <w:rFonts w:hint="eastAsia" w:ascii="宋体" w:hAnsi="宋体"/>
                <w:spacing w:val="-6"/>
                <w:sz w:val="24"/>
                <w:szCs w:val="24"/>
                <w:highlight w:val="none"/>
              </w:rPr>
              <w:t>。</w:t>
            </w:r>
            <w:r>
              <w:rPr>
                <w:rFonts w:ascii="宋体" w:hAnsi="宋体"/>
                <w:spacing w:val="-6"/>
                <w:sz w:val="24"/>
                <w:szCs w:val="24"/>
                <w:highlight w:val="none"/>
              </w:rPr>
              <w:t>上述</w:t>
            </w:r>
            <w:r>
              <w:rPr>
                <w:rFonts w:hint="eastAsia" w:ascii="宋体" w:hAnsi="宋体"/>
                <w:spacing w:val="-6"/>
                <w:sz w:val="24"/>
                <w:szCs w:val="24"/>
                <w:highlight w:val="none"/>
                <w:lang w:val="en-US" w:eastAsia="zh-CN"/>
              </w:rPr>
              <w:t>四</w:t>
            </w:r>
            <w:r>
              <w:rPr>
                <w:rFonts w:ascii="宋体" w:hAnsi="宋体"/>
                <w:spacing w:val="-6"/>
                <w:sz w:val="24"/>
                <w:szCs w:val="24"/>
                <w:highlight w:val="none"/>
              </w:rPr>
              <w:t>个信封</w:t>
            </w:r>
            <w:r>
              <w:rPr>
                <w:rFonts w:hint="eastAsia" w:ascii="宋体" w:hAnsi="宋体"/>
                <w:spacing w:val="-6"/>
                <w:sz w:val="24"/>
                <w:szCs w:val="24"/>
                <w:highlight w:val="none"/>
              </w:rPr>
              <w:t>统一密封在一个外层封套中</w:t>
            </w:r>
            <w:r>
              <w:rPr>
                <w:rFonts w:ascii="宋体" w:hAnsi="宋体"/>
                <w:spacing w:val="-6"/>
                <w:sz w:val="24"/>
                <w:szCs w:val="24"/>
                <w:highlight w:val="none"/>
              </w:rPr>
              <w:t>。</w:t>
            </w:r>
            <w:r>
              <w:rPr>
                <w:rFonts w:hint="eastAsia" w:ascii="宋体" w:hAnsi="宋体"/>
                <w:spacing w:val="-6"/>
                <w:sz w:val="24"/>
                <w:szCs w:val="24"/>
                <w:highlight w:val="none"/>
              </w:rPr>
              <w:t>内层和外层封套均应加贴封条，内层封套的封口处应加盖投标人单位公章，外层封套中不应有任何投标人的识别标志。</w:t>
            </w:r>
          </w:p>
        </w:tc>
      </w:tr>
      <w:tr w14:paraId="0EC953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85" w:hRule="atLeast"/>
        </w:trPr>
        <w:tc>
          <w:tcPr>
            <w:tcW w:w="1313" w:type="dxa"/>
            <w:gridSpan w:val="2"/>
            <w:vAlign w:val="center"/>
          </w:tcPr>
          <w:p w14:paraId="0C793258">
            <w:pPr>
              <w:spacing w:line="360" w:lineRule="auto"/>
              <w:jc w:val="center"/>
              <w:rPr>
                <w:rFonts w:ascii="宋体" w:hAnsi="宋体"/>
                <w:sz w:val="24"/>
                <w:szCs w:val="24"/>
                <w:highlight w:val="none"/>
              </w:rPr>
            </w:pPr>
            <w:r>
              <w:rPr>
                <w:rFonts w:hint="eastAsia" w:ascii="宋体" w:hAnsi="宋体"/>
                <w:sz w:val="24"/>
                <w:szCs w:val="24"/>
                <w:highlight w:val="none"/>
              </w:rPr>
              <w:t>4.1.2</w:t>
            </w:r>
          </w:p>
        </w:tc>
        <w:tc>
          <w:tcPr>
            <w:tcW w:w="1797" w:type="dxa"/>
            <w:vAlign w:val="center"/>
          </w:tcPr>
          <w:p w14:paraId="0F23EBE0">
            <w:pPr>
              <w:tabs>
                <w:tab w:val="left" w:pos="540"/>
              </w:tabs>
              <w:spacing w:line="360" w:lineRule="exact"/>
              <w:jc w:val="center"/>
              <w:rPr>
                <w:rFonts w:ascii="宋体" w:hAnsi="宋体"/>
                <w:bCs/>
                <w:spacing w:val="10"/>
                <w:sz w:val="24"/>
                <w:szCs w:val="24"/>
                <w:highlight w:val="none"/>
              </w:rPr>
            </w:pPr>
            <w:r>
              <w:rPr>
                <w:rFonts w:hint="eastAsia" w:ascii="宋体" w:hAnsi="宋体"/>
                <w:bCs/>
                <w:spacing w:val="10"/>
                <w:sz w:val="24"/>
                <w:szCs w:val="24"/>
                <w:highlight w:val="none"/>
              </w:rPr>
              <w:t>投标文件的</w:t>
            </w:r>
          </w:p>
          <w:p w14:paraId="7F73CD4E">
            <w:pPr>
              <w:autoSpaceDE w:val="0"/>
              <w:autoSpaceDN w:val="0"/>
              <w:adjustRightInd w:val="0"/>
              <w:spacing w:line="320" w:lineRule="exact"/>
              <w:ind w:left="42" w:leftChars="20" w:right="42" w:rightChars="20"/>
              <w:jc w:val="center"/>
              <w:rPr>
                <w:rFonts w:ascii="宋体" w:hAnsi="宋体" w:cs="宋体"/>
                <w:kern w:val="0"/>
                <w:sz w:val="24"/>
                <w:szCs w:val="24"/>
                <w:highlight w:val="none"/>
              </w:rPr>
            </w:pPr>
            <w:r>
              <w:rPr>
                <w:rFonts w:hint="eastAsia" w:ascii="宋体" w:hAnsi="宋体" w:cs="宋体"/>
                <w:kern w:val="0"/>
                <w:sz w:val="24"/>
                <w:szCs w:val="24"/>
                <w:highlight w:val="none"/>
              </w:rPr>
              <w:t>标记</w:t>
            </w:r>
          </w:p>
        </w:tc>
        <w:tc>
          <w:tcPr>
            <w:tcW w:w="6658" w:type="dxa"/>
            <w:gridSpan w:val="2"/>
            <w:vAlign w:val="center"/>
          </w:tcPr>
          <w:p w14:paraId="0CDD11AF">
            <w:pPr>
              <w:autoSpaceDE w:val="0"/>
              <w:autoSpaceDN w:val="0"/>
              <w:adjustRightInd w:val="0"/>
              <w:spacing w:line="340" w:lineRule="exact"/>
              <w:ind w:left="42" w:leftChars="20" w:right="42" w:rightChars="20"/>
              <w:rPr>
                <w:rFonts w:ascii="宋体" w:hAnsi="宋体" w:cs="宋体"/>
                <w:b/>
                <w:kern w:val="0"/>
                <w:sz w:val="24"/>
                <w:szCs w:val="24"/>
                <w:highlight w:val="none"/>
              </w:rPr>
            </w:pPr>
            <w:r>
              <w:rPr>
                <w:rFonts w:hint="eastAsia" w:ascii="宋体" w:hAnsi="宋体" w:cs="宋体"/>
                <w:b/>
                <w:kern w:val="0"/>
                <w:sz w:val="24"/>
                <w:szCs w:val="24"/>
                <w:highlight w:val="none"/>
              </w:rPr>
              <w:t>内层封套：</w:t>
            </w:r>
          </w:p>
          <w:p w14:paraId="26404223">
            <w:pPr>
              <w:tabs>
                <w:tab w:val="left" w:pos="3450"/>
                <w:tab w:val="left" w:pos="3560"/>
              </w:tabs>
              <w:autoSpaceDE w:val="0"/>
              <w:autoSpaceDN w:val="0"/>
              <w:adjustRightInd w:val="0"/>
              <w:spacing w:line="340" w:lineRule="exact"/>
              <w:ind w:left="42" w:leftChars="20" w:right="42" w:rightChars="20"/>
              <w:rPr>
                <w:rFonts w:ascii="宋体" w:hAnsi="宋体" w:cs="宋体"/>
                <w:kern w:val="0"/>
                <w:sz w:val="24"/>
                <w:szCs w:val="24"/>
                <w:highlight w:val="none"/>
              </w:rPr>
            </w:pPr>
            <w:r>
              <w:rPr>
                <w:rFonts w:hint="eastAsia" w:ascii="宋体" w:hAnsi="宋体" w:cs="宋体"/>
                <w:kern w:val="0"/>
                <w:sz w:val="24"/>
                <w:szCs w:val="24"/>
                <w:highlight w:val="none"/>
              </w:rPr>
              <w:t>投标人邮政编码：    投标人地址：</w:t>
            </w:r>
          </w:p>
          <w:p w14:paraId="328434D1">
            <w:pPr>
              <w:tabs>
                <w:tab w:val="left" w:pos="3140"/>
                <w:tab w:val="left" w:pos="3340"/>
              </w:tabs>
              <w:autoSpaceDE w:val="0"/>
              <w:autoSpaceDN w:val="0"/>
              <w:adjustRightInd w:val="0"/>
              <w:spacing w:line="340" w:lineRule="exact"/>
              <w:ind w:left="42" w:leftChars="20" w:right="42" w:rightChars="20"/>
              <w:rPr>
                <w:rFonts w:ascii="宋体" w:hAnsi="宋体" w:cs="宋体"/>
                <w:kern w:val="0"/>
                <w:sz w:val="24"/>
                <w:szCs w:val="24"/>
                <w:highlight w:val="none"/>
              </w:rPr>
            </w:pPr>
            <w:r>
              <w:rPr>
                <w:rFonts w:hint="eastAsia" w:ascii="宋体" w:hAnsi="宋体" w:cs="宋体"/>
                <w:kern w:val="0"/>
                <w:sz w:val="24"/>
                <w:szCs w:val="24"/>
                <w:highlight w:val="none"/>
              </w:rPr>
              <w:t>投标人名称：    投标人联系人：</w:t>
            </w:r>
          </w:p>
          <w:p w14:paraId="41F394D4">
            <w:pPr>
              <w:spacing w:line="340" w:lineRule="exact"/>
              <w:ind w:left="63" w:leftChars="30" w:right="63" w:rightChars="30"/>
              <w:rPr>
                <w:rFonts w:ascii="宋体" w:hAnsi="宋体" w:cs="宋体"/>
                <w:spacing w:val="-4"/>
                <w:kern w:val="0"/>
                <w:sz w:val="24"/>
                <w:szCs w:val="24"/>
                <w:highlight w:val="none"/>
              </w:rPr>
            </w:pPr>
            <w:r>
              <w:rPr>
                <w:rFonts w:hint="eastAsia" w:ascii="宋体" w:hAnsi="宋体"/>
                <w:spacing w:val="-4"/>
                <w:sz w:val="24"/>
                <w:szCs w:val="24"/>
                <w:highlight w:val="none"/>
              </w:rPr>
              <w:t>(项目名称)监理投标文件</w:t>
            </w:r>
            <w:r>
              <w:rPr>
                <w:rFonts w:hint="eastAsia" w:ascii="宋体" w:hAnsi="宋体"/>
                <w:spacing w:val="-4"/>
                <w:sz w:val="24"/>
                <w:szCs w:val="24"/>
                <w:highlight w:val="none"/>
                <w:u w:val="single"/>
              </w:rPr>
              <w:t xml:space="preserve">商务投标文件 </w:t>
            </w:r>
            <w:r>
              <w:rPr>
                <w:rFonts w:hint="eastAsia" w:ascii="宋体" w:hAnsi="宋体"/>
                <w:spacing w:val="-4"/>
                <w:sz w:val="24"/>
                <w:szCs w:val="24"/>
                <w:highlight w:val="none"/>
              </w:rPr>
              <w:t>或</w:t>
            </w:r>
            <w:r>
              <w:rPr>
                <w:rFonts w:hint="eastAsia" w:ascii="宋体" w:hAnsi="宋体"/>
                <w:spacing w:val="-4"/>
                <w:sz w:val="24"/>
                <w:szCs w:val="24"/>
                <w:highlight w:val="none"/>
                <w:u w:val="single"/>
              </w:rPr>
              <w:t xml:space="preserve"> 技术投标文件 </w:t>
            </w:r>
            <w:r>
              <w:rPr>
                <w:rFonts w:hint="eastAsia" w:ascii="宋体" w:hAnsi="宋体"/>
                <w:spacing w:val="-4"/>
                <w:sz w:val="24"/>
                <w:szCs w:val="24"/>
                <w:highlight w:val="none"/>
              </w:rPr>
              <w:t>或</w:t>
            </w:r>
            <w:r>
              <w:rPr>
                <w:rFonts w:hint="eastAsia" w:ascii="宋体" w:hAnsi="宋体"/>
                <w:spacing w:val="-4"/>
                <w:sz w:val="24"/>
                <w:szCs w:val="24"/>
                <w:highlight w:val="none"/>
                <w:u w:val="single"/>
              </w:rPr>
              <w:t>保密信封文件</w:t>
            </w:r>
            <w:r>
              <w:rPr>
                <w:rFonts w:hint="eastAsia" w:ascii="宋体" w:hAnsi="宋体"/>
                <w:spacing w:val="-4"/>
                <w:sz w:val="24"/>
                <w:szCs w:val="24"/>
                <w:highlight w:val="none"/>
                <w:u w:val="none"/>
                <w:lang w:val="en-US" w:eastAsia="zh-CN"/>
              </w:rPr>
              <w:t>或</w:t>
            </w:r>
            <w:r>
              <w:rPr>
                <w:rFonts w:hint="eastAsia" w:ascii="宋体" w:hAnsi="Times New Roman" w:eastAsia="宋体" w:cs="Times New Roman"/>
                <w:sz w:val="24"/>
                <w:szCs w:val="24"/>
                <w:highlight w:val="none"/>
                <w:u w:val="single"/>
                <w:lang w:val="en-US" w:eastAsia="zh-CN"/>
              </w:rPr>
              <w:t>经济报价投标文件</w:t>
            </w:r>
            <w:r>
              <w:rPr>
                <w:rFonts w:hint="eastAsia" w:ascii="宋体" w:hAnsi="宋体"/>
                <w:spacing w:val="-4"/>
                <w:sz w:val="24"/>
                <w:szCs w:val="24"/>
                <w:highlight w:val="none"/>
              </w:rPr>
              <w:t>。</w:t>
            </w:r>
          </w:p>
          <w:p w14:paraId="4EABF0F3">
            <w:pPr>
              <w:tabs>
                <w:tab w:val="left" w:pos="3140"/>
                <w:tab w:val="left" w:pos="3340"/>
              </w:tabs>
              <w:autoSpaceDE w:val="0"/>
              <w:autoSpaceDN w:val="0"/>
              <w:adjustRightInd w:val="0"/>
              <w:spacing w:beforeLines="20" w:line="340" w:lineRule="exact"/>
              <w:ind w:left="42" w:leftChars="20" w:right="42" w:rightChars="20"/>
              <w:rPr>
                <w:rFonts w:ascii="宋体" w:hAnsi="宋体" w:cs="宋体"/>
                <w:b/>
                <w:kern w:val="0"/>
                <w:sz w:val="24"/>
                <w:szCs w:val="24"/>
                <w:highlight w:val="none"/>
              </w:rPr>
            </w:pPr>
            <w:r>
              <w:rPr>
                <w:rFonts w:hint="eastAsia" w:ascii="宋体" w:hAnsi="宋体" w:cs="宋体"/>
                <w:b/>
                <w:kern w:val="0"/>
                <w:sz w:val="24"/>
                <w:szCs w:val="24"/>
                <w:highlight w:val="none"/>
              </w:rPr>
              <w:t>外层封套：</w:t>
            </w:r>
          </w:p>
          <w:p w14:paraId="3DF5D980">
            <w:pPr>
              <w:tabs>
                <w:tab w:val="left" w:pos="3240"/>
              </w:tabs>
              <w:autoSpaceDE w:val="0"/>
              <w:autoSpaceDN w:val="0"/>
              <w:adjustRightInd w:val="0"/>
              <w:spacing w:line="340" w:lineRule="exact"/>
              <w:ind w:left="42" w:leftChars="20" w:right="42" w:rightChars="20"/>
              <w:rPr>
                <w:rFonts w:ascii="宋体" w:hAnsi="宋体" w:cs="宋体"/>
                <w:kern w:val="0"/>
                <w:sz w:val="24"/>
                <w:szCs w:val="24"/>
                <w:highlight w:val="none"/>
              </w:rPr>
            </w:pPr>
            <w:r>
              <w:rPr>
                <w:rFonts w:hint="eastAsia" w:ascii="宋体" w:hAnsi="宋体" w:cs="宋体"/>
                <w:kern w:val="0"/>
                <w:sz w:val="24"/>
                <w:szCs w:val="24"/>
                <w:highlight w:val="none"/>
              </w:rPr>
              <w:t>招标人名称：</w:t>
            </w:r>
          </w:p>
          <w:p w14:paraId="18AADA15">
            <w:pPr>
              <w:tabs>
                <w:tab w:val="left" w:pos="3140"/>
                <w:tab w:val="left" w:pos="3560"/>
              </w:tabs>
              <w:autoSpaceDE w:val="0"/>
              <w:autoSpaceDN w:val="0"/>
              <w:adjustRightInd w:val="0"/>
              <w:spacing w:line="340" w:lineRule="exact"/>
              <w:ind w:left="42" w:leftChars="20" w:right="42" w:rightChars="20"/>
              <w:rPr>
                <w:rFonts w:ascii="宋体" w:hAnsi="宋体" w:cs="宋体"/>
                <w:kern w:val="0"/>
                <w:sz w:val="24"/>
                <w:szCs w:val="24"/>
                <w:highlight w:val="none"/>
              </w:rPr>
            </w:pPr>
            <w:r>
              <w:rPr>
                <w:rFonts w:hint="eastAsia" w:ascii="宋体" w:hAnsi="宋体"/>
                <w:kern w:val="0"/>
                <w:sz w:val="24"/>
                <w:szCs w:val="24"/>
                <w:highlight w:val="none"/>
              </w:rPr>
              <w:t>(</w:t>
            </w:r>
            <w:r>
              <w:rPr>
                <w:rFonts w:hint="eastAsia" w:ascii="宋体" w:hAnsi="宋体" w:cs="宋体"/>
                <w:kern w:val="0"/>
                <w:sz w:val="24"/>
                <w:szCs w:val="24"/>
                <w:highlight w:val="none"/>
              </w:rPr>
              <w:t>项</w:t>
            </w:r>
            <w:r>
              <w:rPr>
                <w:rFonts w:hint="eastAsia" w:ascii="宋体" w:hAnsi="宋体" w:cs="宋体"/>
                <w:spacing w:val="-1"/>
                <w:kern w:val="0"/>
                <w:sz w:val="24"/>
                <w:szCs w:val="24"/>
                <w:highlight w:val="none"/>
              </w:rPr>
              <w:t>目</w:t>
            </w:r>
            <w:r>
              <w:rPr>
                <w:rFonts w:hint="eastAsia" w:ascii="宋体" w:hAnsi="宋体" w:cs="宋体"/>
                <w:kern w:val="0"/>
                <w:sz w:val="24"/>
                <w:szCs w:val="24"/>
                <w:highlight w:val="none"/>
              </w:rPr>
              <w:t>名称</w:t>
            </w:r>
            <w:r>
              <w:rPr>
                <w:rFonts w:hint="eastAsia" w:ascii="宋体" w:hAnsi="宋体"/>
                <w:kern w:val="0"/>
                <w:sz w:val="24"/>
                <w:szCs w:val="24"/>
                <w:highlight w:val="none"/>
              </w:rPr>
              <w:t>)</w:t>
            </w:r>
            <w:r>
              <w:rPr>
                <w:rFonts w:hint="eastAsia" w:ascii="宋体" w:hAnsi="宋体" w:cs="宋体"/>
                <w:kern w:val="0"/>
                <w:sz w:val="24"/>
                <w:szCs w:val="24"/>
                <w:highlight w:val="none"/>
              </w:rPr>
              <w:t>监理投标文件在</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r>
              <w:rPr>
                <w:rFonts w:hint="eastAsia" w:ascii="宋体" w:hAnsi="宋体"/>
                <w:sz w:val="24"/>
                <w:highlight w:val="none"/>
                <w:u w:val="single"/>
              </w:rPr>
              <w:t xml:space="preserve">  </w:t>
            </w:r>
            <w:r>
              <w:rPr>
                <w:rFonts w:hint="eastAsia" w:ascii="宋体" w:hAnsi="宋体" w:cs="宋体"/>
                <w:spacing w:val="-1"/>
                <w:kern w:val="0"/>
                <w:sz w:val="24"/>
                <w:szCs w:val="24"/>
                <w:highlight w:val="none"/>
              </w:rPr>
              <w:t>时</w:t>
            </w:r>
            <w:r>
              <w:rPr>
                <w:rFonts w:hint="eastAsia" w:ascii="宋体" w:hAnsi="宋体"/>
                <w:sz w:val="24"/>
                <w:highlight w:val="none"/>
                <w:u w:val="single"/>
              </w:rPr>
              <w:t xml:space="preserve">  </w:t>
            </w:r>
            <w:r>
              <w:rPr>
                <w:rFonts w:hint="eastAsia" w:ascii="宋体" w:hAnsi="宋体" w:cs="宋体"/>
                <w:kern w:val="0"/>
                <w:sz w:val="24"/>
                <w:szCs w:val="24"/>
                <w:highlight w:val="none"/>
              </w:rPr>
              <w:t>分（开标时间）前不得</w:t>
            </w:r>
            <w:r>
              <w:rPr>
                <w:rFonts w:hint="eastAsia" w:ascii="宋体" w:hAnsi="宋体" w:cs="宋体"/>
                <w:spacing w:val="-1"/>
                <w:kern w:val="0"/>
                <w:sz w:val="24"/>
                <w:szCs w:val="24"/>
                <w:highlight w:val="none"/>
              </w:rPr>
              <w:t>开</w:t>
            </w:r>
            <w:r>
              <w:rPr>
                <w:rFonts w:hint="eastAsia" w:ascii="宋体" w:hAnsi="宋体" w:cs="宋体"/>
                <w:kern w:val="0"/>
                <w:sz w:val="24"/>
                <w:szCs w:val="24"/>
                <w:highlight w:val="none"/>
              </w:rPr>
              <w:t>启。</w:t>
            </w:r>
          </w:p>
          <w:p w14:paraId="696841A3">
            <w:pPr>
              <w:tabs>
                <w:tab w:val="left" w:pos="3140"/>
                <w:tab w:val="left" w:pos="3560"/>
              </w:tabs>
              <w:autoSpaceDE w:val="0"/>
              <w:autoSpaceDN w:val="0"/>
              <w:adjustRightInd w:val="0"/>
              <w:spacing w:line="340" w:lineRule="exact"/>
              <w:ind w:left="42" w:leftChars="20" w:right="42" w:rightChars="20"/>
              <w:rPr>
                <w:rFonts w:ascii="宋体" w:hAnsi="宋体" w:cs="宋体"/>
                <w:b/>
                <w:bCs/>
                <w:kern w:val="0"/>
                <w:sz w:val="24"/>
                <w:szCs w:val="24"/>
                <w:highlight w:val="none"/>
              </w:rPr>
            </w:pPr>
            <w:r>
              <w:rPr>
                <w:rFonts w:hint="eastAsia" w:ascii="宋体" w:hAnsi="宋体" w:cs="宋体"/>
                <w:b/>
                <w:bCs/>
                <w:kern w:val="0"/>
                <w:sz w:val="24"/>
                <w:szCs w:val="24"/>
                <w:highlight w:val="none"/>
              </w:rPr>
              <w:t>电子版封套：</w:t>
            </w:r>
          </w:p>
          <w:p w14:paraId="2E84DDC3">
            <w:pPr>
              <w:tabs>
                <w:tab w:val="left" w:pos="3140"/>
                <w:tab w:val="left" w:pos="3560"/>
              </w:tabs>
              <w:autoSpaceDE w:val="0"/>
              <w:autoSpaceDN w:val="0"/>
              <w:adjustRightInd w:val="0"/>
              <w:spacing w:line="340" w:lineRule="exact"/>
              <w:ind w:left="42" w:leftChars="20" w:right="42" w:rightChars="20"/>
              <w:rPr>
                <w:rFonts w:ascii="宋体" w:hAnsi="宋体" w:cs="宋体"/>
                <w:kern w:val="0"/>
                <w:sz w:val="24"/>
                <w:szCs w:val="24"/>
                <w:highlight w:val="none"/>
              </w:rPr>
            </w:pPr>
            <w:r>
              <w:rPr>
                <w:rFonts w:hint="eastAsia" w:ascii="宋体" w:hAnsi="宋体" w:cs="宋体"/>
                <w:kern w:val="0"/>
                <w:sz w:val="24"/>
                <w:szCs w:val="24"/>
                <w:highlight w:val="none"/>
              </w:rPr>
              <w:t>投标人名称：</w:t>
            </w:r>
          </w:p>
          <w:p w14:paraId="3F5FEDDB">
            <w:pPr>
              <w:spacing w:line="360" w:lineRule="auto"/>
              <w:jc w:val="left"/>
              <w:rPr>
                <w:rFonts w:ascii="宋体" w:hAnsi="宋体"/>
                <w:sz w:val="24"/>
                <w:szCs w:val="24"/>
                <w:highlight w:val="none"/>
                <w:u w:val="single"/>
              </w:rPr>
            </w:pPr>
            <w:r>
              <w:rPr>
                <w:rFonts w:hint="eastAsia" w:ascii="宋体" w:hAnsi="宋体" w:cs="宋体"/>
                <w:kern w:val="0"/>
                <w:sz w:val="24"/>
                <w:szCs w:val="24"/>
                <w:highlight w:val="none"/>
              </w:rPr>
              <w:t xml:space="preserve">项目名称：  </w:t>
            </w:r>
          </w:p>
        </w:tc>
      </w:tr>
      <w:tr w14:paraId="290E76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58" w:hRule="exact"/>
        </w:trPr>
        <w:tc>
          <w:tcPr>
            <w:tcW w:w="1313" w:type="dxa"/>
            <w:gridSpan w:val="2"/>
            <w:vAlign w:val="center"/>
          </w:tcPr>
          <w:p w14:paraId="039B7EAF">
            <w:pPr>
              <w:spacing w:line="360" w:lineRule="auto"/>
              <w:jc w:val="center"/>
              <w:rPr>
                <w:rFonts w:ascii="宋体" w:hAnsi="宋体"/>
                <w:sz w:val="24"/>
                <w:szCs w:val="24"/>
                <w:highlight w:val="none"/>
              </w:rPr>
            </w:pPr>
            <w:r>
              <w:rPr>
                <w:rFonts w:ascii="宋体" w:hAnsi="宋体"/>
                <w:sz w:val="24"/>
                <w:szCs w:val="24"/>
                <w:highlight w:val="none"/>
              </w:rPr>
              <w:t>4.2.1</w:t>
            </w:r>
          </w:p>
        </w:tc>
        <w:tc>
          <w:tcPr>
            <w:tcW w:w="1797" w:type="dxa"/>
            <w:vAlign w:val="center"/>
          </w:tcPr>
          <w:p w14:paraId="2BB4AD3C">
            <w:pPr>
              <w:spacing w:line="360" w:lineRule="auto"/>
              <w:jc w:val="center"/>
              <w:rPr>
                <w:rFonts w:ascii="宋体" w:hAnsi="宋体"/>
                <w:sz w:val="24"/>
                <w:szCs w:val="24"/>
                <w:highlight w:val="none"/>
              </w:rPr>
            </w:pPr>
            <w:r>
              <w:rPr>
                <w:rFonts w:hint="eastAsia" w:ascii="宋体" w:hAnsi="宋体"/>
                <w:sz w:val="24"/>
                <w:szCs w:val="24"/>
                <w:highlight w:val="none"/>
              </w:rPr>
              <w:t>投标截止时间</w:t>
            </w:r>
          </w:p>
        </w:tc>
        <w:tc>
          <w:tcPr>
            <w:tcW w:w="6658" w:type="dxa"/>
            <w:gridSpan w:val="2"/>
            <w:vAlign w:val="center"/>
          </w:tcPr>
          <w:p w14:paraId="61E35A33">
            <w:pPr>
              <w:spacing w:line="360" w:lineRule="auto"/>
              <w:ind w:left="945" w:hanging="945"/>
              <w:rPr>
                <w:rFonts w:ascii="宋体" w:hAnsi="宋体"/>
                <w:spacing w:val="-6"/>
                <w:sz w:val="24"/>
                <w:szCs w:val="24"/>
                <w:highlight w:val="none"/>
                <w:u w:val="single"/>
              </w:rPr>
            </w:pPr>
            <w:r>
              <w:rPr>
                <w:rFonts w:hint="eastAsia" w:ascii="宋体" w:hAnsi="宋体"/>
                <w:sz w:val="24"/>
                <w:szCs w:val="24"/>
                <w:highlight w:val="none"/>
              </w:rPr>
              <w:t>截止时间：</w:t>
            </w:r>
            <w:r>
              <w:rPr>
                <w:rFonts w:hint="eastAsia" w:ascii="宋体" w:hAnsi="宋体" w:cs="宋体"/>
                <w:b/>
                <w:kern w:val="0"/>
                <w:sz w:val="24"/>
                <w:highlight w:val="none"/>
                <w:u w:val="single"/>
              </w:rPr>
              <w:t xml:space="preserve">    </w:t>
            </w:r>
            <w:r>
              <w:rPr>
                <w:rFonts w:hint="eastAsia" w:ascii="宋体" w:hAnsi="宋体"/>
                <w:sz w:val="24"/>
                <w:szCs w:val="24"/>
                <w:highlight w:val="none"/>
              </w:rPr>
              <w:t>年</w:t>
            </w:r>
            <w:r>
              <w:rPr>
                <w:rFonts w:hint="eastAsia" w:ascii="宋体" w:hAnsi="宋体" w:cs="宋体"/>
                <w:b/>
                <w:kern w:val="0"/>
                <w:sz w:val="24"/>
                <w:highlight w:val="none"/>
                <w:u w:val="single"/>
              </w:rPr>
              <w:t xml:space="preserve">    </w:t>
            </w:r>
            <w:r>
              <w:rPr>
                <w:rFonts w:hint="eastAsia" w:ascii="宋体" w:hAnsi="宋体"/>
                <w:sz w:val="24"/>
                <w:szCs w:val="24"/>
                <w:highlight w:val="none"/>
              </w:rPr>
              <w:t>月</w:t>
            </w:r>
            <w:r>
              <w:rPr>
                <w:rFonts w:hint="eastAsia" w:ascii="宋体" w:hAnsi="宋体" w:cs="宋体"/>
                <w:b/>
                <w:kern w:val="0"/>
                <w:sz w:val="24"/>
                <w:highlight w:val="none"/>
                <w:u w:val="single"/>
              </w:rPr>
              <w:t xml:space="preserve">    </w:t>
            </w:r>
            <w:r>
              <w:rPr>
                <w:rFonts w:hint="eastAsia" w:ascii="宋体" w:hAnsi="宋体"/>
                <w:sz w:val="24"/>
                <w:szCs w:val="24"/>
                <w:highlight w:val="none"/>
              </w:rPr>
              <w:t>日</w:t>
            </w:r>
            <w:r>
              <w:rPr>
                <w:rFonts w:hint="eastAsia" w:ascii="宋体" w:hAnsi="宋体" w:cs="宋体"/>
                <w:b/>
                <w:kern w:val="0"/>
                <w:sz w:val="24"/>
                <w:highlight w:val="none"/>
                <w:u w:val="single"/>
              </w:rPr>
              <w:t xml:space="preserve">    </w:t>
            </w:r>
            <w:r>
              <w:rPr>
                <w:rFonts w:hint="eastAsia" w:ascii="宋体" w:hAnsi="宋体"/>
                <w:sz w:val="24"/>
                <w:szCs w:val="24"/>
                <w:highlight w:val="none"/>
              </w:rPr>
              <w:t>时</w:t>
            </w:r>
            <w:r>
              <w:rPr>
                <w:rFonts w:hint="eastAsia" w:ascii="宋体" w:hAnsi="宋体" w:cs="宋体"/>
                <w:b/>
                <w:kern w:val="0"/>
                <w:sz w:val="24"/>
                <w:highlight w:val="none"/>
                <w:u w:val="single"/>
              </w:rPr>
              <w:t xml:space="preserve">    </w:t>
            </w:r>
            <w:r>
              <w:rPr>
                <w:rFonts w:hint="eastAsia" w:ascii="宋体" w:hAnsi="宋体"/>
                <w:sz w:val="24"/>
                <w:szCs w:val="24"/>
                <w:highlight w:val="none"/>
              </w:rPr>
              <w:t>分</w:t>
            </w:r>
          </w:p>
        </w:tc>
      </w:tr>
      <w:tr w14:paraId="3691BE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8" w:hRule="exact"/>
        </w:trPr>
        <w:tc>
          <w:tcPr>
            <w:tcW w:w="1313" w:type="dxa"/>
            <w:gridSpan w:val="2"/>
            <w:vAlign w:val="center"/>
          </w:tcPr>
          <w:p w14:paraId="0A56CF48">
            <w:pPr>
              <w:spacing w:line="360" w:lineRule="auto"/>
              <w:jc w:val="center"/>
              <w:rPr>
                <w:rFonts w:ascii="宋体" w:hAnsi="宋体"/>
                <w:sz w:val="24"/>
                <w:szCs w:val="24"/>
                <w:highlight w:val="none"/>
              </w:rPr>
            </w:pPr>
            <w:r>
              <w:rPr>
                <w:rFonts w:ascii="宋体" w:hAnsi="宋体"/>
                <w:sz w:val="24"/>
                <w:szCs w:val="24"/>
                <w:highlight w:val="none"/>
              </w:rPr>
              <w:t>4.2.2</w:t>
            </w:r>
          </w:p>
        </w:tc>
        <w:tc>
          <w:tcPr>
            <w:tcW w:w="1797" w:type="dxa"/>
            <w:vAlign w:val="center"/>
          </w:tcPr>
          <w:p w14:paraId="5D34F0CA">
            <w:pPr>
              <w:tabs>
                <w:tab w:val="left" w:pos="540"/>
              </w:tabs>
              <w:spacing w:line="360" w:lineRule="auto"/>
              <w:jc w:val="center"/>
              <w:rPr>
                <w:rFonts w:ascii="宋体" w:hAnsi="宋体"/>
                <w:bCs/>
                <w:sz w:val="24"/>
                <w:szCs w:val="24"/>
                <w:highlight w:val="none"/>
              </w:rPr>
            </w:pPr>
            <w:r>
              <w:rPr>
                <w:rFonts w:hint="eastAsia" w:ascii="宋体" w:hAnsi="宋体"/>
                <w:bCs/>
                <w:sz w:val="24"/>
                <w:szCs w:val="24"/>
                <w:highlight w:val="none"/>
              </w:rPr>
              <w:t>递交投标</w:t>
            </w:r>
          </w:p>
          <w:p w14:paraId="2A5402EB">
            <w:pPr>
              <w:spacing w:line="360" w:lineRule="auto"/>
              <w:jc w:val="center"/>
              <w:rPr>
                <w:rFonts w:ascii="宋体" w:hAnsi="宋体"/>
                <w:sz w:val="24"/>
                <w:szCs w:val="24"/>
                <w:highlight w:val="none"/>
              </w:rPr>
            </w:pPr>
            <w:r>
              <w:rPr>
                <w:rFonts w:hint="eastAsia" w:ascii="宋体" w:hAnsi="宋体"/>
                <w:bCs/>
                <w:sz w:val="24"/>
                <w:szCs w:val="24"/>
                <w:highlight w:val="none"/>
              </w:rPr>
              <w:t>文件地点</w:t>
            </w:r>
          </w:p>
        </w:tc>
        <w:tc>
          <w:tcPr>
            <w:tcW w:w="6658" w:type="dxa"/>
            <w:gridSpan w:val="2"/>
            <w:vAlign w:val="center"/>
          </w:tcPr>
          <w:p w14:paraId="3BA90BB1">
            <w:pPr>
              <w:spacing w:line="360" w:lineRule="exact"/>
              <w:ind w:right="105" w:rightChars="50"/>
              <w:rPr>
                <w:rFonts w:ascii="宋体" w:hAnsi="宋体"/>
                <w:sz w:val="24"/>
                <w:szCs w:val="24"/>
                <w:highlight w:val="none"/>
                <w:u w:val="single"/>
              </w:rPr>
            </w:pPr>
            <w:r>
              <w:rPr>
                <w:rFonts w:hint="eastAsia" w:ascii="宋体" w:hAnsi="宋体"/>
                <w:spacing w:val="6"/>
                <w:sz w:val="24"/>
                <w:szCs w:val="24"/>
                <w:highlight w:val="none"/>
              </w:rPr>
              <w:t>递交至：</w:t>
            </w:r>
            <w:r>
              <w:rPr>
                <w:rFonts w:hint="eastAsia" w:ascii="宋体" w:hAnsi="宋体" w:eastAsia="宋体" w:cs="Times New Roman"/>
                <w:kern w:val="2"/>
                <w:sz w:val="24"/>
                <w:szCs w:val="24"/>
                <w:highlight w:val="none"/>
                <w:u w:val="single"/>
                <w:lang w:val="en-US" w:eastAsia="zh-CN" w:bidi="ar"/>
              </w:rPr>
              <w:t>广州公共资源交易中心</w:t>
            </w:r>
          </w:p>
          <w:p w14:paraId="7093D280">
            <w:pPr>
              <w:spacing w:line="360" w:lineRule="auto"/>
              <w:rPr>
                <w:rFonts w:ascii="宋体" w:hAnsi="宋体"/>
                <w:sz w:val="24"/>
                <w:szCs w:val="24"/>
                <w:highlight w:val="none"/>
              </w:rPr>
            </w:pPr>
            <w:r>
              <w:rPr>
                <w:rFonts w:hint="eastAsia" w:ascii="宋体" w:hAnsi="宋体"/>
                <w:spacing w:val="6"/>
                <w:sz w:val="24"/>
                <w:szCs w:val="24"/>
                <w:highlight w:val="none"/>
              </w:rPr>
              <w:t>地址：</w:t>
            </w:r>
            <w:r>
              <w:rPr>
                <w:rFonts w:hint="eastAsia" w:ascii="宋体" w:hAnsi="宋体"/>
                <w:sz w:val="24"/>
                <w:szCs w:val="24"/>
                <w:highlight w:val="none"/>
                <w:u w:val="single"/>
              </w:rPr>
              <w:t>广州市天河区天润路 333 号（以广州公共资源交易网公告的开标室为准）</w:t>
            </w:r>
          </w:p>
        </w:tc>
      </w:tr>
      <w:tr w14:paraId="2119A2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37" w:hRule="exact"/>
        </w:trPr>
        <w:tc>
          <w:tcPr>
            <w:tcW w:w="1313" w:type="dxa"/>
            <w:gridSpan w:val="2"/>
            <w:vAlign w:val="center"/>
          </w:tcPr>
          <w:p w14:paraId="67461CC8">
            <w:pPr>
              <w:spacing w:line="360" w:lineRule="auto"/>
              <w:jc w:val="center"/>
              <w:rPr>
                <w:rFonts w:ascii="宋体" w:hAnsi="宋体"/>
                <w:sz w:val="24"/>
                <w:szCs w:val="24"/>
                <w:highlight w:val="none"/>
              </w:rPr>
            </w:pPr>
            <w:r>
              <w:rPr>
                <w:rFonts w:ascii="宋体" w:hAnsi="宋体"/>
                <w:sz w:val="24"/>
                <w:szCs w:val="24"/>
                <w:highlight w:val="none"/>
              </w:rPr>
              <w:t>4.2.</w:t>
            </w:r>
            <w:r>
              <w:rPr>
                <w:rFonts w:hint="eastAsia" w:ascii="宋体" w:hAnsi="宋体"/>
                <w:sz w:val="24"/>
                <w:szCs w:val="24"/>
                <w:highlight w:val="none"/>
              </w:rPr>
              <w:t>3</w:t>
            </w:r>
          </w:p>
        </w:tc>
        <w:tc>
          <w:tcPr>
            <w:tcW w:w="1797" w:type="dxa"/>
            <w:vAlign w:val="center"/>
          </w:tcPr>
          <w:p w14:paraId="3692BB1B">
            <w:pPr>
              <w:tabs>
                <w:tab w:val="left" w:pos="540"/>
              </w:tabs>
              <w:spacing w:line="360" w:lineRule="auto"/>
              <w:jc w:val="center"/>
              <w:rPr>
                <w:rFonts w:ascii="宋体" w:hAnsi="宋体"/>
                <w:bCs/>
                <w:sz w:val="24"/>
                <w:szCs w:val="24"/>
                <w:highlight w:val="none"/>
              </w:rPr>
            </w:pPr>
            <w:r>
              <w:rPr>
                <w:rFonts w:hint="eastAsia" w:ascii="宋体" w:hAnsi="宋体"/>
                <w:bCs/>
                <w:sz w:val="24"/>
                <w:szCs w:val="24"/>
                <w:highlight w:val="none"/>
              </w:rPr>
              <w:t>是否退还</w:t>
            </w:r>
          </w:p>
          <w:p w14:paraId="0BF60A82">
            <w:pPr>
              <w:tabs>
                <w:tab w:val="left" w:pos="540"/>
              </w:tabs>
              <w:spacing w:line="360" w:lineRule="auto"/>
              <w:jc w:val="center"/>
              <w:rPr>
                <w:rFonts w:ascii="宋体" w:hAnsi="宋体"/>
                <w:bCs/>
                <w:sz w:val="24"/>
                <w:szCs w:val="24"/>
                <w:highlight w:val="none"/>
              </w:rPr>
            </w:pPr>
            <w:r>
              <w:rPr>
                <w:rFonts w:hint="eastAsia" w:ascii="宋体" w:hAnsi="宋体"/>
                <w:bCs/>
                <w:sz w:val="24"/>
                <w:szCs w:val="24"/>
                <w:highlight w:val="none"/>
              </w:rPr>
              <w:t>投标文件</w:t>
            </w:r>
          </w:p>
        </w:tc>
        <w:tc>
          <w:tcPr>
            <w:tcW w:w="6658" w:type="dxa"/>
            <w:gridSpan w:val="2"/>
            <w:vAlign w:val="center"/>
          </w:tcPr>
          <w:p w14:paraId="6F78A7AD">
            <w:pPr>
              <w:tabs>
                <w:tab w:val="left" w:pos="540"/>
              </w:tabs>
              <w:spacing w:line="360" w:lineRule="auto"/>
              <w:rPr>
                <w:rFonts w:ascii="宋体" w:hAnsi="宋体"/>
                <w:bCs/>
                <w:spacing w:val="10"/>
                <w:sz w:val="24"/>
                <w:szCs w:val="24"/>
                <w:highlight w:val="none"/>
                <w:u w:val="single"/>
              </w:rPr>
            </w:pPr>
            <w:r>
              <w:rPr>
                <w:rFonts w:hint="eastAsia" w:ascii="宋体" w:hAnsi="宋体"/>
                <w:sz w:val="24"/>
                <w:szCs w:val="24"/>
                <w:highlight w:val="none"/>
                <w:bdr w:val="single" w:color="auto" w:sz="4" w:space="0"/>
              </w:rPr>
              <w:t>√</w:t>
            </w:r>
            <w:r>
              <w:rPr>
                <w:rFonts w:hint="eastAsia" w:ascii="宋体" w:hAnsi="宋体"/>
                <w:bCs/>
                <w:spacing w:val="10"/>
                <w:sz w:val="24"/>
                <w:szCs w:val="24"/>
                <w:highlight w:val="none"/>
                <w:u w:val="single"/>
              </w:rPr>
              <w:t xml:space="preserve"> 否 </w:t>
            </w:r>
          </w:p>
          <w:p w14:paraId="5D9CD483">
            <w:pPr>
              <w:tabs>
                <w:tab w:val="left" w:pos="540"/>
              </w:tabs>
              <w:spacing w:line="360" w:lineRule="auto"/>
              <w:rPr>
                <w:rFonts w:ascii="宋体" w:hAnsi="宋体"/>
                <w:bCs/>
                <w:spacing w:val="10"/>
                <w:sz w:val="24"/>
                <w:szCs w:val="24"/>
                <w:highlight w:val="none"/>
              </w:rPr>
            </w:pPr>
            <w:r>
              <w:rPr>
                <w:rFonts w:ascii="宋体" w:hAnsi="宋体"/>
                <w:bCs/>
                <w:spacing w:val="10"/>
                <w:sz w:val="24"/>
                <w:szCs w:val="24"/>
                <w:highlight w:val="none"/>
              </w:rPr>
              <w:t>□</w:t>
            </w:r>
            <w:r>
              <w:rPr>
                <w:rFonts w:hint="eastAsia" w:ascii="宋体" w:hAnsi="宋体"/>
                <w:bCs/>
                <w:spacing w:val="10"/>
                <w:sz w:val="24"/>
                <w:szCs w:val="24"/>
                <w:highlight w:val="none"/>
              </w:rPr>
              <w:t xml:space="preserve"> 是，中标通知书发出后天退还。</w:t>
            </w:r>
          </w:p>
        </w:tc>
      </w:tr>
      <w:tr w14:paraId="26FA7E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20" w:hRule="exact"/>
        </w:trPr>
        <w:tc>
          <w:tcPr>
            <w:tcW w:w="1313" w:type="dxa"/>
            <w:gridSpan w:val="2"/>
            <w:vAlign w:val="center"/>
          </w:tcPr>
          <w:p w14:paraId="61A95D0B">
            <w:pPr>
              <w:spacing w:line="360" w:lineRule="auto"/>
              <w:jc w:val="center"/>
              <w:rPr>
                <w:rFonts w:ascii="宋体" w:hAnsi="宋体"/>
                <w:sz w:val="24"/>
                <w:szCs w:val="24"/>
                <w:highlight w:val="none"/>
              </w:rPr>
            </w:pPr>
            <w:r>
              <w:rPr>
                <w:rFonts w:ascii="宋体" w:hAnsi="宋体"/>
                <w:sz w:val="24"/>
                <w:szCs w:val="24"/>
                <w:highlight w:val="none"/>
              </w:rPr>
              <w:t>4.2.</w:t>
            </w:r>
            <w:r>
              <w:rPr>
                <w:rFonts w:hint="eastAsia" w:ascii="宋体" w:hAnsi="宋体"/>
                <w:sz w:val="24"/>
                <w:szCs w:val="24"/>
                <w:highlight w:val="none"/>
              </w:rPr>
              <w:t>5</w:t>
            </w:r>
          </w:p>
        </w:tc>
        <w:tc>
          <w:tcPr>
            <w:tcW w:w="1797" w:type="dxa"/>
            <w:vAlign w:val="center"/>
          </w:tcPr>
          <w:p w14:paraId="52EA80E9">
            <w:pPr>
              <w:tabs>
                <w:tab w:val="left" w:pos="540"/>
              </w:tabs>
              <w:spacing w:line="360" w:lineRule="auto"/>
              <w:jc w:val="center"/>
              <w:rPr>
                <w:rFonts w:ascii="宋体" w:hAnsi="宋体"/>
                <w:bCs/>
                <w:spacing w:val="-6"/>
                <w:sz w:val="24"/>
                <w:szCs w:val="24"/>
                <w:highlight w:val="none"/>
              </w:rPr>
            </w:pPr>
            <w:r>
              <w:rPr>
                <w:rFonts w:hint="eastAsia" w:ascii="宋体" w:hAnsi="宋体" w:cs="宋体"/>
                <w:spacing w:val="-6"/>
                <w:kern w:val="0"/>
                <w:sz w:val="24"/>
                <w:szCs w:val="24"/>
                <w:highlight w:val="none"/>
              </w:rPr>
              <w:t>招标人通知延后投标截止时间的时间</w:t>
            </w:r>
          </w:p>
        </w:tc>
        <w:tc>
          <w:tcPr>
            <w:tcW w:w="6658" w:type="dxa"/>
            <w:gridSpan w:val="2"/>
            <w:vAlign w:val="center"/>
          </w:tcPr>
          <w:p w14:paraId="31A8CF77">
            <w:pPr>
              <w:tabs>
                <w:tab w:val="left" w:pos="540"/>
              </w:tabs>
              <w:spacing w:line="360" w:lineRule="auto"/>
              <w:ind w:left="105" w:leftChars="50" w:right="105" w:rightChars="50"/>
              <w:rPr>
                <w:rFonts w:ascii="宋体" w:hAnsi="宋体"/>
                <w:bCs/>
                <w:spacing w:val="10"/>
                <w:sz w:val="24"/>
                <w:szCs w:val="24"/>
                <w:highlight w:val="none"/>
              </w:rPr>
            </w:pPr>
            <w:r>
              <w:rPr>
                <w:rFonts w:hint="eastAsia" w:ascii="宋体" w:hAnsi="宋体" w:cs="宋体"/>
                <w:kern w:val="0"/>
                <w:sz w:val="24"/>
                <w:szCs w:val="24"/>
                <w:highlight w:val="none"/>
              </w:rPr>
              <w:t>原定投标</w:t>
            </w:r>
            <w:r>
              <w:rPr>
                <w:rFonts w:hint="eastAsia" w:ascii="宋体" w:hAnsi="宋体" w:eastAsia="宋体" w:cs="宋体"/>
                <w:kern w:val="0"/>
                <w:sz w:val="24"/>
                <w:szCs w:val="24"/>
                <w:highlight w:val="none"/>
              </w:rPr>
              <w:t>截止时间</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天前</w:t>
            </w:r>
          </w:p>
        </w:tc>
      </w:tr>
      <w:tr w14:paraId="62EC36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58" w:hRule="exact"/>
        </w:trPr>
        <w:tc>
          <w:tcPr>
            <w:tcW w:w="1313" w:type="dxa"/>
            <w:gridSpan w:val="2"/>
            <w:vAlign w:val="center"/>
          </w:tcPr>
          <w:p w14:paraId="723ADBD7">
            <w:pPr>
              <w:spacing w:line="360" w:lineRule="auto"/>
              <w:jc w:val="center"/>
              <w:rPr>
                <w:rFonts w:ascii="宋体" w:hAnsi="宋体"/>
                <w:sz w:val="24"/>
                <w:szCs w:val="24"/>
                <w:highlight w:val="none"/>
              </w:rPr>
            </w:pPr>
            <w:r>
              <w:rPr>
                <w:rFonts w:hint="eastAsia" w:ascii="宋体" w:hAnsi="宋体"/>
                <w:sz w:val="24"/>
                <w:szCs w:val="24"/>
                <w:highlight w:val="none"/>
              </w:rPr>
              <w:t>5.1</w:t>
            </w:r>
          </w:p>
        </w:tc>
        <w:tc>
          <w:tcPr>
            <w:tcW w:w="1797" w:type="dxa"/>
            <w:vAlign w:val="center"/>
          </w:tcPr>
          <w:p w14:paraId="65AFCE63">
            <w:pPr>
              <w:spacing w:line="360" w:lineRule="auto"/>
              <w:jc w:val="center"/>
              <w:rPr>
                <w:rFonts w:ascii="宋体" w:hAnsi="宋体"/>
                <w:sz w:val="24"/>
                <w:szCs w:val="24"/>
                <w:highlight w:val="none"/>
              </w:rPr>
            </w:pPr>
            <w:r>
              <w:rPr>
                <w:rFonts w:hint="eastAsia" w:ascii="宋体" w:hAnsi="宋体"/>
                <w:sz w:val="24"/>
                <w:szCs w:val="24"/>
                <w:highlight w:val="none"/>
              </w:rPr>
              <w:t>开标时间、地点</w:t>
            </w:r>
          </w:p>
        </w:tc>
        <w:tc>
          <w:tcPr>
            <w:tcW w:w="6658" w:type="dxa"/>
            <w:gridSpan w:val="2"/>
            <w:vAlign w:val="center"/>
          </w:tcPr>
          <w:p w14:paraId="1E7AD959">
            <w:pPr>
              <w:spacing w:line="360" w:lineRule="auto"/>
              <w:rPr>
                <w:rFonts w:hint="eastAsia" w:ascii="宋体" w:hAnsi="宋体" w:eastAsia="宋体"/>
                <w:sz w:val="24"/>
                <w:szCs w:val="24"/>
                <w:highlight w:val="none"/>
                <w:lang w:eastAsia="zh-CN"/>
              </w:rPr>
            </w:pPr>
            <w:r>
              <w:rPr>
                <w:rFonts w:hint="eastAsia" w:ascii="宋体" w:hAnsi="宋体"/>
                <w:sz w:val="24"/>
                <w:szCs w:val="24"/>
                <w:highlight w:val="none"/>
              </w:rPr>
              <w:t>时间：</w:t>
            </w:r>
            <w:r>
              <w:rPr>
                <w:rFonts w:hint="eastAsia" w:ascii="宋体" w:hAnsi="宋体"/>
                <w:sz w:val="24"/>
                <w:szCs w:val="24"/>
                <w:highlight w:val="none"/>
                <w:u w:val="single"/>
              </w:rPr>
              <w:t>同投标截止时间</w:t>
            </w:r>
            <w:r>
              <w:rPr>
                <w:rFonts w:hint="eastAsia" w:ascii="宋体" w:hAnsi="宋体"/>
                <w:sz w:val="24"/>
                <w:szCs w:val="24"/>
                <w:highlight w:val="none"/>
                <w:u w:val="single"/>
                <w:lang w:eastAsia="zh-CN"/>
              </w:rPr>
              <w:t>。</w:t>
            </w:r>
          </w:p>
          <w:p w14:paraId="690E6527">
            <w:pPr>
              <w:spacing w:line="360" w:lineRule="auto"/>
              <w:rPr>
                <w:rFonts w:ascii="宋体" w:hAnsi="宋体"/>
                <w:spacing w:val="6"/>
                <w:sz w:val="24"/>
                <w:szCs w:val="24"/>
                <w:highlight w:val="none"/>
              </w:rPr>
            </w:pPr>
            <w:r>
              <w:rPr>
                <w:rFonts w:hint="eastAsia" w:ascii="宋体" w:hAnsi="宋体"/>
                <w:sz w:val="24"/>
                <w:szCs w:val="24"/>
                <w:highlight w:val="none"/>
              </w:rPr>
              <w:t>地点：</w:t>
            </w:r>
            <w:r>
              <w:rPr>
                <w:rFonts w:hint="eastAsia" w:ascii="宋体" w:hAnsi="宋体"/>
                <w:sz w:val="24"/>
                <w:szCs w:val="24"/>
                <w:highlight w:val="none"/>
                <w:u w:val="single"/>
              </w:rPr>
              <w:t>同</w:t>
            </w:r>
            <w:r>
              <w:rPr>
                <w:rFonts w:hint="eastAsia" w:ascii="宋体" w:hAnsi="宋体" w:cs="宋体"/>
                <w:kern w:val="0"/>
                <w:sz w:val="24"/>
                <w:szCs w:val="24"/>
                <w:highlight w:val="none"/>
                <w:u w:val="single"/>
              </w:rPr>
              <w:t>递交投标文件地点。</w:t>
            </w:r>
          </w:p>
        </w:tc>
      </w:tr>
      <w:tr w14:paraId="54A2F7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99" w:hRule="exact"/>
        </w:trPr>
        <w:tc>
          <w:tcPr>
            <w:tcW w:w="1313" w:type="dxa"/>
            <w:gridSpan w:val="2"/>
            <w:vAlign w:val="center"/>
          </w:tcPr>
          <w:p w14:paraId="64FC0733">
            <w:pPr>
              <w:spacing w:line="360" w:lineRule="auto"/>
              <w:jc w:val="center"/>
              <w:rPr>
                <w:rFonts w:ascii="宋体" w:hAnsi="宋体"/>
                <w:sz w:val="24"/>
                <w:szCs w:val="24"/>
                <w:highlight w:val="none"/>
              </w:rPr>
            </w:pPr>
            <w:r>
              <w:rPr>
                <w:rFonts w:hint="eastAsia" w:ascii="宋体" w:hAnsi="宋体"/>
                <w:sz w:val="24"/>
                <w:szCs w:val="24"/>
                <w:highlight w:val="none"/>
              </w:rPr>
              <w:t>5.3.1</w:t>
            </w:r>
          </w:p>
        </w:tc>
        <w:tc>
          <w:tcPr>
            <w:tcW w:w="1797" w:type="dxa"/>
            <w:vAlign w:val="center"/>
          </w:tcPr>
          <w:p w14:paraId="4DA7D0C1">
            <w:pPr>
              <w:spacing w:line="360" w:lineRule="auto"/>
              <w:rPr>
                <w:rFonts w:ascii="宋体" w:hAnsi="宋体"/>
                <w:sz w:val="24"/>
                <w:szCs w:val="24"/>
                <w:highlight w:val="none"/>
              </w:rPr>
            </w:pPr>
            <w:r>
              <w:rPr>
                <w:rFonts w:hint="eastAsia" w:ascii="宋体" w:hAnsi="宋体"/>
                <w:sz w:val="24"/>
                <w:szCs w:val="24"/>
                <w:highlight w:val="none"/>
              </w:rPr>
              <w:t>开标程序</w:t>
            </w:r>
          </w:p>
        </w:tc>
        <w:tc>
          <w:tcPr>
            <w:tcW w:w="6658" w:type="dxa"/>
            <w:gridSpan w:val="2"/>
            <w:vAlign w:val="center"/>
          </w:tcPr>
          <w:p w14:paraId="5E724F03">
            <w:pPr>
              <w:spacing w:line="360" w:lineRule="auto"/>
              <w:rPr>
                <w:rFonts w:ascii="宋体" w:hAnsi="宋体"/>
                <w:sz w:val="24"/>
                <w:szCs w:val="24"/>
                <w:highlight w:val="none"/>
              </w:rPr>
            </w:pPr>
            <w:r>
              <w:rPr>
                <w:rFonts w:hint="eastAsia" w:ascii="宋体" w:hAnsi="宋体"/>
                <w:sz w:val="24"/>
                <w:szCs w:val="24"/>
                <w:highlight w:val="none"/>
              </w:rPr>
              <w:t>（4）密封情况检查：在开标前由招标人和投标人代表按照招标文件投标人须知第4.1条规定检查外封套密封情况。</w:t>
            </w:r>
          </w:p>
          <w:p w14:paraId="7AFF0F5C">
            <w:pPr>
              <w:tabs>
                <w:tab w:val="left" w:pos="540"/>
              </w:tabs>
              <w:spacing w:line="400" w:lineRule="exact"/>
              <w:rPr>
                <w:rFonts w:ascii="宋体" w:hAnsi="宋体"/>
                <w:sz w:val="24"/>
                <w:szCs w:val="24"/>
                <w:highlight w:val="none"/>
              </w:rPr>
            </w:pPr>
            <w:r>
              <w:rPr>
                <w:rFonts w:hint="eastAsia" w:ascii="宋体" w:hAnsi="宋体"/>
                <w:sz w:val="24"/>
                <w:szCs w:val="24"/>
                <w:highlight w:val="none"/>
              </w:rPr>
              <w:t>（5）开标顺序：</w:t>
            </w:r>
            <w:r>
              <w:rPr>
                <w:rFonts w:hint="eastAsia" w:ascii="宋体" w:hAnsi="宋体"/>
                <w:sz w:val="24"/>
                <w:szCs w:val="24"/>
                <w:highlight w:val="none"/>
                <w:u w:val="single"/>
              </w:rPr>
              <w:t>随机启封</w:t>
            </w:r>
            <w:r>
              <w:rPr>
                <w:rFonts w:hint="eastAsia" w:ascii="宋体" w:hAnsi="宋体"/>
                <w:sz w:val="24"/>
                <w:szCs w:val="24"/>
                <w:highlight w:val="none"/>
              </w:rPr>
              <w:t>。</w:t>
            </w:r>
          </w:p>
        </w:tc>
      </w:tr>
      <w:tr w14:paraId="237481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30" w:hRule="exact"/>
        </w:trPr>
        <w:tc>
          <w:tcPr>
            <w:tcW w:w="1313" w:type="dxa"/>
            <w:gridSpan w:val="2"/>
            <w:vAlign w:val="center"/>
          </w:tcPr>
          <w:p w14:paraId="52E4E877">
            <w:pPr>
              <w:spacing w:line="360" w:lineRule="auto"/>
              <w:jc w:val="center"/>
              <w:rPr>
                <w:rFonts w:ascii="宋体" w:hAnsi="宋体"/>
                <w:sz w:val="24"/>
                <w:szCs w:val="24"/>
                <w:highlight w:val="none"/>
              </w:rPr>
            </w:pPr>
            <w:r>
              <w:rPr>
                <w:rFonts w:hint="eastAsia" w:ascii="宋体" w:hAnsi="宋体"/>
                <w:b/>
                <w:sz w:val="24"/>
                <w:szCs w:val="24"/>
                <w:highlight w:val="none"/>
              </w:rPr>
              <w:t>条款</w:t>
            </w:r>
          </w:p>
        </w:tc>
        <w:tc>
          <w:tcPr>
            <w:tcW w:w="1797" w:type="dxa"/>
            <w:vAlign w:val="center"/>
          </w:tcPr>
          <w:p w14:paraId="34C2B5A8">
            <w:pPr>
              <w:spacing w:line="360" w:lineRule="auto"/>
              <w:jc w:val="center"/>
              <w:rPr>
                <w:rFonts w:ascii="宋体" w:hAnsi="宋体" w:cs="宋体"/>
                <w:kern w:val="0"/>
                <w:sz w:val="24"/>
                <w:szCs w:val="24"/>
                <w:highlight w:val="none"/>
              </w:rPr>
            </w:pPr>
            <w:r>
              <w:rPr>
                <w:rFonts w:hint="eastAsia" w:ascii="宋体" w:hAnsi="宋体"/>
                <w:b/>
                <w:sz w:val="24"/>
                <w:szCs w:val="24"/>
                <w:highlight w:val="none"/>
              </w:rPr>
              <w:t>条 款 名 称</w:t>
            </w:r>
          </w:p>
        </w:tc>
        <w:tc>
          <w:tcPr>
            <w:tcW w:w="6658" w:type="dxa"/>
            <w:gridSpan w:val="2"/>
            <w:vAlign w:val="center"/>
          </w:tcPr>
          <w:p w14:paraId="75A1A8AD">
            <w:pPr>
              <w:spacing w:line="360" w:lineRule="auto"/>
              <w:jc w:val="center"/>
              <w:rPr>
                <w:rFonts w:ascii="宋体" w:hAnsi="宋体"/>
                <w:bCs/>
                <w:spacing w:val="10"/>
                <w:sz w:val="24"/>
                <w:szCs w:val="24"/>
                <w:highlight w:val="none"/>
                <w:u w:val="single"/>
              </w:rPr>
            </w:pPr>
            <w:r>
              <w:rPr>
                <w:rFonts w:hint="eastAsia" w:ascii="宋体" w:hAnsi="宋体"/>
                <w:bCs/>
                <w:spacing w:val="10"/>
                <w:sz w:val="24"/>
                <w:szCs w:val="24"/>
                <w:highlight w:val="none"/>
              </w:rPr>
              <w:t>编列内容</w:t>
            </w:r>
          </w:p>
        </w:tc>
      </w:tr>
      <w:tr w14:paraId="57EDE4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4" w:hRule="exact"/>
        </w:trPr>
        <w:tc>
          <w:tcPr>
            <w:tcW w:w="1313" w:type="dxa"/>
            <w:gridSpan w:val="2"/>
            <w:vAlign w:val="center"/>
          </w:tcPr>
          <w:p w14:paraId="3324186E">
            <w:pPr>
              <w:spacing w:line="360" w:lineRule="auto"/>
              <w:jc w:val="center"/>
              <w:rPr>
                <w:rFonts w:ascii="宋体" w:hAnsi="宋体"/>
                <w:sz w:val="24"/>
                <w:szCs w:val="24"/>
                <w:highlight w:val="none"/>
              </w:rPr>
            </w:pPr>
            <w:r>
              <w:rPr>
                <w:rFonts w:ascii="宋体" w:hAnsi="宋体"/>
                <w:sz w:val="24"/>
                <w:szCs w:val="24"/>
                <w:highlight w:val="none"/>
              </w:rPr>
              <w:t>6.1.1</w:t>
            </w:r>
          </w:p>
        </w:tc>
        <w:tc>
          <w:tcPr>
            <w:tcW w:w="1797" w:type="dxa"/>
            <w:vAlign w:val="center"/>
          </w:tcPr>
          <w:p w14:paraId="06A62821">
            <w:pPr>
              <w:autoSpaceDE w:val="0"/>
              <w:autoSpaceDN w:val="0"/>
              <w:adjustRightInd w:val="0"/>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评标委员会</w:t>
            </w:r>
          </w:p>
          <w:p w14:paraId="445A62E1">
            <w:pPr>
              <w:autoSpaceDE w:val="0"/>
              <w:autoSpaceDN w:val="0"/>
              <w:adjustRightInd w:val="0"/>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组建</w:t>
            </w:r>
          </w:p>
        </w:tc>
        <w:tc>
          <w:tcPr>
            <w:tcW w:w="6658" w:type="dxa"/>
            <w:gridSpan w:val="2"/>
            <w:vAlign w:val="center"/>
          </w:tcPr>
          <w:p w14:paraId="1158A4FA">
            <w:pPr>
              <w:tabs>
                <w:tab w:val="left" w:pos="540"/>
              </w:tabs>
              <w:spacing w:line="360" w:lineRule="auto"/>
              <w:rPr>
                <w:rFonts w:ascii="宋体" w:hAnsi="宋体"/>
                <w:bCs/>
                <w:spacing w:val="10"/>
                <w:sz w:val="24"/>
                <w:szCs w:val="24"/>
                <w:highlight w:val="none"/>
                <w:u w:val="single"/>
              </w:rPr>
            </w:pPr>
            <w:r>
              <w:rPr>
                <w:rFonts w:hint="eastAsia" w:ascii="宋体" w:hAnsi="宋体" w:eastAsia="宋体" w:cs="Times New Roman"/>
                <w:b w:val="0"/>
                <w:sz w:val="24"/>
                <w:szCs w:val="24"/>
                <w:highlight w:val="none"/>
                <w:lang w:val="en-US" w:eastAsia="zh-CN"/>
              </w:rPr>
              <w:t>招标人按</w:t>
            </w:r>
            <w:r>
              <w:rPr>
                <w:rFonts w:hint="eastAsia" w:ascii="宋体" w:hAnsi="宋体" w:eastAsia="宋体" w:cs="Times New Roman"/>
                <w:b w:val="0"/>
                <w:sz w:val="24"/>
                <w:szCs w:val="24"/>
                <w:highlight w:val="none"/>
              </w:rPr>
              <w:t>照有关规定依法组建评标委员会</w:t>
            </w:r>
          </w:p>
        </w:tc>
      </w:tr>
      <w:tr w14:paraId="58C728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6" w:hRule="exact"/>
        </w:trPr>
        <w:tc>
          <w:tcPr>
            <w:tcW w:w="1313" w:type="dxa"/>
            <w:gridSpan w:val="2"/>
            <w:vAlign w:val="center"/>
          </w:tcPr>
          <w:p w14:paraId="671801D2">
            <w:pPr>
              <w:spacing w:line="360" w:lineRule="auto"/>
              <w:jc w:val="center"/>
              <w:rPr>
                <w:rFonts w:ascii="宋体" w:hAnsi="宋体"/>
                <w:sz w:val="24"/>
                <w:szCs w:val="24"/>
                <w:highlight w:val="none"/>
              </w:rPr>
            </w:pPr>
            <w:r>
              <w:rPr>
                <w:rFonts w:hint="eastAsia" w:ascii="宋体" w:hAnsi="宋体"/>
                <w:sz w:val="24"/>
                <w:szCs w:val="24"/>
                <w:highlight w:val="none"/>
              </w:rPr>
              <w:t>6.3</w:t>
            </w:r>
          </w:p>
        </w:tc>
        <w:tc>
          <w:tcPr>
            <w:tcW w:w="1797" w:type="dxa"/>
            <w:vAlign w:val="center"/>
          </w:tcPr>
          <w:p w14:paraId="2F00EF20">
            <w:pPr>
              <w:spacing w:line="360" w:lineRule="auto"/>
              <w:jc w:val="center"/>
              <w:rPr>
                <w:rFonts w:ascii="宋体" w:hAnsi="宋体"/>
                <w:sz w:val="24"/>
                <w:szCs w:val="24"/>
                <w:highlight w:val="none"/>
              </w:rPr>
            </w:pPr>
            <w:r>
              <w:rPr>
                <w:rFonts w:hint="eastAsia" w:ascii="宋体" w:hAnsi="宋体"/>
                <w:sz w:val="24"/>
                <w:szCs w:val="24"/>
                <w:highlight w:val="none"/>
              </w:rPr>
              <w:t>评标办法</w:t>
            </w:r>
          </w:p>
        </w:tc>
        <w:tc>
          <w:tcPr>
            <w:tcW w:w="6658" w:type="dxa"/>
            <w:gridSpan w:val="2"/>
            <w:vAlign w:val="center"/>
          </w:tcPr>
          <w:p w14:paraId="1692DA5D">
            <w:pPr>
              <w:spacing w:line="360" w:lineRule="auto"/>
              <w:rPr>
                <w:rFonts w:ascii="宋体" w:hAnsi="宋体"/>
                <w:spacing w:val="-6"/>
                <w:sz w:val="24"/>
                <w:szCs w:val="24"/>
                <w:highlight w:val="none"/>
                <w:u w:val="single"/>
              </w:rPr>
            </w:pPr>
            <w:r>
              <w:rPr>
                <w:rFonts w:hint="eastAsia" w:ascii="宋体" w:hAnsi="宋体" w:cs="宋体"/>
                <w:kern w:val="0"/>
                <w:sz w:val="24"/>
                <w:szCs w:val="24"/>
                <w:highlight w:val="none"/>
                <w:lang w:val="en-US" w:eastAsia="zh-CN"/>
              </w:rPr>
              <w:t>两阶段</w:t>
            </w:r>
            <w:r>
              <w:rPr>
                <w:rFonts w:hint="eastAsia" w:ascii="宋体" w:hAnsi="宋体" w:cs="宋体"/>
                <w:kern w:val="0"/>
                <w:sz w:val="24"/>
                <w:szCs w:val="24"/>
                <w:highlight w:val="none"/>
              </w:rPr>
              <w:t>评标法，具体见招标文件第三章《评标办法》。</w:t>
            </w:r>
          </w:p>
        </w:tc>
      </w:tr>
      <w:tr w14:paraId="59FA99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79" w:hRule="exact"/>
        </w:trPr>
        <w:tc>
          <w:tcPr>
            <w:tcW w:w="1313" w:type="dxa"/>
            <w:gridSpan w:val="2"/>
            <w:vAlign w:val="center"/>
          </w:tcPr>
          <w:p w14:paraId="391982AF">
            <w:pPr>
              <w:spacing w:line="360" w:lineRule="auto"/>
              <w:jc w:val="center"/>
              <w:rPr>
                <w:rFonts w:ascii="宋体" w:hAnsi="宋体"/>
                <w:sz w:val="24"/>
                <w:szCs w:val="24"/>
                <w:highlight w:val="none"/>
              </w:rPr>
            </w:pPr>
            <w:r>
              <w:rPr>
                <w:rFonts w:ascii="宋体" w:hAnsi="宋体"/>
                <w:sz w:val="24"/>
                <w:szCs w:val="24"/>
                <w:highlight w:val="none"/>
              </w:rPr>
              <w:t>7.1</w:t>
            </w:r>
            <w:r>
              <w:rPr>
                <w:rFonts w:hint="eastAsia" w:ascii="宋体" w:hAnsi="宋体"/>
                <w:sz w:val="24"/>
                <w:szCs w:val="24"/>
                <w:highlight w:val="none"/>
              </w:rPr>
              <w:t>.1</w:t>
            </w:r>
          </w:p>
        </w:tc>
        <w:tc>
          <w:tcPr>
            <w:tcW w:w="1797" w:type="dxa"/>
            <w:vAlign w:val="center"/>
          </w:tcPr>
          <w:p w14:paraId="5A63297D">
            <w:pPr>
              <w:tabs>
                <w:tab w:val="left" w:pos="540"/>
              </w:tabs>
              <w:jc w:val="center"/>
              <w:rPr>
                <w:rFonts w:ascii="宋体" w:hAnsi="宋体"/>
                <w:bCs/>
                <w:spacing w:val="-4"/>
                <w:sz w:val="24"/>
                <w:szCs w:val="24"/>
                <w:highlight w:val="none"/>
              </w:rPr>
            </w:pPr>
            <w:r>
              <w:rPr>
                <w:rFonts w:hint="eastAsia" w:ascii="宋体" w:hAnsi="宋体" w:cs="宋体"/>
                <w:spacing w:val="-4"/>
                <w:kern w:val="0"/>
                <w:sz w:val="24"/>
                <w:szCs w:val="24"/>
                <w:highlight w:val="none"/>
              </w:rPr>
              <w:t>是否授权评标委员会确定中标人</w:t>
            </w:r>
          </w:p>
        </w:tc>
        <w:tc>
          <w:tcPr>
            <w:tcW w:w="6658" w:type="dxa"/>
            <w:gridSpan w:val="2"/>
            <w:vAlign w:val="center"/>
          </w:tcPr>
          <w:p w14:paraId="35D17892">
            <w:pPr>
              <w:tabs>
                <w:tab w:val="left" w:pos="311"/>
              </w:tabs>
              <w:spacing w:line="360" w:lineRule="auto"/>
              <w:rPr>
                <w:rFonts w:ascii="宋体" w:hAnsi="宋体"/>
                <w:bCs/>
                <w:spacing w:val="10"/>
                <w:sz w:val="24"/>
                <w:szCs w:val="24"/>
                <w:highlight w:val="none"/>
                <w:u w:val="single"/>
              </w:rPr>
            </w:pPr>
            <w:r>
              <w:rPr>
                <w:rFonts w:ascii="宋体" w:hAnsi="宋体" w:cs="TimesNewRomanPSMT"/>
                <w:kern w:val="0"/>
                <w:sz w:val="24"/>
                <w:szCs w:val="24"/>
                <w:highlight w:val="none"/>
              </w:rPr>
              <w:t>□</w:t>
            </w:r>
            <w:r>
              <w:rPr>
                <w:rFonts w:hint="eastAsia" w:ascii="宋体" w:hAnsi="宋体"/>
                <w:bCs/>
                <w:spacing w:val="10"/>
                <w:sz w:val="24"/>
                <w:szCs w:val="24"/>
                <w:highlight w:val="none"/>
                <w:u w:val="none"/>
              </w:rPr>
              <w:t xml:space="preserve">是 </w:t>
            </w:r>
          </w:p>
          <w:p w14:paraId="7B0523DD">
            <w:pPr>
              <w:tabs>
                <w:tab w:val="left" w:pos="540"/>
              </w:tabs>
              <w:spacing w:line="360" w:lineRule="auto"/>
              <w:rPr>
                <w:rFonts w:hint="default" w:ascii="宋体" w:hAnsi="宋体" w:eastAsia="宋体"/>
                <w:bCs/>
                <w:spacing w:val="10"/>
                <w:sz w:val="24"/>
                <w:szCs w:val="24"/>
                <w:highlight w:val="none"/>
                <w:lang w:val="en-US" w:eastAsia="zh-CN"/>
              </w:rPr>
            </w:pPr>
            <w:r>
              <w:rPr>
                <w:rFonts w:hint="eastAsia" w:ascii="宋体" w:hAnsi="宋体" w:cs="TimesNewRomanPSMT"/>
                <w:kern w:val="0"/>
                <w:sz w:val="24"/>
                <w:szCs w:val="24"/>
                <w:highlight w:val="none"/>
                <w:lang w:eastAsia="zh-CN"/>
              </w:rPr>
              <w:t>☑</w:t>
            </w:r>
            <w:r>
              <w:rPr>
                <w:rFonts w:hint="eastAsia" w:ascii="宋体" w:hAnsi="宋体" w:cs="宋体"/>
                <w:kern w:val="0"/>
                <w:sz w:val="24"/>
                <w:szCs w:val="24"/>
                <w:highlight w:val="none"/>
              </w:rPr>
              <w:t>否，推荐的中标候选人数：</w:t>
            </w:r>
            <w:r>
              <w:rPr>
                <w:rFonts w:hint="eastAsia" w:ascii="宋体" w:hAnsi="宋体" w:cs="宋体"/>
                <w:kern w:val="0"/>
                <w:sz w:val="24"/>
                <w:szCs w:val="24"/>
                <w:highlight w:val="none"/>
                <w:lang w:val="en-US" w:eastAsia="zh-CN"/>
              </w:rPr>
              <w:t>3</w:t>
            </w:r>
          </w:p>
        </w:tc>
      </w:tr>
      <w:tr w14:paraId="627BB6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4" w:hRule="exact"/>
        </w:trPr>
        <w:tc>
          <w:tcPr>
            <w:tcW w:w="1313" w:type="dxa"/>
            <w:gridSpan w:val="2"/>
            <w:vAlign w:val="center"/>
          </w:tcPr>
          <w:p w14:paraId="680147FF">
            <w:pPr>
              <w:spacing w:line="360" w:lineRule="auto"/>
              <w:jc w:val="center"/>
              <w:rPr>
                <w:rFonts w:ascii="宋体" w:hAnsi="宋体"/>
                <w:sz w:val="24"/>
                <w:szCs w:val="24"/>
                <w:highlight w:val="none"/>
              </w:rPr>
            </w:pPr>
            <w:r>
              <w:rPr>
                <w:rFonts w:hint="eastAsia" w:ascii="宋体" w:hAnsi="宋体"/>
                <w:sz w:val="24"/>
                <w:szCs w:val="24"/>
                <w:highlight w:val="none"/>
              </w:rPr>
              <w:t>7.3.1</w:t>
            </w:r>
          </w:p>
        </w:tc>
        <w:tc>
          <w:tcPr>
            <w:tcW w:w="1797" w:type="dxa"/>
            <w:vAlign w:val="center"/>
          </w:tcPr>
          <w:p w14:paraId="7E7C004C">
            <w:pPr>
              <w:spacing w:line="360" w:lineRule="auto"/>
              <w:jc w:val="center"/>
              <w:rPr>
                <w:rFonts w:ascii="宋体" w:hAnsi="宋体"/>
                <w:sz w:val="24"/>
                <w:szCs w:val="24"/>
                <w:highlight w:val="none"/>
              </w:rPr>
            </w:pPr>
            <w:r>
              <w:rPr>
                <w:rFonts w:hint="eastAsia" w:ascii="宋体" w:hAnsi="宋体"/>
                <w:sz w:val="24"/>
                <w:szCs w:val="24"/>
                <w:highlight w:val="none"/>
              </w:rPr>
              <w:t>履约担保形式</w:t>
            </w:r>
          </w:p>
          <w:p w14:paraId="31CDE557">
            <w:pPr>
              <w:spacing w:line="360" w:lineRule="auto"/>
              <w:jc w:val="center"/>
              <w:rPr>
                <w:rFonts w:ascii="宋体" w:hAnsi="宋体"/>
                <w:sz w:val="24"/>
                <w:szCs w:val="24"/>
                <w:highlight w:val="none"/>
              </w:rPr>
            </w:pPr>
            <w:r>
              <w:rPr>
                <w:rFonts w:hint="eastAsia" w:ascii="宋体" w:hAnsi="宋体"/>
                <w:sz w:val="24"/>
                <w:szCs w:val="24"/>
                <w:highlight w:val="none"/>
              </w:rPr>
              <w:t>和金额</w:t>
            </w:r>
          </w:p>
        </w:tc>
        <w:tc>
          <w:tcPr>
            <w:tcW w:w="6658" w:type="dxa"/>
            <w:gridSpan w:val="2"/>
            <w:vAlign w:val="center"/>
          </w:tcPr>
          <w:p w14:paraId="7D58B71E">
            <w:pPr>
              <w:snapToGrid w:val="0"/>
              <w:spacing w:line="240" w:lineRule="auto"/>
              <w:rPr>
                <w:rFonts w:ascii="宋体" w:hAnsi="宋体" w:cs="Arial"/>
                <w:bCs/>
                <w:spacing w:val="-2"/>
                <w:kern w:val="0"/>
                <w:sz w:val="24"/>
                <w:szCs w:val="24"/>
                <w:highlight w:val="none"/>
              </w:rPr>
            </w:pPr>
            <w:r>
              <w:rPr>
                <w:rFonts w:hint="eastAsia" w:ascii="宋体" w:hAnsi="宋体" w:cs="Arial"/>
                <w:bCs/>
                <w:spacing w:val="-2"/>
                <w:kern w:val="0"/>
                <w:sz w:val="24"/>
                <w:szCs w:val="24"/>
                <w:highlight w:val="none"/>
              </w:rPr>
              <w:t>履约担保的形式：采用</w:t>
            </w:r>
            <w:r>
              <w:rPr>
                <w:rFonts w:hint="eastAsia" w:ascii="宋体" w:hAnsi="宋体" w:cs="Arial"/>
                <w:bCs/>
                <w:spacing w:val="-2"/>
                <w:kern w:val="0"/>
                <w:sz w:val="24"/>
                <w:szCs w:val="24"/>
                <w:highlight w:val="none"/>
                <w:u w:val="single"/>
              </w:rPr>
              <w:t>现金</w:t>
            </w:r>
            <w:r>
              <w:rPr>
                <w:rFonts w:hint="eastAsia" w:ascii="宋体" w:hAnsi="宋体" w:cs="Arial"/>
                <w:bCs/>
                <w:spacing w:val="-2"/>
                <w:kern w:val="0"/>
                <w:sz w:val="24"/>
                <w:szCs w:val="24"/>
                <w:highlight w:val="none"/>
                <w:u w:val="single"/>
                <w:lang w:val="en-US" w:eastAsia="zh-CN"/>
              </w:rPr>
              <w:t>或</w:t>
            </w:r>
            <w:r>
              <w:rPr>
                <w:rFonts w:hint="eastAsia" w:ascii="宋体" w:hAnsi="宋体" w:cs="Arial"/>
                <w:bCs/>
                <w:spacing w:val="-2"/>
                <w:kern w:val="0"/>
                <w:sz w:val="24"/>
                <w:szCs w:val="24"/>
                <w:highlight w:val="none"/>
                <w:u w:val="single"/>
              </w:rPr>
              <w:t>银行保函</w:t>
            </w:r>
            <w:r>
              <w:rPr>
                <w:rFonts w:hint="eastAsia" w:ascii="宋体" w:hAnsi="宋体" w:cs="Arial"/>
                <w:bCs/>
                <w:spacing w:val="-2"/>
                <w:kern w:val="0"/>
                <w:sz w:val="24"/>
                <w:szCs w:val="24"/>
                <w:highlight w:val="none"/>
                <w:u w:val="single"/>
                <w:lang w:val="en-US" w:eastAsia="zh-CN"/>
              </w:rPr>
              <w:t>或</w:t>
            </w:r>
            <w:r>
              <w:rPr>
                <w:rFonts w:hint="eastAsia" w:ascii="宋体" w:hAnsi="宋体" w:cs="Arial"/>
                <w:bCs/>
                <w:spacing w:val="-2"/>
                <w:kern w:val="0"/>
                <w:sz w:val="24"/>
                <w:szCs w:val="24"/>
                <w:highlight w:val="none"/>
                <w:u w:val="single"/>
              </w:rPr>
              <w:t>保证保险</w:t>
            </w:r>
          </w:p>
          <w:p w14:paraId="7B368EA4">
            <w:pPr>
              <w:snapToGrid w:val="0"/>
              <w:spacing w:line="240" w:lineRule="auto"/>
              <w:rPr>
                <w:rFonts w:ascii="宋体" w:hAnsi="宋体" w:cs="Arial"/>
                <w:bCs/>
                <w:spacing w:val="-2"/>
                <w:kern w:val="0"/>
                <w:sz w:val="24"/>
                <w:szCs w:val="24"/>
                <w:highlight w:val="none"/>
              </w:rPr>
            </w:pPr>
            <w:r>
              <w:rPr>
                <w:rFonts w:hint="eastAsia" w:ascii="宋体" w:hAnsi="宋体" w:cs="Arial"/>
                <w:bCs/>
                <w:spacing w:val="-2"/>
                <w:kern w:val="0"/>
                <w:sz w:val="24"/>
                <w:szCs w:val="24"/>
                <w:highlight w:val="none"/>
              </w:rPr>
              <w:t>履约担保的金额：为中标合同价款的</w:t>
            </w:r>
            <w:r>
              <w:rPr>
                <w:rFonts w:ascii="宋体" w:hAnsi="宋体" w:cs="Arial"/>
                <w:bCs/>
                <w:spacing w:val="-2"/>
                <w:kern w:val="0"/>
                <w:sz w:val="24"/>
                <w:szCs w:val="24"/>
                <w:highlight w:val="none"/>
              </w:rPr>
              <w:t>10%</w:t>
            </w:r>
            <w:r>
              <w:rPr>
                <w:rFonts w:hint="eastAsia" w:ascii="宋体" w:hAnsi="宋体" w:cs="Arial"/>
                <w:bCs/>
                <w:spacing w:val="-2"/>
                <w:kern w:val="0"/>
                <w:sz w:val="24"/>
                <w:szCs w:val="24"/>
                <w:highlight w:val="none"/>
              </w:rPr>
              <w:t>。</w:t>
            </w:r>
          </w:p>
          <w:p w14:paraId="768FF83B">
            <w:pPr>
              <w:snapToGrid w:val="0"/>
              <w:spacing w:line="240" w:lineRule="auto"/>
              <w:rPr>
                <w:rFonts w:ascii="宋体" w:hAnsi="宋体" w:cs="Arial"/>
                <w:bCs/>
                <w:spacing w:val="-2"/>
                <w:kern w:val="0"/>
                <w:sz w:val="24"/>
                <w:szCs w:val="24"/>
                <w:highlight w:val="none"/>
              </w:rPr>
            </w:pPr>
            <w:r>
              <w:rPr>
                <w:rFonts w:hint="eastAsia" w:ascii="宋体" w:hAnsi="宋体" w:cs="Arial"/>
                <w:bCs/>
                <w:spacing w:val="-2"/>
                <w:kern w:val="0"/>
                <w:sz w:val="24"/>
                <w:szCs w:val="24"/>
                <w:highlight w:val="none"/>
              </w:rPr>
              <w:t>银行保函应当为无条件保函；履约保函由银行出具。</w:t>
            </w:r>
          </w:p>
          <w:p w14:paraId="7DBC8E21">
            <w:pPr>
              <w:topLinePunct/>
              <w:spacing w:line="240" w:lineRule="auto"/>
              <w:ind w:left="42" w:leftChars="20" w:right="42" w:rightChars="20"/>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履约担保期限从提供履约担保之日起至项目完成工程结算审定且缺陷责任期满之日止。履约保函担保期限未满前，无论何种原因，中标人承诺无条件续保，如履约保函到期前7天未提交续保保函或其他担保，视为一般违约责任。</w:t>
            </w:r>
          </w:p>
          <w:p w14:paraId="0E8384C5">
            <w:pPr>
              <w:autoSpaceDE/>
              <w:autoSpaceDN/>
              <w:adjustRightInd/>
              <w:spacing w:line="240" w:lineRule="auto"/>
              <w:ind w:left="42" w:leftChars="20" w:right="42" w:rightChars="20"/>
              <w:jc w:val="left"/>
              <w:rPr>
                <w:rFonts w:ascii="宋体" w:hAnsi="宋体"/>
                <w:sz w:val="24"/>
                <w:szCs w:val="24"/>
                <w:highlight w:val="none"/>
              </w:rPr>
            </w:pPr>
            <w:r>
              <w:rPr>
                <w:rFonts w:hint="eastAsia" w:ascii="宋体" w:hAnsi="宋体" w:cs="宋体"/>
                <w:kern w:val="0"/>
                <w:sz w:val="24"/>
                <w:szCs w:val="24"/>
                <w:highlight w:val="none"/>
              </w:rPr>
              <w:t>（注：履约担保在签订合同前提交）</w:t>
            </w:r>
          </w:p>
        </w:tc>
      </w:tr>
      <w:tr w14:paraId="66A2B1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68" w:hRule="exact"/>
        </w:trPr>
        <w:tc>
          <w:tcPr>
            <w:tcW w:w="1313" w:type="dxa"/>
            <w:gridSpan w:val="2"/>
            <w:vAlign w:val="center"/>
          </w:tcPr>
          <w:p w14:paraId="6824609F">
            <w:pPr>
              <w:spacing w:line="360" w:lineRule="auto"/>
              <w:jc w:val="center"/>
              <w:rPr>
                <w:rFonts w:ascii="宋体" w:hAnsi="宋体"/>
                <w:sz w:val="24"/>
                <w:szCs w:val="24"/>
                <w:highlight w:val="none"/>
              </w:rPr>
            </w:pPr>
            <w:r>
              <w:rPr>
                <w:rFonts w:ascii="宋体" w:hAnsi="宋体"/>
                <w:sz w:val="24"/>
                <w:szCs w:val="24"/>
                <w:highlight w:val="none"/>
              </w:rPr>
              <w:t>9.5</w:t>
            </w:r>
          </w:p>
        </w:tc>
        <w:tc>
          <w:tcPr>
            <w:tcW w:w="1797" w:type="dxa"/>
            <w:vAlign w:val="center"/>
          </w:tcPr>
          <w:p w14:paraId="01EF11B0">
            <w:pPr>
              <w:autoSpaceDE w:val="0"/>
              <w:autoSpaceDN w:val="0"/>
              <w:adjustRightInd w:val="0"/>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招标投标</w:t>
            </w:r>
          </w:p>
          <w:p w14:paraId="61354080">
            <w:pPr>
              <w:autoSpaceDE w:val="0"/>
              <w:autoSpaceDN w:val="0"/>
              <w:adjustRightInd w:val="0"/>
              <w:spacing w:line="360" w:lineRule="auto"/>
              <w:jc w:val="center"/>
              <w:rPr>
                <w:rFonts w:ascii="宋体" w:hAnsi="宋体"/>
                <w:kern w:val="0"/>
                <w:sz w:val="24"/>
                <w:szCs w:val="24"/>
                <w:highlight w:val="none"/>
              </w:rPr>
            </w:pPr>
            <w:r>
              <w:rPr>
                <w:rFonts w:hint="eastAsia" w:ascii="宋体" w:hAnsi="宋体" w:cs="宋体"/>
                <w:kern w:val="0"/>
                <w:sz w:val="24"/>
                <w:szCs w:val="24"/>
                <w:highlight w:val="none"/>
              </w:rPr>
              <w:t>监管部门</w:t>
            </w:r>
          </w:p>
        </w:tc>
        <w:tc>
          <w:tcPr>
            <w:tcW w:w="6658" w:type="dxa"/>
            <w:gridSpan w:val="2"/>
            <w:vAlign w:val="center"/>
          </w:tcPr>
          <w:p w14:paraId="59B4EB3D">
            <w:pPr>
              <w:spacing w:line="360" w:lineRule="auto"/>
              <w:ind w:left="42" w:leftChars="20" w:right="42" w:rightChars="20"/>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监督部门：</w:t>
            </w:r>
            <w:r>
              <w:rPr>
                <w:rFonts w:hint="eastAsia" w:ascii="宋体" w:hAnsi="宋体" w:cs="宋体"/>
                <w:kern w:val="0"/>
                <w:sz w:val="24"/>
                <w:szCs w:val="24"/>
                <w:highlight w:val="none"/>
                <w:lang w:eastAsia="zh-CN"/>
              </w:rPr>
              <w:t>茂名市住房和城乡建设局</w:t>
            </w:r>
          </w:p>
          <w:p w14:paraId="17842FDF">
            <w:pPr>
              <w:spacing w:line="360" w:lineRule="auto"/>
              <w:ind w:left="42" w:leftChars="20" w:right="42" w:rightChars="20"/>
              <w:rPr>
                <w:rFonts w:ascii="宋体" w:hAnsi="宋体" w:cs="宋体"/>
                <w:kern w:val="0"/>
                <w:sz w:val="24"/>
                <w:szCs w:val="24"/>
                <w:highlight w:val="none"/>
              </w:rPr>
            </w:pPr>
            <w:r>
              <w:rPr>
                <w:rFonts w:hint="eastAsia" w:ascii="宋体" w:hAnsi="宋体" w:cs="宋体"/>
                <w:kern w:val="0"/>
                <w:sz w:val="24"/>
                <w:szCs w:val="24"/>
                <w:highlight w:val="none"/>
              </w:rPr>
              <w:t>电话：</w:t>
            </w:r>
            <w:r>
              <w:rPr>
                <w:rFonts w:hint="eastAsia" w:ascii="宋体" w:hAnsi="宋体" w:cs="宋体"/>
                <w:kern w:val="0"/>
                <w:sz w:val="24"/>
                <w:szCs w:val="24"/>
                <w:highlight w:val="none"/>
                <w:lang w:val="en-US" w:eastAsia="zh-CN"/>
              </w:rPr>
              <w:t>0668-</w:t>
            </w:r>
            <w:r>
              <w:rPr>
                <w:rFonts w:hint="eastAsia" w:ascii="宋体" w:hAnsi="宋体" w:cs="宋体"/>
                <w:kern w:val="0"/>
                <w:sz w:val="24"/>
                <w:szCs w:val="24"/>
                <w:highlight w:val="none"/>
              </w:rPr>
              <w:t>2280606</w:t>
            </w:r>
          </w:p>
        </w:tc>
      </w:tr>
      <w:tr w14:paraId="73FCAC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4" w:hRule="exact"/>
        </w:trPr>
        <w:tc>
          <w:tcPr>
            <w:tcW w:w="9768" w:type="dxa"/>
            <w:gridSpan w:val="5"/>
            <w:vAlign w:val="center"/>
          </w:tcPr>
          <w:p w14:paraId="15201AFC">
            <w:pPr>
              <w:adjustRightInd w:val="0"/>
              <w:snapToGrid w:val="0"/>
              <w:spacing w:line="360" w:lineRule="auto"/>
              <w:ind w:left="42" w:leftChars="20" w:right="42" w:rightChars="20"/>
              <w:jc w:val="center"/>
              <w:rPr>
                <w:rFonts w:ascii="宋体" w:hAnsi="宋体" w:cs="宋体"/>
                <w:kern w:val="0"/>
                <w:sz w:val="24"/>
                <w:szCs w:val="24"/>
                <w:highlight w:val="none"/>
              </w:rPr>
            </w:pPr>
            <w:r>
              <w:rPr>
                <w:rFonts w:hint="eastAsia" w:ascii="宋体" w:hAnsi="宋体" w:cs="宋体"/>
                <w:kern w:val="0"/>
                <w:sz w:val="24"/>
                <w:szCs w:val="24"/>
                <w:highlight w:val="none"/>
              </w:rPr>
              <w:t>需要补充的其它内容</w:t>
            </w:r>
          </w:p>
        </w:tc>
      </w:tr>
      <w:tr w14:paraId="019F34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33" w:hRule="exact"/>
        </w:trPr>
        <w:tc>
          <w:tcPr>
            <w:tcW w:w="1313" w:type="dxa"/>
            <w:gridSpan w:val="2"/>
            <w:vAlign w:val="center"/>
          </w:tcPr>
          <w:p w14:paraId="6E24C8C6">
            <w:pPr>
              <w:tabs>
                <w:tab w:val="left" w:pos="540"/>
              </w:tabs>
              <w:spacing w:line="360" w:lineRule="auto"/>
              <w:jc w:val="center"/>
              <w:rPr>
                <w:rFonts w:ascii="宋体" w:hAnsi="宋体"/>
                <w:sz w:val="24"/>
                <w:szCs w:val="24"/>
                <w:highlight w:val="none"/>
              </w:rPr>
            </w:pPr>
            <w:r>
              <w:rPr>
                <w:rFonts w:hint="eastAsia" w:cs="宋体"/>
                <w:kern w:val="0"/>
                <w:sz w:val="24"/>
                <w:highlight w:val="none"/>
              </w:rPr>
              <w:t>其他</w:t>
            </w:r>
          </w:p>
        </w:tc>
        <w:tc>
          <w:tcPr>
            <w:tcW w:w="8455" w:type="dxa"/>
            <w:gridSpan w:val="3"/>
            <w:vAlign w:val="center"/>
          </w:tcPr>
          <w:p w14:paraId="3642AF04">
            <w:pPr>
              <w:tabs>
                <w:tab w:val="left" w:pos="540"/>
              </w:tabs>
              <w:spacing w:line="360" w:lineRule="auto"/>
              <w:jc w:val="left"/>
              <w:rPr>
                <w:rFonts w:ascii="宋体" w:hAnsi="宋体" w:cs="宋体"/>
                <w:kern w:val="0"/>
                <w:sz w:val="24"/>
                <w:szCs w:val="24"/>
                <w:highlight w:val="none"/>
              </w:rPr>
            </w:pPr>
            <w:r>
              <w:rPr>
                <w:rFonts w:hint="eastAsia" w:ascii="宋体" w:cs="宋体"/>
                <w:kern w:val="0"/>
                <w:sz w:val="24"/>
                <w:highlight w:val="none"/>
              </w:rPr>
              <w:t>投标人若对本次招标有异议投诉，请自行登录茂名市住房和城乡建设局官网-首页-建设工程招标投标专栏查询相关异议书、投诉书的范本，并按范本格式编写异议书、投诉书。</w:t>
            </w:r>
          </w:p>
        </w:tc>
      </w:tr>
    </w:tbl>
    <w:p w14:paraId="0D324E60">
      <w:pPr>
        <w:spacing w:line="600" w:lineRule="exact"/>
        <w:rPr>
          <w:rFonts w:ascii="宋体" w:hAnsi="宋体"/>
          <w:b/>
          <w:sz w:val="32"/>
          <w:szCs w:val="32"/>
          <w:highlight w:val="none"/>
        </w:rPr>
      </w:pPr>
    </w:p>
    <w:p w14:paraId="4752E9AA">
      <w:pPr>
        <w:spacing w:beforeLines="100" w:afterLines="50"/>
        <w:outlineLvl w:val="2"/>
        <w:rPr>
          <w:rFonts w:ascii="黑体" w:eastAsia="黑体"/>
          <w:b/>
          <w:sz w:val="28"/>
          <w:szCs w:val="28"/>
          <w:highlight w:val="none"/>
        </w:rPr>
      </w:pPr>
      <w:r>
        <w:rPr>
          <w:highlight w:val="none"/>
        </w:rPr>
        <w:br w:type="page"/>
      </w:r>
      <w:r>
        <w:rPr>
          <w:rFonts w:hint="eastAsia" w:ascii="黑体" w:eastAsia="黑体"/>
          <w:b/>
          <w:sz w:val="28"/>
          <w:szCs w:val="28"/>
          <w:highlight w:val="none"/>
        </w:rPr>
        <w:t>附录1   资格审查条件（资质要求）</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3"/>
      </w:tblGrid>
      <w:tr w14:paraId="1CA2B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9243" w:type="dxa"/>
            <w:vAlign w:val="center"/>
          </w:tcPr>
          <w:p w14:paraId="1040415D">
            <w:pPr>
              <w:jc w:val="center"/>
              <w:rPr>
                <w:rFonts w:ascii="宋体" w:hAnsi="宋体"/>
                <w:b/>
                <w:sz w:val="24"/>
                <w:szCs w:val="24"/>
                <w:highlight w:val="none"/>
              </w:rPr>
            </w:pPr>
            <w:r>
              <w:rPr>
                <w:rFonts w:hint="eastAsia" w:ascii="宋体" w:hAnsi="宋体"/>
                <w:b/>
                <w:sz w:val="24"/>
                <w:szCs w:val="24"/>
                <w:highlight w:val="none"/>
              </w:rPr>
              <w:t>企业资质等级要求</w:t>
            </w:r>
          </w:p>
        </w:tc>
      </w:tr>
      <w:tr w14:paraId="1ADF9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1" w:hRule="exact"/>
        </w:trPr>
        <w:tc>
          <w:tcPr>
            <w:tcW w:w="9243" w:type="dxa"/>
            <w:vAlign w:val="center"/>
          </w:tcPr>
          <w:p w14:paraId="0DBAF4EB">
            <w:pPr>
              <w:spacing w:line="400" w:lineRule="exact"/>
              <w:ind w:firstLine="240" w:firstLineChars="100"/>
              <w:rPr>
                <w:rFonts w:ascii="宋体" w:hAnsi="宋体"/>
                <w:sz w:val="22"/>
                <w:szCs w:val="22"/>
                <w:highlight w:val="none"/>
              </w:rPr>
            </w:pPr>
            <w:r>
              <w:rPr>
                <w:rFonts w:hint="eastAsia" w:ascii="宋体" w:hAnsi="宋体" w:eastAsia="宋体" w:cs="宋体"/>
                <w:i w:val="0"/>
                <w:color w:val="auto"/>
                <w:kern w:val="0"/>
                <w:sz w:val="24"/>
                <w:szCs w:val="24"/>
                <w:highlight w:val="none"/>
                <w:u w:val="none"/>
                <w:lang w:val="en-US" w:eastAsia="zh-CN" w:bidi="ar"/>
              </w:rPr>
              <w:t>投标人须具备建设行政主管部门颁发的工程监理综合资质或房屋建筑工程监理甲级资质</w:t>
            </w:r>
            <w:r>
              <w:rPr>
                <w:rFonts w:hint="eastAsia" w:ascii="宋体" w:hAnsi="宋体"/>
                <w:sz w:val="24"/>
                <w:szCs w:val="24"/>
                <w:highlight w:val="none"/>
              </w:rPr>
              <w:t>，且营业执照有效，广东省外企业须在“进粤企业和人员诚信信息登记平台”录入信息并通过数据规范检查。</w:t>
            </w:r>
          </w:p>
        </w:tc>
      </w:tr>
    </w:tbl>
    <w:p w14:paraId="44D11B6B">
      <w:pPr>
        <w:spacing w:beforeLines="150" w:afterLines="50"/>
        <w:outlineLvl w:val="2"/>
        <w:rPr>
          <w:rFonts w:ascii="黑体" w:eastAsia="黑体"/>
          <w:b/>
          <w:sz w:val="28"/>
          <w:szCs w:val="28"/>
          <w:highlight w:val="none"/>
        </w:rPr>
      </w:pPr>
      <w:r>
        <w:rPr>
          <w:rFonts w:hint="eastAsia" w:ascii="黑体" w:eastAsia="黑体"/>
          <w:b/>
          <w:sz w:val="28"/>
          <w:szCs w:val="28"/>
          <w:highlight w:val="none"/>
        </w:rPr>
        <w:t>附录2   资格审查条件（信誉要求）</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14:paraId="5032C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exact"/>
        </w:trPr>
        <w:tc>
          <w:tcPr>
            <w:tcW w:w="9239" w:type="dxa"/>
            <w:vAlign w:val="center"/>
          </w:tcPr>
          <w:p w14:paraId="4FCB0F8D">
            <w:pPr>
              <w:jc w:val="center"/>
              <w:rPr>
                <w:rFonts w:ascii="宋体" w:hAnsi="宋体"/>
                <w:b/>
                <w:sz w:val="24"/>
                <w:szCs w:val="24"/>
                <w:highlight w:val="none"/>
              </w:rPr>
            </w:pPr>
            <w:r>
              <w:rPr>
                <w:rFonts w:hint="eastAsia" w:ascii="宋体" w:hAnsi="宋体"/>
                <w:b/>
                <w:sz w:val="24"/>
                <w:szCs w:val="24"/>
                <w:highlight w:val="none"/>
              </w:rPr>
              <w:t>信 誉 要 求</w:t>
            </w:r>
          </w:p>
        </w:tc>
      </w:tr>
      <w:tr w14:paraId="7A443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4" w:hRule="exact"/>
        </w:trPr>
        <w:tc>
          <w:tcPr>
            <w:tcW w:w="9239" w:type="dxa"/>
            <w:vAlign w:val="center"/>
          </w:tcPr>
          <w:p w14:paraId="0BCD6D33">
            <w:pPr>
              <w:spacing w:line="400" w:lineRule="exact"/>
              <w:ind w:firstLine="240" w:firstLineChars="100"/>
              <w:rPr>
                <w:rFonts w:ascii="宋体" w:hAnsi="宋体"/>
                <w:sz w:val="24"/>
                <w:szCs w:val="24"/>
                <w:highlight w:val="none"/>
              </w:rPr>
            </w:pPr>
            <w:r>
              <w:rPr>
                <w:rFonts w:hint="eastAsia" w:ascii="宋体" w:hAnsi="宋体" w:cs="宋体"/>
                <w:kern w:val="0"/>
                <w:sz w:val="24"/>
                <w:szCs w:val="24"/>
                <w:highlight w:val="none"/>
              </w:rPr>
              <w:t>投标人在近三年内（</w:t>
            </w:r>
            <w:r>
              <w:rPr>
                <w:rFonts w:hint="eastAsia"/>
                <w:sz w:val="24"/>
                <w:szCs w:val="24"/>
                <w:highlight w:val="none"/>
                <w:lang w:eastAsia="zh-CN"/>
              </w:rPr>
              <w:t>2022年1月1日</w:t>
            </w:r>
            <w:r>
              <w:rPr>
                <w:rFonts w:hint="eastAsia"/>
                <w:sz w:val="24"/>
                <w:szCs w:val="24"/>
                <w:highlight w:val="none"/>
              </w:rPr>
              <w:t>至投标截止日止</w:t>
            </w:r>
            <w:r>
              <w:rPr>
                <w:rFonts w:hint="eastAsia" w:ascii="宋体" w:hAnsi="宋体" w:cs="宋体"/>
                <w:kern w:val="0"/>
                <w:sz w:val="24"/>
                <w:szCs w:val="24"/>
                <w:highlight w:val="none"/>
              </w:rPr>
              <w:t>）是否存在骗取中标或严重违约被解除合同或重大工程质量问题的行为</w:t>
            </w:r>
            <w:r>
              <w:rPr>
                <w:rFonts w:hint="eastAsia" w:ascii="宋体" w:hAnsi="宋体"/>
                <w:sz w:val="24"/>
                <w:szCs w:val="24"/>
                <w:highlight w:val="none"/>
              </w:rPr>
              <w:t>。</w:t>
            </w:r>
          </w:p>
          <w:p w14:paraId="051DD6FF">
            <w:pPr>
              <w:spacing w:line="400" w:lineRule="exact"/>
              <w:ind w:firstLine="240" w:firstLineChars="100"/>
              <w:rPr>
                <w:rFonts w:ascii="宋体" w:hAnsi="宋体"/>
                <w:sz w:val="22"/>
                <w:szCs w:val="22"/>
                <w:highlight w:val="none"/>
              </w:rPr>
            </w:pPr>
            <w:r>
              <w:rPr>
                <w:rFonts w:hint="eastAsia"/>
                <w:sz w:val="24"/>
                <w:szCs w:val="24"/>
                <w:highlight w:val="none"/>
              </w:rPr>
              <w:t>投标人在“信用中国” 网站（www.creditchina.gov.cn)查询：没有被列为严重失信主体</w:t>
            </w:r>
            <w:r>
              <w:rPr>
                <w:sz w:val="24"/>
                <w:highlight w:val="none"/>
              </w:rPr>
              <w:t>或拖欠农民工工资失信联合惩戒对象或被人民法院列为失信被执行人</w:t>
            </w:r>
            <w:r>
              <w:rPr>
                <w:rFonts w:hint="eastAsia"/>
                <w:szCs w:val="22"/>
                <w:highlight w:val="none"/>
              </w:rPr>
              <w:t>。</w:t>
            </w:r>
          </w:p>
        </w:tc>
      </w:tr>
    </w:tbl>
    <w:p w14:paraId="58E2BD03">
      <w:pPr>
        <w:spacing w:beforeLines="150" w:afterLines="50"/>
        <w:outlineLvl w:val="2"/>
        <w:rPr>
          <w:rFonts w:ascii="黑体" w:eastAsia="黑体"/>
          <w:b/>
          <w:sz w:val="28"/>
          <w:szCs w:val="28"/>
          <w:highlight w:val="none"/>
        </w:rPr>
      </w:pPr>
      <w:r>
        <w:rPr>
          <w:rFonts w:hint="eastAsia" w:ascii="黑体" w:eastAsia="黑体"/>
          <w:b/>
          <w:sz w:val="28"/>
          <w:szCs w:val="28"/>
          <w:highlight w:val="none"/>
        </w:rPr>
        <w:t>附录3   资格审查条件（业绩要求）</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14:paraId="57E01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9239" w:type="dxa"/>
            <w:vAlign w:val="center"/>
          </w:tcPr>
          <w:p w14:paraId="0F7E7BFD">
            <w:pPr>
              <w:jc w:val="center"/>
              <w:rPr>
                <w:rFonts w:ascii="宋体" w:hAnsi="宋体"/>
                <w:b/>
                <w:sz w:val="24"/>
                <w:szCs w:val="24"/>
                <w:highlight w:val="none"/>
              </w:rPr>
            </w:pPr>
            <w:r>
              <w:rPr>
                <w:rFonts w:hint="eastAsia" w:ascii="宋体" w:hAnsi="宋体"/>
                <w:b/>
                <w:sz w:val="24"/>
                <w:szCs w:val="24"/>
                <w:highlight w:val="none"/>
              </w:rPr>
              <w:t>业 绩 要 求</w:t>
            </w:r>
          </w:p>
        </w:tc>
      </w:tr>
      <w:tr w14:paraId="08864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0" w:hRule="exact"/>
        </w:trPr>
        <w:tc>
          <w:tcPr>
            <w:tcW w:w="9239" w:type="dxa"/>
            <w:vAlign w:val="center"/>
          </w:tcPr>
          <w:p w14:paraId="28EEB9AA">
            <w:pPr>
              <w:spacing w:line="360" w:lineRule="exact"/>
              <w:ind w:firstLine="240" w:firstLineChars="100"/>
              <w:rPr>
                <w:rFonts w:ascii="宋体" w:hAnsi="宋体"/>
                <w:sz w:val="22"/>
                <w:szCs w:val="22"/>
                <w:highlight w:val="none"/>
              </w:rPr>
            </w:pPr>
            <w:r>
              <w:rPr>
                <w:rFonts w:hint="eastAsia" w:ascii="宋体" w:hAnsi="宋体"/>
                <w:sz w:val="24"/>
                <w:szCs w:val="24"/>
                <w:highlight w:val="none"/>
              </w:rPr>
              <w:t>不设置为资格条件。</w:t>
            </w:r>
          </w:p>
        </w:tc>
      </w:tr>
    </w:tbl>
    <w:p w14:paraId="5F1C0AF5">
      <w:pPr>
        <w:spacing w:beforeLines="150" w:afterLines="50"/>
        <w:outlineLvl w:val="2"/>
        <w:rPr>
          <w:rFonts w:ascii="黑体" w:eastAsia="黑体"/>
          <w:b/>
          <w:sz w:val="28"/>
          <w:szCs w:val="28"/>
          <w:highlight w:val="none"/>
        </w:rPr>
      </w:pPr>
      <w:r>
        <w:rPr>
          <w:rFonts w:hint="eastAsia" w:ascii="黑体" w:eastAsia="黑体"/>
          <w:b/>
          <w:sz w:val="28"/>
          <w:szCs w:val="28"/>
          <w:highlight w:val="none"/>
        </w:rPr>
        <w:t>附录4   资格审查条件（财务要求）</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14:paraId="058FD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9" w:hRule="exact"/>
        </w:trPr>
        <w:tc>
          <w:tcPr>
            <w:tcW w:w="9239" w:type="dxa"/>
            <w:vAlign w:val="center"/>
          </w:tcPr>
          <w:p w14:paraId="5A6386E7">
            <w:pPr>
              <w:jc w:val="center"/>
              <w:rPr>
                <w:rFonts w:ascii="宋体" w:hAnsi="宋体"/>
                <w:b/>
                <w:sz w:val="24"/>
                <w:szCs w:val="24"/>
                <w:highlight w:val="none"/>
              </w:rPr>
            </w:pPr>
            <w:r>
              <w:rPr>
                <w:rFonts w:hint="eastAsia" w:ascii="宋体" w:hAnsi="宋体"/>
                <w:b/>
                <w:sz w:val="24"/>
                <w:szCs w:val="24"/>
                <w:highlight w:val="none"/>
              </w:rPr>
              <w:t>财 务 要 求</w:t>
            </w:r>
          </w:p>
        </w:tc>
      </w:tr>
      <w:tr w14:paraId="2A20F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0" w:hRule="exact"/>
        </w:trPr>
        <w:tc>
          <w:tcPr>
            <w:tcW w:w="9239" w:type="dxa"/>
            <w:vAlign w:val="center"/>
          </w:tcPr>
          <w:p w14:paraId="53CB2BCC">
            <w:pPr>
              <w:spacing w:line="360" w:lineRule="exact"/>
              <w:ind w:firstLine="240" w:firstLineChars="100"/>
              <w:rPr>
                <w:rFonts w:ascii="宋体" w:hAnsi="宋体"/>
                <w:sz w:val="22"/>
                <w:szCs w:val="22"/>
                <w:highlight w:val="none"/>
              </w:rPr>
            </w:pPr>
            <w:r>
              <w:rPr>
                <w:rFonts w:hint="eastAsia" w:ascii="宋体" w:hAnsi="宋体"/>
                <w:sz w:val="24"/>
                <w:szCs w:val="24"/>
                <w:highlight w:val="none"/>
              </w:rPr>
              <w:t>不设置为资格条件。</w:t>
            </w:r>
          </w:p>
        </w:tc>
      </w:tr>
    </w:tbl>
    <w:p w14:paraId="329D02C3">
      <w:pPr>
        <w:spacing w:beforeLines="150" w:afterLines="50"/>
        <w:outlineLvl w:val="2"/>
        <w:rPr>
          <w:rFonts w:ascii="黑体" w:eastAsia="黑体"/>
          <w:b/>
          <w:sz w:val="28"/>
          <w:szCs w:val="28"/>
          <w:highlight w:val="none"/>
        </w:rPr>
      </w:pPr>
      <w:r>
        <w:rPr>
          <w:rFonts w:ascii="黑体" w:eastAsia="黑体"/>
          <w:b/>
          <w:sz w:val="28"/>
          <w:szCs w:val="28"/>
          <w:highlight w:val="none"/>
        </w:rPr>
        <w:br w:type="page"/>
      </w:r>
      <w:r>
        <w:rPr>
          <w:rFonts w:hint="eastAsia" w:ascii="黑体" w:eastAsia="黑体"/>
          <w:b/>
          <w:sz w:val="28"/>
          <w:szCs w:val="28"/>
          <w:highlight w:val="none"/>
        </w:rPr>
        <w:t>附录5   资格审查条件（人员要求）</w:t>
      </w:r>
    </w:p>
    <w:tbl>
      <w:tblPr>
        <w:tblStyle w:val="49"/>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720"/>
        <w:gridCol w:w="7111"/>
      </w:tblGrid>
      <w:tr w14:paraId="67555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exact"/>
        </w:trPr>
        <w:tc>
          <w:tcPr>
            <w:tcW w:w="1491" w:type="dxa"/>
            <w:tcBorders>
              <w:right w:val="single" w:color="auto" w:sz="4" w:space="0"/>
            </w:tcBorders>
            <w:vAlign w:val="center"/>
          </w:tcPr>
          <w:p w14:paraId="1AE95192">
            <w:pPr>
              <w:jc w:val="center"/>
              <w:rPr>
                <w:rFonts w:ascii="宋体" w:hAnsi="宋体"/>
                <w:b/>
                <w:sz w:val="21"/>
                <w:szCs w:val="21"/>
                <w:highlight w:val="none"/>
              </w:rPr>
            </w:pPr>
            <w:r>
              <w:rPr>
                <w:rFonts w:hint="eastAsia" w:ascii="宋体" w:hAnsi="宋体"/>
                <w:b/>
                <w:sz w:val="21"/>
                <w:szCs w:val="21"/>
                <w:highlight w:val="none"/>
              </w:rPr>
              <w:t>人员</w:t>
            </w:r>
          </w:p>
        </w:tc>
        <w:tc>
          <w:tcPr>
            <w:tcW w:w="720" w:type="dxa"/>
            <w:tcBorders>
              <w:left w:val="single" w:color="auto" w:sz="4" w:space="0"/>
            </w:tcBorders>
            <w:vAlign w:val="center"/>
          </w:tcPr>
          <w:p w14:paraId="3DCC4D19">
            <w:pPr>
              <w:jc w:val="center"/>
              <w:rPr>
                <w:rFonts w:ascii="宋体" w:hAnsi="宋体"/>
                <w:b/>
                <w:sz w:val="21"/>
                <w:szCs w:val="21"/>
                <w:highlight w:val="none"/>
              </w:rPr>
            </w:pPr>
            <w:r>
              <w:rPr>
                <w:rFonts w:hint="eastAsia" w:ascii="宋体" w:hAnsi="宋体"/>
                <w:b/>
                <w:sz w:val="21"/>
                <w:szCs w:val="21"/>
                <w:highlight w:val="none"/>
              </w:rPr>
              <w:t>数量</w:t>
            </w:r>
          </w:p>
        </w:tc>
        <w:tc>
          <w:tcPr>
            <w:tcW w:w="7111" w:type="dxa"/>
            <w:vAlign w:val="center"/>
          </w:tcPr>
          <w:p w14:paraId="7EB65672">
            <w:pPr>
              <w:jc w:val="center"/>
              <w:rPr>
                <w:rFonts w:ascii="宋体" w:hAnsi="宋体"/>
                <w:b/>
                <w:sz w:val="21"/>
                <w:szCs w:val="21"/>
                <w:highlight w:val="none"/>
              </w:rPr>
            </w:pPr>
            <w:r>
              <w:rPr>
                <w:rFonts w:hint="eastAsia" w:ascii="宋体" w:hAnsi="宋体"/>
                <w:b/>
                <w:sz w:val="21"/>
                <w:szCs w:val="21"/>
                <w:highlight w:val="none"/>
              </w:rPr>
              <w:t>资 格 要 求</w:t>
            </w:r>
          </w:p>
        </w:tc>
      </w:tr>
      <w:tr w14:paraId="755DA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0" w:hRule="exact"/>
        </w:trPr>
        <w:tc>
          <w:tcPr>
            <w:tcW w:w="1491" w:type="dxa"/>
            <w:tcBorders>
              <w:right w:val="single" w:color="auto" w:sz="4" w:space="0"/>
            </w:tcBorders>
            <w:vAlign w:val="center"/>
          </w:tcPr>
          <w:p w14:paraId="23A16FC3">
            <w:pPr>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总监理工程师</w:t>
            </w:r>
          </w:p>
        </w:tc>
        <w:tc>
          <w:tcPr>
            <w:tcW w:w="720" w:type="dxa"/>
            <w:tcBorders>
              <w:left w:val="single" w:color="auto" w:sz="4" w:space="0"/>
            </w:tcBorders>
            <w:vAlign w:val="center"/>
          </w:tcPr>
          <w:p w14:paraId="1610EE8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人</w:t>
            </w:r>
          </w:p>
        </w:tc>
        <w:tc>
          <w:tcPr>
            <w:tcW w:w="7111" w:type="dxa"/>
            <w:vAlign w:val="center"/>
          </w:tcPr>
          <w:p w14:paraId="187D420A">
            <w:pPr>
              <w:spacing w:line="400" w:lineRule="exact"/>
              <w:rPr>
                <w:rFonts w:hint="eastAsia" w:ascii="宋体" w:hAnsi="宋体" w:eastAsia="宋体" w:cs="宋体"/>
                <w:spacing w:val="-4"/>
                <w:sz w:val="21"/>
                <w:szCs w:val="21"/>
                <w:highlight w:val="none"/>
              </w:rPr>
            </w:pPr>
            <w:r>
              <w:rPr>
                <w:rFonts w:hint="eastAsia" w:ascii="宋体" w:hAnsi="宋体" w:eastAsia="宋体" w:cs="宋体"/>
                <w:i w:val="0"/>
                <w:color w:val="auto"/>
                <w:kern w:val="0"/>
                <w:sz w:val="21"/>
                <w:szCs w:val="21"/>
                <w:highlight w:val="none"/>
                <w:u w:val="none"/>
                <w:lang w:val="en-US" w:eastAsia="zh-CN" w:bidi="ar"/>
              </w:rPr>
              <w:t>具有房屋建筑工程专业国家注册监理工程师资格，</w:t>
            </w:r>
            <w:r>
              <w:rPr>
                <w:rFonts w:hint="eastAsia" w:ascii="宋体" w:hAnsi="宋体" w:eastAsia="宋体" w:cs="宋体"/>
                <w:spacing w:val="-4"/>
                <w:sz w:val="21"/>
                <w:szCs w:val="21"/>
                <w:highlight w:val="none"/>
              </w:rPr>
              <w:t>且为本单位在职人员</w:t>
            </w:r>
            <w:r>
              <w:rPr>
                <w:rFonts w:hint="eastAsia" w:ascii="宋体" w:hAnsi="宋体" w:eastAsia="宋体" w:cs="宋体"/>
                <w:spacing w:val="-4"/>
                <w:sz w:val="21"/>
                <w:szCs w:val="21"/>
                <w:highlight w:val="none"/>
                <w:lang w:eastAsia="zh-CN"/>
              </w:rPr>
              <w:t>。</w:t>
            </w:r>
          </w:p>
        </w:tc>
      </w:tr>
      <w:tr w14:paraId="54A64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1" w:hRule="exact"/>
        </w:trPr>
        <w:tc>
          <w:tcPr>
            <w:tcW w:w="1491" w:type="dxa"/>
            <w:tcBorders>
              <w:right w:val="single" w:color="auto" w:sz="4" w:space="0"/>
            </w:tcBorders>
            <w:vAlign w:val="center"/>
          </w:tcPr>
          <w:p w14:paraId="12C108DA">
            <w:pPr>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总监代表</w:t>
            </w:r>
          </w:p>
        </w:tc>
        <w:tc>
          <w:tcPr>
            <w:tcW w:w="720" w:type="dxa"/>
            <w:tcBorders>
              <w:left w:val="single" w:color="auto" w:sz="4" w:space="0"/>
            </w:tcBorders>
            <w:vAlign w:val="center"/>
          </w:tcPr>
          <w:p w14:paraId="3B275D8F">
            <w:pPr>
              <w:jc w:val="center"/>
              <w:rPr>
                <w:rFonts w:hint="eastAsia" w:ascii="宋体" w:hAnsi="宋体" w:eastAsia="宋体" w:cs="宋体"/>
                <w:sz w:val="21"/>
                <w:szCs w:val="21"/>
                <w:highlight w:val="none"/>
                <w:u w:val="singl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人</w:t>
            </w:r>
          </w:p>
        </w:tc>
        <w:tc>
          <w:tcPr>
            <w:tcW w:w="7111" w:type="dxa"/>
            <w:vAlign w:val="center"/>
          </w:tcPr>
          <w:p w14:paraId="5944E7D3">
            <w:pPr>
              <w:spacing w:line="400" w:lineRule="exact"/>
              <w:rPr>
                <w:rFonts w:hint="eastAsia" w:ascii="宋体" w:hAnsi="宋体" w:eastAsia="宋体" w:cs="宋体"/>
                <w:color w:val="auto"/>
                <w:spacing w:val="-4"/>
                <w:sz w:val="21"/>
                <w:szCs w:val="21"/>
                <w:highlight w:val="none"/>
              </w:rPr>
            </w:pPr>
            <w:r>
              <w:rPr>
                <w:rFonts w:hint="eastAsia" w:ascii="宋体" w:hAnsi="宋体" w:eastAsia="宋体" w:cs="宋体"/>
                <w:b w:val="0"/>
                <w:color w:val="auto"/>
                <w:spacing w:val="-4"/>
                <w:kern w:val="2"/>
                <w:sz w:val="21"/>
                <w:szCs w:val="21"/>
                <w:highlight w:val="none"/>
                <w:u w:val="none"/>
                <w:lang w:bidi="ar"/>
              </w:rPr>
              <w:t>具有房屋建筑工程类注册执业资格或具有建筑工程类中级及以上专业技术职称、3年及以上工程实践经验并经监理业务培训的人员，且为本单位在职人员。</w:t>
            </w:r>
          </w:p>
          <w:p w14:paraId="78C66352">
            <w:pPr>
              <w:spacing w:line="40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注</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1.若提供的为技术职称，所提供的证书上无法证明3年及以上工程实践经验的，需提供曾在工作实践单位</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需为工程类单位或企业</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的超过3年</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社保管理机构的证明材料</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如社保管理机构的查询机器打印件</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w:t>
            </w:r>
            <w:r>
              <w:rPr>
                <w:rFonts w:hint="eastAsia" w:ascii="宋体" w:hAnsi="宋体" w:cs="宋体"/>
                <w:color w:val="auto"/>
                <w:spacing w:val="-4"/>
                <w:sz w:val="21"/>
                <w:szCs w:val="21"/>
                <w:highlight w:val="none"/>
                <w:lang w:eastAsia="zh-CN"/>
              </w:rPr>
              <w:t>已退休人员可提供退休证明及返聘合同代替社保证明</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提供相关监理培训证明材料。</w:t>
            </w:r>
          </w:p>
          <w:p w14:paraId="51352263">
            <w:pPr>
              <w:spacing w:line="400" w:lineRule="exact"/>
              <w:rPr>
                <w:rFonts w:hint="eastAsia" w:ascii="宋体" w:hAnsi="宋体" w:eastAsia="宋体" w:cs="宋体"/>
                <w:spacing w:val="-4"/>
                <w:sz w:val="21"/>
                <w:szCs w:val="21"/>
                <w:highlight w:val="none"/>
              </w:rPr>
            </w:pPr>
            <w:r>
              <w:rPr>
                <w:rFonts w:hint="eastAsia" w:ascii="宋体" w:hAnsi="宋体" w:eastAsia="宋体" w:cs="宋体"/>
                <w:color w:val="auto"/>
                <w:spacing w:val="-4"/>
                <w:sz w:val="21"/>
                <w:szCs w:val="21"/>
                <w:highlight w:val="none"/>
              </w:rPr>
              <w:t>2.若提供的为注册执业资格的，则须提供相关注册执业证书。</w:t>
            </w:r>
          </w:p>
        </w:tc>
      </w:tr>
      <w:tr w14:paraId="048D5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8" w:hRule="exact"/>
        </w:trPr>
        <w:tc>
          <w:tcPr>
            <w:tcW w:w="1491" w:type="dxa"/>
            <w:tcBorders>
              <w:right w:val="single" w:color="auto" w:sz="4" w:space="0"/>
            </w:tcBorders>
            <w:vAlign w:val="center"/>
          </w:tcPr>
          <w:p w14:paraId="1D4C5646">
            <w:pPr>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其他监理人员</w:t>
            </w:r>
          </w:p>
        </w:tc>
        <w:tc>
          <w:tcPr>
            <w:tcW w:w="720" w:type="dxa"/>
            <w:tcBorders>
              <w:left w:val="single" w:color="auto" w:sz="4" w:space="0"/>
            </w:tcBorders>
            <w:vAlign w:val="center"/>
          </w:tcPr>
          <w:p w14:paraId="11734E4C">
            <w:pPr>
              <w:jc w:val="center"/>
              <w:rPr>
                <w:rFonts w:hint="eastAsia" w:ascii="宋体" w:hAnsi="宋体" w:eastAsia="宋体" w:cs="宋体"/>
                <w:sz w:val="21"/>
                <w:szCs w:val="21"/>
                <w:highlight w:val="none"/>
                <w:u w:val="single"/>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rPr>
              <w:t>人</w:t>
            </w:r>
          </w:p>
        </w:tc>
        <w:tc>
          <w:tcPr>
            <w:tcW w:w="7111" w:type="dxa"/>
            <w:vAlign w:val="center"/>
          </w:tcPr>
          <w:p w14:paraId="72D38C01">
            <w:pPr>
              <w:spacing w:line="400" w:lineRule="exact"/>
              <w:rPr>
                <w:rFonts w:hint="eastAsia" w:ascii="宋体" w:hAnsi="宋体" w:eastAsia="宋体" w:cs="宋体"/>
                <w:color w:val="auto"/>
                <w:spacing w:val="-4"/>
                <w:sz w:val="21"/>
                <w:szCs w:val="21"/>
                <w:highlight w:val="none"/>
              </w:rPr>
            </w:pPr>
            <w:r>
              <w:rPr>
                <w:rFonts w:hint="eastAsia" w:ascii="宋体" w:hAnsi="宋体" w:eastAsia="宋体" w:cs="宋体"/>
                <w:b/>
                <w:bCs/>
                <w:color w:val="auto"/>
                <w:spacing w:val="-4"/>
                <w:sz w:val="21"/>
                <w:szCs w:val="21"/>
                <w:highlight w:val="none"/>
              </w:rPr>
              <w:t>专业监理工程师（</w:t>
            </w:r>
            <w:r>
              <w:rPr>
                <w:rFonts w:hint="eastAsia" w:ascii="宋体" w:hAnsi="宋体" w:cs="宋体"/>
                <w:b/>
                <w:bCs/>
                <w:color w:val="auto"/>
                <w:spacing w:val="-4"/>
                <w:sz w:val="21"/>
                <w:szCs w:val="21"/>
                <w:highlight w:val="none"/>
                <w:u w:val="single"/>
                <w:lang w:val="en-US" w:eastAsia="zh-CN"/>
              </w:rPr>
              <w:t>2</w:t>
            </w:r>
            <w:r>
              <w:rPr>
                <w:rFonts w:hint="eastAsia" w:ascii="宋体" w:hAnsi="宋体" w:eastAsia="宋体" w:cs="宋体"/>
                <w:b/>
                <w:bCs/>
                <w:color w:val="auto"/>
                <w:spacing w:val="-4"/>
                <w:sz w:val="21"/>
                <w:szCs w:val="21"/>
                <w:highlight w:val="none"/>
              </w:rPr>
              <w:t>名）</w:t>
            </w:r>
            <w:r>
              <w:rPr>
                <w:rFonts w:hint="eastAsia" w:ascii="宋体" w:hAnsi="宋体" w:eastAsia="宋体" w:cs="宋体"/>
                <w:color w:val="auto"/>
                <w:spacing w:val="-4"/>
                <w:sz w:val="21"/>
                <w:szCs w:val="21"/>
                <w:highlight w:val="none"/>
              </w:rPr>
              <w:t>：具有房屋建筑工程类注册执业资格或具有建筑工程类中级及以上专业技术职称、2年及以上工程实践经验并经监理业务培训的人员，且为本单位在职人员。</w:t>
            </w:r>
          </w:p>
          <w:p w14:paraId="5EE6397E">
            <w:pPr>
              <w:spacing w:line="40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注</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1.若提供的为技术职称，所提供的证书上无法证明</w:t>
            </w:r>
            <w:r>
              <w:rPr>
                <w:rFonts w:hint="eastAsia" w:ascii="宋体" w:hAnsi="宋体" w:eastAsia="宋体" w:cs="宋体"/>
                <w:color w:val="auto"/>
                <w:spacing w:val="-4"/>
                <w:sz w:val="21"/>
                <w:szCs w:val="21"/>
                <w:highlight w:val="none"/>
                <w:lang w:val="en-US" w:eastAsia="zh-CN"/>
              </w:rPr>
              <w:t>2</w:t>
            </w:r>
            <w:r>
              <w:rPr>
                <w:rFonts w:hint="eastAsia" w:ascii="宋体" w:hAnsi="宋体" w:eastAsia="宋体" w:cs="宋体"/>
                <w:color w:val="auto"/>
                <w:spacing w:val="-4"/>
                <w:sz w:val="21"/>
                <w:szCs w:val="21"/>
                <w:highlight w:val="none"/>
              </w:rPr>
              <w:t>年及以上工程实践经验的，需提供曾在工作实践单位</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需为工程类单位或企业</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的超过</w:t>
            </w:r>
            <w:r>
              <w:rPr>
                <w:rFonts w:hint="eastAsia" w:ascii="宋体" w:hAnsi="宋体" w:eastAsia="宋体" w:cs="宋体"/>
                <w:color w:val="auto"/>
                <w:spacing w:val="-4"/>
                <w:sz w:val="21"/>
                <w:szCs w:val="21"/>
                <w:highlight w:val="none"/>
                <w:lang w:val="en-US" w:eastAsia="zh-CN"/>
              </w:rPr>
              <w:t>2</w:t>
            </w:r>
            <w:r>
              <w:rPr>
                <w:rFonts w:hint="eastAsia" w:ascii="宋体" w:hAnsi="宋体" w:eastAsia="宋体" w:cs="宋体"/>
                <w:color w:val="auto"/>
                <w:spacing w:val="-4"/>
                <w:sz w:val="21"/>
                <w:szCs w:val="21"/>
                <w:highlight w:val="none"/>
              </w:rPr>
              <w:t>年</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社保管理机构的证明材料</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如社保管理机构的查询机器打印件</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w:t>
            </w:r>
            <w:r>
              <w:rPr>
                <w:rFonts w:hint="eastAsia" w:ascii="宋体" w:hAnsi="宋体" w:cs="宋体"/>
                <w:color w:val="auto"/>
                <w:spacing w:val="-4"/>
                <w:sz w:val="21"/>
                <w:szCs w:val="21"/>
                <w:highlight w:val="none"/>
                <w:lang w:eastAsia="zh-CN"/>
              </w:rPr>
              <w:t>已退休人员可提供退休证明及返聘合同代替社保证明</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提供相关监理培训证明材料。</w:t>
            </w:r>
          </w:p>
          <w:p w14:paraId="52A05756">
            <w:pPr>
              <w:spacing w:line="40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2.若提供的为注册执业资格的，则须提供相关注册执业证书。</w:t>
            </w:r>
          </w:p>
          <w:p w14:paraId="61DE870A">
            <w:pPr>
              <w:keepNext w:val="0"/>
              <w:keepLines w:val="0"/>
              <w:widowControl/>
              <w:suppressLineNumbers w:val="0"/>
              <w:spacing w:line="400" w:lineRule="exact"/>
              <w:jc w:val="left"/>
              <w:textAlignment w:val="auto"/>
              <w:rPr>
                <w:rFonts w:hint="eastAsia" w:ascii="宋体" w:hAnsi="宋体" w:eastAsia="宋体" w:cs="宋体"/>
                <w:color w:val="auto"/>
                <w:spacing w:val="-4"/>
                <w:sz w:val="21"/>
                <w:szCs w:val="21"/>
                <w:highlight w:val="none"/>
              </w:rPr>
            </w:pPr>
            <w:r>
              <w:rPr>
                <w:rFonts w:hint="eastAsia" w:ascii="宋体" w:hAnsi="宋体" w:eastAsia="宋体" w:cs="宋体"/>
                <w:b/>
                <w:bCs/>
                <w:color w:val="auto"/>
                <w:spacing w:val="-4"/>
                <w:sz w:val="21"/>
                <w:szCs w:val="21"/>
                <w:highlight w:val="none"/>
              </w:rPr>
              <w:t>监理员（</w:t>
            </w:r>
            <w:r>
              <w:rPr>
                <w:rFonts w:hint="eastAsia" w:ascii="宋体" w:hAnsi="宋体" w:eastAsia="宋体" w:cs="宋体"/>
                <w:b/>
                <w:bCs/>
                <w:color w:val="auto"/>
                <w:spacing w:val="-4"/>
                <w:sz w:val="21"/>
                <w:szCs w:val="21"/>
                <w:highlight w:val="none"/>
                <w:u w:val="single"/>
                <w:lang w:val="en-US" w:eastAsia="zh-CN"/>
              </w:rPr>
              <w:t>2</w:t>
            </w:r>
            <w:r>
              <w:rPr>
                <w:rFonts w:hint="eastAsia" w:ascii="宋体" w:hAnsi="宋体" w:eastAsia="宋体" w:cs="宋体"/>
                <w:b/>
                <w:bCs/>
                <w:color w:val="auto"/>
                <w:spacing w:val="-4"/>
                <w:sz w:val="21"/>
                <w:szCs w:val="21"/>
                <w:highlight w:val="none"/>
              </w:rPr>
              <w:t>名）</w:t>
            </w:r>
            <w:r>
              <w:rPr>
                <w:rFonts w:hint="eastAsia" w:ascii="宋体" w:hAnsi="宋体" w:eastAsia="宋体" w:cs="宋体"/>
                <w:color w:val="auto"/>
                <w:spacing w:val="-4"/>
                <w:sz w:val="21"/>
                <w:szCs w:val="21"/>
                <w:highlight w:val="none"/>
              </w:rPr>
              <w:t>：具有中专及以上学历并经监理业务培训的人员，且为本单位在职人员。</w:t>
            </w:r>
          </w:p>
          <w:p w14:paraId="46DB43CD">
            <w:pPr>
              <w:spacing w:line="400" w:lineRule="exact"/>
              <w:rPr>
                <w:rFonts w:hint="eastAsia" w:ascii="宋体" w:hAnsi="宋体" w:eastAsia="宋体" w:cs="宋体"/>
                <w:spacing w:val="-4"/>
                <w:sz w:val="21"/>
                <w:szCs w:val="21"/>
                <w:highlight w:val="none"/>
              </w:rPr>
            </w:pPr>
            <w:r>
              <w:rPr>
                <w:rFonts w:hint="eastAsia" w:ascii="宋体" w:hAnsi="宋体" w:eastAsia="宋体" w:cs="宋体"/>
                <w:color w:val="auto"/>
                <w:spacing w:val="-4"/>
                <w:sz w:val="21"/>
                <w:szCs w:val="21"/>
                <w:highlight w:val="none"/>
                <w:lang w:val="en-US" w:eastAsia="zh-CN"/>
              </w:rPr>
              <w:t>注：提供中专及以上毕业证书、相关监理培训证明材料。</w:t>
            </w:r>
          </w:p>
        </w:tc>
      </w:tr>
      <w:tr w14:paraId="6E38D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0" w:hRule="atLeast"/>
        </w:trPr>
        <w:tc>
          <w:tcPr>
            <w:tcW w:w="9322" w:type="dxa"/>
            <w:gridSpan w:val="3"/>
            <w:tcBorders>
              <w:top w:val="single" w:color="auto" w:sz="4" w:space="0"/>
            </w:tcBorders>
            <w:vAlign w:val="center"/>
          </w:tcPr>
          <w:p w14:paraId="4B1E175A">
            <w:pPr>
              <w:topLinePunct/>
              <w:adjustRightInd w:val="0"/>
              <w:spacing w:line="380" w:lineRule="exact"/>
              <w:rPr>
                <w:highlight w:val="none"/>
              </w:rPr>
            </w:pPr>
            <w:r>
              <w:rPr>
                <w:rFonts w:hint="eastAsia"/>
                <w:highlight w:val="none"/>
              </w:rPr>
              <w:t>注：1、广东省外的投标人其拟委派人员必须已经在“进粤企业和人员诚信信息登记平台”录入信息并通过数据规范检查。</w:t>
            </w:r>
          </w:p>
          <w:p w14:paraId="2927D29E">
            <w:pPr>
              <w:topLinePunct/>
              <w:adjustRightInd w:val="0"/>
              <w:spacing w:line="380" w:lineRule="exact"/>
              <w:ind w:left="399" w:leftChars="190" w:firstLine="0" w:firstLineChars="0"/>
              <w:rPr>
                <w:highlight w:val="none"/>
              </w:rPr>
            </w:pPr>
            <w:r>
              <w:rPr>
                <w:rFonts w:hint="eastAsia"/>
                <w:highlight w:val="none"/>
              </w:rPr>
              <w:t>2、上述人员进驻施工现场时间：开工后，总监理工程师</w:t>
            </w:r>
            <w:r>
              <w:rPr>
                <w:rFonts w:hint="eastAsia"/>
                <w:highlight w:val="none"/>
                <w:lang w:val="en-US" w:eastAsia="zh-CN"/>
              </w:rPr>
              <w:t>25</w:t>
            </w:r>
            <w:r>
              <w:rPr>
                <w:rFonts w:hint="eastAsia"/>
                <w:highlight w:val="none"/>
              </w:rPr>
              <w:t>天/月</w:t>
            </w:r>
            <w:r>
              <w:rPr>
                <w:rFonts w:hint="eastAsia"/>
                <w:highlight w:val="none"/>
                <w:lang w:eastAsia="zh-CN"/>
              </w:rPr>
              <w:t>；</w:t>
            </w:r>
            <w:r>
              <w:rPr>
                <w:rFonts w:hint="eastAsia"/>
                <w:highlight w:val="none"/>
              </w:rPr>
              <w:t>总监代表</w:t>
            </w:r>
            <w:r>
              <w:rPr>
                <w:rFonts w:hint="eastAsia"/>
                <w:highlight w:val="none"/>
                <w:lang w:val="en-US" w:eastAsia="zh-CN"/>
              </w:rPr>
              <w:t>25</w:t>
            </w:r>
            <w:r>
              <w:rPr>
                <w:rFonts w:hint="eastAsia"/>
                <w:highlight w:val="none"/>
              </w:rPr>
              <w:t>天/月；其他监理人员</w:t>
            </w:r>
            <w:r>
              <w:rPr>
                <w:rFonts w:hint="eastAsia"/>
                <w:highlight w:val="none"/>
                <w:lang w:val="en-US" w:eastAsia="zh-CN"/>
              </w:rPr>
              <w:t>25</w:t>
            </w:r>
            <w:r>
              <w:rPr>
                <w:rFonts w:hint="eastAsia"/>
                <w:highlight w:val="none"/>
              </w:rPr>
              <w:t>天/月。</w:t>
            </w:r>
          </w:p>
          <w:p w14:paraId="2479C11C">
            <w:pPr>
              <w:topLinePunct/>
              <w:adjustRightInd w:val="0"/>
              <w:spacing w:line="380" w:lineRule="exact"/>
              <w:ind w:firstLine="420" w:firstLineChars="200"/>
              <w:rPr>
                <w:highlight w:val="none"/>
              </w:rPr>
            </w:pPr>
            <w:r>
              <w:rPr>
                <w:rFonts w:hint="eastAsia"/>
                <w:highlight w:val="none"/>
              </w:rPr>
              <w:t>3、上述人员需提供本单位近3个月</w:t>
            </w:r>
            <w:r>
              <w:rPr>
                <w:rFonts w:hint="eastAsia"/>
                <w:highlight w:val="none"/>
                <w:lang w:eastAsia="zh-CN"/>
              </w:rPr>
              <w:t>（2024年12月至2025年2月）</w:t>
            </w:r>
            <w:r>
              <w:rPr>
                <w:rFonts w:hint="eastAsia"/>
                <w:highlight w:val="none"/>
              </w:rPr>
              <w:t>的社保管理机构的证明材料（如社保管理机构的查询机器打印件）</w:t>
            </w:r>
            <w:r>
              <w:rPr>
                <w:rFonts w:hint="eastAsia"/>
                <w:highlight w:val="none"/>
                <w:lang w:eastAsia="zh-CN"/>
              </w:rPr>
              <w:t>，</w:t>
            </w:r>
            <w:r>
              <w:rPr>
                <w:rFonts w:hint="eastAsia" w:ascii="宋体" w:hAnsi="宋体" w:cs="宋体"/>
                <w:color w:val="auto"/>
                <w:spacing w:val="-4"/>
                <w:sz w:val="21"/>
                <w:szCs w:val="21"/>
                <w:highlight w:val="none"/>
                <w:lang w:eastAsia="zh-CN"/>
              </w:rPr>
              <w:t>已退休人员可提供退休证明及返聘合同代替社保证明</w:t>
            </w:r>
            <w:r>
              <w:rPr>
                <w:rFonts w:hint="eastAsia"/>
                <w:highlight w:val="none"/>
              </w:rPr>
              <w:t>。</w:t>
            </w:r>
          </w:p>
          <w:p w14:paraId="33352999">
            <w:pPr>
              <w:topLinePunct/>
              <w:adjustRightInd w:val="0"/>
              <w:spacing w:line="380" w:lineRule="exact"/>
              <w:ind w:firstLine="420" w:firstLineChars="200"/>
              <w:rPr>
                <w:rFonts w:ascii="宋体" w:hAnsi="宋体"/>
                <w:sz w:val="24"/>
                <w:szCs w:val="24"/>
                <w:highlight w:val="none"/>
              </w:rPr>
            </w:pPr>
            <w:r>
              <w:rPr>
                <w:rFonts w:hint="eastAsia"/>
                <w:highlight w:val="none"/>
              </w:rPr>
              <w:t>4、上述人员变更的要求:(1)人员变更须经建设单位；(2)变更的人员具有与招标文件要求、投标文件承诺的同等资格条件，且符合有关管理法规要求的资格条件；（3）变更的人员必须是监理企业</w:t>
            </w:r>
            <w:r>
              <w:rPr>
                <w:rFonts w:hint="eastAsia"/>
                <w:highlight w:val="none"/>
                <w:lang w:val="en-US" w:eastAsia="zh-CN"/>
              </w:rPr>
              <w:t>在职</w:t>
            </w:r>
            <w:r>
              <w:rPr>
                <w:rFonts w:hint="eastAsia"/>
                <w:highlight w:val="none"/>
              </w:rPr>
              <w:t>员工（具有本企业购买至少近3个月的社保管理机构的证明材料、劳动合同），</w:t>
            </w:r>
            <w:r>
              <w:rPr>
                <w:rFonts w:hint="eastAsia"/>
                <w:highlight w:val="none"/>
                <w:lang w:eastAsia="zh-CN"/>
              </w:rPr>
              <w:t>已退休人员可提供退休证明及返聘合同代替社保证明</w:t>
            </w:r>
            <w:r>
              <w:rPr>
                <w:rFonts w:hint="eastAsia"/>
                <w:highlight w:val="none"/>
              </w:rPr>
              <w:t>；（4）向监督机构填报《建设工程项目管理班子变更情况报告表》并经审核同意。</w:t>
            </w:r>
          </w:p>
        </w:tc>
      </w:tr>
    </w:tbl>
    <w:p w14:paraId="76077C4E">
      <w:pPr>
        <w:autoSpaceDE w:val="0"/>
        <w:autoSpaceDN w:val="0"/>
        <w:adjustRightInd w:val="0"/>
        <w:spacing w:line="420" w:lineRule="exact"/>
        <w:jc w:val="center"/>
        <w:outlineLvl w:val="1"/>
        <w:rPr>
          <w:rFonts w:ascii="宋体" w:hAnsi="宋体" w:cs="黑体"/>
          <w:b/>
          <w:kern w:val="0"/>
          <w:sz w:val="30"/>
          <w:szCs w:val="30"/>
          <w:highlight w:val="none"/>
        </w:rPr>
      </w:pPr>
      <w:r>
        <w:rPr>
          <w:rFonts w:hint="eastAsia" w:ascii="宋体" w:hAnsi="宋体" w:cs="黑体"/>
          <w:b/>
          <w:kern w:val="0"/>
          <w:sz w:val="30"/>
          <w:szCs w:val="30"/>
          <w:highlight w:val="none"/>
        </w:rPr>
        <w:t>第二节 招标文件指导文本修改补充申报表</w:t>
      </w:r>
    </w:p>
    <w:p w14:paraId="51CDE223">
      <w:pPr>
        <w:jc w:val="left"/>
        <w:rPr>
          <w:rFonts w:ascii="宋体" w:hAnsi="宋体"/>
          <w:b/>
          <w:bCs/>
          <w:sz w:val="28"/>
          <w:szCs w:val="28"/>
          <w:highlight w:val="none"/>
        </w:rPr>
      </w:pPr>
    </w:p>
    <w:p w14:paraId="16B073E3">
      <w:pPr>
        <w:jc w:val="left"/>
        <w:rPr>
          <w:rFonts w:ascii="宋体" w:hAnsi="宋体"/>
          <w:sz w:val="28"/>
          <w:szCs w:val="28"/>
          <w:highlight w:val="none"/>
        </w:rPr>
      </w:pPr>
      <w:r>
        <w:rPr>
          <w:rFonts w:hint="eastAsia" w:ascii="宋体" w:hAnsi="宋体"/>
          <w:sz w:val="28"/>
          <w:szCs w:val="28"/>
          <w:highlight w:val="none"/>
        </w:rPr>
        <w:t>招标人按照范本编制招标文件。本表内容与其他部分有冲突时，以本表内容为准（但与相关法律、法规、政策相冲突的除外）。</w:t>
      </w:r>
    </w:p>
    <w:tbl>
      <w:tblPr>
        <w:tblStyle w:val="49"/>
        <w:tblpPr w:leftFromText="180" w:rightFromText="180" w:vertAnchor="text" w:horzAnchor="page" w:tblpX="1334" w:tblpY="93"/>
        <w:tblOverlap w:val="never"/>
        <w:tblW w:w="9200" w:type="dxa"/>
        <w:tblInd w:w="0" w:type="dxa"/>
        <w:tblLayout w:type="fixed"/>
        <w:tblCellMar>
          <w:top w:w="0" w:type="dxa"/>
          <w:left w:w="0" w:type="dxa"/>
          <w:bottom w:w="0" w:type="dxa"/>
          <w:right w:w="0" w:type="dxa"/>
        </w:tblCellMar>
      </w:tblPr>
      <w:tblGrid>
        <w:gridCol w:w="1000"/>
        <w:gridCol w:w="998"/>
        <w:gridCol w:w="4096"/>
        <w:gridCol w:w="3106"/>
      </w:tblGrid>
      <w:tr w14:paraId="51C291E7">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bottom"/>
          </w:tcPr>
          <w:p w14:paraId="5D6653E0">
            <w:pPr>
              <w:spacing w:line="0" w:lineRule="atLeast"/>
              <w:jc w:val="center"/>
              <w:rPr>
                <w:sz w:val="24"/>
                <w:highlight w:val="none"/>
              </w:rPr>
            </w:pPr>
            <w:r>
              <w:rPr>
                <w:rFonts w:hint="eastAsia" w:ascii="宋体" w:hAnsi="宋体"/>
                <w:sz w:val="24"/>
                <w:highlight w:val="none"/>
              </w:rPr>
              <w:t>序号</w:t>
            </w:r>
          </w:p>
        </w:tc>
        <w:tc>
          <w:tcPr>
            <w:tcW w:w="998" w:type="dxa"/>
            <w:tcBorders>
              <w:top w:val="single" w:color="auto" w:sz="4" w:space="0"/>
              <w:left w:val="single" w:color="auto" w:sz="4" w:space="0"/>
              <w:bottom w:val="single" w:color="auto" w:sz="4" w:space="0"/>
              <w:right w:val="single" w:color="auto" w:sz="4" w:space="0"/>
            </w:tcBorders>
            <w:vAlign w:val="bottom"/>
          </w:tcPr>
          <w:p w14:paraId="35D6C329">
            <w:pPr>
              <w:spacing w:line="0" w:lineRule="atLeast"/>
              <w:jc w:val="center"/>
              <w:rPr>
                <w:sz w:val="24"/>
                <w:highlight w:val="none"/>
              </w:rPr>
            </w:pPr>
            <w:r>
              <w:rPr>
                <w:rFonts w:hint="eastAsia"/>
                <w:sz w:val="24"/>
                <w:highlight w:val="none"/>
              </w:rPr>
              <w:t>章节条目</w:t>
            </w:r>
          </w:p>
        </w:tc>
        <w:tc>
          <w:tcPr>
            <w:tcW w:w="4096" w:type="dxa"/>
            <w:tcBorders>
              <w:top w:val="single" w:color="auto" w:sz="4" w:space="0"/>
              <w:left w:val="single" w:color="auto" w:sz="4" w:space="0"/>
              <w:bottom w:val="single" w:color="auto" w:sz="4" w:space="0"/>
              <w:right w:val="single" w:color="auto" w:sz="4" w:space="0"/>
            </w:tcBorders>
            <w:vAlign w:val="bottom"/>
          </w:tcPr>
          <w:p w14:paraId="2FCC496D">
            <w:pPr>
              <w:spacing w:line="0" w:lineRule="atLeast"/>
              <w:jc w:val="center"/>
              <w:rPr>
                <w:rFonts w:ascii="宋体" w:hAnsi="宋体"/>
                <w:sz w:val="24"/>
                <w:highlight w:val="none"/>
              </w:rPr>
            </w:pPr>
            <w:r>
              <w:rPr>
                <w:rFonts w:hint="eastAsia" w:ascii="宋体" w:hAnsi="宋体"/>
                <w:sz w:val="24"/>
                <w:highlight w:val="none"/>
              </w:rPr>
              <w:t>指导文本</w:t>
            </w:r>
            <w:r>
              <w:rPr>
                <w:rFonts w:ascii="宋体" w:hAnsi="宋体"/>
                <w:sz w:val="24"/>
                <w:highlight w:val="none"/>
              </w:rPr>
              <w:t>原文</w:t>
            </w:r>
          </w:p>
        </w:tc>
        <w:tc>
          <w:tcPr>
            <w:tcW w:w="3106" w:type="dxa"/>
            <w:tcBorders>
              <w:top w:val="single" w:color="auto" w:sz="4" w:space="0"/>
              <w:left w:val="single" w:color="auto" w:sz="4" w:space="0"/>
              <w:bottom w:val="single" w:color="auto" w:sz="4" w:space="0"/>
              <w:right w:val="single" w:color="auto" w:sz="4" w:space="0"/>
            </w:tcBorders>
            <w:vAlign w:val="bottom"/>
          </w:tcPr>
          <w:p w14:paraId="124D8EF9">
            <w:pPr>
              <w:spacing w:line="0" w:lineRule="atLeast"/>
              <w:jc w:val="center"/>
              <w:rPr>
                <w:rFonts w:ascii="宋体" w:hAnsi="宋体"/>
                <w:sz w:val="24"/>
                <w:highlight w:val="none"/>
              </w:rPr>
            </w:pPr>
            <w:r>
              <w:rPr>
                <w:rFonts w:hint="eastAsia" w:ascii="宋体" w:hAnsi="宋体"/>
                <w:sz w:val="24"/>
                <w:highlight w:val="none"/>
              </w:rPr>
              <w:t>拟修改、删除、补充内容</w:t>
            </w:r>
          </w:p>
        </w:tc>
      </w:tr>
      <w:tr w14:paraId="5822A8E4">
        <w:tblPrEx>
          <w:tblCellMar>
            <w:top w:w="0" w:type="dxa"/>
            <w:left w:w="0" w:type="dxa"/>
            <w:bottom w:w="0" w:type="dxa"/>
            <w:right w:w="0" w:type="dxa"/>
          </w:tblCellMar>
        </w:tblPrEx>
        <w:trPr>
          <w:trHeight w:val="550" w:hRule="atLeast"/>
        </w:trPr>
        <w:tc>
          <w:tcPr>
            <w:tcW w:w="1000" w:type="dxa"/>
            <w:tcBorders>
              <w:top w:val="single" w:color="auto" w:sz="4" w:space="0"/>
              <w:left w:val="single" w:color="auto" w:sz="4" w:space="0"/>
              <w:bottom w:val="single" w:color="auto" w:sz="4" w:space="0"/>
              <w:right w:val="single" w:color="auto" w:sz="4" w:space="0"/>
            </w:tcBorders>
            <w:vAlign w:val="center"/>
          </w:tcPr>
          <w:p w14:paraId="27F17606">
            <w:pPr>
              <w:spacing w:line="0" w:lineRule="atLeast"/>
              <w:jc w:val="center"/>
              <w:rPr>
                <w:rFonts w:eastAsia="Times New Roman"/>
                <w:sz w:val="24"/>
                <w:highlight w:val="none"/>
              </w:rPr>
            </w:pPr>
            <w:r>
              <w:rPr>
                <w:rFonts w:hint="eastAsia" w:ascii="宋体" w:hAnsi="宋体"/>
                <w:sz w:val="24"/>
                <w:highlight w:val="none"/>
                <w:lang w:val="en-US" w:eastAsia="zh-CN"/>
              </w:rPr>
              <w:t>1</w:t>
            </w:r>
          </w:p>
        </w:tc>
        <w:tc>
          <w:tcPr>
            <w:tcW w:w="998" w:type="dxa"/>
            <w:tcBorders>
              <w:top w:val="single" w:color="auto" w:sz="4" w:space="0"/>
              <w:left w:val="single" w:color="auto" w:sz="4" w:space="0"/>
              <w:bottom w:val="single" w:color="auto" w:sz="4" w:space="0"/>
              <w:right w:val="single" w:color="auto" w:sz="4" w:space="0"/>
            </w:tcBorders>
            <w:vAlign w:val="center"/>
          </w:tcPr>
          <w:p w14:paraId="192379D1">
            <w:pPr>
              <w:spacing w:line="0" w:lineRule="atLeast"/>
              <w:jc w:val="center"/>
              <w:rPr>
                <w:rFonts w:eastAsia="Times New Roman"/>
                <w:sz w:val="24"/>
                <w:highlight w:val="none"/>
              </w:rPr>
            </w:pPr>
            <w:r>
              <w:rPr>
                <w:rFonts w:hint="default" w:ascii="宋体" w:hAnsi="宋体" w:eastAsia="宋体" w:cs="宋体"/>
                <w:sz w:val="21"/>
                <w:szCs w:val="21"/>
                <w:highlight w:val="none"/>
                <w:lang w:val="en-US" w:eastAsia="zh-CN"/>
              </w:rPr>
              <w:t xml:space="preserve">第一章 </w:t>
            </w:r>
            <w:r>
              <w:rPr>
                <w:rFonts w:hint="default" w:ascii="宋体" w:hAnsi="宋体" w:eastAsia="宋体" w:cs="宋体"/>
                <w:sz w:val="21"/>
                <w:szCs w:val="21"/>
                <w:highlight w:val="none"/>
              </w:rPr>
              <w:t>获取招标文件的方式</w:t>
            </w:r>
          </w:p>
        </w:tc>
        <w:tc>
          <w:tcPr>
            <w:tcW w:w="4096" w:type="dxa"/>
            <w:tcBorders>
              <w:top w:val="single" w:color="auto" w:sz="4" w:space="0"/>
              <w:left w:val="single" w:color="auto" w:sz="4" w:space="0"/>
              <w:bottom w:val="single" w:color="auto" w:sz="4" w:space="0"/>
              <w:right w:val="single" w:color="auto" w:sz="4" w:space="0"/>
            </w:tcBorders>
            <w:vAlign w:val="center"/>
          </w:tcPr>
          <w:p w14:paraId="71B7826F">
            <w:pPr>
              <w:spacing w:line="0" w:lineRule="atLeast"/>
              <w:jc w:val="both"/>
              <w:rPr>
                <w:rFonts w:ascii="黑体" w:hAnsi="黑体" w:eastAsia="黑体"/>
                <w:sz w:val="18"/>
                <w:highlight w:val="none"/>
              </w:rPr>
            </w:pPr>
            <w:r>
              <w:rPr>
                <w:rFonts w:hint="eastAsia" w:ascii="宋体" w:hAnsi="宋体" w:eastAsia="宋体"/>
                <w:sz w:val="21"/>
                <w:szCs w:val="21"/>
                <w:highlight w:val="none"/>
              </w:rPr>
              <w:t>投标人自行登录广东省公共资源交易平台（茂名市）网站（https://ygp.gdzwfw.gov.cn/ggzy-portal/#/440900/index）首页“建设工程-招标公告”，下载招标文件及相关资料。符合本项目资格要求的投标人根据招标文件要求编制投标文件，可直接参与本项目的投标。</w:t>
            </w:r>
          </w:p>
        </w:tc>
        <w:tc>
          <w:tcPr>
            <w:tcW w:w="3106" w:type="dxa"/>
            <w:tcBorders>
              <w:top w:val="single" w:color="auto" w:sz="4" w:space="0"/>
              <w:left w:val="single" w:color="auto" w:sz="4" w:space="0"/>
              <w:bottom w:val="single" w:color="auto" w:sz="4" w:space="0"/>
              <w:right w:val="single" w:color="auto" w:sz="4" w:space="0"/>
            </w:tcBorders>
            <w:vAlign w:val="center"/>
          </w:tcPr>
          <w:p w14:paraId="5D091694">
            <w:pPr>
              <w:spacing w:line="0" w:lineRule="atLeast"/>
              <w:jc w:val="center"/>
              <w:rPr>
                <w:rFonts w:ascii="宋体" w:hAnsi="宋体"/>
                <w:sz w:val="18"/>
                <w:highlight w:val="none"/>
              </w:rPr>
            </w:pPr>
            <w:r>
              <w:rPr>
                <w:rFonts w:hint="eastAsia" w:ascii="宋体" w:hAnsi="宋体"/>
                <w:sz w:val="21"/>
                <w:szCs w:val="21"/>
                <w:highlight w:val="none"/>
              </w:rPr>
              <w:t>广州交易集团有限公司（广州公共资源交易中心）网站（http//www.gzggzy.cn）</w:t>
            </w:r>
          </w:p>
        </w:tc>
      </w:tr>
      <w:tr w14:paraId="08EEC11F">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14:paraId="2282F467">
            <w:pPr>
              <w:spacing w:line="0" w:lineRule="atLeast"/>
              <w:jc w:val="center"/>
              <w:rPr>
                <w:rFonts w:eastAsia="Times New Roman"/>
                <w:sz w:val="24"/>
                <w:highlight w:val="none"/>
              </w:rPr>
            </w:pPr>
            <w:r>
              <w:rPr>
                <w:rFonts w:hint="eastAsia" w:eastAsia="宋体"/>
                <w:sz w:val="21"/>
                <w:szCs w:val="21"/>
                <w:highlight w:val="none"/>
                <w:lang w:val="en-US" w:eastAsia="zh-CN"/>
              </w:rPr>
              <w:t>2</w:t>
            </w:r>
          </w:p>
        </w:tc>
        <w:tc>
          <w:tcPr>
            <w:tcW w:w="998" w:type="dxa"/>
            <w:tcBorders>
              <w:top w:val="single" w:color="auto" w:sz="4" w:space="0"/>
              <w:left w:val="single" w:color="auto" w:sz="4" w:space="0"/>
              <w:bottom w:val="single" w:color="auto" w:sz="4" w:space="0"/>
              <w:right w:val="single" w:color="auto" w:sz="4" w:space="0"/>
            </w:tcBorders>
            <w:vAlign w:val="center"/>
          </w:tcPr>
          <w:p w14:paraId="27853E79">
            <w:pPr>
              <w:spacing w:line="0" w:lineRule="atLeast"/>
              <w:jc w:val="center"/>
              <w:rPr>
                <w:rFonts w:eastAsia="Times New Roman"/>
                <w:sz w:val="24"/>
                <w:highlight w:val="none"/>
              </w:rPr>
            </w:pPr>
            <w:r>
              <w:rPr>
                <w:rFonts w:ascii="宋体" w:hAnsi="宋体" w:eastAsia="宋体" w:cs="宋体"/>
                <w:sz w:val="21"/>
                <w:szCs w:val="21"/>
                <w:highlight w:val="none"/>
              </w:rPr>
              <w:t>第二章第一节3.4.1条款</w:t>
            </w:r>
          </w:p>
        </w:tc>
        <w:tc>
          <w:tcPr>
            <w:tcW w:w="4096" w:type="dxa"/>
            <w:tcBorders>
              <w:top w:val="single" w:color="auto" w:sz="4" w:space="0"/>
              <w:left w:val="single" w:color="auto" w:sz="4" w:space="0"/>
              <w:bottom w:val="single" w:color="auto" w:sz="4" w:space="0"/>
              <w:right w:val="single" w:color="auto" w:sz="4" w:space="0"/>
            </w:tcBorders>
            <w:vAlign w:val="center"/>
          </w:tcPr>
          <w:p w14:paraId="6E187A53">
            <w:pPr>
              <w:tabs>
                <w:tab w:val="left" w:pos="540"/>
              </w:tabs>
              <w:spacing w:line="280" w:lineRule="exact"/>
              <w:rPr>
                <w:rFonts w:ascii="宋体" w:hAnsi="宋体"/>
                <w:b/>
                <w:sz w:val="21"/>
                <w:szCs w:val="21"/>
                <w:highlight w:val="none"/>
              </w:rPr>
            </w:pPr>
            <w:r>
              <w:rPr>
                <w:rFonts w:hint="eastAsia" w:ascii="宋体" w:hAnsi="宋体"/>
                <w:sz w:val="21"/>
                <w:szCs w:val="21"/>
                <w:highlight w:val="none"/>
              </w:rPr>
              <w:t>本项目投标保证金的金额：</w:t>
            </w:r>
            <w:r>
              <w:rPr>
                <w:rFonts w:hint="eastAsia" w:ascii="宋体" w:hAnsi="宋体"/>
                <w:b/>
                <w:sz w:val="21"/>
                <w:szCs w:val="21"/>
                <w:highlight w:val="none"/>
                <w:u w:val="single"/>
              </w:rPr>
              <w:t>人民币     元整（</w:t>
            </w:r>
            <w:r>
              <w:rPr>
                <w:rFonts w:hint="eastAsia" w:ascii="宋体" w:hAnsi="宋体" w:cs="宋体"/>
                <w:b/>
                <w:kern w:val="0"/>
                <w:sz w:val="21"/>
                <w:szCs w:val="21"/>
                <w:highlight w:val="none"/>
                <w:u w:val="single"/>
              </w:rPr>
              <w:t>￥     元</w:t>
            </w:r>
            <w:r>
              <w:rPr>
                <w:rFonts w:hint="eastAsia" w:ascii="宋体" w:hAnsi="宋体"/>
                <w:b/>
                <w:sz w:val="21"/>
                <w:szCs w:val="21"/>
                <w:highlight w:val="none"/>
                <w:u w:val="single"/>
              </w:rPr>
              <w:t>）</w:t>
            </w:r>
            <w:r>
              <w:rPr>
                <w:rFonts w:hint="eastAsia" w:ascii="宋体" w:hAnsi="宋体"/>
                <w:b/>
                <w:sz w:val="21"/>
                <w:szCs w:val="21"/>
                <w:highlight w:val="none"/>
              </w:rPr>
              <w:t>。</w:t>
            </w:r>
          </w:p>
          <w:p w14:paraId="5982EE2E">
            <w:pPr>
              <w:tabs>
                <w:tab w:val="left" w:pos="540"/>
              </w:tabs>
              <w:spacing w:line="280" w:lineRule="exact"/>
              <w:rPr>
                <w:rFonts w:ascii="宋体" w:hAnsi="宋体"/>
                <w:b/>
                <w:sz w:val="21"/>
                <w:szCs w:val="21"/>
                <w:highlight w:val="none"/>
              </w:rPr>
            </w:pPr>
            <w:r>
              <w:rPr>
                <w:rFonts w:hint="eastAsia" w:ascii="宋体" w:hAnsi="宋体"/>
                <w:b/>
                <w:sz w:val="21"/>
                <w:szCs w:val="21"/>
                <w:highlight w:val="none"/>
              </w:rPr>
              <w:t>（一般不得超过投标总价的2％，最高不得超过50万元）</w:t>
            </w:r>
          </w:p>
          <w:p w14:paraId="5CD6700B">
            <w:pPr>
              <w:pStyle w:val="219"/>
              <w:autoSpaceDE w:val="0"/>
              <w:autoSpaceDN w:val="0"/>
              <w:spacing w:line="280" w:lineRule="exact"/>
              <w:ind w:left="63" w:leftChars="30"/>
              <w:rPr>
                <w:b/>
                <w:bCs/>
                <w:sz w:val="21"/>
                <w:szCs w:val="21"/>
                <w:highlight w:val="none"/>
              </w:rPr>
            </w:pPr>
            <w:r>
              <w:rPr>
                <w:rFonts w:hint="eastAsia"/>
                <w:b/>
                <w:bCs/>
                <w:sz w:val="21"/>
                <w:szCs w:val="21"/>
                <w:highlight w:val="none"/>
              </w:rPr>
              <w:t xml:space="preserve"> 投标人选择以下四种任一种方式递交投标保证金。</w:t>
            </w:r>
          </w:p>
          <w:p w14:paraId="64073AD5">
            <w:pPr>
              <w:rPr>
                <w:highlight w:val="none"/>
              </w:rPr>
            </w:pPr>
            <w:r>
              <w:rPr>
                <w:rFonts w:hint="eastAsia"/>
                <w:sz w:val="21"/>
                <w:szCs w:val="21"/>
                <w:highlight w:val="none"/>
              </w:rPr>
              <w:t>1、电子保函的形式。投标人（联合体企业由牵头人）通过广东省公共资源交易平台（茂名市）</w:t>
            </w:r>
          </w:p>
          <w:p w14:paraId="30402D87">
            <w:pPr>
              <w:pStyle w:val="219"/>
              <w:autoSpaceDE w:val="0"/>
              <w:autoSpaceDN w:val="0"/>
              <w:spacing w:line="280" w:lineRule="exact"/>
              <w:ind w:left="63" w:leftChars="30"/>
              <w:rPr>
                <w:b/>
                <w:bCs/>
                <w:sz w:val="21"/>
                <w:szCs w:val="21"/>
                <w:highlight w:val="none"/>
              </w:rPr>
            </w:pPr>
            <w:r>
              <w:rPr>
                <w:rFonts w:hint="eastAsia" w:ascii="宋体" w:hAnsi="宋体" w:cs="宋体"/>
                <w:bCs/>
                <w:spacing w:val="10"/>
                <w:sz w:val="21"/>
                <w:szCs w:val="21"/>
                <w:highlight w:val="none"/>
              </w:rPr>
              <w:t>（https://ygp.gdzwfw.gov.cn/ggzy-portal/#/440900/index）</w:t>
            </w:r>
            <w:r>
              <w:rPr>
                <w:rFonts w:hint="eastAsia"/>
                <w:sz w:val="21"/>
                <w:szCs w:val="21"/>
                <w:highlight w:val="none"/>
              </w:rPr>
              <w:t>点击进入茂名市公共资源交易平台后，点击“保证金系统”栏目进行系统登录，选择所投项目（请认真核对项目名称、进场编号）进行电子保函申请，按相关操作步骤提交电子保函申请，且必须于</w:t>
            </w:r>
            <w:r>
              <w:rPr>
                <w:rFonts w:hint="eastAsia"/>
                <w:b/>
                <w:bCs/>
                <w:sz w:val="21"/>
                <w:szCs w:val="21"/>
                <w:highlight w:val="none"/>
              </w:rPr>
              <w:t>年月日日时分</w:t>
            </w:r>
            <w:r>
              <w:rPr>
                <w:rFonts w:hint="eastAsia"/>
                <w:sz w:val="21"/>
                <w:szCs w:val="21"/>
                <w:highlight w:val="none"/>
              </w:rPr>
              <w:t>前出函成功，否则所产生的后果自负。</w:t>
            </w:r>
            <w:r>
              <w:rPr>
                <w:rFonts w:hint="eastAsia"/>
                <w:b/>
                <w:bCs/>
                <w:sz w:val="21"/>
                <w:szCs w:val="21"/>
                <w:highlight w:val="none"/>
              </w:rPr>
              <w:t>（注：申请成功后，将电子保函下载打印并装订在投标文件中。）</w:t>
            </w:r>
          </w:p>
          <w:p w14:paraId="60B6D613">
            <w:pPr>
              <w:rPr>
                <w:highlight w:val="none"/>
              </w:rPr>
            </w:pPr>
            <w:r>
              <w:rPr>
                <w:rFonts w:hint="eastAsia"/>
                <w:sz w:val="21"/>
                <w:szCs w:val="21"/>
                <w:highlight w:val="none"/>
              </w:rPr>
              <w:t>2、银行转账形式。投标人（联合体企业由牵头人）在广东省公共资源交易平台（茂名市）</w:t>
            </w:r>
          </w:p>
          <w:p w14:paraId="2B2B6854">
            <w:pPr>
              <w:pStyle w:val="219"/>
              <w:autoSpaceDE w:val="0"/>
              <w:autoSpaceDN w:val="0"/>
              <w:spacing w:line="280" w:lineRule="exact"/>
              <w:ind w:left="63" w:leftChars="30"/>
              <w:rPr>
                <w:b/>
                <w:bCs/>
                <w:sz w:val="21"/>
                <w:szCs w:val="21"/>
                <w:highlight w:val="none"/>
              </w:rPr>
            </w:pPr>
            <w:r>
              <w:rPr>
                <w:rFonts w:hint="eastAsia" w:ascii="宋体" w:hAnsi="宋体" w:cs="宋体"/>
                <w:bCs/>
                <w:spacing w:val="10"/>
                <w:sz w:val="21"/>
                <w:szCs w:val="21"/>
                <w:highlight w:val="none"/>
              </w:rPr>
              <w:t>（https://ygp.gdzwfw.gov.cn/ggzy-portal/#/440900/index）</w:t>
            </w:r>
            <w:r>
              <w:rPr>
                <w:rFonts w:hint="eastAsia"/>
                <w:sz w:val="21"/>
                <w:szCs w:val="21"/>
                <w:highlight w:val="none"/>
              </w:rPr>
              <w:t>点击进入茂名市公共资源电子交易平台后，点击“保证金系统”栏目进行系统登录，对所投项目（请认真核对项目名称、进场编号）进行投标保证金账号申请，获取系统随机生成的保证金账号后按时足额交纳投标保证金。投标保证金需以转账方式从公司银行基本账户一次性提交，提交保证金的账户应与系统注册时的公司银行基本账户一致，且必须于</w:t>
            </w:r>
            <w:r>
              <w:rPr>
                <w:rFonts w:hint="eastAsia"/>
                <w:b/>
                <w:bCs/>
                <w:sz w:val="21"/>
                <w:szCs w:val="21"/>
                <w:highlight w:val="none"/>
              </w:rPr>
              <w:t>年月日日时分</w:t>
            </w:r>
            <w:r>
              <w:rPr>
                <w:rFonts w:hint="eastAsia"/>
                <w:sz w:val="21"/>
                <w:szCs w:val="21"/>
                <w:highlight w:val="none"/>
              </w:rPr>
              <w:t xml:space="preserve">前到账，否则所产生的后果自负。 </w:t>
            </w:r>
            <w:r>
              <w:rPr>
                <w:rFonts w:hint="eastAsia"/>
                <w:b/>
                <w:bCs/>
                <w:sz w:val="21"/>
                <w:szCs w:val="21"/>
                <w:highlight w:val="none"/>
              </w:rPr>
              <w:t>（注：投标保证金逾期到账或未汇入指定账户（子账户）的，按未递交保证金处理。）</w:t>
            </w:r>
          </w:p>
          <w:p w14:paraId="35F0659A">
            <w:pPr>
              <w:pStyle w:val="219"/>
              <w:autoSpaceDE w:val="0"/>
              <w:autoSpaceDN w:val="0"/>
              <w:spacing w:line="280" w:lineRule="exact"/>
              <w:ind w:left="63" w:leftChars="30"/>
              <w:rPr>
                <w:sz w:val="21"/>
                <w:szCs w:val="21"/>
                <w:highlight w:val="none"/>
              </w:rPr>
            </w:pPr>
            <w:r>
              <w:rPr>
                <w:rFonts w:hint="eastAsia"/>
                <w:sz w:val="21"/>
                <w:szCs w:val="21"/>
                <w:highlight w:val="none"/>
              </w:rPr>
              <w:t>3、纸质银行保函形式。投标人（联合体企业由牵头人）在注册地所在地级市范围内或所在省（自治区、直辖市）人民政府所在地城市的国有商业银行或股份制商业银行开具本项目的投标保证金银行保函，且使用本招标文件提供的版本。</w:t>
            </w:r>
            <w:r>
              <w:rPr>
                <w:rFonts w:hint="eastAsia"/>
                <w:b/>
                <w:bCs/>
                <w:sz w:val="21"/>
                <w:szCs w:val="21"/>
                <w:highlight w:val="none"/>
              </w:rPr>
              <w:t>（注：投标保证金银行投标保函，有效期与投标有效期一致或长于投标有效期，开标时须提交银行投标保函原件，其复印件装订在投标文件中。）</w:t>
            </w:r>
          </w:p>
          <w:p w14:paraId="3EB4C09A">
            <w:pPr>
              <w:pStyle w:val="219"/>
              <w:autoSpaceDE w:val="0"/>
              <w:autoSpaceDN w:val="0"/>
              <w:spacing w:line="280" w:lineRule="exact"/>
              <w:ind w:left="63" w:leftChars="30"/>
              <w:rPr>
                <w:b/>
                <w:bCs/>
                <w:sz w:val="21"/>
                <w:szCs w:val="21"/>
                <w:highlight w:val="none"/>
              </w:rPr>
            </w:pPr>
            <w:r>
              <w:rPr>
                <w:rFonts w:hint="eastAsia"/>
                <w:sz w:val="21"/>
                <w:szCs w:val="21"/>
                <w:highlight w:val="none"/>
              </w:rPr>
              <w:t xml:space="preserve">4、纸质保证保险形式。投标人（联合体企业由牵头人）提供保险公司出具的投标保证保险保函，且使用本招标文件提供的版本。 </w:t>
            </w:r>
            <w:r>
              <w:rPr>
                <w:rFonts w:hint="eastAsia"/>
                <w:b/>
                <w:bCs/>
                <w:sz w:val="21"/>
                <w:szCs w:val="21"/>
                <w:highlight w:val="none"/>
              </w:rPr>
              <w:t>（注：保险公司的投标保证保险保函有效期等于或长于投标有效期，开标时须提交投标保证保险保函原件，其复印件装订在投标文件中。）</w:t>
            </w:r>
          </w:p>
          <w:p w14:paraId="7044E1EE">
            <w:pPr>
              <w:pStyle w:val="219"/>
              <w:autoSpaceDE w:val="0"/>
              <w:autoSpaceDN w:val="0"/>
              <w:spacing w:line="280" w:lineRule="exact"/>
              <w:ind w:left="63" w:leftChars="30" w:firstLine="422" w:firstLineChars="200"/>
              <w:rPr>
                <w:b/>
                <w:bCs/>
                <w:sz w:val="21"/>
                <w:szCs w:val="21"/>
                <w:highlight w:val="none"/>
              </w:rPr>
            </w:pPr>
            <w:r>
              <w:rPr>
                <w:rFonts w:hint="eastAsia"/>
                <w:b/>
                <w:bCs/>
                <w:sz w:val="21"/>
                <w:szCs w:val="21"/>
                <w:highlight w:val="none"/>
              </w:rPr>
              <w:t>为进一步创新招投标工作、优化营商环境工作，建议投标人采用以下方式递交投标保证金：</w:t>
            </w:r>
          </w:p>
          <w:p w14:paraId="016AB58F">
            <w:pPr>
              <w:pStyle w:val="219"/>
              <w:autoSpaceDE w:val="0"/>
              <w:autoSpaceDN w:val="0"/>
              <w:spacing w:line="280" w:lineRule="exact"/>
              <w:ind w:left="63" w:leftChars="30"/>
              <w:rPr>
                <w:b/>
                <w:bCs/>
                <w:sz w:val="21"/>
                <w:szCs w:val="21"/>
                <w:highlight w:val="none"/>
              </w:rPr>
            </w:pPr>
            <w:r>
              <w:rPr>
                <w:rFonts w:hint="eastAsia"/>
                <w:b/>
                <w:bCs/>
                <w:sz w:val="21"/>
                <w:szCs w:val="21"/>
                <w:highlight w:val="none"/>
              </w:rPr>
              <w:t>1、电子保函的形式；</w:t>
            </w:r>
          </w:p>
          <w:p w14:paraId="55048B39">
            <w:pPr>
              <w:spacing w:line="204" w:lineRule="exact"/>
              <w:ind w:left="80" w:leftChars="0"/>
              <w:jc w:val="center"/>
              <w:rPr>
                <w:rFonts w:ascii="黑体" w:hAnsi="黑体" w:eastAsia="黑体"/>
                <w:sz w:val="18"/>
                <w:highlight w:val="none"/>
              </w:rPr>
            </w:pPr>
            <w:r>
              <w:rPr>
                <w:rFonts w:hint="eastAsia"/>
                <w:b/>
                <w:bCs/>
                <w:sz w:val="21"/>
                <w:szCs w:val="21"/>
                <w:highlight w:val="none"/>
              </w:rPr>
              <w:t>2、银行转账形式。</w:t>
            </w:r>
          </w:p>
        </w:tc>
        <w:tc>
          <w:tcPr>
            <w:tcW w:w="3106" w:type="dxa"/>
            <w:tcBorders>
              <w:top w:val="single" w:color="auto" w:sz="4" w:space="0"/>
              <w:left w:val="single" w:color="auto" w:sz="4" w:space="0"/>
              <w:bottom w:val="single" w:color="auto" w:sz="4" w:space="0"/>
              <w:right w:val="single" w:color="auto" w:sz="4" w:space="0"/>
            </w:tcBorders>
            <w:vAlign w:val="center"/>
          </w:tcPr>
          <w:p w14:paraId="75957081">
            <w:pPr>
              <w:spacing w:line="204" w:lineRule="exact"/>
              <w:ind w:left="100" w:leftChars="0"/>
              <w:jc w:val="center"/>
              <w:rPr>
                <w:rFonts w:ascii="宋体" w:hAnsi="宋体"/>
                <w:sz w:val="18"/>
                <w:highlight w:val="none"/>
              </w:rPr>
            </w:pPr>
            <w:r>
              <w:rPr>
                <w:rFonts w:hint="eastAsia" w:ascii="宋体" w:hAnsi="宋体"/>
                <w:sz w:val="21"/>
                <w:szCs w:val="21"/>
                <w:highlight w:val="none"/>
              </w:rPr>
              <w:t>本项目不收投标保证金。</w:t>
            </w:r>
          </w:p>
        </w:tc>
      </w:tr>
      <w:bookmarkEnd w:id="2"/>
    </w:tbl>
    <w:p w14:paraId="4D42BAD1">
      <w:pPr>
        <w:spacing w:line="600" w:lineRule="exact"/>
        <w:jc w:val="center"/>
        <w:outlineLvl w:val="1"/>
        <w:rPr>
          <w:rFonts w:ascii="宋体" w:hAnsi="宋体"/>
          <w:b/>
          <w:sz w:val="32"/>
          <w:szCs w:val="32"/>
          <w:highlight w:val="none"/>
        </w:rPr>
      </w:pPr>
      <w:r>
        <w:rPr>
          <w:rFonts w:hint="eastAsia" w:ascii="宋体" w:hAnsi="宋体"/>
          <w:b/>
          <w:sz w:val="32"/>
          <w:szCs w:val="32"/>
          <w:highlight w:val="none"/>
        </w:rPr>
        <w:br w:type="page"/>
      </w:r>
      <w:r>
        <w:rPr>
          <w:rFonts w:hint="eastAsia" w:ascii="宋体" w:hAnsi="宋体"/>
          <w:b/>
          <w:sz w:val="32"/>
          <w:szCs w:val="32"/>
          <w:highlight w:val="none"/>
        </w:rPr>
        <w:t>第三节   投标人须知</w:t>
      </w:r>
    </w:p>
    <w:p w14:paraId="48B72A4B">
      <w:pPr>
        <w:spacing w:line="700" w:lineRule="exact"/>
        <w:rPr>
          <w:rFonts w:ascii="宋体" w:hAnsi="宋体"/>
          <w:b/>
          <w:sz w:val="30"/>
          <w:szCs w:val="30"/>
          <w:highlight w:val="none"/>
        </w:rPr>
      </w:pPr>
      <w:r>
        <w:rPr>
          <w:rFonts w:hint="eastAsia" w:ascii="宋体" w:hAnsi="宋体"/>
          <w:b/>
          <w:sz w:val="30"/>
          <w:szCs w:val="30"/>
          <w:highlight w:val="none"/>
        </w:rPr>
        <w:t>1.总  则</w:t>
      </w:r>
    </w:p>
    <w:p w14:paraId="4675197A">
      <w:pPr>
        <w:spacing w:line="460" w:lineRule="exact"/>
        <w:rPr>
          <w:rFonts w:ascii="宋体" w:hAnsi="宋体"/>
          <w:b/>
          <w:sz w:val="24"/>
          <w:szCs w:val="24"/>
          <w:highlight w:val="none"/>
        </w:rPr>
      </w:pPr>
      <w:r>
        <w:rPr>
          <w:rFonts w:ascii="宋体" w:hAnsi="宋体"/>
          <w:b/>
          <w:sz w:val="24"/>
          <w:szCs w:val="24"/>
          <w:highlight w:val="none"/>
        </w:rPr>
        <w:t>1.1</w:t>
      </w:r>
      <w:r>
        <w:rPr>
          <w:rFonts w:hint="eastAsia" w:ascii="宋体" w:hAnsi="宋体"/>
          <w:b/>
          <w:sz w:val="24"/>
          <w:szCs w:val="24"/>
          <w:highlight w:val="none"/>
        </w:rPr>
        <w:t xml:space="preserve"> 项目说明</w:t>
      </w:r>
    </w:p>
    <w:p w14:paraId="177C35B7">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 xml:space="preserve">1.1.1 </w:t>
      </w:r>
      <w:r>
        <w:rPr>
          <w:rFonts w:hint="eastAsia" w:ascii="宋体" w:hAnsi="宋体" w:cs="宋体"/>
          <w:kern w:val="0"/>
          <w:sz w:val="24"/>
          <w:szCs w:val="24"/>
          <w:highlight w:val="none"/>
        </w:rPr>
        <w:t>根据《中华人民共和国招标投标法》等有关法律、法规和规章的规定，本招标项目已具备招标条件，现对本标段施工监理进行招标。</w:t>
      </w:r>
    </w:p>
    <w:p w14:paraId="75E4286B">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 xml:space="preserve">1.1.2 </w:t>
      </w:r>
      <w:r>
        <w:rPr>
          <w:rFonts w:hint="eastAsia" w:ascii="宋体" w:hAnsi="宋体" w:cs="宋体"/>
          <w:kern w:val="0"/>
          <w:sz w:val="24"/>
          <w:szCs w:val="24"/>
          <w:highlight w:val="none"/>
        </w:rPr>
        <w:t>本招标项目招标人：见投标人须知前附表。</w:t>
      </w:r>
    </w:p>
    <w:p w14:paraId="68902F14">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 xml:space="preserve">1.1.3 </w:t>
      </w:r>
      <w:r>
        <w:rPr>
          <w:rFonts w:hint="eastAsia" w:ascii="宋体" w:hAnsi="宋体" w:cs="宋体"/>
          <w:kern w:val="0"/>
          <w:sz w:val="24"/>
          <w:szCs w:val="24"/>
          <w:highlight w:val="none"/>
        </w:rPr>
        <w:t>本招标项目招标代理机构：见投标人须知前附表。</w:t>
      </w:r>
    </w:p>
    <w:p w14:paraId="357249BE">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 xml:space="preserve">1.1.4 </w:t>
      </w:r>
      <w:r>
        <w:rPr>
          <w:rFonts w:hint="eastAsia" w:ascii="宋体" w:hAnsi="宋体" w:cs="宋体"/>
          <w:kern w:val="0"/>
          <w:sz w:val="24"/>
          <w:szCs w:val="24"/>
          <w:highlight w:val="none"/>
        </w:rPr>
        <w:t>本招标项目名称：见投标人须知前附表。</w:t>
      </w:r>
    </w:p>
    <w:p w14:paraId="26238426">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 xml:space="preserve">1.1.5 </w:t>
      </w:r>
      <w:r>
        <w:rPr>
          <w:rFonts w:hint="eastAsia" w:ascii="宋体" w:hAnsi="宋体" w:cs="宋体"/>
          <w:kern w:val="0"/>
          <w:sz w:val="24"/>
          <w:szCs w:val="24"/>
          <w:highlight w:val="none"/>
        </w:rPr>
        <w:t>本招标项目建设地点：见投标人须知前附表。</w:t>
      </w:r>
    </w:p>
    <w:p w14:paraId="3BD413AB">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TimesNewRomanPSMT"/>
          <w:kern w:val="0"/>
          <w:sz w:val="24"/>
          <w:szCs w:val="24"/>
          <w:highlight w:val="none"/>
        </w:rPr>
        <w:t>1.1.</w:t>
      </w:r>
      <w:r>
        <w:rPr>
          <w:rFonts w:hint="eastAsia" w:ascii="宋体" w:hAnsi="宋体" w:cs="TimesNewRomanPSMT"/>
          <w:kern w:val="0"/>
          <w:sz w:val="24"/>
          <w:szCs w:val="24"/>
          <w:highlight w:val="none"/>
        </w:rPr>
        <w:t>6本招标项目概况：</w:t>
      </w:r>
      <w:r>
        <w:rPr>
          <w:rFonts w:hint="eastAsia" w:ascii="宋体" w:hAnsi="宋体" w:cs="宋体"/>
          <w:kern w:val="0"/>
          <w:sz w:val="24"/>
          <w:szCs w:val="24"/>
          <w:highlight w:val="none"/>
        </w:rPr>
        <w:t>见投标人须知前附表。</w:t>
      </w:r>
    </w:p>
    <w:p w14:paraId="0E63D6F5">
      <w:pPr>
        <w:autoSpaceDE w:val="0"/>
        <w:autoSpaceDN w:val="0"/>
        <w:adjustRightInd w:val="0"/>
        <w:spacing w:line="460" w:lineRule="exact"/>
        <w:ind w:firstLine="480" w:firstLineChars="200"/>
        <w:rPr>
          <w:rFonts w:ascii="宋体" w:hAnsi="宋体" w:cs="TimesNewRomanPSMT"/>
          <w:kern w:val="0"/>
          <w:sz w:val="24"/>
          <w:szCs w:val="24"/>
          <w:highlight w:val="none"/>
        </w:rPr>
      </w:pPr>
      <w:r>
        <w:rPr>
          <w:rFonts w:hint="eastAsia" w:ascii="宋体" w:hAnsi="宋体" w:cs="TimesNewRomanPSMT"/>
          <w:kern w:val="0"/>
          <w:sz w:val="24"/>
          <w:szCs w:val="24"/>
          <w:highlight w:val="none"/>
        </w:rPr>
        <w:t>1.1.7 本项目</w:t>
      </w:r>
      <w:r>
        <w:rPr>
          <w:rFonts w:ascii="宋体" w:hAnsi="宋体"/>
          <w:sz w:val="24"/>
          <w:szCs w:val="24"/>
          <w:highlight w:val="none"/>
        </w:rPr>
        <w:t>监理机构</w:t>
      </w:r>
      <w:r>
        <w:rPr>
          <w:rFonts w:hint="eastAsia" w:ascii="宋体" w:hAnsi="宋体"/>
          <w:sz w:val="24"/>
          <w:szCs w:val="24"/>
          <w:highlight w:val="none"/>
        </w:rPr>
        <w:t>设置：</w:t>
      </w:r>
      <w:r>
        <w:rPr>
          <w:rFonts w:hint="eastAsia" w:ascii="宋体" w:hAnsi="宋体" w:cs="宋体"/>
          <w:kern w:val="0"/>
          <w:sz w:val="24"/>
          <w:szCs w:val="24"/>
          <w:highlight w:val="none"/>
        </w:rPr>
        <w:t>见投标人须知前附表。</w:t>
      </w:r>
    </w:p>
    <w:p w14:paraId="0E3561D3">
      <w:pPr>
        <w:autoSpaceDE w:val="0"/>
        <w:autoSpaceDN w:val="0"/>
        <w:adjustRightInd w:val="0"/>
        <w:spacing w:line="460" w:lineRule="exact"/>
        <w:ind w:firstLine="480" w:firstLineChars="200"/>
        <w:rPr>
          <w:rFonts w:ascii="楷体_GB2312" w:eastAsia="楷体_GB2312"/>
          <w:b/>
          <w:spacing w:val="-2"/>
          <w:sz w:val="24"/>
          <w:szCs w:val="24"/>
          <w:highlight w:val="none"/>
        </w:rPr>
      </w:pPr>
      <w:r>
        <w:rPr>
          <w:rFonts w:hint="eastAsia" w:ascii="宋体" w:hAnsi="宋体" w:cs="TimesNewRomanPSMT"/>
          <w:kern w:val="0"/>
          <w:sz w:val="24"/>
          <w:szCs w:val="24"/>
          <w:highlight w:val="none"/>
        </w:rPr>
        <w:t>1.1.8 本招标项目</w:t>
      </w:r>
      <w:r>
        <w:rPr>
          <w:rFonts w:hint="eastAsia" w:ascii="宋体" w:hAnsi="宋体"/>
          <w:sz w:val="24"/>
          <w:szCs w:val="24"/>
          <w:highlight w:val="none"/>
        </w:rPr>
        <w:t>资金来源：</w:t>
      </w:r>
      <w:r>
        <w:rPr>
          <w:rFonts w:hint="eastAsia" w:ascii="宋体" w:hAnsi="宋体" w:cs="宋体"/>
          <w:kern w:val="0"/>
          <w:sz w:val="24"/>
          <w:szCs w:val="24"/>
          <w:highlight w:val="none"/>
        </w:rPr>
        <w:t>见投标人须知前附表。</w:t>
      </w:r>
    </w:p>
    <w:p w14:paraId="078552C8">
      <w:pPr>
        <w:autoSpaceDE w:val="0"/>
        <w:autoSpaceDN w:val="0"/>
        <w:adjustRightInd w:val="0"/>
        <w:spacing w:beforeLines="100" w:afterLines="30" w:line="460" w:lineRule="exact"/>
        <w:jc w:val="left"/>
        <w:rPr>
          <w:rFonts w:ascii="宋体" w:hAnsi="宋体"/>
          <w:b/>
          <w:sz w:val="24"/>
          <w:szCs w:val="24"/>
          <w:highlight w:val="none"/>
        </w:rPr>
      </w:pPr>
      <w:r>
        <w:rPr>
          <w:rFonts w:hint="eastAsia" w:ascii="宋体" w:hAnsi="宋体"/>
          <w:b/>
          <w:sz w:val="24"/>
          <w:szCs w:val="24"/>
          <w:highlight w:val="none"/>
        </w:rPr>
        <w:t>1.2 招标范围、计划工期和质量要求</w:t>
      </w:r>
    </w:p>
    <w:p w14:paraId="6A6C0FD5">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1.2.1 本次招标范围：见投标人须知前附表。</w:t>
      </w:r>
    </w:p>
    <w:p w14:paraId="3E503985">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1.2.2 监理服务阶段：见投标人须知前附表。</w:t>
      </w:r>
    </w:p>
    <w:p w14:paraId="77EB1D57">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1.2.3 监理工作范围：见投标人须知前附表。</w:t>
      </w:r>
    </w:p>
    <w:p w14:paraId="58CEA0F3">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1.2.4 监理质量要求</w:t>
      </w:r>
      <w:r>
        <w:rPr>
          <w:rFonts w:ascii="宋体" w:hAnsi="宋体"/>
          <w:sz w:val="24"/>
          <w:szCs w:val="24"/>
          <w:highlight w:val="none"/>
        </w:rPr>
        <w:t>：</w:t>
      </w:r>
      <w:r>
        <w:rPr>
          <w:rFonts w:hint="eastAsia" w:ascii="宋体" w:hAnsi="宋体"/>
          <w:sz w:val="24"/>
          <w:szCs w:val="24"/>
          <w:highlight w:val="none"/>
        </w:rPr>
        <w:t>见投标人须知前附表。</w:t>
      </w:r>
    </w:p>
    <w:p w14:paraId="164B2C28">
      <w:pPr>
        <w:autoSpaceDE w:val="0"/>
        <w:autoSpaceDN w:val="0"/>
        <w:adjustRightInd w:val="0"/>
        <w:spacing w:beforeLines="100" w:afterLines="30" w:line="460" w:lineRule="exact"/>
        <w:jc w:val="left"/>
        <w:rPr>
          <w:rFonts w:ascii="宋体" w:hAnsi="宋体"/>
          <w:b/>
          <w:sz w:val="24"/>
          <w:szCs w:val="24"/>
          <w:highlight w:val="none"/>
        </w:rPr>
      </w:pPr>
      <w:r>
        <w:rPr>
          <w:rFonts w:ascii="宋体" w:hAnsi="宋体"/>
          <w:b/>
          <w:sz w:val="24"/>
          <w:szCs w:val="24"/>
          <w:highlight w:val="none"/>
        </w:rPr>
        <w:t>1.</w:t>
      </w:r>
      <w:r>
        <w:rPr>
          <w:rFonts w:hint="eastAsia" w:ascii="宋体" w:hAnsi="宋体"/>
          <w:b/>
          <w:sz w:val="24"/>
          <w:szCs w:val="24"/>
          <w:highlight w:val="none"/>
        </w:rPr>
        <w:t>3建设工期和监理服务期：</w:t>
      </w:r>
      <w:r>
        <w:rPr>
          <w:rFonts w:hint="eastAsia" w:ascii="宋体" w:hAnsi="宋体"/>
          <w:sz w:val="24"/>
          <w:szCs w:val="24"/>
          <w:highlight w:val="none"/>
        </w:rPr>
        <w:t>见投标人须知前附表。</w:t>
      </w:r>
    </w:p>
    <w:p w14:paraId="6101A2FD">
      <w:pPr>
        <w:autoSpaceDE w:val="0"/>
        <w:autoSpaceDN w:val="0"/>
        <w:adjustRightInd w:val="0"/>
        <w:spacing w:beforeLines="100" w:line="460" w:lineRule="exact"/>
        <w:jc w:val="left"/>
        <w:rPr>
          <w:rFonts w:ascii="宋体" w:hAnsi="宋体"/>
          <w:b/>
          <w:sz w:val="24"/>
          <w:szCs w:val="24"/>
          <w:highlight w:val="none"/>
        </w:rPr>
      </w:pPr>
      <w:r>
        <w:rPr>
          <w:rFonts w:hint="eastAsia" w:ascii="宋体" w:hAnsi="宋体"/>
          <w:b/>
          <w:sz w:val="24"/>
          <w:szCs w:val="24"/>
          <w:highlight w:val="none"/>
        </w:rPr>
        <w:t>1.4 投标人的资格要求</w:t>
      </w:r>
    </w:p>
    <w:p w14:paraId="43D20700">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1.4.1 投标人应具备承担本标段施工监理的资质条件、能力和信誉。</w:t>
      </w:r>
    </w:p>
    <w:p w14:paraId="6CC33B6E">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（1）资质要求：见投标人须知前附表；</w:t>
      </w:r>
    </w:p>
    <w:p w14:paraId="57F5A819">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（2）信誉要求：见投标人须知前附表；</w:t>
      </w:r>
    </w:p>
    <w:p w14:paraId="2F5A74A1">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（3）业绩要求：见投标人须知前附表；</w:t>
      </w:r>
    </w:p>
    <w:p w14:paraId="24EDD481">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（4）财务要求：见投标人须知前附表；</w:t>
      </w:r>
    </w:p>
    <w:p w14:paraId="20193EA3">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（5）人员要求：见投标人须知前附表；</w:t>
      </w:r>
    </w:p>
    <w:p w14:paraId="2452CD3C">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 xml:space="preserve">1.4.2 </w:t>
      </w:r>
      <w:r>
        <w:rPr>
          <w:rFonts w:hint="eastAsia" w:ascii="宋体" w:hAnsi="宋体" w:cs="宋体"/>
          <w:kern w:val="0"/>
          <w:sz w:val="24"/>
          <w:highlight w:val="none"/>
        </w:rPr>
        <w:t>本招标项目是否接受联合体投标见投标人须知前附表。</w:t>
      </w:r>
    </w:p>
    <w:p w14:paraId="4A30A9CA">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1.4.3 投标人不得存在下列情形之一：</w:t>
      </w:r>
    </w:p>
    <w:p w14:paraId="055595AF">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（1）与招标人存在利害关系可能影响招标公正性的法人、其他组织或个人；</w:t>
      </w:r>
    </w:p>
    <w:p w14:paraId="3FB8A196">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（2）单位负责人为同一人或者存在控股、管理关系的不同申请人，同时参加本次招标项目投标；</w:t>
      </w:r>
    </w:p>
    <w:p w14:paraId="4F4D6D32">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（3）与本标段的施工承包人、代建人或招标代理机构有隶属关系；</w:t>
      </w:r>
    </w:p>
    <w:p w14:paraId="626B4218">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（4）与本标段的施工承包人、代建人或招标代理机构同为一个法定代表人的；</w:t>
      </w:r>
    </w:p>
    <w:p w14:paraId="5465C7F7">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（5）与本标段的施工承包人、代建人或招标代理机构相互控股或参股的；</w:t>
      </w:r>
    </w:p>
    <w:p w14:paraId="087F64EC">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（6）与本标段的施工承包人、代建人或招标代理机构相互任职或工作的；</w:t>
      </w:r>
    </w:p>
    <w:p w14:paraId="7B499D89">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（7）被责令停业的；</w:t>
      </w:r>
    </w:p>
    <w:p w14:paraId="18DA485D">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（8）被暂停或取消投标资格的；</w:t>
      </w:r>
    </w:p>
    <w:p w14:paraId="5B2B9641">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（9）财产被接管、冻结或破产的；</w:t>
      </w:r>
    </w:p>
    <w:p w14:paraId="0B28BD03">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（10）在最近三年内有弄虚作假骗取中标、围标串标或严重违约等的；</w:t>
      </w:r>
    </w:p>
    <w:p w14:paraId="7F8CD661">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sz w:val="24"/>
          <w:szCs w:val="24"/>
          <w:highlight w:val="none"/>
        </w:rPr>
        <w:t>（11）“信用中国” 网站（www.creditchina.gov.cn)查询：投标人被列为严重失信主体或拖欠农民工工资失信联合惩戒对象或被人民法院列为失信被执行人的。</w:t>
      </w:r>
    </w:p>
    <w:p w14:paraId="4ED1F823">
      <w:pPr>
        <w:autoSpaceDE w:val="0"/>
        <w:autoSpaceDN w:val="0"/>
        <w:adjustRightInd w:val="0"/>
        <w:spacing w:beforeLines="100" w:line="460" w:lineRule="exact"/>
        <w:jc w:val="left"/>
        <w:rPr>
          <w:rFonts w:ascii="宋体" w:hAnsi="宋体"/>
          <w:b/>
          <w:sz w:val="24"/>
          <w:szCs w:val="24"/>
          <w:highlight w:val="none"/>
        </w:rPr>
      </w:pPr>
      <w:r>
        <w:rPr>
          <w:rFonts w:hint="eastAsia" w:ascii="宋体" w:hAnsi="宋体"/>
          <w:b/>
          <w:sz w:val="24"/>
          <w:szCs w:val="24"/>
          <w:highlight w:val="none"/>
        </w:rPr>
        <w:t xml:space="preserve">1.5 </w:t>
      </w:r>
      <w:r>
        <w:rPr>
          <w:rFonts w:ascii="宋体" w:hAnsi="宋体"/>
          <w:b/>
          <w:sz w:val="24"/>
          <w:szCs w:val="24"/>
          <w:highlight w:val="none"/>
        </w:rPr>
        <w:t>投标费用</w:t>
      </w:r>
    </w:p>
    <w:p w14:paraId="10CD319B">
      <w:pPr>
        <w:autoSpaceDE w:val="0"/>
        <w:autoSpaceDN w:val="0"/>
        <w:adjustRightInd w:val="0"/>
        <w:spacing w:line="460" w:lineRule="exact"/>
        <w:ind w:firstLine="480" w:firstLineChars="200"/>
        <w:jc w:val="left"/>
        <w:rPr>
          <w:rFonts w:ascii="宋体" w:hAnsi="宋体"/>
          <w:b/>
          <w:sz w:val="24"/>
          <w:szCs w:val="24"/>
          <w:highlight w:val="none"/>
        </w:rPr>
      </w:pPr>
      <w:r>
        <w:rPr>
          <w:rFonts w:ascii="宋体" w:hAnsi="宋体"/>
          <w:sz w:val="24"/>
          <w:szCs w:val="24"/>
          <w:highlight w:val="none"/>
        </w:rPr>
        <w:t>不论中标与否，投标人在投标过程中的一切费用均由投标人自行承担。</w:t>
      </w:r>
    </w:p>
    <w:p w14:paraId="624C52CF">
      <w:pPr>
        <w:autoSpaceDE w:val="0"/>
        <w:autoSpaceDN w:val="0"/>
        <w:adjustRightInd w:val="0"/>
        <w:spacing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1.6 </w:t>
      </w:r>
      <w:r>
        <w:rPr>
          <w:rFonts w:hint="eastAsia" w:ascii="宋体" w:hAnsi="宋体" w:cs="TimesNewRomanPSMT"/>
          <w:b/>
          <w:kern w:val="0"/>
          <w:sz w:val="24"/>
          <w:highlight w:val="none"/>
        </w:rPr>
        <w:t>保密</w:t>
      </w:r>
    </w:p>
    <w:p w14:paraId="60C7EAEA">
      <w:pPr>
        <w:autoSpaceDE w:val="0"/>
        <w:autoSpaceDN w:val="0"/>
        <w:adjustRightInd w:val="0"/>
        <w:spacing w:line="46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参与招标投标活动的各方应对招标文件和投标文件中的商业和技术等秘密保密，违者应对由此造成的后果承担法律责任。</w:t>
      </w:r>
    </w:p>
    <w:p w14:paraId="79121913">
      <w:pPr>
        <w:autoSpaceDE w:val="0"/>
        <w:autoSpaceDN w:val="0"/>
        <w:adjustRightInd w:val="0"/>
        <w:spacing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1.7 </w:t>
      </w:r>
      <w:r>
        <w:rPr>
          <w:rFonts w:hint="eastAsia" w:ascii="宋体" w:hAnsi="宋体" w:cs="TimesNewRomanPSMT"/>
          <w:b/>
          <w:kern w:val="0"/>
          <w:sz w:val="24"/>
          <w:highlight w:val="none"/>
        </w:rPr>
        <w:t>语言文字</w:t>
      </w:r>
    </w:p>
    <w:p w14:paraId="10B395E8">
      <w:pPr>
        <w:autoSpaceDE w:val="0"/>
        <w:autoSpaceDN w:val="0"/>
        <w:adjustRightInd w:val="0"/>
        <w:spacing w:line="460" w:lineRule="exact"/>
        <w:ind w:firstLine="464" w:firstLineChars="200"/>
        <w:rPr>
          <w:rFonts w:ascii="宋体" w:hAnsi="宋体" w:cs="宋体"/>
          <w:spacing w:val="-4"/>
          <w:kern w:val="0"/>
          <w:sz w:val="24"/>
          <w:highlight w:val="none"/>
        </w:rPr>
      </w:pPr>
      <w:r>
        <w:rPr>
          <w:rFonts w:hint="eastAsia" w:ascii="宋体" w:hAnsi="宋体" w:cs="宋体"/>
          <w:spacing w:val="-4"/>
          <w:kern w:val="0"/>
          <w:sz w:val="24"/>
          <w:highlight w:val="none"/>
        </w:rPr>
        <w:t>除专用术语外，与招标投标有关的语言均使用中文。必要时专用术语应附有中文注释。</w:t>
      </w:r>
    </w:p>
    <w:p w14:paraId="23E271D4">
      <w:pPr>
        <w:autoSpaceDE w:val="0"/>
        <w:autoSpaceDN w:val="0"/>
        <w:adjustRightInd w:val="0"/>
        <w:spacing w:beforeLines="100" w:line="460" w:lineRule="exact"/>
        <w:jc w:val="left"/>
        <w:rPr>
          <w:rFonts w:ascii="宋体" w:hAnsi="宋体"/>
          <w:b/>
          <w:sz w:val="24"/>
          <w:szCs w:val="24"/>
          <w:highlight w:val="none"/>
        </w:rPr>
      </w:pPr>
      <w:r>
        <w:rPr>
          <w:rFonts w:ascii="宋体" w:hAnsi="宋体"/>
          <w:b/>
          <w:sz w:val="24"/>
          <w:szCs w:val="24"/>
          <w:highlight w:val="none"/>
        </w:rPr>
        <w:t xml:space="preserve">1.8 </w:t>
      </w:r>
      <w:r>
        <w:rPr>
          <w:rFonts w:hint="eastAsia" w:ascii="宋体" w:hAnsi="宋体"/>
          <w:b/>
          <w:sz w:val="24"/>
          <w:szCs w:val="24"/>
          <w:highlight w:val="none"/>
        </w:rPr>
        <w:t xml:space="preserve">计量单位   </w:t>
      </w:r>
      <w:r>
        <w:rPr>
          <w:rFonts w:hint="eastAsia" w:ascii="宋体" w:hAnsi="宋体" w:cs="宋体"/>
          <w:kern w:val="0"/>
          <w:sz w:val="24"/>
          <w:highlight w:val="none"/>
        </w:rPr>
        <w:t>所有计量均采用中华人民共和国法定计量单位。</w:t>
      </w:r>
    </w:p>
    <w:p w14:paraId="2308A78C">
      <w:pPr>
        <w:autoSpaceDE w:val="0"/>
        <w:autoSpaceDN w:val="0"/>
        <w:adjustRightInd w:val="0"/>
        <w:spacing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1.9 </w:t>
      </w:r>
      <w:r>
        <w:rPr>
          <w:rFonts w:hint="eastAsia" w:ascii="宋体" w:hAnsi="宋体" w:cs="TimesNewRomanPSMT"/>
          <w:b/>
          <w:kern w:val="0"/>
          <w:sz w:val="24"/>
          <w:highlight w:val="none"/>
        </w:rPr>
        <w:t>踏勘现场</w:t>
      </w:r>
    </w:p>
    <w:p w14:paraId="693B64DC">
      <w:pPr>
        <w:tabs>
          <w:tab w:val="left" w:pos="540"/>
        </w:tabs>
        <w:spacing w:line="460" w:lineRule="exact"/>
        <w:ind w:firstLine="480" w:firstLineChars="200"/>
        <w:rPr>
          <w:rFonts w:ascii="宋体" w:hAnsi="宋体" w:cs="宋体"/>
          <w:kern w:val="0"/>
          <w:sz w:val="24"/>
          <w:highlight w:val="none"/>
        </w:rPr>
      </w:pPr>
      <w:r>
        <w:rPr>
          <w:rFonts w:ascii="宋体" w:hAnsi="宋体" w:cs="宋体"/>
          <w:kern w:val="0"/>
          <w:sz w:val="24"/>
          <w:highlight w:val="none"/>
        </w:rPr>
        <w:t>1.9.1</w:t>
      </w:r>
      <w:r>
        <w:rPr>
          <w:rFonts w:hint="eastAsia" w:ascii="宋体" w:hAnsi="宋体" w:cs="宋体"/>
          <w:kern w:val="0"/>
          <w:sz w:val="24"/>
          <w:highlight w:val="none"/>
        </w:rPr>
        <w:t>投标人可按工程的建设地点自行踏勘项目现场，所发生的费用由投标人自理。</w:t>
      </w:r>
    </w:p>
    <w:p w14:paraId="0AFEE626">
      <w:pPr>
        <w:autoSpaceDE w:val="0"/>
        <w:autoSpaceDN w:val="0"/>
        <w:adjustRightInd w:val="0"/>
        <w:spacing w:line="460" w:lineRule="exact"/>
        <w:ind w:firstLine="480" w:firstLineChars="200"/>
        <w:rPr>
          <w:rFonts w:ascii="宋体" w:hAnsi="宋体" w:cs="宋体"/>
          <w:spacing w:val="-2"/>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 xml:space="preserve">2 </w:t>
      </w:r>
      <w:r>
        <w:rPr>
          <w:rFonts w:hint="eastAsia" w:ascii="宋体" w:hAnsi="宋体" w:cs="宋体"/>
          <w:spacing w:val="-2"/>
          <w:kern w:val="0"/>
          <w:sz w:val="24"/>
          <w:highlight w:val="none"/>
        </w:rPr>
        <w:t>投标人自负在踏勘现场中所发生的人员伤亡和财产损失。</w:t>
      </w:r>
    </w:p>
    <w:p w14:paraId="784408E4">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3 投标人自行</w:t>
      </w:r>
      <w:r>
        <w:rPr>
          <w:rFonts w:hint="eastAsia" w:ascii="宋体" w:hAnsi="宋体" w:cs="宋体"/>
          <w:spacing w:val="-2"/>
          <w:kern w:val="0"/>
          <w:sz w:val="24"/>
          <w:highlight w:val="none"/>
        </w:rPr>
        <w:t>踏勘现场</w:t>
      </w:r>
      <w:r>
        <w:rPr>
          <w:rFonts w:hint="eastAsia" w:ascii="宋体" w:hAnsi="宋体" w:cs="宋体"/>
          <w:kern w:val="0"/>
          <w:sz w:val="24"/>
          <w:highlight w:val="none"/>
        </w:rPr>
        <w:t>所了解的工程场地和相关的周边环境情况，只作为投标人在编制投标文件时的主观考虑，招标人不对投标人据此作出的判断和决策负责。</w:t>
      </w:r>
    </w:p>
    <w:p w14:paraId="2213D423">
      <w:pPr>
        <w:autoSpaceDE w:val="0"/>
        <w:autoSpaceDN w:val="0"/>
        <w:adjustRightInd w:val="0"/>
        <w:spacing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1.10 </w:t>
      </w:r>
      <w:r>
        <w:rPr>
          <w:rFonts w:hint="eastAsia" w:ascii="宋体" w:hAnsi="宋体" w:cs="TimesNewRomanPSMT"/>
          <w:b/>
          <w:kern w:val="0"/>
          <w:sz w:val="24"/>
          <w:highlight w:val="none"/>
        </w:rPr>
        <w:t>投标预备会</w:t>
      </w:r>
    </w:p>
    <w:p w14:paraId="3FD035FA">
      <w:pPr>
        <w:spacing w:line="400" w:lineRule="exact"/>
        <w:ind w:firstLine="480" w:firstLineChars="200"/>
        <w:rPr>
          <w:rFonts w:ascii="宋体" w:hAnsi="宋体"/>
          <w:sz w:val="24"/>
          <w:szCs w:val="24"/>
          <w:highlight w:val="none"/>
        </w:rPr>
      </w:pPr>
      <w:bookmarkStart w:id="6" w:name="_Toc223227485"/>
      <w:r>
        <w:rPr>
          <w:rFonts w:ascii="宋体" w:hAnsi="宋体"/>
          <w:sz w:val="24"/>
          <w:szCs w:val="24"/>
          <w:highlight w:val="none"/>
        </w:rPr>
        <w:t>1.10.1</w:t>
      </w:r>
      <w:r>
        <w:rPr>
          <w:rFonts w:hint="eastAsia" w:ascii="宋体" w:hAnsi="宋体"/>
          <w:sz w:val="24"/>
          <w:szCs w:val="24"/>
          <w:highlight w:val="none"/>
        </w:rPr>
        <w:t xml:space="preserve"> 招标过程通过网络平台发送招标信息，招标人将不再召开投标预备会。投标人如对本项目招标文件有疑问的，以不署名的电子文档形式通过</w:t>
      </w:r>
      <w:r>
        <w:rPr>
          <w:rFonts w:hint="eastAsia" w:ascii="宋体" w:hAnsi="宋体"/>
          <w:spacing w:val="-2"/>
          <w:sz w:val="24"/>
          <w:szCs w:val="24"/>
          <w:highlight w:val="none"/>
        </w:rPr>
        <w:t>广州交易集团有限公司（广州公共资源交易中心）</w:t>
      </w:r>
      <w:r>
        <w:rPr>
          <w:rFonts w:hint="eastAsia" w:ascii="宋体" w:hAnsi="宋体"/>
          <w:snapToGrid w:val="0"/>
          <w:spacing w:val="-20"/>
          <w:kern w:val="20"/>
          <w:sz w:val="24"/>
          <w:szCs w:val="24"/>
          <w:highlight w:val="none"/>
        </w:rPr>
        <w:t>（http://www.gzggzy.cn/）</w:t>
      </w:r>
      <w:r>
        <w:rPr>
          <w:rFonts w:hint="eastAsia" w:ascii="宋体" w:hAnsi="宋体"/>
          <w:spacing w:val="-2"/>
          <w:sz w:val="24"/>
          <w:szCs w:val="24"/>
          <w:highlight w:val="none"/>
        </w:rPr>
        <w:t>提出</w:t>
      </w:r>
      <w:r>
        <w:rPr>
          <w:rFonts w:hint="eastAsia" w:ascii="宋体" w:hAnsi="宋体"/>
          <w:sz w:val="24"/>
          <w:szCs w:val="24"/>
          <w:highlight w:val="none"/>
        </w:rPr>
        <w:t>。</w:t>
      </w:r>
    </w:p>
    <w:p w14:paraId="2699AB14">
      <w:pPr>
        <w:spacing w:line="400" w:lineRule="exact"/>
        <w:ind w:firstLine="480" w:firstLineChars="200"/>
        <w:rPr>
          <w:rFonts w:ascii="宋体" w:hAnsi="宋体"/>
          <w:sz w:val="24"/>
          <w:szCs w:val="24"/>
          <w:highlight w:val="none"/>
        </w:rPr>
      </w:pPr>
      <w:r>
        <w:rPr>
          <w:rFonts w:ascii="宋体" w:hAnsi="宋体"/>
          <w:sz w:val="24"/>
          <w:szCs w:val="24"/>
          <w:highlight w:val="none"/>
        </w:rPr>
        <w:t xml:space="preserve">1.10.2 </w:t>
      </w:r>
      <w:r>
        <w:rPr>
          <w:rFonts w:hint="eastAsia" w:ascii="宋体" w:hAnsi="宋体"/>
          <w:sz w:val="24"/>
          <w:szCs w:val="24"/>
          <w:highlight w:val="none"/>
        </w:rPr>
        <w:t>投标人应在投标人须知前附表规定的时间前，将提出的问题发送到</w:t>
      </w:r>
      <w:r>
        <w:rPr>
          <w:rFonts w:hint="eastAsia" w:ascii="宋体" w:hAnsi="宋体"/>
          <w:spacing w:val="-2"/>
          <w:sz w:val="24"/>
          <w:szCs w:val="24"/>
          <w:highlight w:val="none"/>
        </w:rPr>
        <w:t>广州交易集团有限公司（广州公共资源交易中心）</w:t>
      </w:r>
      <w:r>
        <w:rPr>
          <w:rFonts w:hint="eastAsia" w:ascii="宋体" w:hAnsi="宋体"/>
          <w:snapToGrid w:val="0"/>
          <w:spacing w:val="-20"/>
          <w:kern w:val="20"/>
          <w:sz w:val="24"/>
          <w:szCs w:val="24"/>
          <w:highlight w:val="none"/>
        </w:rPr>
        <w:t>（http://www.gzggzy.cn/）</w:t>
      </w:r>
      <w:r>
        <w:rPr>
          <w:rFonts w:hint="eastAsia" w:ascii="宋体" w:hAnsi="宋体"/>
          <w:sz w:val="24"/>
          <w:szCs w:val="24"/>
          <w:highlight w:val="none"/>
        </w:rPr>
        <w:t>，以便招标人通过网络发出澄清通知。该澄清通知的内容为招标文件的组成部分。</w:t>
      </w:r>
    </w:p>
    <w:p w14:paraId="373563D3">
      <w:pPr>
        <w:autoSpaceDE w:val="0"/>
        <w:autoSpaceDN w:val="0"/>
        <w:adjustRightInd w:val="0"/>
        <w:spacing w:beforeLines="100" w:line="460" w:lineRule="exact"/>
        <w:jc w:val="left"/>
        <w:rPr>
          <w:rFonts w:ascii="宋体" w:hAnsi="宋体" w:cs="TimesNewRomanPSMT"/>
          <w:b/>
          <w:kern w:val="0"/>
          <w:sz w:val="24"/>
          <w:highlight w:val="none"/>
        </w:rPr>
      </w:pPr>
      <w:r>
        <w:rPr>
          <w:rFonts w:hint="eastAsia" w:ascii="宋体" w:hAnsi="宋体" w:cs="TimesNewRomanPSMT"/>
          <w:b/>
          <w:kern w:val="0"/>
          <w:sz w:val="24"/>
          <w:highlight w:val="none"/>
        </w:rPr>
        <w:t>1.11 分包</w:t>
      </w:r>
      <w:bookmarkEnd w:id="6"/>
    </w:p>
    <w:p w14:paraId="4920ACF0">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本标段招标分包要求：见投标人须知前附表。</w:t>
      </w:r>
    </w:p>
    <w:p w14:paraId="000F23A8">
      <w:pPr>
        <w:autoSpaceDE w:val="0"/>
        <w:autoSpaceDN w:val="0"/>
        <w:adjustRightInd w:val="0"/>
        <w:spacing w:beforeLines="100" w:line="460" w:lineRule="exact"/>
        <w:jc w:val="left"/>
        <w:rPr>
          <w:rFonts w:ascii="宋体" w:hAnsi="宋体" w:cs="TimesNewRomanPSMT"/>
          <w:b/>
          <w:kern w:val="0"/>
          <w:sz w:val="24"/>
          <w:highlight w:val="none"/>
        </w:rPr>
      </w:pPr>
      <w:bookmarkStart w:id="7" w:name="_Toc223227486"/>
      <w:r>
        <w:rPr>
          <w:rFonts w:hint="eastAsia" w:ascii="宋体" w:hAnsi="宋体" w:cs="TimesNewRomanPSMT"/>
          <w:b/>
          <w:kern w:val="0"/>
          <w:sz w:val="24"/>
          <w:highlight w:val="none"/>
        </w:rPr>
        <w:t>1.12 偏离</w:t>
      </w:r>
      <w:bookmarkEnd w:id="7"/>
    </w:p>
    <w:p w14:paraId="6499BF1F">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本标段招标关于重大偏离：</w:t>
      </w:r>
    </w:p>
    <w:p w14:paraId="0B632112">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1、未按招标文件要求的时间和地点递交投标文件的；</w:t>
      </w:r>
    </w:p>
    <w:p w14:paraId="1D450146">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2</w:t>
      </w:r>
      <w:r>
        <w:rPr>
          <w:rFonts w:hint="eastAsia" w:ascii="宋体" w:hAnsi="宋体" w:cs="宋体"/>
          <w:kern w:val="0"/>
          <w:sz w:val="24"/>
          <w:highlight w:val="none"/>
        </w:rPr>
        <w:t>、投标人的法定代表人或</w:t>
      </w:r>
      <w:r>
        <w:rPr>
          <w:rFonts w:hint="eastAsia" w:ascii="宋体" w:hAnsi="宋体" w:eastAsia="宋体" w:cs="宋体"/>
          <w:i w:val="0"/>
          <w:color w:val="auto"/>
          <w:sz w:val="24"/>
          <w:szCs w:val="24"/>
          <w:highlight w:val="none"/>
          <w:u w:val="none"/>
          <w:lang w:bidi="ar"/>
        </w:rPr>
        <w:t>委托代理人</w:t>
      </w:r>
      <w:r>
        <w:rPr>
          <w:rFonts w:hint="eastAsia" w:ascii="宋体" w:hAnsi="宋体" w:cs="宋体"/>
          <w:kern w:val="0"/>
          <w:sz w:val="24"/>
          <w:highlight w:val="none"/>
        </w:rPr>
        <w:t>未按照规定参加开标，但招标文件另有规定的除外；</w:t>
      </w:r>
    </w:p>
    <w:p w14:paraId="35CD5D5E">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3</w:t>
      </w:r>
      <w:r>
        <w:rPr>
          <w:rFonts w:hint="eastAsia" w:ascii="宋体" w:hAnsi="宋体" w:cs="宋体"/>
          <w:kern w:val="0"/>
          <w:sz w:val="24"/>
          <w:highlight w:val="none"/>
        </w:rPr>
        <w:t>、投标文件未按本招标文件的相关规定进行密封、标记，或没有投标人企业法定代表人或其</w:t>
      </w:r>
      <w:r>
        <w:rPr>
          <w:rFonts w:hint="eastAsia" w:ascii="宋体" w:hAnsi="宋体" w:eastAsia="宋体" w:cs="宋体"/>
          <w:i w:val="0"/>
          <w:color w:val="auto"/>
          <w:sz w:val="24"/>
          <w:szCs w:val="24"/>
          <w:highlight w:val="none"/>
          <w:u w:val="none"/>
          <w:lang w:bidi="ar"/>
        </w:rPr>
        <w:t>委托代理人</w:t>
      </w:r>
      <w:r>
        <w:rPr>
          <w:rFonts w:hint="eastAsia" w:ascii="宋体" w:hAnsi="宋体" w:cs="宋体"/>
          <w:kern w:val="0"/>
          <w:sz w:val="24"/>
          <w:highlight w:val="none"/>
        </w:rPr>
        <w:t>签章的；</w:t>
      </w:r>
    </w:p>
    <w:p w14:paraId="2D7D8014">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4</w:t>
      </w:r>
      <w:r>
        <w:rPr>
          <w:rFonts w:hint="eastAsia" w:ascii="宋体" w:hAnsi="宋体" w:cs="宋体"/>
          <w:kern w:val="0"/>
          <w:sz w:val="24"/>
          <w:highlight w:val="none"/>
        </w:rPr>
        <w:t>、投标文件未按招标文件的相关规定加盖投标人企业公章，或没有投标人企业法定代表人或其</w:t>
      </w:r>
      <w:r>
        <w:rPr>
          <w:rFonts w:hint="eastAsia" w:ascii="宋体" w:hAnsi="宋体" w:cs="宋体"/>
          <w:kern w:val="0"/>
          <w:sz w:val="24"/>
          <w:highlight w:val="none"/>
          <w:lang w:eastAsia="zh-CN"/>
        </w:rPr>
        <w:t>委托代理人</w:t>
      </w:r>
      <w:r>
        <w:rPr>
          <w:rFonts w:hint="eastAsia" w:ascii="宋体" w:hAnsi="宋体" w:cs="宋体"/>
          <w:kern w:val="0"/>
          <w:sz w:val="24"/>
          <w:highlight w:val="none"/>
          <w:lang w:val="en-US" w:eastAsia="zh-CN"/>
        </w:rPr>
        <w:t>签署</w:t>
      </w:r>
      <w:r>
        <w:rPr>
          <w:rFonts w:hint="eastAsia" w:ascii="宋体" w:hAnsi="宋体" w:cs="宋体"/>
          <w:kern w:val="0"/>
          <w:sz w:val="24"/>
          <w:highlight w:val="none"/>
        </w:rPr>
        <w:t>的；</w:t>
      </w:r>
    </w:p>
    <w:p w14:paraId="4F985BBC">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5</w:t>
      </w:r>
      <w:r>
        <w:rPr>
          <w:rFonts w:hint="eastAsia" w:ascii="宋体" w:hAnsi="宋体" w:cs="宋体"/>
          <w:kern w:val="0"/>
          <w:sz w:val="24"/>
          <w:highlight w:val="none"/>
        </w:rPr>
        <w:t>、当投标文件的签署为投标人企业法定代表人的授权委托代理人时，监理投标文件中没有投标人企业法定代表人的授权委托书原件的；</w:t>
      </w:r>
    </w:p>
    <w:p w14:paraId="131695F3">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6</w:t>
      </w:r>
      <w:r>
        <w:rPr>
          <w:rFonts w:hint="eastAsia" w:ascii="宋体" w:hAnsi="宋体" w:cs="宋体"/>
          <w:kern w:val="0"/>
          <w:sz w:val="24"/>
          <w:highlight w:val="none"/>
        </w:rPr>
        <w:t>、投标文件未按照招标文件规定的格式编制，主要内容不够完整或关键字迹无法辨认；</w:t>
      </w:r>
    </w:p>
    <w:p w14:paraId="73976EA5">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7</w:t>
      </w:r>
      <w:r>
        <w:rPr>
          <w:rFonts w:hint="eastAsia" w:ascii="宋体" w:hAnsi="宋体" w:cs="宋体"/>
          <w:kern w:val="0"/>
          <w:sz w:val="24"/>
          <w:highlight w:val="none"/>
        </w:rPr>
        <w:t>、投标人以他人的名义投标或有弄虚作假投标嫌疑，或出现上述围标或串标情形的；</w:t>
      </w:r>
    </w:p>
    <w:p w14:paraId="579320D1">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hint="eastAsia" w:ascii="宋体" w:hAnsi="宋体" w:cs="宋体"/>
          <w:kern w:val="0"/>
          <w:sz w:val="24"/>
          <w:highlight w:val="none"/>
        </w:rPr>
        <w:t>、投标人拟派驻的总监的任职资格条件不符合国家有关规定的；</w:t>
      </w:r>
    </w:p>
    <w:p w14:paraId="6E1B7069">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9</w:t>
      </w:r>
      <w:r>
        <w:rPr>
          <w:rFonts w:hint="eastAsia" w:ascii="宋体" w:hAnsi="宋体" w:cs="宋体"/>
          <w:kern w:val="0"/>
          <w:sz w:val="24"/>
          <w:highlight w:val="none"/>
        </w:rPr>
        <w:t>、投标文件不符合招标文件规定的报价、工期、质量、技术规格、技术标准等实质要求；</w:t>
      </w:r>
    </w:p>
    <w:p w14:paraId="0B5D8539">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val="en-US" w:eastAsia="zh-CN"/>
        </w:rPr>
        <w:t>0</w:t>
      </w:r>
      <w:r>
        <w:rPr>
          <w:rFonts w:hint="eastAsia" w:ascii="宋体" w:hAnsi="宋体" w:cs="宋体"/>
          <w:kern w:val="0"/>
          <w:sz w:val="24"/>
          <w:highlight w:val="none"/>
        </w:rPr>
        <w:t>、投标人拒绝对细微偏差作出补正；</w:t>
      </w:r>
    </w:p>
    <w:p w14:paraId="3197C447">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val="en-US" w:eastAsia="zh-CN"/>
        </w:rPr>
        <w:t>1</w:t>
      </w:r>
      <w:r>
        <w:rPr>
          <w:rFonts w:hint="eastAsia" w:ascii="宋体" w:hAnsi="宋体" w:cs="宋体"/>
          <w:kern w:val="0"/>
          <w:sz w:val="24"/>
          <w:highlight w:val="none"/>
        </w:rPr>
        <w:t>、投标文件中存在招标人不能接受的其它实质性条件；</w:t>
      </w:r>
    </w:p>
    <w:p w14:paraId="56887F6C">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val="en-US" w:eastAsia="zh-CN"/>
        </w:rPr>
        <w:t>2</w:t>
      </w:r>
      <w:r>
        <w:rPr>
          <w:rFonts w:hint="eastAsia" w:ascii="宋体" w:hAnsi="宋体" w:cs="宋体"/>
          <w:kern w:val="0"/>
          <w:sz w:val="24"/>
          <w:highlight w:val="none"/>
        </w:rPr>
        <w:t>、投标文件中存在法律、法规、规章规定的其它重大偏差；</w:t>
      </w:r>
    </w:p>
    <w:p w14:paraId="44C97622">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val="en-US" w:eastAsia="zh-CN"/>
        </w:rPr>
        <w:t>3</w:t>
      </w:r>
      <w:r>
        <w:rPr>
          <w:rFonts w:hint="eastAsia" w:ascii="宋体" w:hAnsi="宋体" w:cs="宋体"/>
          <w:kern w:val="0"/>
          <w:sz w:val="24"/>
          <w:highlight w:val="none"/>
        </w:rPr>
        <w:t>、法律、法规规定的其它情形。</w:t>
      </w:r>
    </w:p>
    <w:p w14:paraId="31C1BFEB">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除重大偏差外为细微偏差；出现上述重大偏差情形，按无效标处理。</w:t>
      </w:r>
    </w:p>
    <w:p w14:paraId="352C1970">
      <w:pPr>
        <w:spacing w:line="1000" w:lineRule="exact"/>
        <w:rPr>
          <w:rFonts w:ascii="宋体" w:hAnsi="宋体"/>
          <w:b/>
          <w:sz w:val="30"/>
          <w:szCs w:val="30"/>
          <w:highlight w:val="none"/>
        </w:rPr>
      </w:pPr>
      <w:r>
        <w:rPr>
          <w:rFonts w:hint="eastAsia" w:ascii="宋体" w:hAnsi="宋体"/>
          <w:b/>
          <w:sz w:val="30"/>
          <w:szCs w:val="30"/>
          <w:highlight w:val="none"/>
        </w:rPr>
        <w:t>2.招标文件</w:t>
      </w:r>
    </w:p>
    <w:p w14:paraId="1C5AFDC6">
      <w:pPr>
        <w:spacing w:line="460" w:lineRule="exact"/>
        <w:rPr>
          <w:rFonts w:ascii="宋体" w:hAnsi="宋体"/>
          <w:b/>
          <w:sz w:val="24"/>
          <w:szCs w:val="24"/>
          <w:highlight w:val="none"/>
        </w:rPr>
      </w:pPr>
      <w:r>
        <w:rPr>
          <w:rFonts w:hint="eastAsia" w:ascii="宋体" w:hAnsi="宋体"/>
          <w:b/>
          <w:sz w:val="24"/>
          <w:szCs w:val="24"/>
          <w:highlight w:val="none"/>
        </w:rPr>
        <w:t xml:space="preserve">2.1 </w:t>
      </w:r>
      <w:r>
        <w:rPr>
          <w:rFonts w:ascii="宋体" w:hAnsi="宋体"/>
          <w:b/>
          <w:sz w:val="24"/>
          <w:szCs w:val="24"/>
          <w:highlight w:val="none"/>
        </w:rPr>
        <w:t>招标文件的内容</w:t>
      </w:r>
    </w:p>
    <w:p w14:paraId="17111933">
      <w:pPr>
        <w:spacing w:line="460" w:lineRule="exact"/>
        <w:ind w:firstLine="480" w:firstLineChars="200"/>
        <w:rPr>
          <w:rFonts w:ascii="宋体" w:hAnsi="宋体"/>
          <w:sz w:val="24"/>
          <w:szCs w:val="24"/>
          <w:highlight w:val="none"/>
        </w:rPr>
      </w:pPr>
      <w:r>
        <w:rPr>
          <w:rFonts w:hint="eastAsia" w:ascii="宋体" w:hAnsi="宋体"/>
          <w:sz w:val="24"/>
          <w:szCs w:val="24"/>
          <w:highlight w:val="none"/>
        </w:rPr>
        <w:t>2.1.1</w:t>
      </w:r>
      <w:r>
        <w:rPr>
          <w:rFonts w:ascii="宋体" w:hAnsi="宋体"/>
          <w:sz w:val="24"/>
          <w:szCs w:val="24"/>
          <w:highlight w:val="none"/>
        </w:rPr>
        <w:t xml:space="preserve"> 招标文件包括以下内容：</w:t>
      </w:r>
    </w:p>
    <w:p w14:paraId="110745AB">
      <w:pPr>
        <w:spacing w:line="460" w:lineRule="exact"/>
        <w:ind w:firstLine="480" w:firstLineChars="200"/>
        <w:rPr>
          <w:rFonts w:ascii="宋体" w:hAnsi="宋体"/>
          <w:sz w:val="24"/>
          <w:szCs w:val="24"/>
          <w:highlight w:val="none"/>
        </w:rPr>
      </w:pPr>
      <w:r>
        <w:rPr>
          <w:rFonts w:hint="eastAsia" w:ascii="宋体" w:hAnsi="宋体"/>
          <w:sz w:val="24"/>
          <w:szCs w:val="24"/>
          <w:highlight w:val="none"/>
        </w:rPr>
        <w:t xml:space="preserve">第一章 </w:t>
      </w:r>
      <w:r>
        <w:rPr>
          <w:rFonts w:ascii="宋体" w:hAnsi="宋体"/>
          <w:sz w:val="24"/>
          <w:szCs w:val="24"/>
          <w:highlight w:val="none"/>
        </w:rPr>
        <w:t>招标公告</w:t>
      </w:r>
    </w:p>
    <w:p w14:paraId="54E49909">
      <w:pPr>
        <w:spacing w:line="460" w:lineRule="exact"/>
        <w:ind w:firstLine="480" w:firstLineChars="200"/>
        <w:rPr>
          <w:rFonts w:ascii="宋体" w:hAnsi="宋体"/>
          <w:sz w:val="24"/>
          <w:szCs w:val="24"/>
          <w:highlight w:val="none"/>
        </w:rPr>
      </w:pPr>
      <w:r>
        <w:rPr>
          <w:rFonts w:hint="eastAsia" w:ascii="宋体" w:hAnsi="宋体"/>
          <w:sz w:val="24"/>
          <w:szCs w:val="24"/>
          <w:highlight w:val="none"/>
        </w:rPr>
        <w:t xml:space="preserve">第二章 </w:t>
      </w:r>
      <w:r>
        <w:rPr>
          <w:rFonts w:ascii="宋体" w:hAnsi="宋体"/>
          <w:sz w:val="24"/>
          <w:szCs w:val="24"/>
          <w:highlight w:val="none"/>
        </w:rPr>
        <w:t>投标人须知</w:t>
      </w:r>
    </w:p>
    <w:p w14:paraId="2796A18F">
      <w:pPr>
        <w:spacing w:line="460" w:lineRule="exact"/>
        <w:ind w:firstLine="480" w:firstLineChars="200"/>
        <w:rPr>
          <w:rFonts w:ascii="宋体" w:hAnsi="宋体"/>
          <w:sz w:val="24"/>
          <w:szCs w:val="24"/>
          <w:highlight w:val="none"/>
        </w:rPr>
      </w:pPr>
      <w:r>
        <w:rPr>
          <w:rFonts w:hint="eastAsia" w:ascii="宋体" w:hAnsi="宋体"/>
          <w:sz w:val="24"/>
          <w:szCs w:val="24"/>
          <w:highlight w:val="none"/>
        </w:rPr>
        <w:t>第三章 评标办法</w:t>
      </w:r>
    </w:p>
    <w:p w14:paraId="77905521">
      <w:pPr>
        <w:spacing w:line="460" w:lineRule="exact"/>
        <w:ind w:firstLine="480" w:firstLineChars="200"/>
        <w:rPr>
          <w:rFonts w:ascii="宋体" w:hAnsi="宋体"/>
          <w:sz w:val="24"/>
          <w:szCs w:val="24"/>
          <w:highlight w:val="none"/>
        </w:rPr>
      </w:pPr>
      <w:r>
        <w:rPr>
          <w:rFonts w:hint="eastAsia" w:ascii="宋体" w:hAnsi="宋体"/>
          <w:sz w:val="24"/>
          <w:szCs w:val="24"/>
          <w:highlight w:val="none"/>
        </w:rPr>
        <w:t>第四章 合同条款及格式</w:t>
      </w:r>
    </w:p>
    <w:p w14:paraId="23186A4F">
      <w:pPr>
        <w:spacing w:line="460" w:lineRule="exact"/>
        <w:ind w:firstLine="480" w:firstLineChars="200"/>
        <w:rPr>
          <w:rFonts w:ascii="宋体" w:hAnsi="宋体"/>
          <w:sz w:val="24"/>
          <w:szCs w:val="24"/>
          <w:highlight w:val="none"/>
        </w:rPr>
      </w:pPr>
      <w:r>
        <w:rPr>
          <w:rFonts w:hint="eastAsia" w:ascii="宋体" w:hAnsi="宋体"/>
          <w:sz w:val="24"/>
          <w:szCs w:val="24"/>
          <w:highlight w:val="none"/>
        </w:rPr>
        <w:t xml:space="preserve">第五章 </w:t>
      </w:r>
      <w:r>
        <w:rPr>
          <w:rFonts w:ascii="宋体" w:hAnsi="宋体"/>
          <w:sz w:val="24"/>
          <w:szCs w:val="24"/>
          <w:highlight w:val="none"/>
        </w:rPr>
        <w:t>投标文件格式</w:t>
      </w:r>
    </w:p>
    <w:p w14:paraId="41993137">
      <w:pPr>
        <w:spacing w:line="460" w:lineRule="exact"/>
        <w:ind w:firstLine="480" w:firstLineChars="200"/>
        <w:rPr>
          <w:rFonts w:ascii="宋体" w:hAnsi="宋体" w:cs="宋体"/>
          <w:kern w:val="0"/>
          <w:sz w:val="24"/>
          <w:highlight w:val="none"/>
        </w:rPr>
      </w:pPr>
      <w:r>
        <w:rPr>
          <w:rFonts w:ascii="宋体" w:hAnsi="宋体" w:cs="宋体"/>
          <w:kern w:val="0"/>
          <w:sz w:val="24"/>
          <w:highlight w:val="none"/>
        </w:rPr>
        <w:t>2.</w:t>
      </w:r>
      <w:r>
        <w:rPr>
          <w:rFonts w:hint="eastAsia" w:ascii="宋体" w:hAnsi="宋体" w:cs="宋体"/>
          <w:kern w:val="0"/>
          <w:sz w:val="24"/>
          <w:highlight w:val="none"/>
        </w:rPr>
        <w:t>1</w:t>
      </w:r>
      <w:r>
        <w:rPr>
          <w:rFonts w:ascii="宋体" w:hAnsi="宋体" w:cs="宋体"/>
          <w:kern w:val="0"/>
          <w:sz w:val="24"/>
          <w:highlight w:val="none"/>
        </w:rPr>
        <w:t>.</w:t>
      </w:r>
      <w:r>
        <w:rPr>
          <w:rFonts w:hint="eastAsia" w:ascii="宋体" w:hAnsi="宋体" w:cs="宋体"/>
          <w:kern w:val="0"/>
          <w:sz w:val="24"/>
          <w:highlight w:val="none"/>
        </w:rPr>
        <w:t>2根据本章第</w:t>
      </w:r>
      <w:r>
        <w:rPr>
          <w:rFonts w:ascii="宋体" w:hAnsi="宋体" w:cs="宋体"/>
          <w:kern w:val="0"/>
          <w:sz w:val="24"/>
          <w:highlight w:val="none"/>
        </w:rPr>
        <w:t xml:space="preserve">1.10 </w:t>
      </w:r>
      <w:r>
        <w:rPr>
          <w:rFonts w:hint="eastAsia" w:ascii="宋体" w:hAnsi="宋体" w:cs="宋体"/>
          <w:kern w:val="0"/>
          <w:sz w:val="24"/>
          <w:highlight w:val="none"/>
        </w:rPr>
        <w:t>款、第</w:t>
      </w:r>
      <w:r>
        <w:rPr>
          <w:rFonts w:ascii="宋体" w:hAnsi="宋体" w:cs="宋体"/>
          <w:kern w:val="0"/>
          <w:sz w:val="24"/>
          <w:highlight w:val="none"/>
        </w:rPr>
        <w:t xml:space="preserve">2.2 </w:t>
      </w:r>
      <w:r>
        <w:rPr>
          <w:rFonts w:hint="eastAsia" w:ascii="宋体" w:hAnsi="宋体" w:cs="宋体"/>
          <w:kern w:val="0"/>
          <w:sz w:val="24"/>
          <w:highlight w:val="none"/>
        </w:rPr>
        <w:t>款和第</w:t>
      </w:r>
      <w:r>
        <w:rPr>
          <w:rFonts w:ascii="宋体" w:hAnsi="宋体" w:cs="宋体"/>
          <w:kern w:val="0"/>
          <w:sz w:val="24"/>
          <w:highlight w:val="none"/>
        </w:rPr>
        <w:t xml:space="preserve">2.3 </w:t>
      </w:r>
      <w:r>
        <w:rPr>
          <w:rFonts w:hint="eastAsia" w:ascii="宋体" w:hAnsi="宋体" w:cs="宋体"/>
          <w:kern w:val="0"/>
          <w:sz w:val="24"/>
          <w:highlight w:val="none"/>
        </w:rPr>
        <w:t>款对招标文件所作的澄清、修改，构成招标文件的组成部分。</w:t>
      </w:r>
    </w:p>
    <w:p w14:paraId="48A2031B">
      <w:pPr>
        <w:spacing w:beforeLines="100" w:line="480" w:lineRule="exact"/>
        <w:rPr>
          <w:rFonts w:ascii="宋体" w:hAnsi="宋体"/>
          <w:b/>
          <w:sz w:val="24"/>
          <w:szCs w:val="24"/>
          <w:highlight w:val="none"/>
        </w:rPr>
      </w:pPr>
      <w:r>
        <w:rPr>
          <w:rFonts w:hint="eastAsia" w:ascii="宋体" w:hAnsi="宋体"/>
          <w:b/>
          <w:sz w:val="24"/>
          <w:szCs w:val="24"/>
          <w:highlight w:val="none"/>
        </w:rPr>
        <w:t xml:space="preserve">2.2 </w:t>
      </w:r>
      <w:r>
        <w:rPr>
          <w:rFonts w:ascii="宋体" w:hAnsi="宋体"/>
          <w:b/>
          <w:sz w:val="24"/>
          <w:szCs w:val="24"/>
          <w:highlight w:val="none"/>
        </w:rPr>
        <w:t>招标文件的澄清</w:t>
      </w:r>
    </w:p>
    <w:p w14:paraId="1916FED9">
      <w:pPr>
        <w:tabs>
          <w:tab w:val="left" w:pos="540"/>
        </w:tabs>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2.2.1投标人应仔细阅读和检查招标文件的全部内容。如发现缺页或附件不全，应及时向招标人提出，以便补齐。如有疑问，应在投标人须知前附表规定的时间前以电子文件的形式无记名在网上发送至</w:t>
      </w:r>
      <w:r>
        <w:rPr>
          <w:rFonts w:hint="eastAsia" w:ascii="宋体" w:hAnsi="宋体"/>
          <w:spacing w:val="-2"/>
          <w:sz w:val="24"/>
          <w:szCs w:val="24"/>
          <w:highlight w:val="none"/>
        </w:rPr>
        <w:t>广州交易集团有限公司（广州公共资源交易中心）</w:t>
      </w:r>
      <w:r>
        <w:rPr>
          <w:rFonts w:hint="eastAsia" w:ascii="宋体" w:hAnsi="宋体"/>
          <w:spacing w:val="-2"/>
          <w:sz w:val="24"/>
          <w:szCs w:val="24"/>
          <w:highlight w:val="none"/>
          <w:lang w:val="en-US" w:eastAsia="zh-CN"/>
        </w:rPr>
        <w:t>网站</w:t>
      </w:r>
      <w:r>
        <w:rPr>
          <w:rFonts w:hint="eastAsia" w:ascii="宋体" w:hAnsi="宋体" w:cs="宋体"/>
          <w:kern w:val="0"/>
          <w:sz w:val="24"/>
          <w:highlight w:val="none"/>
        </w:rPr>
        <w:t>，要求招标人对招标文件予以澄清。</w:t>
      </w:r>
    </w:p>
    <w:p w14:paraId="3DB5FCA2">
      <w:pPr>
        <w:tabs>
          <w:tab w:val="left" w:pos="540"/>
        </w:tabs>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2.2.2无论是招标人根据需要主动对招标文件进行必要的澄清或是根据投标人的要求对招标文件作出澄清，招标人将于投标人须知前附表规定的时间以电子文件的形式在</w:t>
      </w:r>
      <w:r>
        <w:rPr>
          <w:rFonts w:hint="eastAsia" w:ascii="宋体" w:hAnsi="宋体"/>
          <w:spacing w:val="-2"/>
          <w:sz w:val="24"/>
          <w:szCs w:val="24"/>
          <w:highlight w:val="none"/>
        </w:rPr>
        <w:t>广州交易集团有限公司（广州公共资源交易中心）</w:t>
      </w:r>
      <w:r>
        <w:rPr>
          <w:rFonts w:hint="eastAsia" w:ascii="宋体" w:hAnsi="宋体"/>
          <w:spacing w:val="-2"/>
          <w:sz w:val="24"/>
          <w:szCs w:val="24"/>
          <w:highlight w:val="none"/>
          <w:lang w:val="en-US" w:eastAsia="zh-CN"/>
        </w:rPr>
        <w:t>网站</w:t>
      </w:r>
      <w:r>
        <w:rPr>
          <w:rFonts w:hint="eastAsia" w:ascii="宋体" w:hAnsi="宋体" w:cs="宋体"/>
          <w:kern w:val="0"/>
          <w:sz w:val="24"/>
          <w:highlight w:val="none"/>
        </w:rPr>
        <w:t>发布答疑通知给以澄清，但不指明澄清问题的来源。</w:t>
      </w:r>
    </w:p>
    <w:p w14:paraId="222E6F88">
      <w:pPr>
        <w:tabs>
          <w:tab w:val="left" w:pos="540"/>
        </w:tabs>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2.2.3投标人应自行登录</w:t>
      </w:r>
      <w:r>
        <w:rPr>
          <w:rFonts w:hint="eastAsia" w:ascii="宋体" w:hAnsi="宋体"/>
          <w:spacing w:val="-2"/>
          <w:sz w:val="24"/>
          <w:szCs w:val="24"/>
          <w:highlight w:val="none"/>
        </w:rPr>
        <w:t>广州交易集团有限公司（广州公共资源交易中心）</w:t>
      </w:r>
      <w:r>
        <w:rPr>
          <w:rFonts w:hint="eastAsia" w:ascii="宋体" w:hAnsi="宋体"/>
          <w:spacing w:val="-2"/>
          <w:sz w:val="24"/>
          <w:szCs w:val="24"/>
          <w:highlight w:val="none"/>
          <w:lang w:val="en-US" w:eastAsia="zh-CN"/>
        </w:rPr>
        <w:t>网站</w:t>
      </w:r>
      <w:r>
        <w:rPr>
          <w:rFonts w:hint="eastAsia" w:ascii="宋体" w:hAnsi="宋体" w:cs="宋体"/>
          <w:kern w:val="0"/>
          <w:sz w:val="24"/>
          <w:highlight w:val="none"/>
        </w:rPr>
        <w:t>查询并获取网上发布通知内容，对任何问题的疏忽导致其投标的最终结果应自行负责。</w:t>
      </w:r>
    </w:p>
    <w:p w14:paraId="0F50289E">
      <w:pPr>
        <w:spacing w:beforeLines="100" w:line="480" w:lineRule="exact"/>
        <w:rPr>
          <w:rFonts w:ascii="宋体" w:hAnsi="宋体"/>
          <w:b/>
          <w:sz w:val="24"/>
          <w:szCs w:val="24"/>
          <w:highlight w:val="none"/>
        </w:rPr>
      </w:pPr>
      <w:r>
        <w:rPr>
          <w:rFonts w:hint="eastAsia" w:ascii="宋体" w:hAnsi="宋体"/>
          <w:b/>
          <w:sz w:val="24"/>
          <w:szCs w:val="24"/>
          <w:highlight w:val="none"/>
        </w:rPr>
        <w:t xml:space="preserve">2.3 </w:t>
      </w:r>
      <w:r>
        <w:rPr>
          <w:rFonts w:ascii="宋体" w:hAnsi="宋体"/>
          <w:b/>
          <w:sz w:val="24"/>
          <w:szCs w:val="24"/>
          <w:highlight w:val="none"/>
        </w:rPr>
        <w:t>招标人对招标文件的修改</w:t>
      </w:r>
    </w:p>
    <w:p w14:paraId="78601E38">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宋体"/>
          <w:kern w:val="0"/>
          <w:sz w:val="24"/>
          <w:szCs w:val="24"/>
          <w:highlight w:val="none"/>
        </w:rPr>
        <w:t>2.3.1</w:t>
      </w:r>
      <w:r>
        <w:rPr>
          <w:rFonts w:hint="eastAsia" w:ascii="宋体" w:hAnsi="宋体" w:cs="宋体"/>
          <w:kern w:val="0"/>
          <w:sz w:val="24"/>
          <w:szCs w:val="24"/>
          <w:highlight w:val="none"/>
        </w:rPr>
        <w:t xml:space="preserve"> 招标人可以对已发出的招标文件进行必要的澄清、修改或补充。如因澄清、修改或补充的内容对招标文件有较大的改动，或对投标文件的编制增加较大的工作量，可能影响到投标文件的编制的，招标人应当在投标截止时间 15 天前，在</w:t>
      </w:r>
      <w:r>
        <w:rPr>
          <w:rFonts w:hint="eastAsia" w:ascii="宋体" w:hAnsi="宋体" w:cs="宋体"/>
          <w:bCs/>
          <w:spacing w:val="10"/>
          <w:sz w:val="24"/>
          <w:highlight w:val="none"/>
          <w:lang w:eastAsia="zh-CN"/>
        </w:rPr>
        <w:t>广州交易集团有限公司（广州公共资源交易中心）</w:t>
      </w:r>
      <w:r>
        <w:rPr>
          <w:rFonts w:hint="eastAsia" w:ascii="宋体" w:hAnsi="宋体" w:cs="宋体"/>
          <w:bCs/>
          <w:spacing w:val="10"/>
          <w:sz w:val="24"/>
          <w:highlight w:val="none"/>
          <w:lang w:val="en-US" w:eastAsia="zh-CN"/>
        </w:rPr>
        <w:t>网站</w:t>
      </w:r>
      <w:r>
        <w:rPr>
          <w:rFonts w:hint="eastAsia" w:ascii="宋体" w:hAnsi="宋体" w:cs="宋体"/>
          <w:kern w:val="0"/>
          <w:sz w:val="24"/>
          <w:szCs w:val="24"/>
          <w:highlight w:val="none"/>
        </w:rPr>
        <w:t>发布补充通知（补遗书）告知潜在投标人。其它不实质性影响投标文件编制的澄清、修改或补充内容的发出，不受此时间限制。</w:t>
      </w:r>
    </w:p>
    <w:p w14:paraId="0EEC7D80">
      <w:pPr>
        <w:autoSpaceDE w:val="0"/>
        <w:autoSpaceDN w:val="0"/>
        <w:adjustRightInd w:val="0"/>
        <w:spacing w:line="460" w:lineRule="exact"/>
        <w:ind w:firstLine="480" w:firstLineChars="200"/>
        <w:rPr>
          <w:rFonts w:ascii="宋体" w:hAnsi="宋体" w:cs="宋体"/>
          <w:kern w:val="0"/>
          <w:sz w:val="24"/>
          <w:szCs w:val="24"/>
          <w:highlight w:val="none"/>
        </w:rPr>
      </w:pPr>
      <w:r>
        <w:rPr>
          <w:rFonts w:ascii="宋体" w:hAnsi="宋体" w:cs="宋体"/>
          <w:kern w:val="0"/>
          <w:sz w:val="24"/>
          <w:szCs w:val="24"/>
          <w:highlight w:val="none"/>
        </w:rPr>
        <w:t xml:space="preserve">2.3.2 </w:t>
      </w:r>
      <w:r>
        <w:rPr>
          <w:rFonts w:hint="eastAsia" w:ascii="宋体" w:hAnsi="宋体" w:cs="宋体"/>
          <w:kern w:val="0"/>
          <w:sz w:val="24"/>
          <w:szCs w:val="24"/>
          <w:highlight w:val="none"/>
        </w:rPr>
        <w:t>招标文件的修改或补充的内容均以网上发出的修改或补充通知为准。当招标文件的修改或补充的同一内容在表述上不一致时，以最后发出的通知文件为准。</w:t>
      </w:r>
    </w:p>
    <w:p w14:paraId="54CC06B2">
      <w:pPr>
        <w:autoSpaceDE w:val="0"/>
        <w:autoSpaceDN w:val="0"/>
        <w:adjustRightInd w:val="0"/>
        <w:spacing w:line="460" w:lineRule="exact"/>
        <w:ind w:firstLine="480" w:firstLineChars="200"/>
        <w:rPr>
          <w:rFonts w:hint="eastAsia" w:ascii="宋体" w:hAnsi="宋体" w:cs="宋体"/>
          <w:kern w:val="0"/>
          <w:sz w:val="24"/>
          <w:highlight w:val="none"/>
        </w:rPr>
      </w:pPr>
      <w:r>
        <w:rPr>
          <w:rFonts w:hint="eastAsia" w:ascii="宋体" w:hAnsi="宋体" w:cs="宋体"/>
          <w:kern w:val="0"/>
          <w:sz w:val="24"/>
          <w:szCs w:val="24"/>
          <w:highlight w:val="none"/>
        </w:rPr>
        <w:t>2.3.3 投标人应自行登录</w:t>
      </w:r>
      <w:r>
        <w:rPr>
          <w:rFonts w:hint="eastAsia" w:ascii="宋体" w:hAnsi="宋体" w:cs="宋体"/>
          <w:bCs/>
          <w:spacing w:val="10"/>
          <w:sz w:val="24"/>
          <w:highlight w:val="none"/>
          <w:lang w:eastAsia="zh-CN"/>
        </w:rPr>
        <w:t>广州交易集团有限公司（广州公共资源交易中心）</w:t>
      </w:r>
      <w:r>
        <w:rPr>
          <w:rFonts w:hint="eastAsia" w:ascii="宋体" w:hAnsi="宋体" w:cs="宋体"/>
          <w:bCs/>
          <w:spacing w:val="10"/>
          <w:sz w:val="24"/>
          <w:highlight w:val="none"/>
          <w:lang w:val="en-US" w:eastAsia="zh-CN"/>
        </w:rPr>
        <w:t>网站</w:t>
      </w:r>
      <w:r>
        <w:rPr>
          <w:rFonts w:hint="eastAsia" w:ascii="宋体" w:hAnsi="宋体" w:cs="宋体"/>
          <w:kern w:val="0"/>
          <w:sz w:val="24"/>
          <w:szCs w:val="24"/>
          <w:highlight w:val="none"/>
        </w:rPr>
        <w:t>查询并获取网上发布</w:t>
      </w:r>
      <w:r>
        <w:rPr>
          <w:rFonts w:hint="eastAsia" w:ascii="宋体" w:hAnsi="宋体" w:cs="宋体"/>
          <w:kern w:val="0"/>
          <w:sz w:val="24"/>
          <w:highlight w:val="none"/>
        </w:rPr>
        <w:t>的澄清、修改、补充通知内容，对任何问题的疏忽导致其投标的最终结果应自行负责。</w:t>
      </w:r>
    </w:p>
    <w:p w14:paraId="4D71D996">
      <w:pPr>
        <w:autoSpaceDE w:val="0"/>
        <w:autoSpaceDN w:val="0"/>
        <w:adjustRightInd w:val="0"/>
        <w:spacing w:line="460" w:lineRule="exact"/>
        <w:ind w:firstLine="480" w:firstLineChars="200"/>
        <w:rPr>
          <w:rFonts w:hint="eastAsia" w:ascii="宋体" w:hAnsi="宋体" w:cs="宋体"/>
          <w:kern w:val="0"/>
          <w:sz w:val="24"/>
          <w:highlight w:val="none"/>
        </w:rPr>
      </w:pPr>
    </w:p>
    <w:p w14:paraId="212C7F0E">
      <w:pPr>
        <w:autoSpaceDE w:val="0"/>
        <w:autoSpaceDN w:val="0"/>
        <w:adjustRightInd w:val="0"/>
        <w:spacing w:line="460" w:lineRule="exact"/>
        <w:rPr>
          <w:rFonts w:ascii="宋体" w:hAnsi="宋体" w:cs="宋体"/>
          <w:kern w:val="0"/>
          <w:sz w:val="24"/>
          <w:szCs w:val="24"/>
          <w:highlight w:val="none"/>
        </w:rPr>
      </w:pPr>
      <w:r>
        <w:rPr>
          <w:rFonts w:hint="eastAsia" w:ascii="宋体" w:hAnsi="宋体"/>
          <w:b/>
          <w:sz w:val="30"/>
          <w:szCs w:val="30"/>
          <w:highlight w:val="none"/>
        </w:rPr>
        <w:t>3．投标文件</w:t>
      </w:r>
    </w:p>
    <w:p w14:paraId="0FC41C57">
      <w:pPr>
        <w:spacing w:line="440" w:lineRule="exact"/>
        <w:rPr>
          <w:rFonts w:ascii="宋体" w:hAnsi="宋体"/>
          <w:b/>
          <w:sz w:val="24"/>
          <w:szCs w:val="24"/>
          <w:highlight w:val="none"/>
        </w:rPr>
      </w:pPr>
      <w:r>
        <w:rPr>
          <w:rFonts w:hint="eastAsia" w:ascii="宋体" w:hAnsi="宋体"/>
          <w:b/>
          <w:sz w:val="24"/>
          <w:szCs w:val="24"/>
          <w:highlight w:val="none"/>
        </w:rPr>
        <w:t xml:space="preserve">3.1 </w:t>
      </w:r>
      <w:r>
        <w:rPr>
          <w:rFonts w:ascii="宋体" w:hAnsi="宋体"/>
          <w:b/>
          <w:sz w:val="24"/>
          <w:szCs w:val="24"/>
          <w:highlight w:val="none"/>
        </w:rPr>
        <w:t>投标文件的</w:t>
      </w:r>
      <w:r>
        <w:rPr>
          <w:rFonts w:hint="eastAsia" w:ascii="宋体" w:hAnsi="宋体"/>
          <w:b/>
          <w:sz w:val="24"/>
          <w:szCs w:val="24"/>
          <w:highlight w:val="none"/>
        </w:rPr>
        <w:t>组成</w:t>
      </w:r>
    </w:p>
    <w:p w14:paraId="3E5DF310">
      <w:pPr>
        <w:spacing w:line="460" w:lineRule="exact"/>
        <w:ind w:firstLine="480" w:firstLineChars="200"/>
        <w:rPr>
          <w:rFonts w:ascii="宋体" w:hAnsi="宋体"/>
          <w:sz w:val="24"/>
          <w:highlight w:val="none"/>
        </w:rPr>
      </w:pPr>
      <w:r>
        <w:rPr>
          <w:rFonts w:ascii="宋体" w:hAnsi="宋体"/>
          <w:sz w:val="24"/>
          <w:highlight w:val="none"/>
        </w:rPr>
        <w:t>3.1.1</w:t>
      </w:r>
      <w:r>
        <w:rPr>
          <w:rFonts w:hint="eastAsia" w:ascii="宋体" w:hAnsi="宋体"/>
          <w:sz w:val="24"/>
          <w:highlight w:val="none"/>
        </w:rPr>
        <w:t>投标人所递交的投标文件由商务投标文件（第一册）、技术投标文件（第二册）</w:t>
      </w:r>
      <w:r>
        <w:rPr>
          <w:rFonts w:hint="eastAsia" w:ascii="宋体" w:hAnsi="宋体"/>
          <w:sz w:val="24"/>
          <w:highlight w:val="none"/>
          <w:lang w:eastAsia="zh-CN"/>
        </w:rPr>
        <w:t>、</w:t>
      </w:r>
      <w:r>
        <w:rPr>
          <w:rFonts w:hint="eastAsia" w:ascii="宋体" w:hAnsi="宋体"/>
          <w:sz w:val="24"/>
          <w:highlight w:val="none"/>
        </w:rPr>
        <w:t>保密信封和</w:t>
      </w:r>
      <w:r>
        <w:rPr>
          <w:rFonts w:hint="eastAsia" w:ascii="宋体" w:hAnsi="Times New Roman" w:eastAsia="宋体" w:cs="Times New Roman"/>
          <w:sz w:val="24"/>
          <w:szCs w:val="24"/>
          <w:highlight w:val="none"/>
          <w:lang w:val="en-US" w:eastAsia="zh-CN"/>
        </w:rPr>
        <w:t>经济报价投标文件</w:t>
      </w:r>
      <w:r>
        <w:rPr>
          <w:rFonts w:hint="eastAsia" w:ascii="宋体" w:hAnsi="宋体"/>
          <w:sz w:val="24"/>
          <w:highlight w:val="none"/>
          <w:lang w:eastAsia="zh-CN"/>
        </w:rPr>
        <w:t>（</w:t>
      </w:r>
      <w:r>
        <w:rPr>
          <w:rFonts w:hint="eastAsia" w:ascii="宋体" w:hAnsi="宋体" w:eastAsia="宋体" w:cs="Times New Roman"/>
          <w:sz w:val="24"/>
          <w:szCs w:val="24"/>
          <w:highlight w:val="none"/>
          <w:lang w:val="en-US" w:eastAsia="zh-CN"/>
        </w:rPr>
        <w:t>第三册</w:t>
      </w:r>
      <w:r>
        <w:rPr>
          <w:rFonts w:hint="eastAsia" w:ascii="宋体" w:hAnsi="宋体"/>
          <w:sz w:val="24"/>
          <w:highlight w:val="none"/>
          <w:lang w:eastAsia="zh-CN"/>
        </w:rPr>
        <w:t>）</w:t>
      </w:r>
      <w:r>
        <w:rPr>
          <w:rFonts w:hint="eastAsia" w:ascii="宋体" w:hAnsi="宋体"/>
          <w:sz w:val="24"/>
          <w:highlight w:val="none"/>
        </w:rPr>
        <w:t>四部分组成。</w:t>
      </w:r>
    </w:p>
    <w:p w14:paraId="47E9C245">
      <w:pPr>
        <w:spacing w:beforeLines="20" w:line="460" w:lineRule="exact"/>
        <w:ind w:firstLine="480" w:firstLineChars="200"/>
        <w:rPr>
          <w:rFonts w:ascii="宋体" w:hAnsi="宋体"/>
          <w:sz w:val="24"/>
          <w:highlight w:val="none"/>
        </w:rPr>
      </w:pPr>
      <w:r>
        <w:rPr>
          <w:rFonts w:hint="eastAsia" w:ascii="宋体" w:hAnsi="宋体"/>
          <w:sz w:val="24"/>
          <w:highlight w:val="none"/>
        </w:rPr>
        <w:t>（一）商务投标文件（以A4规格装订）</w:t>
      </w:r>
      <w:r>
        <w:rPr>
          <w:rFonts w:hint="eastAsia" w:ascii="宋体" w:hAnsi="宋体" w:cs="宋体"/>
          <w:kern w:val="0"/>
          <w:sz w:val="24"/>
          <w:highlight w:val="none"/>
        </w:rPr>
        <w:t>包括以下内容：</w:t>
      </w:r>
    </w:p>
    <w:p w14:paraId="7EF01830">
      <w:pPr>
        <w:spacing w:line="460" w:lineRule="exact"/>
        <w:ind w:firstLine="480" w:firstLineChars="200"/>
        <w:rPr>
          <w:rFonts w:hint="eastAsia" w:ascii="宋体" w:hAnsi="宋体" w:eastAsia="宋体"/>
          <w:sz w:val="24"/>
          <w:highlight w:val="none"/>
          <w:lang w:eastAsia="zh-CN"/>
        </w:rPr>
      </w:pPr>
      <w:r>
        <w:rPr>
          <w:rFonts w:ascii="宋体" w:hAnsi="宋体"/>
          <w:sz w:val="24"/>
          <w:highlight w:val="none"/>
        </w:rPr>
        <w:t>（</w:t>
      </w:r>
      <w:r>
        <w:rPr>
          <w:rFonts w:hint="eastAsia" w:ascii="宋体" w:hAnsi="宋体"/>
          <w:sz w:val="24"/>
          <w:highlight w:val="none"/>
        </w:rPr>
        <w:t>1</w:t>
      </w:r>
      <w:r>
        <w:rPr>
          <w:rFonts w:ascii="宋体" w:hAnsi="宋体"/>
          <w:sz w:val="24"/>
          <w:highlight w:val="none"/>
        </w:rPr>
        <w:t>）投标</w:t>
      </w:r>
      <w:r>
        <w:rPr>
          <w:rFonts w:hint="eastAsia" w:ascii="宋体" w:hAnsi="宋体"/>
          <w:sz w:val="24"/>
          <w:highlight w:val="none"/>
          <w:lang w:val="en-US" w:eastAsia="zh-CN"/>
        </w:rPr>
        <w:t>承诺书</w:t>
      </w:r>
    </w:p>
    <w:p w14:paraId="0DDC8BE8">
      <w:pPr>
        <w:spacing w:line="460" w:lineRule="exact"/>
        <w:ind w:firstLine="480" w:firstLineChars="200"/>
        <w:rPr>
          <w:rFonts w:ascii="宋体" w:hAnsi="宋体"/>
          <w:sz w:val="24"/>
          <w:highlight w:val="none"/>
        </w:rPr>
      </w:pPr>
      <w:r>
        <w:rPr>
          <w:rFonts w:hint="eastAsia" w:ascii="宋体" w:hAnsi="宋体"/>
          <w:sz w:val="24"/>
          <w:highlight w:val="none"/>
        </w:rPr>
        <w:t>（2）</w:t>
      </w:r>
      <w:r>
        <w:rPr>
          <w:rFonts w:ascii="宋体" w:hAnsi="宋体"/>
          <w:sz w:val="24"/>
          <w:highlight w:val="none"/>
        </w:rPr>
        <w:t>法定代表人身份证明</w:t>
      </w:r>
      <w:r>
        <w:rPr>
          <w:rFonts w:hint="eastAsia" w:ascii="宋体" w:hAnsi="宋体"/>
          <w:sz w:val="24"/>
          <w:highlight w:val="none"/>
        </w:rPr>
        <w:t>书</w:t>
      </w:r>
    </w:p>
    <w:p w14:paraId="11DDC104">
      <w:pPr>
        <w:spacing w:line="460" w:lineRule="exact"/>
        <w:ind w:firstLine="480" w:firstLineChars="200"/>
        <w:rPr>
          <w:rFonts w:ascii="宋体" w:hAnsi="宋体"/>
          <w:sz w:val="24"/>
          <w:highlight w:val="none"/>
        </w:rPr>
      </w:pPr>
      <w:r>
        <w:rPr>
          <w:rFonts w:hint="eastAsia" w:ascii="宋体" w:hAnsi="宋体"/>
          <w:sz w:val="24"/>
          <w:highlight w:val="none"/>
        </w:rPr>
        <w:t>（3）法人授权委托证明书（法定代表人参加无需提供委托书）</w:t>
      </w:r>
    </w:p>
    <w:p w14:paraId="1EEC3EDC">
      <w:pPr>
        <w:spacing w:line="460" w:lineRule="exact"/>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4</w:t>
      </w:r>
      <w:r>
        <w:rPr>
          <w:rFonts w:ascii="宋体" w:hAnsi="宋体"/>
          <w:sz w:val="24"/>
          <w:highlight w:val="none"/>
        </w:rPr>
        <w:t>）投标</w:t>
      </w:r>
      <w:r>
        <w:rPr>
          <w:rFonts w:hint="eastAsia" w:ascii="宋体" w:hAnsi="宋体"/>
          <w:sz w:val="24"/>
          <w:highlight w:val="none"/>
        </w:rPr>
        <w:t>保</w:t>
      </w:r>
      <w:r>
        <w:rPr>
          <w:rFonts w:ascii="宋体" w:hAnsi="宋体"/>
          <w:sz w:val="24"/>
          <w:highlight w:val="none"/>
        </w:rPr>
        <w:t>证</w:t>
      </w:r>
      <w:r>
        <w:rPr>
          <w:rFonts w:hint="eastAsia" w:ascii="宋体" w:hAnsi="宋体"/>
          <w:sz w:val="24"/>
          <w:highlight w:val="none"/>
        </w:rPr>
        <w:t>金</w:t>
      </w:r>
    </w:p>
    <w:p w14:paraId="4DDE8F08">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）资格审查资料</w:t>
      </w:r>
    </w:p>
    <w:p w14:paraId="04D45627">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cs="宋体"/>
          <w:kern w:val="0"/>
          <w:sz w:val="24"/>
          <w:highlight w:val="none"/>
        </w:rPr>
        <w:t>企业信誉及荣誉证明材料表</w:t>
      </w:r>
    </w:p>
    <w:p w14:paraId="51EA9AC7">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）近年内曾完成的业绩情况表</w:t>
      </w:r>
    </w:p>
    <w:p w14:paraId="01FA6A43">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8</w:t>
      </w:r>
      <w:r>
        <w:rPr>
          <w:rFonts w:hint="eastAsia" w:ascii="宋体" w:hAnsi="宋体"/>
          <w:sz w:val="24"/>
          <w:highlight w:val="none"/>
        </w:rPr>
        <w:t>）</w:t>
      </w:r>
      <w:r>
        <w:rPr>
          <w:rFonts w:ascii="宋体" w:hAnsi="宋体"/>
          <w:sz w:val="24"/>
          <w:highlight w:val="none"/>
        </w:rPr>
        <w:t>拟</w:t>
      </w:r>
      <w:r>
        <w:rPr>
          <w:rFonts w:hint="eastAsia" w:ascii="宋体" w:hAnsi="宋体"/>
          <w:sz w:val="24"/>
          <w:highlight w:val="none"/>
        </w:rPr>
        <w:t>投入</w:t>
      </w:r>
      <w:r>
        <w:rPr>
          <w:rFonts w:ascii="宋体" w:hAnsi="宋体"/>
          <w:sz w:val="24"/>
          <w:highlight w:val="none"/>
        </w:rPr>
        <w:t>的试验、检测仪器</w:t>
      </w:r>
      <w:r>
        <w:rPr>
          <w:rFonts w:hint="eastAsia" w:ascii="宋体" w:hAnsi="宋体"/>
          <w:sz w:val="24"/>
          <w:highlight w:val="none"/>
        </w:rPr>
        <w:t>，</w:t>
      </w:r>
      <w:r>
        <w:rPr>
          <w:rFonts w:ascii="宋体" w:hAnsi="宋体"/>
          <w:sz w:val="24"/>
          <w:highlight w:val="none"/>
        </w:rPr>
        <w:t>办公、生活及交通设施表</w:t>
      </w:r>
    </w:p>
    <w:p w14:paraId="780658D6">
      <w:pPr>
        <w:spacing w:line="460" w:lineRule="exact"/>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9</w:t>
      </w:r>
      <w:r>
        <w:rPr>
          <w:rFonts w:hint="eastAsia" w:ascii="宋体" w:hAnsi="宋体"/>
          <w:sz w:val="24"/>
          <w:highlight w:val="none"/>
        </w:rPr>
        <w:t>）投标人声明</w:t>
      </w:r>
    </w:p>
    <w:p w14:paraId="7E4DF1E7">
      <w:pPr>
        <w:spacing w:line="460" w:lineRule="exact"/>
        <w:ind w:firstLine="480" w:firstLineChars="200"/>
        <w:rPr>
          <w:rFonts w:hint="eastAsia" w:ascii="宋体" w:hAnsi="宋体" w:eastAsia="宋体"/>
          <w:sz w:val="24"/>
          <w:highlight w:val="none"/>
          <w:lang w:val="en-US" w:eastAsia="zh-CN"/>
        </w:rPr>
      </w:pPr>
      <w:r>
        <w:rPr>
          <w:rFonts w:hint="eastAsia" w:ascii="宋体" w:hAnsi="宋体"/>
          <w:sz w:val="24"/>
          <w:highlight w:val="none"/>
          <w:lang w:eastAsia="zh-CN"/>
        </w:rPr>
        <w:t>（</w:t>
      </w:r>
      <w:r>
        <w:rPr>
          <w:rFonts w:hint="eastAsia" w:ascii="宋体" w:hAnsi="宋体"/>
          <w:sz w:val="24"/>
          <w:highlight w:val="none"/>
          <w:lang w:val="en-US" w:eastAsia="zh-CN"/>
        </w:rPr>
        <w:t>10</w:t>
      </w:r>
      <w:r>
        <w:rPr>
          <w:rFonts w:hint="eastAsia" w:ascii="宋体" w:hAnsi="宋体"/>
          <w:sz w:val="24"/>
          <w:highlight w:val="none"/>
          <w:lang w:eastAsia="zh-CN"/>
        </w:rPr>
        <w:t>）</w:t>
      </w:r>
      <w:r>
        <w:rPr>
          <w:rFonts w:hint="eastAsia" w:ascii="宋体" w:hAnsi="宋体"/>
          <w:sz w:val="24"/>
          <w:highlight w:val="none"/>
          <w:lang w:val="en-US" w:eastAsia="zh-CN"/>
        </w:rPr>
        <w:t>项目总监理工程师任职承诺书</w:t>
      </w:r>
    </w:p>
    <w:p w14:paraId="6A1D08F1">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11</w:t>
      </w:r>
      <w:r>
        <w:rPr>
          <w:rFonts w:hint="eastAsia" w:ascii="宋体" w:hAnsi="宋体"/>
          <w:sz w:val="24"/>
          <w:highlight w:val="none"/>
        </w:rPr>
        <w:t>）投标人认为需要提供的其他材料</w:t>
      </w:r>
    </w:p>
    <w:p w14:paraId="1F8A845B">
      <w:pPr>
        <w:spacing w:line="460" w:lineRule="exact"/>
        <w:ind w:firstLine="480" w:firstLineChars="200"/>
        <w:rPr>
          <w:rFonts w:ascii="宋体" w:hAnsi="宋体"/>
          <w:sz w:val="24"/>
          <w:highlight w:val="none"/>
        </w:rPr>
      </w:pPr>
      <w:r>
        <w:rPr>
          <w:rFonts w:hint="eastAsia" w:ascii="宋体" w:hAnsi="宋体"/>
          <w:sz w:val="24"/>
          <w:highlight w:val="none"/>
        </w:rPr>
        <w:t>（二）技术投标文件（以 A4 规格装订）应包括但不限以下内容：</w:t>
      </w:r>
    </w:p>
    <w:p w14:paraId="3F760D5E">
      <w:pPr>
        <w:spacing w:line="460" w:lineRule="exact"/>
        <w:ind w:firstLine="480" w:firstLineChars="200"/>
        <w:rPr>
          <w:rFonts w:ascii="宋体" w:hAnsi="宋体"/>
          <w:sz w:val="24"/>
          <w:highlight w:val="none"/>
        </w:rPr>
      </w:pPr>
      <w:r>
        <w:rPr>
          <w:rFonts w:hint="eastAsia" w:ascii="宋体" w:hAnsi="宋体"/>
          <w:sz w:val="24"/>
          <w:highlight w:val="none"/>
        </w:rPr>
        <w:t>技术投标文件组成由各投标人根据招标文件技术评分标准要求自行编写。</w:t>
      </w:r>
    </w:p>
    <w:p w14:paraId="660BA675">
      <w:pPr>
        <w:spacing w:beforeLines="20" w:line="460" w:lineRule="exact"/>
        <w:ind w:firstLine="480" w:firstLineChars="200"/>
        <w:rPr>
          <w:highlight w:val="none"/>
        </w:rPr>
      </w:pPr>
      <w:r>
        <w:rPr>
          <w:rFonts w:hint="eastAsia" w:ascii="宋体" w:hAnsi="宋体"/>
          <w:sz w:val="24"/>
          <w:highlight w:val="none"/>
        </w:rPr>
        <w:t>（三）保密信封</w:t>
      </w:r>
    </w:p>
    <w:p w14:paraId="18987055">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投标人应提供保密信封一个，保密信封袋内的内容应能准确分辨投标文件对应的投标人，</w:t>
      </w:r>
      <w:r>
        <w:rPr>
          <w:rFonts w:hint="eastAsia" w:ascii="宋体" w:hAnsi="宋体" w:cs="宋体"/>
          <w:kern w:val="1"/>
          <w:sz w:val="24"/>
          <w:szCs w:val="24"/>
          <w:highlight w:val="none"/>
        </w:rPr>
        <w:t>不递交保密信封或不加盖投标人公章的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bCs/>
          <w:sz w:val="24"/>
          <w:szCs w:val="24"/>
          <w:highlight w:val="none"/>
        </w:rPr>
        <w:t>。保密信封包括如下内容：</w:t>
      </w:r>
    </w:p>
    <w:p w14:paraId="12D90F5E">
      <w:pPr>
        <w:spacing w:beforeLines="20" w:line="460" w:lineRule="exact"/>
        <w:ind w:firstLine="480" w:firstLineChars="200"/>
        <w:rPr>
          <w:rFonts w:ascii="宋体" w:hAnsi="宋体"/>
          <w:sz w:val="24"/>
          <w:highlight w:val="none"/>
        </w:rPr>
      </w:pPr>
      <w:r>
        <w:rPr>
          <w:rFonts w:hint="eastAsia" w:ascii="宋体" w:hAnsi="宋体"/>
          <w:bCs/>
          <w:sz w:val="24"/>
          <w:highlight w:val="none"/>
        </w:rPr>
        <w:t>技术投标文件</w:t>
      </w:r>
      <w:r>
        <w:rPr>
          <w:rFonts w:hint="eastAsia" w:ascii="宋体" w:hAnsi="宋体"/>
          <w:bCs/>
          <w:sz w:val="24"/>
          <w:szCs w:val="24"/>
          <w:highlight w:val="none"/>
        </w:rPr>
        <w:t>（第二册）当中的有文字或图表内容的任意一张（A4规格），应带页码并与对应页码的</w:t>
      </w:r>
      <w:r>
        <w:rPr>
          <w:rFonts w:hint="eastAsia" w:ascii="宋体" w:hAnsi="宋体"/>
          <w:bCs/>
          <w:sz w:val="24"/>
          <w:highlight w:val="none"/>
        </w:rPr>
        <w:t>技术投标文件</w:t>
      </w:r>
      <w:r>
        <w:rPr>
          <w:rFonts w:hint="eastAsia" w:ascii="宋体" w:hAnsi="宋体"/>
          <w:bCs/>
          <w:sz w:val="24"/>
          <w:szCs w:val="24"/>
          <w:highlight w:val="none"/>
        </w:rPr>
        <w:t>一致</w:t>
      </w:r>
    </w:p>
    <w:p w14:paraId="76A07A6F">
      <w:pPr>
        <w:spacing w:line="46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四</w:t>
      </w:r>
      <w:r>
        <w:rPr>
          <w:rFonts w:hint="eastAsia" w:ascii="宋体" w:hAnsi="宋体"/>
          <w:sz w:val="24"/>
          <w:highlight w:val="none"/>
        </w:rPr>
        <w:t>）工程监理经济报价投标文件（A4纸规格）</w:t>
      </w:r>
    </w:p>
    <w:p w14:paraId="065175D8">
      <w:pPr>
        <w:spacing w:line="460" w:lineRule="exact"/>
        <w:ind w:firstLine="480" w:firstLineChars="200"/>
        <w:rPr>
          <w:rFonts w:ascii="宋体" w:hAnsi="宋体"/>
          <w:sz w:val="24"/>
          <w:highlight w:val="none"/>
        </w:rPr>
      </w:pPr>
      <w:r>
        <w:rPr>
          <w:rFonts w:hint="eastAsia" w:ascii="宋体" w:hAnsi="宋体"/>
          <w:sz w:val="24"/>
          <w:highlight w:val="none"/>
        </w:rPr>
        <w:t>工程监理经济报价书由各投标人根据招标文件要求自行编写。</w:t>
      </w:r>
    </w:p>
    <w:p w14:paraId="5ECE0435">
      <w:pPr>
        <w:spacing w:line="460" w:lineRule="exact"/>
        <w:ind w:firstLine="480" w:firstLineChars="200"/>
        <w:rPr>
          <w:rFonts w:ascii="宋体" w:hAnsi="宋体" w:cs="宋体"/>
          <w:kern w:val="0"/>
          <w:sz w:val="24"/>
          <w:highlight w:val="none"/>
        </w:rPr>
      </w:pPr>
      <w:r>
        <w:rPr>
          <w:rFonts w:ascii="宋体" w:hAnsi="宋体"/>
          <w:sz w:val="24"/>
          <w:highlight w:val="none"/>
        </w:rPr>
        <w:t>3.1.</w:t>
      </w:r>
      <w:r>
        <w:rPr>
          <w:rFonts w:hint="eastAsia" w:ascii="宋体" w:hAnsi="宋体"/>
          <w:sz w:val="24"/>
          <w:highlight w:val="none"/>
        </w:rPr>
        <w:t xml:space="preserve">2 </w:t>
      </w:r>
      <w:r>
        <w:rPr>
          <w:rFonts w:hint="eastAsia" w:ascii="宋体" w:hAnsi="宋体" w:cs="宋体"/>
          <w:kern w:val="0"/>
          <w:sz w:val="24"/>
          <w:highlight w:val="none"/>
        </w:rPr>
        <w:t xml:space="preserve">投标文件包括本须知第 </w:t>
      </w:r>
      <w:r>
        <w:rPr>
          <w:rFonts w:ascii="宋体" w:hAnsi="宋体" w:cs="宋体"/>
          <w:kern w:val="0"/>
          <w:sz w:val="24"/>
          <w:highlight w:val="none"/>
        </w:rPr>
        <w:t>3.1</w:t>
      </w:r>
      <w:r>
        <w:rPr>
          <w:rFonts w:hint="eastAsia" w:ascii="宋体" w:hAnsi="宋体" w:cs="宋体"/>
          <w:kern w:val="0"/>
          <w:sz w:val="24"/>
          <w:highlight w:val="none"/>
        </w:rPr>
        <w:t>.1 规定的内容，投标人提交的投标文件应当使用招标文件所提供的投标文件全部格式（表格可以按同样格式扩展）。</w:t>
      </w:r>
    </w:p>
    <w:p w14:paraId="75B8D9CD">
      <w:pPr>
        <w:spacing w:beforeLines="20" w:line="460" w:lineRule="exact"/>
        <w:ind w:firstLine="482" w:firstLineChars="200"/>
        <w:rPr>
          <w:rFonts w:hint="eastAsia" w:ascii="楷体_GB2312" w:hAnsi="宋体" w:eastAsia="楷体_GB2312" w:cs="宋体"/>
          <w:b/>
          <w:kern w:val="0"/>
          <w:sz w:val="24"/>
          <w:highlight w:val="none"/>
        </w:rPr>
      </w:pPr>
      <w:r>
        <w:rPr>
          <w:rFonts w:hint="eastAsia" w:ascii="楷体_GB2312" w:hAnsi="宋体" w:eastAsia="楷体_GB2312" w:cs="宋体"/>
          <w:b/>
          <w:kern w:val="0"/>
          <w:sz w:val="24"/>
          <w:highlight w:val="none"/>
        </w:rPr>
        <w:t>3.1.3 投标文件电子版内容</w:t>
      </w:r>
    </w:p>
    <w:p w14:paraId="62D2A844">
      <w:pPr>
        <w:spacing w:beforeLines="20" w:line="460" w:lineRule="exact"/>
        <w:ind w:firstLine="482" w:firstLineChars="200"/>
        <w:rPr>
          <w:rFonts w:ascii="楷体_GB2312" w:hAnsi="宋体" w:eastAsia="楷体_GB2312" w:cs="宋体"/>
          <w:b/>
          <w:kern w:val="0"/>
          <w:sz w:val="24"/>
          <w:highlight w:val="none"/>
        </w:rPr>
      </w:pPr>
      <w:r>
        <w:rPr>
          <w:rFonts w:hint="eastAsia" w:ascii="楷体_GB2312" w:hAnsi="宋体" w:eastAsia="楷体_GB2312" w:cs="宋体"/>
          <w:b/>
          <w:kern w:val="0"/>
          <w:sz w:val="24"/>
          <w:highlight w:val="none"/>
        </w:rPr>
        <w:t>投标人在递交投标文件的同时，需要递交：</w:t>
      </w:r>
    </w:p>
    <w:p w14:paraId="2585C469">
      <w:pPr>
        <w:spacing w:line="460" w:lineRule="exact"/>
        <w:ind w:firstLine="480" w:firstLineChars="200"/>
        <w:rPr>
          <w:rFonts w:hint="eastAsia" w:ascii="宋体" w:hAnsi="宋体" w:eastAsia="宋体" w:cs="宋体"/>
          <w:b w:val="0"/>
          <w:bCs w:val="0"/>
          <w:kern w:val="0"/>
          <w:sz w:val="24"/>
          <w:highlight w:val="none"/>
          <w:lang w:val="en-US" w:eastAsia="zh-CN"/>
        </w:rPr>
      </w:pPr>
      <w:r>
        <w:rPr>
          <w:rFonts w:hint="eastAsia" w:ascii="宋体" w:hAnsi="宋体" w:eastAsia="宋体" w:cs="宋体"/>
          <w:b w:val="0"/>
          <w:bCs w:val="0"/>
          <w:kern w:val="0"/>
          <w:sz w:val="24"/>
          <w:highlight w:val="none"/>
          <w:lang w:val="en-US" w:eastAsia="zh-CN"/>
        </w:rPr>
        <w:t>1.商务投标文件电子版（光盘一套，U盘一套），内容包括：</w:t>
      </w:r>
    </w:p>
    <w:p w14:paraId="368C9AEF">
      <w:pPr>
        <w:spacing w:line="460" w:lineRule="exact"/>
        <w:ind w:firstLine="480" w:firstLineChars="200"/>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（1）商务投标文件（第一册）的Word版；</w:t>
      </w:r>
    </w:p>
    <w:p w14:paraId="1C304591">
      <w:pPr>
        <w:spacing w:line="460" w:lineRule="exact"/>
        <w:ind w:firstLine="480" w:firstLineChars="200"/>
        <w:rPr>
          <w:rFonts w:hint="eastAsia" w:ascii="宋体" w:hAnsi="宋体" w:cs="宋体"/>
          <w:bCs w:val="0"/>
          <w:kern w:val="0"/>
          <w:sz w:val="24"/>
          <w:highlight w:val="none"/>
        </w:rPr>
      </w:pPr>
      <w:r>
        <w:rPr>
          <w:rFonts w:hint="eastAsia" w:ascii="宋体" w:hAnsi="宋体" w:eastAsia="宋体" w:cs="宋体"/>
          <w:b w:val="0"/>
          <w:bCs w:val="0"/>
          <w:kern w:val="0"/>
          <w:sz w:val="24"/>
          <w:highlight w:val="none"/>
        </w:rPr>
        <w:t>（2）商务投标文件（第一册）</w:t>
      </w:r>
      <w:r>
        <w:rPr>
          <w:rFonts w:hint="eastAsia" w:ascii="宋体" w:hAnsi="宋体" w:eastAsia="宋体" w:cs="宋体"/>
          <w:b w:val="0"/>
          <w:bCs w:val="0"/>
          <w:kern w:val="0"/>
          <w:sz w:val="24"/>
          <w:highlight w:val="none"/>
          <w:lang w:val="en-US" w:eastAsia="zh-CN"/>
        </w:rPr>
        <w:t>正本</w:t>
      </w:r>
      <w:r>
        <w:rPr>
          <w:rFonts w:hint="eastAsia" w:ascii="宋体" w:hAnsi="宋体" w:cs="宋体"/>
          <w:b w:val="0"/>
          <w:bCs w:val="0"/>
          <w:kern w:val="0"/>
          <w:sz w:val="24"/>
          <w:szCs w:val="20"/>
          <w:highlight w:val="none"/>
          <w:lang w:val="en-US" w:eastAsia="zh-CN"/>
        </w:rPr>
        <w:t>盖章签字</w:t>
      </w:r>
      <w:r>
        <w:rPr>
          <w:rFonts w:hint="eastAsia" w:ascii="宋体" w:hAnsi="宋体" w:eastAsia="宋体" w:cs="宋体"/>
          <w:b w:val="0"/>
          <w:bCs w:val="0"/>
          <w:kern w:val="0"/>
          <w:sz w:val="24"/>
          <w:highlight w:val="none"/>
          <w:lang w:val="en-US" w:eastAsia="zh-CN"/>
        </w:rPr>
        <w:t>扫描件</w:t>
      </w:r>
      <w:r>
        <w:rPr>
          <w:rFonts w:hint="eastAsia" w:ascii="宋体" w:hAnsi="宋体" w:eastAsia="宋体" w:cs="宋体"/>
          <w:b w:val="0"/>
          <w:bCs w:val="0"/>
          <w:kern w:val="0"/>
          <w:sz w:val="24"/>
          <w:highlight w:val="none"/>
        </w:rPr>
        <w:t>及其随附复印件所有内容的PDF格式的电子版，该内容应按投标文件纸质版（含随附复印件）的顺序排列。</w:t>
      </w:r>
    </w:p>
    <w:p w14:paraId="0C10F03D">
      <w:pPr>
        <w:widowControl/>
        <w:spacing w:line="460" w:lineRule="exact"/>
        <w:ind w:firstLine="480" w:firstLine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2.技术投标文件电子版（第</w:t>
      </w:r>
      <w:r>
        <w:rPr>
          <w:rFonts w:hint="eastAsia" w:ascii="宋体" w:hAnsi="宋体" w:eastAsia="宋体" w:cs="宋体"/>
          <w:kern w:val="0"/>
          <w:sz w:val="24"/>
          <w:szCs w:val="20"/>
          <w:highlight w:val="none"/>
          <w:lang w:val="en-US" w:eastAsia="zh-CN"/>
        </w:rPr>
        <w:t>二</w:t>
      </w:r>
      <w:r>
        <w:rPr>
          <w:rFonts w:hint="eastAsia" w:ascii="宋体" w:hAnsi="宋体" w:eastAsia="宋体" w:cs="宋体"/>
          <w:kern w:val="0"/>
          <w:sz w:val="24"/>
          <w:szCs w:val="20"/>
          <w:highlight w:val="none"/>
        </w:rPr>
        <w:t>册）（Word版，光盘一套，U盘一套）。</w:t>
      </w:r>
    </w:p>
    <w:p w14:paraId="2E5C04DA">
      <w:pPr>
        <w:spacing w:line="460" w:lineRule="exact"/>
        <w:ind w:firstLine="480" w:firstLineChars="200"/>
        <w:rPr>
          <w:rFonts w:hint="eastAsia" w:ascii="宋体" w:hAnsi="宋体" w:eastAsia="宋体" w:cs="宋体"/>
          <w:kern w:val="0"/>
          <w:sz w:val="24"/>
          <w:szCs w:val="20"/>
          <w:highlight w:val="none"/>
          <w:lang w:val="en-US" w:eastAsia="zh-CN" w:bidi="ar"/>
        </w:rPr>
      </w:pPr>
      <w:r>
        <w:rPr>
          <w:rFonts w:hint="eastAsia" w:ascii="宋体" w:hAnsi="宋体" w:eastAsia="宋体" w:cs="宋体"/>
          <w:kern w:val="0"/>
          <w:sz w:val="24"/>
          <w:szCs w:val="20"/>
          <w:highlight w:val="none"/>
          <w:lang w:val="en-US" w:eastAsia="zh-CN"/>
        </w:rPr>
        <w:t>3.经济报价投标文件</w:t>
      </w:r>
      <w:r>
        <w:rPr>
          <w:rFonts w:hint="eastAsia" w:ascii="宋体" w:hAnsi="宋体" w:eastAsia="宋体" w:cs="宋体"/>
          <w:kern w:val="0"/>
          <w:sz w:val="24"/>
          <w:szCs w:val="20"/>
          <w:highlight w:val="none"/>
          <w:lang w:val="en-US" w:eastAsia="zh-CN" w:bidi="ar"/>
        </w:rPr>
        <w:t>电子版</w:t>
      </w:r>
      <w:r>
        <w:rPr>
          <w:rFonts w:hint="eastAsia" w:ascii="宋体" w:hAnsi="宋体" w:eastAsia="宋体" w:cs="宋体"/>
          <w:kern w:val="0"/>
          <w:sz w:val="24"/>
          <w:szCs w:val="20"/>
          <w:highlight w:val="none"/>
        </w:rPr>
        <w:t>（第</w:t>
      </w:r>
      <w:r>
        <w:rPr>
          <w:rFonts w:hint="eastAsia" w:ascii="宋体" w:hAnsi="宋体" w:cs="宋体"/>
          <w:kern w:val="0"/>
          <w:sz w:val="24"/>
          <w:szCs w:val="20"/>
          <w:highlight w:val="none"/>
          <w:lang w:val="en-US" w:eastAsia="zh-CN"/>
        </w:rPr>
        <w:t>三</w:t>
      </w:r>
      <w:r>
        <w:rPr>
          <w:rFonts w:hint="eastAsia" w:ascii="宋体" w:hAnsi="宋体" w:eastAsia="宋体" w:cs="宋体"/>
          <w:kern w:val="0"/>
          <w:sz w:val="24"/>
          <w:szCs w:val="20"/>
          <w:highlight w:val="none"/>
        </w:rPr>
        <w:t>册）</w:t>
      </w:r>
      <w:r>
        <w:rPr>
          <w:rFonts w:hint="eastAsia" w:ascii="宋体" w:hAnsi="宋体" w:eastAsia="宋体" w:cs="宋体"/>
          <w:kern w:val="0"/>
          <w:sz w:val="24"/>
          <w:szCs w:val="20"/>
          <w:highlight w:val="none"/>
          <w:lang w:val="en-US" w:eastAsia="zh-CN" w:bidi="ar"/>
        </w:rPr>
        <w:t>（</w:t>
      </w:r>
      <w:r>
        <w:rPr>
          <w:rFonts w:hint="eastAsia" w:ascii="宋体" w:hAnsi="宋体" w:eastAsia="宋体" w:cs="宋体"/>
          <w:kern w:val="0"/>
          <w:sz w:val="24"/>
          <w:szCs w:val="20"/>
          <w:highlight w:val="none"/>
        </w:rPr>
        <w:t>光盘一套，U盘一套</w:t>
      </w:r>
      <w:r>
        <w:rPr>
          <w:rFonts w:hint="eastAsia" w:ascii="宋体" w:hAnsi="宋体" w:eastAsia="宋体" w:cs="宋体"/>
          <w:kern w:val="0"/>
          <w:sz w:val="24"/>
          <w:szCs w:val="20"/>
          <w:highlight w:val="none"/>
          <w:lang w:val="en-US" w:eastAsia="zh-CN" w:bidi="ar"/>
        </w:rPr>
        <w:t>）。</w:t>
      </w:r>
    </w:p>
    <w:p w14:paraId="65DCF0D4">
      <w:pPr>
        <w:spacing w:line="460" w:lineRule="exact"/>
        <w:ind w:firstLine="480" w:firstLineChars="200"/>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（1）工程监理投标报价书的Word版；</w:t>
      </w:r>
    </w:p>
    <w:p w14:paraId="60EAA924">
      <w:pPr>
        <w:spacing w:line="460" w:lineRule="exact"/>
        <w:ind w:firstLine="480" w:firstLineChars="200"/>
        <w:rPr>
          <w:rFonts w:hint="eastAsia" w:ascii="宋体" w:hAnsi="宋体" w:cs="宋体"/>
          <w:bCs w:val="0"/>
          <w:kern w:val="0"/>
          <w:sz w:val="24"/>
          <w:highlight w:val="none"/>
        </w:rPr>
      </w:pPr>
      <w:r>
        <w:rPr>
          <w:rFonts w:hint="eastAsia" w:ascii="宋体" w:hAnsi="宋体" w:eastAsia="宋体" w:cs="宋体"/>
          <w:b w:val="0"/>
          <w:bCs w:val="0"/>
          <w:kern w:val="0"/>
          <w:sz w:val="24"/>
          <w:highlight w:val="none"/>
        </w:rPr>
        <w:t>（2）工程监理投标报价书</w:t>
      </w:r>
      <w:r>
        <w:rPr>
          <w:rFonts w:hint="eastAsia" w:ascii="宋体" w:hAnsi="宋体" w:eastAsia="宋体" w:cs="宋体"/>
          <w:b w:val="0"/>
          <w:bCs w:val="0"/>
          <w:kern w:val="0"/>
          <w:sz w:val="24"/>
          <w:highlight w:val="none"/>
          <w:lang w:val="en-US" w:eastAsia="zh-CN"/>
        </w:rPr>
        <w:t>正本</w:t>
      </w:r>
      <w:r>
        <w:rPr>
          <w:rFonts w:hint="eastAsia" w:ascii="宋体" w:hAnsi="宋体" w:cs="宋体"/>
          <w:b w:val="0"/>
          <w:bCs w:val="0"/>
          <w:kern w:val="0"/>
          <w:sz w:val="24"/>
          <w:szCs w:val="20"/>
          <w:highlight w:val="none"/>
          <w:lang w:val="en-US" w:eastAsia="zh-CN"/>
        </w:rPr>
        <w:t>盖章签字</w:t>
      </w:r>
      <w:r>
        <w:rPr>
          <w:rFonts w:hint="eastAsia" w:ascii="宋体" w:hAnsi="宋体" w:eastAsia="宋体" w:cs="宋体"/>
          <w:b w:val="0"/>
          <w:bCs w:val="0"/>
          <w:kern w:val="0"/>
          <w:sz w:val="24"/>
          <w:highlight w:val="none"/>
          <w:lang w:val="en-US" w:eastAsia="zh-CN"/>
        </w:rPr>
        <w:t>扫描件</w:t>
      </w:r>
      <w:r>
        <w:rPr>
          <w:rFonts w:hint="eastAsia" w:ascii="宋体" w:hAnsi="宋体" w:eastAsia="宋体" w:cs="宋体"/>
          <w:b w:val="0"/>
          <w:bCs w:val="0"/>
          <w:kern w:val="0"/>
          <w:sz w:val="24"/>
          <w:highlight w:val="none"/>
        </w:rPr>
        <w:t>。</w:t>
      </w:r>
    </w:p>
    <w:p w14:paraId="0DEEC452">
      <w:pPr>
        <w:pStyle w:val="25"/>
        <w:numPr>
          <w:ilvl w:val="-1"/>
          <w:numId w:val="0"/>
        </w:numPr>
        <w:ind w:left="1440" w:firstLine="0"/>
        <w:rPr>
          <w:rFonts w:hint="eastAsia"/>
          <w:highlight w:val="none"/>
          <w:lang w:val="en-US" w:eastAsia="zh-CN"/>
        </w:rPr>
      </w:pPr>
    </w:p>
    <w:p w14:paraId="35DC0D4C">
      <w:pPr>
        <w:spacing w:beforeLines="100" w:line="480" w:lineRule="exact"/>
        <w:rPr>
          <w:rFonts w:ascii="宋体" w:hAnsi="宋体"/>
          <w:b/>
          <w:sz w:val="24"/>
          <w:szCs w:val="24"/>
          <w:highlight w:val="none"/>
        </w:rPr>
      </w:pPr>
      <w:r>
        <w:rPr>
          <w:rFonts w:hint="eastAsia" w:ascii="宋体" w:hAnsi="宋体"/>
          <w:b/>
          <w:sz w:val="24"/>
          <w:szCs w:val="24"/>
          <w:highlight w:val="none"/>
        </w:rPr>
        <w:t xml:space="preserve">3.2 </w:t>
      </w:r>
      <w:r>
        <w:rPr>
          <w:rFonts w:ascii="宋体" w:hAnsi="宋体"/>
          <w:b/>
          <w:sz w:val="24"/>
          <w:szCs w:val="24"/>
          <w:highlight w:val="none"/>
        </w:rPr>
        <w:t>投标</w:t>
      </w:r>
      <w:r>
        <w:rPr>
          <w:rFonts w:hint="eastAsia" w:ascii="宋体" w:hAnsi="宋体"/>
          <w:b/>
          <w:sz w:val="24"/>
          <w:szCs w:val="24"/>
          <w:highlight w:val="none"/>
        </w:rPr>
        <w:t>报价</w:t>
      </w:r>
    </w:p>
    <w:p w14:paraId="2C0CCDC3">
      <w:pPr>
        <w:spacing w:line="440" w:lineRule="exact"/>
        <w:ind w:firstLine="480" w:firstLineChars="200"/>
        <w:rPr>
          <w:rFonts w:ascii="宋体" w:hAnsi="宋体"/>
          <w:sz w:val="24"/>
          <w:szCs w:val="24"/>
          <w:highlight w:val="none"/>
        </w:rPr>
      </w:pPr>
      <w:r>
        <w:rPr>
          <w:rFonts w:hint="eastAsia" w:ascii="宋体" w:hAnsi="宋体"/>
          <w:sz w:val="24"/>
          <w:szCs w:val="24"/>
          <w:highlight w:val="none"/>
        </w:rPr>
        <w:t>3.2.1 本项目监理费用的计算参照</w:t>
      </w:r>
      <w:r>
        <w:rPr>
          <w:rFonts w:hint="eastAsia" w:hAnsi="宋体" w:cs="宋体"/>
          <w:sz w:val="24"/>
          <w:szCs w:val="24"/>
          <w:highlight w:val="none"/>
        </w:rPr>
        <w:t>《关于印发＜建设工程监理与相关服务收费管理规定＞的通知》（发改价格﹝2007﹞670号）规定标准，并按（发改价格〔2015〕299号）实行市场调节价。</w:t>
      </w:r>
      <w:r>
        <w:rPr>
          <w:rFonts w:hint="eastAsia" w:ascii="宋体" w:hAnsi="宋体"/>
          <w:sz w:val="24"/>
          <w:szCs w:val="24"/>
          <w:highlight w:val="none"/>
        </w:rPr>
        <w:t>本项目监理费暂按</w:t>
      </w:r>
      <w:r>
        <w:rPr>
          <w:rFonts w:hint="eastAsia" w:ascii="宋体" w:hAnsi="宋体"/>
          <w:sz w:val="24"/>
          <w:szCs w:val="24"/>
          <w:highlight w:val="none"/>
          <w:u w:val="single"/>
          <w:lang w:val="en-US" w:eastAsia="zh-CN"/>
        </w:rPr>
        <w:t xml:space="preserve"> 概算批复的建筑安装工程费14540 </w:t>
      </w:r>
      <w:r>
        <w:rPr>
          <w:rFonts w:hint="eastAsia" w:ascii="宋体" w:hAnsi="宋体"/>
          <w:sz w:val="24"/>
          <w:szCs w:val="24"/>
          <w:highlight w:val="none"/>
        </w:rPr>
        <w:t>万元为计费额，最终工程造价</w:t>
      </w:r>
      <w:r>
        <w:rPr>
          <w:rFonts w:hint="eastAsia" w:ascii="宋体" w:hAnsi="宋体" w:eastAsia="宋体" w:cs="Times New Roman"/>
          <w:sz w:val="24"/>
          <w:szCs w:val="24"/>
          <w:highlight w:val="none"/>
        </w:rPr>
        <w:t>以政府结算终审部门</w:t>
      </w:r>
      <w:r>
        <w:rPr>
          <w:rFonts w:hint="eastAsia" w:ascii="宋体" w:hAnsi="宋体"/>
          <w:sz w:val="24"/>
          <w:szCs w:val="24"/>
          <w:highlight w:val="none"/>
        </w:rPr>
        <w:t>的审定为准。</w:t>
      </w:r>
    </w:p>
    <w:p w14:paraId="0E503CCF">
      <w:pPr>
        <w:spacing w:line="440" w:lineRule="exact"/>
        <w:ind w:firstLine="480" w:firstLineChars="200"/>
        <w:rPr>
          <w:rFonts w:ascii="宋体" w:hAnsi="宋体"/>
          <w:sz w:val="24"/>
          <w:szCs w:val="24"/>
          <w:highlight w:val="none"/>
        </w:rPr>
      </w:pPr>
      <w:r>
        <w:rPr>
          <w:rFonts w:hint="eastAsia" w:ascii="宋体" w:hAnsi="宋体"/>
          <w:sz w:val="24"/>
          <w:szCs w:val="24"/>
          <w:highlight w:val="none"/>
        </w:rPr>
        <w:t>根据《</w:t>
      </w:r>
      <w:r>
        <w:rPr>
          <w:rFonts w:hint="eastAsia" w:hAnsi="宋体" w:cs="宋体"/>
          <w:sz w:val="24"/>
          <w:szCs w:val="24"/>
          <w:highlight w:val="none"/>
        </w:rPr>
        <w:t>关于印发＜建设工程监理与相关服务收费管理规定＞的通知</w:t>
      </w:r>
      <w:r>
        <w:rPr>
          <w:rFonts w:hint="eastAsia" w:ascii="宋体" w:hAnsi="宋体"/>
          <w:sz w:val="24"/>
          <w:szCs w:val="24"/>
          <w:highlight w:val="none"/>
        </w:rPr>
        <w:t>》（发改价格﹝2007﹞670号）的相关规定，本项目调整系数为：专业调整系数取</w:t>
      </w:r>
      <w:r>
        <w:rPr>
          <w:rFonts w:hint="eastAsia" w:ascii="宋体" w:hAnsi="宋体"/>
          <w:sz w:val="24"/>
          <w:szCs w:val="24"/>
          <w:highlight w:val="none"/>
          <w:u w:val="single"/>
          <w:lang w:val="en-US" w:eastAsia="zh-CN"/>
        </w:rPr>
        <w:t xml:space="preserve"> 1.0 </w:t>
      </w:r>
      <w:r>
        <w:rPr>
          <w:rFonts w:hint="eastAsia" w:ascii="宋体" w:hAnsi="宋体"/>
          <w:sz w:val="24"/>
          <w:szCs w:val="24"/>
          <w:highlight w:val="none"/>
        </w:rPr>
        <w:t>、工程复杂程度调整系数取</w:t>
      </w:r>
      <w:r>
        <w:rPr>
          <w:rFonts w:hint="eastAsia" w:ascii="宋体" w:hAnsi="宋体"/>
          <w:sz w:val="24"/>
          <w:szCs w:val="24"/>
          <w:highlight w:val="none"/>
          <w:u w:val="single"/>
          <w:lang w:val="en-US" w:eastAsia="zh-CN"/>
        </w:rPr>
        <w:t xml:space="preserve"> 1.0 </w:t>
      </w:r>
      <w:r>
        <w:rPr>
          <w:rFonts w:hint="eastAsia" w:ascii="宋体" w:hAnsi="宋体"/>
          <w:sz w:val="24"/>
          <w:szCs w:val="24"/>
          <w:highlight w:val="none"/>
        </w:rPr>
        <w:t>、高程调整系数取</w:t>
      </w:r>
      <w:r>
        <w:rPr>
          <w:rFonts w:hint="eastAsia" w:ascii="宋体" w:hAnsi="宋体"/>
          <w:sz w:val="24"/>
          <w:szCs w:val="24"/>
          <w:highlight w:val="none"/>
          <w:u w:val="single"/>
          <w:lang w:val="en-US" w:eastAsia="zh-CN"/>
        </w:rPr>
        <w:t xml:space="preserve"> 1.0 </w:t>
      </w:r>
      <w:r>
        <w:rPr>
          <w:rFonts w:hint="eastAsia" w:ascii="宋体" w:hAnsi="宋体"/>
          <w:sz w:val="24"/>
          <w:szCs w:val="24"/>
          <w:highlight w:val="none"/>
        </w:rPr>
        <w:t>， 计算监理服务收费基准价，以监理收费基准价¥</w:t>
      </w:r>
      <w:r>
        <w:rPr>
          <w:rFonts w:hint="eastAsia" w:ascii="宋体" w:hAnsi="宋体"/>
          <w:sz w:val="24"/>
          <w:szCs w:val="24"/>
          <w:highlight w:val="none"/>
          <w:u w:val="single"/>
          <w:lang w:val="en-US" w:eastAsia="zh-CN"/>
        </w:rPr>
        <w:t xml:space="preserve">  297.95 </w:t>
      </w:r>
      <w:r>
        <w:rPr>
          <w:rFonts w:hint="eastAsia" w:ascii="宋体" w:hAnsi="宋体"/>
          <w:sz w:val="24"/>
          <w:szCs w:val="24"/>
          <w:highlight w:val="none"/>
        </w:rPr>
        <w:t>万元作为招标控制价。</w:t>
      </w:r>
    </w:p>
    <w:p w14:paraId="3AF070CE">
      <w:pPr>
        <w:spacing w:line="440" w:lineRule="exact"/>
        <w:ind w:firstLine="480" w:firstLineChars="200"/>
        <w:rPr>
          <w:rFonts w:ascii="宋体" w:hAnsi="宋体"/>
          <w:sz w:val="24"/>
          <w:szCs w:val="24"/>
          <w:highlight w:val="none"/>
        </w:rPr>
      </w:pPr>
      <w:r>
        <w:rPr>
          <w:rFonts w:hint="eastAsia" w:ascii="宋体" w:hAnsi="宋体"/>
          <w:sz w:val="24"/>
          <w:szCs w:val="24"/>
          <w:highlight w:val="none"/>
        </w:rPr>
        <w:t>本项目监理报价以投报监理服务费下浮率的方式进行报价，在（</w:t>
      </w:r>
      <w:r>
        <w:rPr>
          <w:rFonts w:hint="eastAsia" w:ascii="宋体" w:hAnsi="宋体"/>
          <w:sz w:val="24"/>
          <w:szCs w:val="24"/>
          <w:highlight w:val="none"/>
          <w:lang w:val="en-US" w:eastAsia="zh-CN"/>
        </w:rPr>
        <w:t>20</w:t>
      </w:r>
      <w:r>
        <w:rPr>
          <w:rFonts w:hint="eastAsia" w:ascii="宋体" w:hAnsi="宋体"/>
          <w:sz w:val="24"/>
          <w:szCs w:val="24"/>
          <w:highlight w:val="none"/>
        </w:rPr>
        <w:t>%＜a≤</w:t>
      </w:r>
      <w:r>
        <w:rPr>
          <w:rFonts w:hint="eastAsia" w:ascii="宋体" w:hAnsi="宋体"/>
          <w:sz w:val="24"/>
          <w:szCs w:val="24"/>
          <w:highlight w:val="none"/>
          <w:lang w:val="en-US" w:eastAsia="zh-CN"/>
        </w:rPr>
        <w:t>40</w:t>
      </w:r>
      <w:r>
        <w:rPr>
          <w:rFonts w:hint="eastAsia" w:ascii="宋体" w:hAnsi="宋体"/>
          <w:sz w:val="24"/>
          <w:szCs w:val="24"/>
          <w:highlight w:val="none"/>
        </w:rPr>
        <w:t>%）的浮动幅度范围内投报一个监理服务费下浮率（</w:t>
      </w:r>
      <w:r>
        <w:rPr>
          <w:rFonts w:hint="eastAsia" w:ascii="宋体" w:hAnsi="宋体"/>
          <w:bCs/>
          <w:sz w:val="24"/>
          <w:szCs w:val="24"/>
          <w:highlight w:val="none"/>
        </w:rPr>
        <w:t>百分数保留二位小数</w:t>
      </w:r>
      <w:r>
        <w:rPr>
          <w:rFonts w:hint="eastAsia" w:ascii="宋体" w:hAnsi="宋体"/>
          <w:sz w:val="24"/>
          <w:szCs w:val="24"/>
          <w:highlight w:val="none"/>
        </w:rPr>
        <w:t>）作为结算本项目的监理服务收费计算的调整系数。每个投标人只允许有一个报价，多个报价或超出范围的投标报价其投标文件将被拒绝。</w:t>
      </w:r>
    </w:p>
    <w:p w14:paraId="3F088509">
      <w:pPr>
        <w:spacing w:line="440" w:lineRule="exact"/>
        <w:ind w:firstLine="480" w:firstLineChars="200"/>
        <w:rPr>
          <w:rFonts w:ascii="宋体" w:hAnsi="宋体"/>
          <w:sz w:val="24"/>
          <w:szCs w:val="24"/>
          <w:highlight w:val="none"/>
        </w:rPr>
      </w:pPr>
      <w:r>
        <w:rPr>
          <w:rFonts w:hint="eastAsia" w:ascii="宋体" w:hAnsi="宋体"/>
          <w:sz w:val="24"/>
          <w:szCs w:val="24"/>
          <w:highlight w:val="none"/>
        </w:rPr>
        <w:t xml:space="preserve">3.2.2 </w:t>
      </w:r>
      <w:r>
        <w:rPr>
          <w:rFonts w:ascii="宋体" w:hAnsi="宋体"/>
          <w:sz w:val="24"/>
          <w:szCs w:val="24"/>
          <w:highlight w:val="none"/>
        </w:rPr>
        <w:t>投标单位的投标</w:t>
      </w:r>
      <w:r>
        <w:rPr>
          <w:rFonts w:hint="eastAsia" w:ascii="宋体" w:hAnsi="宋体"/>
          <w:sz w:val="24"/>
          <w:szCs w:val="24"/>
          <w:highlight w:val="none"/>
        </w:rPr>
        <w:t>报</w:t>
      </w:r>
      <w:r>
        <w:rPr>
          <w:rFonts w:ascii="宋体" w:hAnsi="宋体"/>
          <w:sz w:val="24"/>
          <w:szCs w:val="24"/>
          <w:highlight w:val="none"/>
        </w:rPr>
        <w:t>价应是监理服务期内，监理单位按合同规定的范围</w:t>
      </w:r>
      <w:r>
        <w:rPr>
          <w:rFonts w:hint="eastAsia" w:ascii="宋体" w:hAnsi="宋体"/>
          <w:sz w:val="24"/>
          <w:szCs w:val="24"/>
          <w:highlight w:val="none"/>
        </w:rPr>
        <w:t>实施和完成本项目全部监理咨询工作所需的劳务费、技术服务费、检测、测量、抽检、交通、通讯、保险、税费和利润等监理业务有关一切费用，除非上述费用在合同中另有说明。</w:t>
      </w:r>
    </w:p>
    <w:p w14:paraId="17CEF911">
      <w:pPr>
        <w:spacing w:line="440" w:lineRule="exact"/>
        <w:ind w:firstLine="480" w:firstLineChars="200"/>
        <w:rPr>
          <w:rFonts w:ascii="宋体" w:hAnsi="宋体"/>
          <w:sz w:val="24"/>
          <w:szCs w:val="24"/>
          <w:highlight w:val="none"/>
        </w:rPr>
      </w:pPr>
      <w:r>
        <w:rPr>
          <w:rFonts w:hint="eastAsia" w:ascii="宋体" w:hAnsi="宋体"/>
          <w:sz w:val="24"/>
          <w:szCs w:val="24"/>
          <w:highlight w:val="none"/>
        </w:rPr>
        <w:t xml:space="preserve">3.2.3 </w:t>
      </w:r>
      <w:r>
        <w:rPr>
          <w:rFonts w:ascii="宋体" w:hAnsi="宋体"/>
          <w:sz w:val="24"/>
          <w:szCs w:val="24"/>
          <w:highlight w:val="none"/>
        </w:rPr>
        <w:t>投标价格不包括监理额外工作报酬、附加工作报酬、其它技术咨询服务报酬和业主给付的奖金。</w:t>
      </w:r>
    </w:p>
    <w:p w14:paraId="55C1C6E1">
      <w:pPr>
        <w:spacing w:line="460" w:lineRule="exact"/>
        <w:ind w:firstLine="480" w:firstLineChars="200"/>
        <w:rPr>
          <w:rFonts w:ascii="宋体" w:hAnsi="宋体"/>
          <w:spacing w:val="-4"/>
          <w:sz w:val="24"/>
          <w:szCs w:val="24"/>
          <w:highlight w:val="none"/>
        </w:rPr>
      </w:pPr>
      <w:r>
        <w:rPr>
          <w:rFonts w:hint="eastAsia" w:ascii="宋体" w:hAnsi="宋体"/>
          <w:sz w:val="24"/>
          <w:szCs w:val="24"/>
          <w:highlight w:val="none"/>
        </w:rPr>
        <w:t>3.2.4 监理人以中标价作为合同价款签署监理服务合同，并按合同专用条款的有关条款支付</w:t>
      </w:r>
      <w:r>
        <w:rPr>
          <w:rFonts w:ascii="宋体" w:hAnsi="宋体"/>
          <w:sz w:val="24"/>
          <w:szCs w:val="24"/>
          <w:highlight w:val="none"/>
        </w:rPr>
        <w:t>监理费</w:t>
      </w:r>
      <w:r>
        <w:rPr>
          <w:rFonts w:hint="eastAsia" w:ascii="宋体" w:hAnsi="宋体"/>
          <w:sz w:val="24"/>
          <w:szCs w:val="24"/>
          <w:highlight w:val="none"/>
        </w:rPr>
        <w:t>用。</w:t>
      </w:r>
      <w:r>
        <w:rPr>
          <w:sz w:val="24"/>
          <w:szCs w:val="24"/>
          <w:highlight w:val="none"/>
        </w:rPr>
        <w:t>本工程</w:t>
      </w:r>
      <w:r>
        <w:rPr>
          <w:rFonts w:hint="eastAsia" w:ascii="宋体" w:hAnsi="宋体"/>
          <w:sz w:val="24"/>
          <w:szCs w:val="24"/>
          <w:highlight w:val="none"/>
        </w:rPr>
        <w:t>监理服务</w:t>
      </w:r>
      <w:r>
        <w:rPr>
          <w:rFonts w:hint="eastAsia" w:ascii="宋体" w:hAnsi="宋体"/>
          <w:spacing w:val="-2"/>
          <w:sz w:val="24"/>
          <w:szCs w:val="24"/>
          <w:highlight w:val="none"/>
        </w:rPr>
        <w:t>结算价详见</w:t>
      </w:r>
      <w:r>
        <w:rPr>
          <w:rFonts w:hint="eastAsia" w:ascii="宋体" w:hAnsi="宋体"/>
          <w:spacing w:val="-2"/>
          <w:sz w:val="24"/>
          <w:szCs w:val="24"/>
          <w:highlight w:val="none"/>
          <w:lang w:val="en-US" w:eastAsia="zh-CN"/>
        </w:rPr>
        <w:t>本项目监理</w:t>
      </w:r>
      <w:r>
        <w:rPr>
          <w:rFonts w:hint="eastAsia" w:ascii="宋体" w:hAnsi="宋体"/>
          <w:spacing w:val="-2"/>
          <w:sz w:val="24"/>
          <w:szCs w:val="24"/>
          <w:highlight w:val="none"/>
        </w:rPr>
        <w:t>合同</w:t>
      </w:r>
      <w:r>
        <w:rPr>
          <w:rFonts w:hint="eastAsia" w:ascii="宋体" w:hAnsi="宋体"/>
          <w:sz w:val="24"/>
          <w:highlight w:val="none"/>
          <w:lang w:eastAsia="zh-CN"/>
        </w:rPr>
        <w:t>。</w:t>
      </w:r>
    </w:p>
    <w:p w14:paraId="6B74B987">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 xml:space="preserve">3.3 </w:t>
      </w:r>
      <w:r>
        <w:rPr>
          <w:rFonts w:hint="eastAsia" w:ascii="宋体" w:hAnsi="宋体" w:cs="黑体"/>
          <w:b/>
          <w:kern w:val="0"/>
          <w:sz w:val="24"/>
          <w:highlight w:val="none"/>
        </w:rPr>
        <w:t>投标有效期</w:t>
      </w:r>
    </w:p>
    <w:p w14:paraId="55836390">
      <w:pPr>
        <w:autoSpaceDE w:val="0"/>
        <w:autoSpaceDN w:val="0"/>
        <w:adjustRightInd w:val="0"/>
        <w:spacing w:line="440" w:lineRule="exact"/>
        <w:ind w:firstLine="480" w:firstLineChars="200"/>
        <w:rPr>
          <w:rFonts w:ascii="宋体" w:hAnsi="宋体" w:cs="宋体"/>
          <w:spacing w:val="-8"/>
          <w:kern w:val="0"/>
          <w:sz w:val="24"/>
          <w:highlight w:val="none"/>
        </w:rPr>
      </w:pPr>
      <w:r>
        <w:rPr>
          <w:rFonts w:ascii="宋体" w:hAnsi="宋体" w:cs="宋体"/>
          <w:kern w:val="0"/>
          <w:sz w:val="24"/>
          <w:highlight w:val="none"/>
        </w:rPr>
        <w:t>3.3.1</w:t>
      </w:r>
      <w:r>
        <w:rPr>
          <w:rFonts w:hint="eastAsia" w:ascii="宋体" w:hAnsi="宋体" w:cs="宋体"/>
          <w:kern w:val="0"/>
          <w:sz w:val="24"/>
          <w:highlight w:val="none"/>
        </w:rPr>
        <w:t>在投标人须知前附表规定的投标有效期内，投标人不得要求撤销或修改其投标文件</w:t>
      </w:r>
      <w:r>
        <w:rPr>
          <w:rFonts w:hint="eastAsia" w:ascii="宋体" w:hAnsi="宋体" w:cs="宋体"/>
          <w:spacing w:val="-8"/>
          <w:kern w:val="0"/>
          <w:sz w:val="24"/>
          <w:highlight w:val="none"/>
        </w:rPr>
        <w:t>。</w:t>
      </w:r>
    </w:p>
    <w:p w14:paraId="47C31D90">
      <w:pPr>
        <w:spacing w:line="440" w:lineRule="exact"/>
        <w:ind w:firstLine="480" w:firstLineChars="200"/>
        <w:rPr>
          <w:rFonts w:ascii="宋体" w:hAnsi="宋体" w:cs="宋体"/>
          <w:kern w:val="0"/>
          <w:sz w:val="24"/>
          <w:highlight w:val="none"/>
        </w:rPr>
      </w:pPr>
      <w:r>
        <w:rPr>
          <w:rFonts w:ascii="宋体" w:hAnsi="宋体" w:cs="宋体"/>
          <w:kern w:val="0"/>
          <w:sz w:val="24"/>
          <w:highlight w:val="none"/>
        </w:rPr>
        <w:t>3.3.2</w:t>
      </w:r>
      <w:r>
        <w:rPr>
          <w:rFonts w:hint="eastAsia"/>
          <w:sz w:val="24"/>
          <w:szCs w:val="24"/>
          <w:highlight w:val="none"/>
        </w:rPr>
        <w:t>出现特殊情况需要延长投标有效期的，</w:t>
      </w:r>
      <w:r>
        <w:rPr>
          <w:rFonts w:hint="eastAsia" w:ascii="宋体" w:hAnsi="宋体" w:cs="宋体"/>
          <w:kern w:val="0"/>
          <w:sz w:val="24"/>
          <w:highlight w:val="none"/>
        </w:rPr>
        <w:t>招标</w:t>
      </w:r>
      <w:r>
        <w:rPr>
          <w:rFonts w:hint="eastAsia"/>
          <w:sz w:val="24"/>
          <w:szCs w:val="24"/>
          <w:highlight w:val="none"/>
        </w:rPr>
        <w:t>人可通过</w:t>
      </w:r>
      <w:r>
        <w:rPr>
          <w:rFonts w:hint="eastAsia" w:ascii="宋体" w:hAnsi="宋体" w:cs="宋体"/>
          <w:bCs/>
          <w:spacing w:val="10"/>
          <w:sz w:val="24"/>
          <w:highlight w:val="none"/>
          <w:lang w:eastAsia="zh-CN"/>
        </w:rPr>
        <w:t>广州交易集团有限公司（广州公共资源交易中心）</w:t>
      </w:r>
      <w:r>
        <w:rPr>
          <w:rFonts w:hint="eastAsia" w:ascii="宋体" w:hAnsi="宋体" w:cs="宋体"/>
          <w:bCs/>
          <w:spacing w:val="10"/>
          <w:sz w:val="24"/>
          <w:highlight w:val="none"/>
          <w:lang w:val="en-US" w:eastAsia="zh-CN"/>
        </w:rPr>
        <w:t>网站</w:t>
      </w:r>
      <w:r>
        <w:rPr>
          <w:rFonts w:hint="eastAsia"/>
          <w:sz w:val="24"/>
          <w:szCs w:val="24"/>
          <w:highlight w:val="none"/>
        </w:rPr>
        <w:t>发布通知所有投标人延长投标有效期。投标人同意延长的，应相应延长其投标保证金的有效期，但不得要求或被允许修改或撤销其投标文件；投标人拒绝延长的，其投标失效，但投标人有权收回其投标保证金。</w:t>
      </w:r>
    </w:p>
    <w:p w14:paraId="71D351E3">
      <w:pPr>
        <w:autoSpaceDE w:val="0"/>
        <w:autoSpaceDN w:val="0"/>
        <w:adjustRightInd w:val="0"/>
        <w:spacing w:beforeLines="100" w:line="480" w:lineRule="exact"/>
        <w:jc w:val="left"/>
        <w:rPr>
          <w:rFonts w:ascii="宋体" w:hAnsi="宋体" w:cs="黑体"/>
          <w:b/>
          <w:kern w:val="0"/>
          <w:sz w:val="24"/>
          <w:highlight w:val="none"/>
        </w:rPr>
      </w:pPr>
      <w:r>
        <w:rPr>
          <w:rFonts w:ascii="宋体" w:hAnsi="宋体" w:cs="黑体"/>
          <w:b/>
          <w:kern w:val="0"/>
          <w:sz w:val="24"/>
          <w:highlight w:val="none"/>
        </w:rPr>
        <w:t xml:space="preserve">3.4 </w:t>
      </w:r>
      <w:r>
        <w:rPr>
          <w:rFonts w:hint="eastAsia" w:ascii="宋体" w:hAnsi="宋体" w:cs="黑体"/>
          <w:b/>
          <w:kern w:val="0"/>
          <w:sz w:val="24"/>
          <w:highlight w:val="none"/>
        </w:rPr>
        <w:t>投标保证金</w:t>
      </w:r>
    </w:p>
    <w:p w14:paraId="0CDA8A4E">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sz w:val="24"/>
          <w:szCs w:val="24"/>
          <w:highlight w:val="none"/>
        </w:rPr>
        <w:t>本项目</w:t>
      </w:r>
      <w:r>
        <w:rPr>
          <w:rFonts w:hint="eastAsia" w:ascii="宋体" w:hAnsi="宋体"/>
          <w:kern w:val="2"/>
          <w:sz w:val="24"/>
          <w:szCs w:val="24"/>
          <w:highlight w:val="none"/>
        </w:rPr>
        <w:t>不要求递交投标保证金</w:t>
      </w:r>
      <w:r>
        <w:rPr>
          <w:rFonts w:hint="eastAsia" w:ascii="宋体" w:hAnsi="宋体" w:cs="宋体"/>
          <w:kern w:val="0"/>
          <w:sz w:val="24"/>
          <w:highlight w:val="none"/>
        </w:rPr>
        <w:t>。</w:t>
      </w:r>
    </w:p>
    <w:p w14:paraId="1208E35F">
      <w:pPr>
        <w:autoSpaceDE w:val="0"/>
        <w:autoSpaceDN w:val="0"/>
        <w:adjustRightInd w:val="0"/>
        <w:spacing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3.5 </w:t>
      </w:r>
      <w:r>
        <w:rPr>
          <w:rFonts w:hint="eastAsia" w:ascii="宋体" w:hAnsi="宋体" w:cs="TimesNewRomanPSMT"/>
          <w:b/>
          <w:kern w:val="0"/>
          <w:sz w:val="24"/>
          <w:highlight w:val="none"/>
        </w:rPr>
        <w:t>资格审查资料</w:t>
      </w:r>
    </w:p>
    <w:p w14:paraId="4D1EBAA1">
      <w:pPr>
        <w:autoSpaceDE w:val="0"/>
        <w:autoSpaceDN w:val="0"/>
        <w:adjustRightInd w:val="0"/>
        <w:spacing w:line="440" w:lineRule="exact"/>
        <w:ind w:firstLine="480" w:firstLineChars="200"/>
        <w:rPr>
          <w:rFonts w:ascii="宋体" w:hAnsi="宋体" w:cs="宋体"/>
          <w:spacing w:val="-2"/>
          <w:kern w:val="0"/>
          <w:sz w:val="24"/>
          <w:highlight w:val="none"/>
        </w:rPr>
      </w:pPr>
      <w:r>
        <w:rPr>
          <w:rFonts w:ascii="宋体" w:hAnsi="宋体" w:cs="宋体"/>
          <w:kern w:val="0"/>
          <w:sz w:val="24"/>
          <w:highlight w:val="none"/>
        </w:rPr>
        <w:t>3.5.</w:t>
      </w:r>
      <w:r>
        <w:rPr>
          <w:rFonts w:hint="eastAsia" w:ascii="宋体" w:hAnsi="宋体" w:cs="宋体"/>
          <w:kern w:val="0"/>
          <w:sz w:val="24"/>
          <w:highlight w:val="none"/>
        </w:rPr>
        <w:t>1</w:t>
      </w:r>
      <w:r>
        <w:rPr>
          <w:rFonts w:hint="eastAsia" w:ascii="宋体" w:hAnsi="TimesNewRomanPSMT" w:cs="宋体"/>
          <w:spacing w:val="-2"/>
          <w:kern w:val="0"/>
          <w:sz w:val="24"/>
          <w:szCs w:val="24"/>
          <w:highlight w:val="none"/>
        </w:rPr>
        <w:t>投标人在编制投标文件时</w:t>
      </w:r>
      <w:r>
        <w:rPr>
          <w:rFonts w:hint="eastAsia" w:ascii="宋体" w:hAnsi="宋体" w:cs="宋体"/>
          <w:spacing w:val="-2"/>
          <w:kern w:val="0"/>
          <w:sz w:val="24"/>
          <w:highlight w:val="none"/>
        </w:rPr>
        <w:t>，应按投标人须知前附表以及本须知第</w:t>
      </w:r>
      <w:r>
        <w:rPr>
          <w:rFonts w:hint="eastAsia" w:ascii="宋体" w:hAnsi="宋体"/>
          <w:spacing w:val="-2"/>
          <w:kern w:val="0"/>
          <w:sz w:val="24"/>
          <w:highlight w:val="none"/>
        </w:rPr>
        <w:t>3.1.1款</w:t>
      </w:r>
      <w:r>
        <w:rPr>
          <w:rFonts w:hint="eastAsia" w:ascii="宋体" w:hAnsi="宋体" w:cs="Tahoma"/>
          <w:spacing w:val="-2"/>
          <w:sz w:val="24"/>
          <w:highlight w:val="none"/>
        </w:rPr>
        <w:t>要求提交</w:t>
      </w:r>
      <w:r>
        <w:rPr>
          <w:rFonts w:hint="eastAsia" w:ascii="宋体" w:hAnsi="宋体" w:cs="宋体"/>
          <w:spacing w:val="-2"/>
          <w:kern w:val="0"/>
          <w:sz w:val="24"/>
          <w:highlight w:val="none"/>
        </w:rPr>
        <w:t>所列的内容，</w:t>
      </w:r>
      <w:r>
        <w:rPr>
          <w:rFonts w:hint="eastAsia" w:ascii="宋体" w:hAnsi="宋体"/>
          <w:sz w:val="24"/>
          <w:highlight w:val="none"/>
        </w:rPr>
        <w:t>以证实其具备承担本工程监理的资质条件、能力和信誉。</w:t>
      </w:r>
    </w:p>
    <w:p w14:paraId="183A3621">
      <w:pPr>
        <w:autoSpaceDE w:val="0"/>
        <w:autoSpaceDN w:val="0"/>
        <w:adjustRightIn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）“投标人基本情况表”应附投标人营业执照副本、资质证书副本等材料的复印件。</w:t>
      </w:r>
    </w:p>
    <w:p w14:paraId="4E5E8005">
      <w:pPr>
        <w:autoSpaceDE w:val="0"/>
        <w:autoSpaceDN w:val="0"/>
        <w:adjustRightInd w:val="0"/>
        <w:spacing w:line="460" w:lineRule="exact"/>
        <w:ind w:firstLine="480" w:firstLineChars="200"/>
        <w:rPr>
          <w:rFonts w:hint="eastAsia" w:ascii="宋体" w:hAnsi="宋体" w:eastAsia="宋体" w:cs="宋体"/>
          <w:kern w:val="0"/>
          <w:sz w:val="24"/>
          <w:highlight w:val="none"/>
          <w:lang w:eastAsia="zh-CN"/>
        </w:rPr>
      </w:pPr>
      <w:r>
        <w:rPr>
          <w:rFonts w:hint="eastAsia" w:ascii="宋体" w:hAnsi="宋体" w:cs="宋体"/>
          <w:kern w:val="0"/>
          <w:sz w:val="24"/>
          <w:highlight w:val="none"/>
        </w:rPr>
        <w:t>（</w:t>
      </w:r>
      <w:r>
        <w:rPr>
          <w:rFonts w:hint="eastAsia" w:ascii="宋体" w:hAnsi="宋体" w:cs="宋体"/>
          <w:kern w:val="0"/>
          <w:sz w:val="24"/>
          <w:highlight w:val="none"/>
          <w:lang w:val="en-US" w:eastAsia="zh-CN"/>
        </w:rPr>
        <w:t>2</w:t>
      </w:r>
      <w:r>
        <w:rPr>
          <w:rFonts w:hint="eastAsia" w:ascii="宋体" w:hAnsi="宋体" w:cs="宋体"/>
          <w:kern w:val="0"/>
          <w:sz w:val="24"/>
          <w:highlight w:val="none"/>
        </w:rPr>
        <w:t>）“近年发生的诉讼及仲裁情况”</w:t>
      </w:r>
      <w:r>
        <w:rPr>
          <w:rFonts w:hint="eastAsia" w:ascii="宋体" w:hAnsi="宋体" w:cs="宋体"/>
          <w:kern w:val="0"/>
          <w:sz w:val="24"/>
          <w:szCs w:val="24"/>
          <w:highlight w:val="none"/>
        </w:rPr>
        <w:t>由投标人按表格要求的内容如实填写，</w:t>
      </w:r>
      <w:r>
        <w:rPr>
          <w:rFonts w:hint="eastAsia" w:ascii="宋体" w:hAnsi="宋体" w:cs="宋体"/>
          <w:kern w:val="0"/>
          <w:sz w:val="24"/>
          <w:highlight w:val="none"/>
        </w:rPr>
        <w:t>对企业诉讼及仲裁情况的真实性负责</w:t>
      </w:r>
      <w:r>
        <w:rPr>
          <w:rFonts w:hint="eastAsia" w:ascii="宋体" w:hAnsi="宋体" w:cs="宋体"/>
          <w:kern w:val="0"/>
          <w:sz w:val="24"/>
          <w:szCs w:val="24"/>
          <w:highlight w:val="none"/>
        </w:rPr>
        <w:t>，并</w:t>
      </w:r>
      <w:r>
        <w:rPr>
          <w:rFonts w:hint="eastAsia" w:ascii="宋体" w:hAnsi="宋体" w:cs="宋体"/>
          <w:kern w:val="0"/>
          <w:sz w:val="24"/>
          <w:highlight w:val="none"/>
        </w:rPr>
        <w:t>说明相关情况，附法院或仲裁机构作出的判决、裁决等有关法律文书复印件，</w:t>
      </w:r>
      <w:r>
        <w:rPr>
          <w:rFonts w:hint="eastAsia" w:ascii="宋体" w:hAnsi="宋体"/>
          <w:sz w:val="24"/>
          <w:szCs w:val="22"/>
          <w:highlight w:val="none"/>
        </w:rPr>
        <w:t>具体要求见商务投标文件格式要求</w:t>
      </w:r>
      <w:r>
        <w:rPr>
          <w:rFonts w:hint="eastAsia" w:ascii="宋体" w:hAnsi="宋体" w:cs="宋体"/>
          <w:kern w:val="0"/>
          <w:sz w:val="24"/>
          <w:highlight w:val="none"/>
        </w:rPr>
        <w:t>。</w:t>
      </w:r>
    </w:p>
    <w:p w14:paraId="318C0BC9">
      <w:pPr>
        <w:autoSpaceDE w:val="0"/>
        <w:autoSpaceDN w:val="0"/>
        <w:adjustRightInd w:val="0"/>
        <w:spacing w:line="440" w:lineRule="exact"/>
        <w:ind w:firstLine="480" w:firstLineChars="200"/>
        <w:rPr>
          <w:rFonts w:ascii="宋体" w:hAnsi="宋体" w:cs="宋体"/>
          <w:kern w:val="0"/>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w:t>
      </w:r>
      <w:r>
        <w:rPr>
          <w:rFonts w:hint="eastAsia" w:ascii="宋体" w:hAnsi="宋体" w:cs="宋体"/>
          <w:kern w:val="0"/>
          <w:sz w:val="24"/>
          <w:szCs w:val="24"/>
          <w:highlight w:val="none"/>
        </w:rPr>
        <w:t>“</w:t>
      </w:r>
      <w:r>
        <w:rPr>
          <w:rFonts w:hint="eastAsia" w:ascii="宋体" w:hAnsi="宋体"/>
          <w:sz w:val="24"/>
          <w:szCs w:val="24"/>
          <w:highlight w:val="none"/>
        </w:rPr>
        <w:t>企业其他信誉情况表</w:t>
      </w:r>
      <w:r>
        <w:rPr>
          <w:rFonts w:hint="eastAsia" w:ascii="宋体" w:hAnsi="宋体" w:cs="宋体"/>
          <w:kern w:val="0"/>
          <w:sz w:val="24"/>
          <w:szCs w:val="24"/>
          <w:highlight w:val="none"/>
        </w:rPr>
        <w:t>” 由投标人按表格要求的内容如实填写，</w:t>
      </w:r>
      <w:r>
        <w:rPr>
          <w:rFonts w:hint="eastAsia" w:ascii="宋体" w:hAnsi="宋体"/>
          <w:spacing w:val="6"/>
          <w:sz w:val="24"/>
          <w:szCs w:val="24"/>
          <w:highlight w:val="none"/>
        </w:rPr>
        <w:t>简述近三年内</w:t>
      </w:r>
      <w:r>
        <w:rPr>
          <w:rFonts w:hint="eastAsia" w:ascii="宋体" w:hAnsi="宋体" w:cs="宋体"/>
          <w:kern w:val="0"/>
          <w:sz w:val="24"/>
          <w:szCs w:val="24"/>
          <w:highlight w:val="none"/>
        </w:rPr>
        <w:t>投标人企业信誉方面的相关情况及信用中国网站查询的投标人信息情况，</w:t>
      </w:r>
      <w:r>
        <w:rPr>
          <w:rFonts w:hint="eastAsia" w:ascii="宋体" w:hAnsi="宋体" w:cs="宋体"/>
          <w:kern w:val="0"/>
          <w:sz w:val="24"/>
          <w:highlight w:val="none"/>
        </w:rPr>
        <w:t>并对陈述企业信誉情况的真实性负责</w:t>
      </w:r>
      <w:r>
        <w:rPr>
          <w:rFonts w:hint="eastAsia" w:ascii="宋体" w:hAnsi="宋体" w:cs="宋体"/>
          <w:kern w:val="0"/>
          <w:sz w:val="24"/>
          <w:szCs w:val="24"/>
          <w:highlight w:val="none"/>
        </w:rPr>
        <w:t>，具体要求见商务投标文件格式要求。</w:t>
      </w:r>
    </w:p>
    <w:p w14:paraId="5E046876">
      <w:pPr>
        <w:autoSpaceDE w:val="0"/>
        <w:autoSpaceDN w:val="0"/>
        <w:adjustRightInd w:val="0"/>
        <w:spacing w:line="440" w:lineRule="exact"/>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4</w:t>
      </w:r>
      <w:r>
        <w:rPr>
          <w:rFonts w:hint="eastAsia" w:ascii="宋体" w:hAnsi="宋体"/>
          <w:sz w:val="24"/>
          <w:highlight w:val="none"/>
        </w:rPr>
        <w:t>）“</w:t>
      </w:r>
      <w:r>
        <w:rPr>
          <w:rFonts w:ascii="宋体" w:hAnsi="宋体"/>
          <w:sz w:val="24"/>
          <w:szCs w:val="24"/>
          <w:highlight w:val="none"/>
        </w:rPr>
        <w:t>拟</w:t>
      </w:r>
      <w:r>
        <w:rPr>
          <w:rFonts w:hint="eastAsia" w:ascii="宋体" w:hAnsi="宋体"/>
          <w:sz w:val="24"/>
          <w:szCs w:val="24"/>
          <w:highlight w:val="none"/>
        </w:rPr>
        <w:t>委派本项目</w:t>
      </w:r>
      <w:r>
        <w:rPr>
          <w:rFonts w:ascii="宋体" w:hAnsi="宋体"/>
          <w:sz w:val="24"/>
          <w:szCs w:val="24"/>
          <w:highlight w:val="none"/>
        </w:rPr>
        <w:t>监理人员情况汇总表</w:t>
      </w:r>
      <w:r>
        <w:rPr>
          <w:rFonts w:hint="eastAsia" w:ascii="宋体" w:hAnsi="宋体"/>
          <w:sz w:val="24"/>
          <w:highlight w:val="none"/>
        </w:rPr>
        <w:t>”</w:t>
      </w:r>
      <w:r>
        <w:rPr>
          <w:rFonts w:hint="eastAsia" w:ascii="宋体" w:hAnsi="宋体" w:cs="宋体"/>
          <w:kern w:val="0"/>
          <w:sz w:val="24"/>
          <w:szCs w:val="24"/>
          <w:highlight w:val="none"/>
        </w:rPr>
        <w:t>由投标人按表格要求的内容如实填写</w:t>
      </w:r>
      <w:r>
        <w:rPr>
          <w:rFonts w:hint="eastAsia" w:ascii="宋体" w:hAnsi="宋体"/>
          <w:sz w:val="24"/>
          <w:highlight w:val="none"/>
        </w:rPr>
        <w:t>，具体要求见商务投标文件格式要求。</w:t>
      </w:r>
    </w:p>
    <w:p w14:paraId="63942286">
      <w:pPr>
        <w:autoSpaceDE w:val="0"/>
        <w:autoSpaceDN w:val="0"/>
        <w:adjustRightInd w:val="0"/>
        <w:spacing w:line="440" w:lineRule="exact"/>
        <w:ind w:firstLine="480" w:firstLineChars="200"/>
        <w:rPr>
          <w:rFonts w:ascii="宋体" w:hAnsi="宋体"/>
          <w:sz w:val="24"/>
          <w:szCs w:val="22"/>
          <w:highlight w:val="none"/>
        </w:rPr>
      </w:pPr>
      <w:r>
        <w:rPr>
          <w:rFonts w:hint="eastAsia" w:ascii="宋体" w:hAnsi="宋体" w:cs="宋体"/>
          <w:kern w:val="0"/>
          <w:sz w:val="24"/>
          <w:highlight w:val="none"/>
        </w:rPr>
        <w:t>（</w:t>
      </w:r>
      <w:r>
        <w:rPr>
          <w:rFonts w:hint="eastAsia" w:ascii="宋体" w:hAnsi="宋体" w:cs="宋体"/>
          <w:kern w:val="0"/>
          <w:sz w:val="24"/>
          <w:highlight w:val="none"/>
          <w:lang w:val="en-US" w:eastAsia="zh-CN"/>
        </w:rPr>
        <w:t>5</w:t>
      </w:r>
      <w:r>
        <w:rPr>
          <w:rFonts w:hint="eastAsia" w:ascii="宋体" w:hAnsi="宋体" w:cs="宋体"/>
          <w:kern w:val="0"/>
          <w:sz w:val="24"/>
          <w:highlight w:val="none"/>
        </w:rPr>
        <w:t>）“</w:t>
      </w:r>
      <w:r>
        <w:rPr>
          <w:rFonts w:ascii="宋体" w:hAnsi="宋体"/>
          <w:sz w:val="24"/>
          <w:szCs w:val="24"/>
          <w:highlight w:val="none"/>
        </w:rPr>
        <w:t>拟</w:t>
      </w:r>
      <w:r>
        <w:rPr>
          <w:rFonts w:hint="eastAsia" w:ascii="宋体" w:hAnsi="宋体"/>
          <w:sz w:val="24"/>
          <w:szCs w:val="24"/>
          <w:highlight w:val="none"/>
        </w:rPr>
        <w:t>委任本项目总</w:t>
      </w:r>
      <w:r>
        <w:rPr>
          <w:rFonts w:ascii="宋体" w:hAnsi="宋体"/>
          <w:sz w:val="24"/>
          <w:szCs w:val="24"/>
          <w:highlight w:val="none"/>
        </w:rPr>
        <w:t>监理</w:t>
      </w:r>
      <w:r>
        <w:rPr>
          <w:rFonts w:hint="eastAsia" w:ascii="宋体" w:hAnsi="宋体"/>
          <w:sz w:val="24"/>
          <w:szCs w:val="24"/>
          <w:highlight w:val="none"/>
        </w:rPr>
        <w:t>工程师</w:t>
      </w:r>
      <w:r>
        <w:rPr>
          <w:rFonts w:ascii="宋体" w:hAnsi="宋体"/>
          <w:sz w:val="24"/>
          <w:szCs w:val="24"/>
          <w:highlight w:val="none"/>
        </w:rPr>
        <w:t>工作简历表</w:t>
      </w:r>
      <w:r>
        <w:rPr>
          <w:rFonts w:hint="eastAsia" w:ascii="宋体" w:hAnsi="宋体" w:cs="宋体"/>
          <w:kern w:val="0"/>
          <w:sz w:val="24"/>
          <w:highlight w:val="none"/>
        </w:rPr>
        <w:t xml:space="preserve">” </w:t>
      </w:r>
      <w:r>
        <w:rPr>
          <w:rFonts w:hint="eastAsia" w:ascii="宋体" w:hAnsi="宋体" w:cs="宋体"/>
          <w:kern w:val="0"/>
          <w:sz w:val="24"/>
          <w:szCs w:val="24"/>
          <w:highlight w:val="none"/>
        </w:rPr>
        <w:t>由投标人</w:t>
      </w:r>
      <w:r>
        <w:rPr>
          <w:rFonts w:hint="eastAsia" w:ascii="宋体" w:hAnsi="宋体"/>
          <w:sz w:val="24"/>
          <w:szCs w:val="22"/>
          <w:highlight w:val="none"/>
        </w:rPr>
        <w:t>按表格要求的内容如实填写，并按表后附注说明提供相关资料复印件，具体要求见商务投标文件格式要求。</w:t>
      </w:r>
    </w:p>
    <w:p w14:paraId="09C2C087">
      <w:pPr>
        <w:autoSpaceDE w:val="0"/>
        <w:autoSpaceDN w:val="0"/>
        <w:adjustRightInd w:val="0"/>
        <w:spacing w:line="440" w:lineRule="exact"/>
        <w:ind w:firstLine="480" w:firstLineChars="200"/>
        <w:rPr>
          <w:rFonts w:ascii="宋体" w:hAnsi="宋体"/>
          <w:sz w:val="24"/>
          <w:szCs w:val="22"/>
          <w:highlight w:val="none"/>
        </w:rPr>
      </w:pPr>
      <w:r>
        <w:rPr>
          <w:rFonts w:hint="eastAsia" w:ascii="宋体" w:hAnsi="宋体" w:cs="宋体"/>
          <w:kern w:val="0"/>
          <w:sz w:val="24"/>
          <w:highlight w:val="none"/>
        </w:rPr>
        <w:t>（</w:t>
      </w:r>
      <w:r>
        <w:rPr>
          <w:rFonts w:hint="eastAsia" w:ascii="宋体" w:hAnsi="宋体" w:cs="宋体"/>
          <w:kern w:val="0"/>
          <w:sz w:val="24"/>
          <w:highlight w:val="none"/>
          <w:lang w:val="en-US" w:eastAsia="zh-CN"/>
        </w:rPr>
        <w:t>6</w:t>
      </w:r>
      <w:r>
        <w:rPr>
          <w:rFonts w:hint="eastAsia" w:ascii="宋体" w:hAnsi="宋体" w:cs="宋体"/>
          <w:kern w:val="0"/>
          <w:sz w:val="24"/>
          <w:highlight w:val="none"/>
        </w:rPr>
        <w:t>）“</w:t>
      </w:r>
      <w:r>
        <w:rPr>
          <w:rFonts w:ascii="宋体" w:hAnsi="宋体"/>
          <w:sz w:val="24"/>
          <w:szCs w:val="24"/>
          <w:highlight w:val="none"/>
        </w:rPr>
        <w:t>拟</w:t>
      </w:r>
      <w:r>
        <w:rPr>
          <w:rFonts w:hint="eastAsia" w:ascii="宋体" w:hAnsi="宋体"/>
          <w:sz w:val="24"/>
          <w:szCs w:val="24"/>
          <w:highlight w:val="none"/>
        </w:rPr>
        <w:t>委任本项目</w:t>
      </w:r>
      <w:r>
        <w:rPr>
          <w:rFonts w:ascii="宋体" w:hAnsi="宋体"/>
          <w:sz w:val="24"/>
          <w:szCs w:val="24"/>
          <w:highlight w:val="none"/>
        </w:rPr>
        <w:t>监理人员工作简历表</w:t>
      </w:r>
      <w:r>
        <w:rPr>
          <w:rFonts w:hint="eastAsia" w:ascii="宋体" w:hAnsi="宋体" w:cs="宋体"/>
          <w:kern w:val="0"/>
          <w:sz w:val="24"/>
          <w:highlight w:val="none"/>
        </w:rPr>
        <w:t>”</w:t>
      </w:r>
      <w:r>
        <w:rPr>
          <w:rFonts w:hint="eastAsia" w:ascii="宋体" w:hAnsi="宋体" w:cs="宋体"/>
          <w:kern w:val="0"/>
          <w:sz w:val="24"/>
          <w:szCs w:val="24"/>
          <w:highlight w:val="none"/>
        </w:rPr>
        <w:t xml:space="preserve"> 由投标人按表格要求的内容如实填写，</w:t>
      </w:r>
      <w:r>
        <w:rPr>
          <w:rFonts w:hint="eastAsia" w:ascii="宋体" w:hAnsi="宋体"/>
          <w:sz w:val="24"/>
          <w:highlight w:val="none"/>
        </w:rPr>
        <w:t>投标人</w:t>
      </w:r>
      <w:r>
        <w:rPr>
          <w:rFonts w:hint="eastAsia" w:ascii="宋体" w:hAnsi="宋体"/>
          <w:sz w:val="24"/>
          <w:szCs w:val="24"/>
          <w:highlight w:val="none"/>
        </w:rPr>
        <w:t>拟派本项目所有</w:t>
      </w:r>
      <w:r>
        <w:rPr>
          <w:rFonts w:hint="eastAsia" w:ascii="宋体" w:hAnsi="宋体"/>
          <w:spacing w:val="4"/>
          <w:sz w:val="24"/>
          <w:szCs w:val="24"/>
          <w:highlight w:val="none"/>
        </w:rPr>
        <w:t>监理</w:t>
      </w:r>
      <w:r>
        <w:rPr>
          <w:rFonts w:hint="eastAsia" w:ascii="宋体" w:hAnsi="宋体"/>
          <w:sz w:val="24"/>
          <w:szCs w:val="24"/>
          <w:highlight w:val="none"/>
        </w:rPr>
        <w:t>人员</w:t>
      </w:r>
      <w:r>
        <w:rPr>
          <w:rFonts w:hint="eastAsia" w:ascii="宋体" w:hAnsi="宋体" w:cs="宋体"/>
          <w:kern w:val="0"/>
          <w:sz w:val="24"/>
          <w:highlight w:val="none"/>
        </w:rPr>
        <w:t>应一人一表填写本表，</w:t>
      </w:r>
      <w:r>
        <w:rPr>
          <w:rFonts w:hint="eastAsia" w:ascii="宋体" w:hAnsi="宋体"/>
          <w:sz w:val="24"/>
          <w:szCs w:val="22"/>
          <w:highlight w:val="none"/>
        </w:rPr>
        <w:t>并按表后附注说明提供相关资料复印件，具体要求见商务投标文件格式要求。</w:t>
      </w:r>
    </w:p>
    <w:p w14:paraId="7811164F">
      <w:pPr>
        <w:autoSpaceDE w:val="0"/>
        <w:autoSpaceDN w:val="0"/>
        <w:adjustRightInd w:val="0"/>
        <w:spacing w:line="440" w:lineRule="exact"/>
        <w:ind w:firstLine="480" w:firstLineChars="200"/>
        <w:rPr>
          <w:rFonts w:ascii="宋体" w:hAnsi="宋体"/>
          <w:sz w:val="24"/>
          <w:szCs w:val="24"/>
          <w:highlight w:val="none"/>
        </w:rPr>
      </w:pPr>
      <w:r>
        <w:rPr>
          <w:rFonts w:hint="eastAsia" w:ascii="宋体" w:hAnsi="宋体"/>
          <w:sz w:val="24"/>
          <w:highlight w:val="none"/>
        </w:rPr>
        <w:t xml:space="preserve">3.5.2 </w:t>
      </w:r>
      <w:r>
        <w:rPr>
          <w:rFonts w:hint="eastAsia" w:ascii="宋体" w:hAnsi="宋体" w:cs="宋体"/>
          <w:sz w:val="24"/>
          <w:szCs w:val="24"/>
          <w:highlight w:val="none"/>
        </w:rPr>
        <w:t>招标人有权保留对投标人所提交的</w:t>
      </w:r>
      <w:r>
        <w:rPr>
          <w:rFonts w:hint="eastAsia" w:ascii="宋体" w:hAnsi="宋体"/>
          <w:sz w:val="24"/>
          <w:highlight w:val="none"/>
        </w:rPr>
        <w:t>资格审查证明</w:t>
      </w:r>
      <w:r>
        <w:rPr>
          <w:rFonts w:hint="eastAsia" w:ascii="宋体" w:hAnsi="宋体" w:cs="宋体"/>
          <w:sz w:val="24"/>
          <w:szCs w:val="24"/>
          <w:highlight w:val="none"/>
        </w:rPr>
        <w:t>资料进</w:t>
      </w:r>
      <w:r>
        <w:rPr>
          <w:rFonts w:hint="eastAsia" w:ascii="宋体" w:hAnsi="宋体"/>
          <w:sz w:val="24"/>
          <w:highlight w:val="none"/>
        </w:rPr>
        <w:t>一步</w:t>
      </w:r>
      <w:r>
        <w:rPr>
          <w:rFonts w:hint="eastAsia" w:ascii="宋体" w:hAnsi="宋体" w:cs="宋体"/>
          <w:sz w:val="24"/>
          <w:szCs w:val="24"/>
          <w:highlight w:val="none"/>
        </w:rPr>
        <w:t>核实和要求澄清的权力，投标人应对报送证明材料的真实性负责。</w:t>
      </w:r>
      <w:r>
        <w:rPr>
          <w:rFonts w:hint="eastAsia" w:ascii="宋体" w:hAnsi="宋体"/>
          <w:sz w:val="24"/>
          <w:highlight w:val="none"/>
        </w:rPr>
        <w:t>若发现投标人有提供虚假资料的行为，招标人有权取消其中标资格并没收其投标保证金</w:t>
      </w:r>
      <w:r>
        <w:rPr>
          <w:rFonts w:hint="eastAsia" w:ascii="宋体" w:hAnsi="宋体"/>
          <w:sz w:val="24"/>
          <w:szCs w:val="24"/>
          <w:highlight w:val="none"/>
        </w:rPr>
        <w:t>，同时招标人将投标人以上弄虚作假行为上报建设行政主管部门。</w:t>
      </w:r>
    </w:p>
    <w:p w14:paraId="37B2F32D">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 xml:space="preserve">3.6 </w:t>
      </w:r>
      <w:r>
        <w:rPr>
          <w:rFonts w:hint="eastAsia" w:ascii="宋体" w:hAnsi="宋体" w:cs="黑体"/>
          <w:b/>
          <w:kern w:val="0"/>
          <w:sz w:val="24"/>
          <w:highlight w:val="none"/>
        </w:rPr>
        <w:t>备选投标方案</w:t>
      </w:r>
    </w:p>
    <w:p w14:paraId="6B4F9493">
      <w:pPr>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02DBDE92">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 xml:space="preserve">3.7 </w:t>
      </w:r>
      <w:r>
        <w:rPr>
          <w:rFonts w:hint="eastAsia" w:ascii="宋体" w:hAnsi="宋体" w:cs="黑体"/>
          <w:b/>
          <w:kern w:val="0"/>
          <w:sz w:val="24"/>
          <w:highlight w:val="none"/>
        </w:rPr>
        <w:t>投标文件的编制</w:t>
      </w:r>
    </w:p>
    <w:p w14:paraId="2C346555">
      <w:pPr>
        <w:autoSpaceDE w:val="0"/>
        <w:autoSpaceDN w:val="0"/>
        <w:adjustRightInd w:val="0"/>
        <w:spacing w:line="440" w:lineRule="exact"/>
        <w:ind w:firstLine="480" w:firstLineChars="200"/>
        <w:rPr>
          <w:rFonts w:ascii="宋体" w:hAnsi="宋体" w:cs="宋体"/>
          <w:spacing w:val="-2"/>
          <w:kern w:val="0"/>
          <w:sz w:val="24"/>
          <w:highlight w:val="none"/>
        </w:rPr>
      </w:pPr>
      <w:r>
        <w:rPr>
          <w:rFonts w:ascii="宋体" w:hAnsi="宋体" w:cs="宋体"/>
          <w:kern w:val="0"/>
          <w:sz w:val="24"/>
          <w:highlight w:val="none"/>
        </w:rPr>
        <w:t xml:space="preserve">3.7.1 </w:t>
      </w:r>
      <w:r>
        <w:rPr>
          <w:rFonts w:hint="eastAsia" w:ascii="宋体" w:hAnsi="宋体" w:cs="宋体"/>
          <w:spacing w:val="-2"/>
          <w:kern w:val="0"/>
          <w:sz w:val="24"/>
          <w:highlight w:val="none"/>
        </w:rPr>
        <w:t>投标文件应按第五章“投标文件格式”进行编写，如有必要可增加附页，投标文件要求后附的证件或证书复印件必须加盖投标人的公章，作为投标文件的组成部分。</w:t>
      </w:r>
    </w:p>
    <w:p w14:paraId="4A6A892A">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3.7.2 </w:t>
      </w:r>
      <w:r>
        <w:rPr>
          <w:rFonts w:hint="eastAsia" w:ascii="宋体" w:hAnsi="宋体" w:cs="宋体"/>
          <w:kern w:val="0"/>
          <w:sz w:val="24"/>
          <w:highlight w:val="none"/>
        </w:rPr>
        <w:t>商务投标文件应当对招标文件有关监理服务期限、投标有效期、质量要求、技术标准和要求、招标范围等实质性内容作出响应。</w:t>
      </w:r>
    </w:p>
    <w:p w14:paraId="22517A22">
      <w:pPr>
        <w:autoSpaceDE w:val="0"/>
        <w:autoSpaceDN w:val="0"/>
        <w:adjustRightInd w:val="0"/>
        <w:spacing w:line="440" w:lineRule="exact"/>
        <w:ind w:firstLine="480" w:firstLineChars="200"/>
        <w:rPr>
          <w:rFonts w:ascii="宋体" w:hAnsi="宋体"/>
          <w:b/>
          <w:sz w:val="24"/>
          <w:highlight w:val="none"/>
        </w:rPr>
      </w:pPr>
      <w:r>
        <w:rPr>
          <w:rFonts w:hint="eastAsia" w:ascii="宋体" w:hAnsi="宋体" w:cs="宋体"/>
          <w:kern w:val="0"/>
          <w:sz w:val="24"/>
          <w:highlight w:val="none"/>
        </w:rPr>
        <w:t xml:space="preserve">3.7.3 </w:t>
      </w:r>
      <w:r>
        <w:rPr>
          <w:rFonts w:hint="eastAsia" w:ascii="宋体" w:hAnsi="Times New Roman" w:eastAsia="宋体" w:cs="Times New Roman"/>
          <w:sz w:val="24"/>
          <w:szCs w:val="24"/>
          <w:highlight w:val="none"/>
        </w:rPr>
        <w:t>商务投标文件</w:t>
      </w:r>
      <w:r>
        <w:rPr>
          <w:rFonts w:hint="eastAsia" w:ascii="宋体" w:hAnsi="宋体" w:cs="宋体"/>
          <w:kern w:val="0"/>
          <w:sz w:val="24"/>
          <w:highlight w:val="none"/>
        </w:rPr>
        <w:t>及</w:t>
      </w:r>
      <w:r>
        <w:rPr>
          <w:rFonts w:hint="eastAsia" w:ascii="宋体" w:hAnsi="Times New Roman" w:eastAsia="宋体" w:cs="Times New Roman"/>
          <w:sz w:val="24"/>
          <w:szCs w:val="24"/>
          <w:highlight w:val="none"/>
          <w:lang w:val="en-US" w:eastAsia="zh-CN"/>
        </w:rPr>
        <w:t>经济报价投标文件</w:t>
      </w:r>
      <w:r>
        <w:rPr>
          <w:rFonts w:hint="eastAsia"/>
          <w:sz w:val="24"/>
          <w:highlight w:val="none"/>
        </w:rPr>
        <w:t>的内容应按</w:t>
      </w:r>
      <w:r>
        <w:rPr>
          <w:rFonts w:ascii="宋体" w:hAnsi="宋体" w:cs="宋体"/>
          <w:kern w:val="0"/>
          <w:sz w:val="24"/>
          <w:highlight w:val="none"/>
        </w:rPr>
        <w:t>A4</w:t>
      </w:r>
      <w:r>
        <w:rPr>
          <w:rFonts w:hint="eastAsia" w:ascii="宋体" w:hAnsi="宋体" w:cs="宋体"/>
          <w:kern w:val="0"/>
          <w:sz w:val="24"/>
          <w:highlight w:val="none"/>
        </w:rPr>
        <w:t>纸规格用</w:t>
      </w:r>
      <w:r>
        <w:rPr>
          <w:rFonts w:hint="eastAsia"/>
          <w:sz w:val="24"/>
          <w:highlight w:val="none"/>
        </w:rPr>
        <w:t>不褪色的材料书写或打印，</w:t>
      </w:r>
      <w:r>
        <w:rPr>
          <w:rFonts w:hint="eastAsia" w:ascii="宋体" w:hAnsi="宋体" w:cs="宋体"/>
          <w:sz w:val="24"/>
          <w:highlight w:val="none"/>
        </w:rPr>
        <w:t>并要求投标人按招标文件提供的格式进行正确签署和盖章，</w:t>
      </w:r>
      <w:r>
        <w:rPr>
          <w:rFonts w:hint="eastAsia" w:ascii="宋体" w:hAnsi="宋体" w:cs="宋体"/>
          <w:kern w:val="0"/>
          <w:sz w:val="24"/>
          <w:highlight w:val="none"/>
        </w:rPr>
        <w:t>签字栏中如标明是法定代表人签署必须是法定代表人亲笔签署，如标注是</w:t>
      </w: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签署的可由法定代表人签署也</w:t>
      </w:r>
      <w:r>
        <w:rPr>
          <w:rFonts w:hint="eastAsia" w:ascii="宋体" w:hAnsi="宋体" w:cs="宋体"/>
          <w:kern w:val="0"/>
          <w:sz w:val="24"/>
          <w:szCs w:val="24"/>
          <w:highlight w:val="none"/>
        </w:rPr>
        <w:t>可由委托代理人</w:t>
      </w:r>
      <w:r>
        <w:rPr>
          <w:rFonts w:hint="eastAsia" w:ascii="宋体" w:hAnsi="宋体" w:cs="宋体"/>
          <w:kern w:val="0"/>
          <w:sz w:val="24"/>
          <w:highlight w:val="none"/>
        </w:rPr>
        <w:t>亲笔</w:t>
      </w:r>
      <w:r>
        <w:rPr>
          <w:rFonts w:hint="eastAsia" w:ascii="宋体" w:hAnsi="宋体" w:cs="宋体"/>
          <w:kern w:val="0"/>
          <w:sz w:val="24"/>
          <w:szCs w:val="24"/>
          <w:highlight w:val="none"/>
        </w:rPr>
        <w:t>签署（</w:t>
      </w:r>
      <w:r>
        <w:rPr>
          <w:rFonts w:hint="eastAsia" w:ascii="宋体" w:hAnsi="宋体"/>
          <w:sz w:val="24"/>
          <w:highlight w:val="none"/>
        </w:rPr>
        <w:t>有</w:t>
      </w:r>
      <w:r>
        <w:rPr>
          <w:rFonts w:hint="eastAsia" w:ascii="宋体" w:hAnsi="宋体" w:cs="宋体"/>
          <w:kern w:val="0"/>
          <w:sz w:val="24"/>
          <w:szCs w:val="24"/>
          <w:highlight w:val="none"/>
        </w:rPr>
        <w:t>法人授权委托证明书）</w:t>
      </w:r>
      <w:r>
        <w:rPr>
          <w:rFonts w:hint="eastAsia" w:ascii="宋体" w:hAnsi="宋体"/>
          <w:sz w:val="24"/>
          <w:highlight w:val="none"/>
        </w:rPr>
        <w:t>，</w:t>
      </w:r>
      <w:r>
        <w:rPr>
          <w:rFonts w:hint="eastAsia" w:ascii="宋体" w:hAnsi="宋体" w:cs="宋体"/>
          <w:kern w:val="0"/>
          <w:sz w:val="24"/>
          <w:szCs w:val="24"/>
          <w:highlight w:val="none"/>
        </w:rPr>
        <w:t>不得使用印章、签名章或其他电子制版签名代替，</w:t>
      </w:r>
      <w:r>
        <w:rPr>
          <w:rFonts w:hint="eastAsia" w:ascii="宋体" w:hAnsi="宋体" w:cs="宋体"/>
          <w:spacing w:val="-4"/>
          <w:kern w:val="0"/>
          <w:sz w:val="24"/>
          <w:highlight w:val="none"/>
        </w:rPr>
        <w:t>联合体投标的由牵头人</w:t>
      </w:r>
      <w:r>
        <w:rPr>
          <w:rFonts w:hint="eastAsia" w:ascii="宋体" w:hAnsi="宋体" w:cs="宋体"/>
          <w:sz w:val="24"/>
          <w:highlight w:val="none"/>
        </w:rPr>
        <w:t>签署和</w:t>
      </w:r>
      <w:r>
        <w:rPr>
          <w:rFonts w:hint="eastAsia" w:ascii="宋体" w:hAnsi="宋体" w:cs="宋体"/>
          <w:spacing w:val="-4"/>
          <w:kern w:val="0"/>
          <w:sz w:val="24"/>
          <w:highlight w:val="none"/>
        </w:rPr>
        <w:t>盖章，</w:t>
      </w:r>
      <w:r>
        <w:rPr>
          <w:rFonts w:hint="eastAsia" w:ascii="宋体" w:hAnsi="宋体" w:cs="宋体"/>
          <w:kern w:val="0"/>
          <w:sz w:val="24"/>
          <w:highlight w:val="none"/>
        </w:rPr>
        <w:t>不按招标文件要求签署和盖章的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14:paraId="50469F98">
      <w:pPr>
        <w:autoSpaceDE w:val="0"/>
        <w:autoSpaceDN w:val="0"/>
        <w:adjustRightInd w:val="0"/>
        <w:spacing w:line="440" w:lineRule="exact"/>
        <w:ind w:firstLine="480" w:firstLineChars="200"/>
        <w:rPr>
          <w:rFonts w:ascii="宋体" w:hAnsi="宋体"/>
          <w:sz w:val="24"/>
          <w:highlight w:val="none"/>
        </w:rPr>
      </w:pPr>
      <w:r>
        <w:rPr>
          <w:rFonts w:hint="eastAsia" w:ascii="宋体" w:hAnsi="宋体"/>
          <w:sz w:val="24"/>
          <w:highlight w:val="none"/>
        </w:rPr>
        <w:t>如果投标文件由委托代理人签署及到场参加开标会的，应同时提交</w:t>
      </w:r>
      <w:r>
        <w:rPr>
          <w:rFonts w:hint="eastAsia" w:ascii="宋体" w:hAnsi="宋体" w:cs="宋体"/>
          <w:kern w:val="0"/>
          <w:sz w:val="24"/>
          <w:highlight w:val="none"/>
        </w:rPr>
        <w:t>法定代表人证明书及法定代表人亲笔签发的授权委托书</w:t>
      </w:r>
      <w:r>
        <w:rPr>
          <w:rFonts w:hint="eastAsia" w:ascii="宋体" w:hAnsi="宋体"/>
          <w:sz w:val="24"/>
          <w:highlight w:val="none"/>
        </w:rPr>
        <w:t>，原件装订在投标文件的正本中。法人授权委托证明书格式、签署及内容均应符合要求，否则法人授权委托证明书无效。如投标文件由投标人的法定代表人签署及到场参加开标会的，只须提交有效的</w:t>
      </w:r>
      <w:r>
        <w:rPr>
          <w:rFonts w:hint="eastAsia" w:ascii="宋体" w:hAnsi="宋体" w:cs="宋体"/>
          <w:kern w:val="0"/>
          <w:sz w:val="24"/>
          <w:highlight w:val="none"/>
        </w:rPr>
        <w:t>法定代表人证明书，</w:t>
      </w:r>
      <w:r>
        <w:rPr>
          <w:rFonts w:hint="eastAsia" w:ascii="宋体" w:hAnsi="宋体"/>
          <w:sz w:val="24"/>
          <w:highlight w:val="none"/>
        </w:rPr>
        <w:t>原件装订在投标文件的正本中。</w:t>
      </w:r>
    </w:p>
    <w:p w14:paraId="112DA66A">
      <w:pPr>
        <w:autoSpaceDE w:val="0"/>
        <w:autoSpaceDN w:val="0"/>
        <w:adjustRightInd w:val="0"/>
        <w:spacing w:line="440" w:lineRule="exact"/>
        <w:ind w:firstLine="480" w:firstLineChars="200"/>
        <w:rPr>
          <w:rFonts w:ascii="宋体" w:hAnsi="宋体"/>
          <w:sz w:val="24"/>
          <w:highlight w:val="none"/>
        </w:rPr>
      </w:pPr>
      <w:r>
        <w:rPr>
          <w:rFonts w:hint="eastAsia" w:ascii="宋体" w:hAnsi="宋体" w:cs="宋体"/>
          <w:kern w:val="0"/>
          <w:sz w:val="24"/>
          <w:highlight w:val="none"/>
        </w:rPr>
        <w:t>商务</w:t>
      </w:r>
      <w:r>
        <w:rPr>
          <w:rFonts w:hint="eastAsia"/>
          <w:sz w:val="24"/>
          <w:highlight w:val="none"/>
        </w:rPr>
        <w:t>投标文件应尽量避免涂改、行间插字或删除。如果出现上述情况，改动之处应加盖单位章或由投标人的法定代表人或其授权的代理人签字确认。</w:t>
      </w:r>
    </w:p>
    <w:p w14:paraId="7165168B">
      <w:pPr>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3.7.4</w:t>
      </w:r>
      <w:r>
        <w:rPr>
          <w:rFonts w:hint="eastAsia" w:ascii="宋体" w:hAnsi="宋体"/>
          <w:sz w:val="24"/>
          <w:highlight w:val="none"/>
        </w:rPr>
        <w:t>投标人向招标人递交投标人须知前附表规定份数的投标文件。投标文件应在其封面清楚注明“正本”和“副本”字样。当纸质版副本、电子版与纸质版正本不一致时，以纸质版正本为准。</w:t>
      </w:r>
    </w:p>
    <w:p w14:paraId="0A183AE6">
      <w:pPr>
        <w:spacing w:line="440" w:lineRule="exact"/>
        <w:ind w:firstLine="480" w:firstLineChars="200"/>
        <w:rPr>
          <w:rFonts w:ascii="宋体" w:hAnsi="宋体"/>
          <w:spacing w:val="-3"/>
          <w:sz w:val="24"/>
          <w:szCs w:val="24"/>
          <w:highlight w:val="none"/>
        </w:rPr>
      </w:pPr>
      <w:r>
        <w:rPr>
          <w:rFonts w:hint="eastAsia" w:ascii="宋体" w:hAnsi="宋体"/>
          <w:sz w:val="24"/>
          <w:highlight w:val="none"/>
        </w:rPr>
        <w:t xml:space="preserve">3.7.5 </w:t>
      </w:r>
      <w:r>
        <w:rPr>
          <w:rFonts w:hint="eastAsia" w:ascii="宋体" w:hAnsi="宋体"/>
          <w:spacing w:val="-3"/>
          <w:sz w:val="24"/>
          <w:szCs w:val="24"/>
          <w:highlight w:val="none"/>
        </w:rPr>
        <w:t>投标文件的正本与副本应分别装订成册，并</w:t>
      </w:r>
      <w:r>
        <w:rPr>
          <w:rFonts w:ascii="宋体" w:hAnsi="宋体"/>
          <w:spacing w:val="-3"/>
          <w:sz w:val="24"/>
          <w:highlight w:val="none"/>
        </w:rPr>
        <w:t>编制目录</w:t>
      </w:r>
      <w:r>
        <w:rPr>
          <w:rFonts w:hint="eastAsia" w:ascii="宋体" w:hAnsi="宋体"/>
          <w:spacing w:val="-3"/>
          <w:sz w:val="24"/>
          <w:highlight w:val="none"/>
        </w:rPr>
        <w:t>且逐页标注连续页码</w:t>
      </w:r>
      <w:r>
        <w:rPr>
          <w:rFonts w:hint="eastAsia" w:ascii="宋体" w:hAnsi="宋体"/>
          <w:spacing w:val="-3"/>
          <w:sz w:val="24"/>
          <w:szCs w:val="24"/>
          <w:highlight w:val="none"/>
        </w:rPr>
        <w:t>；商务</w:t>
      </w:r>
      <w:r>
        <w:rPr>
          <w:rFonts w:ascii="宋体" w:hAnsi="宋体"/>
          <w:spacing w:val="-3"/>
          <w:sz w:val="24"/>
          <w:szCs w:val="24"/>
          <w:highlight w:val="none"/>
        </w:rPr>
        <w:t>投标文件</w:t>
      </w:r>
      <w:r>
        <w:rPr>
          <w:rFonts w:hint="eastAsia" w:ascii="宋体" w:hAnsi="宋体"/>
          <w:spacing w:val="-3"/>
          <w:sz w:val="24"/>
          <w:szCs w:val="24"/>
          <w:highlight w:val="none"/>
          <w:lang w:val="en-US" w:eastAsia="zh-CN"/>
        </w:rPr>
        <w:t>及</w:t>
      </w:r>
      <w:r>
        <w:rPr>
          <w:rFonts w:hint="eastAsia" w:ascii="宋体" w:hAnsi="Times New Roman" w:eastAsia="宋体" w:cs="Times New Roman"/>
          <w:sz w:val="24"/>
          <w:szCs w:val="24"/>
          <w:highlight w:val="none"/>
          <w:lang w:val="en-US" w:eastAsia="zh-CN"/>
        </w:rPr>
        <w:t>经济报价投标文件</w:t>
      </w:r>
      <w:r>
        <w:rPr>
          <w:rFonts w:hint="eastAsia" w:ascii="宋体" w:cs="Times New Roman"/>
          <w:sz w:val="24"/>
          <w:szCs w:val="24"/>
          <w:highlight w:val="none"/>
          <w:lang w:val="en-US" w:eastAsia="zh-CN"/>
        </w:rPr>
        <w:t>的</w:t>
      </w:r>
      <w:r>
        <w:rPr>
          <w:rFonts w:hint="eastAsia" w:ascii="宋体" w:hAnsi="宋体" w:cs="宋体"/>
          <w:spacing w:val="-3"/>
          <w:kern w:val="0"/>
          <w:sz w:val="24"/>
          <w:highlight w:val="none"/>
        </w:rPr>
        <w:t>副本可以是正本的复印件（封面须重新签字盖章，其他地方可以为已盖章签字的正本复印）。</w:t>
      </w:r>
      <w:r>
        <w:rPr>
          <w:rFonts w:hint="eastAsia" w:ascii="宋体" w:hAnsi="宋体"/>
          <w:spacing w:val="-3"/>
          <w:sz w:val="24"/>
          <w:highlight w:val="none"/>
        </w:rPr>
        <w:t>投标文件应</w:t>
      </w:r>
      <w:r>
        <w:rPr>
          <w:rFonts w:ascii="宋体" w:hAnsi="宋体"/>
          <w:spacing w:val="-3"/>
          <w:sz w:val="24"/>
          <w:highlight w:val="none"/>
        </w:rPr>
        <w:t>采用</w:t>
      </w:r>
      <w:r>
        <w:rPr>
          <w:rFonts w:hint="eastAsia" w:ascii="宋体" w:hAnsi="宋体"/>
          <w:b/>
          <w:spacing w:val="-3"/>
          <w:sz w:val="24"/>
          <w:highlight w:val="none"/>
          <w:u w:val="single"/>
        </w:rPr>
        <w:t>胶装</w:t>
      </w:r>
      <w:r>
        <w:rPr>
          <w:rFonts w:hint="eastAsia" w:ascii="宋体" w:hAnsi="宋体"/>
          <w:spacing w:val="-3"/>
          <w:sz w:val="24"/>
          <w:highlight w:val="none"/>
        </w:rPr>
        <w:t>，</w:t>
      </w:r>
      <w:r>
        <w:rPr>
          <w:rFonts w:ascii="宋体" w:hAnsi="宋体"/>
          <w:spacing w:val="-3"/>
          <w:sz w:val="24"/>
          <w:highlight w:val="none"/>
        </w:rPr>
        <w:t>否则，招标人对由于投标文件装订松散而造成的丢失或其</w:t>
      </w:r>
      <w:r>
        <w:rPr>
          <w:rFonts w:hint="eastAsia" w:ascii="宋体" w:hAnsi="宋体"/>
          <w:spacing w:val="-3"/>
          <w:sz w:val="24"/>
          <w:highlight w:val="none"/>
        </w:rPr>
        <w:t>他</w:t>
      </w:r>
      <w:r>
        <w:rPr>
          <w:rFonts w:ascii="宋体" w:hAnsi="宋体"/>
          <w:spacing w:val="-3"/>
          <w:sz w:val="24"/>
          <w:highlight w:val="none"/>
        </w:rPr>
        <w:t>后果不承担任何责任。</w:t>
      </w:r>
      <w:r>
        <w:rPr>
          <w:rFonts w:hint="eastAsia" w:ascii="宋体" w:hAnsi="宋体"/>
          <w:spacing w:val="-3"/>
          <w:sz w:val="24"/>
          <w:szCs w:val="24"/>
          <w:highlight w:val="none"/>
        </w:rPr>
        <w:t>具体装订要求见投标人须知前附表规定。</w:t>
      </w:r>
    </w:p>
    <w:p w14:paraId="0DE48FAC">
      <w:pPr>
        <w:spacing w:line="440" w:lineRule="exact"/>
        <w:ind w:firstLine="468" w:firstLineChars="200"/>
        <w:rPr>
          <w:rFonts w:ascii="宋体" w:hAnsi="宋体"/>
          <w:spacing w:val="-3"/>
          <w:sz w:val="24"/>
          <w:highlight w:val="none"/>
        </w:rPr>
      </w:pPr>
      <w:r>
        <w:rPr>
          <w:rFonts w:hint="eastAsia" w:ascii="宋体" w:hAnsi="宋体"/>
          <w:spacing w:val="-3"/>
          <w:sz w:val="24"/>
          <w:highlight w:val="none"/>
        </w:rPr>
        <w:t>3</w:t>
      </w:r>
      <w:r>
        <w:rPr>
          <w:rFonts w:ascii="宋体" w:hAnsi="宋体"/>
          <w:spacing w:val="-3"/>
          <w:sz w:val="24"/>
          <w:highlight w:val="none"/>
        </w:rPr>
        <w:t>.</w:t>
      </w:r>
      <w:r>
        <w:rPr>
          <w:rFonts w:hint="eastAsia" w:ascii="宋体" w:hAnsi="宋体"/>
          <w:spacing w:val="-3"/>
          <w:sz w:val="24"/>
          <w:highlight w:val="none"/>
        </w:rPr>
        <w:t>7.6</w:t>
      </w:r>
      <w:r>
        <w:rPr>
          <w:rFonts w:hint="eastAsia" w:ascii="宋体" w:hAnsi="宋体" w:cs="宋体"/>
          <w:spacing w:val="-3"/>
          <w:kern w:val="0"/>
          <w:sz w:val="24"/>
          <w:highlight w:val="none"/>
        </w:rPr>
        <w:t>技术投标文件</w:t>
      </w:r>
      <w:r>
        <w:rPr>
          <w:rFonts w:ascii="宋体" w:hAnsi="宋体" w:cs="宋体"/>
          <w:spacing w:val="-3"/>
          <w:kern w:val="0"/>
          <w:sz w:val="24"/>
          <w:highlight w:val="none"/>
        </w:rPr>
        <w:t>应按照本招标文件第</w:t>
      </w:r>
      <w:r>
        <w:rPr>
          <w:rFonts w:hint="eastAsia" w:ascii="宋体" w:hAnsi="宋体" w:cs="宋体"/>
          <w:spacing w:val="-3"/>
          <w:kern w:val="0"/>
          <w:sz w:val="24"/>
          <w:highlight w:val="none"/>
          <w:lang w:val="en-US" w:eastAsia="zh-CN"/>
        </w:rPr>
        <w:t>五</w:t>
      </w:r>
      <w:r>
        <w:rPr>
          <w:rFonts w:hint="eastAsia" w:ascii="宋体" w:hAnsi="宋体" w:cs="宋体"/>
          <w:spacing w:val="-3"/>
          <w:kern w:val="0"/>
          <w:sz w:val="24"/>
          <w:highlight w:val="none"/>
        </w:rPr>
        <w:t>章对技术投标文件</w:t>
      </w:r>
      <w:r>
        <w:rPr>
          <w:rFonts w:ascii="宋体" w:hAnsi="宋体" w:cs="宋体"/>
          <w:spacing w:val="-3"/>
          <w:kern w:val="0"/>
          <w:sz w:val="24"/>
          <w:highlight w:val="none"/>
        </w:rPr>
        <w:t>格式的要求编制并单独装订</w:t>
      </w:r>
      <w:r>
        <w:rPr>
          <w:rFonts w:hint="eastAsia" w:ascii="宋体" w:hAnsi="宋体" w:cs="宋体"/>
          <w:spacing w:val="-3"/>
          <w:kern w:val="0"/>
          <w:sz w:val="24"/>
          <w:highlight w:val="none"/>
        </w:rPr>
        <w:t>，技术投标文件正、副本所有封面及技术投标文件正文中不得出现投标人的名称和其他可识别投标人身份的文字、图案、符号、标识等。技术投标文件禁止进行涂改、行间插字或删除</w:t>
      </w:r>
      <w:r>
        <w:rPr>
          <w:rFonts w:ascii="宋体" w:hAnsi="宋体" w:cs="宋体"/>
          <w:spacing w:val="-3"/>
          <w:kern w:val="0"/>
          <w:sz w:val="24"/>
          <w:highlight w:val="none"/>
        </w:rPr>
        <w:t>。</w:t>
      </w:r>
      <w:r>
        <w:rPr>
          <w:rFonts w:hint="eastAsia" w:ascii="宋体" w:hAnsi="宋体" w:cs="宋体"/>
          <w:spacing w:val="-3"/>
          <w:kern w:val="0"/>
          <w:sz w:val="24"/>
          <w:highlight w:val="none"/>
        </w:rPr>
        <w:t>技术投标文件</w:t>
      </w:r>
      <w:r>
        <w:rPr>
          <w:rFonts w:hint="eastAsia" w:ascii="宋体" w:hAnsi="宋体" w:cs="宋体"/>
          <w:kern w:val="0"/>
          <w:sz w:val="24"/>
          <w:highlight w:val="none"/>
        </w:rPr>
        <w:t>不按招标文件要求编制的，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ascii="宋体" w:hAnsi="宋体"/>
          <w:spacing w:val="-3"/>
          <w:sz w:val="24"/>
          <w:highlight w:val="none"/>
        </w:rPr>
        <w:t>。</w:t>
      </w:r>
    </w:p>
    <w:p w14:paraId="31E6F532">
      <w:pPr>
        <w:spacing w:line="440" w:lineRule="exact"/>
        <w:ind w:firstLine="468" w:firstLineChars="200"/>
        <w:rPr>
          <w:rFonts w:ascii="宋体" w:hAnsi="宋体"/>
          <w:spacing w:val="-3"/>
          <w:sz w:val="24"/>
          <w:highlight w:val="none"/>
        </w:rPr>
      </w:pPr>
      <w:r>
        <w:rPr>
          <w:rFonts w:hint="eastAsia" w:ascii="宋体" w:hAnsi="宋体"/>
          <w:spacing w:val="-3"/>
          <w:sz w:val="24"/>
          <w:highlight w:val="none"/>
        </w:rPr>
        <w:t>（1）组成技术投标文件的内容应按A4纸规格用不褪色的材料书写或打印，如需用到某些大的图表进行表达的内容可以用A3纸打印，装订时折叠成A4幅面装订。</w:t>
      </w:r>
    </w:p>
    <w:p w14:paraId="03A0B432">
      <w:pPr>
        <w:spacing w:line="440" w:lineRule="exact"/>
        <w:ind w:firstLine="468" w:firstLineChars="200"/>
        <w:rPr>
          <w:rFonts w:ascii="宋体" w:hAnsi="宋体"/>
          <w:spacing w:val="-3"/>
          <w:sz w:val="24"/>
          <w:highlight w:val="none"/>
        </w:rPr>
      </w:pPr>
      <w:r>
        <w:rPr>
          <w:rFonts w:hint="eastAsia" w:ascii="宋体" w:hAnsi="宋体"/>
          <w:spacing w:val="-3"/>
          <w:sz w:val="24"/>
          <w:highlight w:val="none"/>
        </w:rPr>
        <w:t>（2）技术投标文件封面统一使用背景为白色或只能有暗纹的白色软皮纸质，封面页面设置“竖向”，封面内容详见第五章投标文件格式要求。</w:t>
      </w:r>
    </w:p>
    <w:p w14:paraId="215F36D0">
      <w:pPr>
        <w:spacing w:line="440" w:lineRule="exact"/>
        <w:ind w:firstLine="468" w:firstLineChars="200"/>
        <w:rPr>
          <w:rFonts w:ascii="宋体" w:hAnsi="宋体"/>
          <w:spacing w:val="-3"/>
          <w:sz w:val="24"/>
          <w:highlight w:val="none"/>
        </w:rPr>
      </w:pPr>
      <w:r>
        <w:rPr>
          <w:rFonts w:hint="eastAsia" w:ascii="宋体" w:hAnsi="宋体"/>
          <w:spacing w:val="-3"/>
          <w:sz w:val="24"/>
          <w:highlight w:val="none"/>
        </w:rPr>
        <w:t>（3）技术投标文件内容均采用中文，章标题采用三号黑体字，正文采用小四号宋体字，行距1.5 倍行，字间间距采用标准，页码采用-X-，居中样式,技术投标文件的表格及插图本身自带的文字自拟定，不受此规定限制。技术文件正文内容需双面打印。</w:t>
      </w:r>
    </w:p>
    <w:p w14:paraId="3A4560BA">
      <w:pPr>
        <w:spacing w:line="440" w:lineRule="exact"/>
        <w:ind w:firstLine="468" w:firstLineChars="200"/>
        <w:rPr>
          <w:rFonts w:ascii="宋体" w:hAnsi="宋体"/>
          <w:spacing w:val="-3"/>
          <w:sz w:val="24"/>
          <w:szCs w:val="22"/>
          <w:highlight w:val="none"/>
        </w:rPr>
      </w:pPr>
      <w:r>
        <w:rPr>
          <w:rFonts w:hint="eastAsia" w:ascii="宋体" w:hAnsi="宋体"/>
          <w:spacing w:val="-3"/>
          <w:sz w:val="24"/>
          <w:szCs w:val="22"/>
          <w:highlight w:val="none"/>
        </w:rPr>
        <w:t>3.7.7 投标文件编制时间格式</w:t>
      </w:r>
    </w:p>
    <w:p w14:paraId="54264E24">
      <w:pPr>
        <w:spacing w:line="440" w:lineRule="exact"/>
        <w:ind w:firstLine="468" w:firstLineChars="200"/>
        <w:rPr>
          <w:rFonts w:ascii="宋体" w:hAnsi="宋体"/>
          <w:spacing w:val="-3"/>
          <w:sz w:val="24"/>
          <w:szCs w:val="22"/>
          <w:highlight w:val="none"/>
        </w:rPr>
      </w:pPr>
      <w:r>
        <w:rPr>
          <w:rFonts w:hint="eastAsia" w:ascii="宋体" w:hAnsi="宋体"/>
          <w:spacing w:val="-3"/>
          <w:sz w:val="24"/>
          <w:szCs w:val="22"/>
          <w:highlight w:val="none"/>
        </w:rPr>
        <w:t>商务投标文件、技术投标文件和经济报价投标文件编制日期统一使用开标日期，否则视为不响应招标文件，其投标文件作无效投标处理。</w:t>
      </w:r>
    </w:p>
    <w:p w14:paraId="5AC8551D">
      <w:pPr>
        <w:spacing w:line="360" w:lineRule="auto"/>
        <w:ind w:firstLine="602" w:firstLineChars="200"/>
        <w:rPr>
          <w:rFonts w:ascii="宋体" w:hAnsi="宋体"/>
          <w:b/>
          <w:sz w:val="30"/>
          <w:szCs w:val="30"/>
          <w:highlight w:val="none"/>
        </w:rPr>
      </w:pPr>
      <w:r>
        <w:rPr>
          <w:rFonts w:hint="eastAsia" w:ascii="宋体" w:hAnsi="宋体"/>
          <w:b/>
          <w:sz w:val="30"/>
          <w:szCs w:val="30"/>
          <w:highlight w:val="none"/>
        </w:rPr>
        <w:t>4.投 标</w:t>
      </w:r>
    </w:p>
    <w:p w14:paraId="003D95A5">
      <w:pPr>
        <w:spacing w:line="440" w:lineRule="exact"/>
        <w:rPr>
          <w:rFonts w:ascii="宋体" w:hAnsi="宋体"/>
          <w:b/>
          <w:sz w:val="24"/>
          <w:highlight w:val="none"/>
        </w:rPr>
      </w:pPr>
      <w:r>
        <w:rPr>
          <w:rFonts w:hint="eastAsia" w:ascii="宋体" w:hAnsi="宋体"/>
          <w:b/>
          <w:sz w:val="24"/>
          <w:highlight w:val="none"/>
        </w:rPr>
        <w:t xml:space="preserve">4.1 </w:t>
      </w:r>
      <w:r>
        <w:rPr>
          <w:rFonts w:ascii="宋体" w:hAnsi="宋体"/>
          <w:b/>
          <w:sz w:val="24"/>
          <w:highlight w:val="none"/>
        </w:rPr>
        <w:t>投标文件的密封和标记</w:t>
      </w:r>
    </w:p>
    <w:p w14:paraId="792F48E0">
      <w:pPr>
        <w:tabs>
          <w:tab w:val="left" w:pos="525"/>
        </w:tabs>
        <w:adjustRightInd w:val="0"/>
        <w:snapToGrid w:val="0"/>
        <w:spacing w:line="440" w:lineRule="exact"/>
        <w:ind w:firstLine="480" w:firstLineChars="200"/>
        <w:rPr>
          <w:rFonts w:ascii="宋体" w:hAnsi="宋体"/>
          <w:sz w:val="24"/>
          <w:highlight w:val="none"/>
        </w:rPr>
      </w:pPr>
      <w:r>
        <w:rPr>
          <w:rFonts w:hint="eastAsia" w:ascii="宋体" w:hAnsi="宋体"/>
          <w:sz w:val="24"/>
          <w:highlight w:val="none"/>
        </w:rPr>
        <w:t>4.1.1</w:t>
      </w:r>
      <w:r>
        <w:rPr>
          <w:rFonts w:hint="eastAsia" w:ascii="宋体" w:hAnsi="宋体"/>
          <w:sz w:val="24"/>
          <w:szCs w:val="24"/>
          <w:highlight w:val="none"/>
        </w:rPr>
        <w:t>投标文件密封要求见投标人须知前附表。</w:t>
      </w:r>
    </w:p>
    <w:p w14:paraId="2FF0CFC6">
      <w:pPr>
        <w:spacing w:line="440" w:lineRule="exact"/>
        <w:ind w:firstLine="480" w:firstLineChars="200"/>
        <w:rPr>
          <w:rFonts w:ascii="宋体" w:hAnsi="宋体"/>
          <w:b/>
          <w:sz w:val="24"/>
          <w:highlight w:val="none"/>
        </w:rPr>
      </w:pPr>
      <w:r>
        <w:rPr>
          <w:rFonts w:hint="eastAsia" w:ascii="宋体" w:hAnsi="宋体"/>
          <w:sz w:val="24"/>
          <w:highlight w:val="none"/>
        </w:rPr>
        <w:t>4</w:t>
      </w:r>
      <w:r>
        <w:rPr>
          <w:rFonts w:ascii="宋体" w:hAnsi="宋体"/>
          <w:sz w:val="24"/>
          <w:highlight w:val="none"/>
        </w:rPr>
        <w:t>.</w:t>
      </w:r>
      <w:r>
        <w:rPr>
          <w:rFonts w:hint="eastAsia" w:ascii="宋体" w:hAnsi="宋体"/>
          <w:sz w:val="24"/>
          <w:highlight w:val="none"/>
        </w:rPr>
        <w:t xml:space="preserve">1.2 </w:t>
      </w:r>
      <w:r>
        <w:rPr>
          <w:sz w:val="24"/>
          <w:highlight w:val="none"/>
        </w:rPr>
        <w:t>投标文件</w:t>
      </w:r>
      <w:r>
        <w:rPr>
          <w:rFonts w:hint="eastAsia"/>
          <w:sz w:val="24"/>
          <w:highlight w:val="none"/>
        </w:rPr>
        <w:t>内</w:t>
      </w:r>
      <w:r>
        <w:rPr>
          <w:rFonts w:hint="eastAsia" w:ascii="宋体" w:hAnsi="宋体"/>
          <w:sz w:val="24"/>
          <w:szCs w:val="24"/>
          <w:highlight w:val="none"/>
        </w:rPr>
        <w:t>、</w:t>
      </w:r>
      <w:r>
        <w:rPr>
          <w:sz w:val="24"/>
          <w:highlight w:val="none"/>
        </w:rPr>
        <w:t>外层信封</w:t>
      </w:r>
      <w:r>
        <w:rPr>
          <w:rFonts w:hint="eastAsia"/>
          <w:sz w:val="24"/>
          <w:highlight w:val="none"/>
        </w:rPr>
        <w:t>应</w:t>
      </w:r>
      <w:r>
        <w:rPr>
          <w:sz w:val="24"/>
          <w:highlight w:val="none"/>
        </w:rPr>
        <w:t>按照</w:t>
      </w:r>
      <w:r>
        <w:rPr>
          <w:rFonts w:hint="eastAsia"/>
          <w:sz w:val="24"/>
          <w:highlight w:val="none"/>
        </w:rPr>
        <w:t>投标人须知前附表的规定</w:t>
      </w:r>
      <w:r>
        <w:rPr>
          <w:sz w:val="24"/>
          <w:highlight w:val="none"/>
        </w:rPr>
        <w:t>书写，以便因投标文件迟到或其</w:t>
      </w:r>
      <w:r>
        <w:rPr>
          <w:rFonts w:hint="eastAsia"/>
          <w:sz w:val="24"/>
          <w:highlight w:val="none"/>
        </w:rPr>
        <w:t>他</w:t>
      </w:r>
      <w:r>
        <w:rPr>
          <w:sz w:val="24"/>
          <w:highlight w:val="none"/>
        </w:rPr>
        <w:t>原因造成招标人不能接受该投标文件时得以原封退回</w:t>
      </w:r>
      <w:r>
        <w:rPr>
          <w:rFonts w:hint="eastAsia" w:ascii="宋体" w:hAnsi="宋体"/>
          <w:sz w:val="24"/>
          <w:highlight w:val="none"/>
        </w:rPr>
        <w:t>。</w:t>
      </w:r>
    </w:p>
    <w:p w14:paraId="29E912DB">
      <w:pPr>
        <w:spacing w:line="440" w:lineRule="exact"/>
        <w:ind w:firstLine="480" w:firstLineChars="200"/>
        <w:rPr>
          <w:rFonts w:ascii="宋体" w:hAnsi="宋体"/>
          <w:sz w:val="24"/>
          <w:highlight w:val="none"/>
        </w:rPr>
      </w:pPr>
      <w:r>
        <w:rPr>
          <w:rFonts w:hint="eastAsia" w:ascii="宋体" w:hAnsi="宋体"/>
          <w:sz w:val="24"/>
          <w:szCs w:val="24"/>
          <w:highlight w:val="none"/>
        </w:rPr>
        <w:t>4.1.3 未按本章第4.1.1项或第4.1.2项要求密封和加写标记的投标文件，招标人不予受理。</w:t>
      </w:r>
    </w:p>
    <w:p w14:paraId="3CC4E0FF">
      <w:pPr>
        <w:spacing w:beforeLines="100" w:line="460" w:lineRule="exact"/>
        <w:rPr>
          <w:rFonts w:ascii="宋体" w:hAnsi="宋体"/>
          <w:b/>
          <w:sz w:val="24"/>
          <w:szCs w:val="24"/>
          <w:highlight w:val="none"/>
        </w:rPr>
      </w:pPr>
      <w:r>
        <w:rPr>
          <w:rFonts w:hint="eastAsia" w:ascii="宋体" w:hAnsi="宋体"/>
          <w:b/>
          <w:sz w:val="24"/>
          <w:szCs w:val="24"/>
          <w:highlight w:val="none"/>
        </w:rPr>
        <w:t>4.2 投标文件的递交</w:t>
      </w:r>
    </w:p>
    <w:p w14:paraId="56CAFCF4">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4.2.1 </w:t>
      </w:r>
      <w:r>
        <w:rPr>
          <w:rFonts w:hint="eastAsia" w:ascii="宋体" w:hAnsi="宋体" w:cs="宋体"/>
          <w:kern w:val="0"/>
          <w:sz w:val="24"/>
          <w:highlight w:val="none"/>
        </w:rPr>
        <w:t>投标人应在投标人须知前附表规定的投标截止时间前递交投标文件。</w:t>
      </w:r>
    </w:p>
    <w:p w14:paraId="26DD779B">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4.2.2 </w:t>
      </w:r>
      <w:r>
        <w:rPr>
          <w:rFonts w:hint="eastAsia" w:ascii="宋体" w:hAnsi="宋体" w:cs="宋体"/>
          <w:kern w:val="0"/>
          <w:sz w:val="24"/>
          <w:highlight w:val="none"/>
        </w:rPr>
        <w:t>投标人递交投标文件的地点：见投标人须知前附表。</w:t>
      </w:r>
    </w:p>
    <w:p w14:paraId="35C077E8">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4.2.3 </w:t>
      </w:r>
      <w:r>
        <w:rPr>
          <w:rFonts w:hint="eastAsia" w:ascii="宋体" w:hAnsi="宋体" w:cs="宋体"/>
          <w:kern w:val="0"/>
          <w:sz w:val="24"/>
          <w:highlight w:val="none"/>
        </w:rPr>
        <w:t>除投标人须知前附表另有规定外，投标人所递交的投标文件不予退还。</w:t>
      </w:r>
    </w:p>
    <w:p w14:paraId="342E0776">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4.2.</w:t>
      </w:r>
      <w:r>
        <w:rPr>
          <w:rFonts w:hint="eastAsia" w:ascii="宋体" w:hAnsi="宋体" w:cs="宋体"/>
          <w:kern w:val="0"/>
          <w:sz w:val="24"/>
          <w:highlight w:val="none"/>
        </w:rPr>
        <w:t xml:space="preserve">4 </w:t>
      </w:r>
      <w:r>
        <w:rPr>
          <w:rFonts w:ascii="宋体" w:hAnsi="宋体"/>
          <w:sz w:val="24"/>
          <w:highlight w:val="none"/>
        </w:rPr>
        <w:t>招标人收到投标文件后，</w:t>
      </w:r>
      <w:r>
        <w:rPr>
          <w:rFonts w:hint="eastAsia" w:ascii="宋体" w:hAnsi="宋体"/>
          <w:sz w:val="24"/>
          <w:highlight w:val="none"/>
        </w:rPr>
        <w:t>并要求</w:t>
      </w:r>
      <w:r>
        <w:rPr>
          <w:rFonts w:ascii="宋体" w:hAnsi="宋体"/>
          <w:sz w:val="24"/>
          <w:highlight w:val="none"/>
        </w:rPr>
        <w:t>投标人</w:t>
      </w:r>
      <w:r>
        <w:rPr>
          <w:rFonts w:hint="eastAsia" w:ascii="宋体" w:hAnsi="宋体"/>
          <w:sz w:val="24"/>
          <w:highlight w:val="none"/>
        </w:rPr>
        <w:t>填写投标文件递交情况表</w:t>
      </w:r>
      <w:r>
        <w:rPr>
          <w:rFonts w:ascii="宋体" w:hAnsi="宋体"/>
          <w:sz w:val="24"/>
          <w:highlight w:val="none"/>
        </w:rPr>
        <w:t>。</w:t>
      </w:r>
      <w:r>
        <w:rPr>
          <w:rFonts w:hint="eastAsia" w:ascii="宋体" w:hAnsi="宋体" w:cs="宋体"/>
          <w:kern w:val="0"/>
          <w:sz w:val="24"/>
          <w:highlight w:val="none"/>
        </w:rPr>
        <w:t>逾期送达的或者未送达指定地点的投标文件，招标人不予受理。</w:t>
      </w:r>
    </w:p>
    <w:p w14:paraId="454F4A37">
      <w:pPr>
        <w:spacing w:line="440" w:lineRule="exact"/>
        <w:ind w:firstLine="480" w:firstLineChars="200"/>
        <w:rPr>
          <w:rFonts w:ascii="宋体" w:hAnsi="宋体"/>
          <w:b/>
          <w:sz w:val="24"/>
          <w:szCs w:val="24"/>
          <w:highlight w:val="none"/>
        </w:rPr>
      </w:pPr>
      <w:r>
        <w:rPr>
          <w:rFonts w:ascii="宋体" w:hAnsi="宋体" w:cs="宋体"/>
          <w:kern w:val="0"/>
          <w:sz w:val="24"/>
          <w:highlight w:val="none"/>
        </w:rPr>
        <w:t>4.2.</w:t>
      </w:r>
      <w:r>
        <w:rPr>
          <w:rFonts w:hint="eastAsia" w:ascii="宋体" w:hAnsi="宋体" w:cs="宋体"/>
          <w:kern w:val="0"/>
          <w:sz w:val="24"/>
          <w:highlight w:val="none"/>
        </w:rPr>
        <w:t>5</w:t>
      </w:r>
      <w:r>
        <w:rPr>
          <w:rFonts w:hint="eastAsia" w:ascii="宋体" w:hAnsi="宋体"/>
          <w:sz w:val="24"/>
          <w:highlight w:val="none"/>
        </w:rPr>
        <w:t>在特殊情况下，招标人如果决定延后递交投标截止时间，应于投标人须知前附表规定的时间前，</w:t>
      </w:r>
      <w:r>
        <w:rPr>
          <w:rFonts w:hint="eastAsia" w:ascii="宋体" w:hAnsi="宋体" w:cs="宋体"/>
          <w:kern w:val="0"/>
          <w:sz w:val="24"/>
          <w:szCs w:val="24"/>
          <w:highlight w:val="none"/>
        </w:rPr>
        <w:t>在</w:t>
      </w:r>
      <w:r>
        <w:rPr>
          <w:rFonts w:hint="eastAsia" w:ascii="宋体" w:hAnsi="宋体" w:cs="宋体"/>
          <w:bCs/>
          <w:spacing w:val="10"/>
          <w:sz w:val="24"/>
          <w:highlight w:val="none"/>
          <w:lang w:eastAsia="zh-CN"/>
        </w:rPr>
        <w:t>广州交易集团有限公司（广州公共资源交易中心）</w:t>
      </w:r>
      <w:r>
        <w:rPr>
          <w:rFonts w:hint="eastAsia" w:ascii="宋体" w:hAnsi="宋体" w:cs="宋体"/>
          <w:bCs/>
          <w:spacing w:val="10"/>
          <w:sz w:val="24"/>
          <w:highlight w:val="none"/>
          <w:lang w:val="en-US" w:eastAsia="zh-CN"/>
        </w:rPr>
        <w:t>网站</w:t>
      </w:r>
      <w:r>
        <w:rPr>
          <w:rFonts w:hint="eastAsia" w:ascii="宋体" w:hAnsi="宋体" w:cs="宋体"/>
          <w:kern w:val="0"/>
          <w:sz w:val="24"/>
          <w:szCs w:val="24"/>
          <w:highlight w:val="none"/>
        </w:rPr>
        <w:t>发出修改通知。</w:t>
      </w:r>
      <w:r>
        <w:rPr>
          <w:rFonts w:hint="eastAsia" w:ascii="宋体" w:hAnsi="宋体"/>
          <w:sz w:val="24"/>
          <w:highlight w:val="none"/>
        </w:rPr>
        <w:t>在此情况下，招标人和投标人的权利和义务相应延后至新的投标截止时间。</w:t>
      </w:r>
    </w:p>
    <w:p w14:paraId="7F0D746D">
      <w:pPr>
        <w:spacing w:beforeLines="100" w:line="440" w:lineRule="exact"/>
        <w:rPr>
          <w:rFonts w:ascii="宋体" w:hAnsi="宋体"/>
          <w:b/>
          <w:sz w:val="24"/>
          <w:szCs w:val="24"/>
          <w:highlight w:val="none"/>
        </w:rPr>
      </w:pPr>
      <w:r>
        <w:rPr>
          <w:rFonts w:hint="eastAsia" w:ascii="宋体" w:hAnsi="宋体"/>
          <w:b/>
          <w:sz w:val="24"/>
          <w:szCs w:val="24"/>
          <w:highlight w:val="none"/>
        </w:rPr>
        <w:t xml:space="preserve">4.3 </w:t>
      </w:r>
      <w:r>
        <w:rPr>
          <w:rFonts w:ascii="宋体" w:hAnsi="宋体"/>
          <w:b/>
          <w:sz w:val="24"/>
          <w:szCs w:val="24"/>
          <w:highlight w:val="none"/>
        </w:rPr>
        <w:t>投标文件的修改和撤回</w:t>
      </w:r>
    </w:p>
    <w:p w14:paraId="0689191A">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4.3.1 </w:t>
      </w:r>
      <w:r>
        <w:rPr>
          <w:rFonts w:hint="eastAsia" w:ascii="宋体" w:hAnsi="宋体" w:cs="宋体"/>
          <w:kern w:val="0"/>
          <w:sz w:val="24"/>
          <w:highlight w:val="none"/>
        </w:rPr>
        <w:t>投标人在提交投标文件以后，在规定的投标截止时间之前，可以以书面形式补充修改或撤回已提交的投标文件，并以书面形式通知招标人。在投标截止时间之后，投标人不得补充、修改投标文件。</w:t>
      </w:r>
    </w:p>
    <w:p w14:paraId="3CBF701F">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 xml:space="preserve">4.3.2 </w:t>
      </w:r>
      <w:r>
        <w:rPr>
          <w:rFonts w:hint="eastAsia" w:ascii="宋体" w:hAnsi="宋体" w:cs="宋体"/>
          <w:kern w:val="0"/>
          <w:sz w:val="24"/>
          <w:highlight w:val="none"/>
        </w:rPr>
        <w:t>投标人修改或撤回已递交投标文件的书面通知应按照本章第</w:t>
      </w:r>
      <w:r>
        <w:rPr>
          <w:rFonts w:ascii="宋体" w:hAnsi="宋体" w:cs="宋体"/>
          <w:kern w:val="0"/>
          <w:sz w:val="24"/>
          <w:highlight w:val="none"/>
        </w:rPr>
        <w:t>3.7</w:t>
      </w:r>
      <w:r>
        <w:rPr>
          <w:rFonts w:hint="eastAsia" w:ascii="宋体" w:hAnsi="宋体" w:cs="宋体"/>
          <w:kern w:val="0"/>
          <w:sz w:val="24"/>
          <w:highlight w:val="none"/>
        </w:rPr>
        <w:t>项的要求签字或盖章。</w:t>
      </w:r>
    </w:p>
    <w:p w14:paraId="08BCE2D3">
      <w:pPr>
        <w:spacing w:line="460" w:lineRule="exact"/>
        <w:ind w:firstLine="480" w:firstLineChars="200"/>
        <w:rPr>
          <w:rFonts w:ascii="宋体" w:hAnsi="宋体" w:cs="宋体"/>
          <w:kern w:val="0"/>
          <w:sz w:val="24"/>
          <w:highlight w:val="none"/>
        </w:rPr>
      </w:pPr>
      <w:r>
        <w:rPr>
          <w:rFonts w:ascii="宋体" w:hAnsi="宋体" w:cs="宋体"/>
          <w:kern w:val="0"/>
          <w:sz w:val="24"/>
          <w:highlight w:val="none"/>
        </w:rPr>
        <w:t xml:space="preserve">4.3.3 </w:t>
      </w:r>
      <w:r>
        <w:rPr>
          <w:rFonts w:hint="eastAsia" w:ascii="宋体" w:hAnsi="宋体" w:cs="宋体"/>
          <w:kern w:val="0"/>
          <w:sz w:val="24"/>
          <w:highlight w:val="none"/>
        </w:rPr>
        <w:t>补充、修改的内容为投标文件的组成部分。修改的投标文件应按照本章第</w:t>
      </w:r>
      <w:r>
        <w:rPr>
          <w:rFonts w:ascii="宋体" w:hAnsi="宋体" w:cs="宋体"/>
          <w:kern w:val="0"/>
          <w:sz w:val="24"/>
          <w:highlight w:val="none"/>
        </w:rPr>
        <w:t xml:space="preserve">3 </w:t>
      </w:r>
      <w:r>
        <w:rPr>
          <w:rFonts w:hint="eastAsia" w:ascii="宋体" w:hAnsi="宋体" w:cs="宋体"/>
          <w:kern w:val="0"/>
          <w:sz w:val="24"/>
          <w:highlight w:val="none"/>
        </w:rPr>
        <w:t>条、第</w:t>
      </w:r>
      <w:r>
        <w:rPr>
          <w:rFonts w:ascii="宋体" w:hAnsi="宋体" w:cs="宋体"/>
          <w:kern w:val="0"/>
          <w:sz w:val="24"/>
          <w:highlight w:val="none"/>
        </w:rPr>
        <w:t>4</w:t>
      </w:r>
      <w:r>
        <w:rPr>
          <w:rFonts w:hint="eastAsia" w:ascii="宋体" w:hAnsi="宋体" w:cs="宋体"/>
          <w:kern w:val="0"/>
          <w:sz w:val="24"/>
          <w:highlight w:val="none"/>
        </w:rPr>
        <w:t>条规定进行编制、密封、标记和递交，并标明“修改”字样。</w:t>
      </w:r>
    </w:p>
    <w:p w14:paraId="5F8E160D">
      <w:pPr>
        <w:spacing w:beforeLines="120" w:line="460" w:lineRule="exact"/>
        <w:rPr>
          <w:rFonts w:ascii="宋体" w:hAnsi="宋体"/>
          <w:b/>
          <w:sz w:val="30"/>
          <w:szCs w:val="30"/>
          <w:highlight w:val="none"/>
        </w:rPr>
      </w:pPr>
      <w:r>
        <w:rPr>
          <w:rFonts w:hint="eastAsia" w:ascii="宋体" w:hAnsi="宋体"/>
          <w:b/>
          <w:sz w:val="30"/>
          <w:szCs w:val="30"/>
          <w:highlight w:val="none"/>
        </w:rPr>
        <w:t>5. 开 标</w:t>
      </w:r>
    </w:p>
    <w:p w14:paraId="3D1C70FE">
      <w:pPr>
        <w:spacing w:line="460" w:lineRule="exact"/>
        <w:rPr>
          <w:rFonts w:ascii="宋体" w:hAnsi="宋体"/>
          <w:b/>
          <w:sz w:val="24"/>
          <w:szCs w:val="24"/>
          <w:highlight w:val="none"/>
        </w:rPr>
      </w:pPr>
      <w:r>
        <w:rPr>
          <w:rFonts w:ascii="宋体" w:hAnsi="宋体"/>
          <w:b/>
          <w:sz w:val="24"/>
          <w:szCs w:val="24"/>
          <w:highlight w:val="none"/>
        </w:rPr>
        <w:t>5.1</w:t>
      </w:r>
      <w:r>
        <w:rPr>
          <w:rFonts w:hint="eastAsia" w:ascii="宋体" w:hAnsi="宋体"/>
          <w:b/>
          <w:sz w:val="24"/>
          <w:szCs w:val="24"/>
          <w:highlight w:val="none"/>
        </w:rPr>
        <w:t xml:space="preserve"> 开标时间和地点</w:t>
      </w:r>
    </w:p>
    <w:p w14:paraId="00C944E7">
      <w:pPr>
        <w:autoSpaceDE w:val="0"/>
        <w:autoSpaceDN w:val="0"/>
        <w:adjustRightInd w:val="0"/>
        <w:spacing w:line="460" w:lineRule="exact"/>
        <w:ind w:firstLine="480" w:firstLineChars="200"/>
        <w:rPr>
          <w:rFonts w:hint="eastAsia" w:ascii="楷体_GB2312" w:hAnsi="楷体_GB2312" w:eastAsia="宋体" w:cs="楷体_GB2312"/>
          <w:b/>
          <w:bCs w:val="0"/>
          <w:color w:val="auto"/>
          <w:sz w:val="24"/>
          <w:szCs w:val="24"/>
          <w:highlight w:val="none"/>
          <w:u w:val="single"/>
          <w:lang w:eastAsia="zh-CN"/>
        </w:rPr>
      </w:pPr>
      <w:r>
        <w:rPr>
          <w:rFonts w:hint="eastAsia" w:ascii="宋体" w:hAnsi="宋体" w:cs="宋体"/>
          <w:kern w:val="0"/>
          <w:sz w:val="24"/>
          <w:highlight w:val="none"/>
        </w:rPr>
        <w:t>5.1.1招标人在投标人须知前附表规定的开标时间和投标人须知前附表规定的地点公开开标，并要求</w:t>
      </w:r>
      <w:r>
        <w:rPr>
          <w:rFonts w:hint="eastAsia" w:ascii="楷体_GB2312" w:hAnsi="宋体" w:eastAsia="楷体_GB2312" w:cs="宋体"/>
          <w:b/>
          <w:kern w:val="0"/>
          <w:sz w:val="24"/>
          <w:highlight w:val="none"/>
          <w:u w:val="single"/>
        </w:rPr>
        <w:t>投标人的企业法定代表人或</w:t>
      </w:r>
      <w:r>
        <w:rPr>
          <w:rFonts w:hint="eastAsia" w:ascii="楷体_GB2312" w:hAnsi="宋体" w:eastAsia="楷体_GB2312"/>
          <w:b/>
          <w:sz w:val="24"/>
          <w:szCs w:val="24"/>
          <w:highlight w:val="none"/>
          <w:u w:val="single"/>
        </w:rPr>
        <w:t>委托代理人</w:t>
      </w:r>
      <w:r>
        <w:rPr>
          <w:rFonts w:hint="eastAsia" w:ascii="楷体_GB2312" w:hAnsi="宋体" w:eastAsia="楷体_GB2312"/>
          <w:b/>
          <w:sz w:val="24"/>
          <w:szCs w:val="24"/>
          <w:highlight w:val="none"/>
          <w:u w:val="single"/>
          <w:lang w:eastAsia="zh-CN"/>
        </w:rPr>
        <w:t>（委托代理人需为投标单位在职员工，提供投标单位为其购买的近三个月社保证明（2024年12月至2025年2月的社保管理机构的证明材料，如社保管理机构的查询机器打印件），已退休人员可提供退休证明及返聘合同代替社保证明。）</w:t>
      </w:r>
      <w:r>
        <w:rPr>
          <w:rFonts w:hint="eastAsia" w:ascii="楷体_GB2312" w:hAnsi="宋体" w:eastAsia="楷体_GB2312" w:cs="宋体"/>
          <w:b/>
          <w:kern w:val="0"/>
          <w:sz w:val="24"/>
          <w:highlight w:val="none"/>
          <w:u w:val="single"/>
        </w:rPr>
        <w:t>准时参加</w:t>
      </w:r>
      <w:r>
        <w:rPr>
          <w:rFonts w:hint="eastAsia" w:ascii="楷体_GB2312" w:hAnsi="宋体" w:eastAsia="楷体_GB2312"/>
          <w:b/>
          <w:sz w:val="24"/>
          <w:szCs w:val="24"/>
          <w:highlight w:val="none"/>
          <w:u w:val="single"/>
        </w:rPr>
        <w:t>开标会,且需在</w:t>
      </w:r>
      <w:r>
        <w:rPr>
          <w:rFonts w:hint="eastAsia" w:ascii="楷体_GB2312" w:hAnsi="宋体" w:eastAsia="楷体_GB2312"/>
          <w:b/>
          <w:sz w:val="24"/>
          <w:szCs w:val="24"/>
          <w:highlight w:val="none"/>
          <w:u w:val="single"/>
          <w:lang w:eastAsia="zh-CN"/>
        </w:rPr>
        <w:t>投标截止</w:t>
      </w:r>
      <w:r>
        <w:rPr>
          <w:rFonts w:hint="eastAsia" w:ascii="楷体_GB2312" w:hAnsi="宋体" w:eastAsia="楷体_GB2312"/>
          <w:b/>
          <w:sz w:val="24"/>
          <w:szCs w:val="24"/>
          <w:highlight w:val="none"/>
          <w:u w:val="single"/>
        </w:rPr>
        <w:t>时间前进场做签到工作,开标时手持本人身份证原件</w:t>
      </w:r>
      <w:r>
        <w:rPr>
          <w:rFonts w:hint="eastAsia" w:ascii="楷体_GB2312" w:hAnsi="楷体_GB2312" w:eastAsia="楷体_GB2312" w:cs="楷体_GB2312"/>
          <w:b/>
          <w:bCs w:val="0"/>
          <w:color w:val="auto"/>
          <w:sz w:val="24"/>
          <w:szCs w:val="24"/>
          <w:highlight w:val="none"/>
          <w:u w:val="single"/>
          <w:lang w:eastAsia="zh-CN"/>
        </w:rPr>
        <w:t>、</w:t>
      </w:r>
      <w:r>
        <w:rPr>
          <w:rFonts w:hint="eastAsia" w:ascii="楷体_GB2312" w:hAnsi="楷体_GB2312" w:eastAsia="楷体_GB2312" w:cs="楷体_GB2312"/>
          <w:b/>
          <w:bCs w:val="0"/>
          <w:color w:val="auto"/>
          <w:sz w:val="24"/>
          <w:szCs w:val="24"/>
          <w:highlight w:val="none"/>
          <w:u w:val="single"/>
        </w:rPr>
        <w:t>法定代表人身份证明书</w:t>
      </w:r>
      <w:r>
        <w:rPr>
          <w:rFonts w:hint="eastAsia" w:ascii="楷体_GB2312" w:hAnsi="楷体_GB2312" w:eastAsia="楷体_GB2312" w:cs="楷体_GB2312"/>
          <w:b/>
          <w:bCs w:val="0"/>
          <w:color w:val="auto"/>
          <w:sz w:val="24"/>
          <w:szCs w:val="24"/>
          <w:highlight w:val="none"/>
          <w:u w:val="single"/>
          <w:lang w:eastAsia="zh-CN"/>
        </w:rPr>
        <w:t>原件、法人授权委托证明书原件（</w:t>
      </w:r>
      <w:r>
        <w:rPr>
          <w:rFonts w:hint="eastAsia" w:ascii="楷体_GB2312" w:hAnsi="楷体_GB2312" w:eastAsia="楷体_GB2312" w:cs="楷体_GB2312"/>
          <w:b/>
          <w:bCs w:val="0"/>
          <w:color w:val="auto"/>
          <w:sz w:val="24"/>
          <w:szCs w:val="24"/>
          <w:highlight w:val="none"/>
          <w:u w:val="single"/>
        </w:rPr>
        <w:t>法定代表人出席开标会的，则无需提供</w:t>
      </w:r>
      <w:r>
        <w:rPr>
          <w:rFonts w:hint="eastAsia" w:ascii="楷体_GB2312" w:hAnsi="楷体_GB2312" w:eastAsia="楷体_GB2312" w:cs="楷体_GB2312"/>
          <w:b/>
          <w:bCs w:val="0"/>
          <w:color w:val="auto"/>
          <w:sz w:val="24"/>
          <w:szCs w:val="24"/>
          <w:highlight w:val="none"/>
          <w:u w:val="single"/>
          <w:lang w:eastAsia="zh-CN"/>
        </w:rPr>
        <w:t>）</w:t>
      </w:r>
      <w:r>
        <w:rPr>
          <w:rFonts w:hint="eastAsia" w:ascii="楷体_GB2312" w:hAnsi="宋体" w:eastAsia="楷体_GB2312" w:cs="Times New Roman"/>
          <w:b/>
          <w:sz w:val="24"/>
          <w:szCs w:val="24"/>
          <w:highlight w:val="none"/>
          <w:u w:val="single"/>
          <w:lang w:eastAsia="zh-CN"/>
        </w:rPr>
        <w:t>、近三个月社保证明（2024年12月至2025年2月的社保管理机构的证明材料，如社保管理机构的查询机器打印件），已退休人员可提供退休证明及返聘合同代替社保证明</w:t>
      </w:r>
      <w:r>
        <w:rPr>
          <w:rFonts w:hint="eastAsia" w:ascii="楷体_GB2312" w:hAnsi="楷体_GB2312" w:eastAsia="楷体_GB2312" w:cs="楷体_GB2312"/>
          <w:b/>
          <w:bCs w:val="0"/>
          <w:color w:val="auto"/>
          <w:sz w:val="24"/>
          <w:szCs w:val="24"/>
          <w:highlight w:val="none"/>
          <w:u w:val="single"/>
          <w:lang w:eastAsia="zh-CN"/>
        </w:rPr>
        <w:t>（</w:t>
      </w:r>
      <w:r>
        <w:rPr>
          <w:rFonts w:hint="eastAsia" w:ascii="楷体_GB2312" w:hAnsi="楷体_GB2312" w:eastAsia="楷体_GB2312" w:cs="楷体_GB2312"/>
          <w:b/>
          <w:bCs w:val="0"/>
          <w:color w:val="auto"/>
          <w:sz w:val="24"/>
          <w:szCs w:val="24"/>
          <w:highlight w:val="none"/>
          <w:u w:val="single"/>
        </w:rPr>
        <w:t>法定代表人出席开标会的，则无需提供</w:t>
      </w:r>
      <w:r>
        <w:rPr>
          <w:rFonts w:hint="eastAsia" w:ascii="楷体_GB2312" w:hAnsi="楷体_GB2312" w:eastAsia="楷体_GB2312" w:cs="楷体_GB2312"/>
          <w:b/>
          <w:bCs w:val="0"/>
          <w:color w:val="auto"/>
          <w:sz w:val="24"/>
          <w:szCs w:val="24"/>
          <w:highlight w:val="none"/>
          <w:u w:val="single"/>
          <w:lang w:eastAsia="zh-CN"/>
        </w:rPr>
        <w:t>）。</w:t>
      </w:r>
    </w:p>
    <w:p w14:paraId="5CADC054">
      <w:pPr>
        <w:autoSpaceDE w:val="0"/>
        <w:autoSpaceDN w:val="0"/>
        <w:adjustRightInd w:val="0"/>
        <w:spacing w:line="460" w:lineRule="exact"/>
        <w:ind w:firstLine="480" w:firstLineChars="200"/>
        <w:rPr>
          <w:rFonts w:ascii="宋体" w:hAnsi="宋体"/>
          <w:sz w:val="24"/>
          <w:highlight w:val="none"/>
        </w:rPr>
      </w:pPr>
      <w:r>
        <w:rPr>
          <w:rFonts w:hint="eastAsia" w:ascii="宋体" w:hAnsi="宋体" w:cs="宋体"/>
          <w:kern w:val="0"/>
          <w:sz w:val="24"/>
          <w:highlight w:val="none"/>
        </w:rPr>
        <w:t>投标人未能按要求派员准时</w:t>
      </w:r>
      <w:r>
        <w:rPr>
          <w:rFonts w:hint="eastAsia" w:ascii="宋体" w:hAnsi="宋体"/>
          <w:sz w:val="24"/>
          <w:szCs w:val="24"/>
          <w:highlight w:val="none"/>
        </w:rPr>
        <w:t>出席开标会或没按要求递交材料的，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r>
        <w:rPr>
          <w:rFonts w:hint="eastAsia" w:ascii="宋体" w:hAnsi="宋体"/>
          <w:sz w:val="24"/>
          <w:szCs w:val="24"/>
          <w:highlight w:val="none"/>
        </w:rPr>
        <w:t>并</w:t>
      </w:r>
      <w:r>
        <w:rPr>
          <w:rFonts w:hint="eastAsia" w:ascii="宋体" w:hAnsi="宋体"/>
          <w:sz w:val="24"/>
          <w:highlight w:val="none"/>
        </w:rPr>
        <w:t>视该投标人已默认开标结果。</w:t>
      </w:r>
    </w:p>
    <w:p w14:paraId="4043B5A1">
      <w:pPr>
        <w:autoSpaceDE w:val="0"/>
        <w:autoSpaceDN w:val="0"/>
        <w:adjustRightInd w:val="0"/>
        <w:spacing w:line="460" w:lineRule="exact"/>
        <w:ind w:firstLine="482" w:firstLineChars="200"/>
        <w:rPr>
          <w:rFonts w:ascii="仿宋" w:hAnsi="仿宋" w:eastAsia="仿宋"/>
          <w:b/>
          <w:sz w:val="24"/>
          <w:szCs w:val="24"/>
          <w:highlight w:val="none"/>
        </w:rPr>
      </w:pPr>
    </w:p>
    <w:p w14:paraId="6DB05057">
      <w:pPr>
        <w:autoSpaceDE w:val="0"/>
        <w:autoSpaceDN w:val="0"/>
        <w:adjustRightInd w:val="0"/>
        <w:spacing w:beforeLines="100" w:line="460" w:lineRule="exact"/>
        <w:jc w:val="left"/>
        <w:rPr>
          <w:rFonts w:ascii="宋体" w:hAnsi="宋体" w:cs="TimesNewRomanPSMT"/>
          <w:b/>
          <w:kern w:val="0"/>
          <w:sz w:val="24"/>
          <w:highlight w:val="none"/>
        </w:rPr>
      </w:pPr>
      <w:r>
        <w:rPr>
          <w:rFonts w:hint="eastAsia" w:ascii="宋体" w:hAnsi="宋体" w:cs="TimesNewRomanPSMT"/>
          <w:b/>
          <w:kern w:val="0"/>
          <w:sz w:val="24"/>
          <w:highlight w:val="none"/>
        </w:rPr>
        <w:t>5.</w:t>
      </w:r>
      <w:r>
        <w:rPr>
          <w:rFonts w:hint="eastAsia" w:ascii="宋体" w:hAnsi="宋体" w:cs="TimesNewRomanPSMT"/>
          <w:b/>
          <w:kern w:val="0"/>
          <w:sz w:val="24"/>
          <w:highlight w:val="none"/>
          <w:lang w:val="en-US" w:eastAsia="zh-CN"/>
        </w:rPr>
        <w:t>2</w:t>
      </w:r>
      <w:r>
        <w:rPr>
          <w:rFonts w:hint="eastAsia" w:ascii="宋体" w:hAnsi="宋体" w:cs="TimesNewRomanPSMT"/>
          <w:b/>
          <w:kern w:val="0"/>
          <w:sz w:val="24"/>
          <w:highlight w:val="none"/>
        </w:rPr>
        <w:t xml:space="preserve"> 开标程序</w:t>
      </w:r>
    </w:p>
    <w:p w14:paraId="27DC6D67">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sz w:val="24"/>
          <w:highlight w:val="none"/>
        </w:rPr>
        <w:t>5.</w:t>
      </w:r>
      <w:r>
        <w:rPr>
          <w:rFonts w:hint="eastAsia" w:ascii="宋体" w:hAnsi="宋体"/>
          <w:sz w:val="24"/>
          <w:highlight w:val="none"/>
          <w:lang w:val="en-US" w:eastAsia="zh-CN"/>
        </w:rPr>
        <w:t>2</w:t>
      </w:r>
      <w:r>
        <w:rPr>
          <w:rFonts w:ascii="宋体" w:hAnsi="宋体"/>
          <w:sz w:val="24"/>
          <w:highlight w:val="none"/>
        </w:rPr>
        <w:t>.1</w:t>
      </w:r>
      <w:r>
        <w:rPr>
          <w:rFonts w:hint="eastAsia" w:ascii="宋体" w:hAnsi="宋体"/>
          <w:sz w:val="24"/>
          <w:highlight w:val="none"/>
        </w:rPr>
        <w:t>在第一阶段评审前，主持人按下列程序对商务投标文件进行开标</w:t>
      </w:r>
      <w:r>
        <w:rPr>
          <w:rFonts w:hint="eastAsia" w:ascii="宋体" w:hAnsi="宋体" w:cs="宋体"/>
          <w:kern w:val="0"/>
          <w:sz w:val="24"/>
          <w:highlight w:val="none"/>
        </w:rPr>
        <w:t>：</w:t>
      </w:r>
    </w:p>
    <w:p w14:paraId="507687E0">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）宣布开标纪律；</w:t>
      </w:r>
    </w:p>
    <w:p w14:paraId="2D896535">
      <w:pPr>
        <w:autoSpaceDE w:val="0"/>
        <w:autoSpaceDN w:val="0"/>
        <w:adjustRightInd w:val="0"/>
        <w:spacing w:line="460" w:lineRule="exact"/>
        <w:ind w:firstLine="480" w:firstLineChars="200"/>
        <w:rPr>
          <w:rFonts w:ascii="宋体" w:hAnsi="宋体" w:cs="宋体"/>
          <w:spacing w:val="-6"/>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w:t>
      </w:r>
      <w:r>
        <w:rPr>
          <w:rFonts w:hint="eastAsia" w:ascii="宋体" w:hAnsi="宋体" w:cs="宋体"/>
          <w:spacing w:val="-6"/>
          <w:kern w:val="0"/>
          <w:sz w:val="24"/>
          <w:highlight w:val="none"/>
        </w:rPr>
        <w:t>公布在投标截止时间前递交投标文件的投标人名称，并确认投标人代表是否到场；</w:t>
      </w:r>
    </w:p>
    <w:p w14:paraId="5D2DE8D7">
      <w:pPr>
        <w:autoSpaceDE w:val="0"/>
        <w:autoSpaceDN w:val="0"/>
        <w:adjustRightInd w:val="0"/>
        <w:spacing w:line="460" w:lineRule="exact"/>
        <w:ind w:firstLine="456" w:firstLineChars="200"/>
        <w:rPr>
          <w:rFonts w:ascii="宋体" w:hAnsi="宋体" w:cs="宋体"/>
          <w:spacing w:val="-6"/>
          <w:kern w:val="0"/>
          <w:sz w:val="24"/>
          <w:highlight w:val="none"/>
        </w:rPr>
      </w:pPr>
      <w:r>
        <w:rPr>
          <w:rFonts w:hint="eastAsia" w:ascii="宋体" w:hAnsi="宋体" w:cs="宋体"/>
          <w:spacing w:val="-6"/>
          <w:kern w:val="0"/>
          <w:sz w:val="24"/>
          <w:highlight w:val="none"/>
        </w:rPr>
        <w:t>（</w:t>
      </w:r>
      <w:r>
        <w:rPr>
          <w:rFonts w:ascii="宋体" w:hAnsi="宋体" w:cs="宋体"/>
          <w:spacing w:val="-6"/>
          <w:kern w:val="0"/>
          <w:sz w:val="24"/>
          <w:highlight w:val="none"/>
        </w:rPr>
        <w:t>3</w:t>
      </w:r>
      <w:r>
        <w:rPr>
          <w:rFonts w:hint="eastAsia" w:ascii="宋体" w:hAnsi="宋体" w:cs="宋体"/>
          <w:spacing w:val="-6"/>
          <w:kern w:val="0"/>
          <w:sz w:val="24"/>
          <w:highlight w:val="none"/>
        </w:rPr>
        <w:t>）宣布开标人、唱标人、记录人、</w:t>
      </w:r>
      <w:r>
        <w:rPr>
          <w:rFonts w:hint="eastAsia" w:ascii="宋体" w:hAnsi="宋体"/>
          <w:sz w:val="24"/>
          <w:highlight w:val="none"/>
        </w:rPr>
        <w:t>监督人员</w:t>
      </w:r>
      <w:r>
        <w:rPr>
          <w:rFonts w:hint="eastAsia" w:ascii="宋体" w:hAnsi="宋体" w:cs="宋体"/>
          <w:spacing w:val="-6"/>
          <w:kern w:val="0"/>
          <w:sz w:val="24"/>
          <w:highlight w:val="none"/>
        </w:rPr>
        <w:t>等有关人员姓名；</w:t>
      </w:r>
    </w:p>
    <w:p w14:paraId="7851A894">
      <w:pPr>
        <w:autoSpaceDE w:val="0"/>
        <w:autoSpaceDN w:val="0"/>
        <w:adjustRightInd w:val="0"/>
        <w:spacing w:line="460" w:lineRule="exact"/>
        <w:ind w:firstLine="480" w:firstLineChars="200"/>
        <w:rPr>
          <w:rFonts w:ascii="宋体" w:hAnsi="宋体"/>
          <w:sz w:val="24"/>
          <w:highlight w:val="none"/>
        </w:rPr>
      </w:pPr>
      <w:r>
        <w:rPr>
          <w:rFonts w:hint="eastAsia" w:ascii="宋体" w:hAnsi="宋体" w:cs="宋体"/>
          <w:kern w:val="0"/>
          <w:sz w:val="24"/>
          <w:highlight w:val="none"/>
        </w:rPr>
        <w:t>（</w:t>
      </w:r>
      <w:r>
        <w:rPr>
          <w:rFonts w:ascii="宋体" w:hAnsi="宋体" w:cs="宋体"/>
          <w:kern w:val="0"/>
          <w:sz w:val="24"/>
          <w:highlight w:val="none"/>
        </w:rPr>
        <w:t>4</w:t>
      </w:r>
      <w:r>
        <w:rPr>
          <w:rFonts w:hint="eastAsia" w:ascii="宋体" w:hAnsi="宋体" w:cs="宋体"/>
          <w:kern w:val="0"/>
          <w:sz w:val="24"/>
          <w:highlight w:val="none"/>
        </w:rPr>
        <w:t>）</w:t>
      </w:r>
      <w:r>
        <w:rPr>
          <w:rFonts w:hint="eastAsia" w:ascii="宋体" w:hAnsi="宋体"/>
          <w:sz w:val="24"/>
          <w:highlight w:val="none"/>
        </w:rPr>
        <w:t>按照投标人须知前附表规定检查投标文件的外封套密封情况；</w:t>
      </w:r>
    </w:p>
    <w:p w14:paraId="670B9ED4">
      <w:pPr>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5）</w:t>
      </w:r>
      <w:r>
        <w:rPr>
          <w:rFonts w:hint="eastAsia" w:ascii="宋体" w:hAnsi="宋体"/>
          <w:sz w:val="24"/>
          <w:szCs w:val="22"/>
          <w:highlight w:val="none"/>
        </w:rPr>
        <w:t>按照投标人须知前附表的规定确定并宣布投标文件开标顺序；</w:t>
      </w:r>
    </w:p>
    <w:p w14:paraId="4D889C20">
      <w:pPr>
        <w:spacing w:line="460" w:lineRule="exact"/>
        <w:ind w:firstLine="480" w:firstLineChars="200"/>
        <w:rPr>
          <w:rFonts w:ascii="宋体" w:hAnsi="宋体" w:cs="宋体"/>
          <w:kern w:val="0"/>
          <w:sz w:val="24"/>
          <w:highlight w:val="none"/>
        </w:rPr>
      </w:pPr>
      <w:r>
        <w:rPr>
          <w:rFonts w:hint="eastAsia" w:ascii="宋体" w:hAnsi="宋体"/>
          <w:sz w:val="24"/>
          <w:szCs w:val="24"/>
          <w:highlight w:val="none"/>
        </w:rPr>
        <w:t>（6）按照宣布的开标顺序当众拆封</w:t>
      </w:r>
      <w:r>
        <w:rPr>
          <w:rFonts w:hint="eastAsia" w:ascii="宋体" w:hAnsi="宋体"/>
          <w:sz w:val="24"/>
          <w:highlight w:val="none"/>
        </w:rPr>
        <w:t>商务投标文件</w:t>
      </w:r>
      <w:r>
        <w:rPr>
          <w:rFonts w:hint="eastAsia" w:ascii="宋体" w:hAnsi="宋体"/>
          <w:sz w:val="24"/>
          <w:szCs w:val="24"/>
          <w:highlight w:val="none"/>
        </w:rPr>
        <w:t>，</w:t>
      </w:r>
      <w:r>
        <w:rPr>
          <w:rFonts w:hint="eastAsia" w:ascii="宋体" w:hAnsi="宋体" w:cs="宋体"/>
          <w:kern w:val="0"/>
          <w:sz w:val="24"/>
          <w:szCs w:val="24"/>
          <w:highlight w:val="none"/>
        </w:rPr>
        <w:t>宣读投标人名称</w:t>
      </w:r>
      <w:r>
        <w:rPr>
          <w:rFonts w:ascii="宋体" w:hAnsi="宋体" w:cs="宋体"/>
          <w:kern w:val="0"/>
          <w:sz w:val="24"/>
          <w:highlight w:val="none"/>
        </w:rPr>
        <w:t>和</w:t>
      </w:r>
      <w:r>
        <w:rPr>
          <w:rFonts w:hint="eastAsia"/>
          <w:sz w:val="24"/>
          <w:szCs w:val="24"/>
          <w:highlight w:val="none"/>
        </w:rPr>
        <w:t>投标文件的其它主要内容，并记录在案。</w:t>
      </w:r>
    </w:p>
    <w:p w14:paraId="66D2ABD9">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szCs w:val="24"/>
          <w:highlight w:val="none"/>
        </w:rPr>
        <w:t>（7</w:t>
      </w:r>
      <w:r>
        <w:rPr>
          <w:rFonts w:ascii="宋体" w:hAnsi="宋体" w:cs="宋体"/>
          <w:kern w:val="0"/>
          <w:sz w:val="24"/>
          <w:szCs w:val="24"/>
          <w:highlight w:val="none"/>
        </w:rPr>
        <w:t>）</w:t>
      </w:r>
      <w:r>
        <w:rPr>
          <w:rFonts w:hint="eastAsia" w:ascii="宋体" w:hAnsi="宋体" w:cs="宋体"/>
          <w:spacing w:val="-4"/>
          <w:kern w:val="0"/>
          <w:sz w:val="24"/>
          <w:highlight w:val="none"/>
        </w:rPr>
        <w:t>投标人代表、招标人代表、</w:t>
      </w:r>
      <w:r>
        <w:rPr>
          <w:rFonts w:hint="eastAsia" w:ascii="宋体" w:hAnsi="宋体"/>
          <w:sz w:val="24"/>
          <w:highlight w:val="none"/>
        </w:rPr>
        <w:t>监督人员</w:t>
      </w:r>
      <w:r>
        <w:rPr>
          <w:rFonts w:hint="eastAsia" w:ascii="宋体" w:hAnsi="宋体" w:cs="宋体"/>
          <w:spacing w:val="-4"/>
          <w:kern w:val="0"/>
          <w:sz w:val="24"/>
          <w:highlight w:val="none"/>
        </w:rPr>
        <w:t>、记录人等有关人员在开标记录上签字确认；</w:t>
      </w:r>
    </w:p>
    <w:p w14:paraId="5FD036C5">
      <w:pPr>
        <w:spacing w:line="360" w:lineRule="auto"/>
        <w:ind w:firstLine="464" w:firstLineChars="200"/>
        <w:rPr>
          <w:rFonts w:ascii="宋体" w:hAnsi="Times New Roman" w:cs="宋体"/>
          <w:kern w:val="0"/>
          <w:sz w:val="24"/>
          <w:szCs w:val="22"/>
          <w:highlight w:val="none"/>
        </w:rPr>
      </w:pPr>
      <w:r>
        <w:rPr>
          <w:rFonts w:hint="eastAsia" w:ascii="宋体" w:hAnsi="宋体" w:cs="宋体"/>
          <w:spacing w:val="-4"/>
          <w:kern w:val="0"/>
          <w:sz w:val="24"/>
          <w:highlight w:val="none"/>
        </w:rPr>
        <w:t>（8</w:t>
      </w:r>
      <w:r>
        <w:rPr>
          <w:rFonts w:ascii="宋体" w:hAnsi="宋体" w:cs="宋体"/>
          <w:spacing w:val="-4"/>
          <w:kern w:val="0"/>
          <w:sz w:val="24"/>
          <w:highlight w:val="none"/>
        </w:rPr>
        <w:t>）</w:t>
      </w:r>
      <w:r>
        <w:rPr>
          <w:rFonts w:hint="eastAsia" w:ascii="宋体" w:hAnsi="宋体" w:cs="宋体"/>
          <w:kern w:val="0"/>
          <w:sz w:val="24"/>
          <w:szCs w:val="24"/>
          <w:highlight w:val="none"/>
        </w:rPr>
        <w:t>开标结束，所有</w:t>
      </w:r>
      <w:r>
        <w:rPr>
          <w:rFonts w:hint="eastAsia" w:ascii="宋体" w:hAnsi="宋体"/>
          <w:sz w:val="24"/>
          <w:highlight w:val="none"/>
        </w:rPr>
        <w:t>投标人退场。由监督人员对投标人的</w:t>
      </w:r>
      <w:r>
        <w:rPr>
          <w:rFonts w:ascii="宋体" w:hAnsi="宋体"/>
          <w:sz w:val="24"/>
          <w:szCs w:val="24"/>
          <w:highlight w:val="none"/>
        </w:rPr>
        <w:t>技术</w:t>
      </w:r>
      <w:r>
        <w:rPr>
          <w:rFonts w:hint="eastAsia" w:ascii="宋体" w:hAnsi="宋体"/>
          <w:sz w:val="24"/>
          <w:szCs w:val="24"/>
          <w:highlight w:val="none"/>
        </w:rPr>
        <w:t>投标文件</w:t>
      </w:r>
      <w:r>
        <w:rPr>
          <w:rFonts w:hint="eastAsia"/>
          <w:sz w:val="24"/>
          <w:szCs w:val="24"/>
          <w:highlight w:val="none"/>
        </w:rPr>
        <w:t>密封袋</w:t>
      </w:r>
      <w:r>
        <w:rPr>
          <w:rFonts w:hint="eastAsia" w:ascii="宋体" w:hAnsi="宋体"/>
          <w:sz w:val="24"/>
          <w:highlight w:val="none"/>
        </w:rPr>
        <w:t>开封进行编号，副本送交评标委员会进行评审。</w:t>
      </w:r>
      <w:r>
        <w:rPr>
          <w:rFonts w:hint="eastAsia" w:ascii="宋体" w:hAnsi="宋体" w:cs="宋体"/>
          <w:b/>
          <w:kern w:val="0"/>
          <w:sz w:val="24"/>
          <w:szCs w:val="22"/>
          <w:highlight w:val="none"/>
        </w:rPr>
        <w:t>技</w:t>
      </w:r>
      <w:r>
        <w:rPr>
          <w:rFonts w:hint="eastAsia" w:ascii="宋体" w:hAnsi="宋体" w:cs="宋体"/>
          <w:b/>
          <w:sz w:val="24"/>
          <w:szCs w:val="22"/>
          <w:highlight w:val="none"/>
        </w:rPr>
        <w:t>术投标文件在开封编号时的正、副本份数不符合招标文件规定的，</w:t>
      </w:r>
      <w:r>
        <w:rPr>
          <w:rFonts w:hint="eastAsia" w:ascii="宋体" w:hAnsi="宋体" w:cs="宋体"/>
          <w:b/>
          <w:bCs w:val="0"/>
          <w:sz w:val="24"/>
          <w:szCs w:val="22"/>
          <w:highlight w:val="none"/>
        </w:rPr>
        <w:t>经</w:t>
      </w:r>
      <w:r>
        <w:rPr>
          <w:rFonts w:hint="eastAsia" w:ascii="宋体" w:hAnsi="宋体"/>
          <w:b/>
          <w:bCs w:val="0"/>
          <w:sz w:val="24"/>
          <w:highlight w:val="none"/>
        </w:rPr>
        <w:t>监督人员</w:t>
      </w:r>
      <w:r>
        <w:rPr>
          <w:rFonts w:hint="eastAsia" w:ascii="宋体" w:hAnsi="宋体" w:cs="宋体"/>
          <w:b/>
          <w:bCs w:val="0"/>
          <w:sz w:val="24"/>
          <w:szCs w:val="22"/>
          <w:highlight w:val="none"/>
        </w:rPr>
        <w:t>和</w:t>
      </w:r>
      <w:r>
        <w:rPr>
          <w:rFonts w:hint="eastAsia" w:ascii="宋体" w:hAnsi="宋体" w:cs="宋体"/>
          <w:b/>
          <w:sz w:val="24"/>
          <w:szCs w:val="22"/>
          <w:highlight w:val="none"/>
        </w:rPr>
        <w:t>招标人确认后宣布为无</w:t>
      </w:r>
      <w:r>
        <w:rPr>
          <w:rFonts w:hint="eastAsia" w:ascii="宋体" w:hAnsi="宋体" w:cs="宋体"/>
          <w:b/>
          <w:sz w:val="24"/>
          <w:szCs w:val="24"/>
          <w:highlight w:val="none"/>
        </w:rPr>
        <w:t>效投标。</w:t>
      </w:r>
      <w:r>
        <w:rPr>
          <w:rFonts w:ascii="宋体" w:hAnsi="宋体"/>
          <w:sz w:val="24"/>
          <w:szCs w:val="24"/>
          <w:highlight w:val="none"/>
        </w:rPr>
        <w:t>技术</w:t>
      </w:r>
      <w:r>
        <w:rPr>
          <w:rFonts w:hint="eastAsia" w:ascii="宋体" w:hAnsi="宋体"/>
          <w:sz w:val="24"/>
          <w:szCs w:val="24"/>
          <w:highlight w:val="none"/>
        </w:rPr>
        <w:t>投标文件的</w:t>
      </w:r>
      <w:r>
        <w:rPr>
          <w:rFonts w:ascii="宋体" w:hAnsi="宋体"/>
          <w:sz w:val="24"/>
          <w:szCs w:val="24"/>
          <w:highlight w:val="none"/>
        </w:rPr>
        <w:t>正本</w:t>
      </w:r>
      <w:r>
        <w:rPr>
          <w:rFonts w:hint="eastAsia" w:ascii="宋体" w:hAnsi="宋体"/>
          <w:sz w:val="24"/>
          <w:highlight w:val="none"/>
        </w:rPr>
        <w:t>由监督人员保管于密封箱，</w:t>
      </w:r>
      <w:r>
        <w:rPr>
          <w:rFonts w:hint="eastAsia" w:ascii="宋体" w:hAnsi="宋体"/>
          <w:sz w:val="24"/>
          <w:highlight w:val="none"/>
          <w:lang w:eastAsia="zh-CN"/>
        </w:rPr>
        <w:t>经济报价投标文件</w:t>
      </w:r>
      <w:r>
        <w:rPr>
          <w:rFonts w:hint="eastAsia" w:ascii="宋体" w:hAnsi="宋体"/>
          <w:sz w:val="24"/>
          <w:highlight w:val="none"/>
        </w:rPr>
        <w:t>由监督人员保管于监控室内。</w:t>
      </w:r>
    </w:p>
    <w:p w14:paraId="016DE1B4">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sz w:val="24"/>
          <w:szCs w:val="24"/>
          <w:highlight w:val="none"/>
        </w:rPr>
        <w:t>5.</w:t>
      </w:r>
      <w:r>
        <w:rPr>
          <w:rFonts w:hint="eastAsia" w:ascii="宋体" w:hAnsi="宋体" w:cs="宋体"/>
          <w:sz w:val="24"/>
          <w:szCs w:val="24"/>
          <w:highlight w:val="none"/>
          <w:lang w:val="en-US" w:eastAsia="zh-CN"/>
        </w:rPr>
        <w:t>2</w:t>
      </w:r>
      <w:r>
        <w:rPr>
          <w:rFonts w:ascii="宋体" w:hAnsi="宋体" w:cs="宋体"/>
          <w:sz w:val="24"/>
          <w:szCs w:val="24"/>
          <w:highlight w:val="none"/>
        </w:rPr>
        <w:t>.2</w:t>
      </w:r>
      <w:r>
        <w:rPr>
          <w:rFonts w:hint="eastAsia" w:ascii="宋体" w:hAnsi="宋体" w:cs="宋体"/>
          <w:kern w:val="0"/>
          <w:sz w:val="24"/>
          <w:highlight w:val="none"/>
        </w:rPr>
        <w:t>在第一阶段评审结束、第二阶段评审前，主持人按下列程序对经济报价投标文件进行开标：</w:t>
      </w:r>
    </w:p>
    <w:p w14:paraId="0C181F6B">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）宣布开标纪律；</w:t>
      </w:r>
    </w:p>
    <w:p w14:paraId="5EC1FB1F">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）宣布进入第二阶段评审的投标人名单，并点名确认投标人是否派人到场（投标人可以选择不到场）</w:t>
      </w:r>
      <w:r>
        <w:rPr>
          <w:rFonts w:hint="eastAsia" w:ascii="宋体" w:hAnsi="宋体" w:cs="宋体"/>
          <w:spacing w:val="-8"/>
          <w:kern w:val="0"/>
          <w:sz w:val="24"/>
          <w:highlight w:val="none"/>
        </w:rPr>
        <w:t>；</w:t>
      </w:r>
    </w:p>
    <w:p w14:paraId="59A2740B">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）宣布开标人、唱标人、记录人、</w:t>
      </w:r>
      <w:r>
        <w:rPr>
          <w:rFonts w:hint="eastAsia" w:ascii="宋体" w:hAnsi="宋体"/>
          <w:sz w:val="24"/>
          <w:highlight w:val="none"/>
        </w:rPr>
        <w:t>监督人员</w:t>
      </w:r>
      <w:r>
        <w:rPr>
          <w:rFonts w:hint="eastAsia" w:ascii="宋体" w:hAnsi="宋体" w:cs="宋体"/>
          <w:kern w:val="0"/>
          <w:sz w:val="24"/>
          <w:highlight w:val="none"/>
        </w:rPr>
        <w:t>等有关人员姓名；</w:t>
      </w:r>
    </w:p>
    <w:p w14:paraId="769BFD0E">
      <w:pPr>
        <w:spacing w:line="480" w:lineRule="exact"/>
        <w:ind w:firstLine="480"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4）按照投标人须知前附表规定检查投标文件的外封套密封情况；</w:t>
      </w:r>
    </w:p>
    <w:p w14:paraId="42114227">
      <w:pPr>
        <w:spacing w:line="480" w:lineRule="exact"/>
        <w:ind w:firstLine="480" w:firstLineChars="200"/>
        <w:rPr>
          <w:rFonts w:ascii="宋体" w:hAnsi="宋体"/>
          <w:sz w:val="24"/>
          <w:szCs w:val="22"/>
          <w:highlight w:val="none"/>
        </w:rPr>
      </w:pPr>
      <w:r>
        <w:rPr>
          <w:rFonts w:hint="eastAsia" w:ascii="宋体" w:hAnsi="宋体"/>
          <w:sz w:val="24"/>
          <w:highlight w:val="none"/>
        </w:rPr>
        <w:t>（</w:t>
      </w:r>
      <w:r>
        <w:rPr>
          <w:rFonts w:ascii="宋体" w:hAnsi="宋体"/>
          <w:sz w:val="24"/>
          <w:highlight w:val="none"/>
        </w:rPr>
        <w:t>5）</w:t>
      </w:r>
      <w:r>
        <w:rPr>
          <w:rFonts w:hint="eastAsia" w:ascii="宋体" w:hAnsi="宋体"/>
          <w:sz w:val="24"/>
          <w:szCs w:val="22"/>
          <w:highlight w:val="none"/>
        </w:rPr>
        <w:t>按照投标人须知前附表的规定确定并宣布投标文件开标顺序；</w:t>
      </w:r>
    </w:p>
    <w:p w14:paraId="7429164B">
      <w:pPr>
        <w:autoSpaceDE w:val="0"/>
        <w:autoSpaceDN w:val="0"/>
        <w:adjustRightInd w:val="0"/>
        <w:spacing w:line="480" w:lineRule="exact"/>
        <w:ind w:firstLine="480" w:firstLineChars="200"/>
        <w:rPr>
          <w:rFonts w:ascii="宋体" w:hAnsi="宋体"/>
          <w:sz w:val="24"/>
          <w:szCs w:val="22"/>
          <w:highlight w:val="none"/>
        </w:rPr>
      </w:pPr>
      <w:r>
        <w:rPr>
          <w:rFonts w:hint="eastAsia" w:ascii="宋体" w:hAnsi="宋体"/>
          <w:sz w:val="24"/>
          <w:szCs w:val="22"/>
          <w:highlight w:val="none"/>
        </w:rPr>
        <w:t>（6）按照宣布的开标顺序当众开标，公布投标人名称、投标报价，并记录在案；</w:t>
      </w:r>
    </w:p>
    <w:p w14:paraId="58E0E794">
      <w:pPr>
        <w:autoSpaceDE w:val="0"/>
        <w:autoSpaceDN w:val="0"/>
        <w:adjustRightInd w:val="0"/>
        <w:spacing w:line="480" w:lineRule="exact"/>
        <w:ind w:firstLine="480" w:firstLineChars="200"/>
        <w:rPr>
          <w:rFonts w:ascii="宋体" w:hAnsi="宋体" w:cs="Times New Roman"/>
          <w:sz w:val="24"/>
          <w:szCs w:val="22"/>
          <w:highlight w:val="none"/>
        </w:rPr>
      </w:pPr>
      <w:r>
        <w:rPr>
          <w:rFonts w:hint="eastAsia" w:ascii="宋体" w:hAnsi="宋体" w:cs="Times New Roman"/>
          <w:sz w:val="24"/>
          <w:szCs w:val="22"/>
          <w:highlight w:val="none"/>
        </w:rPr>
        <w:t>（</w:t>
      </w:r>
      <w:r>
        <w:rPr>
          <w:rFonts w:hint="eastAsia" w:ascii="宋体" w:hAnsi="宋体" w:cs="Times New Roman"/>
          <w:sz w:val="24"/>
          <w:szCs w:val="22"/>
          <w:highlight w:val="none"/>
          <w:lang w:val="en-US" w:eastAsia="zh-CN"/>
        </w:rPr>
        <w:t>7</w:t>
      </w:r>
      <w:r>
        <w:rPr>
          <w:rFonts w:hint="eastAsia" w:ascii="宋体" w:hAnsi="宋体" w:cs="Times New Roman"/>
          <w:sz w:val="24"/>
          <w:szCs w:val="22"/>
          <w:highlight w:val="none"/>
        </w:rPr>
        <w:t>）进入第二阶段评审的投标人代表、招标人代表、</w:t>
      </w:r>
      <w:r>
        <w:rPr>
          <w:rFonts w:hint="eastAsia" w:ascii="宋体" w:hAnsi="宋体"/>
          <w:sz w:val="24"/>
          <w:highlight w:val="none"/>
        </w:rPr>
        <w:t>监督人员</w:t>
      </w:r>
      <w:r>
        <w:rPr>
          <w:rFonts w:hint="eastAsia" w:ascii="宋体" w:hAnsi="宋体" w:cs="Times New Roman"/>
          <w:sz w:val="24"/>
          <w:szCs w:val="22"/>
          <w:highlight w:val="none"/>
        </w:rPr>
        <w:t>、记录人等有关人员在开标记录上签字确认；</w:t>
      </w:r>
    </w:p>
    <w:p w14:paraId="1D633254">
      <w:pPr>
        <w:autoSpaceDE w:val="0"/>
        <w:autoSpaceDN w:val="0"/>
        <w:adjustRightInd w:val="0"/>
        <w:spacing w:line="480" w:lineRule="exact"/>
        <w:ind w:firstLine="480" w:firstLineChars="200"/>
        <w:rPr>
          <w:rFonts w:ascii="宋体" w:hAnsi="宋体" w:cs="Times New Roman"/>
          <w:sz w:val="24"/>
          <w:szCs w:val="22"/>
          <w:highlight w:val="none"/>
        </w:rPr>
      </w:pPr>
      <w:r>
        <w:rPr>
          <w:rFonts w:hint="eastAsia" w:ascii="宋体" w:hAnsi="宋体" w:cs="Times New Roman"/>
          <w:sz w:val="24"/>
          <w:szCs w:val="22"/>
          <w:highlight w:val="none"/>
        </w:rPr>
        <w:t>（</w:t>
      </w:r>
      <w:r>
        <w:rPr>
          <w:rFonts w:hint="eastAsia" w:ascii="宋体" w:hAnsi="宋体" w:cs="Times New Roman"/>
          <w:sz w:val="24"/>
          <w:szCs w:val="22"/>
          <w:highlight w:val="none"/>
          <w:lang w:val="en-US" w:eastAsia="zh-CN"/>
        </w:rPr>
        <w:t>8</w:t>
      </w:r>
      <w:r>
        <w:rPr>
          <w:rFonts w:hint="eastAsia" w:ascii="宋体" w:hAnsi="宋体" w:cs="Times New Roman"/>
          <w:sz w:val="24"/>
          <w:szCs w:val="22"/>
          <w:highlight w:val="none"/>
        </w:rPr>
        <w:t>）开标结束。</w:t>
      </w:r>
    </w:p>
    <w:p w14:paraId="40F37DF0">
      <w:pPr>
        <w:autoSpaceDE w:val="0"/>
        <w:autoSpaceDN w:val="0"/>
        <w:adjustRightInd w:val="0"/>
        <w:spacing w:line="480" w:lineRule="exact"/>
        <w:ind w:firstLine="480" w:firstLineChars="200"/>
        <w:rPr>
          <w:rFonts w:ascii="宋体" w:hAns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lang w:val="en-US" w:eastAsia="zh-CN"/>
        </w:rPr>
        <w:t>2</w:t>
      </w:r>
      <w:r>
        <w:rPr>
          <w:rFonts w:ascii="宋体" w:hAnsi="宋体" w:cs="宋体"/>
          <w:sz w:val="24"/>
          <w:szCs w:val="24"/>
          <w:highlight w:val="none"/>
        </w:rPr>
        <w:t xml:space="preserve">.3 </w:t>
      </w:r>
      <w:r>
        <w:rPr>
          <w:rFonts w:hint="eastAsia" w:ascii="宋体" w:hAnsi="宋体" w:cs="宋体"/>
          <w:sz w:val="24"/>
          <w:szCs w:val="24"/>
          <w:highlight w:val="none"/>
        </w:rPr>
        <w:t>开标过程中，</w:t>
      </w:r>
      <w:r>
        <w:rPr>
          <w:rFonts w:hint="eastAsia" w:ascii="宋体" w:hAnsi="宋体"/>
          <w:sz w:val="24"/>
          <w:highlight w:val="none"/>
        </w:rPr>
        <w:t>若招标人宣读的内容与投标文件不符时，投标人有权在开标现场提出异议，经监督人员当场核查确认之后，可重新宣读其投标文件；</w:t>
      </w:r>
      <w:r>
        <w:rPr>
          <w:rFonts w:hint="eastAsia" w:ascii="宋体" w:hAnsi="宋体" w:cs="宋体"/>
          <w:sz w:val="24"/>
          <w:szCs w:val="24"/>
          <w:highlight w:val="none"/>
        </w:rPr>
        <w:t>若招标人发现投标文件出现以下任一情况，经</w:t>
      </w:r>
      <w:r>
        <w:rPr>
          <w:rFonts w:hint="eastAsia" w:ascii="宋体" w:hAnsi="宋体"/>
          <w:sz w:val="24"/>
          <w:highlight w:val="none"/>
        </w:rPr>
        <w:t>监督人员</w:t>
      </w:r>
      <w:r>
        <w:rPr>
          <w:rFonts w:hint="eastAsia" w:ascii="宋体" w:hAnsi="宋体" w:cs="宋体"/>
          <w:sz w:val="24"/>
          <w:szCs w:val="24"/>
          <w:highlight w:val="none"/>
        </w:rPr>
        <w:t>确认后当场宣布为无效投标：</w:t>
      </w:r>
    </w:p>
    <w:p w14:paraId="20FA57EC">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1）投标人递交的投标文件没能按招标文件的要求密封和标记的；</w:t>
      </w:r>
    </w:p>
    <w:p w14:paraId="2DCAE3FB">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2）商务投标文件的正、副本份数不符合招标文件规定的或不按要求递交投标文件电子版的；</w:t>
      </w:r>
    </w:p>
    <w:p w14:paraId="27AE1434">
      <w:pPr>
        <w:autoSpaceDE w:val="0"/>
        <w:autoSpaceDN w:val="0"/>
        <w:adjustRightInd w:val="0"/>
        <w:spacing w:line="480" w:lineRule="exact"/>
        <w:ind w:firstLine="480" w:firstLineChars="200"/>
        <w:rPr>
          <w:rFonts w:ascii="宋体" w:hAnsi="宋体" w:cs="宋体"/>
          <w:b/>
          <w:bCs/>
          <w:sz w:val="24"/>
          <w:szCs w:val="24"/>
          <w:highlight w:val="none"/>
        </w:rPr>
      </w:pPr>
      <w:r>
        <w:rPr>
          <w:rFonts w:hint="eastAsia" w:ascii="宋体" w:hAnsi="宋体" w:cs="宋体"/>
          <w:kern w:val="0"/>
          <w:sz w:val="24"/>
          <w:highlight w:val="none"/>
        </w:rPr>
        <w:t>（</w:t>
      </w:r>
      <w:r>
        <w:rPr>
          <w:rFonts w:ascii="宋体" w:hAnsi="宋体" w:cs="宋体"/>
          <w:kern w:val="0"/>
          <w:sz w:val="24"/>
          <w:highlight w:val="none"/>
        </w:rPr>
        <w:t>3）在商务投标文件开标时投标人法定代表人或委托代理人</w:t>
      </w:r>
      <w:r>
        <w:rPr>
          <w:rFonts w:hint="eastAsia" w:ascii="宋体" w:hAnsi="宋体" w:cs="宋体"/>
          <w:kern w:val="0"/>
          <w:sz w:val="24"/>
          <w:highlight w:val="none"/>
          <w:lang w:val="en-US" w:eastAsia="zh-CN"/>
        </w:rPr>
        <w:t>未</w:t>
      </w:r>
      <w:r>
        <w:rPr>
          <w:rFonts w:ascii="宋体" w:hAnsi="宋体" w:cs="宋体"/>
          <w:kern w:val="0"/>
          <w:sz w:val="24"/>
          <w:highlight w:val="none"/>
        </w:rPr>
        <w:t>出席开</w:t>
      </w:r>
      <w:r>
        <w:rPr>
          <w:rFonts w:ascii="宋体" w:hAnsi="宋体" w:cs="宋体"/>
          <w:kern w:val="0"/>
          <w:sz w:val="24"/>
          <w:szCs w:val="22"/>
          <w:highlight w:val="none"/>
        </w:rPr>
        <w:t>标现场；或虽出席但未能提供身份证原件证明其身份的；</w:t>
      </w:r>
    </w:p>
    <w:p w14:paraId="643F6E69">
      <w:pPr>
        <w:spacing w:beforeLines="150" w:line="460" w:lineRule="exact"/>
        <w:rPr>
          <w:rFonts w:ascii="宋体" w:hAnsi="宋体"/>
          <w:b/>
          <w:sz w:val="30"/>
          <w:szCs w:val="30"/>
          <w:highlight w:val="none"/>
        </w:rPr>
      </w:pPr>
      <w:r>
        <w:rPr>
          <w:rFonts w:hint="eastAsia" w:ascii="宋体" w:hAnsi="宋体"/>
          <w:b/>
          <w:sz w:val="30"/>
          <w:szCs w:val="30"/>
          <w:highlight w:val="none"/>
        </w:rPr>
        <w:t>6. 评 标</w:t>
      </w:r>
    </w:p>
    <w:p w14:paraId="6156F7DD">
      <w:pPr>
        <w:spacing w:line="460" w:lineRule="exact"/>
        <w:rPr>
          <w:rFonts w:ascii="宋体" w:hAnsi="宋体"/>
          <w:b/>
          <w:sz w:val="24"/>
          <w:szCs w:val="24"/>
          <w:highlight w:val="none"/>
        </w:rPr>
      </w:pPr>
      <w:r>
        <w:rPr>
          <w:rFonts w:hint="eastAsia" w:ascii="宋体" w:hAnsi="宋体"/>
          <w:b/>
          <w:sz w:val="24"/>
          <w:szCs w:val="24"/>
          <w:highlight w:val="none"/>
        </w:rPr>
        <w:t>6.1 评标委员会</w:t>
      </w:r>
    </w:p>
    <w:p w14:paraId="38DD91FE">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sz w:val="24"/>
          <w:highlight w:val="none"/>
        </w:rPr>
        <w:t>6.1.1</w:t>
      </w:r>
      <w:r>
        <w:rPr>
          <w:rFonts w:hint="eastAsia" w:ascii="宋体" w:hAnsi="宋体"/>
          <w:sz w:val="24"/>
          <w:highlight w:val="none"/>
        </w:rPr>
        <w:t xml:space="preserve"> 评标由招标人依法组建的评标委员会负责，评标委员会的组成、评标时间、评标地点见投标人须知前附表。</w:t>
      </w:r>
    </w:p>
    <w:p w14:paraId="60A5EA49">
      <w:pPr>
        <w:autoSpaceDE w:val="0"/>
        <w:autoSpaceDN w:val="0"/>
        <w:adjustRightInd w:val="0"/>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6.1.2评标委员会成员有下列情形之一的，应当回避：</w:t>
      </w:r>
    </w:p>
    <w:p w14:paraId="21424AE9">
      <w:pPr>
        <w:autoSpaceDE w:val="0"/>
        <w:autoSpaceDN w:val="0"/>
        <w:adjustRightInd w:val="0"/>
        <w:spacing w:line="44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1</w:t>
      </w:r>
      <w:r>
        <w:rPr>
          <w:rFonts w:hint="eastAsia" w:ascii="宋体" w:hAnsi="宋体" w:cs="宋体"/>
          <w:kern w:val="0"/>
          <w:sz w:val="24"/>
          <w:szCs w:val="24"/>
          <w:highlight w:val="none"/>
        </w:rPr>
        <w:t>）招标人或投标人的主要负责人的近亲属；</w:t>
      </w:r>
    </w:p>
    <w:p w14:paraId="533038B9">
      <w:pPr>
        <w:autoSpaceDE w:val="0"/>
        <w:autoSpaceDN w:val="0"/>
        <w:adjustRightInd w:val="0"/>
        <w:spacing w:line="44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2</w:t>
      </w:r>
      <w:r>
        <w:rPr>
          <w:rFonts w:hint="eastAsia" w:ascii="宋体" w:hAnsi="宋体" w:cs="宋体"/>
          <w:kern w:val="0"/>
          <w:sz w:val="24"/>
          <w:szCs w:val="24"/>
          <w:highlight w:val="none"/>
        </w:rPr>
        <w:t>）项目主管部门或者行政监督部门的人员；</w:t>
      </w:r>
    </w:p>
    <w:p w14:paraId="35894F1B">
      <w:pPr>
        <w:autoSpaceDE w:val="0"/>
        <w:autoSpaceDN w:val="0"/>
        <w:adjustRightInd w:val="0"/>
        <w:spacing w:line="44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3</w:t>
      </w:r>
      <w:r>
        <w:rPr>
          <w:rFonts w:hint="eastAsia" w:ascii="宋体" w:hAnsi="宋体" w:cs="宋体"/>
          <w:kern w:val="0"/>
          <w:sz w:val="24"/>
          <w:szCs w:val="24"/>
          <w:highlight w:val="none"/>
        </w:rPr>
        <w:t>）与投标人有经济利益关系，可能影响对投标公正评审的；</w:t>
      </w:r>
    </w:p>
    <w:p w14:paraId="0BDCEF64">
      <w:pPr>
        <w:spacing w:line="44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4</w:t>
      </w:r>
      <w:r>
        <w:rPr>
          <w:rFonts w:hint="eastAsia" w:ascii="宋体" w:hAnsi="宋体" w:cs="宋体"/>
          <w:kern w:val="0"/>
          <w:sz w:val="24"/>
          <w:szCs w:val="24"/>
          <w:highlight w:val="none"/>
        </w:rPr>
        <w:t>）曾因在招标、评标以及其他与招标投标有关活动中从事违法行为而受过行政处罚或刑事处罚的。</w:t>
      </w:r>
    </w:p>
    <w:p w14:paraId="5D88BBD8">
      <w:pPr>
        <w:spacing w:beforeLines="100" w:line="480" w:lineRule="exact"/>
        <w:rPr>
          <w:rFonts w:ascii="宋体" w:hAnsi="宋体"/>
          <w:b/>
          <w:sz w:val="24"/>
          <w:szCs w:val="24"/>
          <w:highlight w:val="none"/>
        </w:rPr>
      </w:pPr>
      <w:r>
        <w:rPr>
          <w:rFonts w:hint="eastAsia" w:ascii="宋体" w:hAnsi="宋体"/>
          <w:b/>
          <w:sz w:val="24"/>
          <w:szCs w:val="24"/>
          <w:highlight w:val="none"/>
        </w:rPr>
        <w:t>6.2 评标原则</w:t>
      </w:r>
    </w:p>
    <w:p w14:paraId="49793D60">
      <w:pPr>
        <w:spacing w:line="480" w:lineRule="exact"/>
        <w:ind w:firstLine="480" w:firstLineChars="200"/>
        <w:rPr>
          <w:rFonts w:ascii="宋体" w:hAnsi="宋体"/>
          <w:b/>
          <w:sz w:val="24"/>
          <w:szCs w:val="24"/>
          <w:highlight w:val="none"/>
        </w:rPr>
      </w:pPr>
      <w:r>
        <w:rPr>
          <w:rFonts w:hint="eastAsia" w:ascii="宋体" w:hAnsi="宋体" w:cs="宋体"/>
          <w:kern w:val="0"/>
          <w:sz w:val="24"/>
          <w:szCs w:val="24"/>
          <w:highlight w:val="none"/>
        </w:rPr>
        <w:t>评标活动遵循公平、公正、科学和择优的原则。</w:t>
      </w:r>
    </w:p>
    <w:p w14:paraId="22AC23BD">
      <w:pPr>
        <w:spacing w:beforeLines="100" w:line="480" w:lineRule="exact"/>
        <w:rPr>
          <w:rFonts w:ascii="宋体" w:hAnsi="宋体"/>
          <w:b/>
          <w:sz w:val="24"/>
          <w:szCs w:val="24"/>
          <w:highlight w:val="none"/>
        </w:rPr>
      </w:pPr>
      <w:r>
        <w:rPr>
          <w:rFonts w:hint="eastAsia" w:ascii="宋体" w:hAnsi="宋体"/>
          <w:b/>
          <w:sz w:val="24"/>
          <w:szCs w:val="24"/>
          <w:highlight w:val="none"/>
        </w:rPr>
        <w:t>6.3 评标办法</w:t>
      </w:r>
    </w:p>
    <w:p w14:paraId="0C1363E2">
      <w:pPr>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评标委员会按照投标人须知前附表规定的评标办法进行评标，具体的评审方法见第三章“评标办法”规定的方法、评审因素、标准和程序对投标文件进行评审。第三章“评标办法”没有规定的方法、评审因素和标准，不作为评标依据。</w:t>
      </w:r>
    </w:p>
    <w:p w14:paraId="52A4B078">
      <w:pPr>
        <w:spacing w:beforeLines="150" w:line="460" w:lineRule="exact"/>
        <w:rPr>
          <w:rFonts w:ascii="宋体" w:hAnsi="宋体"/>
          <w:b/>
          <w:sz w:val="30"/>
          <w:szCs w:val="30"/>
          <w:highlight w:val="none"/>
        </w:rPr>
      </w:pPr>
      <w:r>
        <w:rPr>
          <w:rFonts w:hint="eastAsia" w:ascii="宋体" w:hAnsi="宋体"/>
          <w:b/>
          <w:sz w:val="30"/>
          <w:szCs w:val="30"/>
          <w:highlight w:val="none"/>
        </w:rPr>
        <w:t>7. 合同授予</w:t>
      </w:r>
    </w:p>
    <w:p w14:paraId="3C6F079F">
      <w:pPr>
        <w:spacing w:line="460" w:lineRule="exact"/>
        <w:rPr>
          <w:rFonts w:ascii="宋体" w:hAnsi="宋体"/>
          <w:b/>
          <w:sz w:val="24"/>
          <w:szCs w:val="24"/>
          <w:highlight w:val="none"/>
        </w:rPr>
      </w:pPr>
      <w:r>
        <w:rPr>
          <w:rFonts w:hint="eastAsia" w:ascii="宋体" w:hAnsi="宋体"/>
          <w:b/>
          <w:sz w:val="24"/>
          <w:szCs w:val="24"/>
          <w:highlight w:val="none"/>
        </w:rPr>
        <w:t>7.1 定标方式</w:t>
      </w:r>
    </w:p>
    <w:p w14:paraId="487C9BF2">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除投标人须知前附表规定评标委员会直接确定中标人外，招标人依据评标委员会推荐的中标候选人确定中标人，评标委员会推荐中标候选人的人数见投标人须知前附表。</w:t>
      </w:r>
    </w:p>
    <w:p w14:paraId="55BE61D1">
      <w:pPr>
        <w:autoSpaceDE w:val="0"/>
        <w:autoSpaceDN w:val="0"/>
        <w:adjustRightInd w:val="0"/>
        <w:spacing w:beforeLines="100" w:line="460" w:lineRule="exact"/>
        <w:jc w:val="left"/>
        <w:rPr>
          <w:rFonts w:ascii="宋体" w:hAnsi="宋体" w:cs="宋体"/>
          <w:b/>
          <w:kern w:val="0"/>
          <w:sz w:val="24"/>
          <w:highlight w:val="none"/>
        </w:rPr>
      </w:pPr>
      <w:r>
        <w:rPr>
          <w:rFonts w:hint="eastAsia" w:ascii="宋体" w:hAnsi="宋体" w:cs="宋体"/>
          <w:b/>
          <w:kern w:val="0"/>
          <w:sz w:val="24"/>
          <w:highlight w:val="none"/>
        </w:rPr>
        <w:t>7.2 中标通知</w:t>
      </w:r>
    </w:p>
    <w:p w14:paraId="7E09CAEB">
      <w:pPr>
        <w:autoSpaceDE/>
        <w:autoSpaceDN/>
        <w:adjustRightInd/>
        <w:spacing w:line="460" w:lineRule="exact"/>
        <w:ind w:firstLine="0" w:firstLineChars="0"/>
        <w:rPr>
          <w:rFonts w:hint="eastAsia" w:ascii="宋体" w:hAnsi="宋体" w:eastAsia="宋体" w:cs="Times New Roman"/>
          <w:b/>
          <w:kern w:val="2"/>
          <w:sz w:val="24"/>
          <w:szCs w:val="24"/>
          <w:highlight w:val="none"/>
          <w:lang w:val="en-US" w:eastAsia="zh-CN"/>
        </w:rPr>
      </w:pPr>
      <w:r>
        <w:rPr>
          <w:rFonts w:hint="eastAsia" w:ascii="宋体" w:hAnsi="宋体" w:eastAsia="宋体" w:cs="Times New Roman"/>
          <w:b/>
          <w:kern w:val="2"/>
          <w:sz w:val="24"/>
          <w:szCs w:val="24"/>
          <w:highlight w:val="none"/>
        </w:rPr>
        <w:t>7.2.1</w:t>
      </w:r>
      <w:r>
        <w:rPr>
          <w:rFonts w:hint="eastAsia" w:ascii="宋体" w:hAnsi="宋体" w:eastAsia="宋体" w:cs="Times New Roman"/>
          <w:b/>
          <w:kern w:val="2"/>
          <w:sz w:val="24"/>
          <w:szCs w:val="24"/>
          <w:highlight w:val="none"/>
          <w:lang w:val="en-US" w:eastAsia="zh-CN"/>
        </w:rPr>
        <w:t>信息公开</w:t>
      </w:r>
    </w:p>
    <w:p w14:paraId="0448AF9C">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根据《广东省住房和城乡建设厅关于房屋建筑和市政基础设施工程建设项目招标投标全过程信息公开的管理规定（试行）》要求，招标人将对投标人（中标人）的投标文件、评标过程、评标结果、中标结果在</w:t>
      </w:r>
      <w:r>
        <w:rPr>
          <w:rFonts w:hint="eastAsia" w:ascii="楷体_GB2312" w:eastAsia="楷体_GB2312"/>
          <w:b/>
          <w:sz w:val="24"/>
          <w:szCs w:val="24"/>
          <w:highlight w:val="none"/>
          <w:u w:val="single"/>
        </w:rPr>
        <w:t>广东省招标投标监管网、广州交易集团有限公司（广州公共资源交易中心）</w:t>
      </w:r>
      <w:r>
        <w:rPr>
          <w:rFonts w:hint="eastAsia" w:ascii="楷体_GB2312" w:eastAsia="楷体_GB2312"/>
          <w:b/>
          <w:sz w:val="24"/>
          <w:szCs w:val="24"/>
          <w:highlight w:val="none"/>
          <w:u w:val="single"/>
          <w:lang w:val="en-US" w:eastAsia="zh-CN"/>
        </w:rPr>
        <w:t>网站</w:t>
      </w:r>
      <w:r>
        <w:rPr>
          <w:rFonts w:hint="eastAsia" w:ascii="宋体" w:hAnsi="宋体" w:cs="宋体"/>
          <w:kern w:val="0"/>
          <w:sz w:val="24"/>
          <w:highlight w:val="none"/>
        </w:rPr>
        <w:t>进行公示。</w:t>
      </w:r>
    </w:p>
    <w:p w14:paraId="1F20E4E6">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（1）投标文件公示：</w:t>
      </w:r>
      <w:r>
        <w:rPr>
          <w:rFonts w:ascii="宋体" w:hAnsi="宋体" w:cs="宋体"/>
          <w:kern w:val="0"/>
          <w:sz w:val="24"/>
          <w:highlight w:val="none"/>
        </w:rPr>
        <w:t>产生</w:t>
      </w:r>
      <w:r>
        <w:rPr>
          <w:rFonts w:hint="eastAsia" w:ascii="宋体" w:hAnsi="宋体" w:cs="宋体"/>
          <w:kern w:val="0"/>
          <w:sz w:val="24"/>
          <w:highlight w:val="none"/>
        </w:rPr>
        <w:t>中标人/</w:t>
      </w:r>
      <w:r>
        <w:rPr>
          <w:rFonts w:ascii="宋体" w:hAnsi="宋体" w:cs="宋体"/>
          <w:kern w:val="0"/>
          <w:sz w:val="24"/>
          <w:highlight w:val="none"/>
        </w:rPr>
        <w:t>中标候选人后，招标人应将</w:t>
      </w:r>
      <w:r>
        <w:rPr>
          <w:rFonts w:hint="eastAsia" w:ascii="宋体" w:hAnsi="宋体" w:cs="宋体"/>
          <w:kern w:val="0"/>
          <w:sz w:val="24"/>
          <w:highlight w:val="none"/>
        </w:rPr>
        <w:t>中标人/</w:t>
      </w:r>
      <w:r>
        <w:rPr>
          <w:rFonts w:ascii="宋体" w:hAnsi="宋体" w:cs="宋体"/>
          <w:kern w:val="0"/>
          <w:sz w:val="24"/>
          <w:highlight w:val="none"/>
        </w:rPr>
        <w:t>中标候选人的电子版中</w:t>
      </w:r>
      <w:r>
        <w:rPr>
          <w:rFonts w:hint="eastAsia" w:ascii="宋体" w:hAnsi="宋体" w:eastAsia="宋体" w:cs="宋体"/>
          <w:color w:val="000000"/>
          <w:sz w:val="24"/>
          <w:highlight w:val="none"/>
        </w:rPr>
        <w:t>商务</w:t>
      </w:r>
      <w:r>
        <w:rPr>
          <w:rFonts w:hint="eastAsia" w:ascii="宋体" w:hAnsi="宋体" w:eastAsia="宋体" w:cs="宋体"/>
          <w:color w:val="000000"/>
          <w:sz w:val="24"/>
          <w:highlight w:val="none"/>
          <w:lang w:val="en-US" w:eastAsia="zh-CN"/>
        </w:rPr>
        <w:t>投标</w:t>
      </w:r>
      <w:r>
        <w:rPr>
          <w:rFonts w:hint="eastAsia" w:ascii="宋体" w:hAnsi="宋体" w:eastAsia="宋体" w:cs="宋体"/>
          <w:color w:val="000000"/>
          <w:sz w:val="24"/>
          <w:highlight w:val="none"/>
        </w:rPr>
        <w:t>文件</w:t>
      </w:r>
      <w:r>
        <w:rPr>
          <w:rFonts w:hint="eastAsia" w:ascii="宋体" w:hAnsi="宋体" w:cs="宋体"/>
          <w:kern w:val="0"/>
          <w:sz w:val="24"/>
          <w:highlight w:val="none"/>
        </w:rPr>
        <w:t>进行</w:t>
      </w:r>
      <w:r>
        <w:rPr>
          <w:rFonts w:ascii="宋体" w:hAnsi="宋体" w:cs="宋体"/>
          <w:kern w:val="0"/>
          <w:sz w:val="24"/>
          <w:highlight w:val="none"/>
        </w:rPr>
        <w:t>公示，公示期不得少于</w:t>
      </w:r>
      <w:r>
        <w:rPr>
          <w:rFonts w:hint="eastAsia" w:ascii="宋体" w:hAnsi="宋体" w:cs="宋体"/>
          <w:kern w:val="0"/>
          <w:sz w:val="24"/>
          <w:highlight w:val="none"/>
        </w:rPr>
        <w:t>3</w:t>
      </w:r>
      <w:r>
        <w:rPr>
          <w:rFonts w:ascii="宋体" w:hAnsi="宋体" w:cs="宋体"/>
          <w:kern w:val="0"/>
          <w:sz w:val="24"/>
          <w:highlight w:val="none"/>
        </w:rPr>
        <w:t>日（节假日顺延）。</w:t>
      </w:r>
    </w:p>
    <w:p w14:paraId="0D95D5DF">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2）评标过程公示：招标项目在评标时，应公开评标专家的职称、取得的资质、从事专业等有利于评标的内容，评标专家姓名可用代码进行标示，如专家一、专家二等。产生中标候选人后，招标人应将评标专家代码及对应的个人评标过程的具体意见（含对否决投标人相关意见等）进行公示，公示期不得少于</w:t>
      </w:r>
      <w:r>
        <w:rPr>
          <w:rFonts w:ascii="宋体" w:hAnsi="宋体" w:cs="宋体"/>
          <w:kern w:val="0"/>
          <w:sz w:val="24"/>
          <w:highlight w:val="none"/>
        </w:rPr>
        <w:t>3日（节假日顺延）。</w:t>
      </w:r>
    </w:p>
    <w:p w14:paraId="0D261233">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（3）评标结果公示</w:t>
      </w:r>
    </w:p>
    <w:p w14:paraId="2A7FD513">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①</w:t>
      </w:r>
      <w:r>
        <w:rPr>
          <w:rFonts w:ascii="宋体" w:hAnsi="宋体" w:cs="宋体"/>
          <w:kern w:val="0"/>
          <w:sz w:val="24"/>
          <w:highlight w:val="none"/>
        </w:rPr>
        <w:t>评标委员会成员确认并签署</w:t>
      </w:r>
      <w:r>
        <w:rPr>
          <w:rFonts w:hint="eastAsia" w:ascii="宋体" w:hAnsi="宋体" w:cs="宋体"/>
          <w:kern w:val="0"/>
          <w:sz w:val="24"/>
          <w:highlight w:val="none"/>
          <w:lang w:val="en-US" w:eastAsia="zh-CN"/>
        </w:rPr>
        <w:t>评标报告</w:t>
      </w:r>
      <w:r>
        <w:rPr>
          <w:rFonts w:ascii="宋体" w:hAnsi="宋体" w:cs="宋体"/>
          <w:kern w:val="0"/>
          <w:sz w:val="24"/>
          <w:highlight w:val="none"/>
        </w:rPr>
        <w:t>后，招标人应当自收到评标报告之日起3日内将评标结果和合格投标人得票</w:t>
      </w:r>
      <w:r>
        <w:rPr>
          <w:rFonts w:hint="eastAsia" w:ascii="宋体" w:hAnsi="宋体" w:cs="宋体"/>
          <w:kern w:val="0"/>
          <w:sz w:val="24"/>
          <w:highlight w:val="none"/>
        </w:rPr>
        <w:t>（或得分）</w:t>
      </w:r>
      <w:r>
        <w:rPr>
          <w:rFonts w:ascii="宋体" w:hAnsi="宋体" w:cs="宋体"/>
          <w:kern w:val="0"/>
          <w:sz w:val="24"/>
          <w:highlight w:val="none"/>
        </w:rPr>
        <w:t>情况</w:t>
      </w:r>
      <w:r>
        <w:rPr>
          <w:rFonts w:hint="eastAsia" w:ascii="宋体" w:hAnsi="宋体" w:cs="宋体"/>
          <w:kern w:val="0"/>
          <w:sz w:val="24"/>
          <w:highlight w:val="none"/>
        </w:rPr>
        <w:t>进行</w:t>
      </w:r>
      <w:r>
        <w:rPr>
          <w:rFonts w:ascii="宋体" w:hAnsi="宋体" w:cs="宋体"/>
          <w:kern w:val="0"/>
          <w:sz w:val="24"/>
          <w:highlight w:val="none"/>
        </w:rPr>
        <w:t>公示，公示期不得少于3日（节假日顺延）。</w:t>
      </w:r>
    </w:p>
    <w:p w14:paraId="1B43725F">
      <w:pPr>
        <w:autoSpaceDE w:val="0"/>
        <w:autoSpaceDN w:val="0"/>
        <w:adjustRightInd w:val="0"/>
        <w:spacing w:line="460" w:lineRule="exact"/>
        <w:ind w:firstLine="480" w:firstLineChars="200"/>
        <w:rPr>
          <w:rFonts w:hint="eastAsia" w:ascii="宋体" w:hAnsi="宋体" w:cs="宋体"/>
          <w:spacing w:val="-2"/>
          <w:kern w:val="0"/>
          <w:sz w:val="24"/>
          <w:highlight w:val="none"/>
        </w:rPr>
      </w:pPr>
      <w:r>
        <w:rPr>
          <w:rFonts w:hint="eastAsia" w:ascii="宋体" w:hAnsi="宋体" w:cs="宋体"/>
          <w:kern w:val="0"/>
          <w:sz w:val="24"/>
          <w:highlight w:val="none"/>
        </w:rPr>
        <w:t>②</w:t>
      </w:r>
      <w:r>
        <w:rPr>
          <w:rFonts w:hint="eastAsia" w:ascii="宋体" w:hAnsi="宋体" w:cs="宋体"/>
          <w:spacing w:val="-2"/>
          <w:kern w:val="0"/>
          <w:sz w:val="24"/>
          <w:highlight w:val="none"/>
        </w:rPr>
        <w:t>利害关系人以自然人名义异议（投诉）的，该自然人必须为所异议（投诉）项目招投标活动中有记录的参与者（如投标员、拟派的项目总监理工程师、招标人代表等），并能如实提供其在所异议（投诉）项目招投标活动直接参与单位工作的社保证明等文件，否则，受理单位可不予受理。</w:t>
      </w:r>
    </w:p>
    <w:p w14:paraId="38F72FFC">
      <w:pPr>
        <w:numPr>
          <w:ilvl w:val="0"/>
          <w:numId w:val="0"/>
        </w:numPr>
        <w:autoSpaceDE w:val="0"/>
        <w:autoSpaceDN w:val="0"/>
        <w:adjustRightInd w:val="0"/>
        <w:spacing w:line="460" w:lineRule="exact"/>
        <w:ind w:firstLine="480" w:firstLineChars="200"/>
        <w:rPr>
          <w:rFonts w:hint="eastAsia" w:ascii="宋体" w:hAnsi="宋体" w:eastAsia="宋体" w:cs="宋体"/>
          <w:spacing w:val="0"/>
          <w:kern w:val="0"/>
          <w:sz w:val="24"/>
          <w:highlight w:val="none"/>
        </w:rPr>
      </w:pPr>
      <w:r>
        <w:rPr>
          <w:rFonts w:hint="eastAsia" w:ascii="宋体" w:hAnsi="宋体" w:eastAsia="宋体" w:cs="宋体"/>
          <w:spacing w:val="0"/>
          <w:kern w:val="0"/>
          <w:sz w:val="24"/>
          <w:highlight w:val="none"/>
          <w:lang w:val="en-US" w:eastAsia="zh-CN" w:bidi="ar-SA"/>
        </w:rPr>
        <w:t>（4）</w:t>
      </w:r>
      <w:r>
        <w:rPr>
          <w:rFonts w:hint="eastAsia" w:ascii="宋体" w:hAnsi="宋体" w:eastAsia="宋体" w:cs="宋体"/>
          <w:spacing w:val="0"/>
          <w:kern w:val="0"/>
          <w:sz w:val="24"/>
          <w:highlight w:val="none"/>
        </w:rPr>
        <w:t>中标结果公开</w:t>
      </w:r>
    </w:p>
    <w:p w14:paraId="31749788">
      <w:pPr>
        <w:autoSpaceDE w:val="0"/>
        <w:autoSpaceDN w:val="0"/>
        <w:adjustRightInd w:val="0"/>
        <w:spacing w:line="460" w:lineRule="exact"/>
        <w:ind w:firstLine="480" w:firstLineChars="200"/>
        <w:rPr>
          <w:rFonts w:hint="eastAsia" w:ascii="宋体" w:hAnsi="宋体" w:eastAsia="宋体" w:cs="宋体"/>
          <w:spacing w:val="0"/>
          <w:kern w:val="0"/>
          <w:sz w:val="24"/>
          <w:highlight w:val="none"/>
        </w:rPr>
      </w:pPr>
      <w:r>
        <w:rPr>
          <w:rFonts w:hint="eastAsia" w:ascii="宋体" w:hAnsi="宋体" w:eastAsia="宋体" w:cs="宋体"/>
          <w:spacing w:val="0"/>
          <w:kern w:val="0"/>
          <w:sz w:val="24"/>
          <w:highlight w:val="none"/>
        </w:rPr>
        <w:t>在发出中标通知书15日内，招标人应当将中标结果在广东省招标投标监管网、广州交易集团有限公司（广州公共资源交易中心）网站公示。</w:t>
      </w:r>
    </w:p>
    <w:p w14:paraId="16154B6C">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7.</w:t>
      </w:r>
      <w:r>
        <w:rPr>
          <w:rFonts w:hint="eastAsia" w:ascii="宋体" w:hAnsi="宋体" w:cs="宋体"/>
          <w:b/>
          <w:kern w:val="0"/>
          <w:sz w:val="24"/>
          <w:highlight w:val="none"/>
        </w:rPr>
        <w:t>2.2 中标通知书</w:t>
      </w:r>
    </w:p>
    <w:p w14:paraId="52A09738">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1、</w:t>
      </w:r>
      <w:r>
        <w:rPr>
          <w:rFonts w:hint="eastAsia" w:ascii="宋体" w:hAnsi="宋体" w:cs="宋体"/>
          <w:spacing w:val="-2"/>
          <w:kern w:val="0"/>
          <w:sz w:val="24"/>
          <w:highlight w:val="none"/>
        </w:rPr>
        <w:t>中标确定。</w:t>
      </w:r>
      <w:r>
        <w:rPr>
          <w:sz w:val="24"/>
          <w:szCs w:val="24"/>
          <w:highlight w:val="none"/>
          <w:lang w:eastAsia="zh-CN"/>
        </w:rPr>
        <w:t>招标人或招标人授权的评标委员会依法确定中标人</w:t>
      </w:r>
      <w:r>
        <w:rPr>
          <w:rFonts w:hint="eastAsia" w:ascii="宋体" w:hAnsi="宋体" w:cs="宋体"/>
          <w:spacing w:val="-2"/>
          <w:kern w:val="0"/>
          <w:sz w:val="24"/>
          <w:highlight w:val="none"/>
        </w:rPr>
        <w:t>。</w:t>
      </w:r>
    </w:p>
    <w:p w14:paraId="5F096CAD">
      <w:pPr>
        <w:spacing w:line="440" w:lineRule="exact"/>
        <w:ind w:firstLine="480" w:firstLineChars="200"/>
        <w:rPr>
          <w:rFonts w:ascii="宋体" w:hAnsi="宋体"/>
          <w:sz w:val="24"/>
          <w:szCs w:val="24"/>
          <w:highlight w:val="none"/>
        </w:rPr>
      </w:pPr>
      <w:r>
        <w:rPr>
          <w:rFonts w:hint="eastAsia" w:ascii="宋体" w:hAnsi="宋体" w:cs="宋体"/>
          <w:kern w:val="0"/>
          <w:sz w:val="24"/>
          <w:highlight w:val="none"/>
        </w:rPr>
        <w:t>2、排名第一的中标候选人放弃中标、因不可抗拒力不能履行合同、不按照招标文件要求递交履约保证金，或者被查实存在影响中标结果的违法行为等情形，不符合中标条件的，招标人可以按照评标委员会提出的中标候选人名单定其他中标候选人为中标人，也可以重新招标</w:t>
      </w:r>
      <w:r>
        <w:rPr>
          <w:rFonts w:hint="eastAsia" w:ascii="宋体" w:hAnsi="宋体" w:cs="宋体"/>
          <w:spacing w:val="-2"/>
          <w:kern w:val="0"/>
          <w:sz w:val="24"/>
          <w:highlight w:val="none"/>
        </w:rPr>
        <w:t>。</w:t>
      </w:r>
    </w:p>
    <w:p w14:paraId="1209163F">
      <w:pPr>
        <w:autoSpaceDE w:val="0"/>
        <w:autoSpaceDN w:val="0"/>
        <w:adjustRightInd w:val="0"/>
        <w:spacing w:line="460" w:lineRule="exact"/>
        <w:ind w:firstLine="472" w:firstLineChars="200"/>
        <w:rPr>
          <w:rFonts w:ascii="宋体" w:hAnsi="宋体" w:cs="宋体"/>
          <w:spacing w:val="-2"/>
          <w:kern w:val="0"/>
          <w:sz w:val="24"/>
          <w:highlight w:val="none"/>
        </w:rPr>
      </w:pPr>
      <w:r>
        <w:rPr>
          <w:rFonts w:hint="eastAsia" w:ascii="宋体" w:hAnsi="宋体" w:cs="宋体"/>
          <w:spacing w:val="-2"/>
          <w:kern w:val="0"/>
          <w:sz w:val="24"/>
          <w:highlight w:val="none"/>
        </w:rPr>
        <w:t xml:space="preserve">3 </w:t>
      </w:r>
      <w:r>
        <w:rPr>
          <w:rFonts w:hint="eastAsia" w:ascii="宋体" w:hAnsi="宋体" w:cs="宋体"/>
          <w:kern w:val="0"/>
          <w:sz w:val="24"/>
          <w:highlight w:val="none"/>
        </w:rPr>
        <w:t>、</w:t>
      </w:r>
      <w:r>
        <w:rPr>
          <w:rFonts w:hint="eastAsia" w:ascii="宋体" w:hAnsi="宋体" w:cs="宋体"/>
          <w:spacing w:val="-2"/>
          <w:kern w:val="0"/>
          <w:sz w:val="24"/>
          <w:highlight w:val="none"/>
        </w:rPr>
        <w:t>中标人确定后，招标人应当在7日内将加盖招标人单位公章的中标通知书发放到中标人及各相关单位。</w:t>
      </w:r>
    </w:p>
    <w:p w14:paraId="44EB1C06">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4、</w:t>
      </w:r>
      <w:r>
        <w:rPr>
          <w:rFonts w:hint="eastAsia" w:ascii="宋体" w:hAnsi="宋体" w:cs="宋体"/>
          <w:spacing w:val="-2"/>
          <w:kern w:val="0"/>
          <w:sz w:val="24"/>
          <w:highlight w:val="none"/>
        </w:rPr>
        <w:t>招标人最迟应当在投标有效期届满30日前发出中标通知书，否则，应当按照本投标人须知3.3.2款的规定延长投标有效期。</w:t>
      </w:r>
    </w:p>
    <w:p w14:paraId="6A9670C5">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5、</w:t>
      </w:r>
      <w:r>
        <w:rPr>
          <w:rFonts w:hint="eastAsia" w:ascii="宋体" w:hAnsi="宋体" w:cs="宋体"/>
          <w:spacing w:val="-2"/>
          <w:kern w:val="0"/>
          <w:sz w:val="24"/>
          <w:highlight w:val="none"/>
        </w:rPr>
        <w:t>招标人应当自确定中标人之日起15日内，向有关行政监督部门提交招标投标情况的书面报告。</w:t>
      </w:r>
    </w:p>
    <w:p w14:paraId="0C6E27C2">
      <w:pPr>
        <w:tabs>
          <w:tab w:val="left" w:pos="3953"/>
        </w:tabs>
        <w:spacing w:beforeLines="100" w:line="480" w:lineRule="exact"/>
        <w:rPr>
          <w:rFonts w:ascii="宋体" w:hAnsi="宋体"/>
          <w:b/>
          <w:sz w:val="24"/>
          <w:szCs w:val="24"/>
          <w:highlight w:val="none"/>
        </w:rPr>
      </w:pPr>
      <w:r>
        <w:rPr>
          <w:rFonts w:hint="eastAsia" w:ascii="宋体" w:hAnsi="宋体"/>
          <w:b/>
          <w:sz w:val="24"/>
          <w:szCs w:val="24"/>
          <w:highlight w:val="none"/>
        </w:rPr>
        <w:t xml:space="preserve">7.3 </w:t>
      </w:r>
      <w:r>
        <w:rPr>
          <w:rFonts w:ascii="宋体" w:hAnsi="宋体"/>
          <w:b/>
          <w:sz w:val="24"/>
          <w:szCs w:val="24"/>
          <w:highlight w:val="none"/>
        </w:rPr>
        <w:t>履约担保</w:t>
      </w:r>
    </w:p>
    <w:p w14:paraId="5778440B">
      <w:pPr>
        <w:spacing w:line="44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7.3.1</w:t>
      </w:r>
      <w:r>
        <w:rPr>
          <w:rFonts w:ascii="宋体" w:hAnsi="宋体" w:cs="宋体"/>
          <w:kern w:val="0"/>
          <w:sz w:val="24"/>
          <w:szCs w:val="24"/>
          <w:highlight w:val="none"/>
        </w:rPr>
        <w:t xml:space="preserve"> 在签订监理</w:t>
      </w:r>
      <w:r>
        <w:rPr>
          <w:rFonts w:hint="eastAsia" w:ascii="宋体" w:hAnsi="宋体" w:cs="宋体"/>
          <w:kern w:val="0"/>
          <w:sz w:val="24"/>
          <w:szCs w:val="24"/>
          <w:highlight w:val="none"/>
        </w:rPr>
        <w:t>合同前</w:t>
      </w:r>
      <w:r>
        <w:rPr>
          <w:rFonts w:ascii="宋体" w:hAnsi="宋体" w:cs="宋体"/>
          <w:kern w:val="0"/>
          <w:sz w:val="24"/>
          <w:szCs w:val="24"/>
          <w:highlight w:val="none"/>
        </w:rPr>
        <w:t>，中标人</w:t>
      </w:r>
      <w:r>
        <w:rPr>
          <w:rFonts w:hint="eastAsia" w:ascii="宋体" w:hAnsi="宋体" w:cs="宋体"/>
          <w:kern w:val="0"/>
          <w:sz w:val="24"/>
          <w:szCs w:val="24"/>
          <w:highlight w:val="none"/>
        </w:rPr>
        <w:t>须按投标人须知前附表规定的形式和金额</w:t>
      </w:r>
      <w:r>
        <w:rPr>
          <w:rFonts w:ascii="宋体" w:hAnsi="宋体" w:cs="宋体"/>
          <w:kern w:val="0"/>
          <w:sz w:val="24"/>
          <w:szCs w:val="24"/>
          <w:highlight w:val="none"/>
        </w:rPr>
        <w:t>向</w:t>
      </w:r>
      <w:r>
        <w:rPr>
          <w:rFonts w:hint="eastAsia" w:ascii="宋体" w:hAnsi="宋体" w:cs="宋体"/>
          <w:kern w:val="0"/>
          <w:sz w:val="24"/>
          <w:szCs w:val="24"/>
          <w:highlight w:val="none"/>
        </w:rPr>
        <w:t>招标人</w:t>
      </w:r>
      <w:r>
        <w:rPr>
          <w:rFonts w:ascii="宋体" w:hAnsi="宋体" w:cs="宋体"/>
          <w:kern w:val="0"/>
          <w:sz w:val="24"/>
          <w:szCs w:val="24"/>
          <w:highlight w:val="none"/>
        </w:rPr>
        <w:t>提交履约担保</w:t>
      </w:r>
      <w:r>
        <w:rPr>
          <w:rFonts w:hint="eastAsia" w:ascii="宋体" w:hAnsi="宋体" w:cs="宋体"/>
          <w:kern w:val="0"/>
          <w:sz w:val="24"/>
          <w:szCs w:val="24"/>
          <w:highlight w:val="none"/>
        </w:rPr>
        <w:t>，</w:t>
      </w:r>
      <w:r>
        <w:rPr>
          <w:rFonts w:ascii="宋体" w:hAnsi="宋体" w:cs="宋体"/>
          <w:kern w:val="0"/>
          <w:sz w:val="24"/>
          <w:szCs w:val="24"/>
          <w:highlight w:val="none"/>
        </w:rPr>
        <w:t>履约担保可采用本招标文件</w:t>
      </w:r>
      <w:r>
        <w:rPr>
          <w:rFonts w:hint="eastAsia" w:ascii="宋体" w:hAnsi="宋体" w:cs="宋体"/>
          <w:kern w:val="0"/>
          <w:sz w:val="24"/>
          <w:szCs w:val="24"/>
          <w:highlight w:val="none"/>
        </w:rPr>
        <w:t>的附件“</w:t>
      </w:r>
      <w:r>
        <w:rPr>
          <w:rFonts w:ascii="宋体" w:hAnsi="宋体" w:cs="宋体"/>
          <w:kern w:val="0"/>
          <w:sz w:val="24"/>
          <w:szCs w:val="24"/>
          <w:highlight w:val="none"/>
        </w:rPr>
        <w:t>履约保函格式</w:t>
      </w:r>
      <w:r>
        <w:rPr>
          <w:rFonts w:hint="eastAsia" w:ascii="宋体" w:hAnsi="宋体" w:cs="宋体"/>
          <w:kern w:val="0"/>
          <w:sz w:val="24"/>
          <w:szCs w:val="24"/>
          <w:highlight w:val="none"/>
        </w:rPr>
        <w:t>”</w:t>
      </w:r>
      <w:r>
        <w:rPr>
          <w:rFonts w:ascii="宋体" w:hAnsi="宋体" w:cs="宋体"/>
          <w:kern w:val="0"/>
          <w:sz w:val="24"/>
          <w:szCs w:val="24"/>
          <w:highlight w:val="none"/>
        </w:rPr>
        <w:t>或招标人认可的其他形式</w:t>
      </w:r>
      <w:r>
        <w:rPr>
          <w:rFonts w:hint="eastAsia" w:ascii="宋体" w:hAnsi="宋体" w:cs="宋体"/>
          <w:kern w:val="0"/>
          <w:sz w:val="24"/>
          <w:szCs w:val="24"/>
          <w:highlight w:val="none"/>
        </w:rPr>
        <w:t>。</w:t>
      </w:r>
    </w:p>
    <w:p w14:paraId="3A14A35E">
      <w:pPr>
        <w:autoSpaceDE w:val="0"/>
        <w:autoSpaceDN w:val="0"/>
        <w:adjustRightInd w:val="0"/>
        <w:spacing w:line="440" w:lineRule="exact"/>
        <w:ind w:firstLine="480" w:firstLineChars="200"/>
        <w:rPr>
          <w:rFonts w:hint="eastAsia" w:ascii="宋体" w:hAnsi="宋体" w:cs="宋体"/>
          <w:kern w:val="0"/>
          <w:sz w:val="24"/>
          <w:highlight w:val="none"/>
        </w:rPr>
      </w:pPr>
      <w:r>
        <w:rPr>
          <w:rFonts w:ascii="宋体" w:hAnsi="宋体" w:cs="宋体"/>
          <w:kern w:val="0"/>
          <w:sz w:val="24"/>
          <w:highlight w:val="none"/>
        </w:rPr>
        <w:t xml:space="preserve">7.3.2 </w:t>
      </w:r>
      <w:r>
        <w:rPr>
          <w:rFonts w:hint="eastAsia" w:ascii="宋体" w:hAnsi="宋体" w:cs="宋体"/>
          <w:kern w:val="0"/>
          <w:sz w:val="24"/>
          <w:highlight w:val="none"/>
        </w:rPr>
        <w:t>中标人不能按本章第</w:t>
      </w:r>
      <w:r>
        <w:rPr>
          <w:rFonts w:ascii="宋体" w:hAnsi="宋体" w:cs="宋体"/>
          <w:kern w:val="0"/>
          <w:sz w:val="24"/>
          <w:highlight w:val="none"/>
        </w:rPr>
        <w:t xml:space="preserve">7.3.1 </w:t>
      </w:r>
      <w:r>
        <w:rPr>
          <w:rFonts w:hint="eastAsia" w:ascii="宋体" w:hAnsi="宋体" w:cs="宋体"/>
          <w:kern w:val="0"/>
          <w:sz w:val="24"/>
          <w:highlight w:val="none"/>
        </w:rPr>
        <w:t>项要求提交履约担保的，视为放弃中标，其投标保证金不予退还，给招标人造成的损失超过投标保证金数额的，中标人还应当对超过部分予以赔偿。</w:t>
      </w:r>
    </w:p>
    <w:p w14:paraId="7519116B">
      <w:pPr>
        <w:autoSpaceDE w:val="0"/>
        <w:autoSpaceDN w:val="0"/>
        <w:adjustRightInd w:val="0"/>
        <w:spacing w:line="460" w:lineRule="exact"/>
        <w:ind w:firstLine="480" w:firstLineChars="200"/>
        <w:rPr>
          <w:rFonts w:hint="default" w:ascii="宋体" w:hAnsi="宋体" w:eastAsia="宋体" w:cs="宋体"/>
          <w:kern w:val="0"/>
          <w:sz w:val="24"/>
          <w:highlight w:val="none"/>
          <w:lang w:val="en-US" w:eastAsia="zh-CN"/>
        </w:rPr>
      </w:pPr>
      <w:r>
        <w:rPr>
          <w:rFonts w:hint="default" w:ascii="宋体" w:hAnsi="宋体" w:cs="宋体"/>
          <w:kern w:val="0"/>
          <w:sz w:val="24"/>
          <w:highlight w:val="none"/>
          <w:lang w:val="en-US" w:eastAsia="zh-CN"/>
        </w:rPr>
        <w:t>7.3.3承包人在收到中标通知书后20天之内并在签订合同协议书之前，应向发包人提交履约担保。</w:t>
      </w:r>
    </w:p>
    <w:p w14:paraId="6C92074C">
      <w:pPr>
        <w:pStyle w:val="47"/>
        <w:rPr>
          <w:highlight w:val="none"/>
        </w:rPr>
      </w:pPr>
    </w:p>
    <w:p w14:paraId="2DE512E9">
      <w:pPr>
        <w:spacing w:beforeLines="100" w:line="480" w:lineRule="exact"/>
        <w:rPr>
          <w:rFonts w:ascii="宋体" w:hAnsi="宋体"/>
          <w:b/>
          <w:sz w:val="24"/>
          <w:szCs w:val="24"/>
          <w:highlight w:val="none"/>
        </w:rPr>
      </w:pPr>
      <w:r>
        <w:rPr>
          <w:rFonts w:hint="eastAsia" w:ascii="宋体" w:hAnsi="宋体"/>
          <w:b/>
          <w:sz w:val="24"/>
          <w:szCs w:val="24"/>
          <w:highlight w:val="none"/>
        </w:rPr>
        <w:t>7.4签订合同</w:t>
      </w:r>
    </w:p>
    <w:p w14:paraId="2CEC21AA">
      <w:pPr>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7.4.1</w:t>
      </w:r>
      <w:r>
        <w:rPr>
          <w:rFonts w:hint="eastAsia" w:ascii="宋体" w:hAnsi="宋体" w:cs="宋体"/>
          <w:spacing w:val="-4"/>
          <w:kern w:val="0"/>
          <w:sz w:val="24"/>
          <w:szCs w:val="24"/>
          <w:highlight w:val="none"/>
        </w:rPr>
        <w:t>招标人和中</w:t>
      </w:r>
      <w:r>
        <w:rPr>
          <w:rFonts w:ascii="宋体" w:hAnsi="宋体" w:cs="宋体"/>
          <w:spacing w:val="-4"/>
          <w:kern w:val="0"/>
          <w:sz w:val="24"/>
          <w:szCs w:val="24"/>
          <w:highlight w:val="none"/>
        </w:rPr>
        <w:t>标人应在</w:t>
      </w:r>
      <w:r>
        <w:rPr>
          <w:rFonts w:hint="eastAsia" w:ascii="宋体" w:hAnsi="宋体" w:cs="宋体"/>
          <w:spacing w:val="-4"/>
          <w:kern w:val="0"/>
          <w:sz w:val="24"/>
          <w:szCs w:val="24"/>
          <w:highlight w:val="none"/>
        </w:rPr>
        <w:t>自</w:t>
      </w:r>
      <w:r>
        <w:rPr>
          <w:rFonts w:ascii="宋体" w:hAnsi="宋体" w:cs="宋体"/>
          <w:spacing w:val="-4"/>
          <w:kern w:val="0"/>
          <w:sz w:val="24"/>
          <w:szCs w:val="24"/>
          <w:highlight w:val="none"/>
        </w:rPr>
        <w:t>发出中标通知书之日起</w:t>
      </w:r>
      <w:r>
        <w:rPr>
          <w:rFonts w:hint="eastAsia" w:ascii="宋体" w:hAnsi="宋体" w:cs="宋体"/>
          <w:spacing w:val="-4"/>
          <w:kern w:val="0"/>
          <w:sz w:val="24"/>
          <w:szCs w:val="24"/>
          <w:highlight w:val="none"/>
        </w:rPr>
        <w:t>15日</w:t>
      </w:r>
      <w:r>
        <w:rPr>
          <w:rFonts w:ascii="宋体" w:hAnsi="宋体" w:cs="宋体"/>
          <w:spacing w:val="-4"/>
          <w:kern w:val="0"/>
          <w:sz w:val="24"/>
          <w:szCs w:val="24"/>
          <w:highlight w:val="none"/>
        </w:rPr>
        <w:t>内，按照招标</w:t>
      </w:r>
      <w:r>
        <w:rPr>
          <w:rFonts w:hint="eastAsia" w:ascii="宋体" w:hAnsi="宋体" w:cs="宋体"/>
          <w:spacing w:val="-4"/>
          <w:kern w:val="0"/>
          <w:sz w:val="24"/>
          <w:szCs w:val="24"/>
          <w:highlight w:val="none"/>
        </w:rPr>
        <w:t>人</w:t>
      </w:r>
      <w:r>
        <w:rPr>
          <w:rFonts w:ascii="宋体" w:hAnsi="宋体" w:cs="宋体"/>
          <w:spacing w:val="-4"/>
          <w:kern w:val="0"/>
          <w:sz w:val="24"/>
          <w:szCs w:val="24"/>
          <w:highlight w:val="none"/>
        </w:rPr>
        <w:t>和中标人约定的时间和地点</w:t>
      </w:r>
      <w:r>
        <w:rPr>
          <w:rFonts w:hint="eastAsia" w:ascii="宋体" w:hAnsi="宋体" w:cs="宋体"/>
          <w:spacing w:val="-4"/>
          <w:kern w:val="0"/>
          <w:sz w:val="24"/>
          <w:szCs w:val="24"/>
          <w:highlight w:val="none"/>
        </w:rPr>
        <w:t>签署</w:t>
      </w:r>
      <w:r>
        <w:rPr>
          <w:rFonts w:ascii="宋体" w:hAnsi="宋体" w:cs="宋体"/>
          <w:spacing w:val="-4"/>
          <w:kern w:val="0"/>
          <w:sz w:val="24"/>
          <w:szCs w:val="24"/>
          <w:highlight w:val="none"/>
        </w:rPr>
        <w:t>监理</w:t>
      </w:r>
      <w:r>
        <w:rPr>
          <w:rFonts w:hint="eastAsia" w:ascii="宋体" w:hAnsi="宋体" w:cs="宋体"/>
          <w:spacing w:val="-4"/>
          <w:kern w:val="0"/>
          <w:sz w:val="24"/>
          <w:szCs w:val="24"/>
          <w:highlight w:val="none"/>
        </w:rPr>
        <w:t>合同</w:t>
      </w:r>
      <w:r>
        <w:rPr>
          <w:rFonts w:ascii="宋体" w:hAnsi="宋体" w:cs="宋体"/>
          <w:spacing w:val="-4"/>
          <w:kern w:val="0"/>
          <w:sz w:val="24"/>
          <w:szCs w:val="24"/>
          <w:highlight w:val="none"/>
        </w:rPr>
        <w:t>协议书</w:t>
      </w:r>
      <w:r>
        <w:rPr>
          <w:rFonts w:hint="eastAsia" w:ascii="宋体" w:hAnsi="宋体" w:cs="宋体"/>
          <w:spacing w:val="-4"/>
          <w:kern w:val="0"/>
          <w:sz w:val="24"/>
          <w:szCs w:val="24"/>
          <w:highlight w:val="none"/>
        </w:rPr>
        <w:t>，</w:t>
      </w:r>
      <w:r>
        <w:rPr>
          <w:rFonts w:ascii="宋体" w:hAnsi="宋体" w:cs="宋体"/>
          <w:spacing w:val="-4"/>
          <w:kern w:val="0"/>
          <w:sz w:val="24"/>
          <w:szCs w:val="24"/>
          <w:highlight w:val="none"/>
        </w:rPr>
        <w:t>监理</w:t>
      </w:r>
      <w:r>
        <w:rPr>
          <w:rFonts w:hint="eastAsia" w:ascii="宋体" w:hAnsi="宋体" w:cs="宋体"/>
          <w:spacing w:val="-4"/>
          <w:kern w:val="0"/>
          <w:sz w:val="24"/>
          <w:szCs w:val="24"/>
          <w:highlight w:val="none"/>
        </w:rPr>
        <w:t>合同</w:t>
      </w:r>
      <w:r>
        <w:rPr>
          <w:rFonts w:ascii="宋体" w:hAnsi="宋体" w:cs="宋体"/>
          <w:spacing w:val="-4"/>
          <w:kern w:val="0"/>
          <w:sz w:val="24"/>
          <w:szCs w:val="24"/>
          <w:highlight w:val="none"/>
        </w:rPr>
        <w:t>协议书由双方法定代表人或其授权的代理人签署并加盖</w:t>
      </w:r>
      <w:r>
        <w:rPr>
          <w:rFonts w:hint="eastAsia" w:ascii="宋体" w:hAnsi="宋体" w:cs="宋体"/>
          <w:spacing w:val="-4"/>
          <w:kern w:val="0"/>
          <w:sz w:val="24"/>
          <w:szCs w:val="24"/>
          <w:highlight w:val="none"/>
        </w:rPr>
        <w:t>双方</w:t>
      </w:r>
      <w:r>
        <w:rPr>
          <w:rFonts w:ascii="宋体" w:hAnsi="宋体" w:cs="宋体"/>
          <w:spacing w:val="-4"/>
          <w:kern w:val="0"/>
          <w:sz w:val="24"/>
          <w:szCs w:val="24"/>
          <w:highlight w:val="none"/>
        </w:rPr>
        <w:t>公章，双方均应出示法定代表人或其授权的代理人的有效身份证明。</w:t>
      </w:r>
    </w:p>
    <w:p w14:paraId="4BC7BAA3">
      <w:pPr>
        <w:spacing w:line="460" w:lineRule="exact"/>
        <w:ind w:firstLine="480" w:firstLineChars="200"/>
        <w:rPr>
          <w:rFonts w:ascii="宋体" w:hAnsi="宋体" w:cs="宋体"/>
          <w:spacing w:val="-4"/>
          <w:kern w:val="0"/>
          <w:sz w:val="24"/>
          <w:szCs w:val="24"/>
          <w:highlight w:val="none"/>
        </w:rPr>
      </w:pPr>
      <w:r>
        <w:rPr>
          <w:rFonts w:hint="eastAsia" w:ascii="宋体" w:hAnsi="宋体" w:cs="宋体"/>
          <w:kern w:val="0"/>
          <w:sz w:val="24"/>
          <w:szCs w:val="24"/>
          <w:highlight w:val="none"/>
        </w:rPr>
        <w:t xml:space="preserve">7.4.2 </w:t>
      </w:r>
      <w:r>
        <w:rPr>
          <w:rFonts w:hint="eastAsia" w:ascii="宋体" w:hAnsi="宋体" w:cs="宋体"/>
          <w:spacing w:val="-4"/>
          <w:kern w:val="0"/>
          <w:sz w:val="24"/>
          <w:szCs w:val="24"/>
          <w:highlight w:val="none"/>
        </w:rPr>
        <w:t>中标人无正当理由拒签合同的，招标人将取消其中标资格，其投标保证金不予退还；给招标人造成的损失超过投标保证金数额的，中标人还应当对超过部分予以赔偿。</w:t>
      </w:r>
    </w:p>
    <w:p w14:paraId="329A0B66">
      <w:pPr>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7.4.3发出中标通知书后，招标人无正当理由拒签合同的，招标人向中标人退还投标保证金；给中标人造成损失的，还应当赔偿损失。</w:t>
      </w:r>
    </w:p>
    <w:p w14:paraId="3842F3BE">
      <w:pPr>
        <w:spacing w:line="460" w:lineRule="exact"/>
        <w:ind w:firstLine="480" w:firstLineChars="200"/>
        <w:rPr>
          <w:rFonts w:ascii="宋体" w:hAnsi="宋体"/>
          <w:sz w:val="24"/>
          <w:highlight w:val="none"/>
        </w:rPr>
      </w:pPr>
      <w:r>
        <w:rPr>
          <w:rFonts w:hint="eastAsia" w:ascii="宋体" w:hAnsi="宋体"/>
          <w:sz w:val="24"/>
          <w:highlight w:val="none"/>
        </w:rPr>
        <w:t>7.4.5 如果根据本章第3.5.2项、第7.3.2项或第7.4.2项规定，招标人取消了中标人的中标资格，在此情况下，招标人可将合同授予下一个中标候选人，或者按规定重新组织招标。</w:t>
      </w:r>
    </w:p>
    <w:p w14:paraId="5F47A8B5">
      <w:pPr>
        <w:spacing w:beforeLines="150" w:line="460" w:lineRule="exact"/>
        <w:rPr>
          <w:rFonts w:ascii="宋体" w:hAnsi="宋体"/>
          <w:b/>
          <w:sz w:val="30"/>
          <w:szCs w:val="30"/>
          <w:highlight w:val="none"/>
        </w:rPr>
      </w:pPr>
      <w:r>
        <w:rPr>
          <w:rFonts w:hint="eastAsia" w:ascii="宋体" w:hAnsi="宋体"/>
          <w:b/>
          <w:sz w:val="30"/>
          <w:szCs w:val="30"/>
          <w:highlight w:val="none"/>
        </w:rPr>
        <w:t>8. 重新招标和不再招标</w:t>
      </w:r>
    </w:p>
    <w:p w14:paraId="551E7E53">
      <w:pPr>
        <w:spacing w:line="440" w:lineRule="exact"/>
        <w:ind w:firstLine="482" w:firstLineChars="200"/>
        <w:rPr>
          <w:rFonts w:ascii="宋体" w:hAnsi="宋体"/>
          <w:b/>
          <w:sz w:val="24"/>
          <w:szCs w:val="24"/>
          <w:highlight w:val="none"/>
        </w:rPr>
      </w:pPr>
      <w:r>
        <w:rPr>
          <w:rFonts w:hint="eastAsia" w:ascii="宋体" w:hAnsi="宋体"/>
          <w:b/>
          <w:sz w:val="24"/>
          <w:szCs w:val="24"/>
          <w:highlight w:val="none"/>
        </w:rPr>
        <w:t>8.1 重新招标</w:t>
      </w:r>
    </w:p>
    <w:p w14:paraId="58928F46">
      <w:pPr>
        <w:autoSpaceDE w:val="0"/>
        <w:autoSpaceDN w:val="0"/>
        <w:adjustRightIn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有下列情形之一的，招标人将重新招标：</w:t>
      </w:r>
    </w:p>
    <w:p w14:paraId="52D8DCAC">
      <w:pPr>
        <w:autoSpaceDE w:val="0"/>
        <w:autoSpaceDN w:val="0"/>
        <w:adjustRightIn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（1）投标截止时间止，投标人少于3家的；</w:t>
      </w:r>
    </w:p>
    <w:p w14:paraId="0A018AA9">
      <w:pPr>
        <w:autoSpaceDE w:val="0"/>
        <w:autoSpaceDN w:val="0"/>
        <w:adjustRightIn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（2）资格审查合格投标人少于3家的；</w:t>
      </w:r>
    </w:p>
    <w:p w14:paraId="63014D99">
      <w:pPr>
        <w:spacing w:line="440" w:lineRule="exact"/>
        <w:ind w:firstLine="480" w:firstLineChars="200"/>
        <w:rPr>
          <w:rFonts w:ascii="宋体" w:hAnsi="宋体"/>
          <w:sz w:val="24"/>
          <w:szCs w:val="24"/>
          <w:highlight w:val="none"/>
        </w:rPr>
      </w:pPr>
      <w:r>
        <w:rPr>
          <w:rFonts w:hint="eastAsia" w:ascii="宋体" w:hAnsi="宋体"/>
          <w:sz w:val="24"/>
          <w:szCs w:val="24"/>
          <w:highlight w:val="none"/>
        </w:rPr>
        <w:t>（3）评标委员会推荐的中标候选人均未能与招标人签订合同的。</w:t>
      </w:r>
    </w:p>
    <w:p w14:paraId="1CC0D7D6">
      <w:pPr>
        <w:spacing w:line="440" w:lineRule="exact"/>
        <w:ind w:firstLine="480" w:firstLineChars="200"/>
        <w:rPr>
          <w:rFonts w:ascii="宋体" w:hAnsi="宋体"/>
          <w:sz w:val="24"/>
          <w:szCs w:val="24"/>
          <w:highlight w:val="none"/>
        </w:rPr>
      </w:pPr>
      <w:r>
        <w:rPr>
          <w:rFonts w:hint="eastAsia" w:ascii="宋体" w:hAnsi="宋体"/>
          <w:sz w:val="24"/>
          <w:szCs w:val="24"/>
          <w:highlight w:val="none"/>
        </w:rPr>
        <w:t xml:space="preserve"> (4) 法律规定的其他情形。</w:t>
      </w:r>
    </w:p>
    <w:p w14:paraId="5E596671">
      <w:pPr>
        <w:spacing w:beforeLines="100" w:line="480" w:lineRule="exact"/>
        <w:rPr>
          <w:rFonts w:ascii="宋体" w:hAnsi="宋体"/>
          <w:b/>
          <w:sz w:val="24"/>
          <w:szCs w:val="24"/>
          <w:highlight w:val="none"/>
        </w:rPr>
      </w:pPr>
      <w:r>
        <w:rPr>
          <w:rFonts w:hint="eastAsia" w:ascii="宋体" w:hAnsi="宋体"/>
          <w:b/>
          <w:sz w:val="24"/>
          <w:szCs w:val="24"/>
          <w:highlight w:val="none"/>
        </w:rPr>
        <w:t>8.2 不再招标</w:t>
      </w:r>
    </w:p>
    <w:p w14:paraId="30B7D712">
      <w:pPr>
        <w:spacing w:line="480" w:lineRule="exact"/>
        <w:ind w:firstLine="480" w:firstLineChars="200"/>
        <w:rPr>
          <w:rFonts w:ascii="宋体" w:hAnsi="宋体"/>
          <w:sz w:val="24"/>
          <w:szCs w:val="24"/>
          <w:highlight w:val="none"/>
        </w:rPr>
      </w:pPr>
      <w:r>
        <w:rPr>
          <w:rFonts w:hint="eastAsia" w:ascii="宋体" w:hAnsi="宋体"/>
          <w:sz w:val="24"/>
          <w:szCs w:val="24"/>
          <w:highlight w:val="none"/>
        </w:rPr>
        <w:t>重新招标后有效的投标人仍少于3个或者所有投标被否决的，属于必须审批或核准的工程建设项目，经原审批或核准部门批准后不再进行招标。</w:t>
      </w:r>
    </w:p>
    <w:p w14:paraId="71C71F52">
      <w:pPr>
        <w:spacing w:beforeLines="150" w:line="460" w:lineRule="exact"/>
        <w:rPr>
          <w:rFonts w:ascii="宋体" w:hAnsi="宋体"/>
          <w:b/>
          <w:sz w:val="30"/>
          <w:szCs w:val="30"/>
          <w:highlight w:val="none"/>
        </w:rPr>
      </w:pPr>
      <w:r>
        <w:rPr>
          <w:rFonts w:hint="eastAsia" w:ascii="宋体" w:hAnsi="宋体"/>
          <w:b/>
          <w:sz w:val="30"/>
          <w:szCs w:val="30"/>
          <w:highlight w:val="none"/>
        </w:rPr>
        <w:t>9. 纪律和监督</w:t>
      </w:r>
    </w:p>
    <w:p w14:paraId="2CE61078">
      <w:pPr>
        <w:spacing w:line="480" w:lineRule="exact"/>
        <w:rPr>
          <w:rFonts w:ascii="宋体" w:hAnsi="宋体"/>
          <w:b/>
          <w:sz w:val="24"/>
          <w:szCs w:val="24"/>
          <w:highlight w:val="none"/>
        </w:rPr>
      </w:pPr>
      <w:r>
        <w:rPr>
          <w:rFonts w:hint="eastAsia" w:ascii="宋体" w:hAnsi="宋体"/>
          <w:b/>
          <w:sz w:val="24"/>
          <w:szCs w:val="24"/>
          <w:highlight w:val="none"/>
        </w:rPr>
        <w:t xml:space="preserve">9.1 </w:t>
      </w:r>
      <w:r>
        <w:rPr>
          <w:rFonts w:ascii="宋体" w:hAnsi="宋体"/>
          <w:b/>
          <w:sz w:val="24"/>
          <w:szCs w:val="24"/>
          <w:highlight w:val="none"/>
        </w:rPr>
        <w:t>对招标人的纪律要求</w:t>
      </w:r>
    </w:p>
    <w:p w14:paraId="377186C5">
      <w:pPr>
        <w:spacing w:line="460" w:lineRule="exact"/>
        <w:ind w:firstLine="480" w:firstLineChars="200"/>
        <w:rPr>
          <w:rFonts w:ascii="宋体" w:hAnsi="宋体"/>
          <w:sz w:val="24"/>
          <w:szCs w:val="24"/>
          <w:highlight w:val="none"/>
        </w:rPr>
      </w:pPr>
      <w:r>
        <w:rPr>
          <w:rFonts w:hint="eastAsia" w:ascii="宋体" w:hAnsi="宋体"/>
          <w:sz w:val="24"/>
          <w:szCs w:val="24"/>
          <w:highlight w:val="none"/>
        </w:rPr>
        <w:t>招标人不得泄漏招标投标活动中应当保密的情况和资料，不得与投标人串通损害国家利益、社会公共利益或者他人合法权益。</w:t>
      </w:r>
    </w:p>
    <w:p w14:paraId="4E474FD5">
      <w:pPr>
        <w:spacing w:beforeLines="100" w:line="460" w:lineRule="exact"/>
        <w:rPr>
          <w:rFonts w:ascii="宋体" w:hAnsi="宋体"/>
          <w:b/>
          <w:sz w:val="24"/>
          <w:szCs w:val="24"/>
          <w:highlight w:val="none"/>
        </w:rPr>
      </w:pPr>
      <w:r>
        <w:rPr>
          <w:rFonts w:hint="eastAsia" w:ascii="宋体" w:hAnsi="宋体"/>
          <w:b/>
          <w:sz w:val="24"/>
          <w:szCs w:val="24"/>
          <w:highlight w:val="none"/>
        </w:rPr>
        <w:t xml:space="preserve">9.2 </w:t>
      </w:r>
      <w:r>
        <w:rPr>
          <w:rFonts w:ascii="宋体" w:hAnsi="宋体"/>
          <w:b/>
          <w:sz w:val="24"/>
          <w:szCs w:val="24"/>
          <w:highlight w:val="none"/>
        </w:rPr>
        <w:t>对投标人的纪律要求</w:t>
      </w:r>
    </w:p>
    <w:p w14:paraId="5AD391C1">
      <w:pPr>
        <w:spacing w:line="460" w:lineRule="exact"/>
        <w:ind w:firstLine="480" w:firstLineChars="200"/>
        <w:rPr>
          <w:rFonts w:ascii="宋体" w:hAnsi="宋体"/>
          <w:sz w:val="24"/>
          <w:szCs w:val="24"/>
          <w:highlight w:val="none"/>
        </w:rPr>
      </w:pPr>
      <w:r>
        <w:rPr>
          <w:rFonts w:hint="eastAsia" w:ascii="宋体" w:hAnsi="宋体"/>
          <w:sz w:val="24"/>
          <w:szCs w:val="24"/>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14:paraId="567274C1">
      <w:pPr>
        <w:spacing w:beforeLines="100" w:line="460" w:lineRule="exact"/>
        <w:rPr>
          <w:rFonts w:ascii="宋体" w:hAnsi="宋体"/>
          <w:b/>
          <w:sz w:val="24"/>
          <w:szCs w:val="24"/>
          <w:highlight w:val="none"/>
        </w:rPr>
      </w:pPr>
      <w:r>
        <w:rPr>
          <w:rFonts w:hint="eastAsia" w:ascii="宋体" w:hAnsi="宋体"/>
          <w:b/>
          <w:sz w:val="24"/>
          <w:szCs w:val="24"/>
          <w:highlight w:val="none"/>
        </w:rPr>
        <w:t xml:space="preserve">9.3 </w:t>
      </w:r>
      <w:r>
        <w:rPr>
          <w:rFonts w:ascii="宋体" w:hAnsi="宋体"/>
          <w:b/>
          <w:sz w:val="24"/>
          <w:szCs w:val="24"/>
          <w:highlight w:val="none"/>
        </w:rPr>
        <w:t>对评标委员会成员的纪律要求</w:t>
      </w:r>
    </w:p>
    <w:p w14:paraId="11464B53">
      <w:pPr>
        <w:spacing w:line="460" w:lineRule="exact"/>
        <w:ind w:firstLine="480" w:firstLineChars="200"/>
        <w:rPr>
          <w:rFonts w:ascii="宋体" w:hAnsi="宋体"/>
          <w:sz w:val="24"/>
          <w:szCs w:val="24"/>
          <w:highlight w:val="none"/>
        </w:rPr>
      </w:pPr>
      <w:r>
        <w:rPr>
          <w:rFonts w:ascii="宋体" w:hAnsi="宋体"/>
          <w:sz w:val="24"/>
          <w:szCs w:val="24"/>
          <w:highlight w:val="none"/>
        </w:rPr>
        <w:t>评标委员会成员不得收受</w:t>
      </w:r>
      <w:r>
        <w:rPr>
          <w:rFonts w:hint="eastAsia" w:ascii="宋体" w:hAnsi="宋体"/>
          <w:sz w:val="24"/>
          <w:szCs w:val="24"/>
          <w:highlight w:val="none"/>
        </w:rPr>
        <w:t>投标</w:t>
      </w:r>
      <w:r>
        <w:rPr>
          <w:rFonts w:ascii="宋体" w:hAnsi="宋体"/>
          <w:sz w:val="24"/>
          <w:szCs w:val="24"/>
          <w:highlight w:val="none"/>
        </w:rPr>
        <w:t>人的财物或者其他好处，不得向他人透漏对投标文件的评审和比较、中标候选人的推荐情况以及评标有关的其他情况。在评标活动中，评标委员会成员不得擅离职守，影响评标程序正常进行，不得使用本</w:t>
      </w:r>
      <w:r>
        <w:rPr>
          <w:rFonts w:hint="eastAsia" w:ascii="宋体" w:hAnsi="宋体"/>
          <w:sz w:val="24"/>
          <w:szCs w:val="24"/>
          <w:highlight w:val="none"/>
        </w:rPr>
        <w:t>工程</w:t>
      </w:r>
      <w:r>
        <w:rPr>
          <w:rFonts w:ascii="宋体" w:hAnsi="宋体"/>
          <w:sz w:val="24"/>
          <w:szCs w:val="24"/>
          <w:highlight w:val="none"/>
        </w:rPr>
        <w:t>“评标办法”没有规定的评审因素和标准进行评标</w:t>
      </w:r>
      <w:r>
        <w:rPr>
          <w:rFonts w:hint="eastAsia" w:ascii="宋体" w:hAnsi="宋体"/>
          <w:sz w:val="24"/>
          <w:szCs w:val="24"/>
          <w:highlight w:val="none"/>
        </w:rPr>
        <w:t>，法律、法规和规章规定的除外</w:t>
      </w:r>
      <w:r>
        <w:rPr>
          <w:rFonts w:ascii="宋体" w:hAnsi="宋体"/>
          <w:sz w:val="24"/>
          <w:szCs w:val="24"/>
          <w:highlight w:val="none"/>
        </w:rPr>
        <w:t>。</w:t>
      </w:r>
    </w:p>
    <w:p w14:paraId="4AB1BC88">
      <w:pPr>
        <w:spacing w:beforeLines="100" w:line="460" w:lineRule="exact"/>
        <w:rPr>
          <w:rFonts w:ascii="宋体" w:hAnsi="宋体"/>
          <w:b/>
          <w:sz w:val="24"/>
          <w:szCs w:val="24"/>
          <w:highlight w:val="none"/>
        </w:rPr>
      </w:pPr>
      <w:r>
        <w:rPr>
          <w:rFonts w:hint="eastAsia" w:ascii="宋体" w:hAnsi="宋体"/>
          <w:b/>
          <w:sz w:val="24"/>
          <w:szCs w:val="24"/>
          <w:highlight w:val="none"/>
        </w:rPr>
        <w:t xml:space="preserve">9.4 </w:t>
      </w:r>
      <w:r>
        <w:rPr>
          <w:rFonts w:ascii="宋体" w:hAnsi="宋体"/>
          <w:b/>
          <w:sz w:val="24"/>
          <w:szCs w:val="24"/>
          <w:highlight w:val="none"/>
        </w:rPr>
        <w:t>对与评标活动有关的工作人员的纪律要求</w:t>
      </w:r>
    </w:p>
    <w:p w14:paraId="35E1BF4D">
      <w:pPr>
        <w:spacing w:line="460" w:lineRule="exact"/>
        <w:ind w:firstLine="480" w:firstLineChars="200"/>
        <w:rPr>
          <w:rFonts w:ascii="宋体" w:hAnsi="宋体"/>
          <w:sz w:val="24"/>
          <w:szCs w:val="24"/>
          <w:highlight w:val="none"/>
        </w:rPr>
      </w:pPr>
      <w:r>
        <w:rPr>
          <w:rFonts w:ascii="宋体" w:hAnsi="宋体"/>
          <w:sz w:val="24"/>
          <w:szCs w:val="24"/>
          <w:highlight w:val="none"/>
        </w:rPr>
        <w:t>与评标活动有关的工作人员不得收受</w:t>
      </w:r>
      <w:r>
        <w:rPr>
          <w:rFonts w:hint="eastAsia" w:ascii="宋体" w:hAnsi="宋体"/>
          <w:sz w:val="24"/>
          <w:szCs w:val="24"/>
          <w:highlight w:val="none"/>
        </w:rPr>
        <w:t>投标</w:t>
      </w:r>
      <w:r>
        <w:rPr>
          <w:rFonts w:ascii="宋体" w:hAnsi="宋体"/>
          <w:sz w:val="24"/>
          <w:szCs w:val="24"/>
          <w:highlight w:val="none"/>
        </w:rPr>
        <w:t>人的财物或者其他好处，不得向他人透漏对投标文件的评审和比较、中标候选人的推荐情况以及评标有关的其他情况。在评标活动中，与评标活动有关的工作人员不得擅离职守，影响评标程序正常进行。</w:t>
      </w:r>
    </w:p>
    <w:p w14:paraId="3DE06BFD">
      <w:pPr>
        <w:spacing w:beforeLines="100" w:line="460" w:lineRule="exact"/>
        <w:rPr>
          <w:rFonts w:ascii="宋体" w:hAnsi="宋体"/>
          <w:b/>
          <w:sz w:val="24"/>
          <w:szCs w:val="24"/>
          <w:highlight w:val="none"/>
        </w:rPr>
      </w:pPr>
      <w:r>
        <w:rPr>
          <w:rFonts w:hint="eastAsia" w:ascii="宋体" w:hAnsi="宋体"/>
          <w:b/>
          <w:sz w:val="24"/>
          <w:szCs w:val="24"/>
          <w:highlight w:val="none"/>
        </w:rPr>
        <w:t xml:space="preserve">9.5 </w:t>
      </w:r>
      <w:r>
        <w:rPr>
          <w:rFonts w:ascii="宋体" w:hAnsi="宋体"/>
          <w:b/>
          <w:sz w:val="24"/>
          <w:szCs w:val="24"/>
          <w:highlight w:val="none"/>
        </w:rPr>
        <w:t>投诉</w:t>
      </w:r>
    </w:p>
    <w:p w14:paraId="51329BDA">
      <w:pPr>
        <w:spacing w:line="460" w:lineRule="exact"/>
        <w:ind w:firstLine="480" w:firstLineChars="200"/>
        <w:rPr>
          <w:rFonts w:ascii="宋体" w:hAnsi="宋体"/>
          <w:sz w:val="24"/>
          <w:szCs w:val="24"/>
          <w:highlight w:val="none"/>
        </w:rPr>
      </w:pPr>
      <w:r>
        <w:rPr>
          <w:rFonts w:hint="eastAsia" w:ascii="宋体" w:hAnsi="宋体"/>
          <w:sz w:val="24"/>
          <w:szCs w:val="24"/>
          <w:highlight w:val="none"/>
        </w:rPr>
        <w:t>投标人和其它利害关系人认为本次招标活动违反法律、法规和规章规定的，有权向有关行政监督部门投诉。</w:t>
      </w:r>
      <w:r>
        <w:rPr>
          <w:rFonts w:ascii="宋体" w:hAnsi="宋体"/>
          <w:sz w:val="24"/>
          <w:szCs w:val="24"/>
          <w:highlight w:val="none"/>
        </w:rPr>
        <w:t>监督部门的联系方式见投标人须知前附表</w:t>
      </w:r>
      <w:r>
        <w:rPr>
          <w:rFonts w:hint="eastAsia" w:ascii="宋体" w:hAnsi="宋体"/>
          <w:sz w:val="24"/>
          <w:szCs w:val="24"/>
          <w:highlight w:val="none"/>
        </w:rPr>
        <w:t>。</w:t>
      </w:r>
    </w:p>
    <w:p w14:paraId="074A3C4B">
      <w:pPr>
        <w:rPr>
          <w:rFonts w:ascii="宋体" w:hAnsi="宋体"/>
          <w:b/>
          <w:i/>
          <w:sz w:val="24"/>
          <w:szCs w:val="24"/>
          <w:highlight w:val="none"/>
        </w:rPr>
        <w:sectPr>
          <w:headerReference r:id="rId8" w:type="default"/>
          <w:footerReference r:id="rId9" w:type="default"/>
          <w:pgSz w:w="11906" w:h="16838"/>
          <w:pgMar w:top="1418" w:right="1418" w:bottom="1418" w:left="1418" w:header="851" w:footer="737" w:gutter="0"/>
          <w:pgNumType w:fmt="decimal"/>
          <w:cols w:space="720" w:num="1"/>
          <w:docGrid w:type="lines" w:linePitch="312" w:charSpace="0"/>
        </w:sectPr>
      </w:pPr>
    </w:p>
    <w:p w14:paraId="4CD70D17">
      <w:pPr>
        <w:spacing w:line="360" w:lineRule="auto"/>
        <w:ind w:firstLine="480" w:firstLineChars="200"/>
        <w:rPr>
          <w:sz w:val="24"/>
          <w:highlight w:val="none"/>
        </w:rPr>
      </w:pPr>
    </w:p>
    <w:p w14:paraId="35DA72C6">
      <w:pPr>
        <w:spacing w:line="360" w:lineRule="auto"/>
        <w:ind w:firstLine="480" w:firstLineChars="200"/>
        <w:rPr>
          <w:sz w:val="24"/>
          <w:highlight w:val="none"/>
        </w:rPr>
      </w:pPr>
    </w:p>
    <w:p w14:paraId="3505E71A">
      <w:pPr>
        <w:spacing w:line="360" w:lineRule="auto"/>
        <w:ind w:firstLine="480" w:firstLineChars="200"/>
        <w:rPr>
          <w:sz w:val="24"/>
          <w:highlight w:val="none"/>
        </w:rPr>
      </w:pPr>
    </w:p>
    <w:p w14:paraId="2F0CEDCF">
      <w:pPr>
        <w:spacing w:line="360" w:lineRule="auto"/>
        <w:rPr>
          <w:sz w:val="24"/>
          <w:highlight w:val="none"/>
        </w:rPr>
      </w:pPr>
    </w:p>
    <w:p w14:paraId="57A23DAE">
      <w:pPr>
        <w:spacing w:line="360" w:lineRule="auto"/>
        <w:ind w:firstLine="480" w:firstLineChars="200"/>
        <w:rPr>
          <w:sz w:val="24"/>
          <w:highlight w:val="none"/>
        </w:rPr>
      </w:pPr>
    </w:p>
    <w:p w14:paraId="18368E1A">
      <w:pPr>
        <w:spacing w:line="360" w:lineRule="auto"/>
        <w:ind w:firstLine="480" w:firstLineChars="200"/>
        <w:rPr>
          <w:sz w:val="24"/>
          <w:highlight w:val="none"/>
        </w:rPr>
      </w:pPr>
    </w:p>
    <w:p w14:paraId="3045F6D7">
      <w:pPr>
        <w:spacing w:line="360" w:lineRule="auto"/>
        <w:ind w:firstLine="480" w:firstLineChars="200"/>
        <w:rPr>
          <w:sz w:val="24"/>
          <w:highlight w:val="none"/>
        </w:rPr>
      </w:pPr>
    </w:p>
    <w:p w14:paraId="69F2A33A">
      <w:pPr>
        <w:pStyle w:val="45"/>
        <w:rPr>
          <w:spacing w:val="160"/>
          <w:sz w:val="72"/>
          <w:highlight w:val="none"/>
        </w:rPr>
      </w:pPr>
      <w:bookmarkStart w:id="8" w:name="_Toc14400"/>
      <w:r>
        <w:rPr>
          <w:rFonts w:hint="eastAsia"/>
          <w:highlight w:val="none"/>
        </w:rPr>
        <w:t xml:space="preserve">第三章 </w:t>
      </w:r>
      <w:r>
        <w:rPr>
          <w:rFonts w:hint="eastAsia"/>
          <w:spacing w:val="160"/>
          <w:highlight w:val="none"/>
        </w:rPr>
        <w:t>评标办法</w:t>
      </w:r>
      <w:bookmarkEnd w:id="8"/>
    </w:p>
    <w:p w14:paraId="12FBECDF">
      <w:pPr>
        <w:rPr>
          <w:b/>
          <w:spacing w:val="6"/>
          <w:sz w:val="44"/>
          <w:highlight w:val="none"/>
        </w:rPr>
      </w:pPr>
    </w:p>
    <w:p w14:paraId="2378624A">
      <w:pPr>
        <w:jc w:val="center"/>
        <w:rPr>
          <w:b/>
          <w:spacing w:val="6"/>
          <w:sz w:val="44"/>
          <w:highlight w:val="none"/>
        </w:rPr>
      </w:pPr>
    </w:p>
    <w:p w14:paraId="3C87EDB5">
      <w:pPr>
        <w:rPr>
          <w:highlight w:val="none"/>
        </w:rPr>
      </w:pPr>
    </w:p>
    <w:p w14:paraId="02D885C8">
      <w:pPr>
        <w:spacing w:line="360" w:lineRule="exact"/>
        <w:ind w:right="90" w:rightChars="43"/>
        <w:jc w:val="center"/>
        <w:rPr>
          <w:rFonts w:ascii="宋体" w:hAnsi="宋体"/>
          <w:b/>
          <w:bCs/>
          <w:sz w:val="32"/>
          <w:highlight w:val="none"/>
        </w:rPr>
      </w:pPr>
      <w:r>
        <w:rPr>
          <w:rFonts w:hint="eastAsia" w:ascii="宋体" w:hAnsi="宋体"/>
          <w:b/>
          <w:bCs/>
          <w:sz w:val="32"/>
          <w:highlight w:val="none"/>
        </w:rPr>
        <w:t>（两阶段评标法）</w:t>
      </w:r>
    </w:p>
    <w:p w14:paraId="319729BF">
      <w:pPr>
        <w:spacing w:line="360" w:lineRule="exact"/>
        <w:ind w:right="90" w:rightChars="43"/>
        <w:jc w:val="center"/>
        <w:rPr>
          <w:rFonts w:ascii="宋体" w:hAnsi="宋体"/>
          <w:b/>
          <w:bCs/>
          <w:sz w:val="32"/>
          <w:highlight w:val="none"/>
        </w:rPr>
      </w:pPr>
    </w:p>
    <w:p w14:paraId="7A3ACEC8">
      <w:pPr>
        <w:spacing w:afterLines="50" w:line="400" w:lineRule="exact"/>
        <w:jc w:val="center"/>
        <w:outlineLvl w:val="9"/>
        <w:rPr>
          <w:rFonts w:ascii="宋体" w:hAnsi="宋体" w:cs="黑体"/>
          <w:b/>
          <w:kern w:val="0"/>
          <w:sz w:val="28"/>
          <w:szCs w:val="28"/>
          <w:highlight w:val="none"/>
        </w:rPr>
      </w:pPr>
      <w:r>
        <w:rPr>
          <w:rFonts w:ascii="宋体" w:hAnsi="宋体" w:cs="黑体"/>
          <w:b/>
          <w:kern w:val="0"/>
          <w:sz w:val="28"/>
          <w:szCs w:val="28"/>
          <w:highlight w:val="none"/>
        </w:rPr>
        <w:br w:type="page"/>
      </w:r>
      <w:bookmarkStart w:id="9" w:name="_Toc17821410"/>
      <w:bookmarkStart w:id="10" w:name="_Toc26486"/>
    </w:p>
    <w:p w14:paraId="570D9280">
      <w:pPr>
        <w:spacing w:line="360" w:lineRule="exact"/>
        <w:ind w:right="90" w:rightChars="43"/>
        <w:jc w:val="center"/>
        <w:outlineLvl w:val="1"/>
        <w:rPr>
          <w:rFonts w:ascii="宋体" w:hAnsi="宋体"/>
          <w:b/>
          <w:bCs/>
          <w:sz w:val="32"/>
          <w:highlight w:val="none"/>
        </w:rPr>
      </w:pPr>
      <w:r>
        <w:rPr>
          <w:rFonts w:hint="eastAsia" w:ascii="宋体" w:hAnsi="宋体"/>
          <w:b/>
          <w:bCs/>
          <w:sz w:val="32"/>
          <w:highlight w:val="none"/>
        </w:rPr>
        <w:t>第一阶段评审</w:t>
      </w:r>
    </w:p>
    <w:p w14:paraId="3B0891F8">
      <w:pPr>
        <w:spacing w:line="360" w:lineRule="exact"/>
        <w:ind w:right="90" w:rightChars="43"/>
        <w:jc w:val="center"/>
        <w:outlineLvl w:val="9"/>
        <w:rPr>
          <w:rFonts w:ascii="宋体" w:hAnsi="宋体"/>
          <w:b/>
          <w:bCs/>
          <w:sz w:val="32"/>
          <w:highlight w:val="none"/>
        </w:rPr>
      </w:pPr>
    </w:p>
    <w:p w14:paraId="1BACD8ED">
      <w:pPr>
        <w:spacing w:afterLines="50" w:line="400" w:lineRule="exact"/>
        <w:jc w:val="center"/>
        <w:outlineLvl w:val="9"/>
        <w:rPr>
          <w:rFonts w:ascii="宋体" w:hAnsi="宋体" w:cs="黑体"/>
          <w:b/>
          <w:kern w:val="0"/>
          <w:sz w:val="28"/>
          <w:szCs w:val="28"/>
          <w:highlight w:val="none"/>
        </w:rPr>
      </w:pPr>
      <w:r>
        <w:rPr>
          <w:rFonts w:hint="eastAsia" w:ascii="宋体" w:hAnsi="宋体" w:cs="黑体"/>
          <w:b/>
          <w:kern w:val="0"/>
          <w:sz w:val="30"/>
          <w:szCs w:val="30"/>
          <w:highlight w:val="none"/>
        </w:rPr>
        <w:t>1.评标办法评审标准前附表</w:t>
      </w:r>
      <w:bookmarkEnd w:id="9"/>
      <w:bookmarkEnd w:id="10"/>
    </w:p>
    <w:p w14:paraId="003F01F2">
      <w:pPr>
        <w:autoSpaceDE w:val="0"/>
        <w:autoSpaceDN w:val="0"/>
        <w:adjustRightInd w:val="0"/>
        <w:spacing w:line="440" w:lineRule="exact"/>
        <w:jc w:val="left"/>
        <w:rPr>
          <w:rFonts w:ascii="宋体" w:hAnsi="宋体" w:cs="黑体"/>
          <w:b/>
          <w:kern w:val="0"/>
          <w:sz w:val="24"/>
          <w:highlight w:val="none"/>
        </w:rPr>
      </w:pPr>
      <w:r>
        <w:rPr>
          <w:rFonts w:hint="eastAsia" w:ascii="宋体" w:hAnsi="宋体" w:cs="黑体"/>
          <w:b/>
          <w:kern w:val="0"/>
          <w:sz w:val="24"/>
          <w:highlight w:val="none"/>
        </w:rPr>
        <w:t>1.1</w:t>
      </w:r>
      <w:r>
        <w:rPr>
          <w:b/>
          <w:sz w:val="24"/>
          <w:highlight w:val="none"/>
        </w:rPr>
        <w:t>初步评审标准</w:t>
      </w:r>
      <w:r>
        <w:rPr>
          <w:rFonts w:hint="eastAsia" w:ascii="宋体" w:hAnsi="宋体" w:cs="黑体"/>
          <w:b/>
          <w:kern w:val="0"/>
          <w:sz w:val="24"/>
          <w:highlight w:val="none"/>
        </w:rPr>
        <w:t>前附表</w:t>
      </w:r>
    </w:p>
    <w:p w14:paraId="09F32CFE">
      <w:pPr>
        <w:autoSpaceDE w:val="0"/>
        <w:autoSpaceDN w:val="0"/>
        <w:adjustRightInd w:val="0"/>
        <w:spacing w:line="120" w:lineRule="exact"/>
        <w:rPr>
          <w:rFonts w:ascii="宋体" w:hAnsi="宋体" w:cs="黑体"/>
          <w:b/>
          <w:kern w:val="0"/>
          <w:sz w:val="24"/>
          <w:highlight w:val="none"/>
        </w:rPr>
      </w:pPr>
    </w:p>
    <w:tbl>
      <w:tblPr>
        <w:tblStyle w:val="49"/>
        <w:tblW w:w="97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6"/>
        <w:gridCol w:w="1842"/>
        <w:gridCol w:w="5481"/>
        <w:gridCol w:w="1276"/>
      </w:tblGrid>
      <w:tr w14:paraId="30D42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8" w:hRule="exact"/>
        </w:trPr>
        <w:tc>
          <w:tcPr>
            <w:tcW w:w="1101" w:type="dxa"/>
            <w:gridSpan w:val="2"/>
            <w:noWrap/>
            <w:vAlign w:val="center"/>
          </w:tcPr>
          <w:p w14:paraId="5F781BBC">
            <w:pPr>
              <w:autoSpaceDE w:val="0"/>
              <w:autoSpaceDN w:val="0"/>
              <w:adjustRightInd w:val="0"/>
              <w:spacing w:line="440" w:lineRule="exact"/>
              <w:jc w:val="center"/>
              <w:rPr>
                <w:rFonts w:ascii="宋体" w:cs="宋体"/>
                <w:b/>
                <w:kern w:val="0"/>
                <w:szCs w:val="21"/>
                <w:highlight w:val="none"/>
              </w:rPr>
            </w:pPr>
            <w:r>
              <w:rPr>
                <w:rFonts w:hint="eastAsia" w:ascii="宋体" w:cs="宋体"/>
                <w:b/>
                <w:kern w:val="0"/>
                <w:szCs w:val="21"/>
                <w:highlight w:val="none"/>
              </w:rPr>
              <w:t>条款号</w:t>
            </w:r>
          </w:p>
        </w:tc>
        <w:tc>
          <w:tcPr>
            <w:tcW w:w="1842" w:type="dxa"/>
            <w:noWrap/>
            <w:vAlign w:val="center"/>
          </w:tcPr>
          <w:p w14:paraId="1D4957A2">
            <w:pPr>
              <w:autoSpaceDE w:val="0"/>
              <w:autoSpaceDN w:val="0"/>
              <w:adjustRightInd w:val="0"/>
              <w:spacing w:line="440" w:lineRule="exact"/>
              <w:jc w:val="center"/>
              <w:rPr>
                <w:rFonts w:ascii="宋体" w:cs="宋体"/>
                <w:b/>
                <w:kern w:val="0"/>
                <w:szCs w:val="21"/>
                <w:highlight w:val="none"/>
              </w:rPr>
            </w:pPr>
            <w:r>
              <w:rPr>
                <w:rFonts w:hint="eastAsia" w:ascii="宋体" w:cs="宋体"/>
                <w:b/>
                <w:kern w:val="0"/>
                <w:szCs w:val="21"/>
                <w:highlight w:val="none"/>
              </w:rPr>
              <w:t>评审因素</w:t>
            </w:r>
          </w:p>
        </w:tc>
        <w:tc>
          <w:tcPr>
            <w:tcW w:w="5481" w:type="dxa"/>
            <w:noWrap/>
            <w:vAlign w:val="center"/>
          </w:tcPr>
          <w:p w14:paraId="7521356C">
            <w:pPr>
              <w:autoSpaceDE w:val="0"/>
              <w:autoSpaceDN w:val="0"/>
              <w:adjustRightInd w:val="0"/>
              <w:spacing w:line="440" w:lineRule="exact"/>
              <w:jc w:val="center"/>
              <w:rPr>
                <w:rFonts w:ascii="宋体" w:hAnsi="宋体" w:cs="宋体"/>
                <w:b/>
                <w:kern w:val="0"/>
                <w:szCs w:val="21"/>
                <w:highlight w:val="none"/>
              </w:rPr>
            </w:pPr>
            <w:r>
              <w:rPr>
                <w:rFonts w:hint="eastAsia" w:ascii="宋体" w:hAnsi="宋体" w:cs="宋体"/>
                <w:b/>
                <w:kern w:val="0"/>
                <w:szCs w:val="21"/>
                <w:highlight w:val="none"/>
              </w:rPr>
              <w:t>评审标准</w:t>
            </w:r>
          </w:p>
        </w:tc>
        <w:tc>
          <w:tcPr>
            <w:tcW w:w="1276" w:type="dxa"/>
            <w:noWrap/>
          </w:tcPr>
          <w:p w14:paraId="110D48C0">
            <w:pPr>
              <w:autoSpaceDE w:val="0"/>
              <w:autoSpaceDN w:val="0"/>
              <w:adjustRightInd w:val="0"/>
              <w:jc w:val="center"/>
              <w:rPr>
                <w:rFonts w:ascii="宋体" w:hAnsi="宋体" w:cs="Tahoma"/>
                <w:szCs w:val="21"/>
                <w:highlight w:val="none"/>
              </w:rPr>
            </w:pPr>
            <w:r>
              <w:rPr>
                <w:rFonts w:hint="eastAsia" w:ascii="宋体" w:hAnsi="宋体" w:cs="Tahoma"/>
                <w:szCs w:val="21"/>
                <w:highlight w:val="none"/>
              </w:rPr>
              <w:t>审查情况是否符合</w:t>
            </w:r>
          </w:p>
          <w:p w14:paraId="1DB99906">
            <w:pPr>
              <w:autoSpaceDE w:val="0"/>
              <w:autoSpaceDN w:val="0"/>
              <w:adjustRightInd w:val="0"/>
              <w:jc w:val="center"/>
              <w:rPr>
                <w:rFonts w:ascii="宋体" w:hAnsi="宋体" w:cs="Tahoma"/>
                <w:szCs w:val="21"/>
                <w:highlight w:val="none"/>
              </w:rPr>
            </w:pPr>
            <w:r>
              <w:rPr>
                <w:rFonts w:hint="eastAsia" w:ascii="宋体" w:hAnsi="宋体" w:cs="Tahoma"/>
                <w:szCs w:val="21"/>
                <w:highlight w:val="none"/>
              </w:rPr>
              <w:t xml:space="preserve">符合“○” </w:t>
            </w:r>
          </w:p>
          <w:p w14:paraId="030AE850">
            <w:pPr>
              <w:autoSpaceDE w:val="0"/>
              <w:autoSpaceDN w:val="0"/>
              <w:adjustRightInd w:val="0"/>
              <w:jc w:val="center"/>
              <w:rPr>
                <w:rFonts w:ascii="宋体" w:hAnsi="宋体" w:cs="宋体"/>
                <w:b/>
                <w:kern w:val="0"/>
                <w:szCs w:val="21"/>
                <w:highlight w:val="none"/>
              </w:rPr>
            </w:pPr>
            <w:r>
              <w:rPr>
                <w:rFonts w:hint="eastAsia" w:ascii="宋体" w:hAnsi="宋体" w:cs="Tahoma"/>
                <w:szCs w:val="21"/>
                <w:highlight w:val="none"/>
              </w:rPr>
              <w:t>不符合“×”</w:t>
            </w:r>
          </w:p>
        </w:tc>
      </w:tr>
      <w:tr w14:paraId="773B3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exact"/>
        </w:trPr>
        <w:tc>
          <w:tcPr>
            <w:tcW w:w="1101" w:type="dxa"/>
            <w:gridSpan w:val="2"/>
            <w:vMerge w:val="restart"/>
            <w:noWrap/>
            <w:vAlign w:val="center"/>
          </w:tcPr>
          <w:p w14:paraId="28843C83">
            <w:pPr>
              <w:autoSpaceDE w:val="0"/>
              <w:autoSpaceDN w:val="0"/>
              <w:adjustRightInd w:val="0"/>
              <w:spacing w:line="440" w:lineRule="exact"/>
              <w:jc w:val="center"/>
              <w:rPr>
                <w:rFonts w:ascii="宋体" w:cs="宋体"/>
                <w:kern w:val="0"/>
                <w:szCs w:val="21"/>
                <w:highlight w:val="none"/>
              </w:rPr>
            </w:pPr>
            <w:r>
              <w:rPr>
                <w:rFonts w:hint="eastAsia" w:ascii="宋体" w:cs="宋体"/>
                <w:kern w:val="0"/>
                <w:szCs w:val="21"/>
                <w:highlight w:val="none"/>
              </w:rPr>
              <w:t>形式评审标准</w:t>
            </w:r>
          </w:p>
        </w:tc>
        <w:tc>
          <w:tcPr>
            <w:tcW w:w="1842" w:type="dxa"/>
            <w:noWrap/>
            <w:vAlign w:val="center"/>
          </w:tcPr>
          <w:p w14:paraId="3816AE38">
            <w:pPr>
              <w:autoSpaceDE w:val="0"/>
              <w:autoSpaceDN w:val="0"/>
              <w:adjustRightInd w:val="0"/>
              <w:spacing w:line="320" w:lineRule="exact"/>
              <w:jc w:val="center"/>
              <w:rPr>
                <w:rFonts w:ascii="宋体" w:cs="宋体"/>
                <w:kern w:val="0"/>
                <w:szCs w:val="21"/>
                <w:highlight w:val="none"/>
              </w:rPr>
            </w:pPr>
            <w:r>
              <w:rPr>
                <w:rFonts w:hint="eastAsia" w:ascii="宋体" w:cs="宋体"/>
                <w:kern w:val="0"/>
                <w:szCs w:val="21"/>
                <w:highlight w:val="none"/>
              </w:rPr>
              <w:t>投标人名称</w:t>
            </w:r>
          </w:p>
        </w:tc>
        <w:tc>
          <w:tcPr>
            <w:tcW w:w="5481" w:type="dxa"/>
            <w:noWrap/>
            <w:vAlign w:val="center"/>
          </w:tcPr>
          <w:p w14:paraId="38567357">
            <w:pPr>
              <w:autoSpaceDE w:val="0"/>
              <w:autoSpaceDN w:val="0"/>
              <w:adjustRightInd w:val="0"/>
              <w:spacing w:line="300" w:lineRule="exact"/>
              <w:rPr>
                <w:rFonts w:ascii="宋体" w:hAnsi="宋体" w:cs="宋体"/>
                <w:szCs w:val="21"/>
                <w:highlight w:val="none"/>
              </w:rPr>
            </w:pPr>
            <w:r>
              <w:rPr>
                <w:rFonts w:hint="eastAsia" w:ascii="宋体" w:hAnsi="宋体" w:cs="宋体"/>
                <w:szCs w:val="21"/>
                <w:highlight w:val="none"/>
              </w:rPr>
              <w:t>与营业执照、资质证书一致。</w:t>
            </w:r>
          </w:p>
        </w:tc>
        <w:tc>
          <w:tcPr>
            <w:tcW w:w="1276" w:type="dxa"/>
            <w:noWrap/>
          </w:tcPr>
          <w:p w14:paraId="70F38ACE">
            <w:pPr>
              <w:autoSpaceDE w:val="0"/>
              <w:autoSpaceDN w:val="0"/>
              <w:adjustRightInd w:val="0"/>
              <w:spacing w:line="300" w:lineRule="exact"/>
              <w:rPr>
                <w:rFonts w:ascii="宋体" w:hAnsi="宋体" w:cs="宋体"/>
                <w:szCs w:val="21"/>
                <w:highlight w:val="none"/>
              </w:rPr>
            </w:pPr>
          </w:p>
        </w:tc>
      </w:tr>
      <w:tr w14:paraId="03347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exact"/>
        </w:trPr>
        <w:tc>
          <w:tcPr>
            <w:tcW w:w="1101" w:type="dxa"/>
            <w:gridSpan w:val="2"/>
            <w:vMerge w:val="continue"/>
            <w:noWrap/>
            <w:vAlign w:val="center"/>
          </w:tcPr>
          <w:p w14:paraId="074A83C3">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6763DA21">
            <w:pPr>
              <w:autoSpaceDE w:val="0"/>
              <w:autoSpaceDN w:val="0"/>
              <w:adjustRightInd w:val="0"/>
              <w:spacing w:line="320" w:lineRule="exact"/>
              <w:jc w:val="center"/>
              <w:rPr>
                <w:rFonts w:ascii="宋体" w:cs="宋体"/>
                <w:kern w:val="0"/>
                <w:szCs w:val="21"/>
                <w:highlight w:val="none"/>
              </w:rPr>
            </w:pPr>
            <w:r>
              <w:rPr>
                <w:rFonts w:hint="eastAsia" w:ascii="宋体" w:cs="宋体"/>
                <w:kern w:val="0"/>
                <w:szCs w:val="21"/>
                <w:highlight w:val="none"/>
              </w:rPr>
              <w:t>商务投标文件签字盖章</w:t>
            </w:r>
          </w:p>
        </w:tc>
        <w:tc>
          <w:tcPr>
            <w:tcW w:w="5481" w:type="dxa"/>
            <w:noWrap/>
            <w:vAlign w:val="center"/>
          </w:tcPr>
          <w:p w14:paraId="589C34C6">
            <w:pPr>
              <w:autoSpaceDE w:val="0"/>
              <w:autoSpaceDN w:val="0"/>
              <w:adjustRightInd w:val="0"/>
              <w:spacing w:line="300" w:lineRule="exact"/>
              <w:rPr>
                <w:rFonts w:ascii="宋体" w:hAnsi="宋体" w:cs="宋体"/>
                <w:szCs w:val="21"/>
                <w:highlight w:val="none"/>
              </w:rPr>
            </w:pPr>
            <w:r>
              <w:rPr>
                <w:rFonts w:hint="eastAsia" w:ascii="宋体" w:hAnsi="宋体" w:cs="宋体"/>
                <w:szCs w:val="21"/>
                <w:highlight w:val="none"/>
              </w:rPr>
              <w:t>符合第二章“投标人须知”第3.7项规定，按照招标文件提供的格式具有有效的签署和单位公章。</w:t>
            </w:r>
          </w:p>
        </w:tc>
        <w:tc>
          <w:tcPr>
            <w:tcW w:w="1276" w:type="dxa"/>
            <w:noWrap/>
          </w:tcPr>
          <w:p w14:paraId="7107916C">
            <w:pPr>
              <w:autoSpaceDE w:val="0"/>
              <w:autoSpaceDN w:val="0"/>
              <w:adjustRightInd w:val="0"/>
              <w:spacing w:line="300" w:lineRule="exact"/>
              <w:rPr>
                <w:rFonts w:ascii="宋体" w:hAnsi="宋体" w:cs="宋体"/>
                <w:szCs w:val="21"/>
                <w:highlight w:val="none"/>
              </w:rPr>
            </w:pPr>
          </w:p>
        </w:tc>
      </w:tr>
      <w:tr w14:paraId="7B6B6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exact"/>
        </w:trPr>
        <w:tc>
          <w:tcPr>
            <w:tcW w:w="1101" w:type="dxa"/>
            <w:gridSpan w:val="2"/>
            <w:vMerge w:val="continue"/>
            <w:noWrap/>
            <w:vAlign w:val="center"/>
          </w:tcPr>
          <w:p w14:paraId="315187C1">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1AE4E5CD">
            <w:pPr>
              <w:autoSpaceDE w:val="0"/>
              <w:autoSpaceDN w:val="0"/>
              <w:adjustRightInd w:val="0"/>
              <w:spacing w:line="320" w:lineRule="exact"/>
              <w:jc w:val="center"/>
              <w:rPr>
                <w:rFonts w:ascii="宋体" w:cs="宋体"/>
                <w:kern w:val="0"/>
                <w:szCs w:val="21"/>
                <w:highlight w:val="none"/>
              </w:rPr>
            </w:pPr>
            <w:r>
              <w:rPr>
                <w:rFonts w:hint="eastAsia" w:ascii="宋体" w:hAnsi="宋体"/>
                <w:szCs w:val="21"/>
                <w:highlight w:val="none"/>
              </w:rPr>
              <w:t>法定代表人身份证明书、法人授权委托证明书有效</w:t>
            </w:r>
          </w:p>
        </w:tc>
        <w:tc>
          <w:tcPr>
            <w:tcW w:w="5481" w:type="dxa"/>
            <w:noWrap/>
            <w:vAlign w:val="center"/>
          </w:tcPr>
          <w:p w14:paraId="7D9E3BAF">
            <w:pPr>
              <w:autoSpaceDE w:val="0"/>
              <w:autoSpaceDN w:val="0"/>
              <w:adjustRightInd w:val="0"/>
              <w:spacing w:line="300" w:lineRule="exact"/>
              <w:rPr>
                <w:rFonts w:ascii="宋体" w:hAnsi="宋体" w:cs="宋体"/>
                <w:kern w:val="0"/>
                <w:szCs w:val="21"/>
                <w:highlight w:val="none"/>
              </w:rPr>
            </w:pPr>
            <w:r>
              <w:rPr>
                <w:rFonts w:hint="eastAsia" w:ascii="宋体" w:hAnsi="宋体"/>
                <w:szCs w:val="21"/>
                <w:highlight w:val="none"/>
              </w:rPr>
              <w:t>符合第二章“投标人须知”第3.7.3项规定。</w:t>
            </w:r>
          </w:p>
        </w:tc>
        <w:tc>
          <w:tcPr>
            <w:tcW w:w="1276" w:type="dxa"/>
            <w:noWrap/>
          </w:tcPr>
          <w:p w14:paraId="78DA4DDD">
            <w:pPr>
              <w:autoSpaceDE w:val="0"/>
              <w:autoSpaceDN w:val="0"/>
              <w:adjustRightInd w:val="0"/>
              <w:spacing w:line="300" w:lineRule="exact"/>
              <w:rPr>
                <w:rFonts w:ascii="宋体" w:hAnsi="宋体" w:cs="宋体"/>
                <w:kern w:val="0"/>
                <w:szCs w:val="21"/>
                <w:highlight w:val="none"/>
              </w:rPr>
            </w:pPr>
          </w:p>
        </w:tc>
      </w:tr>
      <w:tr w14:paraId="6F723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7" w:hRule="exact"/>
        </w:trPr>
        <w:tc>
          <w:tcPr>
            <w:tcW w:w="1101" w:type="dxa"/>
            <w:gridSpan w:val="2"/>
            <w:vMerge w:val="continue"/>
            <w:noWrap/>
            <w:vAlign w:val="center"/>
          </w:tcPr>
          <w:p w14:paraId="0C731926">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4598A58A">
            <w:pPr>
              <w:autoSpaceDE w:val="0"/>
              <w:autoSpaceDN w:val="0"/>
              <w:adjustRightInd w:val="0"/>
              <w:spacing w:line="440" w:lineRule="exact"/>
              <w:jc w:val="center"/>
              <w:rPr>
                <w:rFonts w:ascii="宋体" w:cs="宋体"/>
                <w:spacing w:val="-6"/>
                <w:kern w:val="0"/>
                <w:szCs w:val="21"/>
                <w:highlight w:val="none"/>
              </w:rPr>
            </w:pPr>
            <w:r>
              <w:rPr>
                <w:rFonts w:hint="eastAsia" w:ascii="宋体" w:cs="宋体"/>
                <w:spacing w:val="-6"/>
                <w:kern w:val="0"/>
                <w:szCs w:val="21"/>
                <w:highlight w:val="none"/>
              </w:rPr>
              <w:t>商务投标文件格式</w:t>
            </w:r>
          </w:p>
        </w:tc>
        <w:tc>
          <w:tcPr>
            <w:tcW w:w="5481" w:type="dxa"/>
            <w:noWrap/>
            <w:vAlign w:val="center"/>
          </w:tcPr>
          <w:p w14:paraId="4CEE43F7">
            <w:pPr>
              <w:autoSpaceDE w:val="0"/>
              <w:autoSpaceDN w:val="0"/>
              <w:adjustRightInd w:val="0"/>
              <w:spacing w:line="300" w:lineRule="exact"/>
              <w:rPr>
                <w:rFonts w:ascii="宋体" w:hAnsi="宋体" w:cs="宋体"/>
                <w:szCs w:val="21"/>
                <w:highlight w:val="none"/>
              </w:rPr>
            </w:pPr>
            <w:r>
              <w:rPr>
                <w:rFonts w:hint="eastAsia" w:ascii="宋体" w:hAnsi="宋体" w:cs="宋体"/>
                <w:kern w:val="0"/>
                <w:szCs w:val="21"/>
                <w:highlight w:val="none"/>
              </w:rPr>
              <w:t>符合第五章“投标文件格式”的要求。投标文件不存在内容不全或关键字迹模糊、无法辩认的情形。</w:t>
            </w:r>
          </w:p>
        </w:tc>
        <w:tc>
          <w:tcPr>
            <w:tcW w:w="1276" w:type="dxa"/>
            <w:noWrap/>
          </w:tcPr>
          <w:p w14:paraId="039C7443">
            <w:pPr>
              <w:autoSpaceDE w:val="0"/>
              <w:autoSpaceDN w:val="0"/>
              <w:adjustRightInd w:val="0"/>
              <w:spacing w:line="300" w:lineRule="exact"/>
              <w:rPr>
                <w:rFonts w:ascii="宋体" w:hAnsi="宋体" w:cs="宋体"/>
                <w:kern w:val="0"/>
                <w:szCs w:val="21"/>
                <w:highlight w:val="none"/>
              </w:rPr>
            </w:pPr>
          </w:p>
        </w:tc>
      </w:tr>
      <w:tr w14:paraId="31A17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1" w:hRule="exact"/>
        </w:trPr>
        <w:tc>
          <w:tcPr>
            <w:tcW w:w="1101" w:type="dxa"/>
            <w:gridSpan w:val="2"/>
            <w:vMerge w:val="restart"/>
            <w:noWrap/>
            <w:vAlign w:val="center"/>
          </w:tcPr>
          <w:p w14:paraId="040B6F3A">
            <w:pPr>
              <w:autoSpaceDE w:val="0"/>
              <w:autoSpaceDN w:val="0"/>
              <w:adjustRightInd w:val="0"/>
              <w:spacing w:line="440" w:lineRule="exact"/>
              <w:jc w:val="center"/>
              <w:rPr>
                <w:rFonts w:ascii="宋体" w:cs="宋体"/>
                <w:kern w:val="0"/>
                <w:szCs w:val="21"/>
                <w:highlight w:val="none"/>
              </w:rPr>
            </w:pPr>
            <w:r>
              <w:rPr>
                <w:rFonts w:hint="eastAsia" w:ascii="宋体" w:hAnsi="宋体" w:cs="Tahoma"/>
                <w:szCs w:val="21"/>
                <w:highlight w:val="none"/>
              </w:rPr>
              <w:t>资格审查</w:t>
            </w:r>
            <w:r>
              <w:rPr>
                <w:rFonts w:hint="eastAsia" w:ascii="宋体" w:hAnsi="宋体" w:cs="宋体"/>
                <w:szCs w:val="21"/>
                <w:highlight w:val="none"/>
              </w:rPr>
              <w:t>标准</w:t>
            </w:r>
          </w:p>
        </w:tc>
        <w:tc>
          <w:tcPr>
            <w:tcW w:w="1842" w:type="dxa"/>
            <w:noWrap/>
            <w:vAlign w:val="center"/>
          </w:tcPr>
          <w:p w14:paraId="564EA308">
            <w:pPr>
              <w:autoSpaceDE w:val="0"/>
              <w:autoSpaceDN w:val="0"/>
              <w:adjustRightInd w:val="0"/>
              <w:spacing w:line="440" w:lineRule="exact"/>
              <w:jc w:val="center"/>
              <w:rPr>
                <w:rFonts w:ascii="宋体" w:hAnsi="宋体" w:cs="宋体"/>
                <w:kern w:val="0"/>
                <w:szCs w:val="21"/>
                <w:highlight w:val="none"/>
              </w:rPr>
            </w:pPr>
            <w:r>
              <w:rPr>
                <w:rFonts w:hint="eastAsia" w:ascii="宋体" w:hAnsi="宋体" w:cs="宋体"/>
                <w:szCs w:val="21"/>
                <w:highlight w:val="none"/>
              </w:rPr>
              <w:t>资质要求</w:t>
            </w:r>
          </w:p>
        </w:tc>
        <w:tc>
          <w:tcPr>
            <w:tcW w:w="5481" w:type="dxa"/>
            <w:noWrap/>
            <w:vAlign w:val="center"/>
          </w:tcPr>
          <w:p w14:paraId="0D970F69">
            <w:pPr>
              <w:autoSpaceDE w:val="0"/>
              <w:autoSpaceDN w:val="0"/>
              <w:adjustRightInd w:val="0"/>
              <w:spacing w:line="300" w:lineRule="exact"/>
              <w:rPr>
                <w:rFonts w:ascii="宋体" w:hAnsi="宋体" w:cs="宋体"/>
                <w:kern w:val="0"/>
                <w:szCs w:val="21"/>
                <w:highlight w:val="none"/>
              </w:rPr>
            </w:pPr>
            <w:r>
              <w:rPr>
                <w:rFonts w:hint="eastAsia" w:ascii="宋体" w:hAnsi="宋体" w:cs="宋体"/>
                <w:kern w:val="0"/>
                <w:szCs w:val="21"/>
                <w:highlight w:val="none"/>
              </w:rPr>
              <w:t>符合第二章“投标人须知前附表”附录 1 的规定。</w:t>
            </w:r>
          </w:p>
        </w:tc>
        <w:tc>
          <w:tcPr>
            <w:tcW w:w="1276" w:type="dxa"/>
            <w:noWrap/>
          </w:tcPr>
          <w:p w14:paraId="69E0B769">
            <w:pPr>
              <w:autoSpaceDE w:val="0"/>
              <w:autoSpaceDN w:val="0"/>
              <w:adjustRightInd w:val="0"/>
              <w:spacing w:line="300" w:lineRule="exact"/>
              <w:rPr>
                <w:rFonts w:ascii="宋体" w:hAnsi="宋体"/>
                <w:highlight w:val="none"/>
              </w:rPr>
            </w:pPr>
          </w:p>
        </w:tc>
      </w:tr>
      <w:tr w14:paraId="74431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exact"/>
        </w:trPr>
        <w:tc>
          <w:tcPr>
            <w:tcW w:w="1101" w:type="dxa"/>
            <w:gridSpan w:val="2"/>
            <w:vMerge w:val="continue"/>
            <w:noWrap/>
            <w:vAlign w:val="center"/>
          </w:tcPr>
          <w:p w14:paraId="674343CD">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71FEEF04">
            <w:pPr>
              <w:autoSpaceDE w:val="0"/>
              <w:autoSpaceDN w:val="0"/>
              <w:adjustRightInd w:val="0"/>
              <w:spacing w:line="300" w:lineRule="exact"/>
              <w:jc w:val="center"/>
              <w:rPr>
                <w:rFonts w:ascii="宋体" w:hAnsi="宋体" w:cs="宋体"/>
                <w:kern w:val="0"/>
                <w:szCs w:val="21"/>
                <w:highlight w:val="none"/>
              </w:rPr>
            </w:pPr>
            <w:r>
              <w:rPr>
                <w:rFonts w:hint="eastAsia" w:ascii="宋体" w:hAnsi="宋体" w:cs="宋体"/>
                <w:szCs w:val="21"/>
                <w:highlight w:val="none"/>
              </w:rPr>
              <w:t>信誉要求</w:t>
            </w:r>
          </w:p>
        </w:tc>
        <w:tc>
          <w:tcPr>
            <w:tcW w:w="5481" w:type="dxa"/>
            <w:noWrap/>
            <w:vAlign w:val="center"/>
          </w:tcPr>
          <w:p w14:paraId="2B889B34">
            <w:pPr>
              <w:autoSpaceDE w:val="0"/>
              <w:autoSpaceDN w:val="0"/>
              <w:adjustRightInd w:val="0"/>
              <w:spacing w:line="340" w:lineRule="exact"/>
              <w:rPr>
                <w:rFonts w:ascii="宋体" w:hAnsi="宋体" w:cs="宋体"/>
                <w:kern w:val="0"/>
                <w:szCs w:val="21"/>
                <w:highlight w:val="none"/>
              </w:rPr>
            </w:pPr>
            <w:r>
              <w:rPr>
                <w:rFonts w:hint="eastAsia" w:ascii="宋体" w:hAnsi="宋体" w:cs="宋体"/>
                <w:kern w:val="0"/>
                <w:szCs w:val="21"/>
                <w:highlight w:val="none"/>
              </w:rPr>
              <w:t>符合第二章“投标人须知前附表”附录 2 的规定。</w:t>
            </w:r>
          </w:p>
        </w:tc>
        <w:tc>
          <w:tcPr>
            <w:tcW w:w="1276" w:type="dxa"/>
            <w:noWrap/>
          </w:tcPr>
          <w:p w14:paraId="77386C2F">
            <w:pPr>
              <w:autoSpaceDE w:val="0"/>
              <w:autoSpaceDN w:val="0"/>
              <w:adjustRightInd w:val="0"/>
              <w:spacing w:line="360" w:lineRule="exact"/>
              <w:rPr>
                <w:rFonts w:ascii="宋体" w:hAnsi="宋体" w:cs="宋体"/>
                <w:kern w:val="0"/>
                <w:szCs w:val="21"/>
                <w:highlight w:val="none"/>
              </w:rPr>
            </w:pPr>
          </w:p>
        </w:tc>
      </w:tr>
      <w:tr w14:paraId="24764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exact"/>
        </w:trPr>
        <w:tc>
          <w:tcPr>
            <w:tcW w:w="1101" w:type="dxa"/>
            <w:gridSpan w:val="2"/>
            <w:vMerge w:val="continue"/>
            <w:noWrap/>
            <w:vAlign w:val="center"/>
          </w:tcPr>
          <w:p w14:paraId="103BDD33">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4BB77C38">
            <w:pPr>
              <w:autoSpaceDE w:val="0"/>
              <w:autoSpaceDN w:val="0"/>
              <w:adjustRightInd w:val="0"/>
              <w:jc w:val="center"/>
              <w:rPr>
                <w:rFonts w:ascii="宋体" w:hAnsi="宋体" w:cs="宋体"/>
                <w:kern w:val="0"/>
                <w:szCs w:val="21"/>
                <w:highlight w:val="none"/>
              </w:rPr>
            </w:pPr>
            <w:r>
              <w:rPr>
                <w:rFonts w:hint="eastAsia" w:ascii="宋体" w:hAnsi="宋体" w:cs="宋体"/>
                <w:kern w:val="0"/>
                <w:szCs w:val="21"/>
                <w:highlight w:val="none"/>
              </w:rPr>
              <w:t>业绩要求</w:t>
            </w:r>
          </w:p>
        </w:tc>
        <w:tc>
          <w:tcPr>
            <w:tcW w:w="5481" w:type="dxa"/>
            <w:noWrap/>
            <w:vAlign w:val="center"/>
          </w:tcPr>
          <w:p w14:paraId="4C9CECF9">
            <w:pPr>
              <w:autoSpaceDE w:val="0"/>
              <w:autoSpaceDN w:val="0"/>
              <w:adjustRightInd w:val="0"/>
              <w:rPr>
                <w:rFonts w:ascii="宋体" w:hAnsi="宋体" w:cs="宋体"/>
                <w:kern w:val="0"/>
                <w:szCs w:val="21"/>
                <w:highlight w:val="none"/>
              </w:rPr>
            </w:pPr>
            <w:r>
              <w:rPr>
                <w:rFonts w:hint="eastAsia" w:ascii="宋体" w:hAnsi="宋体" w:cs="宋体"/>
                <w:kern w:val="0"/>
                <w:szCs w:val="21"/>
                <w:highlight w:val="none"/>
              </w:rPr>
              <w:t>符合第二章“投标人须知前附表”附录 3 的规定。</w:t>
            </w:r>
          </w:p>
        </w:tc>
        <w:tc>
          <w:tcPr>
            <w:tcW w:w="1276" w:type="dxa"/>
            <w:noWrap/>
          </w:tcPr>
          <w:p w14:paraId="5B01FC0B">
            <w:pPr>
              <w:autoSpaceDE w:val="0"/>
              <w:autoSpaceDN w:val="0"/>
              <w:adjustRightInd w:val="0"/>
              <w:spacing w:line="300" w:lineRule="exact"/>
              <w:rPr>
                <w:rFonts w:ascii="宋体" w:hAnsi="宋体" w:cs="宋体"/>
                <w:kern w:val="0"/>
                <w:szCs w:val="21"/>
                <w:highlight w:val="none"/>
              </w:rPr>
            </w:pPr>
          </w:p>
        </w:tc>
      </w:tr>
      <w:tr w14:paraId="5747F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exact"/>
        </w:trPr>
        <w:tc>
          <w:tcPr>
            <w:tcW w:w="1101" w:type="dxa"/>
            <w:gridSpan w:val="2"/>
            <w:vMerge w:val="continue"/>
            <w:noWrap/>
            <w:vAlign w:val="center"/>
          </w:tcPr>
          <w:p w14:paraId="649A38C3">
            <w:pPr>
              <w:autoSpaceDE w:val="0"/>
              <w:autoSpaceDN w:val="0"/>
              <w:adjustRightInd w:val="0"/>
              <w:spacing w:line="440" w:lineRule="exact"/>
              <w:jc w:val="center"/>
              <w:rPr>
                <w:rFonts w:ascii="宋体" w:cs="宋体"/>
                <w:kern w:val="0"/>
                <w:szCs w:val="21"/>
                <w:highlight w:val="none"/>
              </w:rPr>
            </w:pPr>
          </w:p>
        </w:tc>
        <w:tc>
          <w:tcPr>
            <w:tcW w:w="1842" w:type="dxa"/>
            <w:noWrap/>
            <w:vAlign w:val="center"/>
          </w:tcPr>
          <w:p w14:paraId="700708B8">
            <w:pPr>
              <w:autoSpaceDE w:val="0"/>
              <w:autoSpaceDN w:val="0"/>
              <w:adjustRightInd w:val="0"/>
              <w:spacing w:line="440" w:lineRule="exact"/>
              <w:jc w:val="center"/>
              <w:rPr>
                <w:rFonts w:ascii="宋体" w:hAnsi="宋体" w:cs="宋体"/>
                <w:kern w:val="0"/>
                <w:szCs w:val="21"/>
                <w:highlight w:val="none"/>
              </w:rPr>
            </w:pPr>
            <w:r>
              <w:rPr>
                <w:rFonts w:hint="eastAsia" w:ascii="宋体" w:hAnsi="宋体" w:cs="宋体"/>
                <w:szCs w:val="21"/>
                <w:highlight w:val="none"/>
              </w:rPr>
              <w:t>财务要求</w:t>
            </w:r>
          </w:p>
        </w:tc>
        <w:tc>
          <w:tcPr>
            <w:tcW w:w="5481" w:type="dxa"/>
            <w:noWrap/>
            <w:vAlign w:val="center"/>
          </w:tcPr>
          <w:p w14:paraId="486157BD">
            <w:pPr>
              <w:autoSpaceDE w:val="0"/>
              <w:autoSpaceDN w:val="0"/>
              <w:adjustRightInd w:val="0"/>
              <w:spacing w:line="300" w:lineRule="exact"/>
              <w:rPr>
                <w:rFonts w:ascii="宋体" w:hAnsi="宋体" w:cs="宋体"/>
                <w:spacing w:val="-4"/>
                <w:kern w:val="0"/>
                <w:szCs w:val="21"/>
                <w:highlight w:val="none"/>
              </w:rPr>
            </w:pPr>
            <w:r>
              <w:rPr>
                <w:rFonts w:hint="eastAsia" w:ascii="宋体" w:hAnsi="宋体" w:cs="宋体"/>
                <w:kern w:val="0"/>
                <w:szCs w:val="21"/>
                <w:highlight w:val="none"/>
              </w:rPr>
              <w:t>符合第二章“投标人须知前附表”附录 4 的规定。</w:t>
            </w:r>
          </w:p>
        </w:tc>
        <w:tc>
          <w:tcPr>
            <w:tcW w:w="1276" w:type="dxa"/>
            <w:noWrap/>
          </w:tcPr>
          <w:p w14:paraId="03D049B0">
            <w:pPr>
              <w:autoSpaceDE w:val="0"/>
              <w:autoSpaceDN w:val="0"/>
              <w:adjustRightInd w:val="0"/>
              <w:spacing w:line="360" w:lineRule="exact"/>
              <w:rPr>
                <w:rFonts w:ascii="宋体" w:hAnsi="宋体" w:cs="宋体"/>
                <w:kern w:val="0"/>
                <w:szCs w:val="21"/>
                <w:highlight w:val="none"/>
              </w:rPr>
            </w:pPr>
          </w:p>
        </w:tc>
      </w:tr>
      <w:tr w14:paraId="596EC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01" w:type="dxa"/>
            <w:gridSpan w:val="2"/>
            <w:vMerge w:val="continue"/>
            <w:noWrap/>
            <w:vAlign w:val="center"/>
          </w:tcPr>
          <w:p w14:paraId="6551A50D">
            <w:pPr>
              <w:autoSpaceDE w:val="0"/>
              <w:autoSpaceDN w:val="0"/>
              <w:adjustRightInd w:val="0"/>
              <w:spacing w:line="440" w:lineRule="exact"/>
              <w:jc w:val="center"/>
              <w:rPr>
                <w:rFonts w:ascii="宋体" w:cs="宋体"/>
                <w:kern w:val="0"/>
                <w:szCs w:val="21"/>
                <w:highlight w:val="none"/>
              </w:rPr>
            </w:pPr>
          </w:p>
        </w:tc>
        <w:tc>
          <w:tcPr>
            <w:tcW w:w="1842" w:type="dxa"/>
            <w:tcBorders>
              <w:bottom w:val="single" w:color="auto" w:sz="4" w:space="0"/>
            </w:tcBorders>
            <w:noWrap/>
            <w:vAlign w:val="center"/>
          </w:tcPr>
          <w:p w14:paraId="465B4E71">
            <w:pPr>
              <w:jc w:val="center"/>
              <w:rPr>
                <w:rFonts w:ascii="宋体" w:cs="宋体"/>
                <w:kern w:val="0"/>
                <w:szCs w:val="21"/>
                <w:highlight w:val="none"/>
              </w:rPr>
            </w:pPr>
            <w:r>
              <w:rPr>
                <w:rFonts w:hint="eastAsia" w:ascii="宋体" w:cs="宋体"/>
                <w:kern w:val="0"/>
                <w:szCs w:val="21"/>
                <w:highlight w:val="none"/>
              </w:rPr>
              <w:t>人员要求</w:t>
            </w:r>
          </w:p>
        </w:tc>
        <w:tc>
          <w:tcPr>
            <w:tcW w:w="5481" w:type="dxa"/>
            <w:tcBorders>
              <w:bottom w:val="single" w:color="auto" w:sz="4" w:space="0"/>
            </w:tcBorders>
            <w:noWrap/>
            <w:vAlign w:val="center"/>
          </w:tcPr>
          <w:p w14:paraId="375035BD">
            <w:pPr>
              <w:autoSpaceDE w:val="0"/>
              <w:autoSpaceDN w:val="0"/>
              <w:adjustRightInd w:val="0"/>
              <w:spacing w:line="300" w:lineRule="exact"/>
              <w:rPr>
                <w:rFonts w:ascii="宋体" w:hAnsi="宋体" w:cs="宋体"/>
                <w:kern w:val="0"/>
                <w:szCs w:val="21"/>
                <w:highlight w:val="none"/>
              </w:rPr>
            </w:pPr>
            <w:r>
              <w:rPr>
                <w:rFonts w:hint="eastAsia" w:ascii="宋体" w:hAnsi="宋体" w:cs="宋体"/>
                <w:kern w:val="0"/>
                <w:szCs w:val="21"/>
                <w:highlight w:val="none"/>
              </w:rPr>
              <w:t>符合第二章“投标人须知前附表”附录 5 的规定。</w:t>
            </w:r>
          </w:p>
        </w:tc>
        <w:tc>
          <w:tcPr>
            <w:tcW w:w="1276" w:type="dxa"/>
            <w:noWrap/>
          </w:tcPr>
          <w:p w14:paraId="193335BC">
            <w:pPr>
              <w:autoSpaceDE w:val="0"/>
              <w:autoSpaceDN w:val="0"/>
              <w:adjustRightInd w:val="0"/>
              <w:spacing w:line="300" w:lineRule="exact"/>
              <w:rPr>
                <w:rFonts w:ascii="宋体" w:hAnsi="宋体" w:cs="宋体"/>
                <w:kern w:val="0"/>
                <w:szCs w:val="21"/>
                <w:highlight w:val="none"/>
              </w:rPr>
            </w:pPr>
          </w:p>
        </w:tc>
      </w:tr>
      <w:tr w14:paraId="3ECFF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101" w:type="dxa"/>
            <w:gridSpan w:val="2"/>
            <w:vMerge w:val="restart"/>
            <w:noWrap/>
            <w:vAlign w:val="center"/>
          </w:tcPr>
          <w:p w14:paraId="11F80E52">
            <w:pPr>
              <w:autoSpaceDE w:val="0"/>
              <w:autoSpaceDN w:val="0"/>
              <w:adjustRightInd w:val="0"/>
              <w:spacing w:line="320" w:lineRule="exact"/>
              <w:jc w:val="center"/>
              <w:rPr>
                <w:rFonts w:ascii="宋体" w:cs="宋体"/>
                <w:kern w:val="0"/>
                <w:szCs w:val="21"/>
                <w:highlight w:val="none"/>
              </w:rPr>
            </w:pPr>
            <w:r>
              <w:rPr>
                <w:rFonts w:hint="eastAsia" w:ascii="宋体" w:cs="宋体"/>
                <w:kern w:val="0"/>
                <w:szCs w:val="21"/>
                <w:highlight w:val="none"/>
              </w:rPr>
              <w:t>响应性评审标准</w:t>
            </w:r>
          </w:p>
        </w:tc>
        <w:tc>
          <w:tcPr>
            <w:tcW w:w="1842" w:type="dxa"/>
            <w:noWrap/>
            <w:vAlign w:val="center"/>
          </w:tcPr>
          <w:p w14:paraId="0B949B78">
            <w:pPr>
              <w:autoSpaceDE w:val="0"/>
              <w:autoSpaceDN w:val="0"/>
              <w:adjustRightInd w:val="0"/>
              <w:spacing w:line="360" w:lineRule="exact"/>
              <w:jc w:val="center"/>
              <w:rPr>
                <w:rFonts w:ascii="宋体" w:cs="宋体"/>
                <w:kern w:val="0"/>
                <w:szCs w:val="21"/>
                <w:highlight w:val="none"/>
              </w:rPr>
            </w:pPr>
            <w:r>
              <w:rPr>
                <w:rFonts w:hint="eastAsia" w:ascii="宋体" w:cs="宋体"/>
                <w:kern w:val="0"/>
                <w:szCs w:val="21"/>
                <w:highlight w:val="none"/>
              </w:rPr>
              <w:t>监理服务期</w:t>
            </w:r>
          </w:p>
        </w:tc>
        <w:tc>
          <w:tcPr>
            <w:tcW w:w="5481" w:type="dxa"/>
            <w:noWrap/>
            <w:vAlign w:val="center"/>
          </w:tcPr>
          <w:p w14:paraId="23F3D718">
            <w:pPr>
              <w:autoSpaceDE w:val="0"/>
              <w:autoSpaceDN w:val="0"/>
              <w:adjustRightInd w:val="0"/>
              <w:spacing w:line="300" w:lineRule="exact"/>
              <w:rPr>
                <w:rFonts w:ascii="宋体" w:hAnsi="宋体" w:cs="宋体"/>
                <w:szCs w:val="21"/>
                <w:highlight w:val="none"/>
              </w:rPr>
            </w:pPr>
            <w:r>
              <w:rPr>
                <w:rFonts w:hint="eastAsia" w:ascii="宋体" w:hAnsi="宋体" w:cs="宋体"/>
                <w:szCs w:val="21"/>
                <w:highlight w:val="none"/>
              </w:rPr>
              <w:t>符合第二章“投标人须知”第1.3 项规定。</w:t>
            </w:r>
          </w:p>
        </w:tc>
        <w:tc>
          <w:tcPr>
            <w:tcW w:w="1276" w:type="dxa"/>
            <w:noWrap/>
          </w:tcPr>
          <w:p w14:paraId="4EF7859B">
            <w:pPr>
              <w:autoSpaceDE w:val="0"/>
              <w:autoSpaceDN w:val="0"/>
              <w:adjustRightInd w:val="0"/>
              <w:spacing w:line="300" w:lineRule="exact"/>
              <w:rPr>
                <w:rFonts w:ascii="宋体" w:hAnsi="宋体" w:cs="宋体"/>
                <w:szCs w:val="21"/>
                <w:highlight w:val="none"/>
              </w:rPr>
            </w:pPr>
          </w:p>
        </w:tc>
      </w:tr>
      <w:tr w14:paraId="043E3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exact"/>
        </w:trPr>
        <w:tc>
          <w:tcPr>
            <w:tcW w:w="1101" w:type="dxa"/>
            <w:gridSpan w:val="2"/>
            <w:vMerge w:val="continue"/>
            <w:noWrap/>
          </w:tcPr>
          <w:p w14:paraId="0D5CE277">
            <w:pPr>
              <w:autoSpaceDE w:val="0"/>
              <w:autoSpaceDN w:val="0"/>
              <w:adjustRightInd w:val="0"/>
              <w:spacing w:line="440" w:lineRule="exact"/>
              <w:jc w:val="left"/>
              <w:rPr>
                <w:rFonts w:ascii="宋体" w:cs="宋体"/>
                <w:kern w:val="0"/>
                <w:szCs w:val="21"/>
                <w:highlight w:val="none"/>
              </w:rPr>
            </w:pPr>
          </w:p>
        </w:tc>
        <w:tc>
          <w:tcPr>
            <w:tcW w:w="1842" w:type="dxa"/>
            <w:noWrap/>
            <w:vAlign w:val="center"/>
          </w:tcPr>
          <w:p w14:paraId="33AB0F98">
            <w:pPr>
              <w:autoSpaceDE w:val="0"/>
              <w:autoSpaceDN w:val="0"/>
              <w:adjustRightInd w:val="0"/>
              <w:spacing w:line="360" w:lineRule="exact"/>
              <w:jc w:val="center"/>
              <w:rPr>
                <w:rFonts w:ascii="宋体" w:cs="宋体"/>
                <w:kern w:val="0"/>
                <w:szCs w:val="21"/>
                <w:highlight w:val="none"/>
              </w:rPr>
            </w:pPr>
            <w:r>
              <w:rPr>
                <w:rFonts w:hint="eastAsia" w:ascii="宋体" w:cs="宋体"/>
                <w:kern w:val="0"/>
                <w:szCs w:val="21"/>
                <w:highlight w:val="none"/>
              </w:rPr>
              <w:t>投标有效期</w:t>
            </w:r>
          </w:p>
        </w:tc>
        <w:tc>
          <w:tcPr>
            <w:tcW w:w="5481" w:type="dxa"/>
            <w:noWrap/>
            <w:vAlign w:val="center"/>
          </w:tcPr>
          <w:p w14:paraId="54CD76AE">
            <w:pPr>
              <w:autoSpaceDE w:val="0"/>
              <w:autoSpaceDN w:val="0"/>
              <w:adjustRightInd w:val="0"/>
              <w:spacing w:line="300" w:lineRule="exact"/>
              <w:rPr>
                <w:rFonts w:ascii="宋体" w:hAnsi="宋体" w:cs="宋体"/>
                <w:szCs w:val="21"/>
                <w:highlight w:val="none"/>
              </w:rPr>
            </w:pPr>
            <w:r>
              <w:rPr>
                <w:rFonts w:hint="eastAsia" w:ascii="宋体" w:hAnsi="宋体" w:cs="宋体"/>
                <w:szCs w:val="21"/>
                <w:highlight w:val="none"/>
              </w:rPr>
              <w:t>符合第二章“投标人须知”第3.3.1 项规定。</w:t>
            </w:r>
          </w:p>
        </w:tc>
        <w:tc>
          <w:tcPr>
            <w:tcW w:w="1276" w:type="dxa"/>
            <w:noWrap/>
          </w:tcPr>
          <w:p w14:paraId="10FF7537">
            <w:pPr>
              <w:autoSpaceDE w:val="0"/>
              <w:autoSpaceDN w:val="0"/>
              <w:adjustRightInd w:val="0"/>
              <w:spacing w:line="300" w:lineRule="exact"/>
              <w:rPr>
                <w:rFonts w:ascii="宋体" w:hAnsi="宋体" w:cs="宋体"/>
                <w:szCs w:val="21"/>
                <w:highlight w:val="none"/>
              </w:rPr>
            </w:pPr>
          </w:p>
        </w:tc>
      </w:tr>
      <w:tr w14:paraId="28260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exact"/>
        </w:trPr>
        <w:tc>
          <w:tcPr>
            <w:tcW w:w="1101" w:type="dxa"/>
            <w:gridSpan w:val="2"/>
            <w:vMerge w:val="continue"/>
            <w:noWrap/>
          </w:tcPr>
          <w:p w14:paraId="5EE5A8FC">
            <w:pPr>
              <w:autoSpaceDE w:val="0"/>
              <w:autoSpaceDN w:val="0"/>
              <w:adjustRightInd w:val="0"/>
              <w:spacing w:line="440" w:lineRule="exact"/>
              <w:jc w:val="left"/>
              <w:rPr>
                <w:rFonts w:ascii="宋体" w:cs="宋体"/>
                <w:kern w:val="0"/>
                <w:szCs w:val="21"/>
                <w:highlight w:val="none"/>
              </w:rPr>
            </w:pPr>
          </w:p>
        </w:tc>
        <w:tc>
          <w:tcPr>
            <w:tcW w:w="1842" w:type="dxa"/>
            <w:noWrap/>
            <w:vAlign w:val="center"/>
          </w:tcPr>
          <w:p w14:paraId="4A08B0CC">
            <w:pPr>
              <w:autoSpaceDE w:val="0"/>
              <w:autoSpaceDN w:val="0"/>
              <w:adjustRightInd w:val="0"/>
              <w:spacing w:line="360" w:lineRule="exact"/>
              <w:jc w:val="center"/>
              <w:rPr>
                <w:rFonts w:ascii="宋体" w:cs="宋体"/>
                <w:kern w:val="0"/>
                <w:szCs w:val="21"/>
                <w:highlight w:val="none"/>
              </w:rPr>
            </w:pPr>
            <w:r>
              <w:rPr>
                <w:rFonts w:hint="eastAsia" w:ascii="宋体" w:cs="宋体"/>
                <w:kern w:val="0"/>
                <w:szCs w:val="21"/>
                <w:highlight w:val="none"/>
              </w:rPr>
              <w:t>投标保证金</w:t>
            </w:r>
          </w:p>
        </w:tc>
        <w:tc>
          <w:tcPr>
            <w:tcW w:w="5481" w:type="dxa"/>
            <w:noWrap/>
            <w:vAlign w:val="center"/>
          </w:tcPr>
          <w:p w14:paraId="66EC3E80">
            <w:pPr>
              <w:autoSpaceDE w:val="0"/>
              <w:autoSpaceDN w:val="0"/>
              <w:adjustRightInd w:val="0"/>
              <w:spacing w:line="300" w:lineRule="exact"/>
              <w:rPr>
                <w:rFonts w:ascii="宋体" w:hAnsi="宋体" w:cs="宋体"/>
                <w:szCs w:val="21"/>
                <w:highlight w:val="none"/>
              </w:rPr>
            </w:pPr>
            <w:r>
              <w:rPr>
                <w:rFonts w:hint="eastAsia" w:ascii="宋体" w:hAnsi="宋体" w:cs="宋体"/>
                <w:szCs w:val="21"/>
                <w:highlight w:val="none"/>
              </w:rPr>
              <w:t>符合第二章“投标人须知”第3.4.1 项规定。</w:t>
            </w:r>
          </w:p>
        </w:tc>
        <w:tc>
          <w:tcPr>
            <w:tcW w:w="1276" w:type="dxa"/>
            <w:noWrap/>
          </w:tcPr>
          <w:p w14:paraId="0F1FC8EA">
            <w:pPr>
              <w:autoSpaceDE w:val="0"/>
              <w:autoSpaceDN w:val="0"/>
              <w:adjustRightInd w:val="0"/>
              <w:spacing w:line="300" w:lineRule="exact"/>
              <w:rPr>
                <w:rFonts w:ascii="宋体" w:hAnsi="宋体" w:cs="宋体"/>
                <w:szCs w:val="21"/>
                <w:highlight w:val="none"/>
              </w:rPr>
            </w:pPr>
          </w:p>
        </w:tc>
      </w:tr>
      <w:tr w14:paraId="4118F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exact"/>
        </w:trPr>
        <w:tc>
          <w:tcPr>
            <w:tcW w:w="1095" w:type="dxa"/>
            <w:tcBorders>
              <w:right w:val="single" w:color="auto" w:sz="4" w:space="0"/>
            </w:tcBorders>
            <w:noWrap/>
            <w:vAlign w:val="center"/>
          </w:tcPr>
          <w:p w14:paraId="1902E105">
            <w:pPr>
              <w:autoSpaceDE w:val="0"/>
              <w:autoSpaceDN w:val="0"/>
              <w:adjustRightInd w:val="0"/>
              <w:spacing w:line="320" w:lineRule="exact"/>
              <w:jc w:val="center"/>
              <w:rPr>
                <w:rFonts w:ascii="宋体" w:cs="宋体"/>
                <w:kern w:val="0"/>
                <w:szCs w:val="21"/>
                <w:highlight w:val="none"/>
              </w:rPr>
            </w:pPr>
            <w:r>
              <w:rPr>
                <w:rFonts w:hint="eastAsia" w:ascii="宋体" w:cs="宋体"/>
                <w:kern w:val="0"/>
                <w:szCs w:val="21"/>
                <w:highlight w:val="none"/>
              </w:rPr>
              <w:t>审查结论</w:t>
            </w:r>
          </w:p>
        </w:tc>
        <w:tc>
          <w:tcPr>
            <w:tcW w:w="7329" w:type="dxa"/>
            <w:gridSpan w:val="3"/>
            <w:tcBorders>
              <w:left w:val="single" w:color="auto" w:sz="4" w:space="0"/>
            </w:tcBorders>
            <w:noWrap/>
            <w:vAlign w:val="center"/>
          </w:tcPr>
          <w:p w14:paraId="3FEF6E33">
            <w:pPr>
              <w:tabs>
                <w:tab w:val="left" w:pos="720"/>
              </w:tabs>
              <w:snapToGrid w:val="0"/>
              <w:rPr>
                <w:rFonts w:ascii="楷体_GB2312" w:hAnsi="宋体" w:eastAsia="楷体_GB2312" w:cs="宋体"/>
                <w:highlight w:val="none"/>
              </w:rPr>
            </w:pPr>
            <w:r>
              <w:rPr>
                <w:rFonts w:hint="eastAsia" w:ascii="宋体" w:hAnsi="宋体" w:cs="宋体"/>
                <w:kern w:val="0"/>
                <w:szCs w:val="21"/>
                <w:highlight w:val="none"/>
              </w:rPr>
              <w:t>是否通过初步评审并进入下一阶段评审</w:t>
            </w:r>
            <w:r>
              <w:rPr>
                <w:rFonts w:hint="eastAsia" w:ascii="黑体" w:hAnsi="宋体" w:eastAsia="黑体" w:cs="宋体"/>
                <w:highlight w:val="none"/>
              </w:rPr>
              <w:t>（</w:t>
            </w:r>
            <w:r>
              <w:rPr>
                <w:rFonts w:hint="eastAsia" w:ascii="黑体" w:hAnsi="宋体" w:eastAsia="黑体" w:cs="宋体"/>
                <w:b/>
                <w:highlight w:val="none"/>
              </w:rPr>
              <w:t>本栏填写</w:t>
            </w:r>
            <w:r>
              <w:rPr>
                <w:rFonts w:hint="eastAsia" w:ascii="黑体" w:hAnsi="Courier New" w:eastAsia="黑体"/>
                <w:b/>
                <w:szCs w:val="21"/>
                <w:highlight w:val="none"/>
              </w:rPr>
              <w:t>“通过”“不通过”</w:t>
            </w:r>
            <w:r>
              <w:rPr>
                <w:rFonts w:hint="eastAsia" w:ascii="黑体" w:hAnsi="宋体" w:eastAsia="黑体" w:cs="宋体"/>
                <w:highlight w:val="none"/>
              </w:rPr>
              <w:t>）</w:t>
            </w:r>
          </w:p>
        </w:tc>
        <w:tc>
          <w:tcPr>
            <w:tcW w:w="1276" w:type="dxa"/>
            <w:noWrap/>
          </w:tcPr>
          <w:p w14:paraId="64163FEB">
            <w:pPr>
              <w:autoSpaceDE w:val="0"/>
              <w:autoSpaceDN w:val="0"/>
              <w:adjustRightInd w:val="0"/>
              <w:spacing w:line="300" w:lineRule="exact"/>
              <w:rPr>
                <w:rFonts w:ascii="仿宋_GB2312" w:hAnsi="宋体" w:eastAsia="仿宋_GB2312" w:cs="宋体"/>
                <w:szCs w:val="21"/>
                <w:highlight w:val="none"/>
              </w:rPr>
            </w:pPr>
          </w:p>
        </w:tc>
      </w:tr>
      <w:tr w14:paraId="61ECA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exact"/>
        </w:trPr>
        <w:tc>
          <w:tcPr>
            <w:tcW w:w="1095" w:type="dxa"/>
            <w:tcBorders>
              <w:right w:val="single" w:color="auto" w:sz="4" w:space="0"/>
            </w:tcBorders>
            <w:noWrap/>
            <w:vAlign w:val="center"/>
          </w:tcPr>
          <w:p w14:paraId="0E246367">
            <w:pPr>
              <w:autoSpaceDE w:val="0"/>
              <w:autoSpaceDN w:val="0"/>
              <w:adjustRightInd w:val="0"/>
              <w:spacing w:line="320" w:lineRule="exact"/>
              <w:jc w:val="center"/>
              <w:rPr>
                <w:rFonts w:ascii="宋体" w:cs="宋体"/>
                <w:kern w:val="0"/>
                <w:szCs w:val="21"/>
                <w:highlight w:val="none"/>
              </w:rPr>
            </w:pPr>
            <w:r>
              <w:rPr>
                <w:rFonts w:hint="eastAsia" w:ascii="宋体" w:cs="宋体"/>
                <w:kern w:val="0"/>
                <w:szCs w:val="21"/>
                <w:highlight w:val="none"/>
              </w:rPr>
              <w:t>评委签名</w:t>
            </w:r>
          </w:p>
        </w:tc>
        <w:tc>
          <w:tcPr>
            <w:tcW w:w="7329" w:type="dxa"/>
            <w:gridSpan w:val="3"/>
            <w:tcBorders>
              <w:left w:val="single" w:color="auto" w:sz="4" w:space="0"/>
            </w:tcBorders>
            <w:noWrap/>
            <w:vAlign w:val="center"/>
          </w:tcPr>
          <w:p w14:paraId="01E23D1B">
            <w:pPr>
              <w:autoSpaceDE w:val="0"/>
              <w:autoSpaceDN w:val="0"/>
              <w:adjustRightInd w:val="0"/>
              <w:rPr>
                <w:rFonts w:ascii="仿宋_GB2312" w:hAnsi="宋体" w:eastAsia="仿宋_GB2312" w:cs="宋体"/>
                <w:szCs w:val="21"/>
                <w:highlight w:val="none"/>
              </w:rPr>
            </w:pPr>
          </w:p>
        </w:tc>
        <w:tc>
          <w:tcPr>
            <w:tcW w:w="1276" w:type="dxa"/>
            <w:noWrap/>
          </w:tcPr>
          <w:p w14:paraId="1527778E">
            <w:pPr>
              <w:autoSpaceDE w:val="0"/>
              <w:autoSpaceDN w:val="0"/>
              <w:adjustRightInd w:val="0"/>
              <w:spacing w:line="300" w:lineRule="exact"/>
              <w:rPr>
                <w:rFonts w:ascii="仿宋_GB2312" w:hAnsi="宋体" w:eastAsia="仿宋_GB2312" w:cs="宋体"/>
                <w:szCs w:val="21"/>
                <w:highlight w:val="none"/>
              </w:rPr>
            </w:pPr>
          </w:p>
        </w:tc>
      </w:tr>
    </w:tbl>
    <w:p w14:paraId="2CA9930A">
      <w:pPr>
        <w:tabs>
          <w:tab w:val="left" w:pos="720"/>
        </w:tabs>
        <w:snapToGrid w:val="0"/>
        <w:spacing w:beforeLines="50"/>
        <w:rPr>
          <w:rFonts w:ascii="宋体" w:hAnsi="宋体" w:cs="宋体"/>
          <w:spacing w:val="-2"/>
          <w:kern w:val="0"/>
          <w:szCs w:val="21"/>
          <w:highlight w:val="none"/>
        </w:rPr>
      </w:pPr>
      <w:r>
        <w:rPr>
          <w:rFonts w:hint="eastAsia" w:ascii="宋体" w:hAnsi="Courier New"/>
          <w:szCs w:val="21"/>
          <w:highlight w:val="none"/>
        </w:rPr>
        <w:t>备注：1、</w:t>
      </w:r>
      <w:r>
        <w:rPr>
          <w:rFonts w:hint="eastAsia" w:ascii="宋体" w:hAnsi="宋体"/>
          <w:szCs w:val="21"/>
          <w:highlight w:val="none"/>
        </w:rPr>
        <w:t>经评标委员会审核后，</w:t>
      </w:r>
      <w:r>
        <w:rPr>
          <w:rFonts w:hint="eastAsia" w:ascii="宋体" w:hAnsi="宋体" w:cs="宋体"/>
          <w:spacing w:val="-2"/>
          <w:kern w:val="0"/>
          <w:szCs w:val="21"/>
          <w:highlight w:val="none"/>
        </w:rPr>
        <w:t>有一项不能满足</w:t>
      </w:r>
      <w:r>
        <w:rPr>
          <w:rFonts w:hint="eastAsia" w:ascii="宋体" w:hAnsi="宋体"/>
          <w:spacing w:val="-2"/>
          <w:szCs w:val="21"/>
          <w:highlight w:val="none"/>
        </w:rPr>
        <w:t>初步评审要求</w:t>
      </w:r>
      <w:r>
        <w:rPr>
          <w:rFonts w:hint="eastAsia" w:ascii="宋体" w:hAnsi="宋体" w:cs="宋体"/>
          <w:spacing w:val="-2"/>
          <w:kern w:val="0"/>
          <w:szCs w:val="21"/>
          <w:highlight w:val="none"/>
        </w:rPr>
        <w:t>的</w:t>
      </w:r>
      <w:r>
        <w:rPr>
          <w:rFonts w:hint="eastAsia" w:ascii="宋体" w:hAnsi="宋体"/>
          <w:szCs w:val="21"/>
          <w:highlight w:val="none"/>
        </w:rPr>
        <w:t>，</w:t>
      </w:r>
      <w:r>
        <w:rPr>
          <w:rFonts w:hint="eastAsia" w:ascii="宋体" w:hAnsi="宋体" w:cs="宋体"/>
          <w:spacing w:val="-2"/>
          <w:kern w:val="0"/>
          <w:szCs w:val="21"/>
          <w:highlight w:val="none"/>
        </w:rPr>
        <w:t>其投标文件</w:t>
      </w:r>
      <w:r>
        <w:rPr>
          <w:rFonts w:hint="eastAsia" w:ascii="宋体" w:hAnsi="宋体"/>
          <w:spacing w:val="-2"/>
          <w:szCs w:val="21"/>
          <w:highlight w:val="none"/>
        </w:rPr>
        <w:t>初步审查</w:t>
      </w:r>
      <w:r>
        <w:rPr>
          <w:rFonts w:hint="eastAsia" w:ascii="宋体" w:hAnsi="宋体" w:cs="宋体"/>
          <w:spacing w:val="-2"/>
          <w:kern w:val="0"/>
          <w:szCs w:val="21"/>
          <w:highlight w:val="none"/>
        </w:rPr>
        <w:t>不获通过，作无效投标处理，不予以进入下一轮的评审。</w:t>
      </w:r>
    </w:p>
    <w:p w14:paraId="1B00B840">
      <w:pPr>
        <w:tabs>
          <w:tab w:val="left" w:pos="900"/>
        </w:tabs>
        <w:jc w:val="left"/>
        <w:rPr>
          <w:rFonts w:ascii="宋体" w:hAnsi="Courier New"/>
          <w:szCs w:val="21"/>
          <w:highlight w:val="none"/>
        </w:rPr>
      </w:pPr>
      <w:r>
        <w:rPr>
          <w:rFonts w:hint="eastAsia" w:ascii="宋体" w:hAnsi="Courier New"/>
          <w:szCs w:val="21"/>
          <w:highlight w:val="none"/>
        </w:rPr>
        <w:t>若评委意见不一致时，则按少数服从多数的原则，决定该投标人是否通过</w:t>
      </w:r>
      <w:r>
        <w:rPr>
          <w:rFonts w:hint="eastAsia" w:ascii="宋体" w:hAnsi="宋体"/>
          <w:spacing w:val="-2"/>
          <w:szCs w:val="21"/>
          <w:highlight w:val="none"/>
        </w:rPr>
        <w:t>初步评审</w:t>
      </w:r>
      <w:r>
        <w:rPr>
          <w:rFonts w:hint="eastAsia" w:ascii="宋体" w:hAnsi="Courier New"/>
          <w:szCs w:val="21"/>
          <w:highlight w:val="none"/>
        </w:rPr>
        <w:t>。</w:t>
      </w:r>
    </w:p>
    <w:p w14:paraId="4EFB6049">
      <w:pPr>
        <w:tabs>
          <w:tab w:val="left" w:pos="900"/>
        </w:tabs>
        <w:spacing w:line="460" w:lineRule="exact"/>
        <w:rPr>
          <w:highlight w:val="none"/>
        </w:rPr>
      </w:pPr>
      <w:r>
        <w:rPr>
          <w:rFonts w:hint="eastAsia" w:ascii="宋体" w:hAnsi="宋体"/>
          <w:b/>
          <w:sz w:val="24"/>
          <w:highlight w:val="none"/>
        </w:rPr>
        <w:br w:type="page"/>
      </w:r>
      <w:r>
        <w:rPr>
          <w:rFonts w:hint="eastAsia" w:ascii="宋体" w:hAnsi="宋体"/>
          <w:b/>
          <w:sz w:val="24"/>
          <w:highlight w:val="none"/>
        </w:rPr>
        <w:t>1.2商务投标文件评分标准前附表（M</w:t>
      </w:r>
      <w:r>
        <w:rPr>
          <w:rFonts w:hint="eastAsia" w:ascii="宋体" w:hAnsi="宋体"/>
          <w:sz w:val="24"/>
          <w:highlight w:val="none"/>
        </w:rPr>
        <w:t>=</w:t>
      </w:r>
      <w:r>
        <w:rPr>
          <w:rFonts w:hint="eastAsia" w:ascii="宋体" w:hAnsi="宋体"/>
          <w:b/>
          <w:sz w:val="24"/>
          <w:highlight w:val="none"/>
        </w:rPr>
        <w:t>30分）</w:t>
      </w:r>
    </w:p>
    <w:tbl>
      <w:tblPr>
        <w:tblStyle w:val="49"/>
        <w:tblpPr w:leftFromText="180" w:rightFromText="180" w:vertAnchor="text" w:horzAnchor="page" w:tblpX="1343" w:tblpY="694"/>
        <w:tblOverlap w:val="never"/>
        <w:tblW w:w="960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775"/>
        <w:gridCol w:w="913"/>
        <w:gridCol w:w="6270"/>
      </w:tblGrid>
      <w:tr w14:paraId="670E7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tblHeader/>
        </w:trPr>
        <w:tc>
          <w:tcPr>
            <w:tcW w:w="648" w:type="dxa"/>
            <w:vAlign w:val="center"/>
          </w:tcPr>
          <w:p w14:paraId="7304E708">
            <w:pPr>
              <w:spacing w:line="240" w:lineRule="auto"/>
              <w:jc w:val="center"/>
              <w:rPr>
                <w:rFonts w:ascii="宋体" w:hAnsi="宋体"/>
                <w:szCs w:val="21"/>
                <w:highlight w:val="none"/>
              </w:rPr>
            </w:pPr>
            <w:r>
              <w:rPr>
                <w:rFonts w:hint="eastAsia" w:ascii="宋体" w:hAnsi="宋体"/>
                <w:szCs w:val="21"/>
                <w:highlight w:val="none"/>
              </w:rPr>
              <w:t>序号</w:t>
            </w:r>
          </w:p>
        </w:tc>
        <w:tc>
          <w:tcPr>
            <w:tcW w:w="1775" w:type="dxa"/>
            <w:vAlign w:val="center"/>
          </w:tcPr>
          <w:p w14:paraId="39705BC6">
            <w:pPr>
              <w:spacing w:line="240" w:lineRule="auto"/>
              <w:jc w:val="center"/>
              <w:rPr>
                <w:rFonts w:ascii="宋体" w:hAnsi="宋体"/>
                <w:szCs w:val="21"/>
                <w:highlight w:val="none"/>
              </w:rPr>
            </w:pPr>
            <w:r>
              <w:rPr>
                <w:rFonts w:hint="eastAsia" w:ascii="宋体" w:hAnsi="宋体"/>
                <w:szCs w:val="21"/>
                <w:highlight w:val="none"/>
              </w:rPr>
              <w:t>评审因素</w:t>
            </w:r>
          </w:p>
        </w:tc>
        <w:tc>
          <w:tcPr>
            <w:tcW w:w="913" w:type="dxa"/>
            <w:vAlign w:val="center"/>
          </w:tcPr>
          <w:p w14:paraId="46145522">
            <w:pPr>
              <w:spacing w:line="240" w:lineRule="auto"/>
              <w:jc w:val="center"/>
              <w:rPr>
                <w:rFonts w:ascii="宋体" w:hAnsi="宋体"/>
                <w:szCs w:val="21"/>
                <w:highlight w:val="none"/>
              </w:rPr>
            </w:pPr>
            <w:r>
              <w:rPr>
                <w:rFonts w:hint="eastAsia" w:ascii="宋体" w:hAnsi="宋体"/>
                <w:szCs w:val="21"/>
                <w:highlight w:val="none"/>
              </w:rPr>
              <w:t>分值</w:t>
            </w:r>
          </w:p>
        </w:tc>
        <w:tc>
          <w:tcPr>
            <w:tcW w:w="6270" w:type="dxa"/>
            <w:vAlign w:val="center"/>
          </w:tcPr>
          <w:p w14:paraId="6648D445">
            <w:pPr>
              <w:spacing w:line="240" w:lineRule="auto"/>
              <w:ind w:right="0" w:rightChars="0"/>
              <w:jc w:val="both"/>
              <w:rPr>
                <w:rFonts w:ascii="宋体" w:hAnsi="宋体"/>
                <w:szCs w:val="21"/>
                <w:highlight w:val="none"/>
              </w:rPr>
            </w:pPr>
            <w:r>
              <w:rPr>
                <w:rFonts w:hint="eastAsia" w:ascii="宋体" w:hAnsi="宋体"/>
                <w:szCs w:val="21"/>
                <w:highlight w:val="none"/>
              </w:rPr>
              <w:t>评分标准</w:t>
            </w:r>
          </w:p>
        </w:tc>
      </w:tr>
      <w:tr w14:paraId="000DC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3" w:hRule="exact"/>
          <w:tblHeader/>
        </w:trPr>
        <w:tc>
          <w:tcPr>
            <w:tcW w:w="648" w:type="dxa"/>
            <w:vAlign w:val="center"/>
          </w:tcPr>
          <w:p w14:paraId="3F51EA6B">
            <w:pPr>
              <w:spacing w:line="240" w:lineRule="auto"/>
              <w:jc w:val="center"/>
              <w:rPr>
                <w:rFonts w:ascii="宋体" w:hAnsi="宋体"/>
                <w:szCs w:val="21"/>
                <w:highlight w:val="none"/>
              </w:rPr>
            </w:pPr>
            <w:r>
              <w:rPr>
                <w:rFonts w:hint="eastAsia" w:ascii="宋体" w:hAnsi="宋体"/>
                <w:szCs w:val="21"/>
                <w:highlight w:val="none"/>
              </w:rPr>
              <w:t>1</w:t>
            </w:r>
          </w:p>
        </w:tc>
        <w:tc>
          <w:tcPr>
            <w:tcW w:w="1775" w:type="dxa"/>
            <w:vAlign w:val="center"/>
          </w:tcPr>
          <w:p w14:paraId="019D9290">
            <w:pPr>
              <w:spacing w:line="240" w:lineRule="auto"/>
              <w:jc w:val="center"/>
              <w:rPr>
                <w:rFonts w:ascii="宋体" w:hAnsi="宋体"/>
                <w:szCs w:val="21"/>
                <w:highlight w:val="none"/>
              </w:rPr>
            </w:pPr>
            <w:r>
              <w:rPr>
                <w:rFonts w:hint="eastAsia" w:ascii="宋体" w:hAnsi="宋体"/>
                <w:szCs w:val="21"/>
                <w:highlight w:val="none"/>
              </w:rPr>
              <w:t>企业类似业绩</w:t>
            </w:r>
          </w:p>
        </w:tc>
        <w:tc>
          <w:tcPr>
            <w:tcW w:w="913" w:type="dxa"/>
            <w:vAlign w:val="center"/>
          </w:tcPr>
          <w:p w14:paraId="47CCFA67">
            <w:pPr>
              <w:spacing w:line="240" w:lineRule="auto"/>
              <w:jc w:val="center"/>
              <w:rPr>
                <w:rFonts w:hint="default" w:ascii="Times New Roman" w:hAnsi="Times New Roman" w:eastAsia="宋体"/>
                <w:szCs w:val="21"/>
                <w:highlight w:val="none"/>
                <w:lang w:val="en-US" w:eastAsia="zh-CN"/>
              </w:rPr>
            </w:pPr>
            <w:r>
              <w:rPr>
                <w:rFonts w:hint="default" w:ascii="Times New Roman" w:hAnsi="Times New Roman"/>
                <w:szCs w:val="21"/>
                <w:highlight w:val="none"/>
                <w:lang w:val="en-US" w:eastAsia="zh-CN"/>
              </w:rPr>
              <w:t>12</w:t>
            </w:r>
          </w:p>
        </w:tc>
        <w:tc>
          <w:tcPr>
            <w:tcW w:w="6270" w:type="dxa"/>
            <w:vAlign w:val="center"/>
          </w:tcPr>
          <w:p w14:paraId="7D156E35">
            <w:pPr>
              <w:keepLines/>
              <w:topLinePunct/>
              <w:rPr>
                <w:rFonts w:hint="default" w:ascii="Times New Roman" w:hAnsi="Times New Roman" w:eastAsia="宋体" w:cs="Times New Roman"/>
                <w:szCs w:val="21"/>
                <w:highlight w:val="none"/>
                <w:lang w:val="en-US" w:eastAsia="zh-CN"/>
              </w:rPr>
            </w:pPr>
            <w:r>
              <w:rPr>
                <w:rFonts w:hint="default"/>
                <w:highlight w:val="none"/>
              </w:rPr>
              <w:t>投标人自202</w:t>
            </w:r>
            <w:r>
              <w:rPr>
                <w:rFonts w:hint="default"/>
                <w:highlight w:val="none"/>
                <w:lang w:val="en-US" w:eastAsia="zh-CN"/>
              </w:rPr>
              <w:t>1</w:t>
            </w:r>
            <w:r>
              <w:rPr>
                <w:rFonts w:hint="default"/>
                <w:highlight w:val="none"/>
              </w:rPr>
              <w:t>年1月1日至投标截止时间，完成过质量合格</w:t>
            </w:r>
            <w:r>
              <w:rPr>
                <w:rFonts w:hint="default"/>
                <w:highlight w:val="none"/>
                <w:lang w:val="en-US" w:eastAsia="zh-CN"/>
              </w:rPr>
              <w:t>且</w:t>
            </w:r>
            <w:r>
              <w:rPr>
                <w:rFonts w:hint="default" w:ascii="Times New Roman" w:hAnsi="Times New Roman" w:eastAsia="宋体" w:cs="Times New Roman"/>
                <w:i w:val="0"/>
                <w:iCs w:val="0"/>
                <w:color w:val="000000"/>
                <w:kern w:val="0"/>
                <w:sz w:val="21"/>
                <w:szCs w:val="21"/>
                <w:highlight w:val="none"/>
                <w:u w:val="none"/>
                <w:shd w:val="clear" w:color="auto" w:fill="auto"/>
                <w:lang w:val="en-US" w:eastAsia="zh-CN" w:bidi="ar"/>
              </w:rPr>
              <w:t>建安费5000</w:t>
            </w:r>
            <w:r>
              <w:rPr>
                <w:rFonts w:hint="default" w:ascii="Times New Roman" w:hAnsi="Times New Roman" w:eastAsia="宋体" w:cs="Times New Roman"/>
                <w:i w:val="0"/>
                <w:iCs w:val="0"/>
                <w:color w:val="000000"/>
                <w:kern w:val="0"/>
                <w:sz w:val="21"/>
                <w:szCs w:val="21"/>
                <w:highlight w:val="none"/>
                <w:u w:val="none"/>
                <w:lang w:val="en-US" w:eastAsia="zh-CN" w:bidi="ar"/>
              </w:rPr>
              <w:t>万&lt;含&gt;至9500万&lt;不含&gt;</w:t>
            </w:r>
            <w:r>
              <w:rPr>
                <w:rFonts w:hint="default"/>
                <w:highlight w:val="none"/>
              </w:rPr>
              <w:t>的房屋建筑工程监理项目</w:t>
            </w:r>
            <w:r>
              <w:rPr>
                <w:rFonts w:hint="default"/>
                <w:highlight w:val="none"/>
                <w:lang w:eastAsia="zh-CN"/>
              </w:rPr>
              <w:t>，</w:t>
            </w:r>
            <w:r>
              <w:rPr>
                <w:rFonts w:hint="default" w:ascii="Times New Roman" w:hAnsi="Times New Roman" w:eastAsia="宋体" w:cs="Times New Roman"/>
                <w:i w:val="0"/>
                <w:iCs w:val="0"/>
                <w:color w:val="000000"/>
                <w:kern w:val="0"/>
                <w:sz w:val="21"/>
                <w:szCs w:val="21"/>
                <w:highlight w:val="none"/>
                <w:u w:val="none"/>
                <w:lang w:val="en-US" w:eastAsia="zh-CN" w:bidi="ar"/>
              </w:rPr>
              <w:t>每提供1项，得</w:t>
            </w:r>
            <w:r>
              <w:rPr>
                <w:rFonts w:hint="default" w:ascii="Times New Roman" w:hAnsi="Times New Roman" w:cs="Times New Roman"/>
                <w:i w:val="0"/>
                <w:iCs w:val="0"/>
                <w:color w:val="000000"/>
                <w:kern w:val="0"/>
                <w:sz w:val="21"/>
                <w:szCs w:val="21"/>
                <w:highlight w:val="none"/>
                <w:u w:val="none"/>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分，本小项最多得</w:t>
            </w:r>
            <w:r>
              <w:rPr>
                <w:rFonts w:hint="default" w:ascii="Times New Roman" w:hAnsi="Times New Roman" w:cs="Times New Roman"/>
                <w:i w:val="0"/>
                <w:iCs w:val="0"/>
                <w:color w:val="000000"/>
                <w:kern w:val="0"/>
                <w:sz w:val="21"/>
                <w:szCs w:val="21"/>
                <w:highlight w:val="none"/>
                <w:u w:val="none"/>
                <w:lang w:val="en-US" w:eastAsia="zh-CN" w:bidi="ar"/>
              </w:rPr>
              <w:t>6</w:t>
            </w:r>
            <w:r>
              <w:rPr>
                <w:rFonts w:hint="default" w:ascii="Times New Roman" w:hAnsi="Times New Roman" w:eastAsia="宋体" w:cs="Times New Roman"/>
                <w:i w:val="0"/>
                <w:iCs w:val="0"/>
                <w:color w:val="000000"/>
                <w:kern w:val="0"/>
                <w:sz w:val="21"/>
                <w:szCs w:val="21"/>
                <w:highlight w:val="none"/>
                <w:u w:val="none"/>
                <w:lang w:val="en-US" w:eastAsia="zh-CN" w:bidi="ar"/>
              </w:rPr>
              <w:t>分</w:t>
            </w:r>
            <w:r>
              <w:rPr>
                <w:rFonts w:hint="default" w:ascii="Times New Roman" w:hAnsi="Times New Roman" w:eastAsia="宋体" w:cs="Times New Roman"/>
                <w:i w:val="0"/>
                <w:iCs w:val="0"/>
                <w:kern w:val="2"/>
                <w:sz w:val="21"/>
                <w:szCs w:val="21"/>
                <w:highlight w:val="none"/>
                <w:u w:val="none"/>
                <w:lang w:val="en-US" w:eastAsia="zh-CN" w:bidi="ar"/>
              </w:rPr>
              <w:t>；</w:t>
            </w:r>
          </w:p>
          <w:p w14:paraId="6CF93EE4">
            <w:pPr>
              <w:keepLines/>
              <w:topLinePunct/>
              <w:rPr>
                <w:rFonts w:hint="default" w:ascii="Times New Roman" w:hAnsi="Times New Roman" w:cs="Times New Roman"/>
                <w:i w:val="0"/>
                <w:iCs w:val="0"/>
                <w:color w:val="000000"/>
                <w:kern w:val="0"/>
                <w:sz w:val="21"/>
                <w:szCs w:val="21"/>
                <w:highlight w:val="none"/>
                <w:u w:val="none"/>
                <w:lang w:val="en-US" w:eastAsia="zh-CN" w:bidi="ar"/>
              </w:rPr>
            </w:pPr>
            <w:r>
              <w:rPr>
                <w:rFonts w:hint="default"/>
                <w:highlight w:val="none"/>
              </w:rPr>
              <w:t>投标人自202</w:t>
            </w:r>
            <w:r>
              <w:rPr>
                <w:rFonts w:hint="default"/>
                <w:highlight w:val="none"/>
                <w:lang w:val="en-US" w:eastAsia="zh-CN"/>
              </w:rPr>
              <w:t>1</w:t>
            </w:r>
            <w:r>
              <w:rPr>
                <w:rFonts w:hint="default"/>
                <w:highlight w:val="none"/>
              </w:rPr>
              <w:t>年1月1日至投标截止时间，完成过质量合格</w:t>
            </w:r>
            <w:r>
              <w:rPr>
                <w:rFonts w:hint="default"/>
                <w:highlight w:val="none"/>
                <w:lang w:val="en-US" w:eastAsia="zh-CN"/>
              </w:rPr>
              <w:t>且</w:t>
            </w:r>
            <w:r>
              <w:rPr>
                <w:rFonts w:hint="default" w:ascii="Times New Roman" w:hAnsi="Times New Roman" w:eastAsia="宋体" w:cs="Times New Roman"/>
                <w:i w:val="0"/>
                <w:iCs w:val="0"/>
                <w:color w:val="000000"/>
                <w:kern w:val="0"/>
                <w:sz w:val="21"/>
                <w:szCs w:val="21"/>
                <w:highlight w:val="none"/>
                <w:u w:val="none"/>
                <w:shd w:val="clear" w:color="auto" w:fill="auto"/>
                <w:lang w:val="en-US" w:eastAsia="zh-CN" w:bidi="ar"/>
              </w:rPr>
              <w:t>建安费</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shd w:val="clear" w:color="auto" w:fill="auto"/>
                <w:lang w:val="en-US" w:eastAsia="zh-CN" w:bidi="ar"/>
              </w:rPr>
              <w:t>9500万</w:t>
            </w:r>
            <w:r>
              <w:rPr>
                <w:rFonts w:hint="default"/>
                <w:highlight w:val="none"/>
              </w:rPr>
              <w:t>的房屋建筑工程监理项目</w:t>
            </w:r>
            <w:r>
              <w:rPr>
                <w:rFonts w:hint="default"/>
                <w:highlight w:val="none"/>
                <w:lang w:eastAsia="zh-CN"/>
              </w:rPr>
              <w:t>，</w:t>
            </w:r>
            <w:r>
              <w:rPr>
                <w:rFonts w:hint="default" w:ascii="Times New Roman" w:hAnsi="Times New Roman" w:eastAsia="宋体" w:cs="Times New Roman"/>
                <w:i w:val="0"/>
                <w:iCs w:val="0"/>
                <w:color w:val="000000"/>
                <w:kern w:val="0"/>
                <w:sz w:val="21"/>
                <w:szCs w:val="21"/>
                <w:highlight w:val="none"/>
                <w:u w:val="none"/>
                <w:lang w:val="en-US" w:eastAsia="zh-CN" w:bidi="ar"/>
              </w:rPr>
              <w:t>每提供1项，得</w:t>
            </w:r>
            <w:r>
              <w:rPr>
                <w:rFonts w:hint="default" w:ascii="Times New Roman" w:hAnsi="Times New Roman" w:cs="Times New Roman"/>
                <w:i w:val="0"/>
                <w:iCs w:val="0"/>
                <w:color w:val="000000"/>
                <w:kern w:val="0"/>
                <w:sz w:val="21"/>
                <w:szCs w:val="21"/>
                <w:highlight w:val="none"/>
                <w:u w:val="none"/>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分</w:t>
            </w:r>
            <w:r>
              <w:rPr>
                <w:rFonts w:hint="default" w:ascii="Times New Roman" w:hAnsi="Times New Roman" w:cs="Times New Roman"/>
                <w:i w:val="0"/>
                <w:iCs w:val="0"/>
                <w:color w:val="000000"/>
                <w:kern w:val="0"/>
                <w:sz w:val="21"/>
                <w:szCs w:val="21"/>
                <w:highlight w:val="none"/>
                <w:u w:val="none"/>
                <w:lang w:val="en-US" w:eastAsia="zh-CN" w:bidi="ar"/>
              </w:rPr>
              <w:t>。</w:t>
            </w:r>
          </w:p>
          <w:p w14:paraId="17765CCC">
            <w:pPr>
              <w:keepLines/>
              <w:topLinePunct/>
              <w:spacing w:line="240" w:lineRule="auto"/>
              <w:ind w:right="0" w:rightChars="0"/>
              <w:jc w:val="left"/>
              <w:rPr>
                <w:rFonts w:ascii="Times New Roman" w:hAnsi="Times New Roman"/>
                <w:szCs w:val="21"/>
                <w:highlight w:val="none"/>
              </w:rPr>
            </w:pPr>
            <w:r>
              <w:rPr>
                <w:rFonts w:hint="default" w:ascii="Times New Roman" w:hAnsi="Times New Roman" w:cs="Times New Roman"/>
                <w:i w:val="0"/>
                <w:iCs w:val="0"/>
                <w:color w:val="000000"/>
                <w:kern w:val="0"/>
                <w:sz w:val="21"/>
                <w:szCs w:val="21"/>
                <w:highlight w:val="none"/>
                <w:u w:val="none"/>
                <w:lang w:val="en-US" w:eastAsia="zh-CN" w:bidi="ar"/>
              </w:rPr>
              <w:t>注：</w:t>
            </w:r>
            <w:r>
              <w:rPr>
                <w:rFonts w:hint="default" w:ascii="Times New Roman" w:hAnsi="Times New Roman" w:eastAsia="宋体" w:cs="Times New Roman"/>
                <w:i w:val="0"/>
                <w:iCs w:val="0"/>
                <w:color w:val="000000"/>
                <w:kern w:val="0"/>
                <w:sz w:val="21"/>
                <w:szCs w:val="21"/>
                <w:highlight w:val="none"/>
                <w:u w:val="none"/>
                <w:lang w:val="en-US" w:eastAsia="zh-CN" w:bidi="ar"/>
              </w:rPr>
              <w:t>本项最多得</w:t>
            </w:r>
            <w:r>
              <w:rPr>
                <w:rFonts w:hint="default" w:ascii="Times New Roman" w:hAnsi="Times New Roman" w:cs="Times New Roman"/>
                <w:i w:val="0"/>
                <w:iCs w:val="0"/>
                <w:color w:val="000000"/>
                <w:kern w:val="0"/>
                <w:sz w:val="21"/>
                <w:szCs w:val="21"/>
                <w:highlight w:val="none"/>
                <w:u w:val="none"/>
                <w:lang w:val="en-US" w:eastAsia="zh-CN" w:bidi="ar"/>
              </w:rPr>
              <w:t>12</w:t>
            </w:r>
            <w:r>
              <w:rPr>
                <w:rFonts w:hint="default" w:ascii="Times New Roman" w:hAnsi="Times New Roman" w:eastAsia="宋体" w:cs="Times New Roman"/>
                <w:i w:val="0"/>
                <w:iCs w:val="0"/>
                <w:color w:val="000000"/>
                <w:kern w:val="0"/>
                <w:sz w:val="21"/>
                <w:szCs w:val="21"/>
                <w:highlight w:val="none"/>
                <w:u w:val="none"/>
                <w:lang w:val="en-US" w:eastAsia="zh-CN" w:bidi="ar"/>
              </w:rPr>
              <w:t>分</w:t>
            </w:r>
            <w:r>
              <w:rPr>
                <w:rFonts w:hint="default" w:ascii="Times New Roman" w:hAnsi="Times New Roman" w:eastAsia="宋体" w:cs="Times New Roman"/>
                <w:i w:val="0"/>
                <w:iCs w:val="0"/>
                <w:kern w:val="2"/>
                <w:sz w:val="21"/>
                <w:szCs w:val="21"/>
                <w:highlight w:val="none"/>
                <w:u w:val="none"/>
                <w:lang w:val="en-US" w:eastAsia="zh-CN" w:bidi="ar"/>
              </w:rPr>
              <w:t>；</w:t>
            </w:r>
          </w:p>
        </w:tc>
      </w:tr>
      <w:tr w14:paraId="3BC48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86" w:hRule="exact"/>
          <w:tblHeader/>
        </w:trPr>
        <w:tc>
          <w:tcPr>
            <w:tcW w:w="648" w:type="dxa"/>
            <w:vAlign w:val="center"/>
          </w:tcPr>
          <w:p w14:paraId="22B8F361">
            <w:pPr>
              <w:spacing w:line="240" w:lineRule="auto"/>
              <w:jc w:val="center"/>
              <w:rPr>
                <w:rFonts w:ascii="宋体" w:hAnsi="宋体"/>
                <w:szCs w:val="21"/>
                <w:highlight w:val="none"/>
              </w:rPr>
            </w:pPr>
            <w:r>
              <w:rPr>
                <w:rFonts w:hint="eastAsia" w:ascii="宋体" w:hAnsi="宋体"/>
                <w:szCs w:val="21"/>
                <w:highlight w:val="none"/>
              </w:rPr>
              <w:t>2</w:t>
            </w:r>
          </w:p>
        </w:tc>
        <w:tc>
          <w:tcPr>
            <w:tcW w:w="1775" w:type="dxa"/>
            <w:vAlign w:val="center"/>
          </w:tcPr>
          <w:p w14:paraId="06E513F1">
            <w:pPr>
              <w:spacing w:line="240" w:lineRule="auto"/>
              <w:jc w:val="center"/>
              <w:rPr>
                <w:rFonts w:ascii="宋体" w:hAnsi="宋体"/>
                <w:szCs w:val="21"/>
                <w:highlight w:val="none"/>
              </w:rPr>
            </w:pPr>
            <w:r>
              <w:rPr>
                <w:rFonts w:hint="eastAsia" w:ascii="宋体" w:hAnsi="宋体"/>
                <w:szCs w:val="21"/>
                <w:highlight w:val="none"/>
              </w:rPr>
              <w:t>企业荣誉情况</w:t>
            </w:r>
          </w:p>
        </w:tc>
        <w:tc>
          <w:tcPr>
            <w:tcW w:w="913" w:type="dxa"/>
            <w:vAlign w:val="center"/>
          </w:tcPr>
          <w:p w14:paraId="2E387B06">
            <w:pPr>
              <w:spacing w:line="240" w:lineRule="auto"/>
              <w:jc w:val="center"/>
              <w:rPr>
                <w:rFonts w:hint="default" w:ascii="Times New Roman" w:hAnsi="Times New Roman" w:eastAsia="宋体"/>
                <w:szCs w:val="21"/>
                <w:highlight w:val="none"/>
                <w:lang w:val="en-US" w:eastAsia="zh-CN"/>
              </w:rPr>
            </w:pPr>
            <w:r>
              <w:rPr>
                <w:rFonts w:hint="default" w:ascii="Times New Roman" w:hAnsi="Times New Roman"/>
                <w:szCs w:val="21"/>
                <w:highlight w:val="none"/>
                <w:lang w:val="en-US" w:eastAsia="zh-CN"/>
              </w:rPr>
              <w:t>6</w:t>
            </w:r>
          </w:p>
        </w:tc>
        <w:tc>
          <w:tcPr>
            <w:tcW w:w="6270" w:type="dxa"/>
            <w:vAlign w:val="center"/>
          </w:tcPr>
          <w:p w14:paraId="7E2AE52D">
            <w:pPr>
              <w:spacing w:line="240" w:lineRule="auto"/>
              <w:jc w:val="both"/>
              <w:rPr>
                <w:rFonts w:ascii="Times New Roman" w:hAnsi="Times New Roman"/>
                <w:kern w:val="0"/>
                <w:szCs w:val="21"/>
                <w:highlight w:val="none"/>
              </w:rPr>
            </w:pPr>
            <w:r>
              <w:rPr>
                <w:rFonts w:hint="default"/>
                <w:highlight w:val="none"/>
              </w:rPr>
              <w:t>投标人自202</w:t>
            </w:r>
            <w:r>
              <w:rPr>
                <w:rFonts w:hint="default"/>
                <w:highlight w:val="none"/>
                <w:lang w:val="en-US" w:eastAsia="zh-CN"/>
              </w:rPr>
              <w:t>1</w:t>
            </w:r>
            <w:r>
              <w:rPr>
                <w:rFonts w:hint="default"/>
                <w:highlight w:val="none"/>
              </w:rPr>
              <w:t>年1月1日至投标截止时间，完成过质量合格的房屋建筑工程监理项目获奖情况</w:t>
            </w:r>
            <w:r>
              <w:rPr>
                <w:rFonts w:hint="default" w:ascii="Times New Roman" w:hAnsi="Times New Roman"/>
                <w:kern w:val="0"/>
                <w:szCs w:val="21"/>
                <w:highlight w:val="none"/>
              </w:rPr>
              <w:t>：</w:t>
            </w:r>
          </w:p>
          <w:p w14:paraId="29EA26B9">
            <w:pPr>
              <w:spacing w:line="240" w:lineRule="auto"/>
              <w:ind w:right="0" w:rightChars="0"/>
              <w:jc w:val="both"/>
              <w:rPr>
                <w:rFonts w:hint="default" w:ascii="Times New Roman" w:hAnsi="Times New Roman"/>
                <w:kern w:val="0"/>
                <w:szCs w:val="21"/>
                <w:highlight w:val="none"/>
                <w:lang w:eastAsia="zh-CN"/>
              </w:rPr>
            </w:pPr>
            <w:r>
              <w:rPr>
                <w:rFonts w:hint="default" w:ascii="Times New Roman" w:hAnsi="Times New Roman"/>
                <w:kern w:val="0"/>
                <w:szCs w:val="21"/>
                <w:highlight w:val="none"/>
                <w:lang w:eastAsia="zh-CN"/>
              </w:rPr>
              <w:t>（1）获得国家级奖项的一项得</w:t>
            </w:r>
            <w:r>
              <w:rPr>
                <w:rFonts w:hint="default" w:ascii="Times New Roman" w:hAnsi="Times New Roman"/>
                <w:kern w:val="0"/>
                <w:szCs w:val="21"/>
                <w:highlight w:val="none"/>
                <w:lang w:val="en-US" w:eastAsia="zh-CN"/>
              </w:rPr>
              <w:t>3</w:t>
            </w:r>
            <w:r>
              <w:rPr>
                <w:rFonts w:hint="default" w:ascii="Times New Roman" w:hAnsi="Times New Roman"/>
                <w:kern w:val="0"/>
                <w:szCs w:val="21"/>
                <w:highlight w:val="none"/>
                <w:lang w:eastAsia="zh-CN"/>
              </w:rPr>
              <w:t>分；</w:t>
            </w:r>
          </w:p>
          <w:p w14:paraId="2743658D">
            <w:pPr>
              <w:spacing w:line="240" w:lineRule="auto"/>
              <w:ind w:right="0" w:rightChars="0"/>
              <w:jc w:val="both"/>
              <w:rPr>
                <w:rFonts w:hint="default" w:ascii="Times New Roman" w:hAnsi="Times New Roman"/>
                <w:kern w:val="0"/>
                <w:szCs w:val="21"/>
                <w:highlight w:val="none"/>
                <w:lang w:eastAsia="zh-CN"/>
              </w:rPr>
            </w:pPr>
            <w:r>
              <w:rPr>
                <w:rFonts w:hint="default" w:ascii="Times New Roman" w:hAnsi="Times New Roman"/>
                <w:kern w:val="0"/>
                <w:szCs w:val="21"/>
                <w:highlight w:val="none"/>
                <w:lang w:eastAsia="zh-CN"/>
              </w:rPr>
              <w:t>（2）获得省级奖项的一项得</w:t>
            </w:r>
            <w:r>
              <w:rPr>
                <w:rFonts w:hint="default" w:ascii="Times New Roman" w:hAnsi="Times New Roman"/>
                <w:kern w:val="0"/>
                <w:szCs w:val="21"/>
                <w:highlight w:val="none"/>
                <w:lang w:val="en-US" w:eastAsia="zh-CN"/>
              </w:rPr>
              <w:t>2</w:t>
            </w:r>
            <w:r>
              <w:rPr>
                <w:rFonts w:hint="default" w:ascii="Times New Roman" w:hAnsi="Times New Roman"/>
                <w:kern w:val="0"/>
                <w:szCs w:val="21"/>
                <w:highlight w:val="none"/>
                <w:lang w:eastAsia="zh-CN"/>
              </w:rPr>
              <w:t>分；</w:t>
            </w:r>
          </w:p>
          <w:p w14:paraId="1753D4F3">
            <w:pPr>
              <w:spacing w:line="240" w:lineRule="auto"/>
              <w:ind w:right="0" w:rightChars="0"/>
              <w:jc w:val="both"/>
              <w:rPr>
                <w:rFonts w:hint="default" w:ascii="Times New Roman" w:hAnsi="Times New Roman"/>
                <w:kern w:val="0"/>
                <w:szCs w:val="21"/>
                <w:highlight w:val="none"/>
                <w:lang w:eastAsia="zh-CN"/>
              </w:rPr>
            </w:pPr>
            <w:r>
              <w:rPr>
                <w:rFonts w:hint="default" w:ascii="Times New Roman" w:hAnsi="Times New Roman"/>
                <w:kern w:val="0"/>
                <w:szCs w:val="21"/>
                <w:highlight w:val="none"/>
                <w:lang w:eastAsia="zh-CN"/>
              </w:rPr>
              <w:t>（3）获得市级奖项的一项得</w:t>
            </w:r>
            <w:r>
              <w:rPr>
                <w:rFonts w:hint="default" w:ascii="Times New Roman" w:hAnsi="Times New Roman"/>
                <w:kern w:val="0"/>
                <w:szCs w:val="21"/>
                <w:highlight w:val="none"/>
                <w:lang w:val="en-US" w:eastAsia="zh-CN"/>
              </w:rPr>
              <w:t>1</w:t>
            </w:r>
            <w:r>
              <w:rPr>
                <w:rFonts w:hint="default" w:ascii="Times New Roman" w:hAnsi="Times New Roman"/>
                <w:kern w:val="0"/>
                <w:szCs w:val="21"/>
                <w:highlight w:val="none"/>
                <w:lang w:eastAsia="zh-CN"/>
              </w:rPr>
              <w:t>分；</w:t>
            </w:r>
          </w:p>
          <w:p w14:paraId="05445FCD">
            <w:pPr>
              <w:spacing w:line="240" w:lineRule="auto"/>
              <w:ind w:right="0" w:rightChars="0"/>
              <w:jc w:val="both"/>
              <w:rPr>
                <w:rFonts w:ascii="Times New Roman" w:hAnsi="Times New Roman"/>
                <w:szCs w:val="21"/>
                <w:highlight w:val="none"/>
              </w:rPr>
            </w:pPr>
            <w:r>
              <w:rPr>
                <w:rFonts w:hint="default" w:ascii="Times New Roman" w:hAnsi="Times New Roman"/>
                <w:szCs w:val="21"/>
                <w:highlight w:val="none"/>
              </w:rPr>
              <w:t>注：</w:t>
            </w:r>
            <w:r>
              <w:rPr>
                <w:rFonts w:hint="default" w:ascii="Times New Roman" w:hAnsi="Times New Roman" w:eastAsia="宋体" w:cs="Times New Roman"/>
                <w:i w:val="0"/>
                <w:iCs w:val="0"/>
                <w:kern w:val="2"/>
                <w:sz w:val="21"/>
                <w:szCs w:val="21"/>
                <w:highlight w:val="none"/>
                <w:u w:val="none"/>
                <w:lang w:val="en-US" w:eastAsia="zh-CN" w:bidi="ar"/>
              </w:rPr>
              <w:t>最多计2项，</w:t>
            </w:r>
            <w:r>
              <w:rPr>
                <w:rFonts w:hint="default" w:ascii="Times New Roman" w:hAnsi="Times New Roman"/>
                <w:kern w:val="0"/>
                <w:szCs w:val="21"/>
                <w:highlight w:val="none"/>
              </w:rPr>
              <w:t>本项最多得</w:t>
            </w:r>
            <w:r>
              <w:rPr>
                <w:rFonts w:hint="default" w:ascii="Times New Roman" w:hAnsi="Times New Roman"/>
                <w:kern w:val="0"/>
                <w:szCs w:val="21"/>
                <w:highlight w:val="none"/>
                <w:lang w:val="en-US" w:eastAsia="zh-CN"/>
              </w:rPr>
              <w:t>6</w:t>
            </w:r>
            <w:r>
              <w:rPr>
                <w:rFonts w:hint="default" w:ascii="Times New Roman" w:hAnsi="Times New Roman"/>
                <w:kern w:val="0"/>
                <w:szCs w:val="21"/>
                <w:highlight w:val="none"/>
              </w:rPr>
              <w:t>分。</w:t>
            </w:r>
          </w:p>
        </w:tc>
      </w:tr>
      <w:tr w14:paraId="03991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90" w:hRule="exact"/>
          <w:tblHeader/>
        </w:trPr>
        <w:tc>
          <w:tcPr>
            <w:tcW w:w="648" w:type="dxa"/>
            <w:vAlign w:val="center"/>
          </w:tcPr>
          <w:p w14:paraId="4BB2C498">
            <w:pPr>
              <w:spacing w:line="240" w:lineRule="auto"/>
              <w:jc w:val="center"/>
              <w:rPr>
                <w:rFonts w:ascii="宋体" w:hAnsi="宋体"/>
                <w:szCs w:val="21"/>
                <w:highlight w:val="none"/>
              </w:rPr>
            </w:pPr>
            <w:r>
              <w:rPr>
                <w:rFonts w:hint="eastAsia" w:ascii="宋体" w:hAnsi="宋体"/>
                <w:szCs w:val="21"/>
                <w:highlight w:val="none"/>
              </w:rPr>
              <w:t>3</w:t>
            </w:r>
          </w:p>
        </w:tc>
        <w:tc>
          <w:tcPr>
            <w:tcW w:w="1775" w:type="dxa"/>
            <w:vAlign w:val="center"/>
          </w:tcPr>
          <w:p w14:paraId="21092097">
            <w:pPr>
              <w:spacing w:line="240" w:lineRule="auto"/>
              <w:jc w:val="center"/>
              <w:rPr>
                <w:rFonts w:ascii="宋体" w:hAnsi="宋体"/>
                <w:szCs w:val="21"/>
                <w:highlight w:val="none"/>
              </w:rPr>
            </w:pPr>
            <w:r>
              <w:rPr>
                <w:rFonts w:hint="eastAsia" w:ascii="宋体" w:hAnsi="宋体"/>
                <w:szCs w:val="21"/>
                <w:highlight w:val="none"/>
              </w:rPr>
              <w:t>企业信誉情况</w:t>
            </w:r>
          </w:p>
        </w:tc>
        <w:tc>
          <w:tcPr>
            <w:tcW w:w="913" w:type="dxa"/>
            <w:vAlign w:val="center"/>
          </w:tcPr>
          <w:p w14:paraId="05AF82C9">
            <w:pPr>
              <w:spacing w:line="240" w:lineRule="auto"/>
              <w:jc w:val="center"/>
              <w:rPr>
                <w:rFonts w:hint="default" w:ascii="Times New Roman" w:hAnsi="Times New Roman" w:eastAsia="宋体"/>
                <w:szCs w:val="21"/>
                <w:highlight w:val="none"/>
                <w:lang w:val="en-US" w:eastAsia="zh-CN"/>
              </w:rPr>
            </w:pPr>
            <w:r>
              <w:rPr>
                <w:rFonts w:hint="default" w:ascii="Times New Roman" w:hAnsi="Times New Roman"/>
                <w:szCs w:val="21"/>
                <w:highlight w:val="none"/>
                <w:lang w:val="en-US" w:eastAsia="zh-CN"/>
              </w:rPr>
              <w:t>6</w:t>
            </w:r>
          </w:p>
        </w:tc>
        <w:tc>
          <w:tcPr>
            <w:tcW w:w="6270" w:type="dxa"/>
            <w:vAlign w:val="center"/>
          </w:tcPr>
          <w:p w14:paraId="674B3ED4">
            <w:pPr>
              <w:spacing w:line="240" w:lineRule="auto"/>
              <w:ind w:right="0" w:rightChars="0"/>
              <w:jc w:val="both"/>
              <w:rPr>
                <w:rFonts w:hint="default" w:ascii="Times New Roman" w:hAnsi="Times New Roman"/>
                <w:b/>
                <w:bCs/>
                <w:szCs w:val="21"/>
                <w:highlight w:val="none"/>
              </w:rPr>
            </w:pPr>
            <w:r>
              <w:rPr>
                <w:rFonts w:hint="default" w:ascii="Times New Roman" w:hAnsi="Times New Roman" w:eastAsia="宋体" w:cs="Times New Roman"/>
                <w:b/>
                <w:bCs/>
                <w:kern w:val="0"/>
                <w:szCs w:val="21"/>
                <w:highlight w:val="none"/>
                <w:lang w:eastAsia="zh-CN"/>
              </w:rPr>
              <w:t>1、</w:t>
            </w:r>
            <w:r>
              <w:rPr>
                <w:rFonts w:hint="default" w:ascii="Times New Roman" w:hAnsi="Times New Roman"/>
                <w:b/>
                <w:bCs/>
                <w:szCs w:val="21"/>
                <w:highlight w:val="none"/>
              </w:rPr>
              <w:t>管理体系认证</w:t>
            </w:r>
          </w:p>
          <w:p w14:paraId="6E8E736C">
            <w:pPr>
              <w:spacing w:line="240" w:lineRule="auto"/>
              <w:ind w:right="0" w:rightChars="0"/>
              <w:jc w:val="both"/>
              <w:rPr>
                <w:rFonts w:hint="default" w:ascii="Times New Roman" w:hAnsi="Times New Roman"/>
                <w:szCs w:val="21"/>
                <w:highlight w:val="none"/>
              </w:rPr>
            </w:pPr>
            <w:r>
              <w:rPr>
                <w:rFonts w:hint="default" w:ascii="Times New Roman" w:hAnsi="Times New Roman"/>
                <w:szCs w:val="21"/>
                <w:highlight w:val="none"/>
              </w:rPr>
              <w:t>投标人同时具备质量管理体系认证证书、环境管理体系认证证书、职业健康安全管理体系认证证书、信息安全管理体系认证证书且在有效期内的，得</w:t>
            </w:r>
            <w:r>
              <w:rPr>
                <w:rFonts w:hint="default" w:ascii="Times New Roman" w:hAnsi="Times New Roman"/>
                <w:szCs w:val="21"/>
                <w:highlight w:val="none"/>
                <w:lang w:val="en-US" w:eastAsia="zh-CN"/>
              </w:rPr>
              <w:t>3</w:t>
            </w:r>
            <w:r>
              <w:rPr>
                <w:rFonts w:hint="default" w:ascii="Times New Roman" w:hAnsi="Times New Roman"/>
                <w:szCs w:val="21"/>
                <w:highlight w:val="none"/>
              </w:rPr>
              <w:t>分；</w:t>
            </w:r>
          </w:p>
          <w:p w14:paraId="4AF5D64B">
            <w:pPr>
              <w:spacing w:line="240" w:lineRule="auto"/>
              <w:ind w:right="0" w:rightChars="0"/>
              <w:jc w:val="both"/>
              <w:rPr>
                <w:rFonts w:hint="default" w:ascii="Times New Roman" w:hAnsi="Times New Roman"/>
                <w:szCs w:val="21"/>
                <w:highlight w:val="none"/>
              </w:rPr>
            </w:pPr>
            <w:r>
              <w:rPr>
                <w:rFonts w:hint="default" w:ascii="Times New Roman" w:hAnsi="Times New Roman"/>
                <w:szCs w:val="21"/>
                <w:highlight w:val="none"/>
              </w:rPr>
              <w:t>具备上述中的2-3项体系认证证书且在有效期内的，得</w:t>
            </w:r>
            <w:r>
              <w:rPr>
                <w:rFonts w:hint="default" w:ascii="Times New Roman" w:hAnsi="Times New Roman"/>
                <w:szCs w:val="21"/>
                <w:highlight w:val="none"/>
                <w:lang w:val="en-US" w:eastAsia="zh-CN"/>
              </w:rPr>
              <w:t>2</w:t>
            </w:r>
            <w:r>
              <w:rPr>
                <w:rFonts w:hint="default" w:ascii="Times New Roman" w:hAnsi="Times New Roman"/>
                <w:szCs w:val="21"/>
                <w:highlight w:val="none"/>
              </w:rPr>
              <w:t>分；</w:t>
            </w:r>
          </w:p>
          <w:p w14:paraId="2F558F3A">
            <w:pPr>
              <w:spacing w:line="240" w:lineRule="auto"/>
              <w:ind w:right="0" w:rightChars="0"/>
              <w:jc w:val="both"/>
              <w:rPr>
                <w:rFonts w:hint="default" w:ascii="Times New Roman" w:hAnsi="Times New Roman"/>
                <w:szCs w:val="21"/>
                <w:highlight w:val="none"/>
              </w:rPr>
            </w:pPr>
            <w:r>
              <w:rPr>
                <w:rFonts w:hint="default" w:ascii="Times New Roman" w:hAnsi="Times New Roman"/>
                <w:szCs w:val="21"/>
                <w:highlight w:val="none"/>
              </w:rPr>
              <w:t>具备上述中的1项体系认证证书且在有效期内的，得</w:t>
            </w:r>
            <w:r>
              <w:rPr>
                <w:rFonts w:hint="default" w:ascii="Times New Roman" w:hAnsi="Times New Roman"/>
                <w:szCs w:val="21"/>
                <w:highlight w:val="none"/>
                <w:lang w:val="en-US" w:eastAsia="zh-CN"/>
              </w:rPr>
              <w:t>1</w:t>
            </w:r>
            <w:r>
              <w:rPr>
                <w:rFonts w:hint="default" w:ascii="Times New Roman" w:hAnsi="Times New Roman"/>
                <w:szCs w:val="21"/>
                <w:highlight w:val="none"/>
              </w:rPr>
              <w:t>分；</w:t>
            </w:r>
          </w:p>
          <w:p w14:paraId="2BBDE2AA">
            <w:pPr>
              <w:spacing w:line="240" w:lineRule="auto"/>
              <w:ind w:right="0" w:rightChars="0"/>
              <w:jc w:val="both"/>
              <w:rPr>
                <w:rFonts w:hint="default" w:ascii="Times New Roman" w:hAnsi="Times New Roman"/>
                <w:szCs w:val="21"/>
                <w:highlight w:val="none"/>
              </w:rPr>
            </w:pPr>
            <w:r>
              <w:rPr>
                <w:rFonts w:hint="default" w:ascii="Times New Roman" w:hAnsi="Times New Roman"/>
                <w:szCs w:val="21"/>
                <w:highlight w:val="none"/>
              </w:rPr>
              <w:t>注：本项最多得</w:t>
            </w:r>
            <w:r>
              <w:rPr>
                <w:rFonts w:hint="default" w:ascii="Times New Roman" w:hAnsi="Times New Roman"/>
                <w:szCs w:val="21"/>
                <w:highlight w:val="none"/>
                <w:lang w:val="en-US" w:eastAsia="zh-CN"/>
              </w:rPr>
              <w:t>3</w:t>
            </w:r>
            <w:r>
              <w:rPr>
                <w:rFonts w:hint="default" w:ascii="Times New Roman" w:hAnsi="Times New Roman"/>
                <w:szCs w:val="21"/>
                <w:highlight w:val="none"/>
              </w:rPr>
              <w:t>分；须提供在有效期内的管理体系认证证书原件</w:t>
            </w:r>
            <w:r>
              <w:rPr>
                <w:rFonts w:hint="default" w:ascii="Times New Roman" w:hAnsi="Times New Roman"/>
                <w:szCs w:val="21"/>
                <w:highlight w:val="none"/>
                <w:lang w:eastAsia="zh-CN"/>
              </w:rPr>
              <w:t>复印件</w:t>
            </w:r>
            <w:r>
              <w:rPr>
                <w:rFonts w:hint="default" w:ascii="Times New Roman" w:hAnsi="Times New Roman"/>
                <w:szCs w:val="21"/>
                <w:highlight w:val="none"/>
              </w:rPr>
              <w:t>，否则不得</w:t>
            </w:r>
            <w:r>
              <w:rPr>
                <w:rFonts w:hint="default" w:ascii="Times New Roman" w:hAnsi="Times New Roman"/>
                <w:szCs w:val="21"/>
                <w:highlight w:val="none"/>
                <w:lang w:val="en-US" w:eastAsia="zh-CN"/>
              </w:rPr>
              <w:t>分</w:t>
            </w:r>
            <w:r>
              <w:rPr>
                <w:rFonts w:hint="default" w:ascii="Times New Roman" w:hAnsi="Times New Roman"/>
                <w:szCs w:val="21"/>
                <w:highlight w:val="none"/>
              </w:rPr>
              <w:t>。</w:t>
            </w:r>
          </w:p>
          <w:p w14:paraId="5C219ABF">
            <w:pPr>
              <w:spacing w:line="240" w:lineRule="auto"/>
              <w:ind w:right="0" w:rightChars="0"/>
              <w:jc w:val="both"/>
              <w:rPr>
                <w:rFonts w:hint="default" w:ascii="Times New Roman" w:hAnsi="Times New Roman" w:eastAsia="宋体"/>
                <w:b/>
                <w:bCs/>
                <w:szCs w:val="21"/>
                <w:highlight w:val="none"/>
                <w:lang w:val="en-US" w:eastAsia="zh-CN"/>
              </w:rPr>
            </w:pPr>
            <w:r>
              <w:rPr>
                <w:rFonts w:hint="default" w:ascii="Times New Roman" w:hAnsi="Times New Roman"/>
                <w:b/>
                <w:bCs/>
                <w:szCs w:val="21"/>
                <w:highlight w:val="none"/>
                <w:lang w:val="en-US" w:eastAsia="zh-CN"/>
              </w:rPr>
              <w:t>2、</w:t>
            </w:r>
            <w:r>
              <w:rPr>
                <w:rFonts w:hint="default" w:ascii="Times New Roman" w:hAnsi="Times New Roman"/>
                <w:b/>
                <w:bCs/>
                <w:szCs w:val="21"/>
                <w:highlight w:val="none"/>
              </w:rPr>
              <w:t>企业纳税信用等级</w:t>
            </w:r>
          </w:p>
          <w:p w14:paraId="226B7D24">
            <w:pPr>
              <w:widowControl/>
              <w:spacing w:line="276" w:lineRule="auto"/>
              <w:rPr>
                <w:rFonts w:ascii="Times New Roman" w:hAnsi="Times New Roman" w:cs="Times New Roman"/>
                <w:color w:val="000000"/>
                <w:szCs w:val="21"/>
                <w:highlight w:val="none"/>
              </w:rPr>
            </w:pPr>
            <w:r>
              <w:rPr>
                <w:rFonts w:hint="default" w:ascii="Times New Roman" w:hAnsi="Times New Roman" w:cs="Times New Roman"/>
                <w:color w:val="000000"/>
                <w:szCs w:val="21"/>
                <w:highlight w:val="none"/>
              </w:rPr>
              <w:t>投标人截止2023(含2023)年度，取得“纳税信用A级纳税人”称号的：</w:t>
            </w:r>
          </w:p>
          <w:p w14:paraId="309C05FD">
            <w:pPr>
              <w:widowControl/>
              <w:spacing w:line="276" w:lineRule="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累计获得</w:t>
            </w:r>
            <w:r>
              <w:rPr>
                <w:rFonts w:hint="default" w:ascii="Times New Roman" w:hAnsi="Times New Roman" w:cs="Times New Roman"/>
                <w:color w:val="000000"/>
                <w:szCs w:val="21"/>
                <w:highlight w:val="none"/>
              </w:rPr>
              <w:t>5年或以上的，得</w:t>
            </w:r>
            <w:r>
              <w:rPr>
                <w:rFonts w:hint="default" w:ascii="Times New Roman" w:hAnsi="Times New Roman" w:cs="Times New Roman"/>
                <w:color w:val="000000"/>
                <w:szCs w:val="21"/>
                <w:highlight w:val="none"/>
                <w:lang w:val="en-US" w:eastAsia="zh-CN"/>
              </w:rPr>
              <w:t>3</w:t>
            </w:r>
            <w:r>
              <w:rPr>
                <w:rFonts w:hint="default" w:ascii="Times New Roman" w:hAnsi="Times New Roman" w:cs="Times New Roman"/>
                <w:color w:val="000000"/>
                <w:szCs w:val="21"/>
                <w:highlight w:val="none"/>
              </w:rPr>
              <w:t>分；</w:t>
            </w:r>
          </w:p>
          <w:p w14:paraId="462705AA">
            <w:pPr>
              <w:widowControl/>
              <w:spacing w:line="276" w:lineRule="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累计获得</w:t>
            </w:r>
            <w:r>
              <w:rPr>
                <w:rFonts w:hint="default" w:ascii="Times New Roman" w:hAnsi="Times New Roman" w:cs="Times New Roman"/>
                <w:color w:val="000000"/>
                <w:szCs w:val="21"/>
                <w:highlight w:val="none"/>
              </w:rPr>
              <w:t>3-4年的，得</w:t>
            </w:r>
            <w:r>
              <w:rPr>
                <w:rFonts w:hint="default"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rPr>
              <w:t>分；</w:t>
            </w:r>
          </w:p>
          <w:p w14:paraId="516B46FE">
            <w:pPr>
              <w:widowControl/>
              <w:spacing w:line="276" w:lineRule="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3</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累计获得</w:t>
            </w:r>
            <w:r>
              <w:rPr>
                <w:rFonts w:hint="default" w:ascii="Times New Roman" w:hAnsi="Times New Roman" w:cs="Times New Roman"/>
                <w:color w:val="000000"/>
                <w:szCs w:val="21"/>
                <w:highlight w:val="none"/>
              </w:rPr>
              <w:t>1-2年的，得</w:t>
            </w:r>
            <w:r>
              <w:rPr>
                <w:rFonts w:hint="default"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 xml:space="preserve">分。 </w:t>
            </w:r>
          </w:p>
          <w:p w14:paraId="5DBFB393">
            <w:pPr>
              <w:widowControl/>
              <w:spacing w:line="276" w:lineRule="auto"/>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rPr>
              <w:t>本项最多得</w:t>
            </w:r>
            <w:r>
              <w:rPr>
                <w:rFonts w:hint="default" w:ascii="Times New Roman" w:hAnsi="Times New Roman" w:cs="Times New Roman"/>
                <w:color w:val="000000"/>
                <w:szCs w:val="21"/>
                <w:highlight w:val="none"/>
                <w:lang w:val="en-US" w:eastAsia="zh-CN"/>
              </w:rPr>
              <w:t>3</w:t>
            </w:r>
            <w:r>
              <w:rPr>
                <w:rFonts w:hint="default" w:ascii="Times New Roman" w:hAnsi="Times New Roman" w:cs="Times New Roman"/>
                <w:color w:val="000000"/>
                <w:szCs w:val="21"/>
                <w:highlight w:val="none"/>
              </w:rPr>
              <w:t>分；</w:t>
            </w:r>
          </w:p>
          <w:p w14:paraId="1AB93DDB">
            <w:pPr>
              <w:spacing w:line="240" w:lineRule="auto"/>
              <w:ind w:right="0" w:rightChars="0"/>
              <w:jc w:val="both"/>
              <w:rPr>
                <w:rFonts w:hint="default" w:ascii="Times New Roman" w:hAnsi="Times New Roman"/>
                <w:szCs w:val="21"/>
                <w:highlight w:val="none"/>
              </w:rPr>
            </w:pPr>
            <w:r>
              <w:rPr>
                <w:rFonts w:hint="default" w:ascii="Times New Roman" w:hAnsi="Times New Roman" w:cs="Times New Roman"/>
                <w:color w:val="000000"/>
                <w:szCs w:val="21"/>
                <w:highlight w:val="none"/>
              </w:rPr>
              <w:t>注：A级纳税人须提供企业纳税信用等级证书原件</w:t>
            </w:r>
            <w:r>
              <w:rPr>
                <w:rFonts w:hint="default" w:ascii="Times New Roman" w:hAnsi="Times New Roman" w:cs="Times New Roman"/>
                <w:color w:val="000000"/>
                <w:szCs w:val="21"/>
                <w:highlight w:val="none"/>
                <w:lang w:eastAsia="zh-CN"/>
              </w:rPr>
              <w:t>复印件</w:t>
            </w:r>
            <w:r>
              <w:rPr>
                <w:rFonts w:hint="default" w:ascii="Times New Roman" w:hAnsi="Times New Roman" w:cs="Times New Roman"/>
                <w:color w:val="000000"/>
                <w:szCs w:val="21"/>
                <w:highlight w:val="none"/>
              </w:rPr>
              <w:t>或在“国家税务总局”官网（http://www.chinatax.gov.cn/index.html）（或省级税务局网站）纳税信用信息查询结果网页截图</w:t>
            </w:r>
            <w:r>
              <w:rPr>
                <w:rFonts w:hint="default" w:ascii="Times New Roman" w:hAnsi="Times New Roman" w:cs="Times New Roman"/>
                <w:color w:val="000000"/>
                <w:szCs w:val="21"/>
                <w:highlight w:val="none"/>
                <w:lang w:val="en-US" w:eastAsia="zh-CN"/>
              </w:rPr>
              <w:t>打印件</w:t>
            </w:r>
            <w:r>
              <w:rPr>
                <w:rFonts w:hint="default" w:ascii="Times New Roman" w:hAnsi="Times New Roman" w:cs="Times New Roman"/>
                <w:color w:val="000000"/>
                <w:szCs w:val="21"/>
                <w:highlight w:val="none"/>
              </w:rPr>
              <w:t>。</w:t>
            </w:r>
          </w:p>
        </w:tc>
      </w:tr>
      <w:tr w14:paraId="6EB2C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26" w:hRule="exact"/>
          <w:tblHeader/>
        </w:trPr>
        <w:tc>
          <w:tcPr>
            <w:tcW w:w="648" w:type="dxa"/>
            <w:vAlign w:val="center"/>
          </w:tcPr>
          <w:p w14:paraId="31EEF3AC">
            <w:pPr>
              <w:spacing w:line="240" w:lineRule="auto"/>
              <w:jc w:val="center"/>
              <w:rPr>
                <w:rFonts w:ascii="宋体" w:hAnsi="宋体"/>
                <w:szCs w:val="21"/>
                <w:highlight w:val="none"/>
              </w:rPr>
            </w:pPr>
            <w:r>
              <w:rPr>
                <w:rFonts w:hint="eastAsia" w:ascii="宋体" w:hAnsi="宋体"/>
                <w:szCs w:val="21"/>
                <w:highlight w:val="none"/>
              </w:rPr>
              <w:t>4</w:t>
            </w:r>
          </w:p>
          <w:p w14:paraId="1D746300">
            <w:pPr>
              <w:spacing w:line="240" w:lineRule="auto"/>
              <w:jc w:val="center"/>
              <w:rPr>
                <w:rFonts w:ascii="宋体" w:hAnsi="宋体"/>
                <w:szCs w:val="21"/>
                <w:highlight w:val="none"/>
              </w:rPr>
            </w:pPr>
          </w:p>
        </w:tc>
        <w:tc>
          <w:tcPr>
            <w:tcW w:w="1775" w:type="dxa"/>
            <w:vAlign w:val="center"/>
          </w:tcPr>
          <w:p w14:paraId="67DB1D6D">
            <w:pPr>
              <w:spacing w:line="240" w:lineRule="auto"/>
              <w:jc w:val="center"/>
              <w:rPr>
                <w:rFonts w:ascii="宋体" w:hAnsi="宋体"/>
                <w:szCs w:val="21"/>
                <w:highlight w:val="none"/>
              </w:rPr>
            </w:pPr>
            <w:r>
              <w:rPr>
                <w:rFonts w:hint="eastAsia" w:ascii="宋体" w:hAnsi="宋体"/>
                <w:szCs w:val="21"/>
                <w:highlight w:val="none"/>
              </w:rPr>
              <w:t>项目管理人员配备</w:t>
            </w:r>
          </w:p>
        </w:tc>
        <w:tc>
          <w:tcPr>
            <w:tcW w:w="913" w:type="dxa"/>
            <w:vAlign w:val="center"/>
          </w:tcPr>
          <w:p w14:paraId="21DD756A">
            <w:pPr>
              <w:spacing w:line="240" w:lineRule="auto"/>
              <w:jc w:val="center"/>
              <w:rPr>
                <w:rFonts w:hint="default" w:ascii="Times New Roman" w:hAnsi="Times New Roman" w:eastAsia="宋体"/>
                <w:szCs w:val="21"/>
                <w:highlight w:val="none"/>
                <w:lang w:val="en-US" w:eastAsia="zh-CN"/>
              </w:rPr>
            </w:pPr>
            <w:r>
              <w:rPr>
                <w:rFonts w:hint="default" w:ascii="Times New Roman" w:hAnsi="Times New Roman"/>
                <w:szCs w:val="21"/>
                <w:highlight w:val="none"/>
                <w:lang w:val="en-US" w:eastAsia="zh-CN"/>
              </w:rPr>
              <w:t>6</w:t>
            </w:r>
          </w:p>
        </w:tc>
        <w:tc>
          <w:tcPr>
            <w:tcW w:w="6270" w:type="dxa"/>
            <w:vAlign w:val="center"/>
          </w:tcPr>
          <w:p w14:paraId="4F716574">
            <w:pPr>
              <w:widowControl/>
              <w:jc w:val="left"/>
              <w:textAlignment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lang w:val="en-US" w:eastAsia="zh-CN"/>
              </w:rPr>
              <w:t>1、</w:t>
            </w:r>
            <w:r>
              <w:rPr>
                <w:rFonts w:hint="default" w:ascii="Times New Roman" w:hAnsi="Times New Roman" w:eastAsia="宋体" w:cs="Times New Roman"/>
                <w:b/>
                <w:bCs/>
                <w:kern w:val="0"/>
                <w:szCs w:val="21"/>
                <w:highlight w:val="none"/>
              </w:rPr>
              <w:t>总监理工程师资质</w:t>
            </w:r>
          </w:p>
          <w:p w14:paraId="67ACE23C">
            <w:pPr>
              <w:widowControl/>
              <w:jc w:val="left"/>
              <w:textAlignment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满足公告要求，能胜任总监工作要求：</w:t>
            </w:r>
          </w:p>
          <w:p w14:paraId="036EFF5C">
            <w:pPr>
              <w:widowControl/>
              <w:jc w:val="left"/>
              <w:textAlignment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（1）具有建筑工程类</w:t>
            </w:r>
            <w:bookmarkStart w:id="11" w:name="OLE_LINK1"/>
            <w:r>
              <w:rPr>
                <w:rFonts w:hint="default" w:ascii="Times New Roman" w:hAnsi="Times New Roman" w:eastAsia="宋体" w:cs="Times New Roman"/>
                <w:kern w:val="0"/>
                <w:szCs w:val="21"/>
                <w:highlight w:val="none"/>
                <w:lang w:val="en-US" w:eastAsia="zh-CN"/>
              </w:rPr>
              <w:t>相关</w:t>
            </w:r>
            <w:bookmarkEnd w:id="11"/>
            <w:r>
              <w:rPr>
                <w:rFonts w:hint="default" w:ascii="Times New Roman" w:hAnsi="Times New Roman" w:eastAsia="宋体" w:cs="Times New Roman"/>
                <w:kern w:val="0"/>
                <w:szCs w:val="21"/>
                <w:highlight w:val="none"/>
                <w:lang w:val="en-US" w:eastAsia="zh-CN"/>
              </w:rPr>
              <w:t>专业高级工程师</w:t>
            </w:r>
            <w:r>
              <w:rPr>
                <w:rFonts w:hint="default" w:ascii="Times New Roman" w:hAnsi="Times New Roman" w:cs="Times New Roman"/>
                <w:kern w:val="0"/>
                <w:szCs w:val="21"/>
                <w:highlight w:val="none"/>
                <w:lang w:val="en-US" w:eastAsia="zh-CN"/>
              </w:rPr>
              <w:t>（</w:t>
            </w:r>
            <w:r>
              <w:rPr>
                <w:rFonts w:hint="default" w:ascii="Times New Roman" w:hAnsi="Times New Roman" w:eastAsia="宋体" w:cs="Times New Roman"/>
                <w:kern w:val="0"/>
                <w:szCs w:val="21"/>
                <w:highlight w:val="none"/>
                <w:lang w:val="en-US" w:eastAsia="zh-CN"/>
              </w:rPr>
              <w:t>或以上</w:t>
            </w:r>
            <w:r>
              <w:rPr>
                <w:rFonts w:hint="default" w:ascii="Times New Roman" w:hAnsi="Times New Roman" w:cs="Times New Roman"/>
                <w:kern w:val="0"/>
                <w:szCs w:val="21"/>
                <w:highlight w:val="none"/>
                <w:lang w:val="en-US" w:eastAsia="zh-CN"/>
              </w:rPr>
              <w:t>）</w:t>
            </w:r>
            <w:r>
              <w:rPr>
                <w:rFonts w:hint="default" w:ascii="Times New Roman" w:hAnsi="Times New Roman" w:eastAsia="宋体" w:cs="Times New Roman"/>
                <w:kern w:val="0"/>
                <w:szCs w:val="21"/>
                <w:highlight w:val="none"/>
                <w:lang w:val="en-US" w:eastAsia="zh-CN"/>
              </w:rPr>
              <w:t>职称的得</w:t>
            </w:r>
            <w:r>
              <w:rPr>
                <w:rFonts w:hint="default" w:ascii="Times New Roman" w:hAnsi="Times New Roman" w:cs="Times New Roman"/>
                <w:kern w:val="0"/>
                <w:szCs w:val="21"/>
                <w:highlight w:val="none"/>
                <w:lang w:val="en-US" w:eastAsia="zh-CN"/>
              </w:rPr>
              <w:t>2</w:t>
            </w:r>
            <w:r>
              <w:rPr>
                <w:rFonts w:hint="default" w:ascii="Times New Roman" w:hAnsi="Times New Roman" w:eastAsia="宋体" w:cs="Times New Roman"/>
                <w:kern w:val="0"/>
                <w:szCs w:val="21"/>
                <w:highlight w:val="none"/>
                <w:lang w:val="en-US" w:eastAsia="zh-CN"/>
              </w:rPr>
              <w:t>分，具有建筑工程类相关专业</w:t>
            </w:r>
            <w:r>
              <w:rPr>
                <w:rFonts w:hint="default" w:ascii="Times New Roman" w:hAnsi="Times New Roman" w:cs="Times New Roman"/>
                <w:kern w:val="0"/>
                <w:szCs w:val="21"/>
                <w:highlight w:val="none"/>
                <w:lang w:val="en-US" w:eastAsia="zh-CN"/>
              </w:rPr>
              <w:t>中级</w:t>
            </w:r>
            <w:r>
              <w:rPr>
                <w:rFonts w:hint="default" w:ascii="Times New Roman" w:hAnsi="Times New Roman" w:eastAsia="宋体" w:cs="Times New Roman"/>
                <w:kern w:val="0"/>
                <w:szCs w:val="21"/>
                <w:highlight w:val="none"/>
                <w:lang w:val="en-US" w:eastAsia="zh-CN"/>
              </w:rPr>
              <w:t>工程师职称的得</w:t>
            </w:r>
            <w:r>
              <w:rPr>
                <w:rFonts w:hint="default" w:ascii="Times New Roman" w:hAnsi="Times New Roman" w:cs="Times New Roman"/>
                <w:kern w:val="0"/>
                <w:szCs w:val="21"/>
                <w:highlight w:val="none"/>
                <w:lang w:val="en-US" w:eastAsia="zh-CN"/>
              </w:rPr>
              <w:t>1</w:t>
            </w:r>
            <w:r>
              <w:rPr>
                <w:rFonts w:hint="default" w:ascii="Times New Roman" w:hAnsi="Times New Roman" w:eastAsia="宋体" w:cs="Times New Roman"/>
                <w:kern w:val="0"/>
                <w:szCs w:val="21"/>
                <w:highlight w:val="none"/>
                <w:lang w:val="en-US" w:eastAsia="zh-CN"/>
              </w:rPr>
              <w:t>分；</w:t>
            </w:r>
          </w:p>
          <w:p w14:paraId="789E2648">
            <w:pPr>
              <w:widowControl/>
              <w:jc w:val="left"/>
              <w:textAlignment w:val="center"/>
              <w:rPr>
                <w:rFonts w:hint="default"/>
                <w:highlight w:val="none"/>
                <w:lang w:val="en-US" w:eastAsia="zh-CN"/>
              </w:rPr>
            </w:pPr>
            <w:r>
              <w:rPr>
                <w:rFonts w:hint="default" w:ascii="Times New Roman" w:hAnsi="Times New Roman" w:eastAsia="宋体" w:cs="Times New Roman"/>
                <w:kern w:val="0"/>
                <w:szCs w:val="21"/>
                <w:highlight w:val="none"/>
                <w:lang w:val="en-US" w:eastAsia="zh-CN"/>
              </w:rPr>
              <w:t>（2）自202</w:t>
            </w:r>
            <w:r>
              <w:rPr>
                <w:rFonts w:hint="default" w:ascii="Times New Roman" w:hAnsi="Times New Roman" w:cs="Times New Roman"/>
                <w:kern w:val="0"/>
                <w:szCs w:val="21"/>
                <w:highlight w:val="none"/>
                <w:lang w:val="en-US" w:eastAsia="zh-CN"/>
              </w:rPr>
              <w:t>1</w:t>
            </w:r>
            <w:r>
              <w:rPr>
                <w:rFonts w:hint="default" w:ascii="Times New Roman" w:hAnsi="Times New Roman" w:eastAsia="宋体" w:cs="Times New Roman"/>
                <w:kern w:val="0"/>
                <w:szCs w:val="21"/>
                <w:highlight w:val="none"/>
                <w:lang w:val="en-US" w:eastAsia="zh-CN"/>
              </w:rPr>
              <w:t>年1月1日至投标截止时间，以总监理工程师身份参与完成过质量合格且</w:t>
            </w:r>
            <w:r>
              <w:rPr>
                <w:rFonts w:hint="default" w:hAnsi="Times New Roman" w:eastAsia="Times New Roman"/>
                <w:b/>
                <w:bCs/>
                <w:sz w:val="21"/>
                <w:szCs w:val="21"/>
                <w:highlight w:val="none"/>
                <w:lang w:val="en-US" w:eastAsia="zh-CN"/>
              </w:rPr>
              <w:t>建安费</w:t>
            </w:r>
            <w:r>
              <w:rPr>
                <w:rFonts w:hint="default" w:ascii="Times New Roman" w:hAnsi="Times New Roman" w:eastAsia="Times New Roman"/>
                <w:sz w:val="21"/>
                <w:szCs w:val="21"/>
                <w:highlight w:val="none"/>
                <w:lang w:eastAsia="zh-CN"/>
              </w:rPr>
              <w:t>≥</w:t>
            </w:r>
            <w:r>
              <w:rPr>
                <w:rFonts w:hint="default" w:hAnsi="Times New Roman" w:eastAsia="Times New Roman"/>
                <w:sz w:val="21"/>
                <w:szCs w:val="21"/>
                <w:highlight w:val="none"/>
                <w:lang w:val="en-US" w:eastAsia="zh-CN"/>
              </w:rPr>
              <w:t>9500</w:t>
            </w:r>
            <w:r>
              <w:rPr>
                <w:rFonts w:hint="default" w:ascii="Times New Roman" w:hAnsi="Times New Roman" w:eastAsia="Times New Roman"/>
                <w:sz w:val="21"/>
                <w:szCs w:val="21"/>
                <w:highlight w:val="none"/>
                <w:lang w:eastAsia="zh-CN"/>
              </w:rPr>
              <w:t>万元</w:t>
            </w:r>
            <w:r>
              <w:rPr>
                <w:rFonts w:hint="default" w:ascii="Times New Roman" w:hAnsi="Times New Roman" w:eastAsia="宋体" w:cs="Times New Roman"/>
                <w:kern w:val="0"/>
                <w:szCs w:val="21"/>
                <w:highlight w:val="none"/>
                <w:lang w:val="en-US" w:eastAsia="zh-CN"/>
              </w:rPr>
              <w:t>的房屋建筑工程监理项目，得</w:t>
            </w:r>
            <w:r>
              <w:rPr>
                <w:rFonts w:hint="default" w:ascii="Times New Roman" w:hAnsi="Times New Roman" w:cs="Times New Roman"/>
                <w:kern w:val="0"/>
                <w:szCs w:val="21"/>
                <w:highlight w:val="none"/>
                <w:lang w:val="en-US" w:eastAsia="zh-CN"/>
              </w:rPr>
              <w:t>1</w:t>
            </w:r>
            <w:r>
              <w:rPr>
                <w:rFonts w:hint="default" w:ascii="Times New Roman" w:hAnsi="Times New Roman" w:eastAsia="宋体" w:cs="Times New Roman"/>
                <w:kern w:val="0"/>
                <w:szCs w:val="21"/>
                <w:highlight w:val="none"/>
                <w:lang w:val="en-US" w:eastAsia="zh-CN"/>
              </w:rPr>
              <w:t>分。</w:t>
            </w:r>
          </w:p>
          <w:p w14:paraId="45EE81E9">
            <w:pPr>
              <w:widowControl/>
              <w:jc w:val="left"/>
              <w:textAlignment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本项合计最高得</w:t>
            </w:r>
            <w:r>
              <w:rPr>
                <w:rFonts w:hint="default" w:ascii="Times New Roman" w:hAnsi="Times New Roman" w:cs="Times New Roman"/>
                <w:kern w:val="0"/>
                <w:szCs w:val="21"/>
                <w:highlight w:val="none"/>
                <w:lang w:val="en-US" w:eastAsia="zh-CN"/>
              </w:rPr>
              <w:t>3</w:t>
            </w:r>
            <w:r>
              <w:rPr>
                <w:rFonts w:hint="default" w:ascii="Times New Roman" w:hAnsi="Times New Roman" w:eastAsia="宋体" w:cs="Times New Roman"/>
                <w:kern w:val="0"/>
                <w:szCs w:val="21"/>
                <w:highlight w:val="none"/>
                <w:lang w:val="en-US" w:eastAsia="zh-CN"/>
              </w:rPr>
              <w:t>分。</w:t>
            </w:r>
          </w:p>
          <w:p w14:paraId="55E26359">
            <w:pPr>
              <w:widowControl/>
              <w:jc w:val="left"/>
              <w:textAlignment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b/>
                <w:bCs/>
                <w:kern w:val="0"/>
                <w:szCs w:val="21"/>
                <w:highlight w:val="none"/>
                <w:lang w:val="en-US" w:eastAsia="zh-CN"/>
              </w:rPr>
              <w:t>2</w:t>
            </w:r>
            <w:r>
              <w:rPr>
                <w:rFonts w:hint="default" w:ascii="Times New Roman" w:hAnsi="Times New Roman" w:eastAsia="宋体" w:cs="Times New Roman"/>
                <w:b/>
                <w:bCs/>
                <w:kern w:val="0"/>
                <w:szCs w:val="21"/>
                <w:highlight w:val="none"/>
              </w:rPr>
              <w:t>、</w:t>
            </w:r>
            <w:r>
              <w:rPr>
                <w:rFonts w:hint="default" w:ascii="Times New Roman" w:hAnsi="Times New Roman" w:eastAsia="宋体" w:cs="Times New Roman"/>
                <w:kern w:val="0"/>
                <w:szCs w:val="21"/>
                <w:highlight w:val="none"/>
              </w:rPr>
              <w:t>监理</w:t>
            </w:r>
            <w:r>
              <w:rPr>
                <w:rFonts w:hint="default" w:ascii="Times New Roman" w:hAnsi="Times New Roman" w:cs="Times New Roman"/>
                <w:kern w:val="0"/>
                <w:szCs w:val="21"/>
                <w:highlight w:val="none"/>
                <w:lang w:val="en-US" w:eastAsia="zh-CN"/>
              </w:rPr>
              <w:t>机构</w:t>
            </w:r>
            <w:r>
              <w:rPr>
                <w:rFonts w:hint="default" w:ascii="Times New Roman" w:hAnsi="Times New Roman" w:eastAsia="宋体" w:cs="Times New Roman"/>
                <w:kern w:val="0"/>
                <w:szCs w:val="21"/>
                <w:highlight w:val="none"/>
              </w:rPr>
              <w:t>配备人员中（总监理工程师</w:t>
            </w:r>
            <w:r>
              <w:rPr>
                <w:rFonts w:hint="default"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lang w:val="en-US" w:eastAsia="zh-CN"/>
              </w:rPr>
              <w:t>总监理工程师代表</w:t>
            </w:r>
            <w:r>
              <w:rPr>
                <w:rFonts w:hint="default" w:ascii="Times New Roman" w:hAnsi="Times New Roman" w:eastAsia="宋体" w:cs="Times New Roman"/>
                <w:kern w:val="0"/>
                <w:szCs w:val="21"/>
                <w:highlight w:val="none"/>
              </w:rPr>
              <w:t>除外）：</w:t>
            </w:r>
          </w:p>
          <w:p w14:paraId="63679C73">
            <w:pPr>
              <w:widowControl/>
              <w:spacing w:line="240" w:lineRule="auto"/>
              <w:ind w:right="0" w:rightChars="0"/>
              <w:jc w:val="left"/>
              <w:textAlignment w:val="center"/>
              <w:rPr>
                <w:rFonts w:hint="eastAsia"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拟派专业监理工程师</w:t>
            </w:r>
            <w:r>
              <w:rPr>
                <w:rFonts w:hint="default" w:ascii="Times New Roman" w:hAnsi="Times New Roman" w:eastAsia="宋体" w:cs="Times New Roman"/>
                <w:kern w:val="0"/>
                <w:szCs w:val="21"/>
                <w:highlight w:val="none"/>
              </w:rPr>
              <w:t>和造价工程师</w:t>
            </w:r>
            <w:r>
              <w:rPr>
                <w:rFonts w:hint="default" w:ascii="Times New Roman" w:hAnsi="Times New Roman" w:eastAsia="宋体" w:cs="Times New Roman"/>
                <w:kern w:val="0"/>
                <w:szCs w:val="21"/>
                <w:highlight w:val="none"/>
              </w:rPr>
              <w:t>中</w:t>
            </w:r>
            <w:r>
              <w:rPr>
                <w:rFonts w:hint="default"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每具有一名</w:t>
            </w:r>
            <w:r>
              <w:rPr>
                <w:rFonts w:hint="default" w:ascii="Times New Roman" w:hAnsi="Times New Roman" w:eastAsia="宋体" w:cs="Times New Roman"/>
                <w:kern w:val="0"/>
                <w:szCs w:val="21"/>
                <w:highlight w:val="none"/>
                <w:lang w:val="en-US" w:eastAsia="zh-CN"/>
              </w:rPr>
              <w:t>建筑</w:t>
            </w:r>
            <w:r>
              <w:rPr>
                <w:rFonts w:hint="default" w:ascii="Times New Roman" w:hAnsi="Times New Roman" w:eastAsia="宋体" w:cs="Times New Roman"/>
                <w:kern w:val="0"/>
                <w:szCs w:val="21"/>
                <w:highlight w:val="none"/>
              </w:rPr>
              <w:t>工程类</w:t>
            </w:r>
            <w:r>
              <w:rPr>
                <w:rFonts w:hint="default" w:ascii="Times New Roman" w:hAnsi="Times New Roman" w:eastAsia="宋体" w:cs="Times New Roman"/>
                <w:kern w:val="0"/>
                <w:szCs w:val="21"/>
                <w:highlight w:val="none"/>
                <w:lang w:val="en-US" w:eastAsia="zh-CN"/>
              </w:rPr>
              <w:t>相关</w:t>
            </w:r>
            <w:r>
              <w:rPr>
                <w:rFonts w:hint="default" w:ascii="Times New Roman" w:hAnsi="Times New Roman" w:eastAsia="宋体" w:cs="Times New Roman"/>
                <w:kern w:val="0"/>
                <w:szCs w:val="21"/>
                <w:highlight w:val="none"/>
              </w:rPr>
              <w:t>专业高级工程师</w:t>
            </w:r>
            <w:r>
              <w:rPr>
                <w:rFonts w:hint="default"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或以上</w:t>
            </w:r>
            <w:r>
              <w:rPr>
                <w:rFonts w:hint="default"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职称的</w:t>
            </w:r>
            <w:r>
              <w:rPr>
                <w:rFonts w:hint="default" w:ascii="Times New Roman" w:hAnsi="Times New Roman" w:eastAsia="宋体" w:cs="Times New Roman"/>
                <w:kern w:val="0"/>
                <w:szCs w:val="21"/>
                <w:highlight w:val="none"/>
                <w:lang w:val="en-US" w:eastAsia="zh-CN"/>
              </w:rPr>
              <w:t>得</w:t>
            </w:r>
            <w:r>
              <w:rPr>
                <w:rFonts w:hint="default" w:ascii="Times New Roman" w:hAnsi="Times New Roman" w:cs="Times New Roman"/>
                <w:kern w:val="0"/>
                <w:szCs w:val="21"/>
                <w:highlight w:val="none"/>
                <w:lang w:val="en-US" w:eastAsia="zh-CN"/>
              </w:rPr>
              <w:t>1</w:t>
            </w:r>
            <w:r>
              <w:rPr>
                <w:rFonts w:hint="default" w:ascii="Times New Roman" w:hAnsi="Times New Roman" w:eastAsia="宋体" w:cs="Times New Roman"/>
                <w:kern w:val="0"/>
                <w:szCs w:val="21"/>
                <w:highlight w:val="none"/>
              </w:rPr>
              <w:t>分，</w:t>
            </w:r>
            <w:r>
              <w:rPr>
                <w:rFonts w:hint="default" w:ascii="Times New Roman" w:hAnsi="Times New Roman" w:eastAsia="宋体" w:cs="Times New Roman"/>
                <w:kern w:val="0"/>
                <w:szCs w:val="21"/>
                <w:highlight w:val="none"/>
                <w:lang w:val="en-US" w:eastAsia="zh-CN"/>
              </w:rPr>
              <w:t>最多得3分。</w:t>
            </w:r>
            <w:r>
              <w:rPr>
                <w:rFonts w:hint="default" w:ascii="Times New Roman" w:hAnsi="Times New Roman" w:eastAsia="宋体" w:cs="Times New Roman"/>
                <w:kern w:val="0"/>
                <w:szCs w:val="21"/>
                <w:highlight w:val="none"/>
              </w:rPr>
              <w:t>每具有一名</w:t>
            </w:r>
            <w:r>
              <w:rPr>
                <w:rFonts w:hint="default" w:ascii="Times New Roman" w:hAnsi="Times New Roman" w:eastAsia="宋体" w:cs="Times New Roman"/>
                <w:kern w:val="0"/>
                <w:szCs w:val="21"/>
                <w:highlight w:val="none"/>
                <w:lang w:val="en-US" w:eastAsia="zh-CN"/>
              </w:rPr>
              <w:t>建筑</w:t>
            </w:r>
            <w:r>
              <w:rPr>
                <w:rFonts w:hint="default" w:ascii="Times New Roman" w:hAnsi="Times New Roman" w:eastAsia="宋体" w:cs="Times New Roman"/>
                <w:kern w:val="0"/>
                <w:szCs w:val="21"/>
                <w:highlight w:val="none"/>
              </w:rPr>
              <w:t>工程类</w:t>
            </w:r>
            <w:r>
              <w:rPr>
                <w:rFonts w:hint="default" w:ascii="Times New Roman" w:hAnsi="Times New Roman" w:eastAsia="宋体" w:cs="Times New Roman"/>
                <w:kern w:val="0"/>
                <w:szCs w:val="21"/>
                <w:highlight w:val="none"/>
                <w:lang w:val="en-US" w:eastAsia="zh-CN"/>
              </w:rPr>
              <w:t>相关</w:t>
            </w:r>
            <w:r>
              <w:rPr>
                <w:rFonts w:hint="default" w:ascii="Times New Roman" w:hAnsi="Times New Roman" w:eastAsia="宋体" w:cs="Times New Roman"/>
                <w:kern w:val="0"/>
                <w:szCs w:val="21"/>
                <w:highlight w:val="none"/>
              </w:rPr>
              <w:t>专业</w:t>
            </w:r>
            <w:r>
              <w:rPr>
                <w:rFonts w:hint="default" w:ascii="Times New Roman" w:hAnsi="Times New Roman" w:eastAsia="宋体" w:cs="Times New Roman"/>
                <w:kern w:val="0"/>
                <w:szCs w:val="21"/>
                <w:highlight w:val="none"/>
                <w:lang w:val="en-US" w:eastAsia="zh-CN"/>
              </w:rPr>
              <w:t>中</w:t>
            </w:r>
            <w:r>
              <w:rPr>
                <w:rFonts w:hint="default" w:ascii="Times New Roman" w:hAnsi="Times New Roman" w:eastAsia="宋体" w:cs="Times New Roman"/>
                <w:kern w:val="0"/>
                <w:szCs w:val="21"/>
                <w:highlight w:val="none"/>
              </w:rPr>
              <w:t>级工程师职称的</w:t>
            </w:r>
            <w:r>
              <w:rPr>
                <w:rFonts w:hint="default" w:ascii="Times New Roman" w:hAnsi="Times New Roman" w:eastAsia="宋体" w:cs="Times New Roman"/>
                <w:kern w:val="0"/>
                <w:szCs w:val="21"/>
                <w:highlight w:val="none"/>
                <w:lang w:val="en-US" w:eastAsia="zh-CN"/>
              </w:rPr>
              <w:t>得</w:t>
            </w:r>
            <w:r>
              <w:rPr>
                <w:rFonts w:hint="default" w:ascii="Times New Roman" w:hAnsi="Times New Roman" w:cs="Times New Roman"/>
                <w:kern w:val="0"/>
                <w:szCs w:val="21"/>
                <w:highlight w:val="none"/>
                <w:lang w:val="en-US" w:eastAsia="zh-CN"/>
              </w:rPr>
              <w:t>0.5</w:t>
            </w:r>
            <w:r>
              <w:rPr>
                <w:rFonts w:hint="default" w:ascii="Times New Roman" w:hAnsi="Times New Roman" w:eastAsia="宋体" w:cs="Times New Roman"/>
                <w:kern w:val="0"/>
                <w:szCs w:val="21"/>
                <w:highlight w:val="none"/>
              </w:rPr>
              <w:t>分，最多</w:t>
            </w:r>
            <w:r>
              <w:rPr>
                <w:rFonts w:hint="default" w:ascii="Times New Roman" w:hAnsi="Times New Roman" w:eastAsia="宋体" w:cs="Times New Roman"/>
                <w:kern w:val="0"/>
                <w:szCs w:val="21"/>
                <w:highlight w:val="none"/>
                <w:lang w:val="en-US" w:eastAsia="zh-CN"/>
              </w:rPr>
              <w:t>得</w:t>
            </w:r>
            <w:r>
              <w:rPr>
                <w:rFonts w:hint="default" w:ascii="Times New Roman" w:hAnsi="Times New Roman" w:cs="Times New Roman"/>
                <w:kern w:val="0"/>
                <w:szCs w:val="21"/>
                <w:highlight w:val="none"/>
                <w:lang w:val="en-US" w:eastAsia="zh-CN"/>
              </w:rPr>
              <w:t>1</w:t>
            </w:r>
            <w:r>
              <w:rPr>
                <w:rFonts w:hint="default" w:ascii="Times New Roman" w:hAnsi="Times New Roman" w:eastAsia="宋体" w:cs="Times New Roman"/>
                <w:kern w:val="0"/>
                <w:szCs w:val="21"/>
                <w:highlight w:val="none"/>
              </w:rPr>
              <w:t>分。本小项最高得3分</w:t>
            </w:r>
            <w:r>
              <w:rPr>
                <w:rFonts w:hint="eastAsia" w:ascii="Times New Roman" w:hAnsi="Times New Roman" w:cs="Times New Roman"/>
                <w:kern w:val="0"/>
                <w:szCs w:val="21"/>
                <w:highlight w:val="none"/>
                <w:lang w:eastAsia="zh-CN"/>
              </w:rPr>
              <w:t>。</w:t>
            </w:r>
          </w:p>
        </w:tc>
      </w:tr>
      <w:tr w14:paraId="3FA81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exact"/>
          <w:tblHeader/>
        </w:trPr>
        <w:tc>
          <w:tcPr>
            <w:tcW w:w="648" w:type="dxa"/>
            <w:vAlign w:val="center"/>
          </w:tcPr>
          <w:p w14:paraId="5815EF04">
            <w:pPr>
              <w:spacing w:line="240" w:lineRule="auto"/>
              <w:jc w:val="center"/>
              <w:rPr>
                <w:rFonts w:ascii="宋体" w:hAnsi="宋体"/>
                <w:szCs w:val="21"/>
                <w:highlight w:val="none"/>
              </w:rPr>
            </w:pPr>
            <w:r>
              <w:rPr>
                <w:rFonts w:hint="eastAsia" w:ascii="宋体" w:hAnsi="宋体"/>
                <w:szCs w:val="21"/>
                <w:highlight w:val="none"/>
              </w:rPr>
              <w:t>5</w:t>
            </w:r>
          </w:p>
        </w:tc>
        <w:tc>
          <w:tcPr>
            <w:tcW w:w="1775" w:type="dxa"/>
            <w:vAlign w:val="center"/>
          </w:tcPr>
          <w:p w14:paraId="18A8D6CD">
            <w:pPr>
              <w:spacing w:line="240" w:lineRule="auto"/>
              <w:jc w:val="center"/>
              <w:rPr>
                <w:rFonts w:ascii="宋体" w:hAnsi="宋体"/>
                <w:szCs w:val="21"/>
                <w:highlight w:val="none"/>
              </w:rPr>
            </w:pPr>
            <w:r>
              <w:rPr>
                <w:rFonts w:hint="eastAsia" w:ascii="宋体" w:hAnsi="宋体"/>
                <w:szCs w:val="21"/>
                <w:highlight w:val="none"/>
              </w:rPr>
              <w:t>企业资质</w:t>
            </w:r>
          </w:p>
        </w:tc>
        <w:tc>
          <w:tcPr>
            <w:tcW w:w="913" w:type="dxa"/>
            <w:vAlign w:val="center"/>
          </w:tcPr>
          <w:p w14:paraId="68A7242D">
            <w:pPr>
              <w:spacing w:line="240" w:lineRule="auto"/>
              <w:jc w:val="center"/>
              <w:rPr>
                <w:rFonts w:ascii="宋体" w:hAnsi="宋体"/>
                <w:szCs w:val="21"/>
                <w:highlight w:val="none"/>
              </w:rPr>
            </w:pPr>
          </w:p>
        </w:tc>
        <w:tc>
          <w:tcPr>
            <w:tcW w:w="6270" w:type="dxa"/>
            <w:vAlign w:val="center"/>
          </w:tcPr>
          <w:p w14:paraId="5EE9BF87">
            <w:pPr>
              <w:spacing w:line="240" w:lineRule="auto"/>
              <w:ind w:right="0" w:rightChars="0"/>
              <w:jc w:val="both"/>
              <w:rPr>
                <w:rFonts w:hint="eastAsia" w:ascii="宋体" w:hAnsi="宋体" w:eastAsia="宋体"/>
                <w:szCs w:val="21"/>
                <w:highlight w:val="none"/>
                <w:lang w:eastAsia="zh-CN"/>
              </w:rPr>
            </w:pPr>
            <w:r>
              <w:rPr>
                <w:rFonts w:hint="eastAsia" w:ascii="宋体" w:hAnsi="宋体"/>
                <w:szCs w:val="21"/>
                <w:highlight w:val="none"/>
                <w:lang w:val="en-US" w:eastAsia="zh-CN"/>
              </w:rPr>
              <w:t>/</w:t>
            </w:r>
          </w:p>
        </w:tc>
      </w:tr>
    </w:tbl>
    <w:p w14:paraId="208F7308">
      <w:pPr>
        <w:snapToGrid w:val="0"/>
        <w:spacing w:line="400" w:lineRule="exact"/>
        <w:rPr>
          <w:rFonts w:ascii="宋体"/>
          <w:b/>
          <w:bCs/>
          <w:sz w:val="24"/>
          <w:szCs w:val="24"/>
          <w:highlight w:val="none"/>
        </w:rPr>
      </w:pPr>
      <w:r>
        <w:rPr>
          <w:rFonts w:hint="eastAsia" w:ascii="宋体"/>
          <w:b/>
          <w:bCs/>
          <w:sz w:val="24"/>
          <w:szCs w:val="24"/>
          <w:highlight w:val="none"/>
        </w:rPr>
        <w:t>说明：</w:t>
      </w:r>
    </w:p>
    <w:p w14:paraId="33A9D28B">
      <w:pPr>
        <w:snapToGrid w:val="0"/>
        <w:spacing w:line="400" w:lineRule="exact"/>
        <w:rPr>
          <w:rFonts w:hint="eastAsia" w:ascii="宋体"/>
          <w:sz w:val="21"/>
          <w:szCs w:val="21"/>
          <w:highlight w:val="none"/>
        </w:rPr>
      </w:pPr>
      <w:r>
        <w:rPr>
          <w:rFonts w:hint="eastAsia" w:ascii="宋体"/>
          <w:sz w:val="21"/>
          <w:szCs w:val="21"/>
          <w:highlight w:val="none"/>
          <w:lang w:val="en-US" w:eastAsia="zh-CN"/>
        </w:rPr>
        <w:t>1</w:t>
      </w:r>
      <w:r>
        <w:rPr>
          <w:rFonts w:hint="eastAsia" w:ascii="宋体"/>
          <w:sz w:val="21"/>
          <w:szCs w:val="21"/>
          <w:highlight w:val="none"/>
        </w:rPr>
        <w:t>、企业类似业绩：需同时提供施工监理合同、竣工验收报告或竣工验收证明的清晰</w:t>
      </w:r>
      <w:r>
        <w:rPr>
          <w:rFonts w:hint="eastAsia" w:ascii="宋体"/>
          <w:sz w:val="21"/>
          <w:szCs w:val="21"/>
          <w:highlight w:val="none"/>
          <w:lang w:val="en-US" w:eastAsia="zh-CN"/>
        </w:rPr>
        <w:t>复印件</w:t>
      </w:r>
      <w:r>
        <w:rPr>
          <w:rFonts w:hint="eastAsia" w:ascii="宋体"/>
          <w:sz w:val="21"/>
          <w:szCs w:val="21"/>
          <w:highlight w:val="none"/>
        </w:rPr>
        <w:t>并加盖投标人</w:t>
      </w:r>
      <w:r>
        <w:rPr>
          <w:rFonts w:hint="eastAsia" w:ascii="宋体"/>
          <w:sz w:val="21"/>
          <w:szCs w:val="21"/>
          <w:highlight w:val="none"/>
          <w:lang w:val="en-US" w:eastAsia="zh-CN"/>
        </w:rPr>
        <w:t>公章</w:t>
      </w:r>
      <w:r>
        <w:rPr>
          <w:rFonts w:hint="eastAsia" w:ascii="宋体"/>
          <w:sz w:val="21"/>
          <w:szCs w:val="21"/>
          <w:highlight w:val="none"/>
        </w:rPr>
        <w:t>，</w:t>
      </w:r>
      <w:r>
        <w:rPr>
          <w:rFonts w:hint="eastAsia" w:ascii="宋体"/>
          <w:b/>
          <w:bCs/>
          <w:sz w:val="21"/>
          <w:szCs w:val="21"/>
          <w:highlight w:val="none"/>
        </w:rPr>
        <w:t>业绩时间</w:t>
      </w:r>
      <w:r>
        <w:rPr>
          <w:rFonts w:hint="eastAsia" w:ascii="宋体"/>
          <w:sz w:val="21"/>
          <w:szCs w:val="21"/>
          <w:highlight w:val="none"/>
        </w:rPr>
        <w:t>以竣工验收报告或竣工验收证明出具时间为准（竣工验收报告或竣工验收证明材料至少包含建设单位、设计单位、施工单位、监理单位四方主体盖章，否则不予以认可），</w:t>
      </w:r>
      <w:r>
        <w:rPr>
          <w:rFonts w:hint="eastAsia" w:ascii="宋体"/>
          <w:b/>
          <w:bCs/>
          <w:sz w:val="21"/>
          <w:szCs w:val="21"/>
          <w:highlight w:val="none"/>
        </w:rPr>
        <w:t>金额</w:t>
      </w:r>
      <w:r>
        <w:rPr>
          <w:rFonts w:hint="eastAsia" w:ascii="宋体"/>
          <w:sz w:val="21"/>
          <w:szCs w:val="21"/>
          <w:highlight w:val="none"/>
        </w:rPr>
        <w:t>以竣工验收报告</w:t>
      </w:r>
      <w:r>
        <w:rPr>
          <w:rFonts w:hint="eastAsia" w:ascii="宋体"/>
          <w:sz w:val="21"/>
          <w:szCs w:val="21"/>
          <w:highlight w:val="none"/>
        </w:rPr>
        <w:t>或立项批复文</w:t>
      </w:r>
      <w:r>
        <w:rPr>
          <w:rFonts w:hint="eastAsia" w:ascii="宋体"/>
          <w:sz w:val="21"/>
          <w:szCs w:val="21"/>
          <w:highlight w:val="none"/>
        </w:rPr>
        <w:t>件为准。投标人业绩所提供的证明材料均无法体现出所要求的建设规模或服务内容，则投标人还需提供建设单位盖章确认的其建设规模或服务内容或业绩时间的证明材料，投标人须将此证明材料</w:t>
      </w:r>
      <w:r>
        <w:rPr>
          <w:rFonts w:hint="eastAsia" w:ascii="宋体"/>
          <w:sz w:val="21"/>
          <w:szCs w:val="21"/>
          <w:highlight w:val="none"/>
          <w:lang w:val="en-US" w:eastAsia="zh-CN"/>
        </w:rPr>
        <w:t>复印件</w:t>
      </w:r>
      <w:r>
        <w:rPr>
          <w:rFonts w:hint="eastAsia" w:ascii="宋体"/>
          <w:sz w:val="21"/>
          <w:szCs w:val="21"/>
          <w:highlight w:val="none"/>
        </w:rPr>
        <w:t>放入投标文件中。</w:t>
      </w:r>
    </w:p>
    <w:p w14:paraId="545D968E">
      <w:pPr>
        <w:snapToGrid w:val="0"/>
        <w:spacing w:line="400" w:lineRule="exact"/>
        <w:rPr>
          <w:rFonts w:ascii="宋体" w:hAnsi="Times New Roman" w:eastAsia="宋体" w:cs="Times New Roman"/>
          <w:sz w:val="21"/>
          <w:szCs w:val="21"/>
          <w:highlight w:val="none"/>
        </w:rPr>
      </w:pPr>
      <w:r>
        <w:rPr>
          <w:rFonts w:hint="default" w:ascii="宋体" w:hAnsi="Times New Roman" w:eastAsia="宋体" w:cs="Times New Roman"/>
          <w:sz w:val="21"/>
          <w:szCs w:val="21"/>
          <w:highlight w:val="none"/>
          <w:lang w:val="en-US" w:eastAsia="zh-CN"/>
        </w:rPr>
        <w:t>2、企业荣誉情况</w:t>
      </w:r>
      <w:r>
        <w:rPr>
          <w:rFonts w:hint="default" w:ascii="宋体" w:hAnsi="Times New Roman" w:eastAsia="宋体" w:cs="Times New Roman"/>
          <w:sz w:val="21"/>
          <w:szCs w:val="21"/>
          <w:highlight w:val="none"/>
          <w:lang w:eastAsia="zh-CN"/>
        </w:rPr>
        <w:t>：</w:t>
      </w:r>
      <w:r>
        <w:rPr>
          <w:rFonts w:hint="default" w:ascii="宋体" w:hAnsi="Times New Roman" w:eastAsia="宋体" w:cs="Times New Roman"/>
          <w:sz w:val="21"/>
          <w:szCs w:val="21"/>
          <w:highlight w:val="none"/>
        </w:rPr>
        <w:t>获奖业绩</w:t>
      </w:r>
      <w:r>
        <w:rPr>
          <w:rFonts w:hint="default" w:ascii="宋体" w:hAnsi="Times New Roman" w:eastAsia="宋体" w:cs="Times New Roman"/>
          <w:b w:val="0"/>
          <w:bCs w:val="0"/>
          <w:sz w:val="21"/>
          <w:szCs w:val="21"/>
          <w:highlight w:val="none"/>
        </w:rPr>
        <w:t>详见附表（质量奖）</w:t>
      </w:r>
      <w:r>
        <w:rPr>
          <w:rFonts w:hint="default" w:ascii="宋体" w:hAnsi="Times New Roman" w:eastAsia="宋体" w:cs="Times New Roman"/>
          <w:sz w:val="21"/>
          <w:szCs w:val="21"/>
          <w:highlight w:val="none"/>
        </w:rPr>
        <w:t>。各奖项对同一工程项目按最高奖项计取，不重复计分。日期以发证日期为准。</w:t>
      </w:r>
    </w:p>
    <w:p w14:paraId="2E3DEFC9">
      <w:pPr>
        <w:snapToGrid w:val="0"/>
        <w:spacing w:line="400" w:lineRule="exact"/>
        <w:rPr>
          <w:rFonts w:hint="default" w:ascii="宋体" w:hAnsi="Times New Roman" w:eastAsia="宋体" w:cs="Times New Roman"/>
          <w:sz w:val="21"/>
          <w:szCs w:val="21"/>
          <w:highlight w:val="none"/>
          <w:lang w:val="en-US" w:eastAsia="zh-CN"/>
        </w:rPr>
      </w:pPr>
      <w:r>
        <w:rPr>
          <w:rFonts w:hint="default" w:ascii="宋体" w:hAnsi="Times New Roman" w:eastAsia="宋体" w:cs="Times New Roman"/>
          <w:sz w:val="21"/>
          <w:szCs w:val="21"/>
          <w:highlight w:val="none"/>
          <w:lang w:val="en-US" w:eastAsia="zh-CN"/>
        </w:rPr>
        <w:t>3、</w:t>
      </w:r>
      <w:r>
        <w:rPr>
          <w:rFonts w:hint="eastAsia" w:ascii="宋体" w:hAnsi="Times New Roman" w:eastAsia="宋体" w:cs="Times New Roman"/>
          <w:sz w:val="21"/>
          <w:szCs w:val="21"/>
          <w:highlight w:val="none"/>
          <w:lang w:val="en-US" w:eastAsia="zh-CN"/>
        </w:rPr>
        <w:t>纳税信用等级情况：投标人（只计算投标人自身，不计算投标人的分公司、子公司和分支机构）</w:t>
      </w:r>
      <w:r>
        <w:rPr>
          <w:rFonts w:hint="eastAsia" w:ascii="宋体" w:hAnsi="宋体" w:cs="宋体"/>
          <w:color w:val="000000"/>
          <w:szCs w:val="21"/>
          <w:highlight w:val="none"/>
        </w:rPr>
        <w:t>A级纳税人须提供企业纳税信用等级证书原件</w:t>
      </w:r>
      <w:r>
        <w:rPr>
          <w:rFonts w:hint="eastAsia" w:ascii="宋体" w:hAnsi="宋体" w:cs="宋体"/>
          <w:color w:val="000000"/>
          <w:szCs w:val="21"/>
          <w:highlight w:val="none"/>
          <w:lang w:eastAsia="zh-CN"/>
        </w:rPr>
        <w:t>复印件</w:t>
      </w:r>
      <w:r>
        <w:rPr>
          <w:rFonts w:hint="eastAsia" w:ascii="宋体" w:hAnsi="宋体" w:cs="宋体"/>
          <w:color w:val="000000"/>
          <w:szCs w:val="21"/>
          <w:highlight w:val="none"/>
        </w:rPr>
        <w:t>或在“国家税务总局”官网（http://www.chinatax.gov.cn/index.html）（或省级税务局网站）纳税信用信息查询结果网页截图</w:t>
      </w:r>
      <w:r>
        <w:rPr>
          <w:rFonts w:hint="eastAsia" w:ascii="宋体" w:hAnsi="宋体" w:cs="宋体"/>
          <w:color w:val="000000"/>
          <w:szCs w:val="21"/>
          <w:highlight w:val="none"/>
          <w:lang w:val="en-US" w:eastAsia="zh-CN"/>
        </w:rPr>
        <w:t>打印件</w:t>
      </w:r>
      <w:r>
        <w:rPr>
          <w:rFonts w:hint="eastAsia" w:ascii="宋体" w:hAnsi="Times New Roman" w:eastAsia="宋体" w:cs="Times New Roman"/>
          <w:sz w:val="21"/>
          <w:szCs w:val="21"/>
          <w:highlight w:val="none"/>
          <w:lang w:val="en-US" w:eastAsia="zh-CN"/>
        </w:rPr>
        <w:t>并加盖投标人公章，时间以</w:t>
      </w:r>
      <w:r>
        <w:rPr>
          <w:rFonts w:hint="eastAsia" w:ascii="宋体" w:hAnsi="宋体" w:cs="宋体"/>
          <w:color w:val="000000"/>
          <w:szCs w:val="21"/>
          <w:highlight w:val="none"/>
        </w:rPr>
        <w:t>网页截图</w:t>
      </w:r>
      <w:r>
        <w:rPr>
          <w:rFonts w:hint="eastAsia" w:ascii="宋体" w:hAnsi="宋体" w:cs="宋体"/>
          <w:color w:val="000000"/>
          <w:szCs w:val="21"/>
          <w:highlight w:val="none"/>
          <w:lang w:val="en-US" w:eastAsia="zh-CN"/>
        </w:rPr>
        <w:t>或</w:t>
      </w:r>
      <w:r>
        <w:rPr>
          <w:rFonts w:hint="eastAsia" w:ascii="宋体" w:hAnsi="Times New Roman" w:eastAsia="宋体" w:cs="Times New Roman"/>
          <w:sz w:val="21"/>
          <w:szCs w:val="21"/>
          <w:highlight w:val="none"/>
          <w:lang w:val="en-US" w:eastAsia="zh-CN"/>
        </w:rPr>
        <w:t>证书上注明的公示评价（评定）年度为准。不符合条件或无提供证书</w:t>
      </w:r>
      <w:r>
        <w:rPr>
          <w:rFonts w:hint="eastAsia" w:ascii="宋体" w:cs="Times New Roman"/>
          <w:sz w:val="21"/>
          <w:szCs w:val="21"/>
          <w:highlight w:val="none"/>
          <w:lang w:val="en-US" w:eastAsia="zh-CN"/>
        </w:rPr>
        <w:t>复印件</w:t>
      </w:r>
      <w:r>
        <w:rPr>
          <w:rFonts w:hint="eastAsia" w:ascii="宋体" w:hAnsi="Times New Roman" w:eastAsia="宋体" w:cs="Times New Roman"/>
          <w:sz w:val="21"/>
          <w:szCs w:val="21"/>
          <w:highlight w:val="none"/>
          <w:lang w:val="en-US" w:eastAsia="zh-CN"/>
        </w:rPr>
        <w:t>或查询结果网页截图打印件或无加盖投标人公章的不计分。</w:t>
      </w:r>
    </w:p>
    <w:p w14:paraId="48544A91">
      <w:pPr>
        <w:snapToGrid w:val="0"/>
        <w:spacing w:line="400" w:lineRule="exact"/>
        <w:rPr>
          <w:rFonts w:hint="eastAsia" w:ascii="宋体" w:hAnsi="Times New Roman" w:eastAsia="宋体" w:cs="Times New Roman"/>
          <w:sz w:val="21"/>
          <w:szCs w:val="21"/>
          <w:highlight w:val="none"/>
          <w:lang w:val="en-US" w:eastAsia="zh-CN"/>
        </w:rPr>
      </w:pPr>
      <w:r>
        <w:rPr>
          <w:rFonts w:hint="eastAsia" w:ascii="宋体" w:hAnsi="Times New Roman" w:eastAsia="宋体" w:cs="Times New Roman"/>
          <w:sz w:val="21"/>
          <w:szCs w:val="21"/>
          <w:highlight w:val="none"/>
          <w:lang w:val="en-US" w:eastAsia="zh-CN"/>
        </w:rPr>
        <w:t>4、</w:t>
      </w:r>
      <w:r>
        <w:rPr>
          <w:rFonts w:hint="eastAsia" w:ascii="宋体" w:hAnsi="宋体"/>
          <w:szCs w:val="21"/>
          <w:highlight w:val="none"/>
        </w:rPr>
        <w:t>项目管理人员配备</w:t>
      </w:r>
      <w:r>
        <w:rPr>
          <w:rFonts w:hint="eastAsia" w:ascii="宋体" w:hAnsi="Times New Roman" w:eastAsia="宋体" w:cs="Times New Roman"/>
          <w:sz w:val="21"/>
          <w:szCs w:val="21"/>
          <w:highlight w:val="none"/>
          <w:lang w:val="en-US" w:eastAsia="zh-CN"/>
        </w:rPr>
        <w:t>①总</w:t>
      </w:r>
      <w:r>
        <w:rPr>
          <w:rFonts w:hint="eastAsia" w:ascii="宋体" w:hAnsi="宋体" w:eastAsia="宋体" w:cs="宋体"/>
          <w:color w:val="auto"/>
          <w:spacing w:val="-4"/>
          <w:sz w:val="21"/>
          <w:szCs w:val="21"/>
          <w:highlight w:val="none"/>
          <w:lang w:val="en-US" w:eastAsia="zh-CN"/>
        </w:rPr>
        <w:t>监理工程师及监理机构人员资格、认证证书及社保证明等方面内容必须提供相应的证明材料；</w:t>
      </w:r>
      <w:r>
        <w:rPr>
          <w:rFonts w:hint="eastAsia" w:ascii="宋体" w:hAnsi="宋体" w:cs="宋体"/>
          <w:b/>
          <w:bCs/>
          <w:color w:val="auto"/>
          <w:spacing w:val="-4"/>
          <w:szCs w:val="21"/>
          <w:highlight w:val="none"/>
          <w:lang w:val="en-US" w:eastAsia="zh-CN"/>
        </w:rPr>
        <w:t>总监代表</w:t>
      </w:r>
      <w:r>
        <w:rPr>
          <w:rFonts w:hint="eastAsia" w:ascii="宋体" w:hAnsi="宋体" w:cs="宋体"/>
          <w:color w:val="auto"/>
          <w:spacing w:val="-4"/>
          <w:szCs w:val="21"/>
          <w:highlight w:val="none"/>
          <w:lang w:val="en-US" w:eastAsia="zh-CN"/>
        </w:rPr>
        <w:t>：</w:t>
      </w:r>
      <w:r>
        <w:rPr>
          <w:rFonts w:hint="eastAsia" w:ascii="宋体" w:hAnsi="宋体" w:eastAsia="宋体" w:cs="宋体"/>
          <w:color w:val="auto"/>
          <w:spacing w:val="-4"/>
          <w:sz w:val="21"/>
          <w:szCs w:val="21"/>
          <w:highlight w:val="none"/>
        </w:rPr>
        <w:t>若提供的为技术职称，所提供的证书上无法证明3年及以上工程实践经验的，需提供曾在工作实践单位</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需为工程类单位或企业</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的超过3年</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社保管理机构的证明材料</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如社保管理机构的查询机器打印件</w:t>
      </w:r>
      <w:r>
        <w:rPr>
          <w:rFonts w:hint="eastAsia" w:ascii="宋体" w:hAnsi="宋体" w:eastAsia="宋体" w:cs="宋体"/>
          <w:color w:val="auto"/>
          <w:spacing w:val="-4"/>
          <w:sz w:val="21"/>
          <w:szCs w:val="21"/>
          <w:highlight w:val="none"/>
          <w:lang w:eastAsia="zh-CN"/>
        </w:rPr>
        <w:t>），已退休人员可提供退休证明及返聘合同代替社保证明，</w:t>
      </w:r>
      <w:r>
        <w:rPr>
          <w:rFonts w:hint="eastAsia" w:ascii="宋体" w:hAnsi="宋体" w:eastAsia="宋体" w:cs="宋体"/>
          <w:color w:val="auto"/>
          <w:spacing w:val="-4"/>
          <w:sz w:val="21"/>
          <w:szCs w:val="21"/>
          <w:highlight w:val="none"/>
        </w:rPr>
        <w:t>提供相关监理培训证明材料。</w:t>
      </w:r>
      <w:r>
        <w:rPr>
          <w:rFonts w:hint="eastAsia" w:ascii="宋体" w:hAnsi="宋体" w:cs="宋体"/>
          <w:b/>
          <w:bCs/>
          <w:color w:val="auto"/>
          <w:spacing w:val="-4"/>
          <w:szCs w:val="21"/>
          <w:highlight w:val="none"/>
          <w:lang w:val="en-US" w:eastAsia="zh-CN"/>
        </w:rPr>
        <w:t>专业监理工程师</w:t>
      </w:r>
      <w:r>
        <w:rPr>
          <w:rFonts w:hint="eastAsia" w:ascii="宋体" w:hAnsi="宋体" w:cs="宋体"/>
          <w:color w:val="auto"/>
          <w:spacing w:val="-4"/>
          <w:szCs w:val="21"/>
          <w:highlight w:val="none"/>
          <w:lang w:val="en-US" w:eastAsia="zh-CN"/>
        </w:rPr>
        <w:t>：</w:t>
      </w:r>
      <w:r>
        <w:rPr>
          <w:rFonts w:hint="eastAsia" w:ascii="宋体" w:hAnsi="宋体" w:eastAsia="宋体" w:cs="宋体"/>
          <w:color w:val="auto"/>
          <w:spacing w:val="-4"/>
          <w:sz w:val="21"/>
          <w:szCs w:val="21"/>
          <w:highlight w:val="none"/>
        </w:rPr>
        <w:t>若提供的为技术职称，所提供的证书上无法证明</w:t>
      </w:r>
      <w:r>
        <w:rPr>
          <w:rFonts w:hint="eastAsia" w:ascii="宋体" w:hAnsi="宋体" w:eastAsia="宋体" w:cs="宋体"/>
          <w:color w:val="auto"/>
          <w:spacing w:val="-4"/>
          <w:sz w:val="21"/>
          <w:szCs w:val="21"/>
          <w:highlight w:val="none"/>
          <w:lang w:val="en-US" w:eastAsia="zh-CN"/>
        </w:rPr>
        <w:t>2</w:t>
      </w:r>
      <w:r>
        <w:rPr>
          <w:rFonts w:hint="eastAsia" w:ascii="宋体" w:hAnsi="宋体" w:eastAsia="宋体" w:cs="宋体"/>
          <w:color w:val="auto"/>
          <w:spacing w:val="-4"/>
          <w:sz w:val="21"/>
          <w:szCs w:val="21"/>
          <w:highlight w:val="none"/>
        </w:rPr>
        <w:t>年及以上工程实践经验的，需提供曾在工作实践单位</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需为工程类单位或企业</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的超过</w:t>
      </w:r>
      <w:r>
        <w:rPr>
          <w:rFonts w:hint="eastAsia" w:ascii="宋体" w:hAnsi="宋体" w:eastAsia="宋体" w:cs="宋体"/>
          <w:color w:val="auto"/>
          <w:spacing w:val="-4"/>
          <w:sz w:val="21"/>
          <w:szCs w:val="21"/>
          <w:highlight w:val="none"/>
          <w:lang w:val="en-US" w:eastAsia="zh-CN"/>
        </w:rPr>
        <w:t>2</w:t>
      </w:r>
      <w:r>
        <w:rPr>
          <w:rFonts w:hint="eastAsia" w:ascii="宋体" w:hAnsi="宋体" w:eastAsia="宋体" w:cs="宋体"/>
          <w:color w:val="auto"/>
          <w:spacing w:val="-4"/>
          <w:sz w:val="21"/>
          <w:szCs w:val="21"/>
          <w:highlight w:val="none"/>
        </w:rPr>
        <w:t>年</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社保管理机构的证明材料</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如社保管理机构的查询机器打印件</w:t>
      </w:r>
      <w:r>
        <w:rPr>
          <w:rFonts w:hint="eastAsia" w:ascii="宋体" w:hAnsi="宋体" w:eastAsia="宋体" w:cs="宋体"/>
          <w:color w:val="auto"/>
          <w:spacing w:val="-4"/>
          <w:sz w:val="21"/>
          <w:szCs w:val="21"/>
          <w:highlight w:val="none"/>
          <w:lang w:eastAsia="zh-CN"/>
        </w:rPr>
        <w:t>），已退休人员可提供退休证明及返聘合同代替社保证明，</w:t>
      </w:r>
      <w:r>
        <w:rPr>
          <w:rFonts w:hint="eastAsia" w:ascii="宋体" w:hAnsi="宋体" w:eastAsia="宋体" w:cs="宋体"/>
          <w:color w:val="auto"/>
          <w:spacing w:val="-4"/>
          <w:sz w:val="21"/>
          <w:szCs w:val="21"/>
          <w:highlight w:val="none"/>
        </w:rPr>
        <w:t>提供相关监理培训证明材料。</w:t>
      </w:r>
      <w:r>
        <w:rPr>
          <w:rFonts w:hint="eastAsia" w:ascii="宋体" w:hAnsi="宋体" w:eastAsia="宋体" w:cs="宋体"/>
          <w:color w:val="auto"/>
          <w:spacing w:val="-4"/>
          <w:sz w:val="21"/>
          <w:szCs w:val="21"/>
          <w:highlight w:val="none"/>
          <w:lang w:val="en-US" w:eastAsia="zh-CN"/>
        </w:rPr>
        <w:t>所</w:t>
      </w:r>
      <w:r>
        <w:rPr>
          <w:rFonts w:hint="eastAsia" w:ascii="宋体" w:hAnsi="Times New Roman" w:eastAsia="宋体" w:cs="Times New Roman"/>
          <w:sz w:val="21"/>
          <w:szCs w:val="21"/>
          <w:highlight w:val="none"/>
          <w:lang w:val="en-US" w:eastAsia="zh-CN"/>
        </w:rPr>
        <w:t>投入人员必须为投标人本单位人员，所有人员须提供</w:t>
      </w:r>
      <w:r>
        <w:rPr>
          <w:rFonts w:hint="eastAsia" w:ascii="宋体" w:hAnsi="Times New Roman" w:eastAsia="宋体" w:cs="Times New Roman"/>
          <w:sz w:val="21"/>
          <w:szCs w:val="21"/>
          <w:highlight w:val="none"/>
        </w:rPr>
        <w:t>本单位近3个月</w:t>
      </w:r>
      <w:r>
        <w:rPr>
          <w:rFonts w:hint="eastAsia" w:ascii="宋体" w:hAnsi="Times New Roman" w:eastAsia="宋体" w:cs="Times New Roman"/>
          <w:sz w:val="21"/>
          <w:szCs w:val="21"/>
          <w:highlight w:val="none"/>
          <w:lang w:eastAsia="zh-CN"/>
        </w:rPr>
        <w:t>（</w:t>
      </w:r>
      <w:r>
        <w:rPr>
          <w:rFonts w:hint="eastAsia" w:ascii="宋体" w:cs="Times New Roman"/>
          <w:sz w:val="21"/>
          <w:szCs w:val="21"/>
          <w:highlight w:val="none"/>
          <w:lang w:eastAsia="zh-CN"/>
        </w:rPr>
        <w:t>2024年12月</w:t>
      </w:r>
      <w:r>
        <w:rPr>
          <w:rFonts w:hint="eastAsia" w:ascii="宋体" w:hAnsi="Times New Roman" w:eastAsia="宋体" w:cs="Times New Roman"/>
          <w:sz w:val="21"/>
          <w:szCs w:val="21"/>
          <w:highlight w:val="none"/>
          <w:lang w:eastAsia="zh-CN"/>
        </w:rPr>
        <w:t>至</w:t>
      </w:r>
      <w:r>
        <w:rPr>
          <w:rFonts w:hint="eastAsia" w:ascii="宋体" w:cs="Times New Roman"/>
          <w:sz w:val="21"/>
          <w:szCs w:val="21"/>
          <w:highlight w:val="none"/>
          <w:lang w:eastAsia="zh-CN"/>
        </w:rPr>
        <w:t>2025年2月</w:t>
      </w:r>
      <w:r>
        <w:rPr>
          <w:rFonts w:hint="eastAsia" w:ascii="宋体" w:hAnsi="Times New Roman" w:eastAsia="宋体" w:cs="Times New Roman"/>
          <w:sz w:val="21"/>
          <w:szCs w:val="21"/>
          <w:highlight w:val="none"/>
          <w:lang w:eastAsia="zh-CN"/>
        </w:rPr>
        <w:t>）</w:t>
      </w:r>
      <w:r>
        <w:rPr>
          <w:rFonts w:hint="eastAsia" w:ascii="宋体" w:hAnsi="Times New Roman" w:eastAsia="宋体" w:cs="Times New Roman"/>
          <w:sz w:val="21"/>
          <w:szCs w:val="21"/>
          <w:highlight w:val="none"/>
        </w:rPr>
        <w:t>的社保管理机构的证明材料（如社保管理机构的查询机器打印件）</w:t>
      </w:r>
      <w:r>
        <w:rPr>
          <w:rFonts w:hint="eastAsia" w:ascii="宋体" w:hAnsi="Times New Roman" w:eastAsia="宋体" w:cs="Times New Roman"/>
          <w:sz w:val="21"/>
          <w:szCs w:val="21"/>
          <w:highlight w:val="none"/>
          <w:lang w:val="en-US" w:eastAsia="zh-CN"/>
        </w:rPr>
        <w:t>，</w:t>
      </w:r>
      <w:r>
        <w:rPr>
          <w:rFonts w:hint="eastAsia" w:ascii="宋体" w:cs="Times New Roman"/>
          <w:sz w:val="21"/>
          <w:szCs w:val="21"/>
          <w:highlight w:val="none"/>
          <w:lang w:val="en-US" w:eastAsia="zh-CN"/>
        </w:rPr>
        <w:t>已退休人员可提供退休证明及返聘合同代替社保证明</w:t>
      </w:r>
      <w:r>
        <w:rPr>
          <w:rFonts w:hint="eastAsia" w:ascii="宋体" w:hAnsi="Times New Roman" w:eastAsia="宋体" w:cs="Times New Roman"/>
          <w:sz w:val="21"/>
          <w:szCs w:val="21"/>
          <w:highlight w:val="none"/>
          <w:lang w:val="en-US" w:eastAsia="zh-CN"/>
        </w:rPr>
        <w:t>。</w:t>
      </w:r>
      <w:r>
        <w:rPr>
          <w:rFonts w:hint="eastAsia" w:ascii="宋体" w:hAnsi="宋体" w:eastAsia="宋体" w:cs="宋体"/>
          <w:sz w:val="21"/>
          <w:szCs w:val="21"/>
          <w:highlight w:val="none"/>
          <w:lang w:eastAsia="zh-CN"/>
        </w:rPr>
        <w:t>须提供职称证、注册证、执业资格证、执业证等相关证明资料原件清晰复印件，</w:t>
      </w:r>
      <w:r>
        <w:rPr>
          <w:rFonts w:hint="eastAsia" w:ascii="宋体" w:hAnsi="Times New Roman" w:eastAsia="宋体" w:cs="Times New Roman"/>
          <w:sz w:val="21"/>
          <w:szCs w:val="21"/>
          <w:highlight w:val="none"/>
          <w:lang w:val="en-US" w:eastAsia="zh-CN"/>
        </w:rPr>
        <w:t>提供证明资料的清晰打印件并加盖投标单位公章，否则不计分。</w:t>
      </w:r>
    </w:p>
    <w:p w14:paraId="2757E35F">
      <w:pPr>
        <w:snapToGrid w:val="0"/>
        <w:spacing w:line="400" w:lineRule="exact"/>
        <w:rPr>
          <w:rFonts w:hint="eastAsia" w:ascii="宋体" w:hAnsi="Times New Roman" w:eastAsia="宋体" w:cs="Times New Roman"/>
          <w:sz w:val="21"/>
          <w:szCs w:val="21"/>
          <w:highlight w:val="none"/>
        </w:rPr>
      </w:pPr>
      <w:r>
        <w:rPr>
          <w:rFonts w:hint="eastAsia" w:ascii="宋体" w:hAnsi="Times New Roman" w:eastAsia="宋体" w:cs="Times New Roman"/>
          <w:sz w:val="21"/>
          <w:szCs w:val="21"/>
          <w:highlight w:val="none"/>
          <w:lang w:val="en-US" w:eastAsia="zh-CN"/>
        </w:rPr>
        <w:t>②总监理工程师的业绩证明材料按照企业类似业绩证明材料要求提供。</w:t>
      </w:r>
    </w:p>
    <w:p w14:paraId="7CCECE33">
      <w:pPr>
        <w:widowControl/>
        <w:adjustRightInd/>
        <w:snapToGrid w:val="0"/>
        <w:spacing w:after="0" w:line="400" w:lineRule="exact"/>
        <w:jc w:val="left"/>
        <w:outlineLvl w:val="9"/>
        <w:rPr>
          <w:rFonts w:hint="default" w:ascii="宋体" w:hAnsi="Times New Roman" w:eastAsia="宋体" w:cs="Times New Roman"/>
          <w:b w:val="0"/>
          <w:sz w:val="21"/>
          <w:szCs w:val="21"/>
          <w:highlight w:val="none"/>
        </w:rPr>
      </w:pPr>
      <w:r>
        <w:rPr>
          <w:rFonts w:hint="eastAsia" w:ascii="宋体" w:hAnsi="Times New Roman" w:eastAsia="宋体" w:cs="Times New Roman"/>
          <w:b w:val="0"/>
          <w:sz w:val="21"/>
          <w:szCs w:val="21"/>
          <w:highlight w:val="none"/>
          <w:lang w:val="en-US" w:eastAsia="zh-CN"/>
        </w:rPr>
        <w:t>5、</w:t>
      </w:r>
      <w:r>
        <w:rPr>
          <w:rFonts w:hint="default" w:ascii="宋体" w:hAnsi="Times New Roman" w:eastAsia="宋体" w:cs="Times New Roman"/>
          <w:b w:val="0"/>
          <w:sz w:val="21"/>
          <w:szCs w:val="21"/>
          <w:highlight w:val="none"/>
        </w:rPr>
        <w:t>投标人的综合得分为各评委的评分计取的算术平均分（分数出现小数点时，保留小数点后二位，第三位小数四舍五入）。</w:t>
      </w:r>
    </w:p>
    <w:p w14:paraId="6AF2A1EF">
      <w:pPr>
        <w:widowControl/>
        <w:adjustRightInd w:val="0"/>
        <w:snapToGrid w:val="0"/>
        <w:spacing w:after="200" w:line="220" w:lineRule="atLeast"/>
        <w:jc w:val="left"/>
        <w:outlineLvl w:val="9"/>
        <w:rPr>
          <w:rFonts w:ascii="宋体" w:hAnsi="宋体"/>
          <w:b/>
          <w:sz w:val="24"/>
          <w:highlight w:val="none"/>
        </w:rPr>
      </w:pPr>
      <w:r>
        <w:rPr>
          <w:rFonts w:hint="default" w:ascii="宋体" w:hAnsi="Times New Roman" w:eastAsia="宋体" w:cs="Times New Roman"/>
          <w:b w:val="0"/>
          <w:sz w:val="24"/>
          <w:szCs w:val="24"/>
          <w:highlight w:val="none"/>
        </w:rPr>
        <w:br w:type="page"/>
      </w:r>
      <w:r>
        <w:rPr>
          <w:rFonts w:hint="eastAsia" w:ascii="宋体" w:hAnsi="宋体"/>
          <w:b/>
          <w:sz w:val="24"/>
          <w:highlight w:val="none"/>
        </w:rPr>
        <w:t>附表</w:t>
      </w:r>
    </w:p>
    <w:p w14:paraId="0FE0A0EC">
      <w:pPr>
        <w:pStyle w:val="26"/>
        <w:rPr>
          <w:color w:val="auto"/>
          <w:highlight w:val="none"/>
        </w:rPr>
      </w:pPr>
      <w:r>
        <w:rPr>
          <w:rFonts w:hint="eastAsia"/>
          <w:color w:val="auto"/>
          <w:highlight w:val="none"/>
        </w:rPr>
        <w:t>质量奖：</w:t>
      </w:r>
    </w:p>
    <w:tbl>
      <w:tblPr>
        <w:tblStyle w:val="49"/>
        <w:tblW w:w="9324" w:type="dxa"/>
        <w:tblInd w:w="0" w:type="dxa"/>
        <w:tblLayout w:type="fixed"/>
        <w:tblCellMar>
          <w:top w:w="0" w:type="dxa"/>
          <w:left w:w="10" w:type="dxa"/>
          <w:bottom w:w="0" w:type="dxa"/>
          <w:right w:w="10" w:type="dxa"/>
        </w:tblCellMar>
      </w:tblPr>
      <w:tblGrid>
        <w:gridCol w:w="3110"/>
        <w:gridCol w:w="3096"/>
        <w:gridCol w:w="3118"/>
      </w:tblGrid>
      <w:tr w14:paraId="5C1E51E3">
        <w:tblPrEx>
          <w:tblCellMar>
            <w:top w:w="0" w:type="dxa"/>
            <w:left w:w="10" w:type="dxa"/>
            <w:bottom w:w="0" w:type="dxa"/>
            <w:right w:w="10" w:type="dxa"/>
          </w:tblCellMar>
        </w:tblPrEx>
        <w:trPr>
          <w:trHeight w:val="461" w:hRule="exact"/>
        </w:trPr>
        <w:tc>
          <w:tcPr>
            <w:tcW w:w="9324" w:type="dxa"/>
            <w:gridSpan w:val="3"/>
            <w:tcBorders>
              <w:top w:val="single" w:color="auto" w:sz="4" w:space="0"/>
              <w:left w:val="single" w:color="auto" w:sz="4" w:space="0"/>
              <w:right w:val="single" w:color="auto" w:sz="4" w:space="0"/>
            </w:tcBorders>
            <w:shd w:val="clear" w:color="auto" w:fill="FFFFFF"/>
            <w:noWrap/>
          </w:tcPr>
          <w:p w14:paraId="7872F3A7">
            <w:pPr>
              <w:pStyle w:val="220"/>
              <w:spacing w:before="80" w:line="240" w:lineRule="auto"/>
              <w:jc w:val="left"/>
              <w:rPr>
                <w:highlight w:val="none"/>
              </w:rPr>
            </w:pPr>
            <w:r>
              <w:rPr>
                <w:highlight w:val="none"/>
              </w:rPr>
              <w:t>国家奖</w:t>
            </w:r>
          </w:p>
        </w:tc>
      </w:tr>
      <w:tr w14:paraId="5EB633F5">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14:paraId="673DAAB6">
            <w:pPr>
              <w:pStyle w:val="220"/>
              <w:spacing w:line="240" w:lineRule="auto"/>
              <w:jc w:val="left"/>
              <w:rPr>
                <w:highlight w:val="none"/>
              </w:rPr>
            </w:pPr>
            <w:r>
              <w:rPr>
                <w:highlight w:val="none"/>
              </w:rPr>
              <w:t>中国建设工程鲁班奖</w:t>
            </w:r>
          </w:p>
        </w:tc>
        <w:tc>
          <w:tcPr>
            <w:tcW w:w="3096" w:type="dxa"/>
            <w:tcBorders>
              <w:top w:val="single" w:color="auto" w:sz="4" w:space="0"/>
              <w:left w:val="single" w:color="auto" w:sz="4" w:space="0"/>
            </w:tcBorders>
            <w:shd w:val="clear" w:color="auto" w:fill="FFFFFF"/>
            <w:noWrap/>
          </w:tcPr>
          <w:p w14:paraId="19A8EA44">
            <w:pPr>
              <w:pStyle w:val="220"/>
              <w:spacing w:line="240" w:lineRule="auto"/>
              <w:jc w:val="left"/>
              <w:rPr>
                <w:highlight w:val="none"/>
              </w:rPr>
            </w:pPr>
            <w:r>
              <w:rPr>
                <w:highlight w:val="none"/>
              </w:rPr>
              <w:t>国家优质工程奖</w:t>
            </w:r>
          </w:p>
        </w:tc>
        <w:tc>
          <w:tcPr>
            <w:tcW w:w="3118" w:type="dxa"/>
            <w:tcBorders>
              <w:top w:val="single" w:color="auto" w:sz="4" w:space="0"/>
              <w:left w:val="single" w:color="auto" w:sz="4" w:space="0"/>
              <w:right w:val="single" w:color="auto" w:sz="4" w:space="0"/>
            </w:tcBorders>
            <w:shd w:val="clear" w:color="auto" w:fill="FFFFFF"/>
            <w:noWrap/>
          </w:tcPr>
          <w:p w14:paraId="1EA0D53C">
            <w:pPr>
              <w:pStyle w:val="220"/>
              <w:spacing w:line="240" w:lineRule="auto"/>
              <w:jc w:val="left"/>
              <w:rPr>
                <w:highlight w:val="none"/>
              </w:rPr>
            </w:pPr>
            <w:r>
              <w:rPr>
                <w:highlight w:val="none"/>
              </w:rPr>
              <w:t>中国土木工程</w:t>
            </w:r>
            <w:r>
              <w:rPr>
                <w:rFonts w:hint="eastAsia"/>
                <w:highlight w:val="none"/>
                <w:lang w:eastAsia="zh-CN"/>
              </w:rPr>
              <w:t>詹</w:t>
            </w:r>
            <w:r>
              <w:rPr>
                <w:highlight w:val="none"/>
              </w:rPr>
              <w:t>天佑奖</w:t>
            </w:r>
          </w:p>
        </w:tc>
      </w:tr>
      <w:tr w14:paraId="348BDCE4">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14:paraId="1AFA08D8">
            <w:pPr>
              <w:pStyle w:val="220"/>
              <w:spacing w:line="240" w:lineRule="auto"/>
              <w:jc w:val="left"/>
              <w:rPr>
                <w:highlight w:val="none"/>
              </w:rPr>
            </w:pPr>
            <w:r>
              <w:rPr>
                <w:highlight w:val="none"/>
              </w:rPr>
              <w:t>国家优质工程金奖</w:t>
            </w:r>
          </w:p>
        </w:tc>
        <w:tc>
          <w:tcPr>
            <w:tcW w:w="3096" w:type="dxa"/>
            <w:tcBorders>
              <w:top w:val="single" w:color="auto" w:sz="4" w:space="0"/>
              <w:left w:val="single" w:color="auto" w:sz="4" w:space="0"/>
            </w:tcBorders>
            <w:shd w:val="clear" w:color="auto" w:fill="FFFFFF"/>
            <w:noWrap/>
          </w:tcPr>
          <w:p w14:paraId="2EDE2D33">
            <w:pPr>
              <w:pStyle w:val="220"/>
              <w:spacing w:line="240" w:lineRule="auto"/>
              <w:jc w:val="left"/>
              <w:rPr>
                <w:highlight w:val="none"/>
              </w:rPr>
            </w:pPr>
            <w:r>
              <w:rPr>
                <w:highlight w:val="none"/>
              </w:rPr>
              <w:t>全国市政金杯示范工程</w:t>
            </w:r>
          </w:p>
        </w:tc>
        <w:tc>
          <w:tcPr>
            <w:tcW w:w="3118" w:type="dxa"/>
            <w:tcBorders>
              <w:top w:val="single" w:color="auto" w:sz="4" w:space="0"/>
              <w:left w:val="single" w:color="auto" w:sz="4" w:space="0"/>
              <w:right w:val="single" w:color="auto" w:sz="4" w:space="0"/>
            </w:tcBorders>
            <w:shd w:val="clear" w:color="auto" w:fill="FFFFFF"/>
            <w:noWrap/>
          </w:tcPr>
          <w:p w14:paraId="472DEAFC">
            <w:pPr>
              <w:rPr>
                <w:sz w:val="10"/>
                <w:szCs w:val="10"/>
                <w:highlight w:val="none"/>
              </w:rPr>
            </w:pPr>
          </w:p>
        </w:tc>
      </w:tr>
      <w:tr w14:paraId="5EC7BFC4">
        <w:tblPrEx>
          <w:tblCellMar>
            <w:top w:w="0" w:type="dxa"/>
            <w:left w:w="10" w:type="dxa"/>
            <w:bottom w:w="0" w:type="dxa"/>
            <w:right w:w="10" w:type="dxa"/>
          </w:tblCellMar>
        </w:tblPrEx>
        <w:trPr>
          <w:trHeight w:val="439" w:hRule="exact"/>
        </w:trPr>
        <w:tc>
          <w:tcPr>
            <w:tcW w:w="9324" w:type="dxa"/>
            <w:gridSpan w:val="3"/>
            <w:tcBorders>
              <w:top w:val="single" w:color="auto" w:sz="4" w:space="0"/>
              <w:left w:val="single" w:color="auto" w:sz="4" w:space="0"/>
              <w:right w:val="single" w:color="auto" w:sz="4" w:space="0"/>
            </w:tcBorders>
            <w:shd w:val="clear" w:color="auto" w:fill="FFFFFF"/>
            <w:noWrap/>
          </w:tcPr>
          <w:p w14:paraId="08881A43">
            <w:pPr>
              <w:pStyle w:val="220"/>
              <w:spacing w:line="240" w:lineRule="auto"/>
              <w:jc w:val="left"/>
              <w:rPr>
                <w:highlight w:val="none"/>
              </w:rPr>
            </w:pPr>
            <w:r>
              <w:rPr>
                <w:highlight w:val="none"/>
              </w:rPr>
              <w:t>省奖</w:t>
            </w:r>
          </w:p>
        </w:tc>
      </w:tr>
      <w:tr w14:paraId="5AFD3374">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tcBorders>
            <w:shd w:val="clear" w:color="auto" w:fill="FFFFFF"/>
            <w:noWrap/>
          </w:tcPr>
          <w:p w14:paraId="434DFB46">
            <w:pPr>
              <w:pStyle w:val="220"/>
              <w:spacing w:line="240" w:lineRule="auto"/>
              <w:jc w:val="left"/>
              <w:rPr>
                <w:highlight w:val="none"/>
              </w:rPr>
            </w:pPr>
            <w:r>
              <w:rPr>
                <w:highlight w:val="none"/>
              </w:rPr>
              <w:t>长城杯（北京）</w:t>
            </w:r>
          </w:p>
        </w:tc>
        <w:tc>
          <w:tcPr>
            <w:tcW w:w="3096" w:type="dxa"/>
            <w:tcBorders>
              <w:top w:val="single" w:color="auto" w:sz="4" w:space="0"/>
              <w:left w:val="single" w:color="auto" w:sz="4" w:space="0"/>
              <w:bottom w:val="single" w:color="auto" w:sz="4" w:space="0"/>
            </w:tcBorders>
            <w:shd w:val="clear" w:color="auto" w:fill="FFFFFF"/>
            <w:noWrap/>
          </w:tcPr>
          <w:p w14:paraId="69ED061F">
            <w:pPr>
              <w:pStyle w:val="220"/>
              <w:spacing w:line="240" w:lineRule="auto"/>
              <w:jc w:val="left"/>
              <w:rPr>
                <w:highlight w:val="none"/>
              </w:rPr>
            </w:pPr>
            <w:r>
              <w:rPr>
                <w:highlight w:val="none"/>
              </w:rPr>
              <w:t>阿房宫奖（陕西）</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14:paraId="217AE9B7">
            <w:pPr>
              <w:pStyle w:val="220"/>
              <w:spacing w:line="240" w:lineRule="auto"/>
              <w:jc w:val="left"/>
              <w:rPr>
                <w:highlight w:val="none"/>
              </w:rPr>
            </w:pPr>
            <w:r>
              <w:rPr>
                <w:highlight w:val="none"/>
              </w:rPr>
              <w:t>钱江杯（浙江）</w:t>
            </w:r>
          </w:p>
        </w:tc>
      </w:tr>
      <w:tr w14:paraId="0819A0ED">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tcPr>
          <w:p w14:paraId="3EB317AD">
            <w:pPr>
              <w:pStyle w:val="220"/>
              <w:spacing w:line="240" w:lineRule="auto"/>
              <w:jc w:val="left"/>
              <w:rPr>
                <w:highlight w:val="none"/>
              </w:rPr>
            </w:pPr>
            <w:r>
              <w:rPr>
                <w:highlight w:val="none"/>
              </w:rPr>
              <w:t>白玉兰杯（上海）</w:t>
            </w:r>
          </w:p>
        </w:tc>
        <w:tc>
          <w:tcPr>
            <w:tcW w:w="3096" w:type="dxa"/>
            <w:tcBorders>
              <w:top w:val="single" w:color="auto" w:sz="4" w:space="0"/>
              <w:left w:val="single" w:color="auto" w:sz="4" w:space="0"/>
              <w:bottom w:val="single" w:color="auto" w:sz="4" w:space="0"/>
              <w:right w:val="single" w:color="auto" w:sz="4" w:space="0"/>
            </w:tcBorders>
            <w:shd w:val="clear" w:color="auto" w:fill="FFFFFF"/>
            <w:noWrap/>
          </w:tcPr>
          <w:p w14:paraId="5E5390BA">
            <w:pPr>
              <w:pStyle w:val="220"/>
              <w:spacing w:line="240" w:lineRule="auto"/>
              <w:jc w:val="left"/>
              <w:rPr>
                <w:highlight w:val="none"/>
              </w:rPr>
            </w:pPr>
            <w:r>
              <w:rPr>
                <w:highlight w:val="none"/>
              </w:rPr>
              <w:t>西夏杯（宁夏）</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14:paraId="2F64E484">
            <w:pPr>
              <w:pStyle w:val="220"/>
              <w:spacing w:line="240" w:lineRule="auto"/>
              <w:jc w:val="left"/>
              <w:rPr>
                <w:highlight w:val="none"/>
              </w:rPr>
            </w:pPr>
            <w:r>
              <w:rPr>
                <w:highlight w:val="none"/>
              </w:rPr>
              <w:t>杜鹃花杯（江西）</w:t>
            </w:r>
          </w:p>
        </w:tc>
      </w:tr>
      <w:tr w14:paraId="2F717684">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tcPr>
          <w:p w14:paraId="6C849F39">
            <w:pPr>
              <w:pStyle w:val="220"/>
              <w:spacing w:line="240" w:lineRule="auto"/>
              <w:jc w:val="left"/>
              <w:rPr>
                <w:highlight w:val="none"/>
              </w:rPr>
            </w:pPr>
            <w:r>
              <w:rPr>
                <w:highlight w:val="none"/>
              </w:rPr>
              <w:t>海河杯（天津）</w:t>
            </w:r>
          </w:p>
        </w:tc>
        <w:tc>
          <w:tcPr>
            <w:tcW w:w="3096" w:type="dxa"/>
            <w:tcBorders>
              <w:top w:val="single" w:color="auto" w:sz="4" w:space="0"/>
              <w:left w:val="single" w:color="auto" w:sz="4" w:space="0"/>
              <w:bottom w:val="single" w:color="auto" w:sz="4" w:space="0"/>
              <w:right w:val="single" w:color="auto" w:sz="4" w:space="0"/>
            </w:tcBorders>
            <w:shd w:val="clear" w:color="auto" w:fill="FFFFFF"/>
            <w:noWrap/>
          </w:tcPr>
          <w:p w14:paraId="34CFCDF6">
            <w:pPr>
              <w:pStyle w:val="220"/>
              <w:spacing w:line="240" w:lineRule="auto"/>
              <w:jc w:val="left"/>
              <w:rPr>
                <w:highlight w:val="none"/>
              </w:rPr>
            </w:pPr>
            <w:r>
              <w:rPr>
                <w:highlight w:val="none"/>
              </w:rPr>
              <w:t>飞天奖（甘肃）</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14:paraId="6D6DCE0B">
            <w:pPr>
              <w:pStyle w:val="220"/>
              <w:spacing w:line="240" w:lineRule="auto"/>
              <w:jc w:val="left"/>
              <w:rPr>
                <w:highlight w:val="none"/>
              </w:rPr>
            </w:pPr>
            <w:r>
              <w:rPr>
                <w:highlight w:val="none"/>
              </w:rPr>
              <w:t>楚天杯（湖北）</w:t>
            </w:r>
          </w:p>
        </w:tc>
      </w:tr>
      <w:tr w14:paraId="0FA9873E">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14:paraId="222E4C1E">
            <w:pPr>
              <w:pStyle w:val="220"/>
              <w:spacing w:line="240" w:lineRule="auto"/>
              <w:jc w:val="left"/>
              <w:rPr>
                <w:highlight w:val="none"/>
              </w:rPr>
            </w:pPr>
            <w:r>
              <w:rPr>
                <w:highlight w:val="none"/>
              </w:rPr>
              <w:t>巴渝杯（重庆）</w:t>
            </w:r>
          </w:p>
        </w:tc>
        <w:tc>
          <w:tcPr>
            <w:tcW w:w="3096" w:type="dxa"/>
            <w:tcBorders>
              <w:top w:val="single" w:color="auto" w:sz="4" w:space="0"/>
              <w:left w:val="single" w:color="auto" w:sz="4" w:space="0"/>
            </w:tcBorders>
            <w:shd w:val="clear" w:color="auto" w:fill="FFFFFF"/>
            <w:noWrap/>
          </w:tcPr>
          <w:p w14:paraId="2D58A5BF">
            <w:pPr>
              <w:pStyle w:val="220"/>
              <w:spacing w:line="240" w:lineRule="auto"/>
              <w:jc w:val="left"/>
              <w:rPr>
                <w:highlight w:val="none"/>
              </w:rPr>
            </w:pPr>
            <w:r>
              <w:rPr>
                <w:highlight w:val="none"/>
              </w:rPr>
              <w:t>江河源杯（青海）</w:t>
            </w:r>
          </w:p>
        </w:tc>
        <w:tc>
          <w:tcPr>
            <w:tcW w:w="3118" w:type="dxa"/>
            <w:tcBorders>
              <w:top w:val="single" w:color="auto" w:sz="4" w:space="0"/>
              <w:left w:val="single" w:color="auto" w:sz="4" w:space="0"/>
              <w:right w:val="single" w:color="auto" w:sz="4" w:space="0"/>
            </w:tcBorders>
            <w:shd w:val="clear" w:color="auto" w:fill="FFFFFF"/>
            <w:noWrap/>
          </w:tcPr>
          <w:p w14:paraId="0D677C47">
            <w:pPr>
              <w:pStyle w:val="220"/>
              <w:spacing w:line="240" w:lineRule="auto"/>
              <w:jc w:val="left"/>
              <w:rPr>
                <w:highlight w:val="none"/>
              </w:rPr>
            </w:pPr>
            <w:r>
              <w:rPr>
                <w:highlight w:val="none"/>
              </w:rPr>
              <w:t>芙蓉奖（湖南）</w:t>
            </w:r>
          </w:p>
        </w:tc>
      </w:tr>
      <w:tr w14:paraId="7476ECBE">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14:paraId="23D62ED2">
            <w:pPr>
              <w:pStyle w:val="220"/>
              <w:spacing w:line="240" w:lineRule="auto"/>
              <w:jc w:val="left"/>
              <w:rPr>
                <w:highlight w:val="none"/>
              </w:rPr>
            </w:pPr>
            <w:r>
              <w:rPr>
                <w:highlight w:val="none"/>
              </w:rPr>
              <w:t>龙江杯（黑龙江）</w:t>
            </w:r>
          </w:p>
        </w:tc>
        <w:tc>
          <w:tcPr>
            <w:tcW w:w="3096" w:type="dxa"/>
            <w:tcBorders>
              <w:top w:val="single" w:color="auto" w:sz="4" w:space="0"/>
              <w:left w:val="single" w:color="auto" w:sz="4" w:space="0"/>
            </w:tcBorders>
            <w:shd w:val="clear" w:color="auto" w:fill="FFFFFF"/>
            <w:noWrap/>
          </w:tcPr>
          <w:p w14:paraId="6531DFF0">
            <w:pPr>
              <w:pStyle w:val="220"/>
              <w:spacing w:line="240" w:lineRule="auto"/>
              <w:jc w:val="left"/>
              <w:rPr>
                <w:highlight w:val="none"/>
              </w:rPr>
            </w:pPr>
            <w:r>
              <w:rPr>
                <w:highlight w:val="none"/>
              </w:rPr>
              <w:t>天山奖（新疆）</w:t>
            </w:r>
          </w:p>
        </w:tc>
        <w:tc>
          <w:tcPr>
            <w:tcW w:w="3118" w:type="dxa"/>
            <w:tcBorders>
              <w:top w:val="single" w:color="auto" w:sz="4" w:space="0"/>
              <w:left w:val="single" w:color="auto" w:sz="4" w:space="0"/>
              <w:right w:val="single" w:color="auto" w:sz="4" w:space="0"/>
            </w:tcBorders>
            <w:shd w:val="clear" w:color="auto" w:fill="FFFFFF"/>
            <w:noWrap/>
          </w:tcPr>
          <w:p w14:paraId="22217773">
            <w:pPr>
              <w:pStyle w:val="220"/>
              <w:spacing w:line="240" w:lineRule="auto"/>
              <w:jc w:val="left"/>
              <w:rPr>
                <w:highlight w:val="none"/>
              </w:rPr>
            </w:pPr>
            <w:r>
              <w:rPr>
                <w:highlight w:val="none"/>
              </w:rPr>
              <w:t>天府杯（四川）</w:t>
            </w:r>
          </w:p>
        </w:tc>
      </w:tr>
      <w:tr w14:paraId="5C906966">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14:paraId="6F608F44">
            <w:pPr>
              <w:pStyle w:val="220"/>
              <w:spacing w:line="240" w:lineRule="auto"/>
              <w:jc w:val="left"/>
              <w:rPr>
                <w:highlight w:val="none"/>
              </w:rPr>
            </w:pPr>
            <w:r>
              <w:rPr>
                <w:highlight w:val="none"/>
              </w:rPr>
              <w:t>长白山杯（吉林）</w:t>
            </w:r>
          </w:p>
        </w:tc>
        <w:tc>
          <w:tcPr>
            <w:tcW w:w="3096" w:type="dxa"/>
            <w:tcBorders>
              <w:top w:val="single" w:color="auto" w:sz="4" w:space="0"/>
              <w:left w:val="single" w:color="auto" w:sz="4" w:space="0"/>
            </w:tcBorders>
            <w:shd w:val="clear" w:color="auto" w:fill="FFFFFF"/>
            <w:noWrap/>
          </w:tcPr>
          <w:p w14:paraId="7447EC6F">
            <w:pPr>
              <w:pStyle w:val="220"/>
              <w:spacing w:line="240" w:lineRule="auto"/>
              <w:jc w:val="left"/>
              <w:rPr>
                <w:highlight w:val="none"/>
              </w:rPr>
            </w:pPr>
            <w:r>
              <w:rPr>
                <w:highlight w:val="none"/>
              </w:rPr>
              <w:t>雪莲杯（西藏）</w:t>
            </w:r>
          </w:p>
        </w:tc>
        <w:tc>
          <w:tcPr>
            <w:tcW w:w="3118" w:type="dxa"/>
            <w:tcBorders>
              <w:top w:val="single" w:color="auto" w:sz="4" w:space="0"/>
              <w:left w:val="single" w:color="auto" w:sz="4" w:space="0"/>
              <w:right w:val="single" w:color="auto" w:sz="4" w:space="0"/>
            </w:tcBorders>
            <w:shd w:val="clear" w:color="auto" w:fill="FFFFFF"/>
            <w:noWrap/>
          </w:tcPr>
          <w:p w14:paraId="73ECDAC6">
            <w:pPr>
              <w:pStyle w:val="220"/>
              <w:spacing w:line="240" w:lineRule="auto"/>
              <w:jc w:val="left"/>
              <w:rPr>
                <w:highlight w:val="none"/>
              </w:rPr>
            </w:pPr>
            <w:r>
              <w:rPr>
                <w:highlight w:val="none"/>
              </w:rPr>
              <w:t>云南省优质工程（云南）</w:t>
            </w:r>
          </w:p>
        </w:tc>
      </w:tr>
      <w:tr w14:paraId="58F69FE2">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14:paraId="57E965EA">
            <w:pPr>
              <w:pStyle w:val="220"/>
              <w:spacing w:line="240" w:lineRule="auto"/>
              <w:jc w:val="left"/>
              <w:rPr>
                <w:highlight w:val="none"/>
              </w:rPr>
            </w:pPr>
            <w:r>
              <w:rPr>
                <w:highlight w:val="none"/>
              </w:rPr>
              <w:t>世纪杯（辽宁）</w:t>
            </w:r>
          </w:p>
        </w:tc>
        <w:tc>
          <w:tcPr>
            <w:tcW w:w="3096" w:type="dxa"/>
            <w:tcBorders>
              <w:top w:val="single" w:color="auto" w:sz="4" w:space="0"/>
              <w:left w:val="single" w:color="auto" w:sz="4" w:space="0"/>
            </w:tcBorders>
            <w:shd w:val="clear" w:color="auto" w:fill="FFFFFF"/>
            <w:noWrap/>
          </w:tcPr>
          <w:p w14:paraId="012EE7F7">
            <w:pPr>
              <w:pStyle w:val="220"/>
              <w:spacing w:line="240" w:lineRule="auto"/>
              <w:jc w:val="left"/>
              <w:rPr>
                <w:highlight w:val="none"/>
              </w:rPr>
            </w:pPr>
            <w:r>
              <w:rPr>
                <w:highlight w:val="none"/>
              </w:rPr>
              <w:t>安济杯（河北）</w:t>
            </w:r>
          </w:p>
        </w:tc>
        <w:tc>
          <w:tcPr>
            <w:tcW w:w="3118" w:type="dxa"/>
            <w:tcBorders>
              <w:top w:val="single" w:color="auto" w:sz="4" w:space="0"/>
              <w:left w:val="single" w:color="auto" w:sz="4" w:space="0"/>
              <w:right w:val="single" w:color="auto" w:sz="4" w:space="0"/>
            </w:tcBorders>
            <w:shd w:val="clear" w:color="auto" w:fill="FFFFFF"/>
            <w:noWrap/>
          </w:tcPr>
          <w:p w14:paraId="21BA3400">
            <w:pPr>
              <w:pStyle w:val="220"/>
              <w:spacing w:line="240" w:lineRule="auto"/>
              <w:jc w:val="left"/>
              <w:rPr>
                <w:highlight w:val="none"/>
              </w:rPr>
            </w:pPr>
            <w:r>
              <w:rPr>
                <w:highlight w:val="none"/>
              </w:rPr>
              <w:t>黄果树杯（贵州）</w:t>
            </w:r>
          </w:p>
        </w:tc>
      </w:tr>
      <w:tr w14:paraId="0A2B33C1">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14:paraId="7835D2D7">
            <w:pPr>
              <w:pStyle w:val="220"/>
              <w:spacing w:line="240" w:lineRule="auto"/>
              <w:jc w:val="left"/>
              <w:rPr>
                <w:highlight w:val="none"/>
              </w:rPr>
            </w:pPr>
            <w:r>
              <w:rPr>
                <w:highlight w:val="none"/>
              </w:rPr>
              <w:t>草原杯（内蒙古）</w:t>
            </w:r>
          </w:p>
        </w:tc>
        <w:tc>
          <w:tcPr>
            <w:tcW w:w="3096" w:type="dxa"/>
            <w:tcBorders>
              <w:top w:val="single" w:color="auto" w:sz="4" w:space="0"/>
              <w:left w:val="single" w:color="auto" w:sz="4" w:space="0"/>
            </w:tcBorders>
            <w:shd w:val="clear" w:color="auto" w:fill="FFFFFF"/>
            <w:noWrap/>
          </w:tcPr>
          <w:p w14:paraId="08E8A1FE">
            <w:pPr>
              <w:pStyle w:val="220"/>
              <w:spacing w:line="240" w:lineRule="auto"/>
              <w:jc w:val="left"/>
              <w:rPr>
                <w:highlight w:val="none"/>
              </w:rPr>
            </w:pPr>
            <w:r>
              <w:rPr>
                <w:highlight w:val="none"/>
              </w:rPr>
              <w:t>中州杯（河南）</w:t>
            </w:r>
          </w:p>
        </w:tc>
        <w:tc>
          <w:tcPr>
            <w:tcW w:w="3118" w:type="dxa"/>
            <w:tcBorders>
              <w:top w:val="single" w:color="auto" w:sz="4" w:space="0"/>
              <w:left w:val="single" w:color="auto" w:sz="4" w:space="0"/>
              <w:right w:val="single" w:color="auto" w:sz="4" w:space="0"/>
            </w:tcBorders>
            <w:shd w:val="clear" w:color="auto" w:fill="FFFFFF"/>
            <w:noWrap/>
          </w:tcPr>
          <w:p w14:paraId="48FC924F">
            <w:pPr>
              <w:pStyle w:val="220"/>
              <w:spacing w:line="240" w:lineRule="auto"/>
              <w:jc w:val="left"/>
              <w:rPr>
                <w:highlight w:val="none"/>
              </w:rPr>
            </w:pPr>
            <w:r>
              <w:rPr>
                <w:highlight w:val="none"/>
              </w:rPr>
              <w:t>金匠奖（广东）</w:t>
            </w:r>
          </w:p>
        </w:tc>
      </w:tr>
      <w:tr w14:paraId="5328F280">
        <w:tblPrEx>
          <w:tblCellMar>
            <w:top w:w="0" w:type="dxa"/>
            <w:left w:w="10" w:type="dxa"/>
            <w:bottom w:w="0" w:type="dxa"/>
            <w:right w:w="10" w:type="dxa"/>
          </w:tblCellMar>
        </w:tblPrEx>
        <w:trPr>
          <w:trHeight w:val="629" w:hRule="exact"/>
        </w:trPr>
        <w:tc>
          <w:tcPr>
            <w:tcW w:w="3110" w:type="dxa"/>
            <w:tcBorders>
              <w:top w:val="single" w:color="auto" w:sz="4" w:space="0"/>
              <w:left w:val="single" w:color="auto" w:sz="4" w:space="0"/>
            </w:tcBorders>
            <w:shd w:val="clear" w:color="auto" w:fill="FFFFFF"/>
            <w:noWrap/>
          </w:tcPr>
          <w:p w14:paraId="44EE5A9A">
            <w:pPr>
              <w:pStyle w:val="220"/>
              <w:spacing w:line="240" w:lineRule="auto"/>
              <w:jc w:val="left"/>
              <w:rPr>
                <w:highlight w:val="none"/>
              </w:rPr>
            </w:pPr>
            <w:r>
              <w:rPr>
                <w:highlight w:val="none"/>
              </w:rPr>
              <w:t>汾水杯（山西）</w:t>
            </w:r>
          </w:p>
        </w:tc>
        <w:tc>
          <w:tcPr>
            <w:tcW w:w="3096" w:type="dxa"/>
            <w:tcBorders>
              <w:top w:val="single" w:color="auto" w:sz="4" w:space="0"/>
              <w:left w:val="single" w:color="auto" w:sz="4" w:space="0"/>
            </w:tcBorders>
            <w:shd w:val="clear" w:color="auto" w:fill="FFFFFF"/>
            <w:noWrap/>
          </w:tcPr>
          <w:p w14:paraId="2A8CA3A8">
            <w:pPr>
              <w:pStyle w:val="220"/>
              <w:spacing w:line="240" w:lineRule="auto"/>
              <w:jc w:val="left"/>
              <w:rPr>
                <w:highlight w:val="none"/>
              </w:rPr>
            </w:pPr>
            <w:r>
              <w:rPr>
                <w:highlight w:val="none"/>
              </w:rPr>
              <w:t>扬子杯（江苏）</w:t>
            </w:r>
          </w:p>
        </w:tc>
        <w:tc>
          <w:tcPr>
            <w:tcW w:w="3118" w:type="dxa"/>
            <w:tcBorders>
              <w:top w:val="single" w:color="auto" w:sz="4" w:space="0"/>
              <w:left w:val="single" w:color="auto" w:sz="4" w:space="0"/>
              <w:right w:val="single" w:color="auto" w:sz="4" w:space="0"/>
            </w:tcBorders>
            <w:shd w:val="clear" w:color="auto" w:fill="FFFFFF"/>
            <w:noWrap/>
          </w:tcPr>
          <w:p w14:paraId="17826FD8">
            <w:pPr>
              <w:pStyle w:val="220"/>
              <w:spacing w:line="240" w:lineRule="auto"/>
              <w:jc w:val="left"/>
              <w:rPr>
                <w:highlight w:val="none"/>
              </w:rPr>
            </w:pPr>
            <w:r>
              <w:rPr>
                <w:highlight w:val="none"/>
              </w:rPr>
              <w:t>广西</w:t>
            </w:r>
            <w:r>
              <w:rPr>
                <w:rFonts w:hint="eastAsia"/>
                <w:highlight w:val="none"/>
                <w:lang w:eastAsia="zh-CN"/>
              </w:rPr>
              <w:t>建设工程“真武阁杯”奖</w:t>
            </w:r>
            <w:r>
              <w:rPr>
                <w:highlight w:val="none"/>
              </w:rPr>
              <w:t>（广西）</w:t>
            </w:r>
          </w:p>
        </w:tc>
      </w:tr>
      <w:tr w14:paraId="7CAB43CD">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14:paraId="6BC293F4">
            <w:pPr>
              <w:pStyle w:val="220"/>
              <w:spacing w:line="240" w:lineRule="auto"/>
              <w:jc w:val="left"/>
              <w:rPr>
                <w:highlight w:val="none"/>
              </w:rPr>
            </w:pPr>
            <w:r>
              <w:rPr>
                <w:highlight w:val="none"/>
              </w:rPr>
              <w:t>绿岛杯（海南）</w:t>
            </w:r>
          </w:p>
        </w:tc>
        <w:tc>
          <w:tcPr>
            <w:tcW w:w="3096" w:type="dxa"/>
            <w:tcBorders>
              <w:top w:val="single" w:color="auto" w:sz="4" w:space="0"/>
              <w:left w:val="single" w:color="auto" w:sz="4" w:space="0"/>
            </w:tcBorders>
            <w:shd w:val="clear" w:color="auto" w:fill="FFFFFF"/>
            <w:noWrap/>
          </w:tcPr>
          <w:p w14:paraId="29077BAF">
            <w:pPr>
              <w:pStyle w:val="220"/>
              <w:spacing w:line="240" w:lineRule="auto"/>
              <w:jc w:val="left"/>
              <w:rPr>
                <w:highlight w:val="none"/>
              </w:rPr>
            </w:pPr>
            <w:r>
              <w:rPr>
                <w:highlight w:val="none"/>
              </w:rPr>
              <w:t>省级样板工程、样板工地</w:t>
            </w:r>
          </w:p>
        </w:tc>
        <w:tc>
          <w:tcPr>
            <w:tcW w:w="3118" w:type="dxa"/>
            <w:tcBorders>
              <w:top w:val="single" w:color="auto" w:sz="4" w:space="0"/>
              <w:left w:val="single" w:color="auto" w:sz="4" w:space="0"/>
              <w:right w:val="single" w:color="auto" w:sz="4" w:space="0"/>
            </w:tcBorders>
            <w:shd w:val="clear" w:color="auto" w:fill="FFFFFF"/>
            <w:noWrap/>
          </w:tcPr>
          <w:p w14:paraId="15190673">
            <w:pPr>
              <w:pStyle w:val="220"/>
              <w:spacing w:line="240" w:lineRule="auto"/>
              <w:jc w:val="left"/>
              <w:rPr>
                <w:highlight w:val="none"/>
              </w:rPr>
            </w:pPr>
            <w:r>
              <w:rPr>
                <w:highlight w:val="none"/>
              </w:rPr>
              <w:t>省级双优</w:t>
            </w:r>
          </w:p>
        </w:tc>
      </w:tr>
      <w:tr w14:paraId="68482921">
        <w:tblPrEx>
          <w:tblCellMar>
            <w:top w:w="0" w:type="dxa"/>
            <w:left w:w="10" w:type="dxa"/>
            <w:bottom w:w="0" w:type="dxa"/>
            <w:right w:w="10" w:type="dxa"/>
          </w:tblCellMar>
        </w:tblPrEx>
        <w:trPr>
          <w:trHeight w:val="446" w:hRule="exact"/>
        </w:trPr>
        <w:tc>
          <w:tcPr>
            <w:tcW w:w="9324" w:type="dxa"/>
            <w:gridSpan w:val="3"/>
            <w:tcBorders>
              <w:top w:val="single" w:color="auto" w:sz="4" w:space="0"/>
              <w:left w:val="single" w:color="auto" w:sz="4" w:space="0"/>
              <w:right w:val="single" w:color="auto" w:sz="4" w:space="0"/>
            </w:tcBorders>
            <w:shd w:val="clear" w:color="auto" w:fill="FFFFFF"/>
            <w:noWrap/>
          </w:tcPr>
          <w:p w14:paraId="66943508">
            <w:pPr>
              <w:pStyle w:val="220"/>
              <w:spacing w:line="240" w:lineRule="auto"/>
              <w:jc w:val="left"/>
              <w:rPr>
                <w:highlight w:val="none"/>
              </w:rPr>
            </w:pPr>
            <w:r>
              <w:rPr>
                <w:highlight w:val="none"/>
              </w:rPr>
              <w:t>市奖</w:t>
            </w:r>
          </w:p>
        </w:tc>
      </w:tr>
      <w:tr w14:paraId="3C5F21DD">
        <w:tblPrEx>
          <w:tblCellMar>
            <w:top w:w="0" w:type="dxa"/>
            <w:left w:w="10" w:type="dxa"/>
            <w:bottom w:w="0" w:type="dxa"/>
            <w:right w:w="10" w:type="dxa"/>
          </w:tblCellMar>
        </w:tblPrEx>
        <w:trPr>
          <w:trHeight w:val="468" w:hRule="exact"/>
        </w:trPr>
        <w:tc>
          <w:tcPr>
            <w:tcW w:w="3110" w:type="dxa"/>
            <w:tcBorders>
              <w:top w:val="single" w:color="auto" w:sz="4" w:space="0"/>
              <w:left w:val="single" w:color="auto" w:sz="4" w:space="0"/>
              <w:bottom w:val="single" w:color="auto" w:sz="4" w:space="0"/>
            </w:tcBorders>
            <w:shd w:val="clear" w:color="auto" w:fill="FFFFFF"/>
            <w:noWrap/>
          </w:tcPr>
          <w:p w14:paraId="6ECC9FB1">
            <w:pPr>
              <w:pStyle w:val="220"/>
              <w:spacing w:line="240" w:lineRule="auto"/>
              <w:jc w:val="left"/>
              <w:rPr>
                <w:highlight w:val="none"/>
              </w:rPr>
            </w:pPr>
            <w:r>
              <w:rPr>
                <w:highlight w:val="none"/>
              </w:rPr>
              <w:t>市级优良样板工程</w:t>
            </w:r>
          </w:p>
        </w:tc>
        <w:tc>
          <w:tcPr>
            <w:tcW w:w="3096" w:type="dxa"/>
            <w:tcBorders>
              <w:top w:val="single" w:color="auto" w:sz="4" w:space="0"/>
              <w:left w:val="single" w:color="auto" w:sz="4" w:space="0"/>
              <w:bottom w:val="single" w:color="auto" w:sz="4" w:space="0"/>
            </w:tcBorders>
            <w:shd w:val="clear" w:color="auto" w:fill="FFFFFF"/>
            <w:noWrap/>
          </w:tcPr>
          <w:p w14:paraId="551AD80F">
            <w:pPr>
              <w:pStyle w:val="220"/>
              <w:spacing w:line="240" w:lineRule="auto"/>
              <w:jc w:val="left"/>
              <w:rPr>
                <w:highlight w:val="none"/>
              </w:rPr>
            </w:pPr>
            <w:r>
              <w:rPr>
                <w:highlight w:val="none"/>
              </w:rPr>
              <w:t>市级双优工地</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14:paraId="0F297AE7">
            <w:pPr>
              <w:rPr>
                <w:sz w:val="10"/>
                <w:szCs w:val="10"/>
                <w:highlight w:val="none"/>
              </w:rPr>
            </w:pPr>
          </w:p>
        </w:tc>
      </w:tr>
      <w:tr w14:paraId="169EA458">
        <w:tblPrEx>
          <w:tblCellMar>
            <w:top w:w="0" w:type="dxa"/>
            <w:left w:w="10" w:type="dxa"/>
            <w:bottom w:w="0" w:type="dxa"/>
            <w:right w:w="10" w:type="dxa"/>
          </w:tblCellMar>
        </w:tblPrEx>
        <w:trPr>
          <w:trHeight w:val="658" w:hRule="exact"/>
        </w:trPr>
        <w:tc>
          <w:tcPr>
            <w:tcW w:w="9324" w:type="dxa"/>
            <w:gridSpan w:val="3"/>
            <w:tcBorders>
              <w:top w:val="single" w:color="auto" w:sz="4" w:space="0"/>
              <w:left w:val="single" w:color="auto" w:sz="4" w:space="0"/>
              <w:bottom w:val="single" w:color="auto" w:sz="4" w:space="0"/>
              <w:right w:val="single" w:color="auto" w:sz="4" w:space="0"/>
            </w:tcBorders>
            <w:shd w:val="clear" w:color="auto" w:fill="FFFFFF"/>
            <w:noWrap/>
          </w:tcPr>
          <w:p w14:paraId="327DDB34">
            <w:pPr>
              <w:rPr>
                <w:sz w:val="10"/>
                <w:szCs w:val="10"/>
                <w:highlight w:val="none"/>
              </w:rPr>
            </w:pPr>
            <w:r>
              <w:rPr>
                <w:rFonts w:hint="eastAsia" w:ascii="宋体" w:hAnsi="宋体" w:cs="宋体"/>
                <w:sz w:val="20"/>
                <w:highlight w:val="none"/>
                <w:lang w:val="zh-TW" w:eastAsia="zh-TW" w:bidi="zh-TW"/>
              </w:rPr>
              <w:t>本表所述奖项如变更奖项名称或用另一奖项取代，需提供奖项颁发地建设行政主管部门（地级审以上） 的证明文件。</w:t>
            </w:r>
          </w:p>
        </w:tc>
      </w:tr>
    </w:tbl>
    <w:p w14:paraId="07AFFA3E">
      <w:pPr>
        <w:pStyle w:val="26"/>
        <w:rPr>
          <w:rFonts w:ascii="宋体" w:hAnsi="仿宋_GB2312"/>
          <w:highlight w:val="none"/>
        </w:rPr>
      </w:pPr>
    </w:p>
    <w:p w14:paraId="3E0C07FF">
      <w:pPr>
        <w:pStyle w:val="26"/>
        <w:rPr>
          <w:rFonts w:ascii="宋体" w:hAnsi="仿宋_GB2312"/>
          <w:highlight w:val="none"/>
        </w:rPr>
      </w:pPr>
    </w:p>
    <w:p w14:paraId="66C45AE1">
      <w:pPr>
        <w:pStyle w:val="26"/>
        <w:rPr>
          <w:rFonts w:ascii="宋体" w:hAnsi="仿宋_GB2312"/>
          <w:highlight w:val="none"/>
        </w:rPr>
      </w:pPr>
    </w:p>
    <w:p w14:paraId="74C908BB">
      <w:pPr>
        <w:widowControl/>
        <w:adjustRightInd w:val="0"/>
        <w:snapToGrid w:val="0"/>
        <w:spacing w:after="200" w:line="220" w:lineRule="atLeast"/>
        <w:jc w:val="left"/>
        <w:rPr>
          <w:szCs w:val="21"/>
          <w:highlight w:val="none"/>
        </w:rPr>
      </w:pPr>
      <w:r>
        <w:rPr>
          <w:rFonts w:ascii="宋体" w:hAnsi="宋体"/>
          <w:b/>
          <w:sz w:val="24"/>
          <w:highlight w:val="none"/>
        </w:rPr>
        <w:br w:type="page"/>
      </w:r>
      <w:r>
        <w:rPr>
          <w:rFonts w:hint="eastAsia" w:ascii="宋体" w:hAnsi="宋体"/>
          <w:b/>
          <w:sz w:val="24"/>
          <w:highlight w:val="none"/>
        </w:rPr>
        <w:t>1.3技术投标文件评分标准细则（ N =40分）</w:t>
      </w:r>
    </w:p>
    <w:p w14:paraId="3015538B">
      <w:pPr>
        <w:spacing w:line="320" w:lineRule="exact"/>
        <w:ind w:firstLine="548" w:firstLineChars="196"/>
        <w:jc w:val="center"/>
        <w:rPr>
          <w:rFonts w:ascii="宋体" w:hAnsi="宋体" w:cs="宋体"/>
          <w:sz w:val="28"/>
          <w:szCs w:val="28"/>
          <w:highlight w:val="none"/>
        </w:rPr>
      </w:pPr>
    </w:p>
    <w:tbl>
      <w:tblPr>
        <w:tblStyle w:val="49"/>
        <w:tblW w:w="9344"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221"/>
        <w:gridCol w:w="4111"/>
        <w:gridCol w:w="2877"/>
      </w:tblGrid>
      <w:tr w14:paraId="11491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1135" w:type="dxa"/>
            <w:noWrap/>
            <w:vAlign w:val="center"/>
          </w:tcPr>
          <w:p w14:paraId="54BA9266">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评分项</w:t>
            </w:r>
          </w:p>
          <w:p w14:paraId="7EEBB4BA">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内容</w:t>
            </w:r>
          </w:p>
        </w:tc>
        <w:tc>
          <w:tcPr>
            <w:tcW w:w="1221" w:type="dxa"/>
            <w:noWrap/>
            <w:vAlign w:val="center"/>
          </w:tcPr>
          <w:p w14:paraId="133FDA1C">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分值范围（100分）</w:t>
            </w:r>
          </w:p>
        </w:tc>
        <w:tc>
          <w:tcPr>
            <w:tcW w:w="4111" w:type="dxa"/>
            <w:noWrap/>
            <w:vAlign w:val="center"/>
          </w:tcPr>
          <w:p w14:paraId="3D435A0C">
            <w:pPr>
              <w:pStyle w:val="43"/>
              <w:snapToGrid w:val="0"/>
              <w:spacing w:before="0" w:after="0" w:line="320" w:lineRule="exact"/>
              <w:ind w:firstLine="480" w:firstLineChars="200"/>
              <w:contextualSpacing/>
              <w:jc w:val="center"/>
              <w:rPr>
                <w:rFonts w:cs="宋体"/>
                <w:bCs/>
                <w:sz w:val="24"/>
                <w:szCs w:val="24"/>
                <w:highlight w:val="none"/>
              </w:rPr>
            </w:pPr>
            <w:r>
              <w:rPr>
                <w:rFonts w:hint="eastAsia" w:cs="宋体"/>
                <w:bCs/>
                <w:sz w:val="24"/>
                <w:szCs w:val="24"/>
                <w:highlight w:val="none"/>
              </w:rPr>
              <w:t>评分标准</w:t>
            </w:r>
          </w:p>
        </w:tc>
        <w:tc>
          <w:tcPr>
            <w:tcW w:w="2877" w:type="dxa"/>
            <w:noWrap/>
            <w:vAlign w:val="center"/>
          </w:tcPr>
          <w:p w14:paraId="6683A931">
            <w:pPr>
              <w:pStyle w:val="43"/>
              <w:snapToGrid w:val="0"/>
              <w:spacing w:before="0" w:after="0" w:line="320" w:lineRule="exact"/>
              <w:ind w:firstLine="480" w:firstLineChars="200"/>
              <w:contextualSpacing/>
              <w:jc w:val="center"/>
              <w:rPr>
                <w:rFonts w:cs="宋体"/>
                <w:bCs/>
                <w:sz w:val="24"/>
                <w:szCs w:val="24"/>
                <w:highlight w:val="none"/>
              </w:rPr>
            </w:pPr>
            <w:r>
              <w:rPr>
                <w:rFonts w:hint="eastAsia" w:cs="宋体"/>
                <w:bCs/>
                <w:sz w:val="24"/>
                <w:szCs w:val="24"/>
                <w:highlight w:val="none"/>
              </w:rPr>
              <w:t>评价得分</w:t>
            </w:r>
          </w:p>
        </w:tc>
      </w:tr>
      <w:tr w14:paraId="24603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restart"/>
            <w:noWrap/>
            <w:vAlign w:val="center"/>
          </w:tcPr>
          <w:p w14:paraId="788472BA">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监理大纲内容</w:t>
            </w:r>
          </w:p>
          <w:p w14:paraId="2DF32845">
            <w:pPr>
              <w:pStyle w:val="43"/>
              <w:snapToGrid w:val="0"/>
              <w:spacing w:before="0" w:after="0" w:line="320" w:lineRule="exact"/>
              <w:contextualSpacing/>
              <w:jc w:val="center"/>
              <w:rPr>
                <w:rFonts w:cs="宋体"/>
                <w:bCs/>
                <w:sz w:val="24"/>
                <w:szCs w:val="24"/>
                <w:highlight w:val="none"/>
              </w:rPr>
            </w:pPr>
          </w:p>
        </w:tc>
        <w:tc>
          <w:tcPr>
            <w:tcW w:w="1221" w:type="dxa"/>
            <w:noWrap/>
            <w:vAlign w:val="center"/>
          </w:tcPr>
          <w:p w14:paraId="563BE101">
            <w:pPr>
              <w:pStyle w:val="43"/>
              <w:snapToGrid w:val="0"/>
              <w:spacing w:before="0" w:after="0" w:line="320" w:lineRule="exact"/>
              <w:contextualSpacing/>
              <w:jc w:val="center"/>
              <w:rPr>
                <w:rFonts w:cs="宋体"/>
                <w:bCs/>
                <w:sz w:val="24"/>
                <w:highlight w:val="none"/>
              </w:rPr>
            </w:pPr>
            <w:r>
              <w:rPr>
                <w:rFonts w:hint="eastAsia" w:cs="宋体"/>
                <w:bCs/>
                <w:sz w:val="24"/>
                <w:highlight w:val="none"/>
              </w:rPr>
              <w:t>12分</w:t>
            </w:r>
          </w:p>
        </w:tc>
        <w:tc>
          <w:tcPr>
            <w:tcW w:w="4111" w:type="dxa"/>
            <w:noWrap/>
            <w:vAlign w:val="center"/>
          </w:tcPr>
          <w:p w14:paraId="5A0873F4">
            <w:pPr>
              <w:pStyle w:val="43"/>
              <w:snapToGrid w:val="0"/>
              <w:spacing w:before="0" w:after="0" w:line="320" w:lineRule="exact"/>
              <w:contextualSpacing/>
              <w:jc w:val="both"/>
              <w:rPr>
                <w:rFonts w:cs="宋体"/>
                <w:bCs/>
                <w:sz w:val="24"/>
                <w:highlight w:val="none"/>
              </w:rPr>
            </w:pPr>
            <w:r>
              <w:rPr>
                <w:rFonts w:hint="eastAsia" w:cs="宋体"/>
                <w:bCs/>
                <w:sz w:val="24"/>
                <w:highlight w:val="none"/>
              </w:rPr>
              <w:t>监理大纲的内容是否全面。按照招标文件要求内容全面进行了阐述，对本工程的各分项工程，从准备、实施、竣工到保修的每一道工序都能较详尽地阐述监理工作计划采取的手段、方法、措施和作用。</w:t>
            </w:r>
          </w:p>
        </w:tc>
        <w:tc>
          <w:tcPr>
            <w:tcW w:w="2877" w:type="dxa"/>
            <w:noWrap/>
            <w:vAlign w:val="center"/>
          </w:tcPr>
          <w:p w14:paraId="27A41E3E">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细详：9～12分；</w:t>
            </w:r>
          </w:p>
          <w:p w14:paraId="520B39F4">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较好：5～8分；</w:t>
            </w:r>
          </w:p>
          <w:p w14:paraId="4096A76E">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一般：1～4分；</w:t>
            </w:r>
          </w:p>
          <w:p w14:paraId="6E669A9C">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差（不提供或没有相关评分内容）：0分。</w:t>
            </w:r>
          </w:p>
        </w:tc>
      </w:tr>
      <w:tr w14:paraId="2237F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tcBorders>
              <w:bottom w:val="single" w:color="auto" w:sz="4" w:space="0"/>
            </w:tcBorders>
            <w:noWrap/>
            <w:vAlign w:val="center"/>
          </w:tcPr>
          <w:p w14:paraId="25217608">
            <w:pPr>
              <w:pStyle w:val="43"/>
              <w:snapToGrid w:val="0"/>
              <w:spacing w:before="0" w:after="0" w:line="320" w:lineRule="exact"/>
              <w:ind w:firstLine="480" w:firstLineChars="200"/>
              <w:contextualSpacing/>
              <w:jc w:val="center"/>
              <w:rPr>
                <w:rFonts w:cs="宋体"/>
                <w:bCs/>
                <w:sz w:val="24"/>
                <w:szCs w:val="24"/>
                <w:highlight w:val="none"/>
              </w:rPr>
            </w:pPr>
          </w:p>
        </w:tc>
        <w:tc>
          <w:tcPr>
            <w:tcW w:w="1221" w:type="dxa"/>
            <w:noWrap/>
            <w:vAlign w:val="center"/>
          </w:tcPr>
          <w:p w14:paraId="788A80AC">
            <w:pPr>
              <w:pStyle w:val="43"/>
              <w:snapToGrid w:val="0"/>
              <w:spacing w:before="0" w:after="0" w:line="320" w:lineRule="exact"/>
              <w:contextualSpacing/>
              <w:jc w:val="center"/>
              <w:rPr>
                <w:rFonts w:cs="宋体"/>
                <w:bCs/>
                <w:sz w:val="24"/>
                <w:highlight w:val="none"/>
              </w:rPr>
            </w:pPr>
            <w:r>
              <w:rPr>
                <w:rFonts w:hint="eastAsia" w:cs="宋体"/>
                <w:bCs/>
                <w:sz w:val="24"/>
                <w:highlight w:val="none"/>
              </w:rPr>
              <w:t>8分</w:t>
            </w:r>
          </w:p>
        </w:tc>
        <w:tc>
          <w:tcPr>
            <w:tcW w:w="4111" w:type="dxa"/>
            <w:noWrap/>
            <w:vAlign w:val="center"/>
          </w:tcPr>
          <w:p w14:paraId="5BFB7C54">
            <w:pPr>
              <w:pStyle w:val="43"/>
              <w:snapToGrid w:val="0"/>
              <w:spacing w:before="0" w:after="0" w:line="320" w:lineRule="exact"/>
              <w:contextualSpacing/>
              <w:jc w:val="both"/>
              <w:rPr>
                <w:rFonts w:cs="宋体"/>
                <w:bCs/>
                <w:sz w:val="24"/>
                <w:highlight w:val="none"/>
              </w:rPr>
            </w:pPr>
            <w:r>
              <w:rPr>
                <w:rFonts w:hint="eastAsia" w:cs="宋体"/>
                <w:bCs/>
                <w:sz w:val="24"/>
                <w:highlight w:val="none"/>
              </w:rPr>
              <w:t>监理大纲中对相关协调管理职能是否明确。</w:t>
            </w:r>
          </w:p>
        </w:tc>
        <w:tc>
          <w:tcPr>
            <w:tcW w:w="2877" w:type="dxa"/>
            <w:noWrap/>
            <w:vAlign w:val="center"/>
          </w:tcPr>
          <w:p w14:paraId="0A7B8D5C">
            <w:pPr>
              <w:pStyle w:val="43"/>
              <w:snapToGrid w:val="0"/>
              <w:spacing w:before="0" w:after="0" w:line="320" w:lineRule="exact"/>
              <w:contextualSpacing/>
              <w:jc w:val="both"/>
              <w:rPr>
                <w:rFonts w:cs="宋体"/>
                <w:bCs/>
                <w:sz w:val="24"/>
                <w:highlight w:val="none"/>
              </w:rPr>
            </w:pPr>
            <w:r>
              <w:rPr>
                <w:rFonts w:hint="eastAsia" w:cs="宋体"/>
                <w:bCs/>
                <w:sz w:val="24"/>
                <w:highlight w:val="none"/>
              </w:rPr>
              <w:t>细详：6～8分；</w:t>
            </w:r>
          </w:p>
          <w:p w14:paraId="747CF95F">
            <w:pPr>
              <w:pStyle w:val="43"/>
              <w:snapToGrid w:val="0"/>
              <w:spacing w:before="0" w:after="0" w:line="320" w:lineRule="exact"/>
              <w:contextualSpacing/>
              <w:jc w:val="both"/>
              <w:rPr>
                <w:rFonts w:cs="宋体"/>
                <w:bCs/>
                <w:sz w:val="24"/>
                <w:highlight w:val="none"/>
              </w:rPr>
            </w:pPr>
            <w:r>
              <w:rPr>
                <w:rFonts w:hint="eastAsia" w:cs="宋体"/>
                <w:bCs/>
                <w:sz w:val="24"/>
                <w:highlight w:val="none"/>
              </w:rPr>
              <w:t>较好：3～5分；</w:t>
            </w:r>
          </w:p>
          <w:p w14:paraId="5397A491">
            <w:pPr>
              <w:pStyle w:val="43"/>
              <w:snapToGrid w:val="0"/>
              <w:spacing w:before="0" w:after="0" w:line="320" w:lineRule="exact"/>
              <w:contextualSpacing/>
              <w:jc w:val="both"/>
              <w:rPr>
                <w:rFonts w:cs="宋体"/>
                <w:bCs/>
                <w:sz w:val="24"/>
                <w:highlight w:val="none"/>
              </w:rPr>
            </w:pPr>
            <w:r>
              <w:rPr>
                <w:rFonts w:hint="eastAsia" w:cs="宋体"/>
                <w:bCs/>
                <w:sz w:val="24"/>
                <w:highlight w:val="none"/>
              </w:rPr>
              <w:t>一般：1～2分；</w:t>
            </w:r>
          </w:p>
          <w:p w14:paraId="1A186431">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2140E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restart"/>
            <w:noWrap/>
            <w:vAlign w:val="center"/>
          </w:tcPr>
          <w:p w14:paraId="18EFB7C8">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质量安全控制</w:t>
            </w:r>
          </w:p>
        </w:tc>
        <w:tc>
          <w:tcPr>
            <w:tcW w:w="1221" w:type="dxa"/>
            <w:noWrap/>
            <w:vAlign w:val="center"/>
          </w:tcPr>
          <w:p w14:paraId="44D72A7E">
            <w:pPr>
              <w:pStyle w:val="43"/>
              <w:snapToGrid w:val="0"/>
              <w:spacing w:before="0" w:after="0" w:line="320" w:lineRule="exact"/>
              <w:contextualSpacing/>
              <w:jc w:val="center"/>
              <w:rPr>
                <w:rFonts w:cs="宋体"/>
                <w:bCs/>
                <w:sz w:val="24"/>
                <w:highlight w:val="none"/>
              </w:rPr>
            </w:pPr>
            <w:r>
              <w:rPr>
                <w:rFonts w:hint="eastAsia" w:cs="宋体"/>
                <w:bCs/>
                <w:sz w:val="24"/>
                <w:highlight w:val="none"/>
              </w:rPr>
              <w:t>13分</w:t>
            </w:r>
          </w:p>
        </w:tc>
        <w:tc>
          <w:tcPr>
            <w:tcW w:w="4111" w:type="dxa"/>
            <w:noWrap/>
            <w:vAlign w:val="center"/>
          </w:tcPr>
          <w:p w14:paraId="372CC5BB">
            <w:pPr>
              <w:pStyle w:val="43"/>
              <w:snapToGrid w:val="0"/>
              <w:spacing w:before="0" w:after="0" w:line="320" w:lineRule="exact"/>
              <w:contextualSpacing/>
              <w:jc w:val="both"/>
              <w:rPr>
                <w:rFonts w:cs="宋体"/>
                <w:bCs/>
                <w:sz w:val="24"/>
                <w:highlight w:val="none"/>
              </w:rPr>
            </w:pPr>
            <w:r>
              <w:rPr>
                <w:rFonts w:hint="eastAsia" w:cs="宋体"/>
                <w:bCs/>
                <w:sz w:val="24"/>
                <w:highlight w:val="none"/>
              </w:rPr>
              <w:t>质量控制的保证措施手段是否科学、可靠。对各分项工程，从准备、实施、竣工到项目的保修阶段的每一道工序，监理所采取的质量控制措施、方法。质量控制计划与实际质量产生较大差距时，从措施的可行和效果上进行分析评分。</w:t>
            </w:r>
          </w:p>
        </w:tc>
        <w:tc>
          <w:tcPr>
            <w:tcW w:w="2877" w:type="dxa"/>
            <w:noWrap/>
            <w:vAlign w:val="center"/>
          </w:tcPr>
          <w:p w14:paraId="702CC8C5">
            <w:pPr>
              <w:pStyle w:val="43"/>
              <w:snapToGrid w:val="0"/>
              <w:spacing w:before="0" w:after="0" w:line="320" w:lineRule="exact"/>
              <w:contextualSpacing/>
              <w:jc w:val="both"/>
              <w:rPr>
                <w:rFonts w:cs="宋体"/>
                <w:bCs/>
                <w:sz w:val="24"/>
                <w:highlight w:val="none"/>
              </w:rPr>
            </w:pPr>
            <w:r>
              <w:rPr>
                <w:rFonts w:hint="eastAsia" w:cs="宋体"/>
                <w:bCs/>
                <w:sz w:val="24"/>
                <w:highlight w:val="none"/>
              </w:rPr>
              <w:t>细详：10～13分；</w:t>
            </w:r>
          </w:p>
          <w:p w14:paraId="09425F1D">
            <w:pPr>
              <w:pStyle w:val="43"/>
              <w:snapToGrid w:val="0"/>
              <w:spacing w:before="0" w:after="0" w:line="320" w:lineRule="exact"/>
              <w:contextualSpacing/>
              <w:jc w:val="both"/>
              <w:rPr>
                <w:rFonts w:cs="宋体"/>
                <w:bCs/>
                <w:sz w:val="24"/>
                <w:highlight w:val="none"/>
              </w:rPr>
            </w:pPr>
            <w:r>
              <w:rPr>
                <w:rFonts w:hint="eastAsia" w:cs="宋体"/>
                <w:bCs/>
                <w:sz w:val="24"/>
                <w:highlight w:val="none"/>
              </w:rPr>
              <w:t>较好：5～9分；</w:t>
            </w:r>
          </w:p>
          <w:p w14:paraId="22FDA2C0">
            <w:pPr>
              <w:pStyle w:val="43"/>
              <w:snapToGrid w:val="0"/>
              <w:spacing w:before="0" w:after="0" w:line="320" w:lineRule="exact"/>
              <w:contextualSpacing/>
              <w:jc w:val="both"/>
              <w:rPr>
                <w:rFonts w:cs="宋体"/>
                <w:bCs/>
                <w:sz w:val="24"/>
                <w:highlight w:val="none"/>
              </w:rPr>
            </w:pPr>
            <w:r>
              <w:rPr>
                <w:rFonts w:hint="eastAsia" w:cs="宋体"/>
                <w:bCs/>
                <w:sz w:val="24"/>
                <w:highlight w:val="none"/>
              </w:rPr>
              <w:t>一般：1～4分；</w:t>
            </w:r>
          </w:p>
          <w:p w14:paraId="0F419E6D">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2A79C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vMerge w:val="continue"/>
            <w:tcBorders>
              <w:bottom w:val="single" w:color="auto" w:sz="4" w:space="0"/>
            </w:tcBorders>
            <w:noWrap/>
            <w:vAlign w:val="center"/>
          </w:tcPr>
          <w:p w14:paraId="46CC8C72">
            <w:pPr>
              <w:pStyle w:val="43"/>
              <w:snapToGrid w:val="0"/>
              <w:spacing w:before="0" w:after="0" w:line="320" w:lineRule="exact"/>
              <w:ind w:firstLine="480" w:firstLineChars="200"/>
              <w:contextualSpacing/>
              <w:jc w:val="center"/>
              <w:rPr>
                <w:rFonts w:cs="宋体"/>
                <w:bCs/>
                <w:sz w:val="24"/>
                <w:szCs w:val="24"/>
                <w:highlight w:val="none"/>
              </w:rPr>
            </w:pPr>
          </w:p>
        </w:tc>
        <w:tc>
          <w:tcPr>
            <w:tcW w:w="1221" w:type="dxa"/>
            <w:noWrap/>
            <w:vAlign w:val="center"/>
          </w:tcPr>
          <w:p w14:paraId="7124FBEC">
            <w:pPr>
              <w:pStyle w:val="43"/>
              <w:snapToGrid w:val="0"/>
              <w:spacing w:before="0" w:after="0" w:line="320" w:lineRule="exact"/>
              <w:contextualSpacing/>
              <w:jc w:val="center"/>
              <w:rPr>
                <w:rFonts w:cs="宋体"/>
                <w:bCs/>
                <w:sz w:val="24"/>
                <w:highlight w:val="none"/>
              </w:rPr>
            </w:pPr>
            <w:r>
              <w:rPr>
                <w:rFonts w:hint="eastAsia" w:cs="宋体"/>
                <w:bCs/>
                <w:sz w:val="24"/>
                <w:highlight w:val="none"/>
              </w:rPr>
              <w:t>12分</w:t>
            </w:r>
          </w:p>
        </w:tc>
        <w:tc>
          <w:tcPr>
            <w:tcW w:w="4111" w:type="dxa"/>
            <w:noWrap/>
            <w:vAlign w:val="center"/>
          </w:tcPr>
          <w:p w14:paraId="09A5A60E">
            <w:pPr>
              <w:pStyle w:val="43"/>
              <w:snapToGrid w:val="0"/>
              <w:spacing w:before="0" w:after="0" w:line="320" w:lineRule="exact"/>
              <w:contextualSpacing/>
              <w:jc w:val="both"/>
              <w:rPr>
                <w:rFonts w:cs="宋体"/>
                <w:bCs/>
                <w:sz w:val="24"/>
                <w:highlight w:val="none"/>
              </w:rPr>
            </w:pPr>
            <w:r>
              <w:rPr>
                <w:rFonts w:hint="eastAsia" w:cs="宋体"/>
                <w:bCs/>
                <w:sz w:val="24"/>
                <w:highlight w:val="none"/>
              </w:rPr>
              <w:t>现场安全、文明施工的管理措施是否全面。</w:t>
            </w:r>
          </w:p>
        </w:tc>
        <w:tc>
          <w:tcPr>
            <w:tcW w:w="2877" w:type="dxa"/>
            <w:noWrap/>
            <w:vAlign w:val="center"/>
          </w:tcPr>
          <w:p w14:paraId="46E1DFD1">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细详：9～12分；</w:t>
            </w:r>
          </w:p>
          <w:p w14:paraId="45381959">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较好：5～8分；</w:t>
            </w:r>
          </w:p>
          <w:p w14:paraId="37085DA8">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一般：1～4分；</w:t>
            </w:r>
          </w:p>
          <w:p w14:paraId="3948CBBB">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3E533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tcBorders>
              <w:top w:val="single" w:color="auto" w:sz="4" w:space="0"/>
              <w:bottom w:val="single" w:color="auto" w:sz="4" w:space="0"/>
            </w:tcBorders>
            <w:noWrap/>
            <w:vAlign w:val="center"/>
          </w:tcPr>
          <w:p w14:paraId="3A28C7A3">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关键部位的监控</w:t>
            </w:r>
          </w:p>
        </w:tc>
        <w:tc>
          <w:tcPr>
            <w:tcW w:w="1221" w:type="dxa"/>
            <w:noWrap/>
            <w:vAlign w:val="center"/>
          </w:tcPr>
          <w:p w14:paraId="180CC4B3">
            <w:pPr>
              <w:pStyle w:val="43"/>
              <w:snapToGrid w:val="0"/>
              <w:spacing w:before="0" w:after="0" w:line="320" w:lineRule="exact"/>
              <w:contextualSpacing/>
              <w:jc w:val="center"/>
              <w:rPr>
                <w:rFonts w:cs="宋体"/>
                <w:bCs/>
                <w:sz w:val="24"/>
                <w:highlight w:val="none"/>
              </w:rPr>
            </w:pPr>
            <w:r>
              <w:rPr>
                <w:rFonts w:hint="eastAsia" w:cs="宋体"/>
                <w:bCs/>
                <w:sz w:val="24"/>
                <w:highlight w:val="none"/>
              </w:rPr>
              <w:t>15分</w:t>
            </w:r>
          </w:p>
        </w:tc>
        <w:tc>
          <w:tcPr>
            <w:tcW w:w="4111" w:type="dxa"/>
            <w:noWrap/>
            <w:vAlign w:val="center"/>
          </w:tcPr>
          <w:p w14:paraId="0EF90F26">
            <w:pPr>
              <w:pStyle w:val="43"/>
              <w:snapToGrid w:val="0"/>
              <w:spacing w:before="0" w:after="0" w:line="320" w:lineRule="exact"/>
              <w:contextualSpacing/>
              <w:jc w:val="both"/>
              <w:rPr>
                <w:rFonts w:cs="宋体"/>
                <w:bCs/>
                <w:sz w:val="24"/>
                <w:highlight w:val="none"/>
              </w:rPr>
            </w:pPr>
            <w:r>
              <w:rPr>
                <w:rFonts w:hint="eastAsia" w:cs="宋体"/>
                <w:bCs/>
                <w:sz w:val="24"/>
                <w:highlight w:val="none"/>
              </w:rPr>
              <w:t>对工程施工的难点、要点、关键部分是否阐明及监理实施意见的可行性、内容全面性。</w:t>
            </w:r>
          </w:p>
        </w:tc>
        <w:tc>
          <w:tcPr>
            <w:tcW w:w="2877" w:type="dxa"/>
            <w:noWrap/>
            <w:vAlign w:val="center"/>
          </w:tcPr>
          <w:p w14:paraId="5DE70463">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细详：11～15分；</w:t>
            </w:r>
          </w:p>
          <w:p w14:paraId="4D48C4DC">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较好：6～10分；</w:t>
            </w:r>
          </w:p>
          <w:p w14:paraId="226705A1">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一般：1～5分；</w:t>
            </w:r>
          </w:p>
          <w:p w14:paraId="74938AD3">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54385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tcBorders>
              <w:top w:val="single" w:color="auto" w:sz="4" w:space="0"/>
            </w:tcBorders>
            <w:noWrap/>
            <w:vAlign w:val="center"/>
          </w:tcPr>
          <w:p w14:paraId="43804A06">
            <w:pPr>
              <w:pStyle w:val="43"/>
              <w:snapToGrid w:val="0"/>
              <w:spacing w:before="0" w:after="0" w:line="320" w:lineRule="exact"/>
              <w:ind w:firstLine="0" w:firstLineChars="0"/>
              <w:contextualSpacing/>
              <w:jc w:val="center"/>
              <w:rPr>
                <w:rFonts w:cs="宋体"/>
                <w:bCs/>
                <w:sz w:val="24"/>
                <w:szCs w:val="24"/>
                <w:highlight w:val="none"/>
              </w:rPr>
            </w:pPr>
            <w:r>
              <w:rPr>
                <w:rFonts w:hint="eastAsia" w:cs="宋体"/>
                <w:bCs/>
                <w:sz w:val="24"/>
                <w:szCs w:val="24"/>
                <w:highlight w:val="none"/>
              </w:rPr>
              <w:t>监理器具配备</w:t>
            </w:r>
          </w:p>
        </w:tc>
        <w:tc>
          <w:tcPr>
            <w:tcW w:w="1221" w:type="dxa"/>
            <w:noWrap/>
            <w:vAlign w:val="center"/>
          </w:tcPr>
          <w:p w14:paraId="02A9591E">
            <w:pPr>
              <w:pStyle w:val="43"/>
              <w:snapToGrid w:val="0"/>
              <w:spacing w:before="0" w:after="0" w:line="320" w:lineRule="exact"/>
              <w:contextualSpacing/>
              <w:jc w:val="center"/>
              <w:rPr>
                <w:rFonts w:cs="宋体"/>
                <w:bCs/>
                <w:sz w:val="24"/>
                <w:highlight w:val="none"/>
              </w:rPr>
            </w:pPr>
            <w:r>
              <w:rPr>
                <w:rFonts w:hint="eastAsia" w:cs="宋体"/>
                <w:bCs/>
                <w:sz w:val="24"/>
                <w:highlight w:val="none"/>
              </w:rPr>
              <w:t>10分</w:t>
            </w:r>
          </w:p>
        </w:tc>
        <w:tc>
          <w:tcPr>
            <w:tcW w:w="4111" w:type="dxa"/>
            <w:noWrap/>
            <w:vAlign w:val="center"/>
          </w:tcPr>
          <w:p w14:paraId="353524E4">
            <w:pPr>
              <w:pStyle w:val="43"/>
              <w:snapToGrid w:val="0"/>
              <w:spacing w:before="0" w:after="0" w:line="320" w:lineRule="exact"/>
              <w:contextualSpacing/>
              <w:jc w:val="both"/>
              <w:rPr>
                <w:rFonts w:cs="宋体"/>
                <w:bCs/>
                <w:sz w:val="24"/>
                <w:highlight w:val="none"/>
              </w:rPr>
            </w:pPr>
            <w:r>
              <w:rPr>
                <w:rFonts w:hint="eastAsia" w:cs="宋体"/>
                <w:bCs/>
                <w:sz w:val="24"/>
                <w:highlight w:val="none"/>
              </w:rPr>
              <w:t>根据所提供的工程检测仪器和工具的完整性，是否能满足工程要求</w:t>
            </w:r>
          </w:p>
        </w:tc>
        <w:tc>
          <w:tcPr>
            <w:tcW w:w="2877" w:type="dxa"/>
            <w:noWrap/>
            <w:vAlign w:val="center"/>
          </w:tcPr>
          <w:p w14:paraId="68C9FB64">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细详：7～10分；</w:t>
            </w:r>
          </w:p>
          <w:p w14:paraId="690DD69B">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较好：4～6分；</w:t>
            </w:r>
          </w:p>
          <w:p w14:paraId="42AA702B">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一般：1～3分；</w:t>
            </w:r>
          </w:p>
          <w:p w14:paraId="1F8FEB58">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0643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tcBorders>
              <w:bottom w:val="single" w:color="auto" w:sz="4" w:space="0"/>
            </w:tcBorders>
            <w:noWrap/>
            <w:vAlign w:val="center"/>
          </w:tcPr>
          <w:p w14:paraId="29575D2E">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进度控制手段</w:t>
            </w:r>
          </w:p>
        </w:tc>
        <w:tc>
          <w:tcPr>
            <w:tcW w:w="1221" w:type="dxa"/>
            <w:noWrap/>
            <w:vAlign w:val="center"/>
          </w:tcPr>
          <w:p w14:paraId="5B833876">
            <w:pPr>
              <w:pStyle w:val="43"/>
              <w:snapToGrid w:val="0"/>
              <w:spacing w:before="0" w:after="0" w:line="320" w:lineRule="exact"/>
              <w:contextualSpacing/>
              <w:jc w:val="center"/>
              <w:rPr>
                <w:rFonts w:cs="宋体"/>
                <w:bCs/>
                <w:sz w:val="24"/>
                <w:highlight w:val="none"/>
              </w:rPr>
            </w:pPr>
            <w:r>
              <w:rPr>
                <w:rFonts w:hint="eastAsia" w:cs="宋体"/>
                <w:bCs/>
                <w:sz w:val="24"/>
                <w:highlight w:val="none"/>
              </w:rPr>
              <w:t>10分</w:t>
            </w:r>
          </w:p>
        </w:tc>
        <w:tc>
          <w:tcPr>
            <w:tcW w:w="4111" w:type="dxa"/>
            <w:noWrap/>
            <w:vAlign w:val="center"/>
          </w:tcPr>
          <w:p w14:paraId="39DEA6A5">
            <w:pPr>
              <w:pStyle w:val="43"/>
              <w:snapToGrid w:val="0"/>
              <w:spacing w:before="0" w:after="0" w:line="320" w:lineRule="exact"/>
              <w:contextualSpacing/>
              <w:jc w:val="both"/>
              <w:rPr>
                <w:rFonts w:cs="宋体"/>
                <w:bCs/>
                <w:sz w:val="24"/>
                <w:highlight w:val="none"/>
              </w:rPr>
            </w:pPr>
            <w:r>
              <w:rPr>
                <w:rFonts w:hint="eastAsia" w:cs="宋体"/>
                <w:bCs/>
                <w:sz w:val="24"/>
                <w:highlight w:val="none"/>
              </w:rPr>
              <w:t>对各分项工程，从准备、施工、竣工到项目的保修阶段的每一道工序，监理所采取的进度控制措施、方法、进度控制计划与实际进度产生较大差距时，从措施的可行和效果上进行分析、评分。</w:t>
            </w:r>
          </w:p>
        </w:tc>
        <w:tc>
          <w:tcPr>
            <w:tcW w:w="2877" w:type="dxa"/>
            <w:noWrap/>
            <w:vAlign w:val="center"/>
          </w:tcPr>
          <w:p w14:paraId="442805B4">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细详：7～10分；</w:t>
            </w:r>
          </w:p>
          <w:p w14:paraId="1B339003">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较好：4～6分；</w:t>
            </w:r>
          </w:p>
          <w:p w14:paraId="05B2CFF1">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一般：1～3分；</w:t>
            </w:r>
          </w:p>
          <w:p w14:paraId="3ED354A1">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31D1A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tcBorders>
              <w:top w:val="single" w:color="auto" w:sz="4" w:space="0"/>
              <w:bottom w:val="single" w:color="auto" w:sz="4" w:space="0"/>
            </w:tcBorders>
            <w:noWrap/>
            <w:vAlign w:val="center"/>
          </w:tcPr>
          <w:p w14:paraId="1C5438DD">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投资控制措施</w:t>
            </w:r>
          </w:p>
        </w:tc>
        <w:tc>
          <w:tcPr>
            <w:tcW w:w="1221" w:type="dxa"/>
            <w:noWrap/>
            <w:vAlign w:val="center"/>
          </w:tcPr>
          <w:p w14:paraId="0BA48DB1">
            <w:pPr>
              <w:pStyle w:val="43"/>
              <w:snapToGrid w:val="0"/>
              <w:spacing w:before="0" w:after="0" w:line="320" w:lineRule="exact"/>
              <w:contextualSpacing/>
              <w:jc w:val="center"/>
              <w:rPr>
                <w:rFonts w:cs="宋体"/>
                <w:bCs/>
                <w:sz w:val="24"/>
                <w:highlight w:val="none"/>
              </w:rPr>
            </w:pPr>
            <w:r>
              <w:rPr>
                <w:rFonts w:hint="eastAsia" w:cs="宋体"/>
                <w:bCs/>
                <w:sz w:val="24"/>
                <w:highlight w:val="none"/>
              </w:rPr>
              <w:t>10分</w:t>
            </w:r>
          </w:p>
        </w:tc>
        <w:tc>
          <w:tcPr>
            <w:tcW w:w="4111" w:type="dxa"/>
            <w:noWrap/>
            <w:vAlign w:val="center"/>
          </w:tcPr>
          <w:p w14:paraId="185C8B38">
            <w:pPr>
              <w:pStyle w:val="43"/>
              <w:snapToGrid w:val="0"/>
              <w:spacing w:before="0" w:after="0" w:line="320" w:lineRule="exact"/>
              <w:contextualSpacing/>
              <w:jc w:val="both"/>
              <w:rPr>
                <w:rFonts w:cs="宋体"/>
                <w:bCs/>
                <w:sz w:val="24"/>
                <w:highlight w:val="none"/>
              </w:rPr>
            </w:pPr>
            <w:r>
              <w:rPr>
                <w:rFonts w:hint="eastAsia" w:cs="宋体"/>
                <w:bCs/>
                <w:sz w:val="24"/>
                <w:highlight w:val="none"/>
              </w:rPr>
              <w:t>监理所采取的投资控制措施、方法的合理性、可行性。</w:t>
            </w:r>
          </w:p>
        </w:tc>
        <w:tc>
          <w:tcPr>
            <w:tcW w:w="2877" w:type="dxa"/>
            <w:noWrap/>
            <w:vAlign w:val="center"/>
          </w:tcPr>
          <w:p w14:paraId="7A2CC9EA">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细详：7～10分；</w:t>
            </w:r>
          </w:p>
          <w:p w14:paraId="72BE3897">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较好：4～6分；</w:t>
            </w:r>
          </w:p>
          <w:p w14:paraId="7E2C6673">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一般：1～3分；</w:t>
            </w:r>
          </w:p>
          <w:p w14:paraId="1EAA0273">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r w14:paraId="4B8B3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5" w:type="dxa"/>
            <w:tcBorders>
              <w:top w:val="single" w:color="auto" w:sz="4" w:space="0"/>
            </w:tcBorders>
            <w:noWrap/>
            <w:vAlign w:val="center"/>
          </w:tcPr>
          <w:p w14:paraId="5DD9E29C">
            <w:pPr>
              <w:pStyle w:val="43"/>
              <w:snapToGrid w:val="0"/>
              <w:spacing w:before="0" w:after="0" w:line="320" w:lineRule="exact"/>
              <w:contextualSpacing/>
              <w:jc w:val="center"/>
              <w:rPr>
                <w:rFonts w:cs="宋体"/>
                <w:bCs/>
                <w:sz w:val="24"/>
                <w:szCs w:val="24"/>
                <w:highlight w:val="none"/>
              </w:rPr>
            </w:pPr>
            <w:r>
              <w:rPr>
                <w:rFonts w:hint="eastAsia" w:cs="宋体"/>
                <w:bCs/>
                <w:sz w:val="24"/>
                <w:szCs w:val="24"/>
                <w:highlight w:val="none"/>
              </w:rPr>
              <w:t>合理化建议</w:t>
            </w:r>
          </w:p>
        </w:tc>
        <w:tc>
          <w:tcPr>
            <w:tcW w:w="1221" w:type="dxa"/>
            <w:noWrap/>
            <w:vAlign w:val="center"/>
          </w:tcPr>
          <w:p w14:paraId="7F476C95">
            <w:pPr>
              <w:pStyle w:val="43"/>
              <w:snapToGrid w:val="0"/>
              <w:spacing w:before="0" w:after="0" w:line="320" w:lineRule="exact"/>
              <w:contextualSpacing/>
              <w:jc w:val="center"/>
              <w:rPr>
                <w:rFonts w:cs="宋体"/>
                <w:bCs/>
                <w:sz w:val="24"/>
                <w:highlight w:val="none"/>
              </w:rPr>
            </w:pPr>
            <w:r>
              <w:rPr>
                <w:rFonts w:hint="eastAsia" w:cs="宋体"/>
                <w:bCs/>
                <w:sz w:val="24"/>
                <w:highlight w:val="none"/>
              </w:rPr>
              <w:t>10分</w:t>
            </w:r>
          </w:p>
        </w:tc>
        <w:tc>
          <w:tcPr>
            <w:tcW w:w="4111" w:type="dxa"/>
            <w:noWrap/>
            <w:vAlign w:val="center"/>
          </w:tcPr>
          <w:p w14:paraId="48AC49B2">
            <w:pPr>
              <w:pStyle w:val="43"/>
              <w:snapToGrid w:val="0"/>
              <w:spacing w:before="0" w:after="0" w:line="320" w:lineRule="exact"/>
              <w:contextualSpacing/>
              <w:jc w:val="both"/>
              <w:rPr>
                <w:rFonts w:cs="宋体"/>
                <w:bCs/>
                <w:sz w:val="24"/>
                <w:highlight w:val="none"/>
              </w:rPr>
            </w:pPr>
            <w:r>
              <w:rPr>
                <w:rFonts w:hint="eastAsia" w:cs="宋体"/>
                <w:bCs/>
                <w:sz w:val="24"/>
                <w:highlight w:val="none"/>
              </w:rPr>
              <w:t>对设计、施工、监理的合理化建议阐述。</w:t>
            </w:r>
          </w:p>
        </w:tc>
        <w:tc>
          <w:tcPr>
            <w:tcW w:w="2877" w:type="dxa"/>
            <w:noWrap/>
            <w:vAlign w:val="center"/>
          </w:tcPr>
          <w:p w14:paraId="3AD63A64">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细详：7～10分；</w:t>
            </w:r>
          </w:p>
          <w:p w14:paraId="11ECC518">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较好：4～6分；</w:t>
            </w:r>
          </w:p>
          <w:p w14:paraId="6AC08C80">
            <w:pPr>
              <w:pStyle w:val="43"/>
              <w:snapToGrid w:val="0"/>
              <w:spacing w:before="0" w:after="0" w:line="320" w:lineRule="exact"/>
              <w:ind w:left="240" w:hanging="240" w:hangingChars="100"/>
              <w:contextualSpacing/>
              <w:jc w:val="both"/>
              <w:rPr>
                <w:rFonts w:cs="宋体"/>
                <w:bCs/>
                <w:sz w:val="24"/>
                <w:highlight w:val="none"/>
              </w:rPr>
            </w:pPr>
            <w:r>
              <w:rPr>
                <w:rFonts w:hint="eastAsia" w:cs="宋体"/>
                <w:bCs/>
                <w:sz w:val="24"/>
                <w:highlight w:val="none"/>
              </w:rPr>
              <w:t>一般：1～3分；</w:t>
            </w:r>
          </w:p>
          <w:p w14:paraId="3D4F5004">
            <w:pPr>
              <w:pStyle w:val="43"/>
              <w:snapToGrid w:val="0"/>
              <w:spacing w:before="0" w:after="0" w:line="320" w:lineRule="exact"/>
              <w:contextualSpacing/>
              <w:jc w:val="both"/>
              <w:rPr>
                <w:rFonts w:cs="宋体"/>
                <w:bCs/>
                <w:sz w:val="24"/>
                <w:highlight w:val="none"/>
              </w:rPr>
            </w:pPr>
            <w:r>
              <w:rPr>
                <w:rFonts w:hint="eastAsia" w:cs="宋体"/>
                <w:bCs/>
                <w:sz w:val="24"/>
                <w:highlight w:val="none"/>
              </w:rPr>
              <w:t>差（不提供或没有相关评分内容）：0分。</w:t>
            </w:r>
          </w:p>
        </w:tc>
      </w:tr>
    </w:tbl>
    <w:p w14:paraId="225225AB">
      <w:pPr>
        <w:widowControl/>
        <w:adjustRightInd w:val="0"/>
        <w:snapToGrid w:val="0"/>
        <w:spacing w:after="0" w:line="360" w:lineRule="auto"/>
        <w:jc w:val="left"/>
        <w:rPr>
          <w:rFonts w:ascii="宋体" w:hAnsi="宋体"/>
          <w:szCs w:val="21"/>
          <w:highlight w:val="none"/>
        </w:rPr>
      </w:pPr>
      <w:r>
        <w:rPr>
          <w:rFonts w:hint="eastAsia" w:ascii="宋体" w:hAnsi="宋体"/>
          <w:szCs w:val="21"/>
          <w:highlight w:val="none"/>
        </w:rPr>
        <w:t>注：1、技术部分评分由评标委员会成员单独对各投标人的技术文件的各项内容进行打分，汇总后去掉一个最高分和一个最低分取算术平均值为本项得分。各项得分汇总总分乘于技术分占比权重（40%）为技术得分。</w:t>
      </w:r>
    </w:p>
    <w:p w14:paraId="1B4B985F">
      <w:pPr>
        <w:widowControl/>
        <w:adjustRightInd w:val="0"/>
        <w:snapToGrid w:val="0"/>
        <w:spacing w:line="360" w:lineRule="auto"/>
        <w:jc w:val="left"/>
        <w:rPr>
          <w:rFonts w:ascii="宋体" w:hAnsi="宋体"/>
          <w:b/>
          <w:sz w:val="24"/>
          <w:highlight w:val="none"/>
        </w:rPr>
      </w:pPr>
      <w:r>
        <w:rPr>
          <w:rFonts w:hint="eastAsia" w:ascii="宋体" w:hAnsi="宋体"/>
          <w:szCs w:val="21"/>
          <w:highlight w:val="none"/>
        </w:rPr>
        <w:t>2、采用暗标方式评审，技术文件中均不得有签名、盖章或体现投标人名称、具体人名或可以认为是投标人或其人员承担过的工程项目名称、获奖称号或其他不符合常规可以判定投标人的标识或文字。否则，作无效投标处理。</w:t>
      </w:r>
      <w:r>
        <w:rPr>
          <w:rFonts w:hint="eastAsia" w:ascii="宋体" w:hAnsi="宋体"/>
          <w:b/>
          <w:sz w:val="24"/>
          <w:highlight w:val="none"/>
        </w:rPr>
        <w:br w:type="page"/>
      </w:r>
      <w:r>
        <w:rPr>
          <w:rFonts w:hint="eastAsia" w:ascii="宋体" w:hAnsi="宋体"/>
          <w:b/>
          <w:sz w:val="24"/>
          <w:highlight w:val="none"/>
        </w:rPr>
        <w:t>1.4经济报价</w:t>
      </w:r>
      <w:r>
        <w:rPr>
          <w:b/>
          <w:sz w:val="24"/>
          <w:szCs w:val="24"/>
          <w:highlight w:val="none"/>
        </w:rPr>
        <w:t>评</w:t>
      </w:r>
      <w:r>
        <w:rPr>
          <w:rFonts w:hint="eastAsia"/>
          <w:b/>
          <w:sz w:val="24"/>
          <w:szCs w:val="24"/>
          <w:highlight w:val="none"/>
        </w:rPr>
        <w:t>分细则评分</w:t>
      </w:r>
      <w:r>
        <w:rPr>
          <w:b/>
          <w:sz w:val="24"/>
          <w:szCs w:val="24"/>
          <w:highlight w:val="none"/>
        </w:rPr>
        <w:t>标准</w:t>
      </w:r>
      <w:r>
        <w:rPr>
          <w:rFonts w:hint="eastAsia" w:ascii="宋体" w:hAnsi="宋体" w:cs="黑体"/>
          <w:b/>
          <w:kern w:val="0"/>
          <w:sz w:val="24"/>
          <w:szCs w:val="24"/>
          <w:highlight w:val="none"/>
        </w:rPr>
        <w:t>前附表</w:t>
      </w:r>
      <w:r>
        <w:rPr>
          <w:rFonts w:hint="eastAsia" w:ascii="宋体" w:hAnsi="宋体"/>
          <w:b/>
          <w:sz w:val="24"/>
          <w:highlight w:val="none"/>
        </w:rPr>
        <w:t>（</w:t>
      </w:r>
      <w:r>
        <w:rPr>
          <w:rFonts w:ascii="Calibri" w:hAnsi="Calibri"/>
          <w:b/>
          <w:sz w:val="24"/>
          <w:highlight w:val="none"/>
        </w:rPr>
        <w:t>F</w:t>
      </w:r>
      <w:r>
        <w:rPr>
          <w:rFonts w:hint="eastAsia" w:ascii="宋体" w:hAnsi="宋体"/>
          <w:b/>
          <w:sz w:val="24"/>
          <w:highlight w:val="none"/>
        </w:rPr>
        <w:t>=30分）</w:t>
      </w:r>
    </w:p>
    <w:tbl>
      <w:tblPr>
        <w:tblStyle w:val="49"/>
        <w:tblpPr w:leftFromText="181" w:rightFromText="181" w:vertAnchor="text" w:horzAnchor="margin" w:tblpX="-36"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38"/>
        <w:gridCol w:w="840"/>
        <w:gridCol w:w="6195"/>
      </w:tblGrid>
      <w:tr w14:paraId="1AFC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675" w:type="dxa"/>
            <w:vAlign w:val="center"/>
          </w:tcPr>
          <w:p w14:paraId="2BC0386C">
            <w:pPr>
              <w:spacing w:line="400" w:lineRule="exact"/>
              <w:jc w:val="center"/>
              <w:rPr>
                <w:rFonts w:ascii="宋体" w:hAnsi="宋体"/>
                <w:b/>
                <w:bCs/>
                <w:sz w:val="22"/>
                <w:szCs w:val="22"/>
                <w:highlight w:val="none"/>
              </w:rPr>
            </w:pPr>
            <w:r>
              <w:rPr>
                <w:rFonts w:hint="eastAsia" w:ascii="宋体" w:hAnsi="宋体"/>
                <w:b/>
                <w:bCs/>
                <w:sz w:val="22"/>
                <w:szCs w:val="22"/>
                <w:highlight w:val="none"/>
              </w:rPr>
              <w:t>序号</w:t>
            </w:r>
          </w:p>
        </w:tc>
        <w:tc>
          <w:tcPr>
            <w:tcW w:w="1638" w:type="dxa"/>
            <w:vAlign w:val="center"/>
          </w:tcPr>
          <w:p w14:paraId="31CEA5A7">
            <w:pPr>
              <w:spacing w:line="400" w:lineRule="exact"/>
              <w:jc w:val="center"/>
              <w:rPr>
                <w:rFonts w:ascii="宋体" w:hAnsi="宋体"/>
                <w:b/>
                <w:bCs/>
                <w:sz w:val="22"/>
                <w:szCs w:val="22"/>
                <w:highlight w:val="none"/>
              </w:rPr>
            </w:pPr>
            <w:r>
              <w:rPr>
                <w:rFonts w:hint="eastAsia" w:ascii="宋体" w:hAnsi="宋体"/>
                <w:b/>
                <w:bCs/>
                <w:sz w:val="22"/>
                <w:szCs w:val="22"/>
                <w:highlight w:val="none"/>
              </w:rPr>
              <w:t>评分项</w:t>
            </w:r>
          </w:p>
        </w:tc>
        <w:tc>
          <w:tcPr>
            <w:tcW w:w="840" w:type="dxa"/>
            <w:vAlign w:val="center"/>
          </w:tcPr>
          <w:p w14:paraId="302E045F">
            <w:pPr>
              <w:spacing w:line="400" w:lineRule="exact"/>
              <w:jc w:val="center"/>
              <w:rPr>
                <w:rFonts w:ascii="宋体" w:hAnsi="宋体"/>
                <w:b/>
                <w:bCs/>
                <w:sz w:val="22"/>
                <w:szCs w:val="22"/>
                <w:highlight w:val="none"/>
              </w:rPr>
            </w:pPr>
            <w:r>
              <w:rPr>
                <w:rFonts w:hint="eastAsia" w:ascii="宋体" w:hAnsi="宋体"/>
                <w:b/>
                <w:bCs/>
                <w:sz w:val="22"/>
                <w:szCs w:val="22"/>
                <w:highlight w:val="none"/>
              </w:rPr>
              <w:t>分值</w:t>
            </w:r>
          </w:p>
        </w:tc>
        <w:tc>
          <w:tcPr>
            <w:tcW w:w="6195" w:type="dxa"/>
            <w:vAlign w:val="center"/>
          </w:tcPr>
          <w:p w14:paraId="688F05F7">
            <w:pPr>
              <w:spacing w:line="400" w:lineRule="exact"/>
              <w:jc w:val="center"/>
              <w:rPr>
                <w:rFonts w:ascii="宋体" w:hAnsi="宋体"/>
                <w:b/>
                <w:sz w:val="22"/>
                <w:szCs w:val="22"/>
                <w:highlight w:val="none"/>
              </w:rPr>
            </w:pPr>
            <w:r>
              <w:rPr>
                <w:rFonts w:hint="eastAsia" w:ascii="宋体" w:hAnsi="宋体"/>
                <w:b/>
                <w:sz w:val="22"/>
                <w:szCs w:val="22"/>
                <w:highlight w:val="none"/>
              </w:rPr>
              <w:t>评分标准</w:t>
            </w:r>
          </w:p>
        </w:tc>
      </w:tr>
      <w:tr w14:paraId="28DC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9" w:hRule="atLeast"/>
        </w:trPr>
        <w:tc>
          <w:tcPr>
            <w:tcW w:w="675" w:type="dxa"/>
            <w:vAlign w:val="center"/>
          </w:tcPr>
          <w:p w14:paraId="2E7CEA22">
            <w:pPr>
              <w:spacing w:line="300" w:lineRule="exact"/>
              <w:jc w:val="center"/>
              <w:rPr>
                <w:rFonts w:ascii="宋体" w:hAnsi="宋体"/>
                <w:b/>
                <w:sz w:val="22"/>
                <w:szCs w:val="22"/>
                <w:highlight w:val="none"/>
              </w:rPr>
            </w:pPr>
            <w:r>
              <w:rPr>
                <w:rFonts w:hint="eastAsia" w:ascii="宋体" w:hAnsi="宋体"/>
                <w:b/>
                <w:sz w:val="22"/>
                <w:szCs w:val="22"/>
                <w:highlight w:val="none"/>
              </w:rPr>
              <w:t>1</w:t>
            </w:r>
          </w:p>
        </w:tc>
        <w:tc>
          <w:tcPr>
            <w:tcW w:w="1638" w:type="dxa"/>
            <w:vAlign w:val="center"/>
          </w:tcPr>
          <w:p w14:paraId="2FD71FFC">
            <w:pPr>
              <w:spacing w:line="400" w:lineRule="exact"/>
              <w:jc w:val="center"/>
              <w:rPr>
                <w:rFonts w:ascii="宋体" w:hAnsi="宋体"/>
                <w:sz w:val="22"/>
                <w:szCs w:val="22"/>
                <w:highlight w:val="none"/>
              </w:rPr>
            </w:pPr>
            <w:r>
              <w:rPr>
                <w:rFonts w:hint="eastAsia" w:ascii="宋体" w:hAnsi="宋体"/>
                <w:sz w:val="22"/>
                <w:szCs w:val="22"/>
                <w:highlight w:val="none"/>
              </w:rPr>
              <w:t>经济报价</w:t>
            </w:r>
          </w:p>
        </w:tc>
        <w:tc>
          <w:tcPr>
            <w:tcW w:w="840" w:type="dxa"/>
            <w:vAlign w:val="center"/>
          </w:tcPr>
          <w:p w14:paraId="4A2EAC6D">
            <w:pPr>
              <w:spacing w:line="400" w:lineRule="exact"/>
              <w:jc w:val="center"/>
              <w:rPr>
                <w:rFonts w:ascii="宋体" w:hAnsi="宋体"/>
                <w:sz w:val="22"/>
                <w:szCs w:val="22"/>
                <w:highlight w:val="none"/>
              </w:rPr>
            </w:pPr>
            <w:r>
              <w:rPr>
                <w:rFonts w:hint="eastAsia" w:ascii="宋体" w:hAnsi="宋体"/>
                <w:sz w:val="22"/>
                <w:szCs w:val="22"/>
                <w:highlight w:val="none"/>
                <w:lang w:val="en-US" w:eastAsia="zh-CN"/>
              </w:rPr>
              <w:t>30</w:t>
            </w:r>
            <w:r>
              <w:rPr>
                <w:rFonts w:hint="eastAsia" w:ascii="宋体" w:hAnsi="宋体"/>
                <w:sz w:val="22"/>
                <w:szCs w:val="22"/>
                <w:highlight w:val="none"/>
              </w:rPr>
              <w:t>分</w:t>
            </w:r>
          </w:p>
        </w:tc>
        <w:tc>
          <w:tcPr>
            <w:tcW w:w="6195" w:type="dxa"/>
            <w:vAlign w:val="center"/>
          </w:tcPr>
          <w:p w14:paraId="7998ABE6">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1.评标基准价的确定</w:t>
            </w:r>
          </w:p>
          <w:p w14:paraId="28E70F22">
            <w:pPr>
              <w:spacing w:line="360" w:lineRule="auto"/>
              <w:rPr>
                <w:rFonts w:ascii="宋体" w:hAnsi="宋体" w:cs="宋体"/>
                <w:sz w:val="24"/>
                <w:szCs w:val="24"/>
                <w:highlight w:val="none"/>
              </w:rPr>
            </w:pPr>
            <w:r>
              <w:rPr>
                <w:rFonts w:hint="eastAsia" w:ascii="宋体" w:hAnsi="宋体" w:cs="宋体"/>
                <w:sz w:val="24"/>
                <w:szCs w:val="24"/>
                <w:highlight w:val="none"/>
              </w:rPr>
              <w:t>第一步：将所有投标人有效的报价进行算术平均计算出算术平均值（P）。第二步：</w:t>
            </w:r>
            <w:r>
              <w:rPr>
                <w:rFonts w:hint="eastAsia" w:ascii="宋体" w:hAnsi="宋体"/>
                <w:bCs/>
                <w:sz w:val="24"/>
                <w:szCs w:val="24"/>
                <w:highlight w:val="none"/>
              </w:rPr>
              <w:t>在招标人代表、监管部门代表的共同监督下，由评标委员会主任在97%至101%之间（每0.5%一个级差）随机抽取K值；</w:t>
            </w:r>
            <w:r>
              <w:rPr>
                <w:rFonts w:hint="eastAsia" w:ascii="宋体" w:hAnsi="宋体" w:cs="宋体"/>
                <w:sz w:val="24"/>
                <w:szCs w:val="24"/>
                <w:highlight w:val="none"/>
              </w:rPr>
              <w:t>第三步：计算P×K之积作为评标基准价(A值)。随后的评审中无论出现何种情形，该基准价不作调整。</w:t>
            </w:r>
          </w:p>
          <w:p w14:paraId="16DBC43A">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2.经济报价得分</w:t>
            </w:r>
          </w:p>
          <w:p w14:paraId="0AE4BF08">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所有投标人有效的经济投标报价得分折算公式如下：</w:t>
            </w:r>
          </w:p>
          <w:p w14:paraId="2E94253C">
            <w:pPr>
              <w:spacing w:line="360" w:lineRule="auto"/>
              <w:rPr>
                <w:rFonts w:ascii="仿宋_GB2312" w:hAnsi="仿宋_GB2312" w:eastAsia="仿宋_GB2312" w:cs="仿宋_GB2312"/>
                <w:spacing w:val="-18"/>
                <w:sz w:val="24"/>
                <w:szCs w:val="24"/>
                <w:highlight w:val="none"/>
              </w:rPr>
            </w:pPr>
            <w:r>
              <w:rPr>
                <w:rFonts w:hint="eastAsia" w:ascii="仿宋_GB2312" w:hAnsi="仿宋_GB2312" w:eastAsia="仿宋_GB2312" w:cs="仿宋_GB2312"/>
                <w:spacing w:val="-18"/>
                <w:sz w:val="24"/>
                <w:szCs w:val="24"/>
                <w:highlight w:val="none"/>
              </w:rPr>
              <w:t>S=100分×[1－（</w:t>
            </w:r>
            <w:r>
              <w:rPr>
                <w:rFonts w:hint="eastAsia" w:eastAsia="方正仿宋简体"/>
                <w:position w:val="-28"/>
                <w:sz w:val="24"/>
                <w:szCs w:val="24"/>
                <w:highlight w:val="none"/>
              </w:rPr>
              <w:object>
                <v:shape id="_x0000_i1025" o:spt="75" type="#_x0000_t75" style="height:33.75pt;width:36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hint="eastAsia" w:ascii="仿宋_GB2312" w:hAnsi="仿宋_GB2312" w:eastAsia="仿宋_GB2312" w:cs="仿宋_GB2312"/>
                <w:spacing w:val="-18"/>
                <w:sz w:val="24"/>
                <w:szCs w:val="24"/>
                <w:highlight w:val="none"/>
              </w:rPr>
              <w:t xml:space="preserve">×C）]  </w:t>
            </w:r>
            <w:r>
              <w:rPr>
                <w:rFonts w:hint="eastAsia" w:ascii="宋体" w:hAnsi="宋体" w:cs="宋体"/>
                <w:spacing w:val="-18"/>
                <w:sz w:val="24"/>
                <w:szCs w:val="24"/>
                <w:highlight w:val="none"/>
              </w:rPr>
              <w:t>（取值</w:t>
            </w:r>
            <w:r>
              <w:rPr>
                <w:rFonts w:ascii="宋体" w:hAnsi="宋体"/>
                <w:sz w:val="24"/>
                <w:highlight w:val="none"/>
              </w:rPr>
              <w:t>保留小数点后两位，小数点后第三位“四舍五入</w:t>
            </w:r>
            <w:r>
              <w:rPr>
                <w:rFonts w:hint="eastAsia" w:ascii="宋体" w:hAnsi="宋体" w:cs="宋体"/>
                <w:spacing w:val="-18"/>
                <w:sz w:val="24"/>
                <w:szCs w:val="24"/>
                <w:highlight w:val="none"/>
              </w:rPr>
              <w:t>）</w:t>
            </w:r>
          </w:p>
          <w:p w14:paraId="71653FF4">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S-经济报价得分；</w:t>
            </w:r>
          </w:p>
          <w:p w14:paraId="63D19DE9">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B-投标人的经济投标报价;</w:t>
            </w:r>
          </w:p>
          <w:p w14:paraId="364C7D1D">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A-评标基准价；</w:t>
            </w:r>
          </w:p>
          <w:p w14:paraId="0C1FBFC9">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C-经济投标报价大于评标基准价的取2；经济投标报价小于评标基准价的取1；</w:t>
            </w:r>
          </w:p>
          <w:p w14:paraId="4AFE431F">
            <w:pPr>
              <w:spacing w:line="360" w:lineRule="auto"/>
              <w:rPr>
                <w:rFonts w:ascii="宋体" w:hAnsi="宋体" w:cs="宋体"/>
                <w:kern w:val="0"/>
                <w:sz w:val="22"/>
                <w:szCs w:val="22"/>
                <w:highlight w:val="none"/>
              </w:rPr>
            </w:pPr>
            <w:r>
              <w:rPr>
                <w:rFonts w:hint="eastAsia" w:ascii="宋体" w:hAnsi="宋体" w:cs="宋体"/>
                <w:spacing w:val="-18"/>
                <w:sz w:val="24"/>
                <w:szCs w:val="24"/>
                <w:highlight w:val="none"/>
              </w:rPr>
              <w:t>3．经济投标报价评审得分=投标报价得分×30%。</w:t>
            </w:r>
          </w:p>
        </w:tc>
      </w:tr>
    </w:tbl>
    <w:p w14:paraId="6C242843">
      <w:pPr>
        <w:autoSpaceDE w:val="0"/>
        <w:autoSpaceDN w:val="0"/>
        <w:adjustRightInd w:val="0"/>
        <w:spacing w:beforeLines="100" w:line="520" w:lineRule="exact"/>
        <w:rPr>
          <w:rFonts w:ascii="宋体" w:hAnsi="宋体" w:cs="黑体"/>
          <w:b/>
          <w:kern w:val="0"/>
          <w:sz w:val="28"/>
          <w:szCs w:val="28"/>
          <w:highlight w:val="none"/>
        </w:rPr>
      </w:pPr>
      <w:r>
        <w:rPr>
          <w:rFonts w:ascii="宋体" w:hAnsi="宋体" w:cs="TimesNewRomanPSMT"/>
          <w:b/>
          <w:kern w:val="0"/>
          <w:sz w:val="28"/>
          <w:szCs w:val="28"/>
          <w:highlight w:val="none"/>
        </w:rPr>
        <w:br w:type="page"/>
      </w:r>
      <w:r>
        <w:rPr>
          <w:rFonts w:ascii="宋体" w:hAnsi="宋体" w:cs="TimesNewRomanPSMT"/>
          <w:b/>
          <w:kern w:val="0"/>
          <w:sz w:val="28"/>
          <w:szCs w:val="28"/>
          <w:highlight w:val="none"/>
        </w:rPr>
        <w:t xml:space="preserve">2. </w:t>
      </w:r>
      <w:r>
        <w:rPr>
          <w:rFonts w:hint="eastAsia" w:ascii="宋体" w:hAnsi="宋体" w:cs="黑体"/>
          <w:b/>
          <w:kern w:val="0"/>
          <w:sz w:val="28"/>
          <w:szCs w:val="28"/>
          <w:highlight w:val="none"/>
        </w:rPr>
        <w:t>评标方法</w:t>
      </w:r>
    </w:p>
    <w:p w14:paraId="1A036DA3">
      <w:pPr>
        <w:autoSpaceDE w:val="0"/>
        <w:autoSpaceDN w:val="0"/>
        <w:adjustRightInd w:val="0"/>
        <w:spacing w:line="440" w:lineRule="exact"/>
        <w:ind w:firstLine="472" w:firstLineChars="200"/>
        <w:rPr>
          <w:rFonts w:hint="eastAsia" w:ascii="宋体" w:hAnsi="宋体"/>
          <w:spacing w:val="-2"/>
          <w:sz w:val="24"/>
          <w:highlight w:val="none"/>
        </w:rPr>
      </w:pPr>
      <w:r>
        <w:rPr>
          <w:rFonts w:hint="eastAsia" w:ascii="宋体" w:hAnsi="宋体"/>
          <w:spacing w:val="-2"/>
          <w:sz w:val="24"/>
          <w:highlight w:val="none"/>
        </w:rPr>
        <w:t>本次评标采用两阶段评标法。</w:t>
      </w:r>
    </w:p>
    <w:p w14:paraId="65D57F73">
      <w:pPr>
        <w:autoSpaceDE w:val="0"/>
        <w:autoSpaceDN w:val="0"/>
        <w:adjustRightInd w:val="0"/>
        <w:spacing w:line="440" w:lineRule="exact"/>
        <w:ind w:firstLine="472" w:firstLineChars="200"/>
        <w:rPr>
          <w:rFonts w:hint="eastAsia" w:ascii="宋体" w:hAnsi="宋体"/>
          <w:spacing w:val="-2"/>
          <w:sz w:val="24"/>
          <w:highlight w:val="none"/>
        </w:rPr>
      </w:pPr>
      <w:r>
        <w:rPr>
          <w:rFonts w:hint="eastAsia" w:ascii="宋体" w:hAnsi="宋体"/>
          <w:spacing w:val="-2"/>
          <w:sz w:val="24"/>
          <w:highlight w:val="none"/>
        </w:rPr>
        <w:t>第一阶段：评标委员会对满足招标文件实质性要求的投标文件，按照本章第 3.2款规定的评分标准进行打分，对投标人的商务投标文件、技术投标文件进行评分、汇总，计算商务技术综合得分（商务技术综合得分=商务得分M+技术得分N）。由评标委员会确定所有投标文件的商务、技术得分汇总后，由评委、业主单位，监管部门签字确认。所有符合评审条件的有效投标人全部进入第二阶段评审。第一阶段得分汇总并完成签名确认后，评标委员会不得再修改第一阶段的评审结果或者要求重新评审。</w:t>
      </w:r>
      <w:r>
        <w:rPr>
          <w:rFonts w:hint="eastAsia" w:ascii="宋体" w:hAnsi="宋体" w:cs="宋体"/>
          <w:sz w:val="24"/>
          <w:szCs w:val="24"/>
          <w:highlight w:val="none"/>
          <w:lang w:val="en-US" w:eastAsia="zh-CN"/>
        </w:rPr>
        <w:t>投标人或其他利害关系人对评标结果提出异议并影响到进入第二阶段投标人数量的，对进入第二阶段的投标人只减不增，不再增补其他投标人进入第二阶段评标。</w:t>
      </w:r>
    </w:p>
    <w:p w14:paraId="1C15176F">
      <w:pPr>
        <w:autoSpaceDE w:val="0"/>
        <w:autoSpaceDN w:val="0"/>
        <w:adjustRightInd w:val="0"/>
        <w:spacing w:line="440" w:lineRule="exact"/>
        <w:ind w:firstLine="472" w:firstLineChars="200"/>
        <w:rPr>
          <w:rFonts w:ascii="宋体" w:hAnsi="宋体" w:cs="宋体"/>
          <w:spacing w:val="-2"/>
          <w:kern w:val="0"/>
          <w:sz w:val="24"/>
          <w:highlight w:val="none"/>
        </w:rPr>
      </w:pPr>
      <w:r>
        <w:rPr>
          <w:rFonts w:hint="eastAsia" w:ascii="宋体" w:hAnsi="宋体"/>
          <w:spacing w:val="-2"/>
          <w:sz w:val="24"/>
          <w:highlight w:val="none"/>
        </w:rPr>
        <w:t>第二阶段：评标委员会对进入第二阶段的所有投标人的经济报价进行评分得F，然后计算所有投标人的投标文件总得分=商务得分M+技术得分N+经济报价得分F，并按总得分由高到低进行排序，选取总得分排名前六名次的投标人进入最终的合理低价法评审。如果出现总得分相同则占用下一名次（如第一名综合得分相同的投标人有N个，则N个投标人并列第一名，下一名按N+1名计算名次，依次类推），但如果出现并列第六名总得分相同时，则全部并列第六名的投标人均进入合理低价法评审。</w:t>
      </w:r>
    </w:p>
    <w:p w14:paraId="49A98004">
      <w:pPr>
        <w:tabs>
          <w:tab w:val="left" w:pos="900"/>
        </w:tabs>
        <w:spacing w:beforeLines="100" w:line="480" w:lineRule="exact"/>
        <w:rPr>
          <w:rFonts w:ascii="宋体" w:hAnsi="宋体"/>
          <w:b/>
          <w:sz w:val="28"/>
          <w:szCs w:val="28"/>
          <w:highlight w:val="none"/>
        </w:rPr>
      </w:pPr>
      <w:bookmarkStart w:id="12" w:name="_Toc234382665"/>
      <w:r>
        <w:rPr>
          <w:rFonts w:hint="eastAsia" w:ascii="宋体" w:hAnsi="宋体"/>
          <w:b/>
          <w:sz w:val="28"/>
          <w:szCs w:val="28"/>
          <w:highlight w:val="none"/>
        </w:rPr>
        <w:t>3</w:t>
      </w:r>
      <w:r>
        <w:rPr>
          <w:rFonts w:ascii="宋体" w:hAnsi="宋体"/>
          <w:b/>
          <w:sz w:val="28"/>
          <w:szCs w:val="28"/>
          <w:highlight w:val="none"/>
        </w:rPr>
        <w:t>. 评审标准</w:t>
      </w:r>
      <w:bookmarkEnd w:id="12"/>
      <w:bookmarkStart w:id="13" w:name="_Toc234382666"/>
    </w:p>
    <w:p w14:paraId="1EC7D37B">
      <w:pPr>
        <w:tabs>
          <w:tab w:val="left" w:pos="900"/>
        </w:tabs>
        <w:spacing w:line="460" w:lineRule="exact"/>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3.1 初步评审标准</w:t>
      </w:r>
      <w:bookmarkEnd w:id="13"/>
    </w:p>
    <w:p w14:paraId="4AEB3A9F">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3.1.1 形式评审标准：见评标办法前附表1.1；</w:t>
      </w:r>
    </w:p>
    <w:p w14:paraId="4E98D812">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3.1.2 资格审查标准：见评标办法前附表1.1；</w:t>
      </w:r>
    </w:p>
    <w:p w14:paraId="4B2B08C9">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3.1.3 响应性评审标准：见评标办法前附表1.1。</w:t>
      </w:r>
    </w:p>
    <w:p w14:paraId="6DA26860">
      <w:pPr>
        <w:tabs>
          <w:tab w:val="left" w:pos="900"/>
        </w:tabs>
        <w:spacing w:beforeLines="50" w:line="460" w:lineRule="exact"/>
        <w:ind w:firstLine="482" w:firstLineChars="200"/>
        <w:rPr>
          <w:rFonts w:hint="eastAsia" w:ascii="宋体" w:hAnsi="宋体" w:eastAsia="宋体" w:cs="宋体"/>
          <w:b/>
          <w:sz w:val="24"/>
          <w:highlight w:val="none"/>
        </w:rPr>
      </w:pPr>
      <w:bookmarkStart w:id="14" w:name="_Toc234382656"/>
      <w:r>
        <w:rPr>
          <w:rFonts w:hint="eastAsia" w:ascii="宋体" w:hAnsi="宋体" w:eastAsia="宋体" w:cs="宋体"/>
          <w:b/>
          <w:sz w:val="24"/>
          <w:highlight w:val="none"/>
        </w:rPr>
        <w:t>3.2 分值构成与评分标准</w:t>
      </w:r>
      <w:bookmarkEnd w:id="14"/>
    </w:p>
    <w:p w14:paraId="4B8BE1A4">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3.2.1 分值构成</w:t>
      </w:r>
    </w:p>
    <w:p w14:paraId="730DC200">
      <w:pPr>
        <w:spacing w:line="440" w:lineRule="exact"/>
        <w:ind w:firstLine="480" w:firstLineChars="200"/>
        <w:rPr>
          <w:rFonts w:ascii="宋体" w:hAnsi="宋体"/>
          <w:sz w:val="24"/>
          <w:highlight w:val="none"/>
        </w:rPr>
      </w:pPr>
      <w:r>
        <w:rPr>
          <w:rFonts w:hint="eastAsia" w:ascii="宋体" w:hAnsi="宋体" w:eastAsia="宋体" w:cs="宋体"/>
          <w:sz w:val="24"/>
          <w:highlight w:val="none"/>
        </w:rPr>
        <w:t>（1）商务投标文件得分：M =30</w:t>
      </w:r>
      <w:r>
        <w:rPr>
          <w:rFonts w:hint="eastAsia" w:ascii="宋体" w:hAnsi="宋体"/>
          <w:sz w:val="24"/>
          <w:highlight w:val="none"/>
        </w:rPr>
        <w:t>分</w:t>
      </w:r>
    </w:p>
    <w:p w14:paraId="1F4E9454">
      <w:pPr>
        <w:spacing w:line="440" w:lineRule="exact"/>
        <w:ind w:firstLine="480" w:firstLineChars="200"/>
        <w:rPr>
          <w:rFonts w:ascii="宋体" w:hAnsi="宋体"/>
          <w:sz w:val="24"/>
          <w:highlight w:val="none"/>
        </w:rPr>
      </w:pPr>
      <w:r>
        <w:rPr>
          <w:rFonts w:hint="eastAsia" w:ascii="宋体" w:hAnsi="宋体"/>
          <w:sz w:val="24"/>
          <w:highlight w:val="none"/>
        </w:rPr>
        <w:t>（2）技术投标文件得分：N =40分</w:t>
      </w:r>
    </w:p>
    <w:p w14:paraId="4ECDE41F">
      <w:pPr>
        <w:spacing w:line="440" w:lineRule="exact"/>
        <w:ind w:firstLine="480" w:firstLineChars="200"/>
        <w:rPr>
          <w:rFonts w:ascii="宋体" w:hAnsi="宋体"/>
          <w:b/>
          <w:sz w:val="24"/>
          <w:highlight w:val="none"/>
        </w:rPr>
      </w:pPr>
      <w:r>
        <w:rPr>
          <w:rFonts w:hint="eastAsia" w:ascii="宋体" w:hAnsi="宋体"/>
          <w:sz w:val="24"/>
          <w:highlight w:val="none"/>
        </w:rPr>
        <w:t>（3）经济报价文件得分：F =30分</w:t>
      </w:r>
    </w:p>
    <w:p w14:paraId="71D96799">
      <w:pPr>
        <w:spacing w:line="460" w:lineRule="exact"/>
        <w:ind w:firstLine="480" w:firstLineChars="200"/>
        <w:rPr>
          <w:rFonts w:ascii="宋体" w:hAnsi="宋体"/>
          <w:sz w:val="24"/>
          <w:highlight w:val="none"/>
        </w:rPr>
      </w:pPr>
      <w:r>
        <w:rPr>
          <w:rFonts w:hint="eastAsia" w:ascii="宋体" w:hAnsi="宋体"/>
          <w:sz w:val="24"/>
          <w:highlight w:val="none"/>
        </w:rPr>
        <w:t>3.2.2评分标准</w:t>
      </w:r>
    </w:p>
    <w:p w14:paraId="735797CE">
      <w:pPr>
        <w:spacing w:line="480" w:lineRule="exact"/>
        <w:ind w:firstLine="480" w:firstLineChars="200"/>
        <w:rPr>
          <w:rFonts w:ascii="宋体" w:hAnsi="宋体"/>
          <w:sz w:val="24"/>
          <w:highlight w:val="none"/>
        </w:rPr>
      </w:pPr>
      <w:r>
        <w:rPr>
          <w:rFonts w:hint="eastAsia" w:ascii="宋体" w:hAnsi="宋体"/>
          <w:sz w:val="24"/>
          <w:highlight w:val="none"/>
        </w:rPr>
        <w:t>3.2.2.1商务</w:t>
      </w:r>
      <w:r>
        <w:rPr>
          <w:rFonts w:hint="eastAsia" w:ascii="宋体" w:hAnsi="宋体"/>
          <w:sz w:val="24"/>
          <w:szCs w:val="24"/>
          <w:highlight w:val="none"/>
        </w:rPr>
        <w:t>投标文件</w:t>
      </w:r>
      <w:r>
        <w:rPr>
          <w:rFonts w:hint="eastAsia"/>
          <w:sz w:val="24"/>
          <w:szCs w:val="24"/>
          <w:highlight w:val="none"/>
        </w:rPr>
        <w:t>评分标准</w:t>
      </w:r>
      <w:r>
        <w:rPr>
          <w:rFonts w:hint="eastAsia" w:ascii="宋体" w:hAnsi="宋体"/>
          <w:sz w:val="24"/>
          <w:highlight w:val="none"/>
        </w:rPr>
        <w:t>：详见本章评审标准前附表</w:t>
      </w:r>
      <w:r>
        <w:rPr>
          <w:rFonts w:hint="eastAsia" w:ascii="宋体" w:hAnsi="宋体" w:cs="宋体"/>
          <w:spacing w:val="-2"/>
          <w:kern w:val="0"/>
          <w:sz w:val="24"/>
          <w:highlight w:val="none"/>
        </w:rPr>
        <w:t>之</w:t>
      </w:r>
      <w:r>
        <w:rPr>
          <w:rFonts w:hint="eastAsia" w:ascii="宋体" w:hAnsi="宋体"/>
          <w:sz w:val="24"/>
          <w:highlight w:val="none"/>
        </w:rPr>
        <w:t>1.2商务</w:t>
      </w:r>
      <w:r>
        <w:rPr>
          <w:rFonts w:hint="eastAsia" w:ascii="宋体" w:hAnsi="宋体"/>
          <w:sz w:val="24"/>
          <w:szCs w:val="24"/>
          <w:highlight w:val="none"/>
        </w:rPr>
        <w:t>投标文件</w:t>
      </w:r>
      <w:r>
        <w:rPr>
          <w:rFonts w:hint="eastAsia" w:ascii="宋体" w:hAnsi="宋体"/>
          <w:sz w:val="24"/>
          <w:highlight w:val="none"/>
        </w:rPr>
        <w:t>评分标准前附表</w:t>
      </w:r>
      <w:r>
        <w:rPr>
          <w:rFonts w:hint="eastAsia" w:ascii="宋体" w:hAnsi="宋体"/>
          <w:sz w:val="24"/>
          <w:szCs w:val="24"/>
          <w:highlight w:val="none"/>
        </w:rPr>
        <w:t>。</w:t>
      </w:r>
    </w:p>
    <w:p w14:paraId="2B97EA6C">
      <w:pPr>
        <w:spacing w:line="480" w:lineRule="exact"/>
        <w:ind w:firstLine="480" w:firstLineChars="200"/>
        <w:rPr>
          <w:sz w:val="24"/>
          <w:szCs w:val="24"/>
          <w:highlight w:val="none"/>
        </w:rPr>
      </w:pPr>
      <w:r>
        <w:rPr>
          <w:rFonts w:hint="eastAsia" w:ascii="宋体" w:hAnsi="宋体"/>
          <w:sz w:val="24"/>
          <w:szCs w:val="24"/>
          <w:highlight w:val="none"/>
        </w:rPr>
        <w:t>3.2.2.2技术投标文件</w:t>
      </w:r>
      <w:r>
        <w:rPr>
          <w:sz w:val="24"/>
          <w:szCs w:val="24"/>
          <w:highlight w:val="none"/>
        </w:rPr>
        <w:t>评</w:t>
      </w:r>
      <w:r>
        <w:rPr>
          <w:rFonts w:hint="eastAsia"/>
          <w:sz w:val="24"/>
          <w:szCs w:val="24"/>
          <w:highlight w:val="none"/>
        </w:rPr>
        <w:t>分标准：</w:t>
      </w:r>
      <w:r>
        <w:rPr>
          <w:rFonts w:hint="eastAsia" w:ascii="宋体" w:hAnsi="宋体"/>
          <w:sz w:val="24"/>
          <w:highlight w:val="none"/>
        </w:rPr>
        <w:t>详见本章评审标准前附表</w:t>
      </w:r>
      <w:r>
        <w:rPr>
          <w:rFonts w:hint="eastAsia" w:ascii="宋体" w:hAnsi="宋体" w:cs="宋体"/>
          <w:spacing w:val="-2"/>
          <w:kern w:val="0"/>
          <w:sz w:val="24"/>
          <w:highlight w:val="none"/>
        </w:rPr>
        <w:t>之</w:t>
      </w:r>
      <w:r>
        <w:rPr>
          <w:rFonts w:hint="eastAsia" w:ascii="宋体" w:hAnsi="宋体"/>
          <w:sz w:val="24"/>
          <w:highlight w:val="none"/>
        </w:rPr>
        <w:t>1.3技术投标文件评分标准前附表</w:t>
      </w:r>
      <w:r>
        <w:rPr>
          <w:rFonts w:hint="eastAsia" w:ascii="宋体" w:hAnsi="宋体"/>
          <w:sz w:val="24"/>
          <w:szCs w:val="24"/>
          <w:highlight w:val="none"/>
        </w:rPr>
        <w:t>。</w:t>
      </w:r>
    </w:p>
    <w:p w14:paraId="59993887">
      <w:pPr>
        <w:spacing w:line="480" w:lineRule="exact"/>
        <w:ind w:firstLine="480" w:firstLineChars="200"/>
        <w:rPr>
          <w:rFonts w:ascii="宋体" w:hAnsi="宋体"/>
          <w:sz w:val="24"/>
          <w:highlight w:val="none"/>
        </w:rPr>
      </w:pPr>
      <w:r>
        <w:rPr>
          <w:rFonts w:hint="eastAsia" w:ascii="宋体" w:hAnsi="宋体"/>
          <w:sz w:val="24"/>
          <w:highlight w:val="none"/>
        </w:rPr>
        <w:t>3.2.2.3经济投标报价评分标准：详见本章评审标准前附表</w:t>
      </w:r>
      <w:r>
        <w:rPr>
          <w:rFonts w:hint="eastAsia" w:ascii="宋体" w:hAnsi="宋体" w:cs="宋体"/>
          <w:spacing w:val="-2"/>
          <w:kern w:val="0"/>
          <w:sz w:val="24"/>
          <w:highlight w:val="none"/>
        </w:rPr>
        <w:t>之</w:t>
      </w:r>
      <w:r>
        <w:rPr>
          <w:rFonts w:hint="eastAsia" w:ascii="宋体" w:hAnsi="宋体"/>
          <w:sz w:val="24"/>
          <w:highlight w:val="none"/>
        </w:rPr>
        <w:t>1.4经济报价则评分</w:t>
      </w:r>
      <w:r>
        <w:rPr>
          <w:rFonts w:ascii="宋体" w:hAnsi="宋体"/>
          <w:sz w:val="24"/>
          <w:highlight w:val="none"/>
        </w:rPr>
        <w:t>标准</w:t>
      </w:r>
      <w:r>
        <w:rPr>
          <w:rFonts w:hint="eastAsia" w:ascii="宋体" w:hAnsi="宋体"/>
          <w:sz w:val="24"/>
          <w:highlight w:val="none"/>
        </w:rPr>
        <w:t>前附表。</w:t>
      </w:r>
    </w:p>
    <w:p w14:paraId="4369CF19">
      <w:pPr>
        <w:autoSpaceDE w:val="0"/>
        <w:autoSpaceDN w:val="0"/>
        <w:adjustRightInd w:val="0"/>
        <w:spacing w:beforeLines="50" w:line="600" w:lineRule="exact"/>
        <w:rPr>
          <w:rFonts w:ascii="宋体" w:hAnsi="宋体" w:cs="黑体"/>
          <w:b/>
          <w:kern w:val="0"/>
          <w:sz w:val="28"/>
          <w:szCs w:val="28"/>
          <w:highlight w:val="none"/>
        </w:rPr>
      </w:pPr>
      <w:r>
        <w:rPr>
          <w:rFonts w:ascii="宋体" w:hAnsi="宋体" w:cs="TimesNewRomanPSMT"/>
          <w:b/>
          <w:kern w:val="0"/>
          <w:sz w:val="28"/>
          <w:szCs w:val="28"/>
          <w:highlight w:val="none"/>
        </w:rPr>
        <w:t xml:space="preserve">4. </w:t>
      </w:r>
      <w:r>
        <w:rPr>
          <w:rFonts w:hint="eastAsia" w:ascii="宋体" w:hAnsi="宋体" w:cs="黑体"/>
          <w:b/>
          <w:kern w:val="0"/>
          <w:sz w:val="28"/>
          <w:szCs w:val="28"/>
          <w:highlight w:val="none"/>
        </w:rPr>
        <w:t>评标程序</w:t>
      </w:r>
    </w:p>
    <w:p w14:paraId="052DEA18">
      <w:pPr>
        <w:spacing w:line="480" w:lineRule="exact"/>
        <w:ind w:left="1012" w:hanging="1012" w:hangingChars="420"/>
        <w:rPr>
          <w:rFonts w:ascii="宋体" w:hAnsi="宋体"/>
          <w:b/>
          <w:bCs/>
          <w:sz w:val="24"/>
          <w:szCs w:val="24"/>
          <w:highlight w:val="none"/>
        </w:rPr>
      </w:pPr>
      <w:r>
        <w:rPr>
          <w:rFonts w:hint="eastAsia" w:ascii="宋体" w:hAnsi="宋体"/>
          <w:b/>
          <w:bCs/>
          <w:sz w:val="24"/>
          <w:szCs w:val="24"/>
          <w:highlight w:val="none"/>
        </w:rPr>
        <w:t>4</w:t>
      </w:r>
      <w:r>
        <w:rPr>
          <w:rFonts w:ascii="宋体" w:hAnsi="宋体"/>
          <w:b/>
          <w:bCs/>
          <w:sz w:val="24"/>
          <w:szCs w:val="24"/>
          <w:highlight w:val="none"/>
        </w:rPr>
        <w:t>.1  评标准备</w:t>
      </w:r>
    </w:p>
    <w:p w14:paraId="13FAC77E">
      <w:pPr>
        <w:spacing w:line="480" w:lineRule="exact"/>
        <w:ind w:firstLine="480" w:firstLineChars="200"/>
        <w:rPr>
          <w:bCs/>
          <w:sz w:val="24"/>
          <w:szCs w:val="24"/>
          <w:highlight w:val="none"/>
        </w:rPr>
      </w:pPr>
      <w:r>
        <w:rPr>
          <w:bCs/>
          <w:sz w:val="24"/>
          <w:szCs w:val="24"/>
          <w:highlight w:val="none"/>
        </w:rPr>
        <w:t>评标委员会开始评标工作之前，必须首先认真研读招标文件；招标人应当向评标委员会提供招标文件、评标办法和评标所需的其</w:t>
      </w:r>
      <w:r>
        <w:rPr>
          <w:rFonts w:hint="eastAsia"/>
          <w:bCs/>
          <w:sz w:val="24"/>
          <w:szCs w:val="24"/>
          <w:highlight w:val="none"/>
        </w:rPr>
        <w:t>他</w:t>
      </w:r>
      <w:r>
        <w:rPr>
          <w:bCs/>
          <w:sz w:val="24"/>
          <w:szCs w:val="24"/>
          <w:highlight w:val="none"/>
        </w:rPr>
        <w:t>重要信息与数据，协助评标委员会了解和熟悉招标</w:t>
      </w:r>
      <w:r>
        <w:rPr>
          <w:rFonts w:hint="eastAsia"/>
          <w:bCs/>
          <w:sz w:val="24"/>
          <w:szCs w:val="24"/>
          <w:highlight w:val="none"/>
        </w:rPr>
        <w:t>工程</w:t>
      </w:r>
      <w:r>
        <w:rPr>
          <w:bCs/>
          <w:sz w:val="24"/>
          <w:szCs w:val="24"/>
          <w:highlight w:val="none"/>
        </w:rPr>
        <w:t>的如下内容：</w:t>
      </w:r>
    </w:p>
    <w:p w14:paraId="4928309A">
      <w:pPr>
        <w:spacing w:line="480" w:lineRule="exact"/>
        <w:ind w:firstLine="480" w:firstLineChars="200"/>
        <w:rPr>
          <w:rFonts w:ascii="宋体" w:hAnsi="宋体"/>
          <w:bCs/>
          <w:sz w:val="24"/>
          <w:szCs w:val="24"/>
          <w:highlight w:val="none"/>
        </w:rPr>
      </w:pPr>
      <w:r>
        <w:rPr>
          <w:rFonts w:ascii="宋体" w:hAnsi="宋体"/>
          <w:bCs/>
          <w:sz w:val="24"/>
          <w:szCs w:val="24"/>
          <w:highlight w:val="none"/>
        </w:rPr>
        <w:t>（1）招标项目的工程规模、标准和工程特点；</w:t>
      </w:r>
    </w:p>
    <w:p w14:paraId="52A40A73">
      <w:pPr>
        <w:spacing w:line="480" w:lineRule="exact"/>
        <w:ind w:firstLine="480" w:firstLineChars="200"/>
        <w:rPr>
          <w:rFonts w:ascii="宋体" w:hAnsi="宋体"/>
          <w:bCs/>
          <w:sz w:val="24"/>
          <w:szCs w:val="24"/>
          <w:highlight w:val="none"/>
        </w:rPr>
      </w:pPr>
      <w:r>
        <w:rPr>
          <w:rFonts w:ascii="宋体" w:hAnsi="宋体"/>
          <w:bCs/>
          <w:sz w:val="24"/>
          <w:szCs w:val="24"/>
          <w:highlight w:val="none"/>
        </w:rPr>
        <w:t>（2）招标文件规定的评标办法；</w:t>
      </w:r>
    </w:p>
    <w:p w14:paraId="1D4B9E66">
      <w:pPr>
        <w:spacing w:line="480" w:lineRule="exact"/>
        <w:ind w:firstLine="480" w:firstLineChars="200"/>
        <w:rPr>
          <w:rFonts w:ascii="宋体" w:hAnsi="宋体"/>
          <w:bCs/>
          <w:sz w:val="24"/>
          <w:szCs w:val="24"/>
          <w:highlight w:val="none"/>
        </w:rPr>
      </w:pPr>
      <w:r>
        <w:rPr>
          <w:rFonts w:ascii="宋体" w:hAnsi="宋体"/>
          <w:bCs/>
          <w:sz w:val="24"/>
          <w:szCs w:val="24"/>
          <w:highlight w:val="none"/>
        </w:rPr>
        <w:t>（3）招标文件规定的其</w:t>
      </w:r>
      <w:r>
        <w:rPr>
          <w:rFonts w:hint="eastAsia" w:ascii="宋体" w:hAnsi="宋体"/>
          <w:bCs/>
          <w:sz w:val="24"/>
          <w:szCs w:val="24"/>
          <w:highlight w:val="none"/>
        </w:rPr>
        <w:t>他</w:t>
      </w:r>
      <w:r>
        <w:rPr>
          <w:rFonts w:ascii="宋体" w:hAnsi="宋体"/>
          <w:bCs/>
          <w:sz w:val="24"/>
          <w:szCs w:val="24"/>
          <w:highlight w:val="none"/>
        </w:rPr>
        <w:t>与评标有关的内容。</w:t>
      </w:r>
    </w:p>
    <w:p w14:paraId="5A56E11C">
      <w:pPr>
        <w:tabs>
          <w:tab w:val="left" w:pos="900"/>
        </w:tabs>
        <w:spacing w:beforeLines="100" w:line="460" w:lineRule="exact"/>
        <w:rPr>
          <w:rFonts w:ascii="宋体" w:hAnsi="宋体"/>
          <w:sz w:val="24"/>
          <w:szCs w:val="24"/>
          <w:highlight w:val="none"/>
        </w:rPr>
      </w:pPr>
      <w:r>
        <w:rPr>
          <w:rFonts w:hint="eastAsia" w:ascii="宋体" w:hAnsi="宋体"/>
          <w:b/>
          <w:sz w:val="24"/>
          <w:szCs w:val="24"/>
          <w:highlight w:val="none"/>
        </w:rPr>
        <w:t>4</w:t>
      </w:r>
      <w:r>
        <w:rPr>
          <w:rFonts w:ascii="宋体" w:hAnsi="宋体"/>
          <w:b/>
          <w:sz w:val="24"/>
          <w:szCs w:val="24"/>
          <w:highlight w:val="none"/>
        </w:rPr>
        <w:t>.2  评审</w:t>
      </w:r>
      <w:r>
        <w:rPr>
          <w:rFonts w:hint="eastAsia" w:ascii="宋体" w:hAnsi="宋体"/>
          <w:b/>
          <w:sz w:val="24"/>
          <w:szCs w:val="24"/>
          <w:highlight w:val="none"/>
        </w:rPr>
        <w:t>顺</w:t>
      </w:r>
      <w:r>
        <w:rPr>
          <w:rFonts w:ascii="宋体" w:hAnsi="宋体"/>
          <w:b/>
          <w:sz w:val="24"/>
          <w:szCs w:val="24"/>
          <w:highlight w:val="none"/>
        </w:rPr>
        <w:t>序</w:t>
      </w:r>
    </w:p>
    <w:p w14:paraId="4CA1CDA6">
      <w:pPr>
        <w:spacing w:line="440" w:lineRule="exact"/>
        <w:ind w:firstLine="480" w:firstLineChars="200"/>
        <w:rPr>
          <w:rFonts w:ascii="宋体" w:hAnsi="宋体"/>
          <w:sz w:val="24"/>
          <w:szCs w:val="24"/>
          <w:highlight w:val="none"/>
        </w:rPr>
      </w:pPr>
      <w:r>
        <w:rPr>
          <w:rFonts w:ascii="宋体" w:hAnsi="宋体"/>
          <w:sz w:val="24"/>
          <w:szCs w:val="24"/>
          <w:highlight w:val="none"/>
        </w:rPr>
        <w:t>（1）</w:t>
      </w:r>
      <w:r>
        <w:rPr>
          <w:rFonts w:hint="eastAsia" w:ascii="宋体" w:hAnsi="宋体"/>
          <w:sz w:val="24"/>
          <w:szCs w:val="24"/>
          <w:highlight w:val="none"/>
        </w:rPr>
        <w:t>商务投标文件</w:t>
      </w:r>
      <w:r>
        <w:rPr>
          <w:rFonts w:ascii="宋体" w:hAnsi="宋体"/>
          <w:sz w:val="24"/>
          <w:szCs w:val="24"/>
          <w:highlight w:val="none"/>
        </w:rPr>
        <w:t>评审</w:t>
      </w:r>
      <w:r>
        <w:rPr>
          <w:rFonts w:hint="eastAsia" w:ascii="宋体" w:hAnsi="宋体"/>
          <w:sz w:val="24"/>
          <w:szCs w:val="24"/>
          <w:highlight w:val="none"/>
        </w:rPr>
        <w:t>：</w:t>
      </w:r>
    </w:p>
    <w:p w14:paraId="1F593369">
      <w:pPr>
        <w:spacing w:line="440" w:lineRule="exact"/>
        <w:ind w:firstLine="720" w:firstLineChars="300"/>
        <w:rPr>
          <w:rFonts w:ascii="宋体" w:hAnsi="宋体"/>
          <w:sz w:val="24"/>
          <w:szCs w:val="24"/>
          <w:highlight w:val="none"/>
        </w:rPr>
      </w:pPr>
      <w:r>
        <w:rPr>
          <w:rFonts w:hint="eastAsia" w:ascii="宋体" w:hAnsi="宋体"/>
          <w:sz w:val="24"/>
          <w:szCs w:val="24"/>
          <w:highlight w:val="none"/>
        </w:rPr>
        <w:t>①</w:t>
      </w:r>
      <w:r>
        <w:rPr>
          <w:rFonts w:ascii="宋体" w:hAnsi="宋体"/>
          <w:sz w:val="24"/>
          <w:szCs w:val="24"/>
          <w:highlight w:val="none"/>
        </w:rPr>
        <w:t>初步评审</w:t>
      </w:r>
      <w:r>
        <w:rPr>
          <w:rFonts w:hint="eastAsia" w:ascii="宋体" w:hAnsi="宋体"/>
          <w:sz w:val="24"/>
          <w:szCs w:val="24"/>
          <w:highlight w:val="none"/>
        </w:rPr>
        <w:t>；</w:t>
      </w:r>
    </w:p>
    <w:p w14:paraId="69C87FF8">
      <w:pPr>
        <w:spacing w:line="440" w:lineRule="exact"/>
        <w:ind w:firstLine="720" w:firstLineChars="300"/>
        <w:rPr>
          <w:rFonts w:ascii="宋体" w:hAnsi="宋体"/>
          <w:sz w:val="24"/>
          <w:szCs w:val="24"/>
          <w:highlight w:val="none"/>
        </w:rPr>
      </w:pPr>
      <w:r>
        <w:rPr>
          <w:rFonts w:hint="eastAsia" w:ascii="宋体" w:hAnsi="宋体"/>
          <w:sz w:val="24"/>
          <w:szCs w:val="24"/>
          <w:highlight w:val="none"/>
        </w:rPr>
        <w:t>a.形式评审；</w:t>
      </w:r>
    </w:p>
    <w:p w14:paraId="057E66E7">
      <w:pPr>
        <w:spacing w:line="440" w:lineRule="exact"/>
        <w:ind w:firstLine="720" w:firstLineChars="300"/>
        <w:rPr>
          <w:rFonts w:ascii="宋体" w:hAnsi="宋体"/>
          <w:sz w:val="24"/>
          <w:szCs w:val="24"/>
          <w:highlight w:val="none"/>
        </w:rPr>
      </w:pPr>
      <w:r>
        <w:rPr>
          <w:rFonts w:hint="eastAsia" w:ascii="宋体" w:hAnsi="宋体"/>
          <w:sz w:val="24"/>
          <w:szCs w:val="24"/>
          <w:highlight w:val="none"/>
        </w:rPr>
        <w:t>b.资格审查；</w:t>
      </w:r>
    </w:p>
    <w:p w14:paraId="3EC57A68">
      <w:pPr>
        <w:spacing w:line="440" w:lineRule="exact"/>
        <w:ind w:firstLine="720" w:firstLineChars="300"/>
        <w:rPr>
          <w:rFonts w:ascii="宋体" w:hAnsi="宋体"/>
          <w:sz w:val="24"/>
          <w:szCs w:val="24"/>
          <w:highlight w:val="none"/>
        </w:rPr>
      </w:pPr>
      <w:r>
        <w:rPr>
          <w:rFonts w:hint="eastAsia" w:ascii="宋体" w:hAnsi="宋体"/>
          <w:sz w:val="24"/>
          <w:szCs w:val="24"/>
          <w:highlight w:val="none"/>
        </w:rPr>
        <w:t>c.响应性评审。</w:t>
      </w:r>
    </w:p>
    <w:p w14:paraId="5E618DF9">
      <w:pPr>
        <w:spacing w:line="440" w:lineRule="exact"/>
        <w:ind w:firstLine="720" w:firstLineChars="300"/>
        <w:rPr>
          <w:rFonts w:ascii="宋体" w:hAnsi="宋体"/>
          <w:sz w:val="24"/>
          <w:szCs w:val="24"/>
          <w:highlight w:val="none"/>
        </w:rPr>
      </w:pPr>
      <w:r>
        <w:rPr>
          <w:rFonts w:hint="eastAsia" w:ascii="宋体" w:hAnsi="宋体"/>
          <w:sz w:val="24"/>
          <w:szCs w:val="24"/>
          <w:highlight w:val="none"/>
        </w:rPr>
        <w:t>②</w:t>
      </w:r>
      <w:r>
        <w:rPr>
          <w:rFonts w:ascii="宋体" w:hAnsi="宋体"/>
          <w:sz w:val="24"/>
          <w:szCs w:val="24"/>
          <w:highlight w:val="none"/>
        </w:rPr>
        <w:t>详细评审</w:t>
      </w:r>
    </w:p>
    <w:p w14:paraId="5BC4A845">
      <w:pPr>
        <w:spacing w:line="440" w:lineRule="exact"/>
        <w:ind w:firstLine="720" w:firstLineChars="300"/>
        <w:rPr>
          <w:rFonts w:ascii="宋体" w:hAnsi="宋体"/>
          <w:sz w:val="24"/>
          <w:szCs w:val="24"/>
          <w:highlight w:val="none"/>
        </w:rPr>
      </w:pPr>
      <w:r>
        <w:rPr>
          <w:rFonts w:hint="eastAsia" w:ascii="宋体" w:hAnsi="宋体"/>
          <w:sz w:val="24"/>
          <w:szCs w:val="24"/>
          <w:highlight w:val="none"/>
        </w:rPr>
        <w:t>a.</w:t>
      </w:r>
      <w:r>
        <w:rPr>
          <w:rFonts w:ascii="宋体" w:hAnsi="宋体"/>
          <w:sz w:val="24"/>
          <w:szCs w:val="24"/>
          <w:highlight w:val="none"/>
        </w:rPr>
        <w:t>商务</w:t>
      </w:r>
      <w:r>
        <w:rPr>
          <w:rFonts w:hint="eastAsia" w:ascii="宋体" w:hAnsi="宋体"/>
          <w:sz w:val="24"/>
          <w:szCs w:val="24"/>
          <w:highlight w:val="none"/>
        </w:rPr>
        <w:t>部分</w:t>
      </w:r>
      <w:r>
        <w:rPr>
          <w:rFonts w:ascii="宋体" w:hAnsi="宋体"/>
          <w:sz w:val="24"/>
          <w:szCs w:val="24"/>
          <w:highlight w:val="none"/>
        </w:rPr>
        <w:t>评审</w:t>
      </w:r>
      <w:r>
        <w:rPr>
          <w:rFonts w:hint="eastAsia" w:ascii="宋体" w:hAnsi="宋体"/>
          <w:sz w:val="24"/>
          <w:szCs w:val="24"/>
          <w:highlight w:val="none"/>
        </w:rPr>
        <w:t>；</w:t>
      </w:r>
    </w:p>
    <w:p w14:paraId="4E613053">
      <w:pPr>
        <w:spacing w:line="440" w:lineRule="exact"/>
        <w:ind w:firstLine="720" w:firstLineChars="300"/>
        <w:rPr>
          <w:rFonts w:ascii="宋体" w:hAnsi="宋体"/>
          <w:kern w:val="0"/>
          <w:sz w:val="24"/>
          <w:szCs w:val="24"/>
          <w:highlight w:val="none"/>
        </w:rPr>
      </w:pPr>
      <w:r>
        <w:rPr>
          <w:rFonts w:hint="eastAsia" w:ascii="宋体" w:hAnsi="宋体"/>
          <w:kern w:val="0"/>
          <w:sz w:val="24"/>
          <w:szCs w:val="24"/>
          <w:highlight w:val="none"/>
        </w:rPr>
        <w:t>③</w:t>
      </w:r>
      <w:r>
        <w:rPr>
          <w:rFonts w:ascii="宋体" w:hAnsi="宋体"/>
          <w:sz w:val="24"/>
          <w:szCs w:val="24"/>
          <w:highlight w:val="none"/>
        </w:rPr>
        <w:t>投标文件的澄清；</w:t>
      </w:r>
    </w:p>
    <w:p w14:paraId="6401D15F">
      <w:pPr>
        <w:spacing w:line="440" w:lineRule="exact"/>
        <w:ind w:firstLine="720" w:firstLineChars="300"/>
        <w:rPr>
          <w:rFonts w:ascii="宋体" w:hAnsi="宋体"/>
          <w:sz w:val="24"/>
          <w:szCs w:val="24"/>
          <w:highlight w:val="none"/>
        </w:rPr>
      </w:pPr>
      <w:r>
        <w:rPr>
          <w:rFonts w:hint="eastAsia" w:ascii="宋体" w:hAnsi="宋体"/>
          <w:kern w:val="0"/>
          <w:sz w:val="24"/>
          <w:szCs w:val="24"/>
          <w:highlight w:val="none"/>
        </w:rPr>
        <w:t>④计算商务</w:t>
      </w:r>
      <w:r>
        <w:rPr>
          <w:rFonts w:hint="eastAsia" w:ascii="宋体" w:hAnsi="宋体"/>
          <w:sz w:val="24"/>
          <w:szCs w:val="24"/>
          <w:highlight w:val="none"/>
        </w:rPr>
        <w:t>投标</w:t>
      </w:r>
      <w:r>
        <w:rPr>
          <w:rFonts w:hint="eastAsia" w:ascii="宋体" w:hAnsi="宋体"/>
          <w:kern w:val="0"/>
          <w:sz w:val="24"/>
          <w:szCs w:val="24"/>
          <w:highlight w:val="none"/>
        </w:rPr>
        <w:t>文件得分M。</w:t>
      </w:r>
    </w:p>
    <w:p w14:paraId="123CA25C">
      <w:pPr>
        <w:spacing w:line="440" w:lineRule="exact"/>
        <w:ind w:firstLine="480" w:firstLineChars="200"/>
        <w:rPr>
          <w:rFonts w:ascii="宋体" w:hAnsi="宋体"/>
          <w:sz w:val="24"/>
          <w:szCs w:val="24"/>
          <w:highlight w:val="none"/>
        </w:rPr>
      </w:pPr>
      <w:r>
        <w:rPr>
          <w:rFonts w:hint="eastAsia" w:ascii="宋体" w:hAnsi="宋体"/>
          <w:sz w:val="24"/>
          <w:szCs w:val="24"/>
          <w:highlight w:val="none"/>
        </w:rPr>
        <w:t>（2）</w:t>
      </w:r>
      <w:r>
        <w:rPr>
          <w:rFonts w:hint="eastAsia" w:ascii="宋体" w:hAnsi="宋体"/>
          <w:bCs/>
          <w:sz w:val="24"/>
          <w:highlight w:val="none"/>
        </w:rPr>
        <w:t>技术投标文件</w:t>
      </w:r>
      <w:r>
        <w:rPr>
          <w:rFonts w:ascii="宋体" w:hAnsi="宋体"/>
          <w:sz w:val="24"/>
          <w:szCs w:val="24"/>
          <w:highlight w:val="none"/>
        </w:rPr>
        <w:t>评审</w:t>
      </w:r>
    </w:p>
    <w:p w14:paraId="04847FE4">
      <w:pPr>
        <w:spacing w:line="480" w:lineRule="exact"/>
        <w:ind w:firstLine="720" w:firstLineChars="300"/>
        <w:rPr>
          <w:rFonts w:ascii="宋体" w:hAnsi="宋体"/>
          <w:sz w:val="24"/>
          <w:szCs w:val="24"/>
          <w:highlight w:val="none"/>
        </w:rPr>
      </w:pPr>
      <w:r>
        <w:rPr>
          <w:rFonts w:hint="eastAsia" w:ascii="宋体" w:hAnsi="宋体"/>
          <w:sz w:val="24"/>
          <w:szCs w:val="24"/>
          <w:highlight w:val="none"/>
        </w:rPr>
        <w:t>①技术投标文件符合性审查；</w:t>
      </w:r>
    </w:p>
    <w:p w14:paraId="3DA8F691">
      <w:pPr>
        <w:spacing w:line="480" w:lineRule="exact"/>
        <w:ind w:firstLine="720" w:firstLineChars="300"/>
        <w:rPr>
          <w:rFonts w:ascii="宋体" w:hAnsi="宋体"/>
          <w:sz w:val="24"/>
          <w:szCs w:val="24"/>
          <w:highlight w:val="none"/>
        </w:rPr>
      </w:pPr>
      <w:r>
        <w:rPr>
          <w:rFonts w:hint="eastAsia" w:ascii="宋体" w:hAnsi="宋体"/>
          <w:sz w:val="24"/>
          <w:szCs w:val="24"/>
          <w:highlight w:val="none"/>
        </w:rPr>
        <w:t>②技术投标文件详细评审；</w:t>
      </w:r>
    </w:p>
    <w:p w14:paraId="3150BBA5">
      <w:pPr>
        <w:spacing w:line="480" w:lineRule="exact"/>
        <w:ind w:firstLine="720" w:firstLineChars="300"/>
        <w:rPr>
          <w:rFonts w:ascii="宋体" w:hAnsi="宋体"/>
          <w:kern w:val="0"/>
          <w:sz w:val="24"/>
          <w:szCs w:val="24"/>
          <w:highlight w:val="none"/>
        </w:rPr>
      </w:pPr>
      <w:r>
        <w:rPr>
          <w:rFonts w:hint="eastAsia" w:ascii="宋体" w:hAnsi="宋体"/>
          <w:kern w:val="0"/>
          <w:sz w:val="24"/>
          <w:szCs w:val="24"/>
          <w:highlight w:val="none"/>
        </w:rPr>
        <w:t>③计算技术投标文件得分N；</w:t>
      </w:r>
    </w:p>
    <w:p w14:paraId="39819571">
      <w:pPr>
        <w:spacing w:line="440" w:lineRule="exact"/>
        <w:ind w:firstLine="720" w:firstLineChars="300"/>
        <w:rPr>
          <w:rFonts w:ascii="宋体" w:hAnsi="宋体"/>
          <w:kern w:val="0"/>
          <w:sz w:val="24"/>
          <w:szCs w:val="24"/>
          <w:highlight w:val="none"/>
        </w:rPr>
      </w:pPr>
      <w:r>
        <w:rPr>
          <w:rFonts w:hint="eastAsia" w:ascii="宋体" w:hAnsi="宋体"/>
          <w:kern w:val="0"/>
          <w:sz w:val="24"/>
          <w:szCs w:val="24"/>
          <w:highlight w:val="none"/>
        </w:rPr>
        <w:t>④开启保密信封。</w:t>
      </w:r>
    </w:p>
    <w:p w14:paraId="1F794447">
      <w:pPr>
        <w:spacing w:line="480" w:lineRule="exact"/>
        <w:ind w:firstLine="480" w:firstLineChars="200"/>
        <w:rPr>
          <w:rFonts w:ascii="宋体" w:hAnsi="宋体" w:cs="Times New Roman"/>
          <w:bCs/>
          <w:sz w:val="24"/>
          <w:szCs w:val="24"/>
          <w:highlight w:val="none"/>
        </w:rPr>
      </w:pPr>
      <w:r>
        <w:rPr>
          <w:rFonts w:ascii="宋体" w:hAnsi="宋体"/>
          <w:bCs/>
          <w:sz w:val="24"/>
          <w:szCs w:val="24"/>
          <w:highlight w:val="none"/>
        </w:rPr>
        <w:t>（</w:t>
      </w: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第一阶段得</w:t>
      </w:r>
      <w:r>
        <w:rPr>
          <w:rFonts w:hint="eastAsia" w:ascii="宋体" w:hAnsi="宋体" w:cs="Times New Roman"/>
          <w:bCs/>
          <w:sz w:val="24"/>
          <w:szCs w:val="24"/>
          <w:highlight w:val="none"/>
        </w:rPr>
        <w:t>分合计</w:t>
      </w:r>
    </w:p>
    <w:p w14:paraId="0DA06F57">
      <w:pPr>
        <w:spacing w:line="480" w:lineRule="exact"/>
        <w:ind w:firstLine="480" w:firstLineChars="200"/>
        <w:rPr>
          <w:rFonts w:ascii="宋体" w:hAnsi="宋体" w:cs="Times New Roman"/>
          <w:bCs/>
          <w:sz w:val="24"/>
          <w:szCs w:val="24"/>
          <w:highlight w:val="none"/>
        </w:rPr>
      </w:pPr>
      <w:r>
        <w:rPr>
          <w:rFonts w:hint="eastAsia" w:ascii="宋体" w:hAnsi="宋体" w:cs="Times New Roman"/>
          <w:bCs/>
          <w:sz w:val="24"/>
          <w:szCs w:val="24"/>
          <w:highlight w:val="none"/>
        </w:rPr>
        <w:t>（4）第二阶段评审</w:t>
      </w:r>
    </w:p>
    <w:p w14:paraId="731AC8D2">
      <w:pPr>
        <w:spacing w:line="480" w:lineRule="exact"/>
        <w:ind w:firstLine="480" w:firstLineChars="200"/>
        <w:rPr>
          <w:rFonts w:ascii="宋体" w:hAnsi="宋体" w:cs="Times New Roman"/>
          <w:bCs/>
          <w:sz w:val="24"/>
          <w:szCs w:val="24"/>
          <w:highlight w:val="none"/>
        </w:rPr>
      </w:pPr>
      <w:r>
        <w:rPr>
          <w:rFonts w:hint="eastAsia" w:ascii="宋体" w:hAnsi="宋体" w:cs="Times New Roman"/>
          <w:bCs/>
          <w:sz w:val="24"/>
          <w:szCs w:val="24"/>
          <w:highlight w:val="none"/>
        </w:rPr>
        <w:t>①K值抽取。</w:t>
      </w:r>
      <w:r>
        <w:rPr>
          <w:rFonts w:hint="eastAsia" w:ascii="宋体" w:hAnsi="宋体" w:cs="宋体"/>
          <w:kern w:val="0"/>
          <w:sz w:val="24"/>
          <w:szCs w:val="24"/>
          <w:highlight w:val="none"/>
        </w:rPr>
        <w:t>第一阶段评标结束（确定并完成签名），第二阶段开标完成，评标委员会对经济报价文件</w:t>
      </w:r>
      <w:r>
        <w:rPr>
          <w:rFonts w:hint="eastAsia" w:ascii="宋体" w:hAnsi="宋体" w:cs="宋体"/>
          <w:spacing w:val="-4"/>
          <w:kern w:val="0"/>
          <w:sz w:val="24"/>
          <w:highlight w:val="none"/>
        </w:rPr>
        <w:t>完成符合性审查后，</w:t>
      </w:r>
      <w:r>
        <w:rPr>
          <w:rFonts w:hint="eastAsia" w:ascii="宋体" w:hAnsi="宋体" w:cs="宋体"/>
          <w:kern w:val="0"/>
          <w:sz w:val="24"/>
          <w:szCs w:val="24"/>
          <w:highlight w:val="none"/>
        </w:rPr>
        <w:t>由评标委员会主任在97%至101%之间（每0.5%一个级差）随机抽取第二阶段经济报价评审的K1值和合理低价法评审的K2值</w:t>
      </w:r>
      <w:r>
        <w:rPr>
          <w:rFonts w:hint="eastAsia" w:ascii="宋体" w:hAnsi="宋体" w:cs="Times New Roman"/>
          <w:bCs/>
          <w:sz w:val="24"/>
          <w:szCs w:val="24"/>
          <w:highlight w:val="none"/>
        </w:rPr>
        <w:t>；</w:t>
      </w:r>
    </w:p>
    <w:p w14:paraId="01B7B132">
      <w:pPr>
        <w:spacing w:line="480" w:lineRule="exact"/>
        <w:ind w:firstLine="480" w:firstLineChars="200"/>
        <w:rPr>
          <w:rFonts w:ascii="宋体" w:hAnsi="宋体" w:cs="Times New Roman"/>
          <w:bCs/>
          <w:sz w:val="24"/>
          <w:szCs w:val="24"/>
          <w:highlight w:val="none"/>
        </w:rPr>
      </w:pPr>
      <w:r>
        <w:rPr>
          <w:rFonts w:hint="eastAsia" w:ascii="宋体" w:hAnsi="宋体" w:cs="Times New Roman"/>
          <w:bCs/>
          <w:sz w:val="24"/>
          <w:szCs w:val="24"/>
          <w:highlight w:val="none"/>
        </w:rPr>
        <w:t>②经济报价评审（计算经济报价得分F）；</w:t>
      </w:r>
    </w:p>
    <w:p w14:paraId="2060E21E">
      <w:pPr>
        <w:spacing w:line="480" w:lineRule="exact"/>
        <w:ind w:firstLine="480" w:firstLineChars="200"/>
        <w:rPr>
          <w:rFonts w:ascii="宋体" w:hAnsi="宋体" w:cs="Times New Roman"/>
          <w:bCs/>
          <w:sz w:val="24"/>
          <w:szCs w:val="24"/>
          <w:highlight w:val="none"/>
        </w:rPr>
      </w:pPr>
      <w:r>
        <w:rPr>
          <w:rFonts w:hint="eastAsia" w:ascii="宋体" w:hAnsi="宋体" w:cs="Times New Roman"/>
          <w:bCs/>
          <w:sz w:val="24"/>
          <w:szCs w:val="24"/>
          <w:highlight w:val="none"/>
        </w:rPr>
        <w:t>③计算投标文件总得分=M+N+F（推荐总得分排名前六名的进入合理低价法评审）。</w:t>
      </w:r>
    </w:p>
    <w:p w14:paraId="646F33D4">
      <w:pPr>
        <w:spacing w:line="440" w:lineRule="exact"/>
        <w:ind w:firstLine="480" w:firstLineChars="200"/>
        <w:rPr>
          <w:rFonts w:ascii="宋体" w:hAnsi="宋体"/>
          <w:sz w:val="24"/>
          <w:szCs w:val="24"/>
          <w:highlight w:val="none"/>
        </w:rPr>
      </w:pPr>
      <w:r>
        <w:rPr>
          <w:rFonts w:hint="eastAsia" w:ascii="宋体" w:hAnsi="宋体" w:cs="Times New Roman"/>
          <w:bCs/>
          <w:sz w:val="24"/>
          <w:szCs w:val="24"/>
          <w:highlight w:val="none"/>
        </w:rPr>
        <w:t>④合理低价法评审（推荐3名中标候选人）。</w:t>
      </w:r>
    </w:p>
    <w:p w14:paraId="0EE28139">
      <w:pPr>
        <w:spacing w:line="440" w:lineRule="exact"/>
        <w:ind w:firstLine="480" w:firstLineChars="200"/>
        <w:rPr>
          <w:rFonts w:ascii="宋体" w:hAnsi="宋体"/>
          <w:sz w:val="24"/>
          <w:szCs w:val="24"/>
          <w:highlight w:val="none"/>
        </w:rPr>
      </w:pPr>
      <w:r>
        <w:rPr>
          <w:rFonts w:ascii="宋体" w:hAnsi="宋体"/>
          <w:sz w:val="24"/>
          <w:szCs w:val="24"/>
          <w:highlight w:val="none"/>
        </w:rPr>
        <w:t>（</w:t>
      </w:r>
      <w:r>
        <w:rPr>
          <w:rFonts w:hint="eastAsia" w:ascii="宋体" w:hAnsi="宋体"/>
          <w:sz w:val="24"/>
          <w:szCs w:val="24"/>
          <w:highlight w:val="none"/>
          <w:lang w:val="en-US" w:eastAsia="zh-CN"/>
        </w:rPr>
        <w:t>5</w:t>
      </w:r>
      <w:r>
        <w:rPr>
          <w:rFonts w:ascii="宋体" w:hAnsi="宋体"/>
          <w:sz w:val="24"/>
          <w:szCs w:val="24"/>
          <w:highlight w:val="none"/>
        </w:rPr>
        <w:t>）推荐中标候选人；</w:t>
      </w:r>
    </w:p>
    <w:p w14:paraId="155A55AA">
      <w:pPr>
        <w:spacing w:line="440" w:lineRule="exact"/>
        <w:ind w:firstLine="480" w:firstLineChars="200"/>
        <w:rPr>
          <w:rFonts w:ascii="宋体" w:hAnsi="宋体" w:eastAsia="宋体" w:cs="Times New Roman"/>
          <w:sz w:val="24"/>
          <w:highlight w:val="none"/>
        </w:rPr>
      </w:pPr>
      <w:r>
        <w:rPr>
          <w:rFonts w:ascii="宋体" w:hAnsi="宋体"/>
          <w:sz w:val="24"/>
          <w:szCs w:val="24"/>
          <w:highlight w:val="none"/>
        </w:rPr>
        <w:t>（</w:t>
      </w:r>
      <w:r>
        <w:rPr>
          <w:rFonts w:hint="eastAsia" w:ascii="宋体" w:hAnsi="宋体"/>
          <w:sz w:val="24"/>
          <w:szCs w:val="24"/>
          <w:highlight w:val="none"/>
          <w:lang w:val="en-US" w:eastAsia="zh-CN"/>
        </w:rPr>
        <w:t>6</w:t>
      </w:r>
      <w:r>
        <w:rPr>
          <w:rFonts w:ascii="宋体" w:hAnsi="宋体"/>
          <w:sz w:val="24"/>
          <w:szCs w:val="24"/>
          <w:highlight w:val="none"/>
        </w:rPr>
        <w:t>）编写评标报告。</w:t>
      </w:r>
      <w:bookmarkStart w:id="15" w:name="_Toc234382671"/>
    </w:p>
    <w:p w14:paraId="1D4A728F">
      <w:pPr>
        <w:tabs>
          <w:tab w:val="left" w:pos="900"/>
        </w:tabs>
        <w:spacing w:beforeLines="100" w:line="460" w:lineRule="exact"/>
        <w:ind w:firstLine="482" w:firstLineChars="20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lang w:eastAsia="zh-CN"/>
        </w:rPr>
        <w:t>4</w:t>
      </w:r>
      <w:r>
        <w:rPr>
          <w:rFonts w:hint="eastAsia" w:ascii="宋体" w:hAnsi="宋体" w:eastAsia="宋体" w:cs="Times New Roman"/>
          <w:b/>
          <w:sz w:val="24"/>
          <w:szCs w:val="24"/>
          <w:highlight w:val="none"/>
        </w:rPr>
        <w:t>.3 投标文件的澄清和补正</w:t>
      </w:r>
      <w:bookmarkEnd w:id="15"/>
    </w:p>
    <w:p w14:paraId="059BA23B">
      <w:pPr>
        <w:spacing w:line="460" w:lineRule="exact"/>
        <w:ind w:firstLine="480" w:firstLineChars="200"/>
        <w:rPr>
          <w:rFonts w:ascii="宋体" w:hAnsi="宋体"/>
          <w:bCs/>
          <w:sz w:val="24"/>
          <w:highlight w:val="none"/>
        </w:rPr>
      </w:pPr>
      <w:bookmarkStart w:id="16" w:name="_Toc234382672"/>
      <w:r>
        <w:rPr>
          <w:rFonts w:hint="eastAsia" w:ascii="宋体" w:hAnsi="宋体"/>
          <w:bCs/>
          <w:sz w:val="24"/>
          <w:highlight w:val="none"/>
          <w:lang w:val="en-US" w:eastAsia="zh-CN"/>
        </w:rPr>
        <w:t>4</w:t>
      </w:r>
      <w:r>
        <w:rPr>
          <w:rFonts w:hint="eastAsia" w:ascii="宋体" w:hAnsi="宋体"/>
          <w:bCs/>
          <w:sz w:val="24"/>
          <w:highlight w:val="none"/>
        </w:rPr>
        <w:t>.3.1</w:t>
      </w:r>
      <w:r>
        <w:rPr>
          <w:rFonts w:ascii="宋体" w:hAnsi="宋体"/>
          <w:sz w:val="24"/>
          <w:szCs w:val="24"/>
          <w:highlight w:val="none"/>
        </w:rPr>
        <w:t>在评标过程中，评标委员会可以书面形式要求投标人对所提交投标文件中不明确的内容进行书面澄清或说明，或者对细微偏差进行补正。评标委员会不接受投标人主动提出的澄清、说明或补正</w:t>
      </w:r>
      <w:r>
        <w:rPr>
          <w:rFonts w:hint="eastAsia" w:ascii="宋体" w:hAnsi="宋体"/>
          <w:bCs/>
          <w:sz w:val="24"/>
          <w:highlight w:val="none"/>
        </w:rPr>
        <w:t>。</w:t>
      </w:r>
    </w:p>
    <w:p w14:paraId="6102FC47">
      <w:pPr>
        <w:spacing w:line="460" w:lineRule="exact"/>
        <w:ind w:firstLine="480" w:firstLineChars="200"/>
        <w:rPr>
          <w:rFonts w:ascii="宋体" w:hAnsi="宋体" w:eastAsia="宋体" w:cs="Times New Roman"/>
          <w:bCs/>
          <w:sz w:val="24"/>
          <w:highlight w:val="none"/>
        </w:rPr>
      </w:pPr>
      <w:r>
        <w:rPr>
          <w:rFonts w:hint="default" w:ascii="宋体" w:hAnsi="宋体" w:eastAsia="宋体" w:cs="Times New Roman"/>
          <w:bCs/>
          <w:sz w:val="24"/>
          <w:highlight w:val="none"/>
          <w:lang w:val="en-US" w:eastAsia="zh-CN"/>
        </w:rPr>
        <w:t>4</w:t>
      </w:r>
      <w:r>
        <w:rPr>
          <w:rFonts w:hint="default" w:ascii="宋体" w:hAnsi="宋体" w:eastAsia="宋体" w:cs="Times New Roman"/>
          <w:bCs/>
          <w:sz w:val="24"/>
          <w:highlight w:val="none"/>
        </w:rPr>
        <w:t>.3.2有关澄清、说明和补正的要求和回答均以书面形式进行，但招标人和投标人均不得因此而提出改变招标文件或投标文件实质内容的要求。投标人的书面澄清、说明或补正属于投标文件的组成部分。</w:t>
      </w:r>
    </w:p>
    <w:p w14:paraId="0C38BBC4">
      <w:pPr>
        <w:spacing w:line="460" w:lineRule="exact"/>
        <w:ind w:firstLine="480" w:firstLineChars="200"/>
        <w:rPr>
          <w:rFonts w:hint="default" w:ascii="宋体" w:hAnsi="宋体" w:eastAsia="宋体" w:cs="Times New Roman"/>
          <w:bCs/>
          <w:sz w:val="24"/>
          <w:highlight w:val="none"/>
        </w:rPr>
      </w:pPr>
      <w:r>
        <w:rPr>
          <w:rFonts w:hint="default" w:ascii="宋体" w:hAnsi="宋体" w:eastAsia="宋体" w:cs="Times New Roman"/>
          <w:bCs/>
          <w:sz w:val="24"/>
          <w:highlight w:val="none"/>
          <w:lang w:val="en-US" w:eastAsia="zh-CN"/>
        </w:rPr>
        <w:t>4</w:t>
      </w:r>
      <w:r>
        <w:rPr>
          <w:rFonts w:hint="default" w:ascii="宋体" w:hAnsi="宋体" w:eastAsia="宋体" w:cs="Times New Roman"/>
          <w:bCs/>
          <w:sz w:val="24"/>
          <w:highlight w:val="none"/>
        </w:rPr>
        <w:t>.3.3</w:t>
      </w:r>
      <w:r>
        <w:rPr>
          <w:rFonts w:ascii="宋体" w:hAnsi="宋体" w:eastAsia="宋体" w:cs="Times New Roman"/>
          <w:bCs/>
          <w:sz w:val="24"/>
          <w:szCs w:val="20"/>
          <w:highlight w:val="none"/>
        </w:rPr>
        <w:t>评标委员会对投标人提交的澄清、说明或补正有疑问的，可以要求投标人进一步澄清、说明或补正，直至满足评标委员会的要求</w:t>
      </w:r>
      <w:r>
        <w:rPr>
          <w:rFonts w:hint="default" w:ascii="宋体" w:hAnsi="宋体" w:eastAsia="宋体" w:cs="Times New Roman"/>
          <w:bCs/>
          <w:sz w:val="24"/>
          <w:highlight w:val="none"/>
        </w:rPr>
        <w:t>。</w:t>
      </w:r>
    </w:p>
    <w:p w14:paraId="01D309E0">
      <w:pPr>
        <w:spacing w:line="460" w:lineRule="exact"/>
        <w:ind w:firstLine="480" w:firstLineChars="200"/>
        <w:rPr>
          <w:rFonts w:hint="default" w:ascii="宋体" w:hAnsi="宋体" w:eastAsia="宋体" w:cs="Times New Roman"/>
          <w:bCs/>
          <w:sz w:val="24"/>
          <w:szCs w:val="20"/>
          <w:highlight w:val="none"/>
        </w:rPr>
      </w:pPr>
      <w:r>
        <w:rPr>
          <w:rFonts w:hint="default" w:ascii="宋体" w:hAnsi="宋体" w:eastAsia="宋体" w:cs="Times New Roman"/>
          <w:bCs/>
          <w:sz w:val="24"/>
          <w:szCs w:val="20"/>
          <w:highlight w:val="none"/>
        </w:rPr>
        <w:t>4.3.4 凡超出招标文件规定的或给发包人带来未曾要求的利益的变化、偏差或其他因素在评标时不予考虑。</w:t>
      </w:r>
    </w:p>
    <w:p w14:paraId="0EB8A909">
      <w:pPr>
        <w:spacing w:line="460" w:lineRule="exact"/>
        <w:ind w:firstLine="480" w:firstLineChars="200"/>
        <w:rPr>
          <w:rFonts w:hint="default" w:ascii="宋体" w:hAnsi="宋体" w:eastAsia="宋体" w:cs="Times New Roman"/>
          <w:bCs/>
          <w:sz w:val="24"/>
          <w:szCs w:val="20"/>
          <w:highlight w:val="none"/>
        </w:rPr>
      </w:pPr>
    </w:p>
    <w:p w14:paraId="516C43EF">
      <w:pPr>
        <w:spacing w:line="460" w:lineRule="exact"/>
        <w:ind w:firstLine="562" w:firstLineChars="200"/>
        <w:rPr>
          <w:rFonts w:hint="default" w:ascii="宋体" w:hAnsi="宋体" w:eastAsia="宋体" w:cs="Times New Roman"/>
          <w:bCs/>
          <w:sz w:val="24"/>
          <w:szCs w:val="20"/>
          <w:highlight w:val="none"/>
        </w:rPr>
      </w:pPr>
      <w:r>
        <w:rPr>
          <w:rFonts w:hint="eastAsia" w:ascii="宋体" w:hAnsi="宋体"/>
          <w:b/>
          <w:bCs/>
          <w:sz w:val="28"/>
          <w:szCs w:val="28"/>
          <w:highlight w:val="none"/>
        </w:rPr>
        <w:t>5.商务部分投标文件</w:t>
      </w:r>
      <w:r>
        <w:rPr>
          <w:rFonts w:ascii="宋体" w:hAnsi="宋体"/>
          <w:b/>
          <w:bCs/>
          <w:sz w:val="28"/>
          <w:szCs w:val="28"/>
          <w:highlight w:val="none"/>
        </w:rPr>
        <w:t>评审</w:t>
      </w:r>
    </w:p>
    <w:p w14:paraId="7B215815">
      <w:pPr>
        <w:tabs>
          <w:tab w:val="left" w:pos="900"/>
        </w:tabs>
        <w:spacing w:beforeLines="100" w:line="460" w:lineRule="exact"/>
        <w:ind w:firstLine="482" w:firstLineChars="200"/>
        <w:rPr>
          <w:rFonts w:ascii="宋体" w:hAnsi="宋体" w:eastAsia="宋体"/>
          <w:b/>
          <w:sz w:val="24"/>
          <w:szCs w:val="24"/>
          <w:highlight w:val="none"/>
        </w:rPr>
      </w:pPr>
      <w:r>
        <w:rPr>
          <w:rFonts w:hint="default" w:ascii="宋体" w:hAnsi="宋体" w:eastAsia="宋体"/>
          <w:b/>
          <w:sz w:val="24"/>
          <w:szCs w:val="24"/>
          <w:highlight w:val="none"/>
        </w:rPr>
        <w:t>5.1 初步评审</w:t>
      </w:r>
    </w:p>
    <w:p w14:paraId="2A01461A">
      <w:pPr>
        <w:autoSpaceDE w:val="0"/>
        <w:autoSpaceDN w:val="0"/>
        <w:adjustRightInd w:val="0"/>
        <w:spacing w:line="460" w:lineRule="exact"/>
        <w:ind w:firstLine="480" w:firstLineChars="200"/>
        <w:rPr>
          <w:rFonts w:ascii="宋体" w:hAnsi="宋体" w:cs="宋体"/>
          <w:spacing w:val="-4"/>
          <w:kern w:val="0"/>
          <w:sz w:val="24"/>
          <w:highlight w:val="none"/>
        </w:rPr>
      </w:pPr>
      <w:r>
        <w:rPr>
          <w:rFonts w:hint="eastAsia" w:ascii="宋体" w:hAnsi="宋体" w:cs="宋体"/>
          <w:kern w:val="0"/>
          <w:sz w:val="24"/>
          <w:highlight w:val="none"/>
        </w:rPr>
        <w:t xml:space="preserve">5.1.1 </w:t>
      </w:r>
      <w:r>
        <w:rPr>
          <w:rFonts w:hint="eastAsia" w:ascii="宋体" w:hAnsi="宋体" w:cs="宋体"/>
          <w:spacing w:val="-4"/>
          <w:kern w:val="0"/>
          <w:sz w:val="24"/>
          <w:highlight w:val="none"/>
        </w:rPr>
        <w:t>评标委员会按本章“3.1.1 形式评审标准”的评审因素对投标文件进行符合性审查，如投标人名称与营业执照、资质证书不一致；投标文件的签字盖章不能按“投标人须知”第3.7.3项的规定签字和盖章或有仿伪冒签的情形；法定代表人身份证明书、法人授权委托证明书的签署无效；投标文件格式不符合招标文件的要求出现明显偏离或存在内容不全或关键字迹模糊、无法辩认的情形。有一项不符合“形式评审标准”要求的，作</w:t>
      </w:r>
      <w:r>
        <w:rPr>
          <w:rFonts w:hint="eastAsia" w:ascii="宋体" w:hAnsi="宋体" w:cs="宋体"/>
          <w:kern w:val="0"/>
          <w:sz w:val="24"/>
          <w:highlight w:val="none"/>
        </w:rPr>
        <w:t>无效投标处理</w:t>
      </w:r>
      <w:r>
        <w:rPr>
          <w:rFonts w:hint="eastAsia" w:ascii="宋体" w:hAnsi="宋体" w:cs="宋体"/>
          <w:spacing w:val="-4"/>
          <w:kern w:val="0"/>
          <w:sz w:val="24"/>
          <w:highlight w:val="none"/>
        </w:rPr>
        <w:t>。</w:t>
      </w:r>
    </w:p>
    <w:p w14:paraId="00670FEA">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sz w:val="24"/>
          <w:highlight w:val="none"/>
        </w:rPr>
        <w:t>5.1.2</w:t>
      </w:r>
      <w:r>
        <w:rPr>
          <w:rFonts w:hint="eastAsia" w:ascii="宋体" w:hAnsi="宋体" w:cs="宋体"/>
          <w:spacing w:val="-1"/>
          <w:sz w:val="24"/>
          <w:highlight w:val="none"/>
        </w:rPr>
        <w:t xml:space="preserve">评标委员会按本章“3.1.2 </w:t>
      </w:r>
      <w:r>
        <w:rPr>
          <w:rFonts w:hint="eastAsia" w:ascii="宋体" w:hAnsi="宋体" w:cs="宋体"/>
          <w:spacing w:val="-1"/>
          <w:kern w:val="0"/>
          <w:sz w:val="24"/>
          <w:highlight w:val="none"/>
        </w:rPr>
        <w:t>资格审查标准”</w:t>
      </w:r>
      <w:r>
        <w:rPr>
          <w:rFonts w:hint="eastAsia" w:ascii="宋体" w:hAnsi="宋体" w:cs="宋体"/>
          <w:spacing w:val="-1"/>
          <w:sz w:val="24"/>
          <w:highlight w:val="none"/>
        </w:rPr>
        <w:t>的</w:t>
      </w:r>
      <w:r>
        <w:rPr>
          <w:rFonts w:hint="eastAsia" w:ascii="宋体" w:hAnsi="宋体" w:cs="宋体"/>
          <w:spacing w:val="-1"/>
          <w:kern w:val="0"/>
          <w:sz w:val="24"/>
          <w:highlight w:val="none"/>
        </w:rPr>
        <w:t>评审因素</w:t>
      </w:r>
      <w:r>
        <w:rPr>
          <w:rFonts w:hint="eastAsia" w:ascii="宋体" w:hAnsi="宋体" w:cs="宋体"/>
          <w:spacing w:val="-1"/>
          <w:sz w:val="24"/>
          <w:highlight w:val="none"/>
        </w:rPr>
        <w:t>，对已通过形式评审的投标人进行资格</w:t>
      </w:r>
      <w:r>
        <w:rPr>
          <w:rFonts w:hint="eastAsia" w:ascii="宋体" w:hAnsi="宋体" w:cs="宋体"/>
          <w:spacing w:val="-1"/>
          <w:kern w:val="0"/>
          <w:sz w:val="24"/>
          <w:highlight w:val="none"/>
        </w:rPr>
        <w:t>审查</w:t>
      </w:r>
      <w:r>
        <w:rPr>
          <w:rFonts w:hint="eastAsia" w:ascii="宋体" w:hAnsi="宋体" w:cs="宋体"/>
          <w:spacing w:val="-1"/>
          <w:sz w:val="24"/>
          <w:highlight w:val="none"/>
        </w:rPr>
        <w:t>。投标人有关资质条件、</w:t>
      </w:r>
      <w:r>
        <w:rPr>
          <w:rFonts w:hint="eastAsia" w:ascii="宋体" w:hAnsi="宋体" w:cs="宋体"/>
          <w:spacing w:val="-1"/>
          <w:kern w:val="0"/>
          <w:sz w:val="24"/>
          <w:highlight w:val="none"/>
        </w:rPr>
        <w:t>财务实力</w:t>
      </w:r>
      <w:r>
        <w:rPr>
          <w:rFonts w:hint="eastAsia" w:ascii="宋体" w:hAnsi="宋体" w:cs="宋体"/>
          <w:spacing w:val="-1"/>
          <w:sz w:val="24"/>
          <w:highlight w:val="none"/>
        </w:rPr>
        <w:t>、</w:t>
      </w:r>
      <w:r>
        <w:rPr>
          <w:rFonts w:hint="eastAsia" w:ascii="宋体" w:hAnsi="宋体" w:cs="宋体"/>
          <w:spacing w:val="-1"/>
          <w:kern w:val="0"/>
          <w:sz w:val="24"/>
          <w:highlight w:val="none"/>
        </w:rPr>
        <w:t>企业信誉</w:t>
      </w:r>
      <w:r>
        <w:rPr>
          <w:rFonts w:hint="eastAsia" w:ascii="宋体" w:hAnsi="宋体" w:cs="宋体"/>
          <w:spacing w:val="-1"/>
          <w:sz w:val="24"/>
          <w:highlight w:val="none"/>
        </w:rPr>
        <w:t>以及</w:t>
      </w:r>
      <w:r>
        <w:rPr>
          <w:rFonts w:hint="eastAsia" w:ascii="宋体" w:hAnsi="宋体" w:cs="宋体"/>
          <w:spacing w:val="-1"/>
          <w:kern w:val="0"/>
          <w:sz w:val="24"/>
          <w:highlight w:val="none"/>
        </w:rPr>
        <w:t>主要人员配备</w:t>
      </w:r>
      <w:r>
        <w:rPr>
          <w:rFonts w:hint="eastAsia" w:ascii="宋体" w:hAnsi="宋体" w:cs="宋体"/>
          <w:spacing w:val="-1"/>
          <w:sz w:val="24"/>
          <w:highlight w:val="none"/>
        </w:rPr>
        <w:t>，</w:t>
      </w:r>
      <w:r>
        <w:rPr>
          <w:rFonts w:hint="eastAsia" w:ascii="宋体" w:hAnsi="宋体" w:cs="宋体"/>
          <w:kern w:val="0"/>
          <w:sz w:val="24"/>
          <w:highlight w:val="none"/>
        </w:rPr>
        <w:t>有一项未能达到资格审查标准，其投标资格审查不能获得通过，作无效投标处理。</w:t>
      </w:r>
    </w:p>
    <w:p w14:paraId="70C447BD">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sz w:val="24"/>
          <w:highlight w:val="none"/>
        </w:rPr>
        <w:t xml:space="preserve">5.1.3 </w:t>
      </w:r>
      <w:r>
        <w:rPr>
          <w:rFonts w:hint="eastAsia" w:ascii="宋体" w:hAnsi="宋体" w:cs="宋体"/>
          <w:spacing w:val="-4"/>
          <w:sz w:val="24"/>
          <w:highlight w:val="none"/>
        </w:rPr>
        <w:t xml:space="preserve">评标委员会按本章“3.1.3 响应性评审标准” </w:t>
      </w:r>
      <w:r>
        <w:rPr>
          <w:rFonts w:hint="eastAsia" w:ascii="宋体" w:hAnsi="宋体" w:cs="宋体"/>
          <w:spacing w:val="-4"/>
          <w:kern w:val="0"/>
          <w:sz w:val="24"/>
          <w:highlight w:val="none"/>
        </w:rPr>
        <w:t>的评审因素对投标人的投标文件进行响应性评审，如存在投标文件在</w:t>
      </w:r>
      <w:r>
        <w:rPr>
          <w:rFonts w:hint="eastAsia" w:ascii="宋体" w:hAnsi="宋体" w:cs="宋体"/>
          <w:spacing w:val="-4"/>
          <w:sz w:val="24"/>
          <w:highlight w:val="none"/>
        </w:rPr>
        <w:t>监理服务期、投标有效期等内容</w:t>
      </w:r>
      <w:r>
        <w:rPr>
          <w:rFonts w:hint="eastAsia" w:ascii="宋体" w:hAnsi="宋体" w:cs="宋体"/>
          <w:spacing w:val="-4"/>
          <w:kern w:val="0"/>
          <w:sz w:val="24"/>
          <w:highlight w:val="none"/>
        </w:rPr>
        <w:t>与招标文件的规定出现重大偏离</w:t>
      </w:r>
      <w:r>
        <w:rPr>
          <w:rFonts w:hint="eastAsia" w:ascii="宋体" w:hAnsi="宋体" w:cs="宋体"/>
          <w:spacing w:val="-4"/>
          <w:sz w:val="24"/>
          <w:highlight w:val="none"/>
        </w:rPr>
        <w:t>，</w:t>
      </w:r>
      <w:r>
        <w:rPr>
          <w:rFonts w:hint="eastAsia" w:ascii="宋体" w:hAnsi="宋体" w:cs="Tahoma"/>
          <w:spacing w:val="-4"/>
          <w:sz w:val="24"/>
          <w:highlight w:val="none"/>
        </w:rPr>
        <w:t>而且，调整这种偏离或保留将会对其他符合招标原则的投标人的竞争地位产生不公正影响时，</w:t>
      </w:r>
      <w:r>
        <w:rPr>
          <w:rFonts w:hint="eastAsia" w:ascii="宋体" w:hAnsi="宋体" w:cs="宋体"/>
          <w:spacing w:val="-4"/>
          <w:kern w:val="0"/>
          <w:sz w:val="24"/>
          <w:highlight w:val="none"/>
        </w:rPr>
        <w:t>其投标文件将视为不响应招标文件作无效投标处理。</w:t>
      </w:r>
    </w:p>
    <w:p w14:paraId="0754AAED">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 xml:space="preserve">5.1.4 </w:t>
      </w:r>
      <w:r>
        <w:rPr>
          <w:rFonts w:hint="eastAsia" w:ascii="宋体" w:hAnsi="宋体"/>
          <w:sz w:val="24"/>
          <w:highlight w:val="none"/>
        </w:rPr>
        <w:t>当</w:t>
      </w:r>
      <w:r>
        <w:rPr>
          <w:rFonts w:hint="eastAsia" w:ascii="宋体" w:hAnsi="宋体" w:cs="宋体"/>
          <w:sz w:val="24"/>
          <w:highlight w:val="none"/>
        </w:rPr>
        <w:t>评标委员会</w:t>
      </w:r>
      <w:r>
        <w:rPr>
          <w:rFonts w:hint="eastAsia" w:ascii="宋体" w:hAnsi="宋体"/>
          <w:sz w:val="24"/>
          <w:highlight w:val="none"/>
        </w:rPr>
        <w:t>对</w:t>
      </w:r>
      <w:r>
        <w:rPr>
          <w:rFonts w:hint="eastAsia" w:ascii="宋体" w:hAnsi="宋体" w:cs="宋体"/>
          <w:sz w:val="24"/>
          <w:highlight w:val="none"/>
        </w:rPr>
        <w:t>初步评审的</w:t>
      </w:r>
      <w:r>
        <w:rPr>
          <w:rFonts w:hint="eastAsia" w:ascii="宋体" w:hAnsi="宋体"/>
          <w:sz w:val="24"/>
          <w:highlight w:val="none"/>
        </w:rPr>
        <w:t>某一项评审意见不一致时，</w:t>
      </w:r>
      <w:r>
        <w:rPr>
          <w:rFonts w:hint="eastAsia" w:ascii="宋体" w:hAnsi="宋体" w:cs="宋体"/>
          <w:sz w:val="24"/>
          <w:highlight w:val="none"/>
        </w:rPr>
        <w:t>则按少数服从多数的原则，决定该投标人是否通过初步评审。</w:t>
      </w:r>
    </w:p>
    <w:p w14:paraId="4B3C862C">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5.1.5 投标人有以下情形之一的，其投标作无效处理：</w:t>
      </w:r>
    </w:p>
    <w:p w14:paraId="42C329B4">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（1）第二章“投标人须知”第</w:t>
      </w:r>
      <w:r>
        <w:rPr>
          <w:rFonts w:hint="eastAsia" w:ascii="宋体" w:hAnsi="宋体"/>
          <w:b/>
          <w:bCs/>
          <w:sz w:val="24"/>
          <w:highlight w:val="none"/>
          <w:lang w:val="en-US" w:eastAsia="zh-CN"/>
        </w:rPr>
        <w:t>1.4.3</w:t>
      </w:r>
      <w:r>
        <w:rPr>
          <w:rFonts w:hint="eastAsia" w:ascii="宋体" w:hAnsi="宋体" w:cs="宋体"/>
          <w:sz w:val="24"/>
          <w:highlight w:val="none"/>
        </w:rPr>
        <w:t xml:space="preserve"> 项规定的任何一种情形的；</w:t>
      </w:r>
    </w:p>
    <w:p w14:paraId="3E166B9E">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（2）投标报价超出招标文件规定的有效范围的；</w:t>
      </w:r>
    </w:p>
    <w:p w14:paraId="59E57F14">
      <w:pPr>
        <w:autoSpaceDE w:val="0"/>
        <w:autoSpaceDN w:val="0"/>
        <w:adjustRightInd w:val="0"/>
        <w:spacing w:line="460" w:lineRule="exact"/>
        <w:ind w:firstLine="480" w:firstLineChars="200"/>
        <w:rPr>
          <w:rFonts w:ascii="宋体" w:hAnsi="宋体" w:cs="宋体"/>
          <w:sz w:val="24"/>
          <w:highlight w:val="none"/>
        </w:rPr>
      </w:pPr>
      <w:r>
        <w:rPr>
          <w:rFonts w:ascii="宋体" w:hAnsi="宋体" w:cs="宋体"/>
          <w:sz w:val="24"/>
          <w:highlight w:val="none"/>
        </w:rPr>
        <w:t>（</w:t>
      </w:r>
      <w:r>
        <w:rPr>
          <w:rFonts w:hint="default" w:ascii="宋体" w:hAnsi="宋体" w:cs="宋体"/>
          <w:sz w:val="24"/>
          <w:highlight w:val="none"/>
          <w:lang w:val="en-US"/>
        </w:rPr>
        <w:t>3</w:t>
      </w:r>
      <w:r>
        <w:rPr>
          <w:rFonts w:ascii="宋体" w:hAnsi="宋体" w:cs="宋体"/>
          <w:sz w:val="24"/>
          <w:highlight w:val="none"/>
        </w:rPr>
        <w:t>）</w:t>
      </w:r>
      <w:r>
        <w:rPr>
          <w:rFonts w:hint="eastAsia" w:ascii="宋体" w:hAnsi="宋体" w:cs="宋体"/>
          <w:sz w:val="24"/>
          <w:highlight w:val="none"/>
        </w:rPr>
        <w:t>投标文件附有招标人不能接受的其他条件；</w:t>
      </w:r>
    </w:p>
    <w:p w14:paraId="5A3717F3">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w:t>
      </w:r>
      <w:r>
        <w:rPr>
          <w:rFonts w:hint="default" w:ascii="宋体" w:hAnsi="宋体" w:cs="宋体"/>
          <w:sz w:val="24"/>
          <w:highlight w:val="none"/>
          <w:lang w:val="en-US"/>
        </w:rPr>
        <w:t>4</w:t>
      </w:r>
      <w:r>
        <w:rPr>
          <w:rFonts w:hint="eastAsia" w:ascii="宋体" w:hAnsi="宋体" w:cs="宋体"/>
          <w:sz w:val="24"/>
          <w:highlight w:val="none"/>
        </w:rPr>
        <w:t>）有串通投标或弄虚作假或有其它违法行为的；</w:t>
      </w:r>
    </w:p>
    <w:p w14:paraId="7588749C">
      <w:pPr>
        <w:autoSpaceDE w:val="0"/>
        <w:autoSpaceDN w:val="0"/>
        <w:adjustRightInd w:val="0"/>
        <w:spacing w:line="460" w:lineRule="exact"/>
        <w:ind w:firstLine="480" w:firstLineChars="200"/>
        <w:rPr>
          <w:rFonts w:ascii="宋体" w:hAnsi="宋体" w:cs="宋体"/>
          <w:sz w:val="24"/>
          <w:highlight w:val="none"/>
        </w:rPr>
      </w:pPr>
      <w:r>
        <w:rPr>
          <w:rFonts w:hint="eastAsia" w:ascii="宋体" w:hAnsi="宋体" w:cs="宋体"/>
          <w:sz w:val="24"/>
          <w:highlight w:val="none"/>
        </w:rPr>
        <w:t>（</w:t>
      </w:r>
      <w:r>
        <w:rPr>
          <w:rFonts w:hint="default" w:ascii="宋体" w:hAnsi="宋体" w:cs="宋体"/>
          <w:sz w:val="24"/>
          <w:highlight w:val="none"/>
          <w:lang w:val="en-US"/>
        </w:rPr>
        <w:t>5</w:t>
      </w:r>
      <w:r>
        <w:rPr>
          <w:rFonts w:hint="eastAsia" w:ascii="宋体" w:hAnsi="宋体" w:cs="宋体"/>
          <w:sz w:val="24"/>
          <w:highlight w:val="none"/>
        </w:rPr>
        <w:t>）</w:t>
      </w:r>
      <w:r>
        <w:rPr>
          <w:rFonts w:hint="eastAsia" w:ascii="宋体" w:hAnsi="宋体" w:cs="TimesNewRomanPSMT"/>
          <w:kern w:val="0"/>
          <w:sz w:val="24"/>
          <w:highlight w:val="none"/>
        </w:rPr>
        <w:t>投标人资格条件不符合国家有关规定和招标文件要求</w:t>
      </w:r>
      <w:r>
        <w:rPr>
          <w:rFonts w:hint="eastAsia" w:ascii="宋体" w:hAnsi="宋体" w:cs="宋体"/>
          <w:sz w:val="24"/>
          <w:highlight w:val="none"/>
        </w:rPr>
        <w:t>。</w:t>
      </w:r>
    </w:p>
    <w:p w14:paraId="19A106BB">
      <w:pPr>
        <w:tabs>
          <w:tab w:val="left" w:pos="900"/>
        </w:tabs>
        <w:spacing w:beforeLines="100" w:line="460" w:lineRule="exact"/>
        <w:ind w:firstLine="482" w:firstLineChars="200"/>
        <w:rPr>
          <w:rFonts w:ascii="宋体" w:hAnsi="宋体"/>
          <w:b/>
          <w:sz w:val="24"/>
          <w:szCs w:val="24"/>
          <w:highlight w:val="none"/>
        </w:rPr>
      </w:pPr>
      <w:r>
        <w:rPr>
          <w:rFonts w:hint="eastAsia" w:ascii="宋体" w:hAnsi="宋体"/>
          <w:b/>
          <w:sz w:val="24"/>
          <w:szCs w:val="24"/>
          <w:highlight w:val="none"/>
        </w:rPr>
        <w:t>5</w:t>
      </w:r>
      <w:r>
        <w:rPr>
          <w:rFonts w:ascii="宋体" w:hAnsi="宋体"/>
          <w:b/>
          <w:sz w:val="24"/>
          <w:szCs w:val="24"/>
          <w:highlight w:val="none"/>
        </w:rPr>
        <w:t xml:space="preserve">.2 </w:t>
      </w:r>
      <w:r>
        <w:rPr>
          <w:rFonts w:hint="eastAsia" w:ascii="宋体" w:hAnsi="宋体"/>
          <w:b/>
          <w:sz w:val="24"/>
          <w:szCs w:val="24"/>
          <w:highlight w:val="none"/>
        </w:rPr>
        <w:t>详细评审</w:t>
      </w:r>
    </w:p>
    <w:p w14:paraId="2AFB56E1">
      <w:pPr>
        <w:spacing w:line="460" w:lineRule="exact"/>
        <w:ind w:firstLine="480"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.2.1 评标委员会按本章第</w:t>
      </w:r>
      <w:r>
        <w:rPr>
          <w:rFonts w:hint="eastAsia" w:ascii="宋体" w:hAnsi="宋体"/>
          <w:sz w:val="24"/>
          <w:highlight w:val="none"/>
        </w:rPr>
        <w:t>3.2</w:t>
      </w:r>
      <w:r>
        <w:rPr>
          <w:rFonts w:hint="eastAsia" w:ascii="宋体" w:hAnsi="宋体"/>
          <w:sz w:val="24"/>
          <w:highlight w:val="none"/>
          <w:lang w:val="en-US" w:eastAsia="zh-CN"/>
        </w:rPr>
        <w:t>.2</w:t>
      </w:r>
      <w:r>
        <w:rPr>
          <w:rFonts w:ascii="宋体" w:hAnsi="宋体"/>
          <w:sz w:val="24"/>
          <w:highlight w:val="none"/>
        </w:rPr>
        <w:t>款规定的量化因素和分值进行打分。</w:t>
      </w:r>
    </w:p>
    <w:p w14:paraId="7C3DF7CC">
      <w:pPr>
        <w:spacing w:line="460" w:lineRule="exact"/>
        <w:ind w:firstLine="480" w:firstLineChars="200"/>
        <w:rPr>
          <w:rFonts w:ascii="宋体" w:hAnsi="宋体" w:eastAsia="宋体" w:cs="Times New Roman"/>
          <w:sz w:val="24"/>
          <w:highlight w:val="none"/>
        </w:rPr>
      </w:pPr>
      <w:r>
        <w:rPr>
          <w:rFonts w:ascii="宋体" w:hAnsi="宋体"/>
          <w:sz w:val="24"/>
          <w:highlight w:val="none"/>
        </w:rPr>
        <w:t>（1）按本章第</w:t>
      </w:r>
      <w:r>
        <w:rPr>
          <w:rFonts w:hint="eastAsia" w:ascii="宋体" w:hAnsi="宋体"/>
          <w:sz w:val="24"/>
          <w:highlight w:val="none"/>
        </w:rPr>
        <w:t>1.2</w:t>
      </w:r>
      <w:r>
        <w:rPr>
          <w:rFonts w:ascii="宋体" w:hAnsi="宋体"/>
          <w:sz w:val="24"/>
          <w:highlight w:val="none"/>
        </w:rPr>
        <w:t>规定的评审因素和分值</w:t>
      </w:r>
      <w:r>
        <w:rPr>
          <w:rFonts w:ascii="宋体" w:hAnsi="宋体" w:eastAsia="宋体" w:cs="Times New Roman"/>
          <w:sz w:val="24"/>
          <w:highlight w:val="none"/>
        </w:rPr>
        <w:t>对</w:t>
      </w:r>
      <w:r>
        <w:rPr>
          <w:rFonts w:hint="default" w:ascii="宋体" w:hAnsi="宋体" w:eastAsia="宋体" w:cs="Times New Roman"/>
          <w:sz w:val="24"/>
          <w:highlight w:val="none"/>
        </w:rPr>
        <w:t>商务部分进行评分</w:t>
      </w:r>
      <w:r>
        <w:rPr>
          <w:rFonts w:ascii="宋体" w:hAnsi="宋体" w:eastAsia="宋体" w:cs="Times New Roman"/>
          <w:sz w:val="24"/>
          <w:highlight w:val="none"/>
        </w:rPr>
        <w:t>得</w:t>
      </w:r>
      <w:r>
        <w:rPr>
          <w:rFonts w:hint="default" w:ascii="宋体" w:hAnsi="宋体" w:eastAsia="宋体" w:cs="Times New Roman"/>
          <w:b w:val="0"/>
          <w:sz w:val="24"/>
          <w:highlight w:val="none"/>
        </w:rPr>
        <w:t>M</w:t>
      </w:r>
      <w:r>
        <w:rPr>
          <w:rFonts w:ascii="宋体" w:hAnsi="宋体" w:eastAsia="宋体" w:cs="Times New Roman"/>
          <w:sz w:val="24"/>
          <w:highlight w:val="none"/>
        </w:rPr>
        <w:t>；</w:t>
      </w:r>
    </w:p>
    <w:p w14:paraId="662FAF31">
      <w:pPr>
        <w:spacing w:line="460" w:lineRule="exact"/>
        <w:ind w:firstLine="480" w:firstLineChars="200"/>
        <w:rPr>
          <w:rFonts w:ascii="宋体" w:hAnsi="宋体" w:eastAsia="宋体" w:cs="Times New Roman"/>
          <w:sz w:val="24"/>
          <w:highlight w:val="none"/>
        </w:rPr>
      </w:pPr>
      <w:r>
        <w:rPr>
          <w:rFonts w:hint="default" w:ascii="宋体" w:hAnsi="宋体" w:eastAsia="宋体" w:cs="Times New Roman"/>
          <w:sz w:val="24"/>
          <w:highlight w:val="none"/>
        </w:rPr>
        <w:t>5</w:t>
      </w:r>
      <w:r>
        <w:rPr>
          <w:rFonts w:ascii="宋体" w:hAnsi="宋体" w:eastAsia="宋体" w:cs="Times New Roman"/>
          <w:sz w:val="24"/>
          <w:highlight w:val="none"/>
        </w:rPr>
        <w:t>.2.2 评分分值计算保留小数点后两位，小数点后第三位“四舍五入”。</w:t>
      </w:r>
    </w:p>
    <w:bookmarkEnd w:id="16"/>
    <w:p w14:paraId="0E59C4D7">
      <w:pPr>
        <w:tabs>
          <w:tab w:val="left" w:pos="900"/>
        </w:tabs>
        <w:spacing w:beforeLines="100" w:line="460" w:lineRule="exact"/>
        <w:rPr>
          <w:rFonts w:ascii="宋体" w:hAnsi="宋体"/>
          <w:b/>
          <w:sz w:val="24"/>
          <w:szCs w:val="24"/>
          <w:highlight w:val="none"/>
        </w:rPr>
      </w:pPr>
      <w:r>
        <w:rPr>
          <w:rFonts w:hint="eastAsia" w:ascii="宋体" w:hAnsi="宋体"/>
          <w:b/>
          <w:sz w:val="24"/>
          <w:szCs w:val="24"/>
          <w:highlight w:val="none"/>
        </w:rPr>
        <w:t>6. 技术投标文件</w:t>
      </w:r>
      <w:r>
        <w:rPr>
          <w:rFonts w:ascii="宋体" w:hAnsi="宋体"/>
          <w:b/>
          <w:sz w:val="24"/>
          <w:szCs w:val="24"/>
          <w:highlight w:val="none"/>
        </w:rPr>
        <w:t>评审</w:t>
      </w:r>
    </w:p>
    <w:p w14:paraId="31910474">
      <w:pPr>
        <w:spacing w:line="460" w:lineRule="exact"/>
        <w:ind w:firstLine="480" w:firstLineChars="200"/>
        <w:rPr>
          <w:rFonts w:ascii="宋体" w:hAnsi="宋体"/>
          <w:sz w:val="24"/>
          <w:szCs w:val="24"/>
          <w:highlight w:val="none"/>
        </w:rPr>
      </w:pPr>
      <w:r>
        <w:rPr>
          <w:rFonts w:hint="eastAsia" w:ascii="宋体" w:hAnsi="宋体"/>
          <w:sz w:val="24"/>
          <w:szCs w:val="24"/>
          <w:highlight w:val="none"/>
        </w:rPr>
        <w:t>6.1技术投标文件</w:t>
      </w:r>
      <w:r>
        <w:rPr>
          <w:rFonts w:ascii="宋体" w:hAnsi="宋体"/>
          <w:sz w:val="24"/>
          <w:szCs w:val="24"/>
          <w:highlight w:val="none"/>
        </w:rPr>
        <w:t>编码</w:t>
      </w:r>
    </w:p>
    <w:p w14:paraId="6BAD3A3A">
      <w:pPr>
        <w:spacing w:line="460" w:lineRule="exact"/>
        <w:ind w:firstLine="480" w:firstLineChars="200"/>
        <w:rPr>
          <w:rFonts w:ascii="宋体" w:hAnsi="宋体"/>
          <w:sz w:val="24"/>
          <w:szCs w:val="24"/>
          <w:highlight w:val="none"/>
        </w:rPr>
      </w:pPr>
      <w:r>
        <w:rPr>
          <w:rFonts w:hint="eastAsia" w:ascii="宋体" w:hAnsi="宋体"/>
          <w:sz w:val="24"/>
          <w:szCs w:val="24"/>
          <w:highlight w:val="none"/>
        </w:rPr>
        <w:t>技术投标文件</w:t>
      </w:r>
      <w:r>
        <w:rPr>
          <w:rFonts w:ascii="宋体" w:hAnsi="宋体"/>
          <w:sz w:val="24"/>
          <w:szCs w:val="24"/>
          <w:highlight w:val="none"/>
        </w:rPr>
        <w:t>评审工作开始前，</w:t>
      </w:r>
      <w:r>
        <w:rPr>
          <w:rFonts w:hint="eastAsia" w:ascii="宋体" w:hAnsi="宋体"/>
          <w:sz w:val="24"/>
          <w:szCs w:val="24"/>
          <w:highlight w:val="none"/>
        </w:rPr>
        <w:t>由监督人员对投标人的技术投标文件</w:t>
      </w:r>
      <w:r>
        <w:rPr>
          <w:rFonts w:ascii="宋体" w:hAnsi="宋体"/>
          <w:sz w:val="24"/>
          <w:szCs w:val="24"/>
          <w:highlight w:val="none"/>
        </w:rPr>
        <w:t>暗标</w:t>
      </w:r>
      <w:r>
        <w:rPr>
          <w:rFonts w:hint="eastAsia" w:ascii="宋体" w:hAnsi="宋体"/>
          <w:sz w:val="24"/>
          <w:szCs w:val="24"/>
          <w:highlight w:val="none"/>
        </w:rPr>
        <w:t>进行</w:t>
      </w:r>
      <w:r>
        <w:rPr>
          <w:rFonts w:ascii="宋体" w:hAnsi="宋体"/>
          <w:sz w:val="24"/>
          <w:szCs w:val="24"/>
          <w:highlight w:val="none"/>
        </w:rPr>
        <w:t>编码，</w:t>
      </w:r>
      <w:r>
        <w:rPr>
          <w:rFonts w:ascii="宋体" w:hAnsi="宋体"/>
          <w:spacing w:val="-4"/>
          <w:sz w:val="24"/>
          <w:szCs w:val="24"/>
          <w:highlight w:val="none"/>
        </w:rPr>
        <w:t>并就暗标编码与投标人的对应关系做好暗标标码记录</w:t>
      </w:r>
      <w:r>
        <w:rPr>
          <w:rFonts w:hint="eastAsia" w:ascii="宋体" w:hAnsi="宋体"/>
          <w:spacing w:val="-4"/>
          <w:sz w:val="24"/>
          <w:szCs w:val="24"/>
          <w:highlight w:val="none"/>
        </w:rPr>
        <w:t>，</w:t>
      </w:r>
      <w:r>
        <w:rPr>
          <w:rFonts w:ascii="宋体" w:hAnsi="宋体"/>
          <w:spacing w:val="-4"/>
          <w:sz w:val="24"/>
          <w:szCs w:val="24"/>
          <w:highlight w:val="none"/>
        </w:rPr>
        <w:t>暗标编码按随机方式编制</w:t>
      </w:r>
      <w:r>
        <w:rPr>
          <w:rFonts w:ascii="宋体" w:hAnsi="宋体"/>
          <w:sz w:val="24"/>
          <w:szCs w:val="24"/>
          <w:highlight w:val="none"/>
        </w:rPr>
        <w:t>。</w:t>
      </w:r>
    </w:p>
    <w:p w14:paraId="10BEF679">
      <w:pPr>
        <w:spacing w:line="460" w:lineRule="exact"/>
        <w:ind w:firstLine="480" w:firstLineChars="200"/>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2技术投标文件符合性审查</w:t>
      </w:r>
    </w:p>
    <w:p w14:paraId="4437E4F2">
      <w:pPr>
        <w:spacing w:line="460" w:lineRule="exact"/>
        <w:ind w:firstLine="480" w:firstLineChars="200"/>
        <w:rPr>
          <w:rFonts w:ascii="宋体" w:hAnsi="宋体"/>
          <w:sz w:val="24"/>
          <w:szCs w:val="24"/>
          <w:highlight w:val="none"/>
        </w:rPr>
      </w:pPr>
      <w:r>
        <w:rPr>
          <w:rFonts w:hint="eastAsia" w:ascii="宋体" w:hAnsi="宋体"/>
          <w:sz w:val="24"/>
          <w:szCs w:val="24"/>
          <w:highlight w:val="none"/>
        </w:rPr>
        <w:t>评标委员会对已编号的技术投标文件进行初步评审，审查技术投标文件的内容是否按</w:t>
      </w:r>
      <w:r>
        <w:rPr>
          <w:rFonts w:hint="eastAsia" w:ascii="宋体" w:hAnsi="宋体"/>
          <w:spacing w:val="-6"/>
          <w:sz w:val="24"/>
          <w:szCs w:val="24"/>
          <w:highlight w:val="none"/>
        </w:rPr>
        <w:t>招标文件的具体要求</w:t>
      </w:r>
      <w:r>
        <w:rPr>
          <w:rFonts w:hint="eastAsia" w:ascii="宋体" w:hAnsi="宋体"/>
          <w:sz w:val="24"/>
          <w:szCs w:val="24"/>
          <w:highlight w:val="none"/>
        </w:rPr>
        <w:t>进行编写，</w:t>
      </w:r>
      <w:r>
        <w:rPr>
          <w:rFonts w:hint="eastAsia" w:ascii="宋体" w:hAnsi="宋体"/>
          <w:spacing w:val="-6"/>
          <w:sz w:val="24"/>
          <w:szCs w:val="24"/>
          <w:highlight w:val="none"/>
        </w:rPr>
        <w:t>如</w:t>
      </w:r>
      <w:r>
        <w:rPr>
          <w:rFonts w:hint="eastAsia" w:ascii="宋体" w:hAnsi="宋体"/>
          <w:spacing w:val="-6"/>
          <w:sz w:val="24"/>
          <w:highlight w:val="none"/>
        </w:rPr>
        <w:t>技术投标文件</w:t>
      </w:r>
      <w:r>
        <w:rPr>
          <w:rFonts w:hint="eastAsia" w:ascii="宋体" w:hAnsi="宋体"/>
          <w:spacing w:val="-6"/>
          <w:sz w:val="24"/>
          <w:szCs w:val="24"/>
          <w:highlight w:val="none"/>
        </w:rPr>
        <w:t>的封面及正文</w:t>
      </w:r>
      <w:r>
        <w:rPr>
          <w:rFonts w:ascii="宋体" w:hAnsi="宋体"/>
          <w:spacing w:val="-6"/>
          <w:sz w:val="24"/>
          <w:szCs w:val="24"/>
          <w:highlight w:val="none"/>
        </w:rPr>
        <w:t>出现</w:t>
      </w:r>
      <w:r>
        <w:rPr>
          <w:rFonts w:hint="eastAsia" w:ascii="宋体" w:hAnsi="宋体"/>
          <w:spacing w:val="-6"/>
          <w:sz w:val="24"/>
          <w:szCs w:val="24"/>
          <w:highlight w:val="none"/>
        </w:rPr>
        <w:t>有</w:t>
      </w:r>
      <w:r>
        <w:rPr>
          <w:rFonts w:ascii="宋体" w:hAnsi="宋体"/>
          <w:spacing w:val="-6"/>
          <w:sz w:val="24"/>
          <w:szCs w:val="24"/>
          <w:highlight w:val="none"/>
        </w:rPr>
        <w:t>投标人的名称和其</w:t>
      </w:r>
      <w:r>
        <w:rPr>
          <w:rFonts w:hint="eastAsia" w:ascii="宋体" w:hAnsi="宋体"/>
          <w:spacing w:val="-6"/>
          <w:sz w:val="24"/>
          <w:szCs w:val="24"/>
          <w:highlight w:val="none"/>
        </w:rPr>
        <w:t>他</w:t>
      </w:r>
      <w:r>
        <w:rPr>
          <w:rFonts w:ascii="宋体" w:hAnsi="宋体"/>
          <w:spacing w:val="-6"/>
          <w:sz w:val="24"/>
          <w:szCs w:val="24"/>
          <w:highlight w:val="none"/>
        </w:rPr>
        <w:t>可识别投标人身份的</w:t>
      </w:r>
      <w:r>
        <w:rPr>
          <w:rFonts w:ascii="宋体" w:hAnsi="宋体" w:cs="宋体"/>
          <w:spacing w:val="-3"/>
          <w:kern w:val="0"/>
          <w:sz w:val="24"/>
          <w:highlight w:val="none"/>
        </w:rPr>
        <w:t>文字、</w:t>
      </w:r>
      <w:r>
        <w:rPr>
          <w:rFonts w:hint="eastAsia" w:ascii="宋体" w:hAnsi="宋体"/>
          <w:sz w:val="24"/>
          <w:highlight w:val="none"/>
        </w:rPr>
        <w:t>图案、</w:t>
      </w:r>
      <w:r>
        <w:rPr>
          <w:rFonts w:ascii="宋体" w:hAnsi="宋体" w:cs="宋体"/>
          <w:spacing w:val="-3"/>
          <w:kern w:val="0"/>
          <w:sz w:val="24"/>
          <w:highlight w:val="none"/>
        </w:rPr>
        <w:t>符号、标识</w:t>
      </w:r>
      <w:r>
        <w:rPr>
          <w:rFonts w:hint="eastAsia" w:ascii="宋体" w:hAnsi="宋体" w:cs="宋体"/>
          <w:spacing w:val="-3"/>
          <w:kern w:val="0"/>
          <w:sz w:val="24"/>
          <w:highlight w:val="none"/>
          <w:lang w:val="en-US" w:eastAsia="zh-CN"/>
        </w:rPr>
        <w:t>的</w:t>
      </w:r>
      <w:r>
        <w:rPr>
          <w:rFonts w:hint="eastAsia" w:ascii="宋体" w:hAnsi="宋体"/>
          <w:spacing w:val="-6"/>
          <w:sz w:val="24"/>
          <w:szCs w:val="24"/>
          <w:highlight w:val="none"/>
        </w:rPr>
        <w:t>，该投标人的投标文件</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r>
        <w:rPr>
          <w:rFonts w:hint="eastAsia" w:ascii="宋体" w:hAnsi="宋体"/>
          <w:sz w:val="24"/>
          <w:highlight w:val="none"/>
        </w:rPr>
        <w:t>不进入第二阶段评审</w:t>
      </w:r>
      <w:r>
        <w:rPr>
          <w:rFonts w:hint="eastAsia" w:ascii="宋体" w:hAnsi="宋体" w:cs="宋体"/>
          <w:spacing w:val="-6"/>
          <w:kern w:val="0"/>
          <w:sz w:val="24"/>
          <w:szCs w:val="24"/>
          <w:highlight w:val="none"/>
        </w:rPr>
        <w:t>。</w:t>
      </w:r>
    </w:p>
    <w:p w14:paraId="2B9146BA">
      <w:pPr>
        <w:spacing w:line="460" w:lineRule="exact"/>
        <w:ind w:firstLine="480" w:firstLineChars="200"/>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3技术投标文件详细评审</w:t>
      </w:r>
    </w:p>
    <w:p w14:paraId="50EFACC4">
      <w:pPr>
        <w:spacing w:line="460" w:lineRule="exact"/>
        <w:ind w:firstLine="480" w:firstLineChars="200"/>
        <w:rPr>
          <w:rFonts w:hint="eastAsia" w:ascii="宋体" w:hAnsi="宋体" w:eastAsia="宋体" w:cs="Times New Roman"/>
          <w:sz w:val="24"/>
          <w:szCs w:val="24"/>
          <w:highlight w:val="none"/>
        </w:rPr>
      </w:pPr>
      <w:r>
        <w:rPr>
          <w:rFonts w:hint="eastAsia" w:ascii="宋体" w:hAnsi="宋体"/>
          <w:sz w:val="24"/>
          <w:highlight w:val="none"/>
        </w:rPr>
        <w:t>6</w:t>
      </w:r>
      <w:r>
        <w:rPr>
          <w:rFonts w:ascii="宋体" w:hAnsi="宋体"/>
          <w:sz w:val="24"/>
          <w:highlight w:val="none"/>
        </w:rPr>
        <w:t>.</w:t>
      </w:r>
      <w:r>
        <w:rPr>
          <w:rFonts w:hint="eastAsia" w:ascii="宋体" w:hAnsi="宋体"/>
          <w:sz w:val="24"/>
          <w:highlight w:val="none"/>
        </w:rPr>
        <w:t>3</w:t>
      </w:r>
      <w:r>
        <w:rPr>
          <w:rFonts w:ascii="宋体" w:hAnsi="宋体"/>
          <w:sz w:val="24"/>
          <w:highlight w:val="none"/>
        </w:rPr>
        <w:t>.1 评标委员会按本章</w:t>
      </w:r>
      <w:r>
        <w:rPr>
          <w:rFonts w:hint="eastAsia" w:ascii="宋体" w:hAnsi="宋体" w:eastAsia="宋体" w:cs="Times New Roman"/>
          <w:sz w:val="24"/>
          <w:szCs w:val="24"/>
          <w:highlight w:val="none"/>
        </w:rPr>
        <w:t>第3.2款规定的量化因素和分值进行打分。</w:t>
      </w:r>
    </w:p>
    <w:p w14:paraId="774F108E">
      <w:pPr>
        <w:spacing w:line="46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（1）按本章第1.3规定的评审因素和分值对技术标部分进行评分得</w:t>
      </w:r>
      <w:r>
        <w:rPr>
          <w:rFonts w:hint="eastAsia" w:ascii="宋体" w:hAnsi="宋体" w:eastAsia="宋体" w:cs="Times New Roman"/>
          <w:b w:val="0"/>
          <w:sz w:val="24"/>
          <w:szCs w:val="24"/>
          <w:highlight w:val="none"/>
        </w:rPr>
        <w:t>N</w:t>
      </w:r>
      <w:r>
        <w:rPr>
          <w:rFonts w:hint="eastAsia" w:ascii="宋体" w:hAnsi="宋体" w:eastAsia="宋体" w:cs="Times New Roman"/>
          <w:sz w:val="24"/>
          <w:szCs w:val="24"/>
          <w:highlight w:val="none"/>
        </w:rPr>
        <w:t>；</w:t>
      </w:r>
    </w:p>
    <w:p w14:paraId="7F31E4C9">
      <w:pPr>
        <w:spacing w:line="460" w:lineRule="exact"/>
        <w:ind w:firstLine="480" w:firstLineChars="200"/>
        <w:rPr>
          <w:rFonts w:ascii="宋体" w:hAnsi="宋体"/>
          <w:sz w:val="24"/>
          <w:szCs w:val="24"/>
          <w:highlight w:val="none"/>
        </w:rPr>
      </w:pPr>
      <w:r>
        <w:rPr>
          <w:rFonts w:hint="eastAsia" w:ascii="宋体" w:hAnsi="宋体"/>
          <w:sz w:val="24"/>
          <w:szCs w:val="24"/>
          <w:highlight w:val="none"/>
        </w:rPr>
        <w:t xml:space="preserve">6.4 </w:t>
      </w:r>
      <w:r>
        <w:rPr>
          <w:rFonts w:ascii="宋体" w:hAnsi="宋体"/>
          <w:sz w:val="24"/>
          <w:szCs w:val="24"/>
          <w:highlight w:val="none"/>
        </w:rPr>
        <w:t>评标委员会全体成员均完成</w:t>
      </w:r>
      <w:r>
        <w:rPr>
          <w:rFonts w:hint="eastAsia" w:ascii="宋体" w:hAnsi="宋体"/>
          <w:sz w:val="24"/>
          <w:szCs w:val="24"/>
          <w:highlight w:val="none"/>
        </w:rPr>
        <w:t>技术投标文件</w:t>
      </w:r>
      <w:r>
        <w:rPr>
          <w:rFonts w:ascii="宋体" w:hAnsi="宋体"/>
          <w:sz w:val="24"/>
          <w:szCs w:val="24"/>
          <w:highlight w:val="none"/>
        </w:rPr>
        <w:t>暗标部分评审后，</w:t>
      </w:r>
      <w:r>
        <w:rPr>
          <w:rFonts w:hint="eastAsia" w:ascii="宋体" w:hAnsi="宋体"/>
          <w:sz w:val="24"/>
          <w:szCs w:val="24"/>
          <w:highlight w:val="none"/>
        </w:rPr>
        <w:t>监督人员</w:t>
      </w:r>
      <w:r>
        <w:rPr>
          <w:rFonts w:ascii="宋体" w:hAnsi="宋体"/>
          <w:sz w:val="24"/>
          <w:szCs w:val="24"/>
          <w:highlight w:val="none"/>
        </w:rPr>
        <w:t>向评标委员会公布</w:t>
      </w:r>
      <w:r>
        <w:rPr>
          <w:rFonts w:hint="eastAsia" w:ascii="宋体" w:hAnsi="宋体"/>
          <w:sz w:val="24"/>
          <w:szCs w:val="24"/>
          <w:highlight w:val="none"/>
        </w:rPr>
        <w:t>技术投标文件</w:t>
      </w:r>
      <w:r>
        <w:rPr>
          <w:rFonts w:ascii="宋体" w:hAnsi="宋体"/>
          <w:sz w:val="24"/>
          <w:szCs w:val="24"/>
          <w:highlight w:val="none"/>
        </w:rPr>
        <w:t>暗标编码记录。</w:t>
      </w:r>
    </w:p>
    <w:p w14:paraId="0CA3C8F3">
      <w:pPr>
        <w:tabs>
          <w:tab w:val="left" w:pos="900"/>
        </w:tabs>
        <w:spacing w:beforeLines="100" w:line="460" w:lineRule="exact"/>
        <w:rPr>
          <w:rFonts w:ascii="宋体" w:hAnsi="宋体"/>
          <w:b/>
          <w:sz w:val="24"/>
          <w:szCs w:val="24"/>
          <w:highlight w:val="none"/>
        </w:rPr>
      </w:pPr>
      <w:r>
        <w:rPr>
          <w:rFonts w:hint="eastAsia" w:ascii="宋体" w:hAnsi="宋体"/>
          <w:b/>
          <w:sz w:val="24"/>
          <w:szCs w:val="24"/>
          <w:highlight w:val="none"/>
        </w:rPr>
        <w:t>7. 计算商务技术综合得分</w:t>
      </w:r>
    </w:p>
    <w:p w14:paraId="591F8B16">
      <w:pPr>
        <w:spacing w:line="460" w:lineRule="exact"/>
        <w:ind w:firstLine="480" w:firstLineChars="200"/>
        <w:rPr>
          <w:rFonts w:ascii="宋体" w:hAnsi="宋体"/>
          <w:sz w:val="24"/>
          <w:highlight w:val="none"/>
        </w:rPr>
      </w:pPr>
      <w:r>
        <w:rPr>
          <w:rFonts w:hint="eastAsia" w:ascii="宋体" w:hAnsi="宋体"/>
          <w:sz w:val="24"/>
          <w:highlight w:val="none"/>
        </w:rPr>
        <w:t xml:space="preserve">7.1 </w:t>
      </w:r>
      <w:r>
        <w:rPr>
          <w:rFonts w:ascii="宋体" w:hAnsi="宋体"/>
          <w:sz w:val="24"/>
          <w:szCs w:val="24"/>
          <w:highlight w:val="none"/>
        </w:rPr>
        <w:t>评标委员会</w:t>
      </w:r>
      <w:r>
        <w:rPr>
          <w:rFonts w:hint="eastAsia" w:ascii="宋体" w:hAnsi="宋体"/>
          <w:sz w:val="24"/>
          <w:highlight w:val="none"/>
        </w:rPr>
        <w:t>完成</w:t>
      </w:r>
      <w:r>
        <w:rPr>
          <w:rFonts w:hint="eastAsia" w:ascii="宋体" w:hAnsi="宋体"/>
          <w:sz w:val="24"/>
          <w:szCs w:val="24"/>
          <w:highlight w:val="none"/>
        </w:rPr>
        <w:t>商务</w:t>
      </w:r>
      <w:r>
        <w:rPr>
          <w:rFonts w:hint="eastAsia" w:ascii="宋体" w:hAnsi="宋体"/>
          <w:sz w:val="24"/>
          <w:szCs w:val="24"/>
          <w:highlight w:val="none"/>
          <w:lang w:val="en-US" w:eastAsia="zh-CN"/>
        </w:rPr>
        <w:t>投标</w:t>
      </w:r>
      <w:r>
        <w:rPr>
          <w:rFonts w:hint="eastAsia" w:ascii="宋体" w:hAnsi="宋体"/>
          <w:sz w:val="24"/>
          <w:szCs w:val="24"/>
          <w:highlight w:val="none"/>
        </w:rPr>
        <w:t>文件、</w:t>
      </w:r>
      <w:r>
        <w:rPr>
          <w:rFonts w:hint="eastAsia" w:ascii="宋体" w:hAnsi="宋体" w:cs="宋体"/>
          <w:kern w:val="0"/>
          <w:sz w:val="24"/>
          <w:highlight w:val="none"/>
        </w:rPr>
        <w:t>技术</w:t>
      </w:r>
      <w:r>
        <w:rPr>
          <w:rFonts w:hint="eastAsia" w:ascii="宋体" w:hAnsi="宋体"/>
          <w:bCs/>
          <w:sz w:val="24"/>
          <w:highlight w:val="none"/>
        </w:rPr>
        <w:t>投标文件</w:t>
      </w:r>
      <w:r>
        <w:rPr>
          <w:rFonts w:hint="eastAsia" w:ascii="宋体" w:hAnsi="宋体"/>
          <w:sz w:val="24"/>
          <w:szCs w:val="24"/>
          <w:highlight w:val="none"/>
        </w:rPr>
        <w:t>各项评审后，</w:t>
      </w:r>
      <w:r>
        <w:rPr>
          <w:rFonts w:hint="eastAsia" w:ascii="宋体" w:hAnsi="宋体"/>
          <w:spacing w:val="-4"/>
          <w:sz w:val="24"/>
          <w:highlight w:val="none"/>
        </w:rPr>
        <w:t>由</w:t>
      </w:r>
      <w:r>
        <w:rPr>
          <w:rFonts w:hint="eastAsia" w:ascii="宋体" w:hAnsi="宋体"/>
          <w:sz w:val="24"/>
          <w:highlight w:val="none"/>
        </w:rPr>
        <w:t>监督人员</w:t>
      </w:r>
      <w:r>
        <w:rPr>
          <w:rFonts w:hint="eastAsia" w:ascii="宋体" w:hAnsi="宋体"/>
          <w:spacing w:val="-4"/>
          <w:sz w:val="24"/>
          <w:highlight w:val="none"/>
        </w:rPr>
        <w:t>在评标室当众公布技术投标文件</w:t>
      </w:r>
      <w:r>
        <w:rPr>
          <w:rFonts w:ascii="宋体" w:hAnsi="宋体"/>
          <w:spacing w:val="-4"/>
          <w:sz w:val="24"/>
          <w:szCs w:val="24"/>
          <w:highlight w:val="none"/>
        </w:rPr>
        <w:t>暗标编码</w:t>
      </w:r>
      <w:r>
        <w:rPr>
          <w:rFonts w:hint="eastAsia" w:ascii="宋体" w:hAnsi="宋体"/>
          <w:spacing w:val="-4"/>
          <w:sz w:val="24"/>
          <w:highlight w:val="none"/>
        </w:rPr>
        <w:t>，经评标委员会核对</w:t>
      </w:r>
      <w:r>
        <w:rPr>
          <w:rFonts w:ascii="宋体" w:hAnsi="宋体"/>
          <w:sz w:val="24"/>
          <w:highlight w:val="none"/>
        </w:rPr>
        <w:t>暗标编码</w:t>
      </w:r>
      <w:r>
        <w:rPr>
          <w:rFonts w:hint="eastAsia" w:ascii="宋体" w:hAnsi="宋体"/>
          <w:spacing w:val="-4"/>
          <w:sz w:val="24"/>
          <w:highlight w:val="none"/>
        </w:rPr>
        <w:t>揭晓投标人的身份，对应</w:t>
      </w:r>
      <w:r>
        <w:rPr>
          <w:rFonts w:ascii="宋体" w:hAnsi="宋体"/>
          <w:sz w:val="24"/>
          <w:highlight w:val="none"/>
        </w:rPr>
        <w:t>编码</w:t>
      </w:r>
      <w:r>
        <w:rPr>
          <w:rFonts w:hint="eastAsia" w:ascii="宋体" w:hAnsi="宋体"/>
          <w:sz w:val="24"/>
          <w:highlight w:val="none"/>
        </w:rPr>
        <w:t>文件的评分表</w:t>
      </w:r>
      <w:r>
        <w:rPr>
          <w:rFonts w:hint="eastAsia" w:ascii="宋体" w:hAnsi="宋体" w:cs="宋体"/>
          <w:kern w:val="0"/>
          <w:sz w:val="24"/>
          <w:highlight w:val="none"/>
        </w:rPr>
        <w:t>登记</w:t>
      </w:r>
      <w:r>
        <w:rPr>
          <w:rFonts w:hint="eastAsia" w:ascii="宋体" w:hAnsi="宋体"/>
          <w:sz w:val="24"/>
          <w:szCs w:val="24"/>
          <w:highlight w:val="none"/>
        </w:rPr>
        <w:t>各投标人</w:t>
      </w:r>
      <w:r>
        <w:rPr>
          <w:rFonts w:hint="eastAsia" w:ascii="宋体" w:hAnsi="宋体" w:cs="宋体"/>
          <w:kern w:val="0"/>
          <w:sz w:val="24"/>
          <w:highlight w:val="none"/>
        </w:rPr>
        <w:t>技术部分、</w:t>
      </w:r>
      <w:r>
        <w:rPr>
          <w:rFonts w:hint="eastAsia" w:ascii="宋体" w:hAnsi="宋体"/>
          <w:sz w:val="24"/>
          <w:szCs w:val="24"/>
          <w:highlight w:val="none"/>
        </w:rPr>
        <w:t>商务部分</w:t>
      </w:r>
      <w:r>
        <w:rPr>
          <w:rFonts w:hint="eastAsia" w:ascii="宋体" w:hAnsi="宋体" w:cs="宋体"/>
          <w:kern w:val="0"/>
          <w:sz w:val="24"/>
          <w:highlight w:val="none"/>
        </w:rPr>
        <w:t>的各项得分</w:t>
      </w:r>
      <w:r>
        <w:rPr>
          <w:rFonts w:hint="eastAsia" w:ascii="宋体" w:hAnsi="宋体"/>
          <w:sz w:val="24"/>
          <w:szCs w:val="24"/>
          <w:highlight w:val="none"/>
        </w:rPr>
        <w:t>，计算其商务技术综合得分</w:t>
      </w:r>
      <w:r>
        <w:rPr>
          <w:rFonts w:hint="eastAsia" w:ascii="宋体" w:hAnsi="宋体" w:cs="宋体"/>
          <w:kern w:val="0"/>
          <w:sz w:val="24"/>
          <w:highlight w:val="none"/>
        </w:rPr>
        <w:t>。</w:t>
      </w:r>
    </w:p>
    <w:p w14:paraId="048F4F7F">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7.2 各</w:t>
      </w:r>
      <w:r>
        <w:rPr>
          <w:rFonts w:ascii="宋体" w:hAnsi="宋体"/>
          <w:sz w:val="24"/>
          <w:szCs w:val="24"/>
          <w:highlight w:val="none"/>
        </w:rPr>
        <w:t>投标人</w:t>
      </w:r>
      <w:r>
        <w:rPr>
          <w:rFonts w:hint="eastAsia" w:ascii="宋体" w:hAnsi="宋体"/>
          <w:sz w:val="24"/>
          <w:szCs w:val="24"/>
          <w:highlight w:val="none"/>
        </w:rPr>
        <w:t>的</w:t>
      </w:r>
      <w:r>
        <w:rPr>
          <w:rFonts w:ascii="宋体" w:hAnsi="宋体"/>
          <w:sz w:val="24"/>
          <w:szCs w:val="24"/>
          <w:highlight w:val="none"/>
        </w:rPr>
        <w:t>综合得分</w:t>
      </w:r>
      <w:r>
        <w:rPr>
          <w:rFonts w:hint="eastAsia" w:ascii="宋体" w:hAnsi="宋体"/>
          <w:sz w:val="24"/>
          <w:szCs w:val="24"/>
          <w:highlight w:val="none"/>
        </w:rPr>
        <w:t>为商务得分</w:t>
      </w:r>
      <w:r>
        <w:rPr>
          <w:rFonts w:hint="eastAsia" w:ascii="宋体" w:hAnsi="宋体" w:eastAsia="宋体" w:cs="Times New Roman"/>
          <w:b w:val="0"/>
          <w:spacing w:val="0"/>
          <w:sz w:val="24"/>
          <w:szCs w:val="24"/>
          <w:highlight w:val="none"/>
        </w:rPr>
        <w:t>M</w:t>
      </w:r>
      <w:r>
        <w:rPr>
          <w:rFonts w:hint="eastAsia" w:ascii="宋体" w:hAnsi="宋体"/>
          <w:sz w:val="24"/>
          <w:szCs w:val="24"/>
          <w:highlight w:val="none"/>
        </w:rPr>
        <w:t>和技术得分N之和。</w:t>
      </w:r>
    </w:p>
    <w:p w14:paraId="56B94C99">
      <w:pPr>
        <w:spacing w:line="460" w:lineRule="exact"/>
        <w:ind w:firstLine="480" w:firstLineChars="200"/>
        <w:rPr>
          <w:rFonts w:hint="eastAsia" w:ascii="宋体" w:hAnsi="宋体" w:eastAsia="宋体" w:cs="Times New Roman"/>
          <w:b w:val="0"/>
          <w:spacing w:val="0"/>
          <w:sz w:val="24"/>
          <w:szCs w:val="24"/>
          <w:highlight w:val="none"/>
        </w:rPr>
      </w:pPr>
      <w:r>
        <w:rPr>
          <w:rFonts w:hint="eastAsia" w:ascii="宋体" w:hAnsi="宋体"/>
          <w:sz w:val="24"/>
          <w:highlight w:val="none"/>
        </w:rPr>
        <w:t>投标人商务技术综合得分</w:t>
      </w:r>
      <w:r>
        <w:rPr>
          <w:rFonts w:hint="eastAsia" w:ascii="宋体" w:hAnsi="宋体" w:eastAsia="宋体" w:cs="Times New Roman"/>
          <w:sz w:val="24"/>
          <w:szCs w:val="24"/>
          <w:highlight w:val="none"/>
        </w:rPr>
        <w:t xml:space="preserve"> =</w:t>
      </w:r>
      <w:r>
        <w:rPr>
          <w:rFonts w:hint="eastAsia" w:ascii="宋体" w:hAnsi="宋体" w:eastAsia="宋体" w:cs="Times New Roman"/>
          <w:b w:val="0"/>
          <w:spacing w:val="0"/>
          <w:sz w:val="24"/>
          <w:szCs w:val="24"/>
          <w:highlight w:val="none"/>
        </w:rPr>
        <w:t xml:space="preserve">  M + N </w:t>
      </w:r>
    </w:p>
    <w:p w14:paraId="05187F2A">
      <w:pPr>
        <w:spacing w:line="460" w:lineRule="exact"/>
        <w:ind w:firstLine="480" w:firstLineChars="200"/>
        <w:rPr>
          <w:rFonts w:hint="eastAsia" w:ascii="宋体" w:hAnsi="宋体"/>
          <w:sz w:val="24"/>
          <w:szCs w:val="24"/>
          <w:highlight w:val="none"/>
        </w:rPr>
      </w:pPr>
      <w:r>
        <w:rPr>
          <w:rFonts w:hint="eastAsia" w:ascii="宋体" w:hAnsi="宋体"/>
          <w:sz w:val="24"/>
          <w:szCs w:val="24"/>
          <w:highlight w:val="none"/>
        </w:rPr>
        <w:t>7.3 由评标委员会评委、招标人代表、监督人员、招标代理代表签署第一阶段得分汇总表后，第一阶段评审结束，随后的评审中无论出现何种情形，该综合得分不作调整。</w:t>
      </w:r>
    </w:p>
    <w:p w14:paraId="135EF4AC">
      <w:pPr>
        <w:spacing w:line="460" w:lineRule="exact"/>
        <w:ind w:firstLine="480" w:firstLineChars="200"/>
        <w:rPr>
          <w:rFonts w:hint="eastAsia" w:ascii="宋体" w:hAnsi="宋体"/>
          <w:sz w:val="24"/>
          <w:szCs w:val="24"/>
          <w:highlight w:val="none"/>
        </w:rPr>
      </w:pPr>
    </w:p>
    <w:p w14:paraId="238A0828">
      <w:pPr>
        <w:spacing w:line="480" w:lineRule="exact"/>
        <w:jc w:val="center"/>
        <w:outlineLvl w:val="1"/>
        <w:rPr>
          <w:b/>
          <w:bCs/>
          <w:sz w:val="36"/>
          <w:szCs w:val="32"/>
          <w:highlight w:val="none"/>
        </w:rPr>
      </w:pPr>
      <w:r>
        <w:rPr>
          <w:rFonts w:hint="eastAsia"/>
          <w:b/>
          <w:bCs/>
          <w:sz w:val="36"/>
          <w:szCs w:val="32"/>
          <w:highlight w:val="none"/>
        </w:rPr>
        <w:t>第二阶段评审</w:t>
      </w:r>
    </w:p>
    <w:p w14:paraId="498A3A71">
      <w:pPr>
        <w:autoSpaceDE w:val="0"/>
        <w:autoSpaceDN w:val="0"/>
        <w:adjustRightInd w:val="0"/>
        <w:spacing w:line="480" w:lineRule="exact"/>
        <w:rPr>
          <w:rFonts w:ascii="宋体" w:hAnsi="宋体"/>
          <w:b/>
          <w:sz w:val="24"/>
          <w:szCs w:val="24"/>
          <w:highlight w:val="none"/>
        </w:rPr>
      </w:pPr>
      <w:r>
        <w:rPr>
          <w:rFonts w:hint="eastAsia" w:ascii="宋体" w:hAnsi="宋体"/>
          <w:b/>
          <w:sz w:val="24"/>
          <w:szCs w:val="24"/>
          <w:highlight w:val="none"/>
        </w:rPr>
        <w:t>8.第二阶段评审</w:t>
      </w:r>
    </w:p>
    <w:p w14:paraId="61F45F83">
      <w:pPr>
        <w:spacing w:line="480" w:lineRule="exact"/>
        <w:ind w:firstLine="480" w:firstLineChars="200"/>
        <w:rPr>
          <w:rFonts w:ascii="宋体" w:hAnsi="宋体"/>
          <w:sz w:val="24"/>
          <w:szCs w:val="24"/>
          <w:highlight w:val="none"/>
        </w:rPr>
      </w:pPr>
      <w:r>
        <w:rPr>
          <w:rFonts w:hint="eastAsia" w:ascii="宋体" w:hAnsi="宋体"/>
          <w:sz w:val="24"/>
          <w:szCs w:val="24"/>
          <w:highlight w:val="none"/>
        </w:rPr>
        <w:t>8.1第一阶段初步评审结束后，在商务投标文件开标的同一地点，按照第二章的第三节</w:t>
      </w:r>
      <w:r>
        <w:rPr>
          <w:rFonts w:ascii="宋体" w:hAnsi="宋体"/>
          <w:sz w:val="24"/>
          <w:szCs w:val="24"/>
          <w:highlight w:val="none"/>
        </w:rPr>
        <w:t>“投标人须知”</w:t>
      </w:r>
      <w:r>
        <w:rPr>
          <w:rFonts w:hint="eastAsia" w:ascii="宋体" w:hAnsi="宋体"/>
          <w:sz w:val="24"/>
          <w:szCs w:val="24"/>
          <w:highlight w:val="none"/>
        </w:rPr>
        <w:t>5.</w:t>
      </w:r>
      <w:r>
        <w:rPr>
          <w:rFonts w:hint="eastAsia" w:ascii="宋体" w:hAnsi="宋体"/>
          <w:sz w:val="24"/>
          <w:szCs w:val="24"/>
          <w:highlight w:val="none"/>
          <w:lang w:val="en-US" w:eastAsia="zh-CN"/>
        </w:rPr>
        <w:t>2</w:t>
      </w:r>
      <w:r>
        <w:rPr>
          <w:rFonts w:hint="eastAsia" w:ascii="宋体" w:hAnsi="宋体"/>
          <w:sz w:val="24"/>
          <w:szCs w:val="24"/>
          <w:highlight w:val="none"/>
        </w:rPr>
        <w:t>.2款规定的开标程序，对经济报价投标文件进行开标。</w:t>
      </w:r>
    </w:p>
    <w:p w14:paraId="6E92C013">
      <w:pPr>
        <w:spacing w:line="480" w:lineRule="exact"/>
        <w:ind w:firstLine="480" w:firstLineChars="200"/>
        <w:rPr>
          <w:rFonts w:ascii="宋体" w:hAnsi="宋体"/>
          <w:sz w:val="24"/>
          <w:szCs w:val="24"/>
          <w:highlight w:val="none"/>
        </w:rPr>
      </w:pPr>
      <w:r>
        <w:rPr>
          <w:rFonts w:hint="eastAsia" w:ascii="宋体" w:hAnsi="宋体"/>
          <w:sz w:val="24"/>
          <w:szCs w:val="24"/>
          <w:highlight w:val="none"/>
        </w:rPr>
        <w:t xml:space="preserve">8.2 </w:t>
      </w:r>
      <w:r>
        <w:rPr>
          <w:rFonts w:ascii="宋体" w:hAnsi="宋体"/>
          <w:sz w:val="24"/>
          <w:szCs w:val="24"/>
          <w:highlight w:val="none"/>
        </w:rPr>
        <w:t>投标人有以下情形之一的，评标委员会应认定其投标报价为无效投标报价：</w:t>
      </w:r>
    </w:p>
    <w:p w14:paraId="036A1700">
      <w:pPr>
        <w:spacing w:line="480" w:lineRule="exact"/>
        <w:ind w:firstLine="480" w:firstLineChars="200"/>
        <w:rPr>
          <w:rFonts w:ascii="宋体" w:hAnsi="宋体"/>
          <w:sz w:val="24"/>
          <w:szCs w:val="24"/>
          <w:highlight w:val="none"/>
        </w:rPr>
      </w:pPr>
      <w:r>
        <w:rPr>
          <w:rFonts w:hint="eastAsia" w:ascii="宋体" w:hAnsi="宋体"/>
          <w:sz w:val="24"/>
          <w:szCs w:val="24"/>
          <w:highlight w:val="none"/>
        </w:rPr>
        <w:t>①工程监理投标报价书没有填写投标报价的；</w:t>
      </w:r>
    </w:p>
    <w:p w14:paraId="31096999">
      <w:pPr>
        <w:spacing w:line="480" w:lineRule="exact"/>
        <w:ind w:firstLine="480" w:firstLineChars="200"/>
        <w:rPr>
          <w:rFonts w:ascii="宋体" w:hAnsi="宋体"/>
          <w:sz w:val="24"/>
          <w:szCs w:val="24"/>
          <w:highlight w:val="none"/>
        </w:rPr>
      </w:pPr>
      <w:r>
        <w:rPr>
          <w:rFonts w:hint="eastAsia" w:ascii="宋体" w:hAnsi="宋体"/>
          <w:sz w:val="24"/>
          <w:szCs w:val="24"/>
          <w:highlight w:val="none"/>
        </w:rPr>
        <w:t>②工程监理投标报价书的大写金额与小写金额不一致的；</w:t>
      </w:r>
    </w:p>
    <w:p w14:paraId="4261F0BE">
      <w:pPr>
        <w:spacing w:line="480" w:lineRule="exact"/>
        <w:ind w:firstLine="480" w:firstLineChars="200"/>
        <w:rPr>
          <w:rFonts w:ascii="宋体" w:hAnsi="宋体"/>
          <w:sz w:val="24"/>
          <w:szCs w:val="24"/>
          <w:highlight w:val="none"/>
        </w:rPr>
      </w:pPr>
      <w:r>
        <w:rPr>
          <w:rFonts w:hint="eastAsia" w:ascii="宋体" w:hAnsi="宋体"/>
          <w:sz w:val="24"/>
          <w:szCs w:val="24"/>
          <w:highlight w:val="none"/>
        </w:rPr>
        <w:t>③工程监理投标报价超出招标文件规定的有效范围的；</w:t>
      </w:r>
    </w:p>
    <w:p w14:paraId="2710DEE3">
      <w:pPr>
        <w:spacing w:line="480" w:lineRule="exact"/>
        <w:ind w:firstLine="480" w:firstLineChars="200"/>
        <w:rPr>
          <w:rFonts w:ascii="宋体" w:hAnsi="宋体"/>
          <w:sz w:val="24"/>
          <w:szCs w:val="24"/>
          <w:highlight w:val="none"/>
        </w:rPr>
      </w:pPr>
      <w:r>
        <w:rPr>
          <w:rFonts w:hint="eastAsia" w:ascii="宋体" w:hAnsi="宋体"/>
          <w:sz w:val="24"/>
          <w:szCs w:val="24"/>
          <w:highlight w:val="none"/>
        </w:rPr>
        <w:t xml:space="preserve">8.3 </w:t>
      </w:r>
      <w:r>
        <w:rPr>
          <w:rFonts w:hint="eastAsia" w:ascii="宋体" w:hAnsi="宋体" w:cs="Times New Roman"/>
          <w:bCs/>
          <w:sz w:val="24"/>
          <w:szCs w:val="24"/>
          <w:highlight w:val="none"/>
        </w:rPr>
        <w:t>经济报价</w:t>
      </w:r>
      <w:r>
        <w:rPr>
          <w:rFonts w:hint="eastAsia" w:ascii="宋体" w:hAnsi="宋体"/>
          <w:sz w:val="24"/>
          <w:szCs w:val="24"/>
          <w:highlight w:val="none"/>
        </w:rPr>
        <w:t>评审</w:t>
      </w:r>
    </w:p>
    <w:p w14:paraId="10E3A8B7">
      <w:pPr>
        <w:spacing w:line="480" w:lineRule="exact"/>
        <w:ind w:firstLine="480" w:firstLineChars="200"/>
        <w:rPr>
          <w:rFonts w:ascii="宋体" w:hAnsi="宋体"/>
          <w:sz w:val="24"/>
          <w:highlight w:val="none"/>
        </w:rPr>
      </w:pPr>
      <w:r>
        <w:rPr>
          <w:rFonts w:hint="eastAsia" w:ascii="宋体" w:hAnsi="宋体"/>
          <w:sz w:val="24"/>
          <w:szCs w:val="24"/>
          <w:highlight w:val="none"/>
        </w:rPr>
        <w:t>将进入第二阶段评审的有效投标报价按照</w:t>
      </w:r>
      <w:r>
        <w:rPr>
          <w:rFonts w:ascii="宋体" w:hAnsi="宋体"/>
          <w:sz w:val="24"/>
          <w:highlight w:val="none"/>
        </w:rPr>
        <w:t>本章第</w:t>
      </w:r>
      <w:r>
        <w:rPr>
          <w:rFonts w:hint="eastAsia" w:ascii="宋体" w:hAnsi="宋体"/>
          <w:sz w:val="24"/>
          <w:highlight w:val="none"/>
        </w:rPr>
        <w:t>1.4</w:t>
      </w:r>
      <w:r>
        <w:rPr>
          <w:rFonts w:ascii="宋体" w:hAnsi="宋体"/>
          <w:sz w:val="24"/>
          <w:highlight w:val="none"/>
        </w:rPr>
        <w:t>规定的评审因素和分值</w:t>
      </w:r>
      <w:r>
        <w:rPr>
          <w:rFonts w:hint="eastAsia" w:ascii="宋体" w:hAnsi="宋体"/>
          <w:sz w:val="24"/>
          <w:highlight w:val="none"/>
        </w:rPr>
        <w:t>对</w:t>
      </w:r>
      <w:r>
        <w:rPr>
          <w:rFonts w:hint="eastAsia" w:hAnsi="宋体"/>
          <w:sz w:val="24"/>
          <w:szCs w:val="24"/>
          <w:highlight w:val="none"/>
        </w:rPr>
        <w:t>经济报价部分</w:t>
      </w:r>
      <w:r>
        <w:rPr>
          <w:rFonts w:hint="eastAsia" w:ascii="宋体" w:hAnsi="宋体"/>
          <w:sz w:val="24"/>
          <w:highlight w:val="none"/>
        </w:rPr>
        <w:t>进行评分得F。计算有效投标人的投标文件总得分=商务得分M+技术得分N+经济报价得分F，</w:t>
      </w:r>
      <w:r>
        <w:rPr>
          <w:rFonts w:hint="eastAsia" w:ascii="宋体" w:hAnsi="宋体"/>
          <w:sz w:val="24"/>
          <w:szCs w:val="24"/>
          <w:highlight w:val="none"/>
        </w:rPr>
        <w:t>并按总得分由高到低进行排序，选取总得分排名前六名的投标人进入最终的合理低价法评审。如果出现总得分相同则占用下一名次（如第一名总得分相同的投标人有N个，则N个投标人并列第一名，下一名按N+1名计算，依</w:t>
      </w:r>
      <w:r>
        <w:rPr>
          <w:rFonts w:hint="eastAsia" w:ascii="宋体" w:hAnsi="宋体"/>
          <w:sz w:val="24"/>
          <w:szCs w:val="24"/>
          <w:highlight w:val="none"/>
          <w:lang w:eastAsia="zh-CN"/>
        </w:rPr>
        <w:t>此</w:t>
      </w:r>
      <w:r>
        <w:rPr>
          <w:rFonts w:hint="eastAsia" w:ascii="宋体" w:hAnsi="宋体"/>
          <w:sz w:val="24"/>
          <w:szCs w:val="24"/>
          <w:highlight w:val="none"/>
        </w:rPr>
        <w:t>类推），但如果出现并列第六名总得分相同时，则全部并列第六名的投标人均进入合理低价法评审。</w:t>
      </w:r>
    </w:p>
    <w:p w14:paraId="2417E054">
      <w:pPr>
        <w:spacing w:line="480" w:lineRule="exact"/>
        <w:ind w:firstLine="480" w:firstLineChars="200"/>
        <w:rPr>
          <w:rFonts w:ascii="宋体" w:hAnsi="宋体"/>
          <w:sz w:val="24"/>
          <w:szCs w:val="24"/>
          <w:highlight w:val="none"/>
        </w:rPr>
      </w:pPr>
      <w:r>
        <w:rPr>
          <w:rFonts w:hint="eastAsia" w:ascii="宋体" w:hAnsi="宋体"/>
          <w:sz w:val="24"/>
          <w:szCs w:val="24"/>
          <w:highlight w:val="none"/>
        </w:rPr>
        <w:t>8.4合理低价法评审</w:t>
      </w:r>
    </w:p>
    <w:p w14:paraId="540D498F">
      <w:pPr>
        <w:spacing w:line="460" w:lineRule="exact"/>
        <w:ind w:firstLine="480" w:firstLineChars="200"/>
        <w:rPr>
          <w:rFonts w:ascii="宋体" w:hAnsi="宋体"/>
          <w:sz w:val="24"/>
          <w:szCs w:val="24"/>
          <w:highlight w:val="none"/>
        </w:rPr>
      </w:pPr>
      <w:r>
        <w:rPr>
          <w:rFonts w:hint="eastAsia" w:ascii="宋体" w:hAnsi="宋体"/>
          <w:sz w:val="24"/>
          <w:szCs w:val="24"/>
          <w:highlight w:val="none"/>
        </w:rPr>
        <w:t>①将总得分排名前六名的投标人的经济报价进行算术平均，计算出第一次平均值；再将经济报价低于第一次平均值的80%的报价去掉（视同低于成本价投标），计算出第二次算术平均值（P值）。</w:t>
      </w:r>
    </w:p>
    <w:p w14:paraId="55AFB115">
      <w:pPr>
        <w:spacing w:line="460" w:lineRule="exact"/>
        <w:ind w:firstLine="480" w:firstLineChars="200"/>
        <w:rPr>
          <w:rFonts w:ascii="宋体" w:hAnsi="宋体"/>
          <w:sz w:val="24"/>
          <w:szCs w:val="24"/>
          <w:highlight w:val="none"/>
        </w:rPr>
      </w:pPr>
      <w:r>
        <w:rPr>
          <w:rFonts w:hint="eastAsia" w:ascii="宋体" w:hAnsi="宋体"/>
          <w:sz w:val="24"/>
          <w:szCs w:val="24"/>
          <w:highlight w:val="none"/>
        </w:rPr>
        <w:t>②</w:t>
      </w:r>
      <w:r>
        <w:rPr>
          <w:rFonts w:hint="eastAsia" w:ascii="宋体" w:hAnsi="宋体"/>
          <w:sz w:val="24"/>
          <w:szCs w:val="24"/>
          <w:highlight w:val="none"/>
          <w:lang w:val="en-US" w:eastAsia="zh-CN"/>
        </w:rPr>
        <w:t>根据</w:t>
      </w:r>
      <w:r>
        <w:rPr>
          <w:rFonts w:hint="eastAsia" w:ascii="宋体" w:hAnsi="宋体"/>
          <w:sz w:val="24"/>
          <w:highlight w:val="none"/>
          <w:lang w:val="en-US" w:eastAsia="zh-CN"/>
        </w:rPr>
        <w:t>第二阶段评审抽取</w:t>
      </w:r>
      <w:r>
        <w:rPr>
          <w:rFonts w:hint="eastAsia" w:ascii="宋体" w:hAnsi="宋体"/>
          <w:sz w:val="24"/>
          <w:highlight w:val="none"/>
        </w:rPr>
        <w:t>的K2值，</w:t>
      </w:r>
      <w:r>
        <w:rPr>
          <w:rFonts w:ascii="宋体" w:hAnsi="宋体"/>
          <w:sz w:val="24"/>
          <w:szCs w:val="24"/>
          <w:highlight w:val="none"/>
        </w:rPr>
        <w:t>计算P×K</w:t>
      </w:r>
      <w:r>
        <w:rPr>
          <w:rFonts w:hint="eastAsia" w:ascii="宋体" w:hAnsi="宋体"/>
          <w:sz w:val="24"/>
          <w:szCs w:val="24"/>
          <w:highlight w:val="none"/>
        </w:rPr>
        <w:t>2</w:t>
      </w:r>
      <w:r>
        <w:rPr>
          <w:rFonts w:ascii="宋体" w:hAnsi="宋体"/>
          <w:sz w:val="24"/>
          <w:szCs w:val="24"/>
          <w:highlight w:val="none"/>
        </w:rPr>
        <w:t>之</w:t>
      </w:r>
      <w:r>
        <w:rPr>
          <w:rFonts w:hint="eastAsia" w:ascii="宋体" w:hAnsi="宋体"/>
          <w:sz w:val="24"/>
          <w:szCs w:val="24"/>
          <w:highlight w:val="none"/>
        </w:rPr>
        <w:t>积作为评标基准价。③投标人的经济报价最接近（含等于）评标基准价的为第一中标候选人；第二接近评标基准价的为第二中标候选人，第三接近评标基准价的为第三中标候选人。投标人的经济报价与评标基准价之差的绝对值相同的，报价低的排序为前，若出现经济报价相同的，</w:t>
      </w:r>
      <w:r>
        <w:rPr>
          <w:rFonts w:hint="eastAsia" w:ascii="宋体" w:hAnsi="宋体" w:cs="宋体"/>
          <w:kern w:val="0"/>
          <w:sz w:val="24"/>
          <w:szCs w:val="24"/>
          <w:highlight w:val="none"/>
        </w:rPr>
        <w:t>则由评标委员会</w:t>
      </w:r>
      <w:r>
        <w:rPr>
          <w:rFonts w:hint="eastAsia" w:ascii="宋体" w:hAnsi="宋体" w:cs="Times New Roman"/>
          <w:kern w:val="2"/>
          <w:sz w:val="24"/>
          <w:szCs w:val="24"/>
          <w:highlight w:val="none"/>
        </w:rPr>
        <w:t>主任抽签确定排名</w:t>
      </w:r>
      <w:r>
        <w:rPr>
          <w:rFonts w:hint="eastAsia" w:ascii="宋体" w:hAnsi="宋体"/>
          <w:sz w:val="24"/>
          <w:szCs w:val="24"/>
          <w:highlight w:val="none"/>
        </w:rPr>
        <w:t>。</w:t>
      </w:r>
    </w:p>
    <w:p w14:paraId="7BF6E16A">
      <w:pPr>
        <w:keepNext w:val="0"/>
        <w:keepLines w:val="0"/>
        <w:pageBreakBefore w:val="0"/>
        <w:widowControl w:val="0"/>
        <w:tabs>
          <w:tab w:val="left" w:pos="900"/>
        </w:tabs>
        <w:kinsoku/>
        <w:wordWrap/>
        <w:overflowPunct/>
        <w:topLinePunct w:val="0"/>
        <w:autoSpaceDE/>
        <w:autoSpaceDN/>
        <w:bidi w:val="0"/>
        <w:adjustRightInd/>
        <w:snapToGrid/>
        <w:spacing w:line="480" w:lineRule="exact"/>
        <w:ind w:firstLine="480" w:firstLineChars="200"/>
        <w:textAlignment w:val="auto"/>
        <w:rPr>
          <w:rFonts w:ascii="宋体" w:hAnsi="宋体"/>
          <w:b w:val="0"/>
          <w:bCs/>
          <w:sz w:val="24"/>
          <w:szCs w:val="24"/>
          <w:highlight w:val="none"/>
        </w:rPr>
      </w:pPr>
      <w:r>
        <w:rPr>
          <w:rFonts w:hint="eastAsia" w:ascii="宋体" w:hAnsi="宋体"/>
          <w:b w:val="0"/>
          <w:bCs/>
          <w:sz w:val="24"/>
          <w:szCs w:val="24"/>
          <w:highlight w:val="none"/>
        </w:rPr>
        <w:t>8.5</w:t>
      </w:r>
      <w:r>
        <w:rPr>
          <w:rFonts w:ascii="宋体" w:hAnsi="宋体"/>
          <w:b w:val="0"/>
          <w:bCs/>
          <w:sz w:val="24"/>
          <w:szCs w:val="24"/>
          <w:highlight w:val="none"/>
        </w:rPr>
        <w:t xml:space="preserve"> 评标结果</w:t>
      </w:r>
    </w:p>
    <w:p w14:paraId="19DD94FB">
      <w:pPr>
        <w:spacing w:line="480" w:lineRule="exact"/>
        <w:ind w:firstLine="480" w:firstLineChars="200"/>
        <w:rPr>
          <w:sz w:val="24"/>
          <w:szCs w:val="24"/>
          <w:highlight w:val="none"/>
        </w:rPr>
      </w:pPr>
      <w:r>
        <w:rPr>
          <w:rFonts w:hint="eastAsia" w:ascii="宋体" w:hAnsi="宋体"/>
          <w:sz w:val="24"/>
          <w:highlight w:val="none"/>
        </w:rPr>
        <w:t>8.5</w:t>
      </w:r>
      <w:r>
        <w:rPr>
          <w:rFonts w:ascii="宋体" w:hAnsi="宋体"/>
          <w:sz w:val="24"/>
          <w:highlight w:val="none"/>
        </w:rPr>
        <w:t>.1</w:t>
      </w:r>
      <w:r>
        <w:rPr>
          <w:rFonts w:hint="eastAsia" w:ascii="宋体" w:hAnsi="宋体" w:cs="宋体"/>
          <w:kern w:val="0"/>
          <w:sz w:val="24"/>
          <w:highlight w:val="none"/>
        </w:rPr>
        <w:t>除第二章“投标人须知”前附表授权直接确定中标人外，</w:t>
      </w:r>
      <w:r>
        <w:rPr>
          <w:rFonts w:hint="eastAsia" w:ascii="宋体" w:cs="宋体"/>
          <w:kern w:val="0"/>
          <w:sz w:val="24"/>
          <w:szCs w:val="24"/>
          <w:highlight w:val="none"/>
        </w:rPr>
        <w:t>评标委员会按照两阶段评标法推荐中标</w:t>
      </w:r>
      <w:r>
        <w:rPr>
          <w:rFonts w:hint="eastAsia" w:ascii="宋体" w:hAnsi="宋体" w:cs="宋体"/>
          <w:kern w:val="0"/>
          <w:sz w:val="24"/>
          <w:highlight w:val="none"/>
        </w:rPr>
        <w:t>候选人</w:t>
      </w:r>
      <w:r>
        <w:rPr>
          <w:rFonts w:hint="eastAsia" w:ascii="宋体" w:cs="宋体"/>
          <w:kern w:val="0"/>
          <w:sz w:val="24"/>
          <w:szCs w:val="24"/>
          <w:highlight w:val="none"/>
        </w:rPr>
        <w:t>，由</w:t>
      </w:r>
      <w:r>
        <w:rPr>
          <w:rFonts w:hint="eastAsia"/>
          <w:sz w:val="24"/>
          <w:szCs w:val="24"/>
          <w:highlight w:val="none"/>
        </w:rPr>
        <w:t>招标人依据评标委员会</w:t>
      </w:r>
      <w:r>
        <w:rPr>
          <w:sz w:val="24"/>
          <w:szCs w:val="24"/>
          <w:highlight w:val="none"/>
        </w:rPr>
        <w:t>推荐的中标</w:t>
      </w:r>
      <w:r>
        <w:rPr>
          <w:rFonts w:hint="eastAsia"/>
          <w:sz w:val="24"/>
          <w:szCs w:val="24"/>
          <w:highlight w:val="none"/>
        </w:rPr>
        <w:t>候选</w:t>
      </w:r>
      <w:r>
        <w:rPr>
          <w:sz w:val="24"/>
          <w:szCs w:val="24"/>
          <w:highlight w:val="none"/>
        </w:rPr>
        <w:t>人</w:t>
      </w:r>
      <w:r>
        <w:rPr>
          <w:rFonts w:hint="eastAsia"/>
          <w:sz w:val="24"/>
          <w:szCs w:val="24"/>
          <w:highlight w:val="none"/>
        </w:rPr>
        <w:t>确定中标人</w:t>
      </w:r>
      <w:r>
        <w:rPr>
          <w:sz w:val="24"/>
          <w:szCs w:val="24"/>
          <w:highlight w:val="none"/>
        </w:rPr>
        <w:t>。</w:t>
      </w:r>
    </w:p>
    <w:p w14:paraId="0A4A8D39">
      <w:pPr>
        <w:spacing w:line="480" w:lineRule="exact"/>
        <w:ind w:firstLine="480" w:firstLineChars="200"/>
        <w:rPr>
          <w:rFonts w:ascii="宋体" w:hAnsi="宋体"/>
          <w:sz w:val="24"/>
          <w:highlight w:val="none"/>
        </w:rPr>
      </w:pPr>
      <w:r>
        <w:rPr>
          <w:rFonts w:hint="eastAsia" w:ascii="宋体" w:hAnsi="宋体"/>
          <w:sz w:val="24"/>
          <w:highlight w:val="none"/>
        </w:rPr>
        <w:t>8.5</w:t>
      </w:r>
      <w:r>
        <w:rPr>
          <w:rFonts w:ascii="宋体" w:hAnsi="宋体"/>
          <w:sz w:val="24"/>
          <w:highlight w:val="none"/>
        </w:rPr>
        <w:t xml:space="preserve">.2 </w:t>
      </w:r>
      <w:r>
        <w:rPr>
          <w:rFonts w:ascii="宋体" w:hAnsi="宋体" w:cs="宋体"/>
          <w:kern w:val="0"/>
          <w:sz w:val="24"/>
          <w:highlight w:val="none"/>
        </w:rPr>
        <w:t>评标委员会完成评标后</w:t>
      </w:r>
      <w:r>
        <w:rPr>
          <w:rFonts w:ascii="宋体" w:hAnsi="宋体"/>
          <w:sz w:val="24"/>
          <w:highlight w:val="none"/>
        </w:rPr>
        <w:t>，应当向招标人提交书面评标报告</w:t>
      </w:r>
      <w:r>
        <w:rPr>
          <w:rFonts w:hint="eastAsia" w:ascii="宋体" w:hAnsi="宋体"/>
          <w:sz w:val="24"/>
          <w:highlight w:val="none"/>
        </w:rPr>
        <w:t>。</w:t>
      </w:r>
    </w:p>
    <w:p w14:paraId="616C0727">
      <w:pPr>
        <w:autoSpaceDE w:val="0"/>
        <w:autoSpaceDN w:val="0"/>
        <w:adjustRightInd w:val="0"/>
        <w:spacing w:line="480" w:lineRule="exact"/>
        <w:ind w:firstLine="480" w:firstLineChars="200"/>
        <w:rPr>
          <w:rFonts w:hint="eastAsia" w:ascii="宋体" w:hAnsi="宋体"/>
          <w:sz w:val="24"/>
          <w:highlight w:val="none"/>
        </w:rPr>
      </w:pPr>
      <w:r>
        <w:rPr>
          <w:rFonts w:hint="eastAsia" w:ascii="宋体" w:hAnsi="宋体"/>
          <w:sz w:val="24"/>
          <w:highlight w:val="none"/>
        </w:rPr>
        <w:t>8.5</w:t>
      </w:r>
      <w:r>
        <w:rPr>
          <w:rFonts w:ascii="宋体" w:hAnsi="宋体"/>
          <w:sz w:val="24"/>
          <w:highlight w:val="none"/>
        </w:rPr>
        <w:t>.</w:t>
      </w:r>
      <w:r>
        <w:rPr>
          <w:rFonts w:hint="eastAsia" w:ascii="宋体" w:hAnsi="宋体"/>
          <w:sz w:val="24"/>
          <w:highlight w:val="none"/>
        </w:rPr>
        <w:t>3</w:t>
      </w:r>
      <w:r>
        <w:rPr>
          <w:rFonts w:hint="eastAsia" w:ascii="宋体" w:hAnsi="宋体" w:cs="宋体"/>
          <w:kern w:val="0"/>
          <w:sz w:val="24"/>
          <w:highlight w:val="none"/>
        </w:rPr>
        <w:t>招标人可根据《评标报告》核查投标人在投标文件中提供的材料，并可要求投标人再次提供相关资料查验，投标人未按要求提供相关资料查验的，招标人有权取消其中标候选人或中标人资格</w:t>
      </w:r>
      <w:r>
        <w:rPr>
          <w:rFonts w:hint="eastAsia" w:ascii="宋体" w:hAnsi="宋体"/>
          <w:sz w:val="24"/>
          <w:highlight w:val="none"/>
        </w:rPr>
        <w:t>。</w:t>
      </w:r>
    </w:p>
    <w:p w14:paraId="523CBF1C">
      <w:pPr>
        <w:autoSpaceDE/>
        <w:autoSpaceDN/>
        <w:adjustRightInd/>
        <w:spacing w:line="240" w:lineRule="auto"/>
        <w:ind w:firstLine="0" w:firstLineChars="0"/>
        <w:rPr>
          <w:rFonts w:hint="eastAsia" w:ascii="宋体" w:hAnsi="宋体"/>
          <w:sz w:val="24"/>
          <w:highlight w:val="none"/>
        </w:rPr>
      </w:pPr>
      <w:r>
        <w:rPr>
          <w:rFonts w:hint="eastAsia" w:ascii="宋体" w:hAnsi="宋体"/>
          <w:sz w:val="24"/>
          <w:highlight w:val="none"/>
        </w:rPr>
        <w:br w:type="page"/>
      </w:r>
    </w:p>
    <w:p w14:paraId="3D0F1A81">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附表一</w:t>
      </w:r>
    </w:p>
    <w:p w14:paraId="486422AF">
      <w:pPr>
        <w:spacing w:line="220" w:lineRule="atLeast"/>
        <w:jc w:val="center"/>
        <w:rPr>
          <w:rFonts w:ascii="Calibri" w:hAnsi="Calibri" w:eastAsia="宋体" w:cs="Calibri"/>
          <w:sz w:val="32"/>
          <w:szCs w:val="32"/>
          <w:highlight w:val="none"/>
        </w:rPr>
      </w:pPr>
      <w:r>
        <w:rPr>
          <w:rFonts w:hint="eastAsia" w:ascii="Calibri" w:hAnsi="Calibri" w:eastAsia="宋体" w:cs="Calibri"/>
          <w:sz w:val="32"/>
          <w:szCs w:val="32"/>
          <w:highlight w:val="none"/>
        </w:rPr>
        <w:t>第一阶段商务技术得分汇总表</w:t>
      </w:r>
    </w:p>
    <w:p w14:paraId="0B887B8C">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项目名称：</w:t>
      </w:r>
    </w:p>
    <w:tbl>
      <w:tblPr>
        <w:tblStyle w:val="49"/>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402"/>
        <w:gridCol w:w="1644"/>
        <w:gridCol w:w="1644"/>
        <w:gridCol w:w="1644"/>
      </w:tblGrid>
      <w:tr w14:paraId="24AC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4" w:type="dxa"/>
            <w:vAlign w:val="center"/>
          </w:tcPr>
          <w:p w14:paraId="7263C55D">
            <w:pPr>
              <w:spacing w:line="220" w:lineRule="atLeast"/>
              <w:jc w:val="center"/>
              <w:rPr>
                <w:rFonts w:ascii="Calibri" w:hAnsi="Calibri" w:eastAsia="宋体" w:cs="Calibri"/>
                <w:sz w:val="24"/>
                <w:szCs w:val="24"/>
                <w:highlight w:val="none"/>
              </w:rPr>
            </w:pPr>
            <w:r>
              <w:rPr>
                <w:rFonts w:hint="eastAsia" w:ascii="Calibri" w:hAnsi="Calibri" w:eastAsia="宋体" w:cs="Calibri"/>
                <w:sz w:val="24"/>
                <w:szCs w:val="24"/>
                <w:highlight w:val="none"/>
              </w:rPr>
              <w:t>序号</w:t>
            </w:r>
          </w:p>
        </w:tc>
        <w:tc>
          <w:tcPr>
            <w:tcW w:w="3402" w:type="dxa"/>
            <w:vAlign w:val="center"/>
          </w:tcPr>
          <w:p w14:paraId="4CEC1665">
            <w:pPr>
              <w:spacing w:line="220" w:lineRule="atLeast"/>
              <w:jc w:val="center"/>
              <w:rPr>
                <w:rFonts w:ascii="Calibri" w:hAnsi="Calibri" w:eastAsia="宋体" w:cs="Calibri"/>
                <w:sz w:val="24"/>
                <w:szCs w:val="24"/>
                <w:highlight w:val="none"/>
              </w:rPr>
            </w:pPr>
            <w:r>
              <w:rPr>
                <w:rFonts w:hint="eastAsia" w:ascii="Calibri" w:hAnsi="Calibri" w:eastAsia="宋体" w:cs="Calibri"/>
                <w:sz w:val="24"/>
                <w:szCs w:val="24"/>
                <w:highlight w:val="none"/>
              </w:rPr>
              <w:t>投标单位</w:t>
            </w:r>
          </w:p>
        </w:tc>
        <w:tc>
          <w:tcPr>
            <w:tcW w:w="1644" w:type="dxa"/>
            <w:vAlign w:val="center"/>
          </w:tcPr>
          <w:p w14:paraId="385D659F">
            <w:pPr>
              <w:spacing w:line="220" w:lineRule="atLeast"/>
              <w:jc w:val="center"/>
              <w:rPr>
                <w:rFonts w:ascii="Calibri" w:hAnsi="Calibri" w:eastAsia="宋体" w:cs="Calibri"/>
                <w:sz w:val="24"/>
                <w:szCs w:val="24"/>
                <w:highlight w:val="none"/>
              </w:rPr>
            </w:pPr>
            <w:r>
              <w:rPr>
                <w:rFonts w:hint="eastAsia" w:ascii="Calibri" w:hAnsi="Calibri" w:eastAsia="宋体" w:cs="Calibri"/>
                <w:sz w:val="24"/>
                <w:szCs w:val="24"/>
                <w:highlight w:val="none"/>
              </w:rPr>
              <w:t>商务投标文件得分</w:t>
            </w:r>
          </w:p>
        </w:tc>
        <w:tc>
          <w:tcPr>
            <w:tcW w:w="1644" w:type="dxa"/>
            <w:vAlign w:val="center"/>
          </w:tcPr>
          <w:p w14:paraId="27E41E83">
            <w:pPr>
              <w:spacing w:line="220" w:lineRule="atLeast"/>
              <w:jc w:val="center"/>
              <w:rPr>
                <w:rFonts w:ascii="Calibri" w:hAnsi="Calibri" w:eastAsia="宋体" w:cs="Calibri"/>
                <w:sz w:val="24"/>
                <w:szCs w:val="24"/>
                <w:highlight w:val="none"/>
              </w:rPr>
            </w:pPr>
            <w:r>
              <w:rPr>
                <w:rFonts w:hint="eastAsia" w:ascii="Calibri" w:hAnsi="Calibri" w:eastAsia="宋体" w:cs="Calibri"/>
                <w:sz w:val="24"/>
                <w:szCs w:val="24"/>
                <w:highlight w:val="none"/>
              </w:rPr>
              <w:t>技术投标文件得分</w:t>
            </w:r>
          </w:p>
        </w:tc>
        <w:tc>
          <w:tcPr>
            <w:tcW w:w="1644" w:type="dxa"/>
            <w:vAlign w:val="center"/>
          </w:tcPr>
          <w:p w14:paraId="3ADBBEBB">
            <w:pPr>
              <w:spacing w:line="220" w:lineRule="atLeast"/>
              <w:jc w:val="center"/>
              <w:rPr>
                <w:rFonts w:ascii="Calibri" w:hAnsi="Calibri" w:eastAsia="宋体" w:cs="Calibri"/>
                <w:sz w:val="24"/>
                <w:szCs w:val="24"/>
                <w:highlight w:val="none"/>
              </w:rPr>
            </w:pPr>
            <w:r>
              <w:rPr>
                <w:rFonts w:hint="eastAsia" w:ascii="Calibri" w:hAnsi="Calibri" w:eastAsia="宋体" w:cs="Calibri"/>
                <w:sz w:val="24"/>
                <w:szCs w:val="24"/>
                <w:highlight w:val="none"/>
              </w:rPr>
              <w:t>商务技术综合得分</w:t>
            </w:r>
          </w:p>
        </w:tc>
      </w:tr>
      <w:tr w14:paraId="3F41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794" w:type="dxa"/>
          </w:tcPr>
          <w:p w14:paraId="3986114B">
            <w:pPr>
              <w:spacing w:line="220" w:lineRule="atLeast"/>
              <w:rPr>
                <w:rFonts w:ascii="Calibri" w:hAnsi="Calibri" w:eastAsia="宋体" w:cs="Calibri"/>
                <w:sz w:val="24"/>
                <w:szCs w:val="24"/>
                <w:highlight w:val="none"/>
              </w:rPr>
            </w:pPr>
          </w:p>
        </w:tc>
        <w:tc>
          <w:tcPr>
            <w:tcW w:w="3402" w:type="dxa"/>
          </w:tcPr>
          <w:p w14:paraId="01607BEB">
            <w:pPr>
              <w:spacing w:line="220" w:lineRule="atLeast"/>
              <w:rPr>
                <w:rFonts w:ascii="Calibri" w:hAnsi="Calibri" w:eastAsia="宋体" w:cs="Calibri"/>
                <w:sz w:val="24"/>
                <w:szCs w:val="24"/>
                <w:highlight w:val="none"/>
              </w:rPr>
            </w:pPr>
          </w:p>
        </w:tc>
        <w:tc>
          <w:tcPr>
            <w:tcW w:w="1644" w:type="dxa"/>
          </w:tcPr>
          <w:p w14:paraId="628A0795">
            <w:pPr>
              <w:spacing w:line="220" w:lineRule="atLeast"/>
              <w:rPr>
                <w:rFonts w:ascii="Calibri" w:hAnsi="Calibri" w:eastAsia="宋体" w:cs="Calibri"/>
                <w:sz w:val="24"/>
                <w:szCs w:val="24"/>
                <w:highlight w:val="none"/>
              </w:rPr>
            </w:pPr>
          </w:p>
        </w:tc>
        <w:tc>
          <w:tcPr>
            <w:tcW w:w="1644" w:type="dxa"/>
          </w:tcPr>
          <w:p w14:paraId="341C8681">
            <w:pPr>
              <w:spacing w:line="220" w:lineRule="atLeast"/>
              <w:rPr>
                <w:rFonts w:ascii="Calibri" w:hAnsi="Calibri" w:eastAsia="宋体" w:cs="Calibri"/>
                <w:sz w:val="24"/>
                <w:szCs w:val="24"/>
                <w:highlight w:val="none"/>
              </w:rPr>
            </w:pPr>
          </w:p>
        </w:tc>
        <w:tc>
          <w:tcPr>
            <w:tcW w:w="1644" w:type="dxa"/>
          </w:tcPr>
          <w:p w14:paraId="0F406699">
            <w:pPr>
              <w:spacing w:line="220" w:lineRule="atLeast"/>
              <w:rPr>
                <w:rFonts w:ascii="Calibri" w:hAnsi="Calibri" w:eastAsia="宋体" w:cs="Calibri"/>
                <w:sz w:val="24"/>
                <w:szCs w:val="24"/>
                <w:highlight w:val="none"/>
              </w:rPr>
            </w:pPr>
          </w:p>
        </w:tc>
      </w:tr>
      <w:tr w14:paraId="65FF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794" w:type="dxa"/>
          </w:tcPr>
          <w:p w14:paraId="2A8BA61C">
            <w:pPr>
              <w:spacing w:line="220" w:lineRule="atLeast"/>
              <w:rPr>
                <w:rFonts w:ascii="Calibri" w:hAnsi="Calibri" w:eastAsia="宋体" w:cs="Calibri"/>
                <w:sz w:val="24"/>
                <w:szCs w:val="24"/>
                <w:highlight w:val="none"/>
              </w:rPr>
            </w:pPr>
          </w:p>
        </w:tc>
        <w:tc>
          <w:tcPr>
            <w:tcW w:w="3402" w:type="dxa"/>
          </w:tcPr>
          <w:p w14:paraId="3AE1197F">
            <w:pPr>
              <w:spacing w:line="220" w:lineRule="atLeast"/>
              <w:rPr>
                <w:rFonts w:ascii="Calibri" w:hAnsi="Calibri" w:eastAsia="宋体" w:cs="Calibri"/>
                <w:sz w:val="24"/>
                <w:szCs w:val="24"/>
                <w:highlight w:val="none"/>
              </w:rPr>
            </w:pPr>
          </w:p>
        </w:tc>
        <w:tc>
          <w:tcPr>
            <w:tcW w:w="1644" w:type="dxa"/>
          </w:tcPr>
          <w:p w14:paraId="6E1BB0B6">
            <w:pPr>
              <w:spacing w:line="220" w:lineRule="atLeast"/>
              <w:rPr>
                <w:rFonts w:ascii="Calibri" w:hAnsi="Calibri" w:eastAsia="宋体" w:cs="Calibri"/>
                <w:sz w:val="24"/>
                <w:szCs w:val="24"/>
                <w:highlight w:val="none"/>
              </w:rPr>
            </w:pPr>
          </w:p>
        </w:tc>
        <w:tc>
          <w:tcPr>
            <w:tcW w:w="1644" w:type="dxa"/>
          </w:tcPr>
          <w:p w14:paraId="202ADB0A">
            <w:pPr>
              <w:spacing w:line="220" w:lineRule="atLeast"/>
              <w:rPr>
                <w:rFonts w:ascii="Calibri" w:hAnsi="Calibri" w:eastAsia="宋体" w:cs="Calibri"/>
                <w:sz w:val="24"/>
                <w:szCs w:val="24"/>
                <w:highlight w:val="none"/>
              </w:rPr>
            </w:pPr>
          </w:p>
        </w:tc>
        <w:tc>
          <w:tcPr>
            <w:tcW w:w="1644" w:type="dxa"/>
          </w:tcPr>
          <w:p w14:paraId="65C510F2">
            <w:pPr>
              <w:spacing w:line="220" w:lineRule="atLeast"/>
              <w:rPr>
                <w:rFonts w:ascii="Calibri" w:hAnsi="Calibri" w:eastAsia="宋体" w:cs="Calibri"/>
                <w:sz w:val="24"/>
                <w:szCs w:val="24"/>
                <w:highlight w:val="none"/>
              </w:rPr>
            </w:pPr>
          </w:p>
        </w:tc>
      </w:tr>
      <w:tr w14:paraId="5D65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794" w:type="dxa"/>
          </w:tcPr>
          <w:p w14:paraId="1882AE42">
            <w:pPr>
              <w:spacing w:line="220" w:lineRule="atLeast"/>
              <w:rPr>
                <w:rFonts w:ascii="Calibri" w:hAnsi="Calibri" w:eastAsia="宋体" w:cs="Calibri"/>
                <w:sz w:val="24"/>
                <w:szCs w:val="24"/>
                <w:highlight w:val="none"/>
              </w:rPr>
            </w:pPr>
          </w:p>
        </w:tc>
        <w:tc>
          <w:tcPr>
            <w:tcW w:w="3402" w:type="dxa"/>
          </w:tcPr>
          <w:p w14:paraId="02AFD517">
            <w:pPr>
              <w:spacing w:line="220" w:lineRule="atLeast"/>
              <w:rPr>
                <w:rFonts w:ascii="Calibri" w:hAnsi="Calibri" w:eastAsia="宋体" w:cs="Calibri"/>
                <w:sz w:val="24"/>
                <w:szCs w:val="24"/>
                <w:highlight w:val="none"/>
              </w:rPr>
            </w:pPr>
          </w:p>
        </w:tc>
        <w:tc>
          <w:tcPr>
            <w:tcW w:w="1644" w:type="dxa"/>
          </w:tcPr>
          <w:p w14:paraId="574C318C">
            <w:pPr>
              <w:spacing w:line="220" w:lineRule="atLeast"/>
              <w:rPr>
                <w:rFonts w:ascii="Calibri" w:hAnsi="Calibri" w:eastAsia="宋体" w:cs="Calibri"/>
                <w:sz w:val="24"/>
                <w:szCs w:val="24"/>
                <w:highlight w:val="none"/>
              </w:rPr>
            </w:pPr>
          </w:p>
        </w:tc>
        <w:tc>
          <w:tcPr>
            <w:tcW w:w="1644" w:type="dxa"/>
          </w:tcPr>
          <w:p w14:paraId="1D12CFA9">
            <w:pPr>
              <w:spacing w:line="220" w:lineRule="atLeast"/>
              <w:rPr>
                <w:rFonts w:ascii="Calibri" w:hAnsi="Calibri" w:eastAsia="宋体" w:cs="Calibri"/>
                <w:sz w:val="24"/>
                <w:szCs w:val="24"/>
                <w:highlight w:val="none"/>
              </w:rPr>
            </w:pPr>
          </w:p>
        </w:tc>
        <w:tc>
          <w:tcPr>
            <w:tcW w:w="1644" w:type="dxa"/>
          </w:tcPr>
          <w:p w14:paraId="66475CA3">
            <w:pPr>
              <w:spacing w:line="220" w:lineRule="atLeast"/>
              <w:rPr>
                <w:rFonts w:ascii="Calibri" w:hAnsi="Calibri" w:eastAsia="宋体" w:cs="Calibri"/>
                <w:sz w:val="24"/>
                <w:szCs w:val="24"/>
                <w:highlight w:val="none"/>
              </w:rPr>
            </w:pPr>
          </w:p>
        </w:tc>
      </w:tr>
      <w:tr w14:paraId="493C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794" w:type="dxa"/>
          </w:tcPr>
          <w:p w14:paraId="6221DE64">
            <w:pPr>
              <w:spacing w:line="220" w:lineRule="atLeast"/>
              <w:rPr>
                <w:rFonts w:ascii="Calibri" w:hAnsi="Calibri" w:eastAsia="宋体" w:cs="Calibri"/>
                <w:sz w:val="24"/>
                <w:szCs w:val="24"/>
                <w:highlight w:val="none"/>
              </w:rPr>
            </w:pPr>
          </w:p>
        </w:tc>
        <w:tc>
          <w:tcPr>
            <w:tcW w:w="3402" w:type="dxa"/>
          </w:tcPr>
          <w:p w14:paraId="31815ABC">
            <w:pPr>
              <w:spacing w:line="220" w:lineRule="atLeast"/>
              <w:rPr>
                <w:rFonts w:ascii="Calibri" w:hAnsi="Calibri" w:eastAsia="宋体" w:cs="Calibri"/>
                <w:sz w:val="24"/>
                <w:szCs w:val="24"/>
                <w:highlight w:val="none"/>
              </w:rPr>
            </w:pPr>
          </w:p>
        </w:tc>
        <w:tc>
          <w:tcPr>
            <w:tcW w:w="1644" w:type="dxa"/>
          </w:tcPr>
          <w:p w14:paraId="1D9F252A">
            <w:pPr>
              <w:spacing w:line="220" w:lineRule="atLeast"/>
              <w:rPr>
                <w:rFonts w:ascii="Calibri" w:hAnsi="Calibri" w:eastAsia="宋体" w:cs="Calibri"/>
                <w:sz w:val="24"/>
                <w:szCs w:val="24"/>
                <w:highlight w:val="none"/>
              </w:rPr>
            </w:pPr>
          </w:p>
        </w:tc>
        <w:tc>
          <w:tcPr>
            <w:tcW w:w="1644" w:type="dxa"/>
          </w:tcPr>
          <w:p w14:paraId="32006937">
            <w:pPr>
              <w:spacing w:line="220" w:lineRule="atLeast"/>
              <w:rPr>
                <w:rFonts w:ascii="Calibri" w:hAnsi="Calibri" w:eastAsia="宋体" w:cs="Calibri"/>
                <w:sz w:val="24"/>
                <w:szCs w:val="24"/>
                <w:highlight w:val="none"/>
              </w:rPr>
            </w:pPr>
          </w:p>
        </w:tc>
        <w:tc>
          <w:tcPr>
            <w:tcW w:w="1644" w:type="dxa"/>
          </w:tcPr>
          <w:p w14:paraId="051DF4EC">
            <w:pPr>
              <w:spacing w:line="220" w:lineRule="atLeast"/>
              <w:rPr>
                <w:rFonts w:ascii="Calibri" w:hAnsi="Calibri" w:eastAsia="宋体" w:cs="Calibri"/>
                <w:sz w:val="24"/>
                <w:szCs w:val="24"/>
                <w:highlight w:val="none"/>
              </w:rPr>
            </w:pPr>
          </w:p>
        </w:tc>
      </w:tr>
      <w:tr w14:paraId="42FD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794" w:type="dxa"/>
          </w:tcPr>
          <w:p w14:paraId="4A8BE6E8">
            <w:pPr>
              <w:spacing w:line="220" w:lineRule="atLeast"/>
              <w:rPr>
                <w:rFonts w:ascii="Calibri" w:hAnsi="Calibri" w:eastAsia="宋体" w:cs="Calibri"/>
                <w:sz w:val="24"/>
                <w:szCs w:val="24"/>
                <w:highlight w:val="none"/>
              </w:rPr>
            </w:pPr>
          </w:p>
          <w:p w14:paraId="368D9E87">
            <w:pPr>
              <w:widowControl/>
              <w:ind w:left="1800" w:hanging="360"/>
              <w:jc w:val="left"/>
              <w:rPr>
                <w:rFonts w:ascii="宋体" w:hAnsi="Courier New" w:eastAsia="宋体" w:cs="Calibri"/>
                <w:kern w:val="0"/>
                <w:sz w:val="24"/>
                <w:szCs w:val="24"/>
                <w:highlight w:val="none"/>
                <w:lang w:val="en-US" w:eastAsia="zh-CN" w:bidi="ar-SA"/>
              </w:rPr>
            </w:pPr>
          </w:p>
        </w:tc>
        <w:tc>
          <w:tcPr>
            <w:tcW w:w="3402" w:type="dxa"/>
          </w:tcPr>
          <w:p w14:paraId="16222798">
            <w:pPr>
              <w:spacing w:line="220" w:lineRule="atLeast"/>
              <w:rPr>
                <w:rFonts w:ascii="Calibri" w:hAnsi="Calibri" w:eastAsia="宋体" w:cs="Calibri"/>
                <w:sz w:val="24"/>
                <w:szCs w:val="24"/>
                <w:highlight w:val="none"/>
              </w:rPr>
            </w:pPr>
          </w:p>
        </w:tc>
        <w:tc>
          <w:tcPr>
            <w:tcW w:w="1644" w:type="dxa"/>
          </w:tcPr>
          <w:p w14:paraId="35E5712E">
            <w:pPr>
              <w:spacing w:line="220" w:lineRule="atLeast"/>
              <w:rPr>
                <w:rFonts w:ascii="Calibri" w:hAnsi="Calibri" w:eastAsia="宋体" w:cs="Calibri"/>
                <w:sz w:val="24"/>
                <w:szCs w:val="24"/>
                <w:highlight w:val="none"/>
              </w:rPr>
            </w:pPr>
          </w:p>
        </w:tc>
        <w:tc>
          <w:tcPr>
            <w:tcW w:w="1644" w:type="dxa"/>
          </w:tcPr>
          <w:p w14:paraId="530F736D">
            <w:pPr>
              <w:spacing w:line="220" w:lineRule="atLeast"/>
              <w:rPr>
                <w:rFonts w:ascii="Calibri" w:hAnsi="Calibri" w:eastAsia="宋体" w:cs="Calibri"/>
                <w:sz w:val="24"/>
                <w:szCs w:val="24"/>
                <w:highlight w:val="none"/>
              </w:rPr>
            </w:pPr>
          </w:p>
        </w:tc>
        <w:tc>
          <w:tcPr>
            <w:tcW w:w="1644" w:type="dxa"/>
          </w:tcPr>
          <w:p w14:paraId="57C860DD">
            <w:pPr>
              <w:spacing w:line="220" w:lineRule="atLeast"/>
              <w:rPr>
                <w:rFonts w:ascii="Calibri" w:hAnsi="Calibri" w:eastAsia="宋体" w:cs="Calibri"/>
                <w:sz w:val="24"/>
                <w:szCs w:val="24"/>
                <w:highlight w:val="none"/>
              </w:rPr>
            </w:pPr>
          </w:p>
        </w:tc>
      </w:tr>
    </w:tbl>
    <w:p w14:paraId="76CE094D">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rPr>
      </w:pPr>
    </w:p>
    <w:p w14:paraId="7B00D4AE">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评委主任签名：</w:t>
      </w:r>
    </w:p>
    <w:p w14:paraId="18B6D7BE">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评委成员签名：</w:t>
      </w:r>
    </w:p>
    <w:p w14:paraId="29007AE8">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监督人员签名：</w:t>
      </w:r>
    </w:p>
    <w:p w14:paraId="50747973">
      <w:pPr>
        <w:keepNext w:val="0"/>
        <w:keepLines w:val="0"/>
        <w:pageBreakBefore w:val="0"/>
        <w:kinsoku/>
        <w:wordWrap/>
        <w:overflowPunct/>
        <w:topLinePunct w:val="0"/>
        <w:autoSpaceDE/>
        <w:autoSpaceDN/>
        <w:bidi w:val="0"/>
        <w:adjustRightInd/>
        <w:snapToGrid/>
        <w:spacing w:line="520" w:lineRule="exact"/>
        <w:textAlignment w:val="auto"/>
        <w:rPr>
          <w:rFonts w:ascii="Calibri" w:hAnsi="Calibri" w:eastAsia="宋体" w:cs="Calibri"/>
          <w:sz w:val="24"/>
          <w:szCs w:val="24"/>
          <w:highlight w:val="none"/>
        </w:rPr>
      </w:pPr>
      <w:r>
        <w:rPr>
          <w:rFonts w:hint="eastAsia" w:ascii="宋体" w:hAnsi="宋体" w:eastAsia="宋体" w:cs="宋体"/>
          <w:sz w:val="24"/>
          <w:szCs w:val="24"/>
          <w:highlight w:val="none"/>
        </w:rPr>
        <w:t xml:space="preserve">日期：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p>
    <w:p w14:paraId="3C29A29E">
      <w:pPr>
        <w:widowControl/>
        <w:ind w:left="1800" w:hanging="360"/>
        <w:jc w:val="left"/>
        <w:rPr>
          <w:rFonts w:ascii="宋体" w:hAnsi="Courier New" w:eastAsia="宋体" w:cs="Calibri"/>
          <w:kern w:val="0"/>
          <w:sz w:val="24"/>
          <w:szCs w:val="24"/>
          <w:highlight w:val="none"/>
          <w:lang w:val="en-US" w:eastAsia="zh-CN" w:bidi="ar-SA"/>
        </w:rPr>
      </w:pPr>
    </w:p>
    <w:p w14:paraId="144D4082">
      <w:pPr>
        <w:rPr>
          <w:rFonts w:ascii="Calibri" w:hAnsi="Calibri" w:eastAsia="宋体" w:cs="Calibri"/>
          <w:sz w:val="24"/>
          <w:szCs w:val="24"/>
          <w:highlight w:val="none"/>
        </w:rPr>
      </w:pPr>
      <w:r>
        <w:rPr>
          <w:rFonts w:ascii="Calibri" w:hAnsi="Calibri" w:eastAsia="宋体" w:cs="Calibri"/>
          <w:sz w:val="24"/>
          <w:szCs w:val="24"/>
          <w:highlight w:val="none"/>
        </w:rPr>
        <w:br w:type="page"/>
      </w:r>
    </w:p>
    <w:p w14:paraId="43D1F037">
      <w:pPr>
        <w:widowControl/>
        <w:ind w:left="1800" w:hanging="360"/>
        <w:jc w:val="left"/>
        <w:rPr>
          <w:rFonts w:ascii="宋体" w:hAnsi="Courier New" w:eastAsia="宋体" w:cs="Calibri"/>
          <w:kern w:val="0"/>
          <w:sz w:val="24"/>
          <w:highlight w:val="none"/>
          <w:lang w:val="en-US" w:eastAsia="zh-CN" w:bidi="ar-SA"/>
        </w:rPr>
      </w:pPr>
    </w:p>
    <w:p w14:paraId="17B10D46">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附表二</w:t>
      </w:r>
    </w:p>
    <w:p w14:paraId="16D96A0C">
      <w:pPr>
        <w:widowControl/>
        <w:jc w:val="center"/>
        <w:rPr>
          <w:rFonts w:ascii="宋体" w:hAnsi="宋体" w:eastAsia="宋体" w:cs="宋体"/>
          <w:sz w:val="32"/>
          <w:szCs w:val="32"/>
          <w:highlight w:val="none"/>
        </w:rPr>
      </w:pPr>
      <w:r>
        <w:rPr>
          <w:rFonts w:hint="eastAsia" w:ascii="宋体" w:hAnsi="宋体" w:eastAsia="宋体" w:cs="宋体"/>
          <w:kern w:val="0"/>
          <w:sz w:val="32"/>
          <w:szCs w:val="32"/>
          <w:highlight w:val="none"/>
          <w:u w:val="single"/>
        </w:rPr>
        <w:t xml:space="preserve">        （项目名称）</w:t>
      </w:r>
      <w:r>
        <w:rPr>
          <w:rFonts w:hint="eastAsia" w:ascii="宋体" w:hAnsi="宋体" w:eastAsia="宋体" w:cs="宋体"/>
          <w:kern w:val="0"/>
          <w:sz w:val="32"/>
          <w:szCs w:val="32"/>
          <w:highlight w:val="none"/>
        </w:rPr>
        <w:t>施工投标文件技术部分还原表</w:t>
      </w:r>
    </w:p>
    <w:p w14:paraId="3893945E">
      <w:pPr>
        <w:widowControl/>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招 标 人：                                   </w:t>
      </w:r>
    </w:p>
    <w:tbl>
      <w:tblPr>
        <w:tblStyle w:val="50"/>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417"/>
        <w:gridCol w:w="4876"/>
        <w:gridCol w:w="1757"/>
      </w:tblGrid>
      <w:tr w14:paraId="3691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14:paraId="78B30621">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序号</w:t>
            </w:r>
          </w:p>
        </w:tc>
        <w:tc>
          <w:tcPr>
            <w:tcW w:w="1417" w:type="dxa"/>
            <w:vAlign w:val="center"/>
          </w:tcPr>
          <w:p w14:paraId="26AC3B0E">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匿名编号</w:t>
            </w:r>
          </w:p>
        </w:tc>
        <w:tc>
          <w:tcPr>
            <w:tcW w:w="4876" w:type="dxa"/>
            <w:vAlign w:val="center"/>
          </w:tcPr>
          <w:p w14:paraId="59DE177C">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投标单位名称</w:t>
            </w:r>
          </w:p>
        </w:tc>
        <w:tc>
          <w:tcPr>
            <w:tcW w:w="1757" w:type="dxa"/>
            <w:vAlign w:val="center"/>
          </w:tcPr>
          <w:p w14:paraId="49161572">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得分</w:t>
            </w:r>
          </w:p>
        </w:tc>
      </w:tr>
      <w:tr w14:paraId="7F05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794" w:type="dxa"/>
            <w:vAlign w:val="center"/>
          </w:tcPr>
          <w:p w14:paraId="0F1C2C7A">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w:t>
            </w:r>
          </w:p>
        </w:tc>
        <w:tc>
          <w:tcPr>
            <w:tcW w:w="1417" w:type="dxa"/>
            <w:vAlign w:val="center"/>
          </w:tcPr>
          <w:p w14:paraId="13F33313">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编号 1</w:t>
            </w:r>
          </w:p>
        </w:tc>
        <w:tc>
          <w:tcPr>
            <w:tcW w:w="4876" w:type="dxa"/>
            <w:vAlign w:val="center"/>
          </w:tcPr>
          <w:p w14:paraId="4F505691">
            <w:pPr>
              <w:widowControl/>
              <w:ind w:left="0" w:firstLine="0"/>
              <w:jc w:val="center"/>
              <w:rPr>
                <w:rFonts w:ascii="宋体" w:hAnsi="宋体" w:eastAsia="宋体" w:cs="宋体"/>
                <w:kern w:val="0"/>
                <w:sz w:val="24"/>
                <w:szCs w:val="24"/>
                <w:highlight w:val="none"/>
                <w:lang w:val="en-US" w:eastAsia="zh-CN" w:bidi="ar-SA"/>
              </w:rPr>
            </w:pPr>
          </w:p>
        </w:tc>
        <w:tc>
          <w:tcPr>
            <w:tcW w:w="1757" w:type="dxa"/>
            <w:vAlign w:val="center"/>
          </w:tcPr>
          <w:p w14:paraId="02D27EE3">
            <w:pPr>
              <w:widowControl/>
              <w:ind w:left="0" w:firstLine="0"/>
              <w:jc w:val="center"/>
              <w:rPr>
                <w:rFonts w:ascii="宋体" w:hAnsi="宋体" w:eastAsia="宋体" w:cs="宋体"/>
                <w:kern w:val="0"/>
                <w:sz w:val="24"/>
                <w:szCs w:val="24"/>
                <w:highlight w:val="none"/>
                <w:lang w:val="en-US" w:eastAsia="zh-CN" w:bidi="ar-SA"/>
              </w:rPr>
            </w:pPr>
          </w:p>
        </w:tc>
      </w:tr>
      <w:tr w14:paraId="190D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794" w:type="dxa"/>
            <w:vAlign w:val="center"/>
          </w:tcPr>
          <w:p w14:paraId="1B234A6E">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w:t>
            </w:r>
          </w:p>
        </w:tc>
        <w:tc>
          <w:tcPr>
            <w:tcW w:w="1417" w:type="dxa"/>
            <w:vAlign w:val="center"/>
          </w:tcPr>
          <w:p w14:paraId="5FCBDE19">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编号 2</w:t>
            </w:r>
          </w:p>
        </w:tc>
        <w:tc>
          <w:tcPr>
            <w:tcW w:w="4876" w:type="dxa"/>
            <w:vAlign w:val="center"/>
          </w:tcPr>
          <w:p w14:paraId="54957D79">
            <w:pPr>
              <w:widowControl/>
              <w:ind w:left="0" w:firstLine="0"/>
              <w:jc w:val="center"/>
              <w:rPr>
                <w:rFonts w:ascii="宋体" w:hAnsi="宋体" w:eastAsia="宋体" w:cs="宋体"/>
                <w:kern w:val="0"/>
                <w:sz w:val="24"/>
                <w:szCs w:val="24"/>
                <w:highlight w:val="none"/>
                <w:lang w:val="en-US" w:eastAsia="zh-CN" w:bidi="ar-SA"/>
              </w:rPr>
            </w:pPr>
          </w:p>
        </w:tc>
        <w:tc>
          <w:tcPr>
            <w:tcW w:w="1757" w:type="dxa"/>
            <w:vAlign w:val="center"/>
          </w:tcPr>
          <w:p w14:paraId="00CCB40E">
            <w:pPr>
              <w:widowControl/>
              <w:ind w:left="0" w:firstLine="0"/>
              <w:jc w:val="center"/>
              <w:rPr>
                <w:rFonts w:ascii="宋体" w:hAnsi="宋体" w:eastAsia="宋体" w:cs="宋体"/>
                <w:kern w:val="0"/>
                <w:sz w:val="24"/>
                <w:szCs w:val="24"/>
                <w:highlight w:val="none"/>
                <w:lang w:val="en-US" w:eastAsia="zh-CN" w:bidi="ar-SA"/>
              </w:rPr>
            </w:pPr>
          </w:p>
        </w:tc>
      </w:tr>
      <w:tr w14:paraId="4569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794" w:type="dxa"/>
            <w:vAlign w:val="center"/>
          </w:tcPr>
          <w:p w14:paraId="033C03FA">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w:t>
            </w:r>
          </w:p>
        </w:tc>
        <w:tc>
          <w:tcPr>
            <w:tcW w:w="1417" w:type="dxa"/>
            <w:vAlign w:val="center"/>
          </w:tcPr>
          <w:p w14:paraId="7F0F4E8C">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编号 3</w:t>
            </w:r>
          </w:p>
        </w:tc>
        <w:tc>
          <w:tcPr>
            <w:tcW w:w="4876" w:type="dxa"/>
            <w:vAlign w:val="center"/>
          </w:tcPr>
          <w:p w14:paraId="145944DD">
            <w:pPr>
              <w:widowControl/>
              <w:ind w:left="0" w:firstLine="0"/>
              <w:jc w:val="center"/>
              <w:rPr>
                <w:rFonts w:ascii="宋体" w:hAnsi="宋体" w:eastAsia="宋体" w:cs="宋体"/>
                <w:kern w:val="0"/>
                <w:sz w:val="24"/>
                <w:szCs w:val="24"/>
                <w:highlight w:val="none"/>
                <w:lang w:val="en-US" w:eastAsia="zh-CN" w:bidi="ar-SA"/>
              </w:rPr>
            </w:pPr>
          </w:p>
        </w:tc>
        <w:tc>
          <w:tcPr>
            <w:tcW w:w="1757" w:type="dxa"/>
            <w:vAlign w:val="center"/>
          </w:tcPr>
          <w:p w14:paraId="63D94765">
            <w:pPr>
              <w:widowControl/>
              <w:ind w:left="0" w:firstLine="0"/>
              <w:jc w:val="center"/>
              <w:rPr>
                <w:rFonts w:ascii="宋体" w:hAnsi="宋体" w:eastAsia="宋体" w:cs="宋体"/>
                <w:kern w:val="0"/>
                <w:sz w:val="24"/>
                <w:szCs w:val="24"/>
                <w:highlight w:val="none"/>
                <w:lang w:val="en-US" w:eastAsia="zh-CN" w:bidi="ar-SA"/>
              </w:rPr>
            </w:pPr>
          </w:p>
        </w:tc>
      </w:tr>
      <w:tr w14:paraId="322A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794" w:type="dxa"/>
            <w:vAlign w:val="center"/>
          </w:tcPr>
          <w:p w14:paraId="1AA50A7C">
            <w:pPr>
              <w:widowControl/>
              <w:ind w:left="0" w:firstLine="0"/>
              <w:jc w:val="center"/>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4</w:t>
            </w:r>
          </w:p>
        </w:tc>
        <w:tc>
          <w:tcPr>
            <w:tcW w:w="1417" w:type="dxa"/>
            <w:vAlign w:val="center"/>
          </w:tcPr>
          <w:p w14:paraId="5EE9CCAB">
            <w:pPr>
              <w:widowControl/>
              <w:ind w:left="0" w:firstLine="0"/>
              <w:jc w:val="center"/>
              <w:rPr>
                <w:rFonts w:ascii="宋体" w:hAnsi="宋体" w:eastAsia="宋体" w:cs="宋体"/>
                <w:kern w:val="0"/>
                <w:sz w:val="24"/>
                <w:szCs w:val="24"/>
                <w:highlight w:val="none"/>
                <w:lang w:val="en-US" w:eastAsia="zh-CN" w:bidi="ar-SA"/>
              </w:rPr>
            </w:pPr>
          </w:p>
        </w:tc>
        <w:tc>
          <w:tcPr>
            <w:tcW w:w="4876" w:type="dxa"/>
            <w:vAlign w:val="center"/>
          </w:tcPr>
          <w:p w14:paraId="0E7139A6">
            <w:pPr>
              <w:widowControl/>
              <w:ind w:left="0" w:firstLine="0"/>
              <w:jc w:val="center"/>
              <w:rPr>
                <w:rFonts w:ascii="宋体" w:hAnsi="宋体" w:eastAsia="宋体" w:cs="宋体"/>
                <w:kern w:val="0"/>
                <w:sz w:val="24"/>
                <w:szCs w:val="24"/>
                <w:highlight w:val="none"/>
                <w:lang w:val="en-US" w:eastAsia="zh-CN" w:bidi="ar-SA"/>
              </w:rPr>
            </w:pPr>
          </w:p>
        </w:tc>
        <w:tc>
          <w:tcPr>
            <w:tcW w:w="1757" w:type="dxa"/>
            <w:vAlign w:val="center"/>
          </w:tcPr>
          <w:p w14:paraId="1C06D768">
            <w:pPr>
              <w:widowControl/>
              <w:ind w:left="0" w:firstLine="0"/>
              <w:jc w:val="center"/>
              <w:rPr>
                <w:rFonts w:ascii="宋体" w:hAnsi="宋体" w:eastAsia="宋体" w:cs="宋体"/>
                <w:kern w:val="0"/>
                <w:sz w:val="24"/>
                <w:szCs w:val="24"/>
                <w:highlight w:val="none"/>
                <w:lang w:val="en-US" w:eastAsia="zh-CN" w:bidi="ar-SA"/>
              </w:rPr>
            </w:pPr>
          </w:p>
        </w:tc>
      </w:tr>
      <w:tr w14:paraId="01BB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794" w:type="dxa"/>
            <w:vAlign w:val="center"/>
          </w:tcPr>
          <w:p w14:paraId="05074A56">
            <w:pPr>
              <w:widowControl/>
              <w:ind w:left="0" w:firstLine="0"/>
              <w:jc w:val="center"/>
              <w:rPr>
                <w:rFonts w:ascii="宋体" w:hAnsi="宋体" w:eastAsia="宋体" w:cs="宋体"/>
                <w:kern w:val="0"/>
                <w:sz w:val="24"/>
                <w:szCs w:val="24"/>
                <w:highlight w:val="none"/>
                <w:lang w:val="en-US" w:eastAsia="zh-CN" w:bidi="ar-SA"/>
              </w:rPr>
            </w:pPr>
          </w:p>
        </w:tc>
        <w:tc>
          <w:tcPr>
            <w:tcW w:w="1417" w:type="dxa"/>
            <w:vAlign w:val="center"/>
          </w:tcPr>
          <w:p w14:paraId="2E83ED9C">
            <w:pPr>
              <w:widowControl/>
              <w:ind w:left="0" w:firstLine="0"/>
              <w:jc w:val="center"/>
              <w:rPr>
                <w:rFonts w:ascii="宋体" w:hAnsi="宋体" w:eastAsia="宋体" w:cs="宋体"/>
                <w:kern w:val="0"/>
                <w:sz w:val="24"/>
                <w:szCs w:val="24"/>
                <w:highlight w:val="none"/>
                <w:lang w:val="en-US" w:eastAsia="zh-CN" w:bidi="ar-SA"/>
              </w:rPr>
            </w:pPr>
          </w:p>
        </w:tc>
        <w:tc>
          <w:tcPr>
            <w:tcW w:w="4876" w:type="dxa"/>
            <w:vAlign w:val="center"/>
          </w:tcPr>
          <w:p w14:paraId="3D1D6F43">
            <w:pPr>
              <w:widowControl/>
              <w:ind w:left="0" w:firstLine="0"/>
              <w:jc w:val="center"/>
              <w:rPr>
                <w:rFonts w:ascii="宋体" w:hAnsi="宋体" w:eastAsia="宋体" w:cs="宋体"/>
                <w:kern w:val="0"/>
                <w:sz w:val="24"/>
                <w:szCs w:val="24"/>
                <w:highlight w:val="none"/>
                <w:lang w:val="en-US" w:eastAsia="zh-CN" w:bidi="ar-SA"/>
              </w:rPr>
            </w:pPr>
          </w:p>
        </w:tc>
        <w:tc>
          <w:tcPr>
            <w:tcW w:w="1757" w:type="dxa"/>
            <w:vAlign w:val="center"/>
          </w:tcPr>
          <w:p w14:paraId="4EDDE779">
            <w:pPr>
              <w:widowControl/>
              <w:ind w:left="0" w:firstLine="0"/>
              <w:jc w:val="center"/>
              <w:rPr>
                <w:rFonts w:ascii="宋体" w:hAnsi="宋体" w:eastAsia="宋体" w:cs="宋体"/>
                <w:kern w:val="0"/>
                <w:sz w:val="24"/>
                <w:szCs w:val="24"/>
                <w:highlight w:val="none"/>
                <w:lang w:val="en-US" w:eastAsia="zh-CN" w:bidi="ar-SA"/>
              </w:rPr>
            </w:pPr>
          </w:p>
        </w:tc>
      </w:tr>
    </w:tbl>
    <w:p w14:paraId="219A8CD3">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p>
    <w:p w14:paraId="51C10EAD">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评委主任签名：</w:t>
      </w:r>
    </w:p>
    <w:p w14:paraId="4DE6D2E4">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评委成员签名：</w:t>
      </w:r>
    </w:p>
    <w:p w14:paraId="2C4BA43E">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监督人员签名：</w:t>
      </w:r>
    </w:p>
    <w:p w14:paraId="72A8A574">
      <w:pPr>
        <w:keepNext w:val="0"/>
        <w:keepLines w:val="0"/>
        <w:pageBreakBefore w:val="0"/>
        <w:widowControl/>
        <w:kinsoku/>
        <w:wordWrap/>
        <w:overflowPunct/>
        <w:topLinePunct w:val="0"/>
        <w:autoSpaceDE/>
        <w:autoSpaceDN/>
        <w:bidi w:val="0"/>
        <w:adjustRightInd/>
        <w:snapToGrid/>
        <w:spacing w:line="520" w:lineRule="exact"/>
        <w:ind w:left="0" w:firstLine="0"/>
        <w:jc w:val="left"/>
        <w:textAlignment w:val="auto"/>
        <w:rPr>
          <w:rFonts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日期：   年  月  日</w:t>
      </w:r>
      <w:r>
        <w:rPr>
          <w:rFonts w:hint="eastAsia" w:ascii="宋体" w:hAnsi="宋体" w:eastAsia="宋体" w:cs="宋体"/>
          <w:kern w:val="0"/>
          <w:sz w:val="24"/>
          <w:szCs w:val="24"/>
          <w:highlight w:val="none"/>
          <w:lang w:val="en-US" w:eastAsia="zh-CN" w:bidi="ar-SA"/>
        </w:rPr>
        <w:br w:type="page"/>
      </w:r>
    </w:p>
    <w:p w14:paraId="361BE69C">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附表三</w:t>
      </w:r>
    </w:p>
    <w:p w14:paraId="5E4A9874">
      <w:pPr>
        <w:jc w:val="center"/>
        <w:rPr>
          <w:rFonts w:ascii="Calibri" w:hAnsi="Calibri" w:eastAsia="宋体" w:cs="Calibri"/>
          <w:sz w:val="28"/>
          <w:szCs w:val="28"/>
          <w:highlight w:val="none"/>
        </w:rPr>
      </w:pPr>
      <w:r>
        <w:rPr>
          <w:rFonts w:hint="eastAsia" w:ascii="Calibri" w:hAnsi="Calibri" w:eastAsia="宋体" w:cs="Calibri"/>
          <w:sz w:val="28"/>
          <w:szCs w:val="28"/>
          <w:highlight w:val="none"/>
          <w:u w:val="single"/>
        </w:rPr>
        <w:t xml:space="preserve">    （项目名称）</w:t>
      </w:r>
      <w:r>
        <w:rPr>
          <w:rFonts w:hint="eastAsia" w:ascii="Calibri" w:hAnsi="Calibri" w:eastAsia="宋体" w:cs="Calibri"/>
          <w:sz w:val="28"/>
          <w:szCs w:val="28"/>
          <w:highlight w:val="none"/>
        </w:rPr>
        <w:t>K1.K2值抽取记录表</w:t>
      </w:r>
    </w:p>
    <w:p w14:paraId="6C4A13C1">
      <w:pPr>
        <w:rPr>
          <w:rFonts w:ascii="Calibri" w:hAnsi="Calibri" w:eastAsia="宋体" w:cs="Calibri"/>
          <w:sz w:val="28"/>
          <w:szCs w:val="28"/>
          <w:highlight w:val="none"/>
        </w:rPr>
      </w:pPr>
      <w:r>
        <w:rPr>
          <w:rFonts w:hint="eastAsia" w:ascii="Calibri" w:hAnsi="Calibri" w:eastAsia="宋体" w:cs="Calibri"/>
          <w:sz w:val="28"/>
          <w:szCs w:val="28"/>
          <w:highlight w:val="none"/>
        </w:rPr>
        <w:t>招标人：                           评标时间：  年  月  日</w:t>
      </w:r>
    </w:p>
    <w:tbl>
      <w:tblPr>
        <w:tblStyle w:val="4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3214"/>
        <w:gridCol w:w="920"/>
        <w:gridCol w:w="78"/>
        <w:gridCol w:w="1764"/>
        <w:gridCol w:w="1992"/>
      </w:tblGrid>
      <w:tr w14:paraId="1500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18" w:type="dxa"/>
            <w:vAlign w:val="center"/>
          </w:tcPr>
          <w:p w14:paraId="4A7D5965">
            <w:pPr>
              <w:rPr>
                <w:rFonts w:ascii="Calibri" w:hAnsi="Calibri" w:eastAsia="宋体" w:cs="Calibri"/>
                <w:sz w:val="24"/>
                <w:szCs w:val="24"/>
                <w:highlight w:val="none"/>
              </w:rPr>
            </w:pPr>
            <w:r>
              <w:rPr>
                <w:rFonts w:hint="eastAsia" w:ascii="Calibri" w:hAnsi="Calibri" w:eastAsia="宋体" w:cs="Calibri"/>
                <w:sz w:val="24"/>
                <w:szCs w:val="24"/>
                <w:highlight w:val="none"/>
              </w:rPr>
              <w:t>项目名称</w:t>
            </w:r>
          </w:p>
        </w:tc>
        <w:tc>
          <w:tcPr>
            <w:tcW w:w="4212" w:type="dxa"/>
            <w:gridSpan w:val="3"/>
            <w:vAlign w:val="center"/>
          </w:tcPr>
          <w:p w14:paraId="0FA48EBD">
            <w:pPr>
              <w:rPr>
                <w:rFonts w:ascii="Calibri" w:hAnsi="Calibri" w:eastAsia="宋体" w:cs="Calibri"/>
                <w:sz w:val="24"/>
                <w:szCs w:val="24"/>
                <w:highlight w:val="none"/>
              </w:rPr>
            </w:pPr>
          </w:p>
        </w:tc>
        <w:tc>
          <w:tcPr>
            <w:tcW w:w="1764" w:type="dxa"/>
            <w:vAlign w:val="center"/>
          </w:tcPr>
          <w:p w14:paraId="7166B3EA">
            <w:pPr>
              <w:jc w:val="center"/>
              <w:rPr>
                <w:rFonts w:ascii="Calibri" w:hAnsi="Calibri" w:eastAsia="宋体" w:cs="Calibri"/>
                <w:sz w:val="24"/>
                <w:szCs w:val="24"/>
                <w:highlight w:val="none"/>
              </w:rPr>
            </w:pPr>
            <w:r>
              <w:rPr>
                <w:rFonts w:hint="eastAsia" w:ascii="Calibri" w:hAnsi="Calibri" w:eastAsia="宋体" w:cs="Calibri"/>
                <w:sz w:val="24"/>
                <w:szCs w:val="24"/>
                <w:highlight w:val="none"/>
              </w:rPr>
              <w:t>招标控制价（元）</w:t>
            </w:r>
          </w:p>
        </w:tc>
        <w:tc>
          <w:tcPr>
            <w:tcW w:w="1992" w:type="dxa"/>
            <w:vAlign w:val="center"/>
          </w:tcPr>
          <w:p w14:paraId="0E1D8200">
            <w:pPr>
              <w:rPr>
                <w:rFonts w:ascii="Calibri" w:hAnsi="Calibri" w:eastAsia="宋体" w:cs="Calibri"/>
                <w:sz w:val="24"/>
                <w:szCs w:val="24"/>
                <w:highlight w:val="none"/>
              </w:rPr>
            </w:pPr>
          </w:p>
        </w:tc>
      </w:tr>
      <w:tr w14:paraId="4FEF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8" w:hRule="atLeast"/>
          <w:jc w:val="center"/>
        </w:trPr>
        <w:tc>
          <w:tcPr>
            <w:tcW w:w="9286" w:type="dxa"/>
            <w:gridSpan w:val="6"/>
          </w:tcPr>
          <w:p w14:paraId="6C5920B1">
            <w:pPr>
              <w:rPr>
                <w:rFonts w:ascii="Calibri" w:hAnsi="Calibri" w:eastAsia="宋体" w:cs="Calibri"/>
                <w:sz w:val="24"/>
                <w:szCs w:val="24"/>
                <w:highlight w:val="none"/>
              </w:rPr>
            </w:pPr>
            <w:r>
              <w:rPr>
                <w:rFonts w:hint="eastAsia" w:ascii="Calibri" w:hAnsi="Calibri" w:eastAsia="宋体" w:cs="Calibri"/>
                <w:sz w:val="24"/>
                <w:szCs w:val="24"/>
                <w:highlight w:val="none"/>
              </w:rPr>
              <w:t>初步评审不通过的投标人名称（共    家）：</w:t>
            </w:r>
          </w:p>
        </w:tc>
      </w:tr>
      <w:tr w14:paraId="6B0D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32" w:type="dxa"/>
            <w:gridSpan w:val="2"/>
            <w:vMerge w:val="restart"/>
            <w:vAlign w:val="center"/>
          </w:tcPr>
          <w:p w14:paraId="49192BC8">
            <w:pPr>
              <w:rPr>
                <w:rFonts w:ascii="Calibri" w:hAnsi="Calibri" w:eastAsia="宋体" w:cs="Calibri"/>
                <w:sz w:val="24"/>
                <w:szCs w:val="24"/>
                <w:highlight w:val="none"/>
              </w:rPr>
            </w:pPr>
            <w:r>
              <w:rPr>
                <w:rFonts w:hint="eastAsia" w:ascii="Calibri" w:hAnsi="Calibri" w:eastAsia="宋体" w:cs="Calibri"/>
                <w:sz w:val="24"/>
                <w:szCs w:val="24"/>
                <w:highlight w:val="none"/>
              </w:rPr>
              <w:t>由评标委员会主任在</w:t>
            </w:r>
            <w:r>
              <w:rPr>
                <w:rFonts w:hint="eastAsia" w:ascii="宋体" w:hAnsi="宋体" w:eastAsia="宋体" w:cs="Calibri"/>
                <w:sz w:val="24"/>
                <w:szCs w:val="24"/>
                <w:highlight w:val="none"/>
              </w:rPr>
              <w:t>97%、97.50%、98%、98.50%、99%、99.50%、100%、100.50%、101%九个值中随机抽取</w:t>
            </w:r>
            <w:r>
              <w:rPr>
                <w:rFonts w:hint="eastAsia" w:ascii="Calibri" w:hAnsi="Calibri" w:eastAsia="宋体" w:cs="Calibri"/>
                <w:sz w:val="24"/>
                <w:szCs w:val="24"/>
                <w:highlight w:val="none"/>
              </w:rPr>
              <w:t>K1、K2值</w:t>
            </w:r>
          </w:p>
        </w:tc>
        <w:tc>
          <w:tcPr>
            <w:tcW w:w="920" w:type="dxa"/>
            <w:vMerge w:val="restart"/>
            <w:vAlign w:val="center"/>
          </w:tcPr>
          <w:p w14:paraId="47210E3F">
            <w:pPr>
              <w:jc w:val="center"/>
              <w:rPr>
                <w:rFonts w:ascii="Calibri" w:hAnsi="Calibri" w:eastAsia="宋体" w:cs="Calibri"/>
                <w:sz w:val="24"/>
                <w:szCs w:val="24"/>
                <w:highlight w:val="none"/>
              </w:rPr>
            </w:pPr>
          </w:p>
          <w:p w14:paraId="0C2669A8">
            <w:pPr>
              <w:jc w:val="center"/>
              <w:rPr>
                <w:rFonts w:ascii="Calibri" w:hAnsi="Calibri" w:eastAsia="宋体" w:cs="Calibri"/>
                <w:sz w:val="24"/>
                <w:szCs w:val="24"/>
                <w:highlight w:val="none"/>
              </w:rPr>
            </w:pPr>
            <w:r>
              <w:rPr>
                <w:rFonts w:hint="eastAsia" w:ascii="Calibri" w:hAnsi="Calibri" w:eastAsia="宋体" w:cs="Calibri"/>
                <w:sz w:val="24"/>
                <w:szCs w:val="24"/>
                <w:highlight w:val="none"/>
              </w:rPr>
              <w:t>抽取</w:t>
            </w:r>
          </w:p>
          <w:p w14:paraId="6ECE1D6C">
            <w:pPr>
              <w:jc w:val="center"/>
              <w:rPr>
                <w:rFonts w:ascii="Calibri" w:hAnsi="Calibri" w:eastAsia="宋体" w:cs="Calibri"/>
                <w:sz w:val="24"/>
                <w:szCs w:val="24"/>
                <w:highlight w:val="none"/>
              </w:rPr>
            </w:pPr>
            <w:r>
              <w:rPr>
                <w:rFonts w:hint="eastAsia" w:ascii="Calibri" w:hAnsi="Calibri" w:eastAsia="宋体" w:cs="Calibri"/>
                <w:sz w:val="24"/>
                <w:szCs w:val="24"/>
                <w:highlight w:val="none"/>
              </w:rPr>
              <w:t>结果</w:t>
            </w:r>
          </w:p>
        </w:tc>
        <w:tc>
          <w:tcPr>
            <w:tcW w:w="1842" w:type="dxa"/>
            <w:gridSpan w:val="2"/>
            <w:vAlign w:val="center"/>
          </w:tcPr>
          <w:p w14:paraId="4F0E9BC6">
            <w:pPr>
              <w:rPr>
                <w:rFonts w:ascii="Calibri" w:hAnsi="Calibri" w:eastAsia="宋体" w:cs="Calibri"/>
                <w:sz w:val="24"/>
                <w:szCs w:val="24"/>
                <w:highlight w:val="none"/>
              </w:rPr>
            </w:pPr>
            <w:r>
              <w:rPr>
                <w:rFonts w:hint="eastAsia" w:ascii="Calibri" w:hAnsi="Calibri" w:eastAsia="宋体" w:cs="Calibri"/>
                <w:sz w:val="24"/>
                <w:szCs w:val="24"/>
                <w:highlight w:val="none"/>
              </w:rPr>
              <w:t>K1=</w:t>
            </w:r>
          </w:p>
        </w:tc>
        <w:tc>
          <w:tcPr>
            <w:tcW w:w="1992" w:type="dxa"/>
            <w:vAlign w:val="center"/>
          </w:tcPr>
          <w:p w14:paraId="6B9885A7">
            <w:pPr>
              <w:rPr>
                <w:rFonts w:ascii="Calibri" w:hAnsi="Calibri" w:eastAsia="宋体" w:cs="Calibri"/>
                <w:sz w:val="24"/>
                <w:szCs w:val="24"/>
                <w:highlight w:val="none"/>
              </w:rPr>
            </w:pPr>
          </w:p>
        </w:tc>
      </w:tr>
      <w:tr w14:paraId="4FBA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32" w:type="dxa"/>
            <w:gridSpan w:val="2"/>
            <w:vMerge w:val="continue"/>
            <w:vAlign w:val="center"/>
          </w:tcPr>
          <w:p w14:paraId="55441EE7">
            <w:pPr>
              <w:rPr>
                <w:rFonts w:ascii="Calibri" w:hAnsi="Calibri" w:eastAsia="宋体" w:cs="Calibri"/>
                <w:sz w:val="24"/>
                <w:szCs w:val="24"/>
                <w:highlight w:val="none"/>
              </w:rPr>
            </w:pPr>
          </w:p>
        </w:tc>
        <w:tc>
          <w:tcPr>
            <w:tcW w:w="920" w:type="dxa"/>
            <w:vMerge w:val="continue"/>
          </w:tcPr>
          <w:p w14:paraId="79498A64">
            <w:pPr>
              <w:rPr>
                <w:rFonts w:ascii="Calibri" w:hAnsi="Calibri" w:eastAsia="宋体" w:cs="Calibri"/>
                <w:sz w:val="24"/>
                <w:szCs w:val="24"/>
                <w:highlight w:val="none"/>
              </w:rPr>
            </w:pPr>
          </w:p>
        </w:tc>
        <w:tc>
          <w:tcPr>
            <w:tcW w:w="1842" w:type="dxa"/>
            <w:gridSpan w:val="2"/>
            <w:vAlign w:val="center"/>
          </w:tcPr>
          <w:p w14:paraId="52FD36DB">
            <w:pPr>
              <w:rPr>
                <w:rFonts w:ascii="Calibri" w:hAnsi="Calibri" w:eastAsia="宋体" w:cs="Calibri"/>
                <w:sz w:val="24"/>
                <w:szCs w:val="24"/>
                <w:highlight w:val="none"/>
              </w:rPr>
            </w:pPr>
            <w:r>
              <w:rPr>
                <w:rFonts w:hint="eastAsia" w:ascii="Calibri" w:hAnsi="Calibri" w:eastAsia="宋体" w:cs="Calibri"/>
                <w:sz w:val="24"/>
                <w:szCs w:val="24"/>
                <w:highlight w:val="none"/>
              </w:rPr>
              <w:t>K2=</w:t>
            </w:r>
          </w:p>
        </w:tc>
        <w:tc>
          <w:tcPr>
            <w:tcW w:w="1992" w:type="dxa"/>
            <w:vAlign w:val="center"/>
          </w:tcPr>
          <w:p w14:paraId="43042761">
            <w:pPr>
              <w:rPr>
                <w:rFonts w:ascii="Calibri" w:hAnsi="Calibri" w:eastAsia="宋体" w:cs="Calibri"/>
                <w:sz w:val="24"/>
                <w:szCs w:val="24"/>
                <w:highlight w:val="none"/>
              </w:rPr>
            </w:pPr>
          </w:p>
        </w:tc>
      </w:tr>
    </w:tbl>
    <w:p w14:paraId="4D8C3556">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rPr>
      </w:pPr>
    </w:p>
    <w:p w14:paraId="6DCE9F75">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 xml:space="preserve">抽取人：                        </w:t>
      </w:r>
    </w:p>
    <w:p w14:paraId="6BCE7E7E">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招标人代表：</w:t>
      </w:r>
    </w:p>
    <w:p w14:paraId="57D98F96">
      <w:pPr>
        <w:keepNext w:val="0"/>
        <w:keepLines w:val="0"/>
        <w:pageBreakBefore w:val="0"/>
        <w:kinsoku/>
        <w:wordWrap/>
        <w:overflowPunct/>
        <w:topLinePunct w:val="0"/>
        <w:autoSpaceDE/>
        <w:autoSpaceDN/>
        <w:bidi w:val="0"/>
        <w:adjustRightInd/>
        <w:snapToGrid/>
        <w:spacing w:line="52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监督人员：</w:t>
      </w:r>
    </w:p>
    <w:p w14:paraId="3DA2E780">
      <w:pPr>
        <w:spacing w:line="220" w:lineRule="atLeast"/>
        <w:jc w:val="center"/>
        <w:rPr>
          <w:rFonts w:ascii="Calibri" w:hAnsi="Calibri" w:eastAsia="宋体" w:cs="Calibri"/>
          <w:sz w:val="32"/>
          <w:szCs w:val="32"/>
          <w:highlight w:val="none"/>
        </w:rPr>
      </w:pPr>
    </w:p>
    <w:p w14:paraId="177C0097">
      <w:pPr>
        <w:rPr>
          <w:rFonts w:ascii="Calibri" w:hAnsi="Calibri" w:eastAsia="宋体" w:cs="Calibri"/>
          <w:highlight w:val="none"/>
        </w:rPr>
      </w:pPr>
      <w:r>
        <w:rPr>
          <w:rFonts w:ascii="Calibri" w:hAnsi="Calibri" w:eastAsia="宋体" w:cs="Calibri"/>
          <w:highlight w:val="none"/>
        </w:rPr>
        <w:br w:type="page"/>
      </w:r>
    </w:p>
    <w:p w14:paraId="31DD34A3">
      <w:pPr>
        <w:widowControl w:val="0"/>
        <w:autoSpaceDE w:val="0"/>
        <w:autoSpaceDN w:val="0"/>
        <w:adjustRightInd w:val="0"/>
        <w:rPr>
          <w:rFonts w:ascii="Calibri" w:hAnsi="Calibri" w:eastAsia="宋体" w:cs="Calibri"/>
          <w:color w:val="000000"/>
          <w:sz w:val="24"/>
          <w:szCs w:val="24"/>
          <w:highlight w:val="none"/>
          <w:lang w:val="en-US" w:eastAsia="zh-CN" w:bidi="ar-SA"/>
        </w:rPr>
      </w:pPr>
    </w:p>
    <w:p w14:paraId="173604A5">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附表四</w:t>
      </w:r>
    </w:p>
    <w:p w14:paraId="6C0D2B6B">
      <w:pPr>
        <w:spacing w:line="220" w:lineRule="atLeast"/>
        <w:jc w:val="center"/>
        <w:rPr>
          <w:rFonts w:ascii="Calibri" w:hAnsi="Calibri" w:eastAsia="宋体" w:cs="Calibri"/>
          <w:sz w:val="32"/>
          <w:szCs w:val="32"/>
          <w:highlight w:val="none"/>
        </w:rPr>
      </w:pPr>
      <w:r>
        <w:rPr>
          <w:rFonts w:hint="eastAsia" w:ascii="Calibri" w:hAnsi="Calibri" w:eastAsia="宋体" w:cs="Calibri"/>
          <w:sz w:val="32"/>
          <w:szCs w:val="32"/>
          <w:highlight w:val="none"/>
          <w:lang w:eastAsia="zh-CN"/>
        </w:rPr>
        <w:t>第一阶段</w:t>
      </w:r>
      <w:r>
        <w:rPr>
          <w:rFonts w:hint="eastAsia" w:ascii="Calibri" w:hAnsi="Calibri" w:eastAsia="宋体" w:cs="Calibri"/>
          <w:sz w:val="32"/>
          <w:szCs w:val="32"/>
          <w:highlight w:val="none"/>
        </w:rPr>
        <w:t>投标文件综合得分汇总表</w:t>
      </w:r>
    </w:p>
    <w:p w14:paraId="50A9A9E9">
      <w:pPr>
        <w:spacing w:line="220" w:lineRule="atLeast"/>
        <w:rPr>
          <w:rFonts w:ascii="Calibri" w:hAnsi="Calibri" w:eastAsia="宋体" w:cs="Calibri"/>
          <w:highlight w:val="none"/>
        </w:rPr>
      </w:pPr>
    </w:p>
    <w:p w14:paraId="0BB0C36E">
      <w:pPr>
        <w:spacing w:line="220" w:lineRule="atLeast"/>
        <w:rPr>
          <w:rFonts w:ascii="宋体" w:hAnsi="宋体" w:eastAsia="宋体" w:cs="宋体"/>
          <w:sz w:val="24"/>
          <w:szCs w:val="24"/>
          <w:highlight w:val="none"/>
        </w:rPr>
      </w:pPr>
      <w:r>
        <w:rPr>
          <w:rFonts w:hint="eastAsia" w:ascii="宋体" w:hAnsi="宋体" w:eastAsia="宋体" w:cs="宋体"/>
          <w:sz w:val="24"/>
          <w:szCs w:val="24"/>
          <w:highlight w:val="none"/>
        </w:rPr>
        <w:t>项目名称：</w:t>
      </w:r>
    </w:p>
    <w:tbl>
      <w:tblPr>
        <w:tblStyle w:val="49"/>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665"/>
        <w:gridCol w:w="1134"/>
        <w:gridCol w:w="1134"/>
        <w:gridCol w:w="1134"/>
        <w:gridCol w:w="1134"/>
        <w:gridCol w:w="1134"/>
      </w:tblGrid>
      <w:tr w14:paraId="5FEB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80" w:type="dxa"/>
            <w:vAlign w:val="center"/>
          </w:tcPr>
          <w:p w14:paraId="4FEE4600">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665" w:type="dxa"/>
            <w:vAlign w:val="center"/>
          </w:tcPr>
          <w:p w14:paraId="25176C32">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投标单位</w:t>
            </w:r>
          </w:p>
        </w:tc>
        <w:tc>
          <w:tcPr>
            <w:tcW w:w="1134" w:type="dxa"/>
            <w:vAlign w:val="center"/>
          </w:tcPr>
          <w:p w14:paraId="1039ED56">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商务投标文件得分</w:t>
            </w:r>
          </w:p>
        </w:tc>
        <w:tc>
          <w:tcPr>
            <w:tcW w:w="1134" w:type="dxa"/>
            <w:vAlign w:val="center"/>
          </w:tcPr>
          <w:p w14:paraId="730F6F25">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技术投标文件得分</w:t>
            </w:r>
          </w:p>
        </w:tc>
        <w:tc>
          <w:tcPr>
            <w:tcW w:w="1134" w:type="dxa"/>
            <w:vAlign w:val="center"/>
          </w:tcPr>
          <w:p w14:paraId="308A1638">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投标报价得分</w:t>
            </w:r>
          </w:p>
        </w:tc>
        <w:tc>
          <w:tcPr>
            <w:tcW w:w="1134" w:type="dxa"/>
            <w:vAlign w:val="center"/>
          </w:tcPr>
          <w:p w14:paraId="62F4999D">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总得分</w:t>
            </w:r>
          </w:p>
        </w:tc>
        <w:tc>
          <w:tcPr>
            <w:tcW w:w="1134" w:type="dxa"/>
            <w:vAlign w:val="center"/>
          </w:tcPr>
          <w:p w14:paraId="0BDF0636">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排名</w:t>
            </w:r>
          </w:p>
        </w:tc>
      </w:tr>
      <w:tr w14:paraId="681A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80" w:type="dxa"/>
            <w:vAlign w:val="center"/>
          </w:tcPr>
          <w:p w14:paraId="2D6D35FE">
            <w:pPr>
              <w:spacing w:line="22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665" w:type="dxa"/>
            <w:vAlign w:val="center"/>
          </w:tcPr>
          <w:p w14:paraId="1DD0BC39">
            <w:pPr>
              <w:spacing w:line="220" w:lineRule="atLeast"/>
              <w:jc w:val="center"/>
              <w:rPr>
                <w:rFonts w:ascii="宋体" w:hAnsi="宋体" w:eastAsia="宋体" w:cs="宋体"/>
                <w:sz w:val="24"/>
                <w:szCs w:val="24"/>
                <w:highlight w:val="none"/>
              </w:rPr>
            </w:pPr>
          </w:p>
        </w:tc>
        <w:tc>
          <w:tcPr>
            <w:tcW w:w="1134" w:type="dxa"/>
            <w:vAlign w:val="center"/>
          </w:tcPr>
          <w:p w14:paraId="6ACB9704">
            <w:pPr>
              <w:spacing w:line="220" w:lineRule="atLeast"/>
              <w:jc w:val="center"/>
              <w:rPr>
                <w:rFonts w:ascii="宋体" w:hAnsi="宋体" w:eastAsia="宋体" w:cs="宋体"/>
                <w:sz w:val="24"/>
                <w:szCs w:val="24"/>
                <w:highlight w:val="none"/>
              </w:rPr>
            </w:pPr>
          </w:p>
        </w:tc>
        <w:tc>
          <w:tcPr>
            <w:tcW w:w="1134" w:type="dxa"/>
            <w:vAlign w:val="center"/>
          </w:tcPr>
          <w:p w14:paraId="08A2123B">
            <w:pPr>
              <w:spacing w:line="220" w:lineRule="atLeast"/>
              <w:jc w:val="center"/>
              <w:rPr>
                <w:rFonts w:ascii="宋体" w:hAnsi="宋体" w:eastAsia="宋体" w:cs="宋体"/>
                <w:sz w:val="24"/>
                <w:szCs w:val="24"/>
                <w:highlight w:val="none"/>
              </w:rPr>
            </w:pPr>
          </w:p>
        </w:tc>
        <w:tc>
          <w:tcPr>
            <w:tcW w:w="1134" w:type="dxa"/>
            <w:vAlign w:val="center"/>
          </w:tcPr>
          <w:p w14:paraId="7CD80591">
            <w:pPr>
              <w:spacing w:line="220" w:lineRule="atLeast"/>
              <w:jc w:val="center"/>
              <w:rPr>
                <w:rFonts w:ascii="宋体" w:hAnsi="宋体" w:eastAsia="宋体" w:cs="宋体"/>
                <w:sz w:val="24"/>
                <w:szCs w:val="24"/>
                <w:highlight w:val="none"/>
              </w:rPr>
            </w:pPr>
          </w:p>
        </w:tc>
        <w:tc>
          <w:tcPr>
            <w:tcW w:w="1134" w:type="dxa"/>
            <w:vAlign w:val="center"/>
          </w:tcPr>
          <w:p w14:paraId="7B446330">
            <w:pPr>
              <w:spacing w:line="220" w:lineRule="atLeast"/>
              <w:jc w:val="center"/>
              <w:rPr>
                <w:rFonts w:ascii="宋体" w:hAnsi="宋体" w:eastAsia="宋体" w:cs="宋体"/>
                <w:sz w:val="24"/>
                <w:szCs w:val="24"/>
                <w:highlight w:val="none"/>
              </w:rPr>
            </w:pPr>
          </w:p>
        </w:tc>
        <w:tc>
          <w:tcPr>
            <w:tcW w:w="1134" w:type="dxa"/>
            <w:vAlign w:val="center"/>
          </w:tcPr>
          <w:p w14:paraId="5E670A63">
            <w:pPr>
              <w:spacing w:line="220" w:lineRule="atLeast"/>
              <w:jc w:val="center"/>
              <w:rPr>
                <w:rFonts w:ascii="宋体" w:hAnsi="宋体" w:eastAsia="宋体" w:cs="宋体"/>
                <w:sz w:val="24"/>
                <w:szCs w:val="24"/>
                <w:highlight w:val="none"/>
              </w:rPr>
            </w:pPr>
          </w:p>
        </w:tc>
      </w:tr>
      <w:tr w14:paraId="66D8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80" w:type="dxa"/>
            <w:vAlign w:val="center"/>
          </w:tcPr>
          <w:p w14:paraId="0FA7E51E">
            <w:pPr>
              <w:spacing w:line="22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665" w:type="dxa"/>
            <w:vAlign w:val="center"/>
          </w:tcPr>
          <w:p w14:paraId="13AB96DD">
            <w:pPr>
              <w:spacing w:line="220" w:lineRule="atLeast"/>
              <w:jc w:val="center"/>
              <w:rPr>
                <w:rFonts w:ascii="宋体" w:hAnsi="宋体" w:eastAsia="宋体" w:cs="宋体"/>
                <w:sz w:val="24"/>
                <w:szCs w:val="24"/>
                <w:highlight w:val="none"/>
              </w:rPr>
            </w:pPr>
          </w:p>
        </w:tc>
        <w:tc>
          <w:tcPr>
            <w:tcW w:w="1134" w:type="dxa"/>
            <w:vAlign w:val="center"/>
          </w:tcPr>
          <w:p w14:paraId="303F2CC6">
            <w:pPr>
              <w:spacing w:line="220" w:lineRule="atLeast"/>
              <w:jc w:val="center"/>
              <w:rPr>
                <w:rFonts w:ascii="宋体" w:hAnsi="宋体" w:eastAsia="宋体" w:cs="宋体"/>
                <w:sz w:val="24"/>
                <w:szCs w:val="24"/>
                <w:highlight w:val="none"/>
              </w:rPr>
            </w:pPr>
          </w:p>
        </w:tc>
        <w:tc>
          <w:tcPr>
            <w:tcW w:w="1134" w:type="dxa"/>
            <w:vAlign w:val="center"/>
          </w:tcPr>
          <w:p w14:paraId="346EDACA">
            <w:pPr>
              <w:spacing w:line="220" w:lineRule="atLeast"/>
              <w:jc w:val="center"/>
              <w:rPr>
                <w:rFonts w:ascii="宋体" w:hAnsi="宋体" w:eastAsia="宋体" w:cs="宋体"/>
                <w:sz w:val="24"/>
                <w:szCs w:val="24"/>
                <w:highlight w:val="none"/>
              </w:rPr>
            </w:pPr>
          </w:p>
        </w:tc>
        <w:tc>
          <w:tcPr>
            <w:tcW w:w="1134" w:type="dxa"/>
            <w:vAlign w:val="center"/>
          </w:tcPr>
          <w:p w14:paraId="3BD5C2A0">
            <w:pPr>
              <w:spacing w:line="220" w:lineRule="atLeast"/>
              <w:jc w:val="center"/>
              <w:rPr>
                <w:rFonts w:ascii="宋体" w:hAnsi="宋体" w:eastAsia="宋体" w:cs="宋体"/>
                <w:sz w:val="24"/>
                <w:szCs w:val="24"/>
                <w:highlight w:val="none"/>
              </w:rPr>
            </w:pPr>
          </w:p>
        </w:tc>
        <w:tc>
          <w:tcPr>
            <w:tcW w:w="1134" w:type="dxa"/>
            <w:vAlign w:val="center"/>
          </w:tcPr>
          <w:p w14:paraId="21306104">
            <w:pPr>
              <w:spacing w:line="220" w:lineRule="atLeast"/>
              <w:jc w:val="center"/>
              <w:rPr>
                <w:rFonts w:ascii="宋体" w:hAnsi="宋体" w:eastAsia="宋体" w:cs="宋体"/>
                <w:sz w:val="24"/>
                <w:szCs w:val="24"/>
                <w:highlight w:val="none"/>
              </w:rPr>
            </w:pPr>
          </w:p>
        </w:tc>
        <w:tc>
          <w:tcPr>
            <w:tcW w:w="1134" w:type="dxa"/>
            <w:vAlign w:val="center"/>
          </w:tcPr>
          <w:p w14:paraId="09691A96">
            <w:pPr>
              <w:spacing w:line="220" w:lineRule="atLeast"/>
              <w:jc w:val="center"/>
              <w:rPr>
                <w:rFonts w:ascii="宋体" w:hAnsi="宋体" w:eastAsia="宋体" w:cs="宋体"/>
                <w:sz w:val="24"/>
                <w:szCs w:val="24"/>
                <w:highlight w:val="none"/>
              </w:rPr>
            </w:pPr>
          </w:p>
        </w:tc>
      </w:tr>
      <w:tr w14:paraId="1D94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80" w:type="dxa"/>
            <w:vAlign w:val="center"/>
          </w:tcPr>
          <w:p w14:paraId="551B7208">
            <w:pPr>
              <w:spacing w:line="220" w:lineRule="atLeast"/>
              <w:jc w:val="center"/>
              <w:rPr>
                <w:rFonts w:ascii="宋体" w:hAnsi="宋体" w:eastAsia="宋体" w:cs="宋体"/>
                <w:sz w:val="24"/>
                <w:szCs w:val="24"/>
                <w:highlight w:val="none"/>
              </w:rPr>
            </w:pPr>
          </w:p>
        </w:tc>
        <w:tc>
          <w:tcPr>
            <w:tcW w:w="2665" w:type="dxa"/>
            <w:vAlign w:val="center"/>
          </w:tcPr>
          <w:p w14:paraId="7F1752C9">
            <w:pPr>
              <w:spacing w:line="220" w:lineRule="atLeast"/>
              <w:jc w:val="center"/>
              <w:rPr>
                <w:rFonts w:ascii="宋体" w:hAnsi="宋体" w:eastAsia="宋体" w:cs="宋体"/>
                <w:sz w:val="24"/>
                <w:szCs w:val="24"/>
                <w:highlight w:val="none"/>
              </w:rPr>
            </w:pPr>
          </w:p>
        </w:tc>
        <w:tc>
          <w:tcPr>
            <w:tcW w:w="1134" w:type="dxa"/>
            <w:vAlign w:val="center"/>
          </w:tcPr>
          <w:p w14:paraId="570D949A">
            <w:pPr>
              <w:spacing w:line="220" w:lineRule="atLeast"/>
              <w:jc w:val="center"/>
              <w:rPr>
                <w:rFonts w:ascii="宋体" w:hAnsi="宋体" w:eastAsia="宋体" w:cs="宋体"/>
                <w:sz w:val="24"/>
                <w:szCs w:val="24"/>
                <w:highlight w:val="none"/>
              </w:rPr>
            </w:pPr>
          </w:p>
        </w:tc>
        <w:tc>
          <w:tcPr>
            <w:tcW w:w="1134" w:type="dxa"/>
            <w:vAlign w:val="center"/>
          </w:tcPr>
          <w:p w14:paraId="3FE0D57F">
            <w:pPr>
              <w:spacing w:line="220" w:lineRule="atLeast"/>
              <w:jc w:val="center"/>
              <w:rPr>
                <w:rFonts w:ascii="宋体" w:hAnsi="宋体" w:eastAsia="宋体" w:cs="宋体"/>
                <w:sz w:val="24"/>
                <w:szCs w:val="24"/>
                <w:highlight w:val="none"/>
              </w:rPr>
            </w:pPr>
          </w:p>
        </w:tc>
        <w:tc>
          <w:tcPr>
            <w:tcW w:w="1134" w:type="dxa"/>
            <w:vAlign w:val="center"/>
          </w:tcPr>
          <w:p w14:paraId="3F36BF7A">
            <w:pPr>
              <w:spacing w:line="220" w:lineRule="atLeast"/>
              <w:jc w:val="center"/>
              <w:rPr>
                <w:rFonts w:ascii="宋体" w:hAnsi="宋体" w:eastAsia="宋体" w:cs="宋体"/>
                <w:sz w:val="24"/>
                <w:szCs w:val="24"/>
                <w:highlight w:val="none"/>
              </w:rPr>
            </w:pPr>
          </w:p>
        </w:tc>
        <w:tc>
          <w:tcPr>
            <w:tcW w:w="1134" w:type="dxa"/>
            <w:vAlign w:val="center"/>
          </w:tcPr>
          <w:p w14:paraId="79CD7F8C">
            <w:pPr>
              <w:spacing w:line="220" w:lineRule="atLeast"/>
              <w:jc w:val="center"/>
              <w:rPr>
                <w:rFonts w:ascii="宋体" w:hAnsi="宋体" w:eastAsia="宋体" w:cs="宋体"/>
                <w:sz w:val="24"/>
                <w:szCs w:val="24"/>
                <w:highlight w:val="none"/>
              </w:rPr>
            </w:pPr>
          </w:p>
        </w:tc>
        <w:tc>
          <w:tcPr>
            <w:tcW w:w="1134" w:type="dxa"/>
            <w:vAlign w:val="center"/>
          </w:tcPr>
          <w:p w14:paraId="5682B391">
            <w:pPr>
              <w:spacing w:line="220" w:lineRule="atLeast"/>
              <w:jc w:val="center"/>
              <w:rPr>
                <w:rFonts w:ascii="宋体" w:hAnsi="宋体" w:eastAsia="宋体" w:cs="宋体"/>
                <w:sz w:val="24"/>
                <w:szCs w:val="24"/>
                <w:highlight w:val="none"/>
              </w:rPr>
            </w:pPr>
          </w:p>
        </w:tc>
      </w:tr>
      <w:tr w14:paraId="3AFE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80" w:type="dxa"/>
            <w:vAlign w:val="center"/>
          </w:tcPr>
          <w:p w14:paraId="4E74772E">
            <w:pPr>
              <w:spacing w:line="220" w:lineRule="atLeast"/>
              <w:jc w:val="center"/>
              <w:rPr>
                <w:rFonts w:ascii="宋体" w:hAnsi="宋体" w:eastAsia="宋体" w:cs="宋体"/>
                <w:sz w:val="24"/>
                <w:szCs w:val="24"/>
                <w:highlight w:val="none"/>
              </w:rPr>
            </w:pPr>
          </w:p>
        </w:tc>
        <w:tc>
          <w:tcPr>
            <w:tcW w:w="2665" w:type="dxa"/>
            <w:vAlign w:val="center"/>
          </w:tcPr>
          <w:p w14:paraId="15040DB6">
            <w:pPr>
              <w:spacing w:line="220" w:lineRule="atLeast"/>
              <w:jc w:val="center"/>
              <w:rPr>
                <w:rFonts w:ascii="宋体" w:hAnsi="宋体" w:eastAsia="宋体" w:cs="宋体"/>
                <w:sz w:val="24"/>
                <w:szCs w:val="24"/>
                <w:highlight w:val="none"/>
              </w:rPr>
            </w:pPr>
          </w:p>
        </w:tc>
        <w:tc>
          <w:tcPr>
            <w:tcW w:w="1134" w:type="dxa"/>
            <w:vAlign w:val="center"/>
          </w:tcPr>
          <w:p w14:paraId="003EDFA3">
            <w:pPr>
              <w:spacing w:line="220" w:lineRule="atLeast"/>
              <w:jc w:val="center"/>
              <w:rPr>
                <w:rFonts w:ascii="宋体" w:hAnsi="宋体" w:eastAsia="宋体" w:cs="宋体"/>
                <w:sz w:val="24"/>
                <w:szCs w:val="24"/>
                <w:highlight w:val="none"/>
              </w:rPr>
            </w:pPr>
          </w:p>
        </w:tc>
        <w:tc>
          <w:tcPr>
            <w:tcW w:w="1134" w:type="dxa"/>
            <w:vAlign w:val="center"/>
          </w:tcPr>
          <w:p w14:paraId="7D736377">
            <w:pPr>
              <w:spacing w:line="220" w:lineRule="atLeast"/>
              <w:jc w:val="center"/>
              <w:rPr>
                <w:rFonts w:ascii="宋体" w:hAnsi="宋体" w:eastAsia="宋体" w:cs="宋体"/>
                <w:sz w:val="24"/>
                <w:szCs w:val="24"/>
                <w:highlight w:val="none"/>
              </w:rPr>
            </w:pPr>
          </w:p>
        </w:tc>
        <w:tc>
          <w:tcPr>
            <w:tcW w:w="1134" w:type="dxa"/>
            <w:vAlign w:val="center"/>
          </w:tcPr>
          <w:p w14:paraId="08043B9E">
            <w:pPr>
              <w:spacing w:line="220" w:lineRule="atLeast"/>
              <w:jc w:val="center"/>
              <w:rPr>
                <w:rFonts w:ascii="宋体" w:hAnsi="宋体" w:eastAsia="宋体" w:cs="宋体"/>
                <w:sz w:val="24"/>
                <w:szCs w:val="24"/>
                <w:highlight w:val="none"/>
              </w:rPr>
            </w:pPr>
          </w:p>
        </w:tc>
        <w:tc>
          <w:tcPr>
            <w:tcW w:w="1134" w:type="dxa"/>
            <w:vAlign w:val="center"/>
          </w:tcPr>
          <w:p w14:paraId="4D59B7E4">
            <w:pPr>
              <w:spacing w:line="220" w:lineRule="atLeast"/>
              <w:jc w:val="center"/>
              <w:rPr>
                <w:rFonts w:ascii="宋体" w:hAnsi="宋体" w:eastAsia="宋体" w:cs="宋体"/>
                <w:sz w:val="24"/>
                <w:szCs w:val="24"/>
                <w:highlight w:val="none"/>
              </w:rPr>
            </w:pPr>
          </w:p>
        </w:tc>
        <w:tc>
          <w:tcPr>
            <w:tcW w:w="1134" w:type="dxa"/>
            <w:vAlign w:val="center"/>
          </w:tcPr>
          <w:p w14:paraId="1F583CB7">
            <w:pPr>
              <w:spacing w:line="220" w:lineRule="atLeast"/>
              <w:jc w:val="center"/>
              <w:rPr>
                <w:rFonts w:ascii="宋体" w:hAnsi="宋体" w:eastAsia="宋体" w:cs="宋体"/>
                <w:sz w:val="24"/>
                <w:szCs w:val="24"/>
                <w:highlight w:val="none"/>
              </w:rPr>
            </w:pPr>
          </w:p>
        </w:tc>
      </w:tr>
      <w:tr w14:paraId="3299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80" w:type="dxa"/>
            <w:vAlign w:val="center"/>
          </w:tcPr>
          <w:p w14:paraId="7CAF743D">
            <w:pPr>
              <w:widowControl/>
              <w:ind w:left="1800" w:hanging="360"/>
              <w:jc w:val="center"/>
              <w:rPr>
                <w:rFonts w:ascii="宋体" w:hAnsi="宋体" w:eastAsia="宋体" w:cs="宋体"/>
                <w:kern w:val="0"/>
                <w:sz w:val="24"/>
                <w:szCs w:val="24"/>
                <w:highlight w:val="none"/>
                <w:lang w:val="en-US" w:eastAsia="zh-CN" w:bidi="ar-SA"/>
              </w:rPr>
            </w:pPr>
          </w:p>
        </w:tc>
        <w:tc>
          <w:tcPr>
            <w:tcW w:w="2665" w:type="dxa"/>
            <w:vAlign w:val="center"/>
          </w:tcPr>
          <w:p w14:paraId="22302E1A">
            <w:pPr>
              <w:spacing w:line="220" w:lineRule="atLeast"/>
              <w:jc w:val="center"/>
              <w:rPr>
                <w:rFonts w:ascii="宋体" w:hAnsi="宋体" w:eastAsia="宋体" w:cs="宋体"/>
                <w:sz w:val="24"/>
                <w:szCs w:val="24"/>
                <w:highlight w:val="none"/>
              </w:rPr>
            </w:pPr>
          </w:p>
        </w:tc>
        <w:tc>
          <w:tcPr>
            <w:tcW w:w="1134" w:type="dxa"/>
            <w:vAlign w:val="center"/>
          </w:tcPr>
          <w:p w14:paraId="160DD7F6">
            <w:pPr>
              <w:spacing w:line="220" w:lineRule="atLeast"/>
              <w:jc w:val="center"/>
              <w:rPr>
                <w:rFonts w:ascii="宋体" w:hAnsi="宋体" w:eastAsia="宋体" w:cs="宋体"/>
                <w:sz w:val="24"/>
                <w:szCs w:val="24"/>
                <w:highlight w:val="none"/>
              </w:rPr>
            </w:pPr>
          </w:p>
        </w:tc>
        <w:tc>
          <w:tcPr>
            <w:tcW w:w="1134" w:type="dxa"/>
            <w:vAlign w:val="center"/>
          </w:tcPr>
          <w:p w14:paraId="504EEE2B">
            <w:pPr>
              <w:spacing w:line="220" w:lineRule="atLeast"/>
              <w:jc w:val="center"/>
              <w:rPr>
                <w:rFonts w:ascii="宋体" w:hAnsi="宋体" w:eastAsia="宋体" w:cs="宋体"/>
                <w:sz w:val="24"/>
                <w:szCs w:val="24"/>
                <w:highlight w:val="none"/>
              </w:rPr>
            </w:pPr>
          </w:p>
        </w:tc>
        <w:tc>
          <w:tcPr>
            <w:tcW w:w="1134" w:type="dxa"/>
            <w:vAlign w:val="center"/>
          </w:tcPr>
          <w:p w14:paraId="5A620B55">
            <w:pPr>
              <w:spacing w:line="220" w:lineRule="atLeast"/>
              <w:jc w:val="center"/>
              <w:rPr>
                <w:rFonts w:ascii="宋体" w:hAnsi="宋体" w:eastAsia="宋体" w:cs="宋体"/>
                <w:sz w:val="24"/>
                <w:szCs w:val="24"/>
                <w:highlight w:val="none"/>
              </w:rPr>
            </w:pPr>
          </w:p>
        </w:tc>
        <w:tc>
          <w:tcPr>
            <w:tcW w:w="1134" w:type="dxa"/>
            <w:vAlign w:val="center"/>
          </w:tcPr>
          <w:p w14:paraId="3348DAC4">
            <w:pPr>
              <w:spacing w:line="220" w:lineRule="atLeast"/>
              <w:jc w:val="center"/>
              <w:rPr>
                <w:rFonts w:ascii="宋体" w:hAnsi="宋体" w:eastAsia="宋体" w:cs="宋体"/>
                <w:sz w:val="24"/>
                <w:szCs w:val="24"/>
                <w:highlight w:val="none"/>
              </w:rPr>
            </w:pPr>
          </w:p>
        </w:tc>
        <w:tc>
          <w:tcPr>
            <w:tcW w:w="1134" w:type="dxa"/>
            <w:vAlign w:val="center"/>
          </w:tcPr>
          <w:p w14:paraId="73B285AA">
            <w:pPr>
              <w:spacing w:line="220" w:lineRule="atLeast"/>
              <w:jc w:val="center"/>
              <w:rPr>
                <w:rFonts w:ascii="宋体" w:hAnsi="宋体" w:eastAsia="宋体" w:cs="宋体"/>
                <w:sz w:val="24"/>
                <w:szCs w:val="24"/>
                <w:highlight w:val="none"/>
              </w:rPr>
            </w:pPr>
          </w:p>
        </w:tc>
      </w:tr>
    </w:tbl>
    <w:p w14:paraId="7D28E0E7">
      <w:pPr>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highlight w:val="none"/>
        </w:rPr>
      </w:pPr>
    </w:p>
    <w:p w14:paraId="45DD51F8">
      <w:pPr>
        <w:keepNext w:val="0"/>
        <w:keepLines w:val="0"/>
        <w:pageBreakBefore w:val="0"/>
        <w:kinsoku/>
        <w:wordWrap/>
        <w:overflowPunct/>
        <w:topLinePunct w:val="0"/>
        <w:autoSpaceDE/>
        <w:autoSpaceDN/>
        <w:bidi w:val="0"/>
        <w:adjustRightInd/>
        <w:snapToGrid/>
        <w:spacing w:line="52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评委签名：</w:t>
      </w:r>
    </w:p>
    <w:p w14:paraId="66AA8FCF">
      <w:pPr>
        <w:keepNext w:val="0"/>
        <w:keepLines w:val="0"/>
        <w:pageBreakBefore w:val="0"/>
        <w:kinsoku/>
        <w:wordWrap/>
        <w:overflowPunct/>
        <w:topLinePunct w:val="0"/>
        <w:autoSpaceDE/>
        <w:autoSpaceDN/>
        <w:bidi w:val="0"/>
        <w:adjustRightInd/>
        <w:snapToGrid/>
        <w:spacing w:line="520" w:lineRule="exact"/>
        <w:ind w:left="0" w:firstLine="0"/>
        <w:textAlignment w:val="auto"/>
        <w:rPr>
          <w:rFonts w:hint="eastAsia" w:hAnsi="宋体" w:cs="宋体"/>
          <w:szCs w:val="24"/>
          <w:highlight w:val="none"/>
        </w:rPr>
        <w:sectPr>
          <w:footerReference r:id="rId11" w:type="first"/>
          <w:footerReference r:id="rId10" w:type="default"/>
          <w:pgSz w:w="11906" w:h="16838"/>
          <w:pgMar w:top="1418" w:right="1555" w:bottom="1418" w:left="1531" w:header="851" w:footer="992" w:gutter="0"/>
          <w:pgNumType w:start="33"/>
          <w:cols w:space="720" w:num="1"/>
          <w:titlePg/>
          <w:docGrid w:type="lines" w:linePitch="312" w:charSpace="0"/>
        </w:sectPr>
      </w:pPr>
      <w:r>
        <w:rPr>
          <w:rFonts w:hint="eastAsia" w:ascii="宋体" w:hAnsi="宋体" w:eastAsia="宋体" w:cs="宋体"/>
          <w:kern w:val="0"/>
          <w:sz w:val="24"/>
          <w:szCs w:val="24"/>
          <w:highlight w:val="none"/>
          <w:lang w:val="en-US" w:eastAsia="zh-CN" w:bidi="ar-SA"/>
        </w:rPr>
        <w:t>日期：   年   月</w:t>
      </w:r>
    </w:p>
    <w:p w14:paraId="446ED489">
      <w:pPr>
        <w:widowControl/>
        <w:ind w:left="0" w:leftChars="0" w:firstLine="0" w:firstLineChars="0"/>
        <w:jc w:val="left"/>
        <w:rPr>
          <w:rFonts w:ascii="宋体" w:hAnsi="Courier New" w:eastAsia="宋体" w:cs="Calibri"/>
          <w:kern w:val="0"/>
          <w:sz w:val="24"/>
          <w:highlight w:val="none"/>
          <w:lang w:val="en-US" w:eastAsia="zh-CN" w:bidi="ar-SA"/>
        </w:rPr>
      </w:pPr>
    </w:p>
    <w:p w14:paraId="7C147805">
      <w:pPr>
        <w:spacing w:line="220" w:lineRule="atLeast"/>
        <w:rPr>
          <w:rFonts w:ascii="Calibri" w:hAnsi="Calibri" w:eastAsia="宋体" w:cs="Calibri"/>
          <w:sz w:val="24"/>
          <w:szCs w:val="24"/>
          <w:highlight w:val="none"/>
        </w:rPr>
      </w:pPr>
      <w:r>
        <w:rPr>
          <w:rFonts w:hint="eastAsia" w:ascii="Calibri" w:hAnsi="Calibri" w:eastAsia="宋体" w:cs="Calibri"/>
          <w:sz w:val="24"/>
          <w:szCs w:val="24"/>
          <w:highlight w:val="none"/>
        </w:rPr>
        <w:t>附表五</w:t>
      </w:r>
    </w:p>
    <w:p w14:paraId="0C32F4E5">
      <w:pPr>
        <w:spacing w:line="220" w:lineRule="atLeast"/>
        <w:jc w:val="center"/>
        <w:rPr>
          <w:rFonts w:ascii="Calibri" w:hAnsi="Calibri" w:eastAsia="宋体" w:cs="Calibri"/>
          <w:highlight w:val="none"/>
        </w:rPr>
      </w:pPr>
      <w:r>
        <w:rPr>
          <w:rFonts w:hint="eastAsia" w:ascii="Calibri" w:hAnsi="Calibri" w:eastAsia="宋体" w:cs="Calibri"/>
          <w:sz w:val="32"/>
          <w:szCs w:val="32"/>
          <w:highlight w:val="none"/>
        </w:rPr>
        <w:t>第二阶段最终得分排序表</w:t>
      </w:r>
    </w:p>
    <w:p w14:paraId="35DE7F6E">
      <w:pPr>
        <w:spacing w:line="220" w:lineRule="atLeast"/>
        <w:rPr>
          <w:rFonts w:ascii="宋体" w:hAnsi="宋体" w:eastAsia="宋体" w:cs="宋体"/>
          <w:sz w:val="24"/>
          <w:szCs w:val="24"/>
          <w:highlight w:val="none"/>
        </w:rPr>
      </w:pPr>
      <w:r>
        <w:rPr>
          <w:rFonts w:hint="eastAsia" w:ascii="宋体" w:hAnsi="宋体" w:eastAsia="宋体" w:cs="宋体"/>
          <w:sz w:val="24"/>
          <w:szCs w:val="24"/>
          <w:highlight w:val="none"/>
        </w:rPr>
        <w:t>项目名称：</w:t>
      </w:r>
    </w:p>
    <w:tbl>
      <w:tblPr>
        <w:tblStyle w:val="49"/>
        <w:tblW w:w="14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098"/>
        <w:gridCol w:w="1871"/>
        <w:gridCol w:w="1871"/>
        <w:gridCol w:w="1871"/>
        <w:gridCol w:w="1871"/>
        <w:gridCol w:w="1871"/>
        <w:gridCol w:w="1871"/>
      </w:tblGrid>
      <w:tr w14:paraId="2500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7CFE1E6B">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098" w:type="dxa"/>
            <w:vAlign w:val="center"/>
          </w:tcPr>
          <w:p w14:paraId="3F20B818">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投标人名称</w:t>
            </w:r>
          </w:p>
        </w:tc>
        <w:tc>
          <w:tcPr>
            <w:tcW w:w="1871" w:type="dxa"/>
          </w:tcPr>
          <w:p w14:paraId="26E4C934">
            <w:pPr>
              <w:adjustRightInd w:val="0"/>
              <w:snapToGrid w:val="0"/>
              <w:jc w:val="center"/>
              <w:rPr>
                <w:rFonts w:ascii="宋体" w:hAnsi="宋体" w:eastAsia="宋体" w:cs="宋体"/>
                <w:sz w:val="24"/>
                <w:szCs w:val="24"/>
                <w:highlight w:val="none"/>
              </w:rPr>
            </w:pPr>
          </w:p>
        </w:tc>
        <w:tc>
          <w:tcPr>
            <w:tcW w:w="1871" w:type="dxa"/>
          </w:tcPr>
          <w:p w14:paraId="13C9749E">
            <w:pPr>
              <w:adjustRightInd w:val="0"/>
              <w:snapToGrid w:val="0"/>
              <w:jc w:val="center"/>
              <w:rPr>
                <w:rFonts w:ascii="宋体" w:hAnsi="宋体" w:eastAsia="宋体" w:cs="宋体"/>
                <w:sz w:val="24"/>
                <w:szCs w:val="24"/>
                <w:highlight w:val="none"/>
              </w:rPr>
            </w:pPr>
          </w:p>
        </w:tc>
        <w:tc>
          <w:tcPr>
            <w:tcW w:w="1871" w:type="dxa"/>
          </w:tcPr>
          <w:p w14:paraId="602A8DFB">
            <w:pPr>
              <w:adjustRightInd w:val="0"/>
              <w:snapToGrid w:val="0"/>
              <w:jc w:val="center"/>
              <w:rPr>
                <w:rFonts w:ascii="宋体" w:hAnsi="宋体" w:eastAsia="宋体" w:cs="宋体"/>
                <w:sz w:val="24"/>
                <w:szCs w:val="24"/>
                <w:highlight w:val="none"/>
              </w:rPr>
            </w:pPr>
          </w:p>
        </w:tc>
        <w:tc>
          <w:tcPr>
            <w:tcW w:w="1871" w:type="dxa"/>
          </w:tcPr>
          <w:p w14:paraId="3B44806C">
            <w:pPr>
              <w:adjustRightInd w:val="0"/>
              <w:snapToGrid w:val="0"/>
              <w:jc w:val="center"/>
              <w:rPr>
                <w:rFonts w:ascii="宋体" w:hAnsi="宋体" w:eastAsia="宋体" w:cs="宋体"/>
                <w:sz w:val="24"/>
                <w:szCs w:val="24"/>
                <w:highlight w:val="none"/>
              </w:rPr>
            </w:pPr>
          </w:p>
        </w:tc>
        <w:tc>
          <w:tcPr>
            <w:tcW w:w="1871" w:type="dxa"/>
          </w:tcPr>
          <w:p w14:paraId="714DD892">
            <w:pPr>
              <w:adjustRightInd w:val="0"/>
              <w:snapToGrid w:val="0"/>
              <w:jc w:val="center"/>
              <w:rPr>
                <w:rFonts w:ascii="宋体" w:hAnsi="宋体" w:eastAsia="宋体" w:cs="宋体"/>
                <w:sz w:val="24"/>
                <w:szCs w:val="24"/>
                <w:highlight w:val="none"/>
              </w:rPr>
            </w:pPr>
          </w:p>
        </w:tc>
        <w:tc>
          <w:tcPr>
            <w:tcW w:w="1871" w:type="dxa"/>
          </w:tcPr>
          <w:p w14:paraId="5F7B2902">
            <w:pPr>
              <w:adjustRightInd w:val="0"/>
              <w:snapToGrid w:val="0"/>
              <w:jc w:val="center"/>
              <w:rPr>
                <w:rFonts w:ascii="宋体" w:hAnsi="宋体" w:eastAsia="宋体" w:cs="宋体"/>
                <w:sz w:val="24"/>
                <w:szCs w:val="24"/>
                <w:highlight w:val="none"/>
              </w:rPr>
            </w:pPr>
          </w:p>
        </w:tc>
      </w:tr>
      <w:tr w14:paraId="3878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54626DF2">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098" w:type="dxa"/>
            <w:vAlign w:val="center"/>
          </w:tcPr>
          <w:p w14:paraId="70545C0E">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投标报价下浮率</w:t>
            </w:r>
          </w:p>
        </w:tc>
        <w:tc>
          <w:tcPr>
            <w:tcW w:w="1871" w:type="dxa"/>
          </w:tcPr>
          <w:p w14:paraId="55FC0CE4">
            <w:pPr>
              <w:adjustRightInd w:val="0"/>
              <w:snapToGrid w:val="0"/>
              <w:jc w:val="center"/>
              <w:rPr>
                <w:rFonts w:ascii="宋体" w:hAnsi="宋体" w:eastAsia="宋体" w:cs="宋体"/>
                <w:sz w:val="24"/>
                <w:szCs w:val="24"/>
                <w:highlight w:val="none"/>
              </w:rPr>
            </w:pPr>
          </w:p>
        </w:tc>
        <w:tc>
          <w:tcPr>
            <w:tcW w:w="1871" w:type="dxa"/>
          </w:tcPr>
          <w:p w14:paraId="1C0553A4">
            <w:pPr>
              <w:adjustRightInd w:val="0"/>
              <w:snapToGrid w:val="0"/>
              <w:jc w:val="center"/>
              <w:rPr>
                <w:rFonts w:ascii="宋体" w:hAnsi="宋体" w:eastAsia="宋体" w:cs="宋体"/>
                <w:sz w:val="24"/>
                <w:szCs w:val="24"/>
                <w:highlight w:val="none"/>
              </w:rPr>
            </w:pPr>
          </w:p>
        </w:tc>
        <w:tc>
          <w:tcPr>
            <w:tcW w:w="1871" w:type="dxa"/>
          </w:tcPr>
          <w:p w14:paraId="18A7DB8A">
            <w:pPr>
              <w:adjustRightInd w:val="0"/>
              <w:snapToGrid w:val="0"/>
              <w:jc w:val="center"/>
              <w:rPr>
                <w:rFonts w:ascii="宋体" w:hAnsi="宋体" w:eastAsia="宋体" w:cs="宋体"/>
                <w:sz w:val="24"/>
                <w:szCs w:val="24"/>
                <w:highlight w:val="none"/>
              </w:rPr>
            </w:pPr>
          </w:p>
        </w:tc>
        <w:tc>
          <w:tcPr>
            <w:tcW w:w="1871" w:type="dxa"/>
          </w:tcPr>
          <w:p w14:paraId="21A89592">
            <w:pPr>
              <w:adjustRightInd w:val="0"/>
              <w:snapToGrid w:val="0"/>
              <w:jc w:val="center"/>
              <w:rPr>
                <w:rFonts w:ascii="宋体" w:hAnsi="宋体" w:eastAsia="宋体" w:cs="宋体"/>
                <w:sz w:val="24"/>
                <w:szCs w:val="24"/>
                <w:highlight w:val="none"/>
              </w:rPr>
            </w:pPr>
          </w:p>
        </w:tc>
        <w:tc>
          <w:tcPr>
            <w:tcW w:w="1871" w:type="dxa"/>
          </w:tcPr>
          <w:p w14:paraId="12C8B73F">
            <w:pPr>
              <w:adjustRightInd w:val="0"/>
              <w:snapToGrid w:val="0"/>
              <w:jc w:val="center"/>
              <w:rPr>
                <w:rFonts w:ascii="宋体" w:hAnsi="宋体" w:eastAsia="宋体" w:cs="宋体"/>
                <w:sz w:val="24"/>
                <w:szCs w:val="24"/>
                <w:highlight w:val="none"/>
              </w:rPr>
            </w:pPr>
          </w:p>
        </w:tc>
        <w:tc>
          <w:tcPr>
            <w:tcW w:w="1871" w:type="dxa"/>
          </w:tcPr>
          <w:p w14:paraId="4A1801EE">
            <w:pPr>
              <w:adjustRightInd w:val="0"/>
              <w:snapToGrid w:val="0"/>
              <w:jc w:val="center"/>
              <w:rPr>
                <w:rFonts w:ascii="宋体" w:hAnsi="宋体" w:eastAsia="宋体" w:cs="宋体"/>
                <w:sz w:val="24"/>
                <w:szCs w:val="24"/>
                <w:highlight w:val="none"/>
              </w:rPr>
            </w:pPr>
          </w:p>
        </w:tc>
      </w:tr>
      <w:tr w14:paraId="485D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280DF2AE">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098" w:type="dxa"/>
            <w:vAlign w:val="center"/>
          </w:tcPr>
          <w:p w14:paraId="52BF6AEB">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投标报价金额（元）</w:t>
            </w:r>
          </w:p>
        </w:tc>
        <w:tc>
          <w:tcPr>
            <w:tcW w:w="1871" w:type="dxa"/>
          </w:tcPr>
          <w:p w14:paraId="6FCA6D8E">
            <w:pPr>
              <w:adjustRightInd w:val="0"/>
              <w:snapToGrid w:val="0"/>
              <w:jc w:val="center"/>
              <w:rPr>
                <w:rFonts w:ascii="宋体" w:hAnsi="宋体" w:eastAsia="宋体" w:cs="宋体"/>
                <w:sz w:val="24"/>
                <w:szCs w:val="24"/>
                <w:highlight w:val="none"/>
              </w:rPr>
            </w:pPr>
          </w:p>
        </w:tc>
        <w:tc>
          <w:tcPr>
            <w:tcW w:w="1871" w:type="dxa"/>
          </w:tcPr>
          <w:p w14:paraId="1E0F5771">
            <w:pPr>
              <w:adjustRightInd w:val="0"/>
              <w:snapToGrid w:val="0"/>
              <w:jc w:val="center"/>
              <w:rPr>
                <w:rFonts w:ascii="宋体" w:hAnsi="宋体" w:eastAsia="宋体" w:cs="宋体"/>
                <w:sz w:val="24"/>
                <w:szCs w:val="24"/>
                <w:highlight w:val="none"/>
              </w:rPr>
            </w:pPr>
          </w:p>
        </w:tc>
        <w:tc>
          <w:tcPr>
            <w:tcW w:w="1871" w:type="dxa"/>
          </w:tcPr>
          <w:p w14:paraId="591B2A2D">
            <w:pPr>
              <w:adjustRightInd w:val="0"/>
              <w:snapToGrid w:val="0"/>
              <w:jc w:val="center"/>
              <w:rPr>
                <w:rFonts w:ascii="宋体" w:hAnsi="宋体" w:eastAsia="宋体" w:cs="宋体"/>
                <w:sz w:val="24"/>
                <w:szCs w:val="24"/>
                <w:highlight w:val="none"/>
              </w:rPr>
            </w:pPr>
          </w:p>
        </w:tc>
        <w:tc>
          <w:tcPr>
            <w:tcW w:w="1871" w:type="dxa"/>
          </w:tcPr>
          <w:p w14:paraId="4F2A3BA5">
            <w:pPr>
              <w:adjustRightInd w:val="0"/>
              <w:snapToGrid w:val="0"/>
              <w:jc w:val="center"/>
              <w:rPr>
                <w:rFonts w:ascii="宋体" w:hAnsi="宋体" w:eastAsia="宋体" w:cs="宋体"/>
                <w:sz w:val="24"/>
                <w:szCs w:val="24"/>
                <w:highlight w:val="none"/>
              </w:rPr>
            </w:pPr>
          </w:p>
        </w:tc>
        <w:tc>
          <w:tcPr>
            <w:tcW w:w="1871" w:type="dxa"/>
          </w:tcPr>
          <w:p w14:paraId="0DFCB88F">
            <w:pPr>
              <w:adjustRightInd w:val="0"/>
              <w:snapToGrid w:val="0"/>
              <w:jc w:val="center"/>
              <w:rPr>
                <w:rFonts w:ascii="宋体" w:hAnsi="宋体" w:eastAsia="宋体" w:cs="宋体"/>
                <w:sz w:val="24"/>
                <w:szCs w:val="24"/>
                <w:highlight w:val="none"/>
              </w:rPr>
            </w:pPr>
          </w:p>
        </w:tc>
        <w:tc>
          <w:tcPr>
            <w:tcW w:w="1871" w:type="dxa"/>
          </w:tcPr>
          <w:p w14:paraId="30361474">
            <w:pPr>
              <w:adjustRightInd w:val="0"/>
              <w:snapToGrid w:val="0"/>
              <w:jc w:val="center"/>
              <w:rPr>
                <w:rFonts w:ascii="宋体" w:hAnsi="宋体" w:eastAsia="宋体" w:cs="宋体"/>
                <w:sz w:val="24"/>
                <w:szCs w:val="24"/>
                <w:highlight w:val="none"/>
              </w:rPr>
            </w:pPr>
          </w:p>
        </w:tc>
      </w:tr>
      <w:tr w14:paraId="7534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45F74AE8">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098" w:type="dxa"/>
            <w:vAlign w:val="center"/>
          </w:tcPr>
          <w:p w14:paraId="2341D796">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随机抽取下浮率</w:t>
            </w:r>
          </w:p>
        </w:tc>
        <w:tc>
          <w:tcPr>
            <w:tcW w:w="1871" w:type="dxa"/>
          </w:tcPr>
          <w:p w14:paraId="75BC49A0">
            <w:pPr>
              <w:adjustRightInd w:val="0"/>
              <w:snapToGrid w:val="0"/>
              <w:jc w:val="center"/>
              <w:rPr>
                <w:rFonts w:ascii="宋体" w:hAnsi="宋体" w:eastAsia="宋体" w:cs="宋体"/>
                <w:sz w:val="24"/>
                <w:szCs w:val="24"/>
                <w:highlight w:val="none"/>
              </w:rPr>
            </w:pPr>
          </w:p>
        </w:tc>
        <w:tc>
          <w:tcPr>
            <w:tcW w:w="1871" w:type="dxa"/>
          </w:tcPr>
          <w:p w14:paraId="08134504">
            <w:pPr>
              <w:adjustRightInd w:val="0"/>
              <w:snapToGrid w:val="0"/>
              <w:jc w:val="center"/>
              <w:rPr>
                <w:rFonts w:ascii="宋体" w:hAnsi="宋体" w:eastAsia="宋体" w:cs="宋体"/>
                <w:sz w:val="24"/>
                <w:szCs w:val="24"/>
                <w:highlight w:val="none"/>
              </w:rPr>
            </w:pPr>
          </w:p>
        </w:tc>
        <w:tc>
          <w:tcPr>
            <w:tcW w:w="1871" w:type="dxa"/>
          </w:tcPr>
          <w:p w14:paraId="07D1D8E3">
            <w:pPr>
              <w:adjustRightInd w:val="0"/>
              <w:snapToGrid w:val="0"/>
              <w:jc w:val="center"/>
              <w:rPr>
                <w:rFonts w:ascii="宋体" w:hAnsi="宋体" w:eastAsia="宋体" w:cs="宋体"/>
                <w:sz w:val="24"/>
                <w:szCs w:val="24"/>
                <w:highlight w:val="none"/>
              </w:rPr>
            </w:pPr>
          </w:p>
        </w:tc>
        <w:tc>
          <w:tcPr>
            <w:tcW w:w="1871" w:type="dxa"/>
          </w:tcPr>
          <w:p w14:paraId="1943562F">
            <w:pPr>
              <w:adjustRightInd w:val="0"/>
              <w:snapToGrid w:val="0"/>
              <w:jc w:val="center"/>
              <w:rPr>
                <w:rFonts w:ascii="宋体" w:hAnsi="宋体" w:eastAsia="宋体" w:cs="宋体"/>
                <w:sz w:val="24"/>
                <w:szCs w:val="24"/>
                <w:highlight w:val="none"/>
              </w:rPr>
            </w:pPr>
          </w:p>
        </w:tc>
        <w:tc>
          <w:tcPr>
            <w:tcW w:w="1871" w:type="dxa"/>
          </w:tcPr>
          <w:p w14:paraId="6DE4F082">
            <w:pPr>
              <w:adjustRightInd w:val="0"/>
              <w:snapToGrid w:val="0"/>
              <w:jc w:val="center"/>
              <w:rPr>
                <w:rFonts w:ascii="宋体" w:hAnsi="宋体" w:eastAsia="宋体" w:cs="宋体"/>
                <w:sz w:val="24"/>
                <w:szCs w:val="24"/>
                <w:highlight w:val="none"/>
              </w:rPr>
            </w:pPr>
          </w:p>
        </w:tc>
        <w:tc>
          <w:tcPr>
            <w:tcW w:w="1871" w:type="dxa"/>
          </w:tcPr>
          <w:p w14:paraId="262F7B22">
            <w:pPr>
              <w:adjustRightInd w:val="0"/>
              <w:snapToGrid w:val="0"/>
              <w:jc w:val="center"/>
              <w:rPr>
                <w:rFonts w:ascii="宋体" w:hAnsi="宋体" w:eastAsia="宋体" w:cs="宋体"/>
                <w:sz w:val="24"/>
                <w:szCs w:val="24"/>
                <w:highlight w:val="none"/>
              </w:rPr>
            </w:pPr>
          </w:p>
        </w:tc>
      </w:tr>
      <w:tr w14:paraId="1BA1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14C07A19">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2098" w:type="dxa"/>
            <w:vAlign w:val="center"/>
          </w:tcPr>
          <w:p w14:paraId="46476F1E">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评标基准价</w:t>
            </w:r>
          </w:p>
        </w:tc>
        <w:tc>
          <w:tcPr>
            <w:tcW w:w="1871" w:type="dxa"/>
          </w:tcPr>
          <w:p w14:paraId="1E9DC6C7">
            <w:pPr>
              <w:adjustRightInd w:val="0"/>
              <w:snapToGrid w:val="0"/>
              <w:jc w:val="center"/>
              <w:rPr>
                <w:rFonts w:ascii="宋体" w:hAnsi="宋体" w:eastAsia="宋体" w:cs="宋体"/>
                <w:sz w:val="24"/>
                <w:szCs w:val="24"/>
                <w:highlight w:val="none"/>
              </w:rPr>
            </w:pPr>
          </w:p>
        </w:tc>
        <w:tc>
          <w:tcPr>
            <w:tcW w:w="1871" w:type="dxa"/>
          </w:tcPr>
          <w:p w14:paraId="303E291F">
            <w:pPr>
              <w:adjustRightInd w:val="0"/>
              <w:snapToGrid w:val="0"/>
              <w:jc w:val="center"/>
              <w:rPr>
                <w:rFonts w:ascii="宋体" w:hAnsi="宋体" w:eastAsia="宋体" w:cs="宋体"/>
                <w:sz w:val="24"/>
                <w:szCs w:val="24"/>
                <w:highlight w:val="none"/>
              </w:rPr>
            </w:pPr>
          </w:p>
        </w:tc>
        <w:tc>
          <w:tcPr>
            <w:tcW w:w="1871" w:type="dxa"/>
          </w:tcPr>
          <w:p w14:paraId="78F0BBEB">
            <w:pPr>
              <w:adjustRightInd w:val="0"/>
              <w:snapToGrid w:val="0"/>
              <w:jc w:val="center"/>
              <w:rPr>
                <w:rFonts w:ascii="宋体" w:hAnsi="宋体" w:eastAsia="宋体" w:cs="宋体"/>
                <w:sz w:val="24"/>
                <w:szCs w:val="24"/>
                <w:highlight w:val="none"/>
              </w:rPr>
            </w:pPr>
          </w:p>
        </w:tc>
        <w:tc>
          <w:tcPr>
            <w:tcW w:w="1871" w:type="dxa"/>
          </w:tcPr>
          <w:p w14:paraId="3E066C32">
            <w:pPr>
              <w:adjustRightInd w:val="0"/>
              <w:snapToGrid w:val="0"/>
              <w:jc w:val="center"/>
              <w:rPr>
                <w:rFonts w:ascii="宋体" w:hAnsi="宋体" w:eastAsia="宋体" w:cs="宋体"/>
                <w:sz w:val="24"/>
                <w:szCs w:val="24"/>
                <w:highlight w:val="none"/>
              </w:rPr>
            </w:pPr>
          </w:p>
        </w:tc>
        <w:tc>
          <w:tcPr>
            <w:tcW w:w="1871" w:type="dxa"/>
          </w:tcPr>
          <w:p w14:paraId="7BAC4319">
            <w:pPr>
              <w:adjustRightInd w:val="0"/>
              <w:snapToGrid w:val="0"/>
              <w:jc w:val="center"/>
              <w:rPr>
                <w:rFonts w:ascii="宋体" w:hAnsi="宋体" w:eastAsia="宋体" w:cs="宋体"/>
                <w:sz w:val="24"/>
                <w:szCs w:val="24"/>
                <w:highlight w:val="none"/>
              </w:rPr>
            </w:pPr>
          </w:p>
        </w:tc>
        <w:tc>
          <w:tcPr>
            <w:tcW w:w="1871" w:type="dxa"/>
          </w:tcPr>
          <w:p w14:paraId="4DB224AE">
            <w:pPr>
              <w:adjustRightInd w:val="0"/>
              <w:snapToGrid w:val="0"/>
              <w:jc w:val="center"/>
              <w:rPr>
                <w:rFonts w:ascii="宋体" w:hAnsi="宋体" w:eastAsia="宋体" w:cs="宋体"/>
                <w:sz w:val="24"/>
                <w:szCs w:val="24"/>
                <w:highlight w:val="none"/>
              </w:rPr>
            </w:pPr>
          </w:p>
        </w:tc>
      </w:tr>
      <w:tr w14:paraId="67DB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15D3DD72">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5</w:t>
            </w:r>
          </w:p>
        </w:tc>
        <w:tc>
          <w:tcPr>
            <w:tcW w:w="2098" w:type="dxa"/>
            <w:vAlign w:val="center"/>
          </w:tcPr>
          <w:p w14:paraId="3E5F829D">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偏差：投标报价— —评标基准价</w:t>
            </w:r>
          </w:p>
        </w:tc>
        <w:tc>
          <w:tcPr>
            <w:tcW w:w="1871" w:type="dxa"/>
          </w:tcPr>
          <w:p w14:paraId="7F55DC34">
            <w:pPr>
              <w:adjustRightInd w:val="0"/>
              <w:snapToGrid w:val="0"/>
              <w:jc w:val="center"/>
              <w:rPr>
                <w:rFonts w:ascii="宋体" w:hAnsi="宋体" w:eastAsia="宋体" w:cs="宋体"/>
                <w:sz w:val="24"/>
                <w:szCs w:val="24"/>
                <w:highlight w:val="none"/>
              </w:rPr>
            </w:pPr>
          </w:p>
        </w:tc>
        <w:tc>
          <w:tcPr>
            <w:tcW w:w="1871" w:type="dxa"/>
          </w:tcPr>
          <w:p w14:paraId="45130066">
            <w:pPr>
              <w:adjustRightInd w:val="0"/>
              <w:snapToGrid w:val="0"/>
              <w:jc w:val="center"/>
              <w:rPr>
                <w:rFonts w:ascii="宋体" w:hAnsi="宋体" w:eastAsia="宋体" w:cs="宋体"/>
                <w:sz w:val="24"/>
                <w:szCs w:val="24"/>
                <w:highlight w:val="none"/>
              </w:rPr>
            </w:pPr>
          </w:p>
        </w:tc>
        <w:tc>
          <w:tcPr>
            <w:tcW w:w="1871" w:type="dxa"/>
          </w:tcPr>
          <w:p w14:paraId="0B8860C2">
            <w:pPr>
              <w:adjustRightInd w:val="0"/>
              <w:snapToGrid w:val="0"/>
              <w:jc w:val="center"/>
              <w:rPr>
                <w:rFonts w:ascii="宋体" w:hAnsi="宋体" w:eastAsia="宋体" w:cs="宋体"/>
                <w:sz w:val="24"/>
                <w:szCs w:val="24"/>
                <w:highlight w:val="none"/>
              </w:rPr>
            </w:pPr>
          </w:p>
        </w:tc>
        <w:tc>
          <w:tcPr>
            <w:tcW w:w="1871" w:type="dxa"/>
          </w:tcPr>
          <w:p w14:paraId="4933F583">
            <w:pPr>
              <w:adjustRightInd w:val="0"/>
              <w:snapToGrid w:val="0"/>
              <w:jc w:val="center"/>
              <w:rPr>
                <w:rFonts w:ascii="宋体" w:hAnsi="宋体" w:eastAsia="宋体" w:cs="宋体"/>
                <w:sz w:val="24"/>
                <w:szCs w:val="24"/>
                <w:highlight w:val="none"/>
              </w:rPr>
            </w:pPr>
          </w:p>
        </w:tc>
        <w:tc>
          <w:tcPr>
            <w:tcW w:w="1871" w:type="dxa"/>
          </w:tcPr>
          <w:p w14:paraId="6337DB8E">
            <w:pPr>
              <w:adjustRightInd w:val="0"/>
              <w:snapToGrid w:val="0"/>
              <w:jc w:val="center"/>
              <w:rPr>
                <w:rFonts w:ascii="宋体" w:hAnsi="宋体" w:eastAsia="宋体" w:cs="宋体"/>
                <w:sz w:val="24"/>
                <w:szCs w:val="24"/>
                <w:highlight w:val="none"/>
              </w:rPr>
            </w:pPr>
          </w:p>
        </w:tc>
        <w:tc>
          <w:tcPr>
            <w:tcW w:w="1871" w:type="dxa"/>
          </w:tcPr>
          <w:p w14:paraId="06643417">
            <w:pPr>
              <w:adjustRightInd w:val="0"/>
              <w:snapToGrid w:val="0"/>
              <w:jc w:val="center"/>
              <w:rPr>
                <w:rFonts w:ascii="宋体" w:hAnsi="宋体" w:eastAsia="宋体" w:cs="宋体"/>
                <w:sz w:val="24"/>
                <w:szCs w:val="24"/>
                <w:highlight w:val="none"/>
              </w:rPr>
            </w:pPr>
          </w:p>
        </w:tc>
      </w:tr>
      <w:tr w14:paraId="0E15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02367022">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2098" w:type="dxa"/>
            <w:vAlign w:val="center"/>
          </w:tcPr>
          <w:p w14:paraId="5DB7256E">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中标候选人排名</w:t>
            </w:r>
          </w:p>
        </w:tc>
        <w:tc>
          <w:tcPr>
            <w:tcW w:w="1871" w:type="dxa"/>
          </w:tcPr>
          <w:p w14:paraId="179129FE">
            <w:pPr>
              <w:adjustRightInd w:val="0"/>
              <w:snapToGrid w:val="0"/>
              <w:jc w:val="center"/>
              <w:rPr>
                <w:rFonts w:ascii="宋体" w:hAnsi="宋体" w:eastAsia="宋体" w:cs="宋体"/>
                <w:sz w:val="24"/>
                <w:szCs w:val="24"/>
                <w:highlight w:val="none"/>
              </w:rPr>
            </w:pPr>
          </w:p>
        </w:tc>
        <w:tc>
          <w:tcPr>
            <w:tcW w:w="1871" w:type="dxa"/>
          </w:tcPr>
          <w:p w14:paraId="4087546B">
            <w:pPr>
              <w:adjustRightInd w:val="0"/>
              <w:snapToGrid w:val="0"/>
              <w:jc w:val="center"/>
              <w:rPr>
                <w:rFonts w:ascii="宋体" w:hAnsi="宋体" w:eastAsia="宋体" w:cs="宋体"/>
                <w:sz w:val="24"/>
                <w:szCs w:val="24"/>
                <w:highlight w:val="none"/>
              </w:rPr>
            </w:pPr>
          </w:p>
        </w:tc>
        <w:tc>
          <w:tcPr>
            <w:tcW w:w="1871" w:type="dxa"/>
          </w:tcPr>
          <w:p w14:paraId="4AEBE152">
            <w:pPr>
              <w:adjustRightInd w:val="0"/>
              <w:snapToGrid w:val="0"/>
              <w:jc w:val="center"/>
              <w:rPr>
                <w:rFonts w:ascii="宋体" w:hAnsi="宋体" w:eastAsia="宋体" w:cs="宋体"/>
                <w:sz w:val="24"/>
                <w:szCs w:val="24"/>
                <w:highlight w:val="none"/>
              </w:rPr>
            </w:pPr>
          </w:p>
        </w:tc>
        <w:tc>
          <w:tcPr>
            <w:tcW w:w="1871" w:type="dxa"/>
          </w:tcPr>
          <w:p w14:paraId="22EBAE7C">
            <w:pPr>
              <w:adjustRightInd w:val="0"/>
              <w:snapToGrid w:val="0"/>
              <w:jc w:val="center"/>
              <w:rPr>
                <w:rFonts w:ascii="宋体" w:hAnsi="宋体" w:eastAsia="宋体" w:cs="宋体"/>
                <w:sz w:val="24"/>
                <w:szCs w:val="24"/>
                <w:highlight w:val="none"/>
              </w:rPr>
            </w:pPr>
          </w:p>
        </w:tc>
        <w:tc>
          <w:tcPr>
            <w:tcW w:w="1871" w:type="dxa"/>
          </w:tcPr>
          <w:p w14:paraId="38639575">
            <w:pPr>
              <w:adjustRightInd w:val="0"/>
              <w:snapToGrid w:val="0"/>
              <w:jc w:val="center"/>
              <w:rPr>
                <w:rFonts w:ascii="宋体" w:hAnsi="宋体" w:eastAsia="宋体" w:cs="宋体"/>
                <w:sz w:val="24"/>
                <w:szCs w:val="24"/>
                <w:highlight w:val="none"/>
              </w:rPr>
            </w:pPr>
          </w:p>
        </w:tc>
        <w:tc>
          <w:tcPr>
            <w:tcW w:w="1871" w:type="dxa"/>
          </w:tcPr>
          <w:p w14:paraId="31E113A7">
            <w:pPr>
              <w:adjustRightInd w:val="0"/>
              <w:snapToGrid w:val="0"/>
              <w:jc w:val="center"/>
              <w:rPr>
                <w:rFonts w:ascii="宋体" w:hAnsi="宋体" w:eastAsia="宋体" w:cs="宋体"/>
                <w:sz w:val="24"/>
                <w:szCs w:val="24"/>
                <w:highlight w:val="none"/>
              </w:rPr>
            </w:pPr>
          </w:p>
        </w:tc>
      </w:tr>
      <w:tr w14:paraId="43B0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37" w:type="dxa"/>
            <w:vAlign w:val="center"/>
          </w:tcPr>
          <w:p w14:paraId="18F63074">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7</w:t>
            </w:r>
          </w:p>
        </w:tc>
        <w:tc>
          <w:tcPr>
            <w:tcW w:w="2098" w:type="dxa"/>
            <w:vAlign w:val="center"/>
          </w:tcPr>
          <w:p w14:paraId="7511D67B">
            <w:pPr>
              <w:adjustRightInd w:val="0"/>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c>
          <w:tcPr>
            <w:tcW w:w="1871" w:type="dxa"/>
          </w:tcPr>
          <w:p w14:paraId="313127C7">
            <w:pPr>
              <w:adjustRightInd w:val="0"/>
              <w:snapToGrid w:val="0"/>
              <w:jc w:val="center"/>
              <w:rPr>
                <w:rFonts w:ascii="宋体" w:hAnsi="宋体" w:eastAsia="宋体" w:cs="宋体"/>
                <w:sz w:val="24"/>
                <w:szCs w:val="24"/>
                <w:highlight w:val="none"/>
              </w:rPr>
            </w:pPr>
          </w:p>
        </w:tc>
        <w:tc>
          <w:tcPr>
            <w:tcW w:w="1871" w:type="dxa"/>
          </w:tcPr>
          <w:p w14:paraId="534C92A5">
            <w:pPr>
              <w:adjustRightInd w:val="0"/>
              <w:snapToGrid w:val="0"/>
              <w:jc w:val="center"/>
              <w:rPr>
                <w:rFonts w:ascii="宋体" w:hAnsi="宋体" w:eastAsia="宋体" w:cs="宋体"/>
                <w:sz w:val="24"/>
                <w:szCs w:val="24"/>
                <w:highlight w:val="none"/>
              </w:rPr>
            </w:pPr>
          </w:p>
        </w:tc>
        <w:tc>
          <w:tcPr>
            <w:tcW w:w="1871" w:type="dxa"/>
          </w:tcPr>
          <w:p w14:paraId="3A65F86A">
            <w:pPr>
              <w:adjustRightInd w:val="0"/>
              <w:snapToGrid w:val="0"/>
              <w:jc w:val="center"/>
              <w:rPr>
                <w:rFonts w:ascii="宋体" w:hAnsi="宋体" w:eastAsia="宋体" w:cs="宋体"/>
                <w:sz w:val="24"/>
                <w:szCs w:val="24"/>
                <w:highlight w:val="none"/>
              </w:rPr>
            </w:pPr>
          </w:p>
        </w:tc>
        <w:tc>
          <w:tcPr>
            <w:tcW w:w="1871" w:type="dxa"/>
          </w:tcPr>
          <w:p w14:paraId="3CB565AC">
            <w:pPr>
              <w:adjustRightInd w:val="0"/>
              <w:snapToGrid w:val="0"/>
              <w:jc w:val="center"/>
              <w:rPr>
                <w:rFonts w:ascii="宋体" w:hAnsi="宋体" w:eastAsia="宋体" w:cs="宋体"/>
                <w:sz w:val="24"/>
                <w:szCs w:val="24"/>
                <w:highlight w:val="none"/>
              </w:rPr>
            </w:pPr>
          </w:p>
        </w:tc>
        <w:tc>
          <w:tcPr>
            <w:tcW w:w="1871" w:type="dxa"/>
          </w:tcPr>
          <w:p w14:paraId="0D5EF38A">
            <w:pPr>
              <w:adjustRightInd w:val="0"/>
              <w:snapToGrid w:val="0"/>
              <w:jc w:val="center"/>
              <w:rPr>
                <w:rFonts w:ascii="宋体" w:hAnsi="宋体" w:eastAsia="宋体" w:cs="宋体"/>
                <w:sz w:val="24"/>
                <w:szCs w:val="24"/>
                <w:highlight w:val="none"/>
              </w:rPr>
            </w:pPr>
          </w:p>
        </w:tc>
        <w:tc>
          <w:tcPr>
            <w:tcW w:w="1871" w:type="dxa"/>
          </w:tcPr>
          <w:p w14:paraId="23195511">
            <w:pPr>
              <w:adjustRightInd w:val="0"/>
              <w:snapToGrid w:val="0"/>
              <w:jc w:val="center"/>
              <w:rPr>
                <w:rFonts w:ascii="宋体" w:hAnsi="宋体" w:eastAsia="宋体" w:cs="宋体"/>
                <w:sz w:val="24"/>
                <w:szCs w:val="24"/>
                <w:highlight w:val="none"/>
              </w:rPr>
            </w:pPr>
          </w:p>
        </w:tc>
      </w:tr>
    </w:tbl>
    <w:p w14:paraId="73BBDF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评委签名：</w:t>
      </w:r>
    </w:p>
    <w:p w14:paraId="761BDB0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日</w:t>
      </w:r>
    </w:p>
    <w:p w14:paraId="34C7BCD8">
      <w:pPr>
        <w:spacing w:line="220" w:lineRule="atLeast"/>
        <w:rPr>
          <w:highlight w:val="none"/>
        </w:rPr>
        <w:sectPr>
          <w:pgSz w:w="16838" w:h="11906" w:orient="landscape"/>
          <w:pgMar w:top="1531" w:right="1418" w:bottom="1555" w:left="1418" w:header="851" w:footer="992" w:gutter="0"/>
          <w:pgNumType w:start="33"/>
          <w:cols w:space="720" w:num="1"/>
          <w:titlePg/>
          <w:docGrid w:type="lines" w:linePitch="312" w:charSpace="0"/>
        </w:sectPr>
      </w:pPr>
    </w:p>
    <w:p w14:paraId="1748CACF">
      <w:pPr>
        <w:spacing w:line="220" w:lineRule="atLeast"/>
        <w:rPr>
          <w:rFonts w:ascii="Calibri" w:hAnsi="Calibri" w:eastAsia="宋体" w:cs="Calibri"/>
          <w:sz w:val="32"/>
          <w:highlight w:val="none"/>
        </w:rPr>
      </w:pPr>
      <w:r>
        <w:rPr>
          <w:rFonts w:hint="eastAsia" w:ascii="Calibri" w:hAnsi="Calibri" w:eastAsia="宋体" w:cs="Calibri"/>
          <w:sz w:val="24"/>
          <w:szCs w:val="24"/>
          <w:highlight w:val="none"/>
        </w:rPr>
        <w:t>附表六</w:t>
      </w:r>
    </w:p>
    <w:p w14:paraId="07A2139E">
      <w:pPr>
        <w:spacing w:line="220" w:lineRule="atLeast"/>
        <w:jc w:val="center"/>
        <w:rPr>
          <w:rFonts w:ascii="Calibri" w:hAnsi="Calibri" w:eastAsia="宋体" w:cs="Calibri"/>
          <w:sz w:val="32"/>
          <w:highlight w:val="none"/>
        </w:rPr>
      </w:pPr>
      <w:r>
        <w:rPr>
          <w:rFonts w:hint="eastAsia" w:ascii="Calibri" w:hAnsi="Calibri" w:eastAsia="宋体" w:cs="Calibri"/>
          <w:sz w:val="32"/>
          <w:highlight w:val="none"/>
        </w:rPr>
        <w:t>开标记录表</w:t>
      </w:r>
    </w:p>
    <w:p w14:paraId="551BE32B">
      <w:pPr>
        <w:spacing w:line="220" w:lineRule="atLeast"/>
        <w:rPr>
          <w:rFonts w:ascii="Calibri" w:hAnsi="Calibri" w:eastAsia="宋体" w:cs="Calibri"/>
          <w:highlight w:val="none"/>
        </w:rPr>
      </w:pPr>
    </w:p>
    <w:p w14:paraId="637C0ACD">
      <w:pPr>
        <w:spacing w:line="220" w:lineRule="atLeast"/>
        <w:rPr>
          <w:rFonts w:ascii="宋体" w:hAnsi="宋体" w:eastAsia="宋体" w:cs="宋体"/>
          <w:sz w:val="24"/>
          <w:szCs w:val="24"/>
          <w:highlight w:val="none"/>
        </w:rPr>
      </w:pPr>
      <w:r>
        <w:rPr>
          <w:rFonts w:hint="eastAsia" w:ascii="宋体" w:hAnsi="宋体" w:eastAsia="宋体" w:cs="宋体"/>
          <w:sz w:val="24"/>
          <w:szCs w:val="24"/>
          <w:highlight w:val="none"/>
        </w:rPr>
        <w:t xml:space="preserve">项目名称：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招标控制价：（元）</w:t>
      </w:r>
    </w:p>
    <w:tbl>
      <w:tblPr>
        <w:tblStyle w:val="49"/>
        <w:tblW w:w="13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701"/>
        <w:gridCol w:w="1871"/>
        <w:gridCol w:w="2324"/>
        <w:gridCol w:w="1928"/>
        <w:gridCol w:w="1984"/>
        <w:gridCol w:w="2324"/>
        <w:gridCol w:w="1020"/>
      </w:tblGrid>
      <w:tr w14:paraId="5978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69" w:type="dxa"/>
            <w:vAlign w:val="center"/>
          </w:tcPr>
          <w:p w14:paraId="15A7EC69">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1701" w:type="dxa"/>
            <w:vAlign w:val="center"/>
          </w:tcPr>
          <w:p w14:paraId="280713C8">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投标人名称</w:t>
            </w:r>
          </w:p>
        </w:tc>
        <w:tc>
          <w:tcPr>
            <w:tcW w:w="1871" w:type="dxa"/>
            <w:vAlign w:val="center"/>
          </w:tcPr>
          <w:p w14:paraId="12F14061">
            <w:pPr>
              <w:spacing w:line="220" w:lineRule="atLeast"/>
              <w:jc w:val="center"/>
              <w:rPr>
                <w:rFonts w:ascii="宋体" w:hAnsi="宋体" w:eastAsia="宋体" w:cs="宋体"/>
                <w:sz w:val="24"/>
                <w:szCs w:val="24"/>
                <w:highlight w:val="none"/>
              </w:rPr>
            </w:pPr>
            <w:r>
              <w:rPr>
                <w:rFonts w:hint="eastAsia" w:ascii="宋体" w:hAnsi="宋体" w:eastAsia="宋体" w:cs="宋体"/>
                <w:strike/>
                <w:sz w:val="24"/>
                <w:szCs w:val="24"/>
                <w:highlight w:val="none"/>
              </w:rPr>
              <w:t>投标保证金</w:t>
            </w:r>
          </w:p>
        </w:tc>
        <w:tc>
          <w:tcPr>
            <w:tcW w:w="2324" w:type="dxa"/>
            <w:vAlign w:val="center"/>
          </w:tcPr>
          <w:p w14:paraId="7355EF0A">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工期（日历天）</w:t>
            </w:r>
          </w:p>
        </w:tc>
        <w:tc>
          <w:tcPr>
            <w:tcW w:w="1928" w:type="dxa"/>
            <w:vAlign w:val="center"/>
          </w:tcPr>
          <w:p w14:paraId="5EB5F578">
            <w:pPr>
              <w:spacing w:line="220" w:lineRule="atLeast"/>
              <w:jc w:val="center"/>
              <w:rPr>
                <w:rFonts w:hint="default" w:ascii="宋体" w:hAnsi="宋体" w:eastAsia="宋体" w:cs="宋体"/>
                <w:sz w:val="24"/>
                <w:szCs w:val="24"/>
                <w:highlight w:val="none"/>
                <w:lang w:val="en-US"/>
              </w:rPr>
            </w:pPr>
            <w:r>
              <w:rPr>
                <w:rFonts w:hint="eastAsia" w:ascii="宋体" w:hAnsi="宋体" w:cs="宋体"/>
                <w:sz w:val="24"/>
                <w:szCs w:val="24"/>
                <w:highlight w:val="none"/>
                <w:lang w:val="en-US" w:eastAsia="zh-CN"/>
              </w:rPr>
              <w:t>总监理工程师</w:t>
            </w:r>
          </w:p>
        </w:tc>
        <w:tc>
          <w:tcPr>
            <w:tcW w:w="1984" w:type="dxa"/>
            <w:vAlign w:val="center"/>
          </w:tcPr>
          <w:p w14:paraId="5181D8A7">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是否无效投标</w:t>
            </w:r>
          </w:p>
        </w:tc>
        <w:tc>
          <w:tcPr>
            <w:tcW w:w="2324" w:type="dxa"/>
            <w:vAlign w:val="center"/>
          </w:tcPr>
          <w:p w14:paraId="183E3366">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无效投标原因</w:t>
            </w:r>
          </w:p>
        </w:tc>
        <w:tc>
          <w:tcPr>
            <w:tcW w:w="1020" w:type="dxa"/>
            <w:vAlign w:val="center"/>
          </w:tcPr>
          <w:p w14:paraId="567B9D2C">
            <w:pPr>
              <w:spacing w:line="220" w:lineRule="atLeast"/>
              <w:jc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14:paraId="7CBF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9" w:type="dxa"/>
            <w:vAlign w:val="center"/>
          </w:tcPr>
          <w:p w14:paraId="2F9058CC">
            <w:pPr>
              <w:spacing w:line="22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701" w:type="dxa"/>
            <w:vAlign w:val="center"/>
          </w:tcPr>
          <w:p w14:paraId="7D6F6221">
            <w:pPr>
              <w:spacing w:line="220" w:lineRule="atLeast"/>
              <w:jc w:val="center"/>
              <w:rPr>
                <w:rFonts w:ascii="宋体" w:hAnsi="宋体" w:eastAsia="宋体" w:cs="宋体"/>
                <w:sz w:val="24"/>
                <w:szCs w:val="24"/>
                <w:highlight w:val="none"/>
              </w:rPr>
            </w:pPr>
          </w:p>
        </w:tc>
        <w:tc>
          <w:tcPr>
            <w:tcW w:w="1871" w:type="dxa"/>
            <w:vAlign w:val="center"/>
          </w:tcPr>
          <w:p w14:paraId="004ABE87">
            <w:pPr>
              <w:spacing w:line="220" w:lineRule="atLeast"/>
              <w:jc w:val="center"/>
              <w:rPr>
                <w:rFonts w:ascii="宋体" w:hAnsi="宋体" w:eastAsia="宋体" w:cs="宋体"/>
                <w:sz w:val="24"/>
                <w:szCs w:val="24"/>
                <w:highlight w:val="none"/>
              </w:rPr>
            </w:pPr>
          </w:p>
        </w:tc>
        <w:tc>
          <w:tcPr>
            <w:tcW w:w="2324" w:type="dxa"/>
            <w:vAlign w:val="center"/>
          </w:tcPr>
          <w:p w14:paraId="39EA637B">
            <w:pPr>
              <w:spacing w:line="220" w:lineRule="atLeast"/>
              <w:jc w:val="center"/>
              <w:rPr>
                <w:rFonts w:ascii="宋体" w:hAnsi="宋体" w:eastAsia="宋体" w:cs="宋体"/>
                <w:sz w:val="24"/>
                <w:szCs w:val="24"/>
                <w:highlight w:val="none"/>
              </w:rPr>
            </w:pPr>
          </w:p>
        </w:tc>
        <w:tc>
          <w:tcPr>
            <w:tcW w:w="1928" w:type="dxa"/>
            <w:vAlign w:val="center"/>
          </w:tcPr>
          <w:p w14:paraId="36FCC8B3">
            <w:pPr>
              <w:spacing w:line="220" w:lineRule="atLeast"/>
              <w:jc w:val="center"/>
              <w:rPr>
                <w:rFonts w:ascii="宋体" w:hAnsi="宋体" w:eastAsia="宋体" w:cs="宋体"/>
                <w:sz w:val="24"/>
                <w:szCs w:val="24"/>
                <w:highlight w:val="none"/>
              </w:rPr>
            </w:pPr>
          </w:p>
        </w:tc>
        <w:tc>
          <w:tcPr>
            <w:tcW w:w="1984" w:type="dxa"/>
            <w:vAlign w:val="center"/>
          </w:tcPr>
          <w:p w14:paraId="52BCC2B7">
            <w:pPr>
              <w:spacing w:line="220" w:lineRule="atLeast"/>
              <w:jc w:val="center"/>
              <w:rPr>
                <w:rFonts w:ascii="宋体" w:hAnsi="宋体" w:eastAsia="宋体" w:cs="宋体"/>
                <w:sz w:val="24"/>
                <w:szCs w:val="24"/>
                <w:highlight w:val="none"/>
              </w:rPr>
            </w:pPr>
          </w:p>
        </w:tc>
        <w:tc>
          <w:tcPr>
            <w:tcW w:w="2324" w:type="dxa"/>
            <w:vAlign w:val="center"/>
          </w:tcPr>
          <w:p w14:paraId="2D2AA388">
            <w:pPr>
              <w:spacing w:line="220" w:lineRule="atLeast"/>
              <w:jc w:val="center"/>
              <w:rPr>
                <w:rFonts w:ascii="宋体" w:hAnsi="宋体" w:eastAsia="宋体" w:cs="宋体"/>
                <w:sz w:val="24"/>
                <w:szCs w:val="24"/>
                <w:highlight w:val="none"/>
              </w:rPr>
            </w:pPr>
          </w:p>
        </w:tc>
        <w:tc>
          <w:tcPr>
            <w:tcW w:w="1020" w:type="dxa"/>
            <w:vAlign w:val="center"/>
          </w:tcPr>
          <w:p w14:paraId="74D54278">
            <w:pPr>
              <w:spacing w:line="220" w:lineRule="atLeast"/>
              <w:jc w:val="center"/>
              <w:rPr>
                <w:rFonts w:ascii="宋体" w:hAnsi="宋体" w:eastAsia="宋体" w:cs="宋体"/>
                <w:sz w:val="24"/>
                <w:szCs w:val="24"/>
                <w:highlight w:val="none"/>
              </w:rPr>
            </w:pPr>
          </w:p>
        </w:tc>
      </w:tr>
      <w:tr w14:paraId="537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9" w:type="dxa"/>
            <w:vAlign w:val="center"/>
          </w:tcPr>
          <w:p w14:paraId="3ABBB448">
            <w:pPr>
              <w:spacing w:line="22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701" w:type="dxa"/>
            <w:vAlign w:val="center"/>
          </w:tcPr>
          <w:p w14:paraId="7D684B3F">
            <w:pPr>
              <w:spacing w:line="220" w:lineRule="atLeast"/>
              <w:jc w:val="center"/>
              <w:rPr>
                <w:rFonts w:ascii="宋体" w:hAnsi="宋体" w:eastAsia="宋体" w:cs="宋体"/>
                <w:sz w:val="24"/>
                <w:szCs w:val="24"/>
                <w:highlight w:val="none"/>
              </w:rPr>
            </w:pPr>
          </w:p>
        </w:tc>
        <w:tc>
          <w:tcPr>
            <w:tcW w:w="1871" w:type="dxa"/>
            <w:vAlign w:val="center"/>
          </w:tcPr>
          <w:p w14:paraId="5AE12731">
            <w:pPr>
              <w:spacing w:line="220" w:lineRule="atLeast"/>
              <w:jc w:val="center"/>
              <w:rPr>
                <w:rFonts w:ascii="宋体" w:hAnsi="宋体" w:eastAsia="宋体" w:cs="宋体"/>
                <w:sz w:val="24"/>
                <w:szCs w:val="24"/>
                <w:highlight w:val="none"/>
              </w:rPr>
            </w:pPr>
          </w:p>
        </w:tc>
        <w:tc>
          <w:tcPr>
            <w:tcW w:w="2324" w:type="dxa"/>
            <w:vAlign w:val="center"/>
          </w:tcPr>
          <w:p w14:paraId="5D5C9B46">
            <w:pPr>
              <w:spacing w:line="220" w:lineRule="atLeast"/>
              <w:jc w:val="center"/>
              <w:rPr>
                <w:rFonts w:ascii="宋体" w:hAnsi="宋体" w:eastAsia="宋体" w:cs="宋体"/>
                <w:sz w:val="24"/>
                <w:szCs w:val="24"/>
                <w:highlight w:val="none"/>
              </w:rPr>
            </w:pPr>
          </w:p>
        </w:tc>
        <w:tc>
          <w:tcPr>
            <w:tcW w:w="1928" w:type="dxa"/>
            <w:vAlign w:val="center"/>
          </w:tcPr>
          <w:p w14:paraId="38675723">
            <w:pPr>
              <w:spacing w:line="220" w:lineRule="atLeast"/>
              <w:jc w:val="center"/>
              <w:rPr>
                <w:rFonts w:ascii="宋体" w:hAnsi="宋体" w:eastAsia="宋体" w:cs="宋体"/>
                <w:sz w:val="24"/>
                <w:szCs w:val="24"/>
                <w:highlight w:val="none"/>
              </w:rPr>
            </w:pPr>
          </w:p>
        </w:tc>
        <w:tc>
          <w:tcPr>
            <w:tcW w:w="1984" w:type="dxa"/>
            <w:vAlign w:val="center"/>
          </w:tcPr>
          <w:p w14:paraId="7F122556">
            <w:pPr>
              <w:spacing w:line="220" w:lineRule="atLeast"/>
              <w:jc w:val="center"/>
              <w:rPr>
                <w:rFonts w:ascii="宋体" w:hAnsi="宋体" w:eastAsia="宋体" w:cs="宋体"/>
                <w:sz w:val="24"/>
                <w:szCs w:val="24"/>
                <w:highlight w:val="none"/>
              </w:rPr>
            </w:pPr>
          </w:p>
        </w:tc>
        <w:tc>
          <w:tcPr>
            <w:tcW w:w="2324" w:type="dxa"/>
            <w:vAlign w:val="center"/>
          </w:tcPr>
          <w:p w14:paraId="3AF52C27">
            <w:pPr>
              <w:spacing w:line="220" w:lineRule="atLeast"/>
              <w:jc w:val="center"/>
              <w:rPr>
                <w:rFonts w:ascii="宋体" w:hAnsi="宋体" w:eastAsia="宋体" w:cs="宋体"/>
                <w:sz w:val="24"/>
                <w:szCs w:val="24"/>
                <w:highlight w:val="none"/>
              </w:rPr>
            </w:pPr>
          </w:p>
        </w:tc>
        <w:tc>
          <w:tcPr>
            <w:tcW w:w="1020" w:type="dxa"/>
            <w:vAlign w:val="center"/>
          </w:tcPr>
          <w:p w14:paraId="2EE7277F">
            <w:pPr>
              <w:spacing w:line="220" w:lineRule="atLeast"/>
              <w:jc w:val="center"/>
              <w:rPr>
                <w:rFonts w:ascii="宋体" w:hAnsi="宋体" w:eastAsia="宋体" w:cs="宋体"/>
                <w:sz w:val="24"/>
                <w:szCs w:val="24"/>
                <w:highlight w:val="none"/>
              </w:rPr>
            </w:pPr>
          </w:p>
        </w:tc>
      </w:tr>
      <w:tr w14:paraId="36C7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9" w:type="dxa"/>
            <w:vAlign w:val="center"/>
          </w:tcPr>
          <w:p w14:paraId="1E38D01E">
            <w:pPr>
              <w:spacing w:line="220" w:lineRule="atLeast"/>
              <w:jc w:val="center"/>
              <w:rPr>
                <w:rFonts w:ascii="宋体" w:hAnsi="宋体" w:eastAsia="宋体" w:cs="宋体"/>
                <w:sz w:val="24"/>
                <w:szCs w:val="24"/>
                <w:highlight w:val="none"/>
              </w:rPr>
            </w:pPr>
          </w:p>
        </w:tc>
        <w:tc>
          <w:tcPr>
            <w:tcW w:w="1701" w:type="dxa"/>
            <w:vAlign w:val="center"/>
          </w:tcPr>
          <w:p w14:paraId="6F2FE0A6">
            <w:pPr>
              <w:spacing w:line="220" w:lineRule="atLeast"/>
              <w:jc w:val="center"/>
              <w:rPr>
                <w:rFonts w:ascii="宋体" w:hAnsi="宋体" w:eastAsia="宋体" w:cs="宋体"/>
                <w:sz w:val="24"/>
                <w:szCs w:val="24"/>
                <w:highlight w:val="none"/>
              </w:rPr>
            </w:pPr>
          </w:p>
        </w:tc>
        <w:tc>
          <w:tcPr>
            <w:tcW w:w="1871" w:type="dxa"/>
            <w:vAlign w:val="center"/>
          </w:tcPr>
          <w:p w14:paraId="34BCB86E">
            <w:pPr>
              <w:spacing w:line="220" w:lineRule="atLeast"/>
              <w:jc w:val="center"/>
              <w:rPr>
                <w:rFonts w:ascii="宋体" w:hAnsi="宋体" w:eastAsia="宋体" w:cs="宋体"/>
                <w:sz w:val="24"/>
                <w:szCs w:val="24"/>
                <w:highlight w:val="none"/>
              </w:rPr>
            </w:pPr>
          </w:p>
        </w:tc>
        <w:tc>
          <w:tcPr>
            <w:tcW w:w="2324" w:type="dxa"/>
            <w:vAlign w:val="center"/>
          </w:tcPr>
          <w:p w14:paraId="03E0500A">
            <w:pPr>
              <w:spacing w:line="220" w:lineRule="atLeast"/>
              <w:jc w:val="center"/>
              <w:rPr>
                <w:rFonts w:ascii="宋体" w:hAnsi="宋体" w:eastAsia="宋体" w:cs="宋体"/>
                <w:sz w:val="24"/>
                <w:szCs w:val="24"/>
                <w:highlight w:val="none"/>
              </w:rPr>
            </w:pPr>
          </w:p>
        </w:tc>
        <w:tc>
          <w:tcPr>
            <w:tcW w:w="1928" w:type="dxa"/>
            <w:vAlign w:val="center"/>
          </w:tcPr>
          <w:p w14:paraId="58D03A73">
            <w:pPr>
              <w:spacing w:line="220" w:lineRule="atLeast"/>
              <w:jc w:val="center"/>
              <w:rPr>
                <w:rFonts w:ascii="宋体" w:hAnsi="宋体" w:eastAsia="宋体" w:cs="宋体"/>
                <w:sz w:val="24"/>
                <w:szCs w:val="24"/>
                <w:highlight w:val="none"/>
              </w:rPr>
            </w:pPr>
          </w:p>
        </w:tc>
        <w:tc>
          <w:tcPr>
            <w:tcW w:w="1984" w:type="dxa"/>
            <w:vAlign w:val="center"/>
          </w:tcPr>
          <w:p w14:paraId="7AA42246">
            <w:pPr>
              <w:spacing w:line="220" w:lineRule="atLeast"/>
              <w:jc w:val="center"/>
              <w:rPr>
                <w:rFonts w:ascii="宋体" w:hAnsi="宋体" w:eastAsia="宋体" w:cs="宋体"/>
                <w:sz w:val="24"/>
                <w:szCs w:val="24"/>
                <w:highlight w:val="none"/>
              </w:rPr>
            </w:pPr>
          </w:p>
        </w:tc>
        <w:tc>
          <w:tcPr>
            <w:tcW w:w="2324" w:type="dxa"/>
            <w:vAlign w:val="center"/>
          </w:tcPr>
          <w:p w14:paraId="79192887">
            <w:pPr>
              <w:spacing w:line="220" w:lineRule="atLeast"/>
              <w:jc w:val="center"/>
              <w:rPr>
                <w:rFonts w:ascii="宋体" w:hAnsi="宋体" w:eastAsia="宋体" w:cs="宋体"/>
                <w:sz w:val="24"/>
                <w:szCs w:val="24"/>
                <w:highlight w:val="none"/>
              </w:rPr>
            </w:pPr>
          </w:p>
        </w:tc>
        <w:tc>
          <w:tcPr>
            <w:tcW w:w="1020" w:type="dxa"/>
            <w:vAlign w:val="center"/>
          </w:tcPr>
          <w:p w14:paraId="4B8E6759">
            <w:pPr>
              <w:spacing w:line="220" w:lineRule="atLeast"/>
              <w:jc w:val="center"/>
              <w:rPr>
                <w:rFonts w:ascii="宋体" w:hAnsi="宋体" w:eastAsia="宋体" w:cs="宋体"/>
                <w:sz w:val="24"/>
                <w:szCs w:val="24"/>
                <w:highlight w:val="none"/>
              </w:rPr>
            </w:pPr>
          </w:p>
        </w:tc>
      </w:tr>
      <w:tr w14:paraId="60C8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9" w:type="dxa"/>
            <w:vAlign w:val="center"/>
          </w:tcPr>
          <w:p w14:paraId="7E2EAA3E">
            <w:pPr>
              <w:spacing w:line="220" w:lineRule="atLeast"/>
              <w:jc w:val="center"/>
              <w:rPr>
                <w:rFonts w:ascii="宋体" w:hAnsi="宋体" w:eastAsia="宋体" w:cs="宋体"/>
                <w:sz w:val="24"/>
                <w:szCs w:val="24"/>
                <w:highlight w:val="none"/>
              </w:rPr>
            </w:pPr>
          </w:p>
        </w:tc>
        <w:tc>
          <w:tcPr>
            <w:tcW w:w="1701" w:type="dxa"/>
            <w:vAlign w:val="center"/>
          </w:tcPr>
          <w:p w14:paraId="4F26A3E4">
            <w:pPr>
              <w:spacing w:line="220" w:lineRule="atLeast"/>
              <w:jc w:val="center"/>
              <w:rPr>
                <w:rFonts w:ascii="宋体" w:hAnsi="宋体" w:eastAsia="宋体" w:cs="宋体"/>
                <w:sz w:val="24"/>
                <w:szCs w:val="24"/>
                <w:highlight w:val="none"/>
              </w:rPr>
            </w:pPr>
          </w:p>
        </w:tc>
        <w:tc>
          <w:tcPr>
            <w:tcW w:w="1871" w:type="dxa"/>
            <w:vAlign w:val="center"/>
          </w:tcPr>
          <w:p w14:paraId="5882EB0F">
            <w:pPr>
              <w:spacing w:line="220" w:lineRule="atLeast"/>
              <w:jc w:val="center"/>
              <w:rPr>
                <w:rFonts w:ascii="宋体" w:hAnsi="宋体" w:eastAsia="宋体" w:cs="宋体"/>
                <w:sz w:val="24"/>
                <w:szCs w:val="24"/>
                <w:highlight w:val="none"/>
              </w:rPr>
            </w:pPr>
          </w:p>
        </w:tc>
        <w:tc>
          <w:tcPr>
            <w:tcW w:w="2324" w:type="dxa"/>
            <w:vAlign w:val="center"/>
          </w:tcPr>
          <w:p w14:paraId="6AEBBBBA">
            <w:pPr>
              <w:spacing w:line="220" w:lineRule="atLeast"/>
              <w:jc w:val="center"/>
              <w:rPr>
                <w:rFonts w:ascii="宋体" w:hAnsi="宋体" w:eastAsia="宋体" w:cs="宋体"/>
                <w:sz w:val="24"/>
                <w:szCs w:val="24"/>
                <w:highlight w:val="none"/>
              </w:rPr>
            </w:pPr>
          </w:p>
        </w:tc>
        <w:tc>
          <w:tcPr>
            <w:tcW w:w="1928" w:type="dxa"/>
            <w:vAlign w:val="center"/>
          </w:tcPr>
          <w:p w14:paraId="7AB58DB6">
            <w:pPr>
              <w:spacing w:line="220" w:lineRule="atLeast"/>
              <w:jc w:val="center"/>
              <w:rPr>
                <w:rFonts w:ascii="宋体" w:hAnsi="宋体" w:eastAsia="宋体" w:cs="宋体"/>
                <w:sz w:val="24"/>
                <w:szCs w:val="24"/>
                <w:highlight w:val="none"/>
              </w:rPr>
            </w:pPr>
          </w:p>
        </w:tc>
        <w:tc>
          <w:tcPr>
            <w:tcW w:w="1984" w:type="dxa"/>
            <w:vAlign w:val="center"/>
          </w:tcPr>
          <w:p w14:paraId="54D4A982">
            <w:pPr>
              <w:spacing w:line="220" w:lineRule="atLeast"/>
              <w:jc w:val="center"/>
              <w:rPr>
                <w:rFonts w:ascii="宋体" w:hAnsi="宋体" w:eastAsia="宋体" w:cs="宋体"/>
                <w:sz w:val="24"/>
                <w:szCs w:val="24"/>
                <w:highlight w:val="none"/>
              </w:rPr>
            </w:pPr>
          </w:p>
        </w:tc>
        <w:tc>
          <w:tcPr>
            <w:tcW w:w="2324" w:type="dxa"/>
            <w:vAlign w:val="center"/>
          </w:tcPr>
          <w:p w14:paraId="352964E7">
            <w:pPr>
              <w:spacing w:line="220" w:lineRule="atLeast"/>
              <w:jc w:val="center"/>
              <w:rPr>
                <w:rFonts w:ascii="宋体" w:hAnsi="宋体" w:eastAsia="宋体" w:cs="宋体"/>
                <w:sz w:val="24"/>
                <w:szCs w:val="24"/>
                <w:highlight w:val="none"/>
              </w:rPr>
            </w:pPr>
          </w:p>
        </w:tc>
        <w:tc>
          <w:tcPr>
            <w:tcW w:w="1020" w:type="dxa"/>
            <w:vAlign w:val="center"/>
          </w:tcPr>
          <w:p w14:paraId="5CEA16EF">
            <w:pPr>
              <w:spacing w:line="220" w:lineRule="atLeast"/>
              <w:jc w:val="center"/>
              <w:rPr>
                <w:rFonts w:ascii="宋体" w:hAnsi="宋体" w:eastAsia="宋体" w:cs="宋体"/>
                <w:sz w:val="24"/>
                <w:szCs w:val="24"/>
                <w:highlight w:val="none"/>
              </w:rPr>
            </w:pPr>
          </w:p>
        </w:tc>
      </w:tr>
    </w:tbl>
    <w:p w14:paraId="071977C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投标文件检查密封代表：                                                招标人代表：</w:t>
      </w:r>
    </w:p>
    <w:p w14:paraId="47CA8FB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招标代理代表：                                                        监督人员：</w:t>
      </w:r>
    </w:p>
    <w:p w14:paraId="288860C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szCs w:val="24"/>
          <w:highlight w:val="none"/>
        </w:rPr>
      </w:pPr>
      <w:r>
        <w:rPr>
          <w:rFonts w:hint="eastAsia" w:ascii="宋体" w:hAnsi="宋体" w:eastAsia="宋体" w:cs="宋体"/>
          <w:sz w:val="24"/>
          <w:szCs w:val="24"/>
          <w:highlight w:val="none"/>
        </w:rPr>
        <w:t>交易中心工作人员：</w:t>
      </w:r>
    </w:p>
    <w:p w14:paraId="3171F115">
      <w:pPr>
        <w:autoSpaceDE w:val="0"/>
        <w:autoSpaceDN w:val="0"/>
        <w:adjustRightInd w:val="0"/>
        <w:spacing w:line="480" w:lineRule="exact"/>
        <w:ind w:firstLine="480" w:firstLineChars="200"/>
        <w:rPr>
          <w:rFonts w:hint="eastAsia" w:ascii="宋体" w:hAnsi="宋体" w:eastAsia="宋体" w:cs="宋体"/>
          <w:sz w:val="24"/>
          <w:szCs w:val="24"/>
          <w:highlight w:val="none"/>
        </w:rPr>
        <w:sectPr>
          <w:headerReference r:id="rId13" w:type="first"/>
          <w:footerReference r:id="rId15" w:type="first"/>
          <w:headerReference r:id="rId12" w:type="default"/>
          <w:footerReference r:id="rId14" w:type="default"/>
          <w:pgSz w:w="16838" w:h="11906" w:orient="landscape"/>
          <w:pgMar w:top="1418" w:right="1418" w:bottom="1134" w:left="1418" w:header="851" w:footer="737" w:gutter="0"/>
          <w:pgNumType w:fmt="decimal"/>
          <w:cols w:space="720" w:num="1"/>
          <w:titlePg/>
          <w:docGrid w:type="linesAndChars" w:linePitch="312" w:charSpace="0"/>
        </w:sect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p>
    <w:p w14:paraId="769CF1FE">
      <w:pPr>
        <w:pStyle w:val="45"/>
        <w:outlineLvl w:val="9"/>
        <w:rPr>
          <w:highlight w:val="none"/>
        </w:rPr>
      </w:pPr>
      <w:bookmarkStart w:id="17" w:name="_Toc454627372"/>
    </w:p>
    <w:p w14:paraId="696BDD6C">
      <w:pPr>
        <w:pStyle w:val="45"/>
        <w:rPr>
          <w:highlight w:val="none"/>
        </w:rPr>
      </w:pPr>
      <w:bookmarkStart w:id="18" w:name="_Toc722"/>
      <w:r>
        <w:rPr>
          <w:rFonts w:hint="eastAsia"/>
          <w:highlight w:val="none"/>
        </w:rPr>
        <w:t>第四章 合同条款及格式</w:t>
      </w:r>
      <w:bookmarkEnd w:id="17"/>
      <w:bookmarkEnd w:id="18"/>
    </w:p>
    <w:p w14:paraId="5A21AB9E">
      <w:pPr>
        <w:jc w:val="center"/>
        <w:rPr>
          <w:b/>
          <w:spacing w:val="6"/>
          <w:sz w:val="44"/>
          <w:highlight w:val="none"/>
        </w:rPr>
      </w:pPr>
    </w:p>
    <w:p w14:paraId="0EEDBB01">
      <w:pPr>
        <w:jc w:val="center"/>
        <w:rPr>
          <w:b/>
          <w:spacing w:val="6"/>
          <w:sz w:val="44"/>
          <w:highlight w:val="none"/>
        </w:rPr>
      </w:pPr>
    </w:p>
    <w:p w14:paraId="60E717AF">
      <w:pPr>
        <w:jc w:val="center"/>
        <w:rPr>
          <w:b/>
          <w:spacing w:val="6"/>
          <w:sz w:val="44"/>
          <w:highlight w:val="none"/>
        </w:rPr>
      </w:pPr>
    </w:p>
    <w:p w14:paraId="1FF2310F">
      <w:pPr>
        <w:jc w:val="center"/>
        <w:rPr>
          <w:b/>
          <w:spacing w:val="6"/>
          <w:sz w:val="44"/>
          <w:highlight w:val="none"/>
        </w:rPr>
      </w:pPr>
    </w:p>
    <w:p w14:paraId="47BC22CB">
      <w:pPr>
        <w:jc w:val="center"/>
        <w:rPr>
          <w:b/>
          <w:spacing w:val="6"/>
          <w:sz w:val="44"/>
          <w:highlight w:val="none"/>
        </w:rPr>
      </w:pPr>
    </w:p>
    <w:p w14:paraId="14B8694F">
      <w:pPr>
        <w:jc w:val="center"/>
        <w:rPr>
          <w:b/>
          <w:spacing w:val="6"/>
          <w:sz w:val="44"/>
          <w:highlight w:val="none"/>
        </w:rPr>
      </w:pPr>
    </w:p>
    <w:p w14:paraId="32B1DB34">
      <w:pPr>
        <w:jc w:val="center"/>
        <w:rPr>
          <w:b/>
          <w:spacing w:val="6"/>
          <w:sz w:val="44"/>
          <w:highlight w:val="none"/>
        </w:rPr>
      </w:pPr>
    </w:p>
    <w:p w14:paraId="0E6C796B">
      <w:pPr>
        <w:jc w:val="center"/>
        <w:rPr>
          <w:b/>
          <w:spacing w:val="6"/>
          <w:sz w:val="44"/>
          <w:highlight w:val="none"/>
        </w:rPr>
      </w:pPr>
    </w:p>
    <w:p w14:paraId="332F51F3">
      <w:pPr>
        <w:rPr>
          <w:spacing w:val="4"/>
          <w:sz w:val="24"/>
          <w:szCs w:val="24"/>
          <w:highlight w:val="none"/>
        </w:rPr>
        <w:sectPr>
          <w:pgSz w:w="11906" w:h="16838"/>
          <w:pgMar w:top="1418" w:right="1134" w:bottom="1418" w:left="1418" w:header="851" w:footer="737" w:gutter="0"/>
          <w:pgNumType w:fmt="decimal"/>
          <w:cols w:space="720" w:num="1"/>
          <w:titlePg/>
          <w:docGrid w:type="linesAndChars" w:linePitch="312" w:charSpace="0"/>
        </w:sectPr>
      </w:pPr>
    </w:p>
    <w:p w14:paraId="785AF811">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28EEEE78">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4D371048">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41E8C2B3">
      <w:pPr>
        <w:widowControl w:val="0"/>
        <w:adjustRightInd w:val="0"/>
        <w:snapToGrid w:val="0"/>
        <w:spacing w:line="360" w:lineRule="auto"/>
        <w:jc w:val="center"/>
        <w:rPr>
          <w:rFonts w:hint="eastAsia" w:ascii="宋体" w:hAnsi="宋体" w:eastAsia="楷体_GB2312" w:cs="宋体"/>
          <w:b/>
          <w:snapToGrid w:val="0"/>
          <w:spacing w:val="-20"/>
          <w:kern w:val="0"/>
          <w:sz w:val="44"/>
          <w:szCs w:val="44"/>
          <w:highlight w:val="none"/>
          <w:lang w:val="en-US" w:eastAsia="zh-CN" w:bidi="ar-SA"/>
        </w:rPr>
      </w:pPr>
      <w:r>
        <w:rPr>
          <w:rFonts w:hint="eastAsia" w:ascii="宋体" w:hAnsi="宋体" w:eastAsia="楷体_GB2312" w:cs="宋体"/>
          <w:b/>
          <w:snapToGrid w:val="0"/>
          <w:spacing w:val="-20"/>
          <w:kern w:val="0"/>
          <w:sz w:val="44"/>
          <w:szCs w:val="44"/>
          <w:highlight w:val="none"/>
          <w:u w:val="single"/>
          <w:lang w:val="en-US" w:eastAsia="zh-CN" w:bidi="ar-SA"/>
        </w:rPr>
        <w:t>广东石油化工学院西城校区图书馆工程项目</w:t>
      </w:r>
      <w:r>
        <w:rPr>
          <w:rFonts w:hint="eastAsia" w:ascii="宋体" w:hAnsi="宋体" w:eastAsia="楷体_GB2312" w:cs="宋体"/>
          <w:b/>
          <w:snapToGrid w:val="0"/>
          <w:spacing w:val="-20"/>
          <w:kern w:val="0"/>
          <w:sz w:val="44"/>
          <w:szCs w:val="44"/>
          <w:highlight w:val="none"/>
          <w:lang w:val="en-US" w:eastAsia="zh-CN" w:bidi="ar-SA"/>
        </w:rPr>
        <w:t>施工监理</w:t>
      </w:r>
    </w:p>
    <w:p w14:paraId="1667B096">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288C71FC">
      <w:pPr>
        <w:widowControl w:val="0"/>
        <w:topLinePunct/>
        <w:adjustRightInd w:val="0"/>
        <w:snapToGrid w:val="0"/>
        <w:spacing w:line="360" w:lineRule="auto"/>
        <w:ind w:firstLine="0" w:firstLineChars="0"/>
        <w:jc w:val="center"/>
        <w:rPr>
          <w:rFonts w:hint="eastAsia" w:ascii="宋体" w:hAnsi="宋体" w:eastAsia="楷体_GB2312" w:cs="Times New Roman"/>
          <w:b/>
          <w:bCs/>
          <w:spacing w:val="0"/>
          <w:kern w:val="0"/>
          <w:sz w:val="84"/>
          <w:szCs w:val="84"/>
          <w:highlight w:val="none"/>
          <w:lang w:val="en-US" w:eastAsia="zh-CN" w:bidi="ar-SA"/>
          <w14:shadow w14:blurRad="50800" w14:dist="38100" w14:dir="2700000" w14:sx="100000" w14:sy="100000" w14:kx="0" w14:ky="0" w14:algn="tl">
            <w14:srgbClr w14:val="000000">
              <w14:alpha w14:val="60000"/>
            </w14:srgbClr>
          </w14:shadow>
        </w:rPr>
      </w:pPr>
      <w:r>
        <w:rPr>
          <w:rFonts w:hint="eastAsia" w:ascii="宋体" w:hAnsi="宋体" w:eastAsia="楷体_GB2312" w:cs="Times New Roman"/>
          <w:b/>
          <w:bCs/>
          <w:spacing w:val="0"/>
          <w:kern w:val="0"/>
          <w:sz w:val="84"/>
          <w:szCs w:val="84"/>
          <w:highlight w:val="none"/>
          <w:lang w:val="en-US" w:eastAsia="zh-CN" w:bidi="ar-SA"/>
          <w14:shadow w14:blurRad="50800" w14:dist="38100" w14:dir="2700000" w14:sx="100000" w14:sy="100000" w14:kx="0" w14:ky="0" w14:algn="tl">
            <w14:srgbClr w14:val="000000">
              <w14:alpha w14:val="60000"/>
            </w14:srgbClr>
          </w14:shadow>
        </w:rPr>
        <w:t>委托监理合同</w:t>
      </w:r>
    </w:p>
    <w:p w14:paraId="2D2D7709">
      <w:pPr>
        <w:widowControl w:val="0"/>
        <w:topLinePunct/>
        <w:adjustRightInd w:val="0"/>
        <w:snapToGrid w:val="0"/>
        <w:spacing w:line="360" w:lineRule="auto"/>
        <w:ind w:firstLine="0" w:firstLineChars="0"/>
        <w:jc w:val="both"/>
        <w:rPr>
          <w:rFonts w:hint="eastAsia" w:ascii="宋体" w:hAnsi="宋体" w:eastAsia="楷体_GB2312" w:cs="Times New Roman"/>
          <w:b/>
          <w:bCs/>
          <w:spacing w:val="0"/>
          <w:kern w:val="0"/>
          <w:sz w:val="32"/>
          <w:szCs w:val="32"/>
          <w:highlight w:val="none"/>
          <w:u w:val="single"/>
          <w:lang w:val="en-US" w:eastAsia="zh-CN" w:bidi="ar-SA"/>
          <w14:shadow w14:blurRad="50800" w14:dist="38100" w14:dir="2700000" w14:sx="100000" w14:sy="100000" w14:kx="0" w14:ky="0" w14:algn="tl">
            <w14:srgbClr w14:val="000000">
              <w14:alpha w14:val="60000"/>
            </w14:srgbClr>
          </w14:shadow>
        </w:rPr>
      </w:pPr>
      <w:r>
        <w:rPr>
          <w:rFonts w:hint="eastAsia" w:ascii="宋体" w:hAnsi="宋体" w:eastAsia="楷体_GB2312" w:cs="Times New Roman"/>
          <w:b/>
          <w:bCs/>
          <w:spacing w:val="0"/>
          <w:kern w:val="0"/>
          <w:sz w:val="32"/>
          <w:szCs w:val="32"/>
          <w:highlight w:val="none"/>
          <w:lang w:val="en-US" w:eastAsia="zh-CN" w:bidi="ar-SA"/>
          <w14:shadow w14:blurRad="50800" w14:dist="38100" w14:dir="2700000" w14:sx="100000" w14:sy="100000" w14:kx="0" w14:ky="0" w14:algn="tl">
            <w14:srgbClr w14:val="000000">
              <w14:alpha w14:val="60000"/>
            </w14:srgbClr>
          </w14:shadow>
        </w:rPr>
        <w:t xml:space="preserve">                  合同编号：</w:t>
      </w:r>
      <w:r>
        <w:rPr>
          <w:rFonts w:hint="eastAsia" w:ascii="宋体" w:hAnsi="宋体" w:eastAsia="楷体_GB2312" w:cs="Times New Roman"/>
          <w:bCs/>
          <w:spacing w:val="4"/>
          <w:kern w:val="0"/>
          <w:sz w:val="32"/>
          <w:szCs w:val="24"/>
          <w:highlight w:val="none"/>
          <w:u w:val="single"/>
          <w:lang w:val="en-US" w:eastAsia="zh-CN" w:bidi="ar-SA"/>
        </w:rPr>
        <w:t xml:space="preserve">      </w:t>
      </w:r>
    </w:p>
    <w:p w14:paraId="4B248D0D">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53C05776">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59CF7F6B">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2C58B14F">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27A88A14">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0CB59C57">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55F462FC">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36B94448">
      <w:pPr>
        <w:widowControl w:val="0"/>
        <w:topLinePunct/>
        <w:adjustRightInd w:val="0"/>
        <w:snapToGrid w:val="0"/>
        <w:spacing w:line="360" w:lineRule="auto"/>
        <w:ind w:firstLine="0" w:firstLineChars="0"/>
        <w:jc w:val="left"/>
        <w:rPr>
          <w:rFonts w:hint="eastAsia" w:ascii="宋体" w:hAnsi="宋体" w:eastAsia="楷体_GB2312" w:cs="Times New Roman"/>
          <w:b/>
          <w:bCs/>
          <w:spacing w:val="0"/>
          <w:kern w:val="0"/>
          <w:sz w:val="32"/>
          <w:szCs w:val="32"/>
          <w:highlight w:val="none"/>
          <w:lang w:val="en-US" w:eastAsia="zh-CN" w:bidi="ar-SA"/>
          <w14:shadow w14:blurRad="50800" w14:dist="38100" w14:dir="2700000" w14:sx="100000" w14:sy="100000" w14:kx="0" w14:ky="0" w14:algn="tl">
            <w14:srgbClr w14:val="000000">
              <w14:alpha w14:val="60000"/>
            </w14:srgbClr>
          </w14:shadow>
        </w:rPr>
      </w:pPr>
      <w:r>
        <w:rPr>
          <w:rFonts w:hint="eastAsia" w:ascii="宋体" w:hAnsi="宋体" w:eastAsia="楷体_GB2312" w:cs="Times New Roman"/>
          <w:b/>
          <w:bCs/>
          <w:spacing w:val="0"/>
          <w:kern w:val="0"/>
          <w:sz w:val="32"/>
          <w:szCs w:val="32"/>
          <w:highlight w:val="none"/>
          <w:lang w:val="en-US" w:eastAsia="zh-CN" w:bidi="ar-SA"/>
          <w14:shadow w14:blurRad="50800" w14:dist="38100" w14:dir="2700000" w14:sx="100000" w14:sy="100000" w14:kx="0" w14:ky="0" w14:algn="tl">
            <w14:srgbClr w14:val="000000">
              <w14:alpha w14:val="60000"/>
            </w14:srgbClr>
          </w14:shadow>
        </w:rPr>
        <w:t xml:space="preserve">             委托人：</w:t>
      </w:r>
      <w:r>
        <w:rPr>
          <w:rFonts w:hint="eastAsia" w:ascii="宋体" w:hAnsi="宋体" w:eastAsia="楷体_GB2312" w:cs="Times New Roman"/>
          <w:bCs/>
          <w:spacing w:val="4"/>
          <w:kern w:val="0"/>
          <w:sz w:val="32"/>
          <w:szCs w:val="24"/>
          <w:highlight w:val="none"/>
          <w:u w:val="single"/>
          <w:lang w:val="en-US" w:eastAsia="zh-CN" w:bidi="ar-SA"/>
        </w:rPr>
        <w:t xml:space="preserve">   广东省代建项目管理局   </w:t>
      </w:r>
    </w:p>
    <w:p w14:paraId="506C7977">
      <w:pPr>
        <w:widowControl w:val="0"/>
        <w:topLinePunct/>
        <w:adjustRightInd w:val="0"/>
        <w:snapToGrid w:val="0"/>
        <w:spacing w:line="360" w:lineRule="auto"/>
        <w:ind w:firstLine="2127" w:firstLineChars="662"/>
        <w:jc w:val="both"/>
        <w:rPr>
          <w:rFonts w:ascii="宋体" w:hAnsi="宋体" w:eastAsia="楷体_GB2312" w:cs="Times New Roman"/>
          <w:b/>
          <w:bCs/>
          <w:spacing w:val="0"/>
          <w:kern w:val="0"/>
          <w:sz w:val="32"/>
          <w:szCs w:val="32"/>
          <w:highlight w:val="none"/>
          <w:u w:val="single"/>
          <w:lang w:val="en-US" w:eastAsia="zh-CN" w:bidi="ar-SA"/>
          <w14:shadow w14:blurRad="50800" w14:dist="38100" w14:dir="2700000" w14:sx="100000" w14:sy="100000" w14:kx="0" w14:ky="0" w14:algn="tl">
            <w14:srgbClr w14:val="000000">
              <w14:alpha w14:val="60000"/>
            </w14:srgbClr>
          </w14:shadow>
        </w:rPr>
      </w:pPr>
      <w:r>
        <w:rPr>
          <w:rFonts w:hint="eastAsia" w:ascii="宋体" w:hAnsi="宋体" w:eastAsia="楷体_GB2312" w:cs="Times New Roman"/>
          <w:b/>
          <w:bCs/>
          <w:spacing w:val="0"/>
          <w:kern w:val="0"/>
          <w:sz w:val="32"/>
          <w:szCs w:val="32"/>
          <w:highlight w:val="none"/>
          <w:lang w:val="en-US" w:eastAsia="zh-CN" w:bidi="ar-SA"/>
          <w14:shadow w14:blurRad="50800" w14:dist="38100" w14:dir="2700000" w14:sx="100000" w14:sy="100000" w14:kx="0" w14:ky="0" w14:algn="tl">
            <w14:srgbClr w14:val="000000">
              <w14:alpha w14:val="60000"/>
            </w14:srgbClr>
          </w14:shadow>
        </w:rPr>
        <w:t>监理人：</w:t>
      </w:r>
      <w:r>
        <w:rPr>
          <w:rFonts w:hint="eastAsia" w:ascii="宋体" w:hAnsi="宋体" w:eastAsia="楷体_GB2312" w:cs="Times New Roman"/>
          <w:bCs/>
          <w:spacing w:val="4"/>
          <w:kern w:val="0"/>
          <w:sz w:val="32"/>
          <w:szCs w:val="24"/>
          <w:highlight w:val="none"/>
          <w:u w:val="single"/>
          <w:lang w:val="en-US" w:eastAsia="zh-CN" w:bidi="ar-SA"/>
        </w:rPr>
        <w:t xml:space="preserve">                         </w:t>
      </w:r>
    </w:p>
    <w:p w14:paraId="452634E6">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14:shadow w14:blurRad="50800" w14:dist="38100" w14:dir="2700000" w14:sx="100000" w14:sy="100000" w14:kx="0" w14:ky="0" w14:algn="tl">
            <w14:srgbClr w14:val="000000">
              <w14:alpha w14:val="60000"/>
            </w14:srgbClr>
          </w14:shadow>
        </w:rPr>
      </w:pPr>
    </w:p>
    <w:p w14:paraId="2696ED31">
      <w:pPr>
        <w:widowControl w:val="0"/>
        <w:topLinePunct/>
        <w:adjustRightInd w:val="0"/>
        <w:snapToGrid w:val="0"/>
        <w:spacing w:line="360" w:lineRule="auto"/>
        <w:ind w:firstLine="496" w:firstLineChars="200"/>
        <w:jc w:val="center"/>
        <w:rPr>
          <w:rFonts w:hint="eastAsia" w:ascii="宋体" w:hAnsi="宋体" w:eastAsia="楷体_GB2312" w:cs="Times New Roman"/>
          <w:bCs/>
          <w:spacing w:val="0"/>
          <w:kern w:val="0"/>
          <w:sz w:val="24"/>
          <w:szCs w:val="24"/>
          <w:highlight w:val="none"/>
          <w:lang w:val="en-US" w:eastAsia="zh-CN" w:bidi="ar-SA"/>
        </w:rPr>
      </w:pPr>
      <w:r>
        <w:rPr>
          <w:rFonts w:hint="eastAsia" w:ascii="宋体" w:hAnsi="宋体" w:eastAsia="楷体_GB2312" w:cs="Times New Roman"/>
          <w:bCs/>
          <w:snapToGrid w:val="0"/>
          <w:spacing w:val="4"/>
          <w:kern w:val="0"/>
          <w:sz w:val="24"/>
          <w:szCs w:val="24"/>
          <w:highlight w:val="none"/>
          <w:lang w:val="en-US" w:eastAsia="zh-CN" w:bidi="ar-SA"/>
          <w14:shadow w14:blurRad="50800" w14:dist="38100" w14:dir="2700000" w14:sx="100000" w14:sy="100000" w14:kx="0" w14:ky="0" w14:algn="tl">
            <w14:srgbClr w14:val="000000">
              <w14:alpha w14:val="60000"/>
            </w14:srgbClr>
          </w14:shadow>
        </w:rPr>
        <w:br w:type="page"/>
      </w:r>
    </w:p>
    <w:p w14:paraId="538E8056">
      <w:pPr>
        <w:widowControl w:val="0"/>
        <w:topLinePunct/>
        <w:adjustRightInd w:val="0"/>
        <w:snapToGrid w:val="0"/>
        <w:spacing w:line="360" w:lineRule="auto"/>
        <w:ind w:firstLine="0" w:firstLineChars="0"/>
        <w:jc w:val="center"/>
        <w:rPr>
          <w:rFonts w:hint="eastAsia" w:ascii="宋体" w:hAnsi="宋体" w:eastAsia="楷体_GB2312" w:cs="Times New Roman"/>
          <w:b/>
          <w:bCs/>
          <w:spacing w:val="0"/>
          <w:kern w:val="0"/>
          <w:sz w:val="36"/>
          <w:szCs w:val="36"/>
          <w:highlight w:val="none"/>
          <w:lang w:val="en-US" w:eastAsia="zh-CN" w:bidi="ar-SA"/>
        </w:rPr>
      </w:pPr>
      <w:r>
        <w:rPr>
          <w:rFonts w:hint="eastAsia" w:ascii="宋体" w:hAnsi="宋体" w:eastAsia="楷体_GB2312" w:cs="Times New Roman"/>
          <w:b/>
          <w:bCs/>
          <w:spacing w:val="0"/>
          <w:kern w:val="0"/>
          <w:sz w:val="36"/>
          <w:szCs w:val="36"/>
          <w:highlight w:val="none"/>
          <w:lang w:val="en-US" w:eastAsia="zh-CN" w:bidi="ar-SA"/>
        </w:rPr>
        <w:t>目  录</w:t>
      </w:r>
    </w:p>
    <w:p w14:paraId="67563343">
      <w:pPr>
        <w:widowControl w:val="0"/>
        <w:topLinePunct/>
        <w:adjustRightInd w:val="0"/>
        <w:snapToGrid w:val="0"/>
        <w:spacing w:line="360" w:lineRule="auto"/>
        <w:ind w:firstLine="0" w:firstLineChars="0"/>
        <w:jc w:val="both"/>
        <w:rPr>
          <w:rFonts w:hint="eastAsia" w:ascii="宋体" w:hAnsi="宋体" w:eastAsia="楷体_GB2312" w:cs="Times New Roman"/>
          <w:bCs/>
          <w:spacing w:val="0"/>
          <w:kern w:val="0"/>
          <w:sz w:val="24"/>
          <w:szCs w:val="24"/>
          <w:highlight w:val="none"/>
          <w:lang w:val="en-US" w:eastAsia="zh-CN" w:bidi="ar-SA"/>
        </w:rPr>
      </w:pPr>
    </w:p>
    <w:p w14:paraId="35F3C82F">
      <w:pPr>
        <w:widowControl w:val="0"/>
        <w:numPr>
          <w:ilvl w:val="0"/>
          <w:numId w:val="12"/>
        </w:numPr>
        <w:topLinePunct/>
        <w:adjustRightInd w:val="0"/>
        <w:snapToGrid w:val="0"/>
        <w:spacing w:line="360" w:lineRule="auto"/>
        <w:ind w:left="960" w:hanging="960" w:firstLineChars="0"/>
        <w:jc w:val="both"/>
        <w:rPr>
          <w:rFonts w:hint="eastAsia" w:ascii="宋体" w:hAnsi="宋体" w:eastAsia="楷体_GB2312" w:cs="Times New Roman"/>
          <w:bCs/>
          <w:spacing w:val="0"/>
          <w:kern w:val="0"/>
          <w:sz w:val="24"/>
          <w:szCs w:val="24"/>
          <w:highlight w:val="none"/>
          <w:lang w:val="en-US" w:eastAsia="zh-CN" w:bidi="ar-SA"/>
        </w:rPr>
      </w:pPr>
      <w:r>
        <w:rPr>
          <w:rFonts w:hint="eastAsia" w:ascii="宋体" w:hAnsi="宋体" w:eastAsia="楷体_GB2312" w:cs="Times New Roman"/>
          <w:b/>
          <w:bCs/>
          <w:spacing w:val="0"/>
          <w:kern w:val="0"/>
          <w:sz w:val="24"/>
          <w:szCs w:val="24"/>
          <w:highlight w:val="none"/>
          <w:lang w:val="en-US" w:eastAsia="zh-CN" w:bidi="ar-SA"/>
        </w:rPr>
        <w:t>委托监理协议书</w:t>
      </w:r>
      <w:r>
        <w:rPr>
          <w:rFonts w:hint="eastAsia" w:ascii="宋体" w:hAnsi="宋体" w:eastAsia="楷体_GB2312" w:cs="Times New Roman"/>
          <w:bCs/>
          <w:spacing w:val="0"/>
          <w:kern w:val="0"/>
          <w:sz w:val="24"/>
          <w:szCs w:val="24"/>
          <w:highlight w:val="none"/>
          <w:lang w:val="en-US" w:eastAsia="zh-CN" w:bidi="ar-SA"/>
        </w:rPr>
        <w:t xml:space="preserve"> …………………………………………………………3</w:t>
      </w:r>
    </w:p>
    <w:p w14:paraId="493D0074">
      <w:pPr>
        <w:widowControl w:val="0"/>
        <w:numPr>
          <w:ilvl w:val="0"/>
          <w:numId w:val="12"/>
        </w:numPr>
        <w:topLinePunct/>
        <w:adjustRightInd w:val="0"/>
        <w:snapToGrid w:val="0"/>
        <w:spacing w:line="360" w:lineRule="auto"/>
        <w:ind w:left="960" w:hanging="960" w:firstLineChars="0"/>
        <w:jc w:val="both"/>
        <w:rPr>
          <w:rFonts w:hint="eastAsia" w:ascii="宋体" w:hAnsi="宋体" w:eastAsia="楷体_GB2312" w:cs="Times New Roman"/>
          <w:b/>
          <w:bCs/>
          <w:spacing w:val="0"/>
          <w:kern w:val="0"/>
          <w:sz w:val="24"/>
          <w:szCs w:val="24"/>
          <w:highlight w:val="none"/>
          <w:lang w:val="en-US" w:eastAsia="zh-CN" w:bidi="ar-SA"/>
        </w:rPr>
      </w:pPr>
      <w:r>
        <w:rPr>
          <w:rFonts w:hint="eastAsia" w:ascii="宋体" w:hAnsi="宋体" w:eastAsia="楷体_GB2312" w:cs="Times New Roman"/>
          <w:b/>
          <w:bCs/>
          <w:spacing w:val="0"/>
          <w:kern w:val="0"/>
          <w:sz w:val="24"/>
          <w:szCs w:val="24"/>
          <w:highlight w:val="none"/>
          <w:lang w:val="en-US" w:eastAsia="zh-CN" w:bidi="ar-SA"/>
        </w:rPr>
        <w:t xml:space="preserve">通用条款 </w:t>
      </w:r>
      <w:r>
        <w:rPr>
          <w:rFonts w:hint="eastAsia" w:ascii="宋体" w:hAnsi="宋体" w:eastAsia="楷体_GB2312" w:cs="Times New Roman"/>
          <w:bCs/>
          <w:spacing w:val="0"/>
          <w:kern w:val="0"/>
          <w:sz w:val="24"/>
          <w:szCs w:val="24"/>
          <w:highlight w:val="none"/>
          <w:lang w:val="en-US" w:eastAsia="zh-CN" w:bidi="ar-SA"/>
        </w:rPr>
        <w:t xml:space="preserve">…………………………………………………………………9      </w:t>
      </w:r>
    </w:p>
    <w:p w14:paraId="364BC108">
      <w:pPr>
        <w:widowControl w:val="0"/>
        <w:numPr>
          <w:ilvl w:val="0"/>
          <w:numId w:val="12"/>
        </w:numPr>
        <w:topLinePunct/>
        <w:adjustRightInd w:val="0"/>
        <w:snapToGrid w:val="0"/>
        <w:spacing w:line="360" w:lineRule="auto"/>
        <w:ind w:left="960" w:hanging="960" w:firstLineChars="0"/>
        <w:jc w:val="both"/>
        <w:rPr>
          <w:rFonts w:hint="eastAsia" w:ascii="宋体" w:hAnsi="宋体" w:eastAsia="楷体_GB2312" w:cs="Times New Roman"/>
          <w:b/>
          <w:bCs/>
          <w:spacing w:val="0"/>
          <w:kern w:val="0"/>
          <w:sz w:val="24"/>
          <w:szCs w:val="24"/>
          <w:highlight w:val="none"/>
          <w:lang w:val="en-US" w:eastAsia="zh-CN" w:bidi="ar-SA"/>
        </w:rPr>
      </w:pPr>
      <w:r>
        <w:rPr>
          <w:rFonts w:hint="eastAsia" w:ascii="宋体" w:hAnsi="宋体" w:eastAsia="楷体_GB2312" w:cs="Times New Roman"/>
          <w:b/>
          <w:bCs/>
          <w:spacing w:val="0"/>
          <w:kern w:val="0"/>
          <w:sz w:val="24"/>
          <w:szCs w:val="24"/>
          <w:highlight w:val="none"/>
          <w:lang w:val="en-US" w:eastAsia="zh-CN" w:bidi="ar-SA"/>
        </w:rPr>
        <w:t>专用条款</w:t>
      </w:r>
      <w:r>
        <w:rPr>
          <w:rFonts w:hint="eastAsia" w:ascii="宋体" w:hAnsi="宋体" w:eastAsia="楷体_GB2312" w:cs="Times New Roman"/>
          <w:bCs/>
          <w:spacing w:val="0"/>
          <w:kern w:val="0"/>
          <w:sz w:val="24"/>
          <w:szCs w:val="24"/>
          <w:highlight w:val="none"/>
          <w:lang w:val="en-US" w:eastAsia="zh-CN" w:bidi="ar-SA"/>
        </w:rPr>
        <w:t>…………………………………………………………………21</w:t>
      </w:r>
      <w:r>
        <w:rPr>
          <w:rFonts w:hint="eastAsia" w:ascii="宋体" w:hAnsi="宋体" w:eastAsia="楷体_GB2312" w:cs="Times New Roman"/>
          <w:b/>
          <w:bCs/>
          <w:spacing w:val="0"/>
          <w:kern w:val="0"/>
          <w:sz w:val="24"/>
          <w:szCs w:val="24"/>
          <w:highlight w:val="none"/>
          <w:lang w:val="en-US" w:eastAsia="zh-CN" w:bidi="ar-SA"/>
        </w:rPr>
        <w:t xml:space="preserve"> </w:t>
      </w:r>
    </w:p>
    <w:p w14:paraId="2272B514">
      <w:pPr>
        <w:widowControl w:val="0"/>
        <w:numPr>
          <w:ilvl w:val="0"/>
          <w:numId w:val="12"/>
        </w:numPr>
        <w:topLinePunct/>
        <w:adjustRightInd w:val="0"/>
        <w:snapToGrid w:val="0"/>
        <w:spacing w:line="360" w:lineRule="auto"/>
        <w:ind w:left="960" w:hanging="960" w:firstLineChars="0"/>
        <w:jc w:val="both"/>
        <w:rPr>
          <w:rFonts w:hint="eastAsia" w:ascii="宋体" w:hAnsi="宋体" w:eastAsia="楷体_GB2312" w:cs="Times New Roman"/>
          <w:b/>
          <w:bCs/>
          <w:spacing w:val="0"/>
          <w:kern w:val="0"/>
          <w:sz w:val="24"/>
          <w:szCs w:val="24"/>
          <w:highlight w:val="none"/>
          <w:lang w:val="en-US" w:eastAsia="zh-CN" w:bidi="ar-SA"/>
        </w:rPr>
      </w:pPr>
      <w:r>
        <w:rPr>
          <w:rFonts w:hint="eastAsia" w:ascii="宋体" w:hAnsi="宋体" w:eastAsia="楷体_GB2312" w:cs="Times New Roman"/>
          <w:b/>
          <w:bCs/>
          <w:spacing w:val="0"/>
          <w:kern w:val="0"/>
          <w:sz w:val="24"/>
          <w:szCs w:val="24"/>
          <w:highlight w:val="none"/>
          <w:lang w:val="en-US" w:eastAsia="zh-CN" w:bidi="ar-SA"/>
        </w:rPr>
        <w:t xml:space="preserve">合同附件 </w:t>
      </w:r>
      <w:r>
        <w:rPr>
          <w:rFonts w:hint="eastAsia" w:ascii="宋体" w:hAnsi="宋体" w:eastAsia="楷体_GB2312" w:cs="Times New Roman"/>
          <w:bCs/>
          <w:spacing w:val="0"/>
          <w:kern w:val="0"/>
          <w:sz w:val="24"/>
          <w:szCs w:val="24"/>
          <w:highlight w:val="none"/>
          <w:lang w:val="en-US" w:eastAsia="zh-CN" w:bidi="ar-SA"/>
        </w:rPr>
        <w:t>…………………………………………………………………66</w:t>
      </w:r>
    </w:p>
    <w:p w14:paraId="25F684C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附件1：工程建设廉洁协议书</w:t>
      </w:r>
    </w:p>
    <w:p w14:paraId="00FD2AAB">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附件2：项目监理机构及监理人员</w:t>
      </w:r>
    </w:p>
    <w:p w14:paraId="4E71F84B">
      <w:pPr>
        <w:adjustRightInd w:val="0"/>
        <w:snapToGrid w:val="0"/>
        <w:spacing w:line="360" w:lineRule="auto"/>
        <w:ind w:firstLine="720" w:firstLineChars="3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一、监理组织架构框图</w:t>
      </w:r>
    </w:p>
    <w:p w14:paraId="350833B0">
      <w:pPr>
        <w:adjustRightInd w:val="0"/>
        <w:snapToGrid w:val="0"/>
        <w:spacing w:line="360" w:lineRule="auto"/>
        <w:ind w:firstLine="720" w:firstLineChars="3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二、拟委派本项目驻场监理机构人员一览表</w:t>
      </w:r>
    </w:p>
    <w:p w14:paraId="36AE4430">
      <w:pPr>
        <w:adjustRightInd w:val="0"/>
        <w:snapToGrid w:val="0"/>
        <w:spacing w:line="360" w:lineRule="auto"/>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 xml:space="preserve">    附件3：监理检测仪器设备清单（和投标文件一致）</w:t>
      </w:r>
    </w:p>
    <w:p w14:paraId="36A31562">
      <w:pPr>
        <w:widowControl w:val="0"/>
        <w:topLinePunct/>
        <w:adjustRightInd w:val="0"/>
        <w:snapToGrid w:val="0"/>
        <w:spacing w:line="360" w:lineRule="auto"/>
        <w:ind w:firstLine="496"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napToGrid w:val="0"/>
          <w:spacing w:val="4"/>
          <w:kern w:val="0"/>
          <w:sz w:val="24"/>
          <w:szCs w:val="24"/>
          <w:highlight w:val="none"/>
          <w:lang w:val="en-US" w:eastAsia="zh-CN" w:bidi="ar-SA"/>
        </w:rPr>
        <w:t>附件4：</w:t>
      </w:r>
      <w:r>
        <w:rPr>
          <w:rFonts w:hint="eastAsia" w:ascii="宋体" w:hAnsi="宋体" w:eastAsia="宋体" w:cs="宋体"/>
          <w:bCs/>
          <w:spacing w:val="0"/>
          <w:kern w:val="0"/>
          <w:sz w:val="24"/>
          <w:szCs w:val="24"/>
          <w:highlight w:val="none"/>
          <w:lang w:val="en-US" w:eastAsia="zh-CN" w:bidi="ar-SA"/>
        </w:rPr>
        <w:t>履约保函格式</w:t>
      </w:r>
    </w:p>
    <w:p w14:paraId="7F52292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附件5：</w:t>
      </w:r>
      <w:r>
        <w:rPr>
          <w:rFonts w:hint="eastAsia" w:ascii="宋体" w:hAnsi="宋体" w:eastAsia="宋体" w:cs="宋体"/>
          <w:bCs/>
          <w:snapToGrid w:val="0"/>
          <w:spacing w:val="4"/>
          <w:kern w:val="0"/>
          <w:sz w:val="24"/>
          <w:szCs w:val="24"/>
          <w:highlight w:val="none"/>
          <w:lang w:val="en-US" w:eastAsia="zh-CN" w:bidi="ar-SA"/>
        </w:rPr>
        <w:t>省属直接管理代建项目监理单位履约评价细则（试行）</w:t>
      </w:r>
    </w:p>
    <w:p w14:paraId="2567675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附件6:VR设备技术要求</w:t>
      </w:r>
    </w:p>
    <w:p w14:paraId="19ABC0A5">
      <w:pPr>
        <w:widowControl w:val="0"/>
        <w:topLinePunct/>
        <w:adjustRightInd w:val="0"/>
        <w:snapToGrid w:val="0"/>
        <w:spacing w:line="360" w:lineRule="auto"/>
        <w:ind w:firstLine="0" w:firstLineChars="0"/>
        <w:jc w:val="both"/>
        <w:rPr>
          <w:rFonts w:hint="eastAsia" w:ascii="宋体" w:hAnsi="宋体" w:eastAsia="楷体_GB2312" w:cs="Times New Roman"/>
          <w:b/>
          <w:spacing w:val="4"/>
          <w:kern w:val="0"/>
          <w:sz w:val="24"/>
          <w:szCs w:val="24"/>
          <w:highlight w:val="none"/>
          <w:lang w:val="en-US" w:eastAsia="zh-CN" w:bidi="ar-SA"/>
        </w:rPr>
      </w:pPr>
      <w:r>
        <w:rPr>
          <w:rFonts w:hint="eastAsia" w:ascii="宋体" w:hAnsi="宋体" w:eastAsia="楷体_GB2312" w:cs="Times New Roman"/>
          <w:bCs/>
          <w:snapToGrid w:val="0"/>
          <w:spacing w:val="4"/>
          <w:kern w:val="0"/>
          <w:sz w:val="24"/>
          <w:szCs w:val="24"/>
          <w:highlight w:val="none"/>
          <w:lang w:val="en-US" w:eastAsia="zh-CN" w:bidi="ar-SA"/>
        </w:rPr>
        <w:br w:type="page"/>
      </w:r>
    </w:p>
    <w:p w14:paraId="249AA764">
      <w:pPr>
        <w:topLinePunct/>
        <w:adjustRightInd w:val="0"/>
        <w:snapToGrid w:val="0"/>
        <w:spacing w:line="360" w:lineRule="auto"/>
        <w:jc w:val="center"/>
        <w:outlineLvl w:val="1"/>
        <w:rPr>
          <w:rFonts w:hint="eastAsia" w:ascii="宋体" w:hAnsi="宋体" w:eastAsia="楷体_GB2312" w:cs="Times New Roman"/>
          <w:snapToGrid w:val="0"/>
          <w:kern w:val="0"/>
          <w:sz w:val="44"/>
          <w:szCs w:val="44"/>
          <w:highlight w:val="none"/>
        </w:rPr>
      </w:pPr>
      <w:bookmarkStart w:id="19" w:name="_Toc403660590"/>
      <w:r>
        <w:rPr>
          <w:rFonts w:hint="eastAsia" w:ascii="宋体" w:hAnsi="宋体" w:eastAsia="楷体_GB2312" w:cs="Times New Roman"/>
          <w:snapToGrid w:val="0"/>
          <w:kern w:val="0"/>
          <w:sz w:val="44"/>
          <w:szCs w:val="44"/>
          <w:highlight w:val="none"/>
        </w:rPr>
        <w:t>第一部分  委托监理协议书</w:t>
      </w:r>
      <w:bookmarkEnd w:id="19"/>
    </w:p>
    <w:p w14:paraId="41F7BB75">
      <w:pPr>
        <w:rPr>
          <w:rFonts w:hint="eastAsia" w:ascii="宋体" w:hAnsi="宋体" w:eastAsia="楷体_GB2312" w:cs="Times New Roman"/>
          <w:b/>
          <w:snapToGrid w:val="0"/>
          <w:kern w:val="0"/>
          <w:sz w:val="24"/>
          <w:szCs w:val="24"/>
          <w:highlight w:val="none"/>
        </w:rPr>
      </w:pPr>
    </w:p>
    <w:p w14:paraId="64F8414E">
      <w:pPr>
        <w:topLinePunct/>
        <w:adjustRightInd w:val="0"/>
        <w:snapToGrid w:val="0"/>
        <w:spacing w:line="312" w:lineRule="auto"/>
        <w:ind w:firstLine="482" w:firstLineChars="200"/>
        <w:rPr>
          <w:rFonts w:hint="eastAsia" w:ascii="宋体" w:hAnsi="宋体" w:eastAsia="楷体_GB2312" w:cs="Times New Roman"/>
          <w:snapToGrid w:val="0"/>
          <w:kern w:val="0"/>
          <w:sz w:val="44"/>
          <w:szCs w:val="44"/>
          <w:highlight w:val="none"/>
        </w:rPr>
      </w:pPr>
      <w:r>
        <w:rPr>
          <w:rFonts w:hint="eastAsia" w:ascii="宋体" w:hAnsi="宋体" w:eastAsia="楷体_GB2312" w:cs="Times New Roman"/>
          <w:b/>
          <w:snapToGrid w:val="0"/>
          <w:kern w:val="0"/>
          <w:sz w:val="24"/>
          <w:highlight w:val="none"/>
          <w:u w:val="single"/>
        </w:rPr>
        <w:t>广东省代建项目管理局</w:t>
      </w:r>
      <w:r>
        <w:rPr>
          <w:rFonts w:hint="eastAsia" w:ascii="宋体" w:hAnsi="宋体" w:eastAsia="楷体_GB2312" w:cs="Times New Roman"/>
          <w:snapToGrid w:val="0"/>
          <w:kern w:val="0"/>
          <w:sz w:val="24"/>
          <w:highlight w:val="none"/>
        </w:rPr>
        <w:t>（以下称委</w:t>
      </w:r>
      <w:r>
        <w:rPr>
          <w:rFonts w:hint="eastAsia" w:ascii="宋体" w:hAnsi="宋体" w:eastAsia="宋体" w:cs="宋体"/>
          <w:snapToGrid w:val="0"/>
          <w:kern w:val="0"/>
          <w:sz w:val="24"/>
          <w:highlight w:val="none"/>
        </w:rPr>
        <w:t>托人或甲方）与</w:t>
      </w:r>
      <w:r>
        <w:rPr>
          <w:rFonts w:hint="eastAsia" w:ascii="宋体" w:hAnsi="宋体" w:eastAsia="宋体" w:cs="宋体"/>
          <w:b/>
          <w:snapToGrid w:val="0"/>
          <w:kern w:val="0"/>
          <w:sz w:val="24"/>
          <w:highlight w:val="none"/>
          <w:u w:val="single"/>
        </w:rPr>
        <w:t xml:space="preserve">     </w:t>
      </w:r>
      <w:r>
        <w:rPr>
          <w:rFonts w:hint="eastAsia" w:ascii="宋体" w:hAnsi="宋体" w:eastAsia="楷体_GB2312" w:cs="Times New Roman"/>
          <w:b/>
          <w:snapToGrid w:val="0"/>
          <w:kern w:val="0"/>
          <w:sz w:val="24"/>
          <w:highlight w:val="none"/>
          <w:u w:val="single"/>
        </w:rPr>
        <w:t xml:space="preserve">  </w:t>
      </w:r>
      <w:r>
        <w:rPr>
          <w:rFonts w:hint="eastAsia" w:ascii="宋体" w:hAnsi="宋体" w:eastAsia="楷体_GB2312" w:cs="Times New Roman"/>
          <w:b/>
          <w:snapToGrid w:val="0"/>
          <w:kern w:val="0"/>
          <w:sz w:val="24"/>
          <w:highlight w:val="none"/>
          <w:u w:val="single"/>
          <w:lang w:val="en-US" w:eastAsia="zh-CN"/>
        </w:rPr>
        <w:t xml:space="preserve">         </w:t>
      </w:r>
      <w:r>
        <w:rPr>
          <w:rFonts w:hint="eastAsia" w:ascii="宋体" w:hAnsi="宋体" w:eastAsia="楷体_GB2312" w:cs="Times New Roman"/>
          <w:b/>
          <w:snapToGrid w:val="0"/>
          <w:kern w:val="0"/>
          <w:sz w:val="24"/>
          <w:highlight w:val="none"/>
          <w:u w:val="single"/>
        </w:rPr>
        <w:t xml:space="preserve">       </w:t>
      </w:r>
      <w:r>
        <w:rPr>
          <w:rFonts w:hint="eastAsia" w:ascii="宋体" w:hAnsi="宋体" w:eastAsia="楷体_GB2312" w:cs="Times New Roman"/>
          <w:snapToGrid w:val="0"/>
          <w:kern w:val="0"/>
          <w:sz w:val="24"/>
          <w:highlight w:val="none"/>
        </w:rPr>
        <w:t>（以下称监理人或乙方）依照《中华人民共和国民法典》、《中华人民共和国建筑法》、《中华人民共和国招标投标法》、《中华人民共和国招标投标法实施条例》及其他有关法律、行政法规、部门规章、地方性法规和规章，遵循平等、自愿、公平和诚实信用的原则，双方就</w:t>
      </w:r>
      <w:r>
        <w:rPr>
          <w:rFonts w:hint="eastAsia" w:ascii="宋体" w:hAnsi="宋体" w:eastAsia="楷体_GB2312" w:cs="Times New Roman"/>
          <w:snapToGrid w:val="0"/>
          <w:kern w:val="0"/>
          <w:sz w:val="24"/>
          <w:szCs w:val="22"/>
          <w:highlight w:val="none"/>
        </w:rPr>
        <w:t>（项目名称）</w:t>
      </w:r>
      <w:r>
        <w:rPr>
          <w:rFonts w:hint="eastAsia" w:ascii="宋体" w:hAnsi="宋体" w:eastAsia="楷体_GB2312" w:cs="宋体"/>
          <w:kern w:val="0"/>
          <w:sz w:val="24"/>
          <w:szCs w:val="24"/>
          <w:highlight w:val="none"/>
          <w:u w:val="single"/>
          <w:lang w:eastAsia="zh-CN"/>
        </w:rPr>
        <w:t>广东石油化工学院西城校区图书馆工程项目</w:t>
      </w:r>
      <w:r>
        <w:rPr>
          <w:rFonts w:hint="eastAsia" w:ascii="宋体" w:hAnsi="宋体" w:eastAsia="楷体_GB2312" w:cs="Times New Roman"/>
          <w:snapToGrid w:val="0"/>
          <w:kern w:val="0"/>
          <w:sz w:val="24"/>
          <w:highlight w:val="none"/>
        </w:rPr>
        <w:t>委托监理事宜协商一致，订立本合同。</w:t>
      </w:r>
      <w:r>
        <w:rPr>
          <w:rFonts w:hint="eastAsia" w:ascii="宋体" w:hAnsi="宋体" w:eastAsia="楷体_GB2312" w:cs="Times New Roman"/>
          <w:snapToGrid w:val="0"/>
          <w:kern w:val="0"/>
          <w:sz w:val="44"/>
          <w:szCs w:val="44"/>
          <w:highlight w:val="none"/>
        </w:rPr>
        <w:t xml:space="preserve"> </w:t>
      </w:r>
    </w:p>
    <w:p w14:paraId="2455327F">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p>
    <w:p w14:paraId="50E5B72B">
      <w:pPr>
        <w:topLinePunct/>
        <w:adjustRightInd w:val="0"/>
        <w:snapToGrid w:val="0"/>
        <w:spacing w:line="312" w:lineRule="auto"/>
        <w:ind w:firstLine="482" w:firstLineChars="200"/>
        <w:rPr>
          <w:rFonts w:hint="eastAsia" w:ascii="宋体" w:hAnsi="宋体" w:eastAsia="楷体_GB2312" w:cs="Times New Roman"/>
          <w:b/>
          <w:snapToGrid w:val="0"/>
          <w:kern w:val="0"/>
          <w:sz w:val="24"/>
          <w:szCs w:val="24"/>
          <w:highlight w:val="none"/>
        </w:rPr>
      </w:pPr>
      <w:r>
        <w:rPr>
          <w:rFonts w:hint="eastAsia" w:ascii="宋体" w:hAnsi="宋体" w:eastAsia="楷体_GB2312" w:cs="Times New Roman"/>
          <w:b/>
          <w:snapToGrid w:val="0"/>
          <w:kern w:val="0"/>
          <w:sz w:val="24"/>
          <w:highlight w:val="none"/>
        </w:rPr>
        <w:t>一、工程概况</w:t>
      </w:r>
    </w:p>
    <w:p w14:paraId="20C5D62A">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（1）工程名称：</w:t>
      </w:r>
      <w:r>
        <w:rPr>
          <w:rFonts w:hint="eastAsia" w:ascii="宋体" w:hAnsi="宋体" w:eastAsia="楷体_GB2312" w:cs="宋体"/>
          <w:kern w:val="0"/>
          <w:sz w:val="24"/>
          <w:szCs w:val="24"/>
          <w:highlight w:val="none"/>
          <w:u w:val="single"/>
          <w:lang w:eastAsia="zh-CN"/>
        </w:rPr>
        <w:t>广东石油化工学院西城校区图书馆工程项目</w:t>
      </w:r>
      <w:r>
        <w:rPr>
          <w:rFonts w:hint="eastAsia" w:ascii="宋体" w:hAnsi="宋体" w:eastAsia="楷体_GB2312" w:cs="Times New Roman"/>
          <w:snapToGrid w:val="0"/>
          <w:kern w:val="0"/>
          <w:sz w:val="24"/>
          <w:highlight w:val="none"/>
        </w:rPr>
        <w:t>（简称本合同工程）。</w:t>
      </w:r>
    </w:p>
    <w:p w14:paraId="3C240E4A">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u w:val="single"/>
        </w:rPr>
      </w:pPr>
      <w:r>
        <w:rPr>
          <w:rFonts w:hint="eastAsia" w:ascii="宋体" w:hAnsi="宋体" w:eastAsia="楷体_GB2312" w:cs="Times New Roman"/>
          <w:snapToGrid w:val="0"/>
          <w:kern w:val="0"/>
          <w:sz w:val="24"/>
          <w:highlight w:val="none"/>
        </w:rPr>
        <w:t>（2）工程地点：</w:t>
      </w:r>
      <w:r>
        <w:rPr>
          <w:rFonts w:hint="eastAsia" w:ascii="宋体" w:hAnsi="宋体" w:eastAsia="楷体_GB2312" w:cs="Times New Roman"/>
          <w:snapToGrid w:val="0"/>
          <w:kern w:val="0"/>
          <w:sz w:val="24"/>
          <w:highlight w:val="none"/>
          <w:u w:val="single"/>
        </w:rPr>
        <w:t>茂名市茂南区公馆镇科创路1号广东石油化工学院西城校区内</w:t>
      </w:r>
      <w:r>
        <w:rPr>
          <w:rFonts w:hint="eastAsia" w:ascii="宋体" w:hAnsi="宋体" w:eastAsia="楷体_GB2312" w:cs="宋体"/>
          <w:kern w:val="0"/>
          <w:sz w:val="24"/>
          <w:szCs w:val="24"/>
          <w:highlight w:val="none"/>
          <w:u w:val="single"/>
        </w:rPr>
        <w:t>。</w:t>
      </w:r>
    </w:p>
    <w:p w14:paraId="429629C7">
      <w:pPr>
        <w:topLinePunct/>
        <w:adjustRightInd w:val="0"/>
        <w:snapToGrid w:val="0"/>
        <w:spacing w:line="312" w:lineRule="auto"/>
        <w:ind w:firstLine="480" w:firstLineChars="200"/>
        <w:rPr>
          <w:rFonts w:hint="eastAsia" w:ascii="Times New Roman" w:hAnsi="Times New Roman" w:eastAsia="楷体_GB2312" w:cs="Times New Roman"/>
          <w:snapToGrid w:val="0"/>
          <w:spacing w:val="4"/>
          <w:kern w:val="0"/>
          <w:sz w:val="24"/>
          <w:highlight w:val="none"/>
          <w:u w:val="single"/>
        </w:rPr>
      </w:pPr>
      <w:r>
        <w:rPr>
          <w:rFonts w:hint="eastAsia" w:ascii="宋体" w:hAnsi="宋体" w:eastAsia="楷体_GB2312" w:cs="Times New Roman"/>
          <w:snapToGrid w:val="0"/>
          <w:kern w:val="0"/>
          <w:sz w:val="24"/>
          <w:highlight w:val="none"/>
        </w:rPr>
        <w:t>（3）工程规模：</w:t>
      </w:r>
      <w:r>
        <w:rPr>
          <w:rFonts w:hint="eastAsia" w:ascii="宋体" w:hAnsi="宋体" w:eastAsia="楷体_GB2312" w:cs="Times New Roman"/>
          <w:snapToGrid w:val="0"/>
          <w:kern w:val="0"/>
          <w:sz w:val="24"/>
          <w:highlight w:val="none"/>
          <w:u w:val="single"/>
        </w:rPr>
        <w:t>项目总建筑面积35524平方米，包括地上建筑面积31457平方米，地下室建筑面积4067平方米。主要建设内容包括新建图书馆和院系资料室、人防地下室，标识工程、雨水调蓄池，以及周边道路、广场、绿化等。项目建设工期为18个月。项目概算总投资17195万元，其中：工程费用14540万元，工程建设其他费用1836万元，预备费819万元。项目最大单体建筑面积35524平方米，最大单跨跨度25.05平方米，最大建筑高度55米，地上12层，地下1层。</w:t>
      </w:r>
      <w:r>
        <w:rPr>
          <w:rFonts w:hint="eastAsia" w:ascii="宋体" w:hAnsi="宋体" w:eastAsia="楷体_GB2312" w:cs="Times New Roman"/>
          <w:b/>
          <w:snapToGrid w:val="0"/>
          <w:kern w:val="0"/>
          <w:sz w:val="24"/>
          <w:highlight w:val="none"/>
          <w:u w:val="single"/>
        </w:rPr>
        <w:t>（</w:t>
      </w:r>
      <w:r>
        <w:rPr>
          <w:rFonts w:hint="eastAsia" w:ascii="宋体" w:hAnsi="宋体" w:eastAsia="宋体" w:cs="宋体"/>
          <w:b/>
          <w:snapToGrid w:val="0"/>
          <w:kern w:val="0"/>
          <w:sz w:val="24"/>
          <w:highlight w:val="none"/>
          <w:u w:val="single"/>
        </w:rPr>
        <w:t>具体以招标人确认的施工图为准</w:t>
      </w:r>
      <w:r>
        <w:rPr>
          <w:rFonts w:hint="eastAsia" w:ascii="宋体" w:hAnsi="宋体" w:eastAsia="楷体_GB2312" w:cs="Times New Roman"/>
          <w:b/>
          <w:snapToGrid w:val="0"/>
          <w:kern w:val="0"/>
          <w:sz w:val="24"/>
          <w:highlight w:val="none"/>
          <w:u w:val="single"/>
        </w:rPr>
        <w:t>）。</w:t>
      </w:r>
      <w:r>
        <w:rPr>
          <w:rFonts w:hint="eastAsia" w:ascii="宋体" w:hAnsi="宋体" w:eastAsia="楷体_GB2312" w:cs="Times New Roman"/>
          <w:snapToGrid w:val="0"/>
          <w:kern w:val="0"/>
          <w:sz w:val="24"/>
          <w:highlight w:val="none"/>
        </w:rPr>
        <w:t>在合同履行期内，委托人有权调整合同的建设规模，并按协议书的约定结算监理酬金。</w:t>
      </w:r>
    </w:p>
    <w:p w14:paraId="2DCBB1BD">
      <w:pPr>
        <w:topLinePunct/>
        <w:adjustRightInd w:val="0"/>
        <w:snapToGrid w:val="0"/>
        <w:spacing w:line="312" w:lineRule="auto"/>
        <w:ind w:firstLine="480" w:firstLineChars="200"/>
        <w:rPr>
          <w:rFonts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在本合同履行期内，委托人有权调整本合同工程的建设规模，并按本协议书第3.1款的约定结算监理酬金。</w:t>
      </w:r>
    </w:p>
    <w:p w14:paraId="24D3E63B">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（4）工程建安费估算：</w:t>
      </w:r>
      <w:r>
        <w:rPr>
          <w:rFonts w:hint="eastAsia" w:ascii="宋体" w:hAnsi="宋体" w:eastAsia="楷体_GB2312" w:cs="Times New Roman"/>
          <w:bCs/>
          <w:kern w:val="0"/>
          <w:sz w:val="24"/>
          <w:highlight w:val="none"/>
          <w:u w:val="single"/>
          <w:lang w:val="en-US" w:eastAsia="zh-CN"/>
        </w:rPr>
        <w:t xml:space="preserve">         </w:t>
      </w:r>
      <w:r>
        <w:rPr>
          <w:rFonts w:hint="eastAsia" w:ascii="宋体" w:hAnsi="宋体" w:eastAsia="楷体_GB2312" w:cs="Times New Roman"/>
          <w:snapToGrid w:val="0"/>
          <w:kern w:val="0"/>
          <w:sz w:val="24"/>
          <w:highlight w:val="none"/>
        </w:rPr>
        <w:t>万元。</w:t>
      </w:r>
    </w:p>
    <w:p w14:paraId="32E45558">
      <w:pPr>
        <w:topLinePunct/>
        <w:adjustRightInd w:val="0"/>
        <w:snapToGrid w:val="0"/>
        <w:spacing w:line="312" w:lineRule="auto"/>
        <w:ind w:firstLine="480" w:firstLineChars="200"/>
        <w:rPr>
          <w:rFonts w:hint="eastAsia" w:ascii="宋体" w:hAnsi="宋体" w:eastAsia="宋体" w:cs="宋体"/>
          <w:snapToGrid w:val="0"/>
          <w:spacing w:val="4"/>
          <w:kern w:val="0"/>
          <w:sz w:val="24"/>
          <w:szCs w:val="21"/>
          <w:highlight w:val="none"/>
        </w:rPr>
      </w:pPr>
      <w:r>
        <w:rPr>
          <w:rFonts w:hint="eastAsia" w:ascii="宋体" w:hAnsi="宋体" w:eastAsia="楷体_GB2312" w:cs="Times New Roman"/>
          <w:snapToGrid w:val="0"/>
          <w:kern w:val="0"/>
          <w:sz w:val="24"/>
          <w:highlight w:val="none"/>
        </w:rPr>
        <w:t>（5）</w:t>
      </w:r>
      <w:r>
        <w:rPr>
          <w:rFonts w:hint="eastAsia" w:ascii="宋体" w:hAnsi="宋体" w:eastAsia="楷体_GB2312" w:cs="Times New Roman"/>
          <w:snapToGrid w:val="0"/>
          <w:spacing w:val="4"/>
          <w:kern w:val="0"/>
          <w:sz w:val="24"/>
          <w:szCs w:val="21"/>
          <w:highlight w:val="none"/>
        </w:rPr>
        <w:t>监</w:t>
      </w:r>
      <w:r>
        <w:rPr>
          <w:rFonts w:hint="eastAsia" w:ascii="宋体" w:hAnsi="宋体" w:eastAsia="宋体" w:cs="宋体"/>
          <w:snapToGrid w:val="0"/>
          <w:spacing w:val="4"/>
          <w:kern w:val="0"/>
          <w:sz w:val="24"/>
          <w:szCs w:val="21"/>
          <w:highlight w:val="none"/>
        </w:rPr>
        <w:t>理目标：</w:t>
      </w:r>
    </w:p>
    <w:p w14:paraId="72FB7D5E">
      <w:pPr>
        <w:spacing w:line="360" w:lineRule="auto"/>
        <w:ind w:left="2279" w:leftChars="171" w:hanging="1920" w:hanging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①质量控制目标：按照国家最新颁布《建筑工程施工质量验收统一标准》及相应配套的各专业验收规范，一次验收合格。</w:t>
      </w:r>
    </w:p>
    <w:p w14:paraId="64BD601B">
      <w:pPr>
        <w:spacing w:line="360" w:lineRule="auto"/>
        <w:ind w:left="2279" w:leftChars="171" w:hanging="1920" w:hanging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②进度控制目标：本项目施工期暂定为</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val="en-US" w:eastAsia="zh-CN"/>
        </w:rPr>
        <w:t xml:space="preserve">   </w:t>
      </w:r>
      <w:r>
        <w:rPr>
          <w:rFonts w:hint="eastAsia" w:ascii="宋体" w:hAnsi="宋体" w:eastAsia="宋体" w:cs="宋体"/>
          <w:bCs/>
          <w:kern w:val="0"/>
          <w:sz w:val="24"/>
          <w:szCs w:val="24"/>
          <w:highlight w:val="none"/>
          <w:u w:val="single"/>
        </w:rPr>
        <w:t xml:space="preserve"> </w:t>
      </w:r>
      <w:r>
        <w:rPr>
          <w:rFonts w:hint="eastAsia" w:ascii="宋体" w:hAnsi="宋体" w:eastAsia="宋体" w:cs="宋体"/>
          <w:kern w:val="0"/>
          <w:sz w:val="24"/>
          <w:szCs w:val="24"/>
          <w:highlight w:val="none"/>
        </w:rPr>
        <w:t>日历天 ，监理人应督促施工单位确保本工程按期或提前完成。</w:t>
      </w:r>
    </w:p>
    <w:p w14:paraId="2432A515">
      <w:pPr>
        <w:spacing w:line="360" w:lineRule="auto"/>
        <w:ind w:left="2279" w:leftChars="171" w:hanging="1920" w:hanging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③造价控制目标：所监理项目的结算的建安工程费不超过本项目概算批复中对应的建安工程费。</w:t>
      </w:r>
    </w:p>
    <w:p w14:paraId="618C481D">
      <w:pPr>
        <w:spacing w:line="360" w:lineRule="auto"/>
        <w:ind w:left="315" w:leftChars="150" w:firstLine="50" w:firstLineChars="21"/>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④安全文明管理目标：确保不发生一般事故等级及以上的安全生产事故且死亡人数为零，达到省级及项目所在地安全生产文明施工示范工地标准；确保有关建设人员不违反使用单位安全监管规定。</w:t>
      </w:r>
    </w:p>
    <w:p w14:paraId="20A5EAC4">
      <w:pPr>
        <w:spacing w:line="360" w:lineRule="auto"/>
        <w:ind w:left="315" w:leftChars="150" w:firstLine="50" w:firstLineChars="21"/>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⑤</w:t>
      </w:r>
      <w:r>
        <w:rPr>
          <w:rFonts w:hint="eastAsia" w:ascii="宋体" w:hAnsi="宋体" w:eastAsia="宋体" w:cs="宋体"/>
          <w:snapToGrid w:val="0"/>
          <w:kern w:val="0"/>
          <w:sz w:val="24"/>
          <w:highlight w:val="none"/>
        </w:rPr>
        <w:t>环境管理目标：</w:t>
      </w:r>
      <w:r>
        <w:rPr>
          <w:rFonts w:hint="eastAsia" w:ascii="宋体" w:hAnsi="宋体" w:eastAsia="宋体" w:cs="宋体"/>
          <w:snapToGrid w:val="0"/>
          <w:sz w:val="24"/>
          <w:highlight w:val="none"/>
        </w:rPr>
        <w:t>符合国家、省、市关于文明绿色施工、环保管理等方面的现行标准、规定和文件要求。</w:t>
      </w:r>
    </w:p>
    <w:p w14:paraId="4B1F15C2">
      <w:pPr>
        <w:topLinePunct/>
        <w:adjustRightInd w:val="0"/>
        <w:snapToGrid w:val="0"/>
        <w:spacing w:line="312" w:lineRule="auto"/>
        <w:ind w:firstLine="480" w:firstLineChars="200"/>
        <w:rPr>
          <w:rFonts w:hint="eastAsia" w:ascii="宋体" w:hAnsi="宋体" w:eastAsia="宋体" w:cs="宋体"/>
          <w:snapToGrid w:val="0"/>
          <w:kern w:val="0"/>
          <w:sz w:val="24"/>
          <w:highlight w:val="none"/>
        </w:rPr>
      </w:pPr>
    </w:p>
    <w:p w14:paraId="03C84A21">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二、监理服务范围</w:t>
      </w:r>
    </w:p>
    <w:p w14:paraId="71BFF99D">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2.1监理范围</w:t>
      </w:r>
    </w:p>
    <w:p w14:paraId="405AFDF5">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（1）</w:t>
      </w:r>
      <w:r>
        <w:rPr>
          <w:rFonts w:hint="eastAsia" w:ascii="宋体" w:hAnsi="宋体" w:eastAsia="楷体_GB2312" w:cs="Times New Roman"/>
          <w:snapToGrid w:val="0"/>
          <w:kern w:val="0"/>
          <w:sz w:val="24"/>
          <w:szCs w:val="22"/>
          <w:highlight w:val="none"/>
        </w:rPr>
        <w:t>（项目名称）</w:t>
      </w:r>
      <w:r>
        <w:rPr>
          <w:rFonts w:hint="eastAsia" w:ascii="宋体" w:hAnsi="宋体" w:eastAsia="楷体_GB2312" w:cs="宋体"/>
          <w:kern w:val="0"/>
          <w:sz w:val="24"/>
          <w:szCs w:val="24"/>
          <w:highlight w:val="none"/>
          <w:u w:val="single"/>
          <w:lang w:eastAsia="zh-CN"/>
        </w:rPr>
        <w:t>广东石油化工学院西城校区图书馆工程项目</w:t>
      </w:r>
      <w:r>
        <w:rPr>
          <w:rFonts w:hint="eastAsia" w:ascii="宋体" w:hAnsi="宋体" w:eastAsia="楷体_GB2312" w:cs="Times New Roman"/>
          <w:bCs/>
          <w:kern w:val="0"/>
          <w:sz w:val="32"/>
          <w:highlight w:val="none"/>
          <w:u w:val="single"/>
        </w:rPr>
        <w:t xml:space="preserve"> </w:t>
      </w:r>
      <w:r>
        <w:rPr>
          <w:rFonts w:hint="eastAsia" w:ascii="宋体" w:hAnsi="宋体" w:eastAsia="楷体_GB2312" w:cs="Times New Roman"/>
          <w:snapToGrid w:val="0"/>
          <w:kern w:val="0"/>
          <w:sz w:val="24"/>
          <w:highlight w:val="none"/>
        </w:rPr>
        <w:t>施工准备阶段、施工阶段、工程质量保修期的质量监督、安全生产监督管理、投资控制、进度控制、合同管理、信息管理、组织协调；协调各进驻单位同步建设，对各进驻单位进度统一调控，避免相互干扰，确保实现工程的总体目标。监理工作须满足监理规范职责要求。</w:t>
      </w:r>
    </w:p>
    <w:p w14:paraId="106F3859">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（2）按委托人的要求提前进场参与开工前期的准备和筹划工作，协助委托人对施工图纸提出意见，制定工程管理办法、各参建方职责及有关事务性工作等。</w:t>
      </w:r>
    </w:p>
    <w:p w14:paraId="66926533">
      <w:pPr>
        <w:widowControl w:val="0"/>
        <w:spacing w:line="360" w:lineRule="auto"/>
        <w:ind w:firstLine="420"/>
        <w:jc w:val="both"/>
        <w:rPr>
          <w:rFonts w:hint="eastAsia" w:ascii="宋体" w:hAnsi="宋体" w:eastAsia="楷体_GB2312" w:cs="Times New Roman"/>
          <w:snapToGrid w:val="0"/>
          <w:sz w:val="24"/>
          <w:szCs w:val="22"/>
          <w:highlight w:val="none"/>
          <w:lang w:val="en-US" w:eastAsia="zh-CN" w:bidi="ar-SA"/>
        </w:rPr>
      </w:pPr>
      <w:r>
        <w:rPr>
          <w:rFonts w:hint="eastAsia" w:ascii="宋体" w:hAnsi="宋体" w:eastAsia="楷体_GB2312" w:cs="Times New Roman"/>
          <w:snapToGrid w:val="0"/>
          <w:sz w:val="24"/>
          <w:szCs w:val="22"/>
          <w:highlight w:val="none"/>
          <w:lang w:val="en-US" w:eastAsia="zh-CN" w:bidi="ar-SA"/>
        </w:rPr>
        <w:t>（3）</w:t>
      </w:r>
      <w:r>
        <w:rPr>
          <w:rFonts w:hint="eastAsia" w:ascii="宋体" w:hAnsi="宋体" w:eastAsia="宋体" w:cs="宋体"/>
          <w:sz w:val="24"/>
          <w:szCs w:val="20"/>
          <w:highlight w:val="none"/>
          <w:lang w:val="en-US" w:eastAsia="zh-CN" w:bidi="ar-SA"/>
        </w:rPr>
        <w:sym w:font="Wingdings" w:char="00A8"/>
      </w:r>
      <w:r>
        <w:rPr>
          <w:rFonts w:hint="eastAsia" w:ascii="宋体" w:hAnsi="宋体" w:eastAsia="宋体" w:cs="宋体"/>
          <w:sz w:val="24"/>
          <w:szCs w:val="20"/>
          <w:highlight w:val="none"/>
          <w:lang w:val="en-US" w:eastAsia="zh-CN" w:bidi="ar-SA"/>
        </w:rPr>
        <w:t>不需要</w:t>
      </w:r>
      <w:r>
        <w:rPr>
          <w:rFonts w:hint="eastAsia" w:ascii="宋体" w:hAnsi="宋体" w:eastAsia="宋体" w:cs="宋体"/>
          <w:sz w:val="24"/>
          <w:szCs w:val="20"/>
          <w:highlight w:val="none"/>
          <w:lang w:val="en-US" w:eastAsia="zh-CN" w:bidi="ar-SA"/>
        </w:rPr>
        <w:sym w:font="Wingdings" w:char="00FE"/>
      </w:r>
      <w:r>
        <w:rPr>
          <w:rFonts w:hint="eastAsia" w:ascii="宋体" w:hAnsi="宋体" w:eastAsia="宋体" w:cs="宋体"/>
          <w:sz w:val="24"/>
          <w:szCs w:val="20"/>
          <w:highlight w:val="none"/>
          <w:lang w:val="en-US" w:eastAsia="zh-CN" w:bidi="ar-SA"/>
        </w:rPr>
        <w:t>需要BIM应用：</w:t>
      </w:r>
      <w:r>
        <w:rPr>
          <w:rFonts w:hint="eastAsia" w:ascii="宋体" w:hAnsi="宋体" w:eastAsia="楷体_GB2312" w:cs="Times New Roman"/>
          <w:snapToGrid w:val="0"/>
          <w:sz w:val="24"/>
          <w:szCs w:val="22"/>
          <w:highlight w:val="none"/>
          <w:lang w:val="en-US" w:eastAsia="zh-CN" w:bidi="ar-SA"/>
        </w:rPr>
        <w:t>熟悉本项目的BIM技术方案，运用从本项目方案设计开始建立的BIM模型对施工各个阶段进行监督管理。</w:t>
      </w:r>
    </w:p>
    <w:p w14:paraId="44C55B5B">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2.2工程内容</w:t>
      </w:r>
    </w:p>
    <w:p w14:paraId="7EC909A8">
      <w:pPr>
        <w:topLinePunct/>
        <w:adjustRightInd w:val="0"/>
        <w:snapToGrid w:val="0"/>
        <w:spacing w:line="312" w:lineRule="auto"/>
        <w:ind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包括但不限于</w:t>
      </w:r>
      <w:r>
        <w:rPr>
          <w:rFonts w:hint="eastAsia" w:ascii="宋体" w:hAnsi="宋体" w:eastAsia="楷体_GB2312" w:cs="Times New Roman"/>
          <w:snapToGrid w:val="0"/>
          <w:kern w:val="0"/>
          <w:sz w:val="24"/>
          <w:szCs w:val="22"/>
          <w:highlight w:val="none"/>
        </w:rPr>
        <w:t>（项目名称）</w:t>
      </w:r>
      <w:r>
        <w:rPr>
          <w:rFonts w:hint="eastAsia" w:ascii="宋体" w:hAnsi="宋体" w:eastAsia="楷体_GB2312" w:cs="宋体"/>
          <w:kern w:val="0"/>
          <w:sz w:val="24"/>
          <w:szCs w:val="24"/>
          <w:highlight w:val="none"/>
          <w:u w:val="single"/>
          <w:lang w:eastAsia="zh-CN"/>
        </w:rPr>
        <w:t>广东石油化工学院西城校区图书馆工程项目</w:t>
      </w:r>
      <w:r>
        <w:rPr>
          <w:rFonts w:hint="eastAsia" w:ascii="宋体" w:hAnsi="宋体" w:eastAsia="楷体_GB2312" w:cs="Times New Roman"/>
          <w:b/>
          <w:snapToGrid w:val="0"/>
          <w:kern w:val="0"/>
          <w:sz w:val="24"/>
          <w:highlight w:val="none"/>
        </w:rPr>
        <w:t>施工监理</w:t>
      </w:r>
      <w:r>
        <w:rPr>
          <w:rFonts w:hint="eastAsia" w:ascii="宋体" w:hAnsi="宋体" w:eastAsia="楷体_GB2312" w:cs="Times New Roman"/>
          <w:snapToGrid w:val="0"/>
          <w:kern w:val="0"/>
          <w:sz w:val="24"/>
          <w:highlight w:val="none"/>
        </w:rPr>
        <w:t>的以下内容：土建、装修（含二次装饰）、人防、机电安装（室内外供配电、电气、给排水、防雷、暖通、电梯、消防、设备检验）、智能化工程、园林绿化、燃气工程、市政配套等工程。</w:t>
      </w:r>
    </w:p>
    <w:p w14:paraId="0A8557FA">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2.3监理服务期</w:t>
      </w:r>
    </w:p>
    <w:p w14:paraId="626DFEC0">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从签订合同之日起，至本项目工程质量保修阶段结束且本合同工程结算金额经有权审核部门审定之日止（以后到日期为准）。监理人须实行全过程监理服务，其中，施工阶段的监理服务期自工程开工之日起开始计算，暂定</w:t>
      </w:r>
      <w:r>
        <w:rPr>
          <w:rFonts w:hint="eastAsia" w:ascii="宋体" w:hAnsi="宋体" w:eastAsia="宋体" w:cs="宋体"/>
          <w:bCs/>
          <w:snapToGrid w:val="0"/>
          <w:kern w:val="0"/>
          <w:sz w:val="24"/>
          <w:szCs w:val="24"/>
          <w:highlight w:val="none"/>
        </w:rPr>
        <w:t>为</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val="en-US" w:eastAsia="zh-CN"/>
        </w:rPr>
        <w:t xml:space="preserve">   </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snapToGrid w:val="0"/>
          <w:kern w:val="0"/>
          <w:sz w:val="24"/>
          <w:szCs w:val="24"/>
          <w:highlight w:val="none"/>
        </w:rPr>
        <w:t>日历</w:t>
      </w:r>
      <w:r>
        <w:rPr>
          <w:rFonts w:hint="eastAsia" w:ascii="宋体" w:hAnsi="宋体" w:eastAsia="宋体" w:cs="宋体"/>
          <w:bCs/>
          <w:snapToGrid w:val="0"/>
          <w:kern w:val="0"/>
          <w:sz w:val="24"/>
          <w:highlight w:val="none"/>
        </w:rPr>
        <w:t>天。若因工程建设需要延长工程监理服务期的，监理人不得因工程监理服务期延长而要求增加工程监理服务费。</w:t>
      </w:r>
    </w:p>
    <w:p w14:paraId="7F84685B">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服务期内，工程施工阶段监理人的总监理工程师、专业监理工程师、造价人员、资料员须在工程现场开展监理服务工作；工程收尾阶段造价人员、资料员须在工程现场或委托人指定场所开展为期6个月的工程收尾相关监理服务工作。</w:t>
      </w:r>
    </w:p>
    <w:p w14:paraId="20DE6E9F">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 监理人员配备要求（最低不低于投标文件）</w:t>
      </w:r>
    </w:p>
    <w:p w14:paraId="00DB98A8">
      <w:pPr>
        <w:spacing w:line="360" w:lineRule="auto"/>
        <w:ind w:left="1" w:firstLine="434" w:firstLineChars="181"/>
        <w:rPr>
          <w:rFonts w:hint="eastAsia" w:ascii="宋体" w:hAnsi="宋体" w:eastAsia="宋体" w:cs="宋体"/>
          <w:kern w:val="0"/>
          <w:sz w:val="24"/>
          <w:highlight w:val="none"/>
        </w:rPr>
      </w:pPr>
      <w:r>
        <w:rPr>
          <w:rFonts w:hint="eastAsia" w:ascii="宋体" w:hAnsi="宋体" w:eastAsia="宋体" w:cs="宋体"/>
          <w:kern w:val="0"/>
          <w:sz w:val="24"/>
          <w:highlight w:val="none"/>
        </w:rPr>
        <w:t>总监理工程师：</w:t>
      </w:r>
      <w:r>
        <w:rPr>
          <w:rFonts w:hint="eastAsia" w:ascii="宋体" w:hAnsi="宋体" w:eastAsia="宋体" w:cs="宋体"/>
          <w:b/>
          <w:snapToGrid w:val="0"/>
          <w:kern w:val="0"/>
          <w:sz w:val="24"/>
          <w:highlight w:val="none"/>
        </w:rPr>
        <w:t xml:space="preserve"> </w:t>
      </w:r>
      <w:r>
        <w:rPr>
          <w:rFonts w:hint="eastAsia" w:ascii="宋体" w:hAnsi="宋体" w:eastAsia="宋体" w:cs="宋体"/>
          <w:bCs/>
          <w:kern w:val="0"/>
          <w:sz w:val="32"/>
          <w:highlight w:val="none"/>
          <w:u w:val="single"/>
        </w:rPr>
        <w:t xml:space="preserve">   </w:t>
      </w:r>
      <w:r>
        <w:rPr>
          <w:rFonts w:hint="eastAsia" w:ascii="宋体" w:hAnsi="宋体" w:eastAsia="宋体" w:cs="宋体"/>
          <w:kern w:val="0"/>
          <w:sz w:val="24"/>
          <w:highlight w:val="none"/>
        </w:rPr>
        <w:t>名，要求为注册监理工程师、注册专业为房屋建筑工程；</w:t>
      </w:r>
    </w:p>
    <w:p w14:paraId="44667361">
      <w:pPr>
        <w:ind w:left="1"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专业监理工程师（工程师职称以上）：</w:t>
      </w:r>
      <w:r>
        <w:rPr>
          <w:rFonts w:hint="eastAsia" w:ascii="宋体" w:hAnsi="宋体" w:eastAsia="宋体" w:cs="宋体"/>
          <w:kern w:val="0"/>
          <w:sz w:val="24"/>
          <w:szCs w:val="22"/>
          <w:highlight w:val="none"/>
        </w:rPr>
        <w:t>土建__名、机电__名、给排水_名，装饰装修__名（具体要求根据项目要求进行调整，</w:t>
      </w:r>
      <w:r>
        <w:rPr>
          <w:rFonts w:hint="eastAsia" w:ascii="宋体" w:hAnsi="宋体" w:eastAsia="宋体" w:cs="宋体"/>
          <w:kern w:val="0"/>
          <w:sz w:val="24"/>
          <w:highlight w:val="none"/>
        </w:rPr>
        <w:t>以专业监理工程师证书或注册监理工程师注册执业证书或毕业证或职称证上所列的相关专业为准）</w:t>
      </w:r>
    </w:p>
    <w:p w14:paraId="1EFE8455">
      <w:pPr>
        <w:spacing w:line="360" w:lineRule="auto"/>
        <w:ind w:left="1" w:firstLine="434" w:firstLineChars="181"/>
        <w:rPr>
          <w:rFonts w:hint="eastAsia" w:ascii="宋体" w:hAnsi="宋体" w:eastAsia="宋体" w:cs="宋体"/>
          <w:kern w:val="0"/>
          <w:sz w:val="24"/>
          <w:highlight w:val="none"/>
        </w:rPr>
      </w:pPr>
      <w:r>
        <w:rPr>
          <w:rFonts w:hint="eastAsia" w:ascii="宋体" w:hAnsi="宋体" w:eastAsia="宋体" w:cs="宋体"/>
          <w:kern w:val="0"/>
          <w:sz w:val="24"/>
          <w:highlight w:val="none"/>
        </w:rPr>
        <w:t>造价工程师：</w:t>
      </w:r>
      <w:r>
        <w:rPr>
          <w:rFonts w:hint="eastAsia" w:ascii="宋体" w:hAnsi="宋体" w:eastAsia="宋体" w:cs="宋体"/>
          <w:b/>
          <w:snapToGrid w:val="0"/>
          <w:kern w:val="0"/>
          <w:sz w:val="24"/>
          <w:highlight w:val="none"/>
        </w:rPr>
        <w:t xml:space="preserve"> </w:t>
      </w:r>
      <w:r>
        <w:rPr>
          <w:rFonts w:hint="eastAsia" w:ascii="宋体" w:hAnsi="宋体" w:eastAsia="宋体" w:cs="宋体"/>
          <w:bCs/>
          <w:kern w:val="0"/>
          <w:sz w:val="32"/>
          <w:highlight w:val="none"/>
          <w:u w:val="single"/>
        </w:rPr>
        <w:t xml:space="preserve">   </w:t>
      </w:r>
      <w:r>
        <w:rPr>
          <w:rFonts w:hint="eastAsia" w:ascii="宋体" w:hAnsi="宋体" w:eastAsia="宋体" w:cs="宋体"/>
          <w:kern w:val="0"/>
          <w:sz w:val="24"/>
          <w:highlight w:val="none"/>
        </w:rPr>
        <w:t>名，具备国家</w:t>
      </w:r>
      <w:r>
        <w:rPr>
          <w:rFonts w:hint="eastAsia" w:ascii="宋体" w:hAnsi="宋体" w:eastAsia="宋体" w:cs="宋体"/>
          <w:bCs/>
          <w:kern w:val="0"/>
          <w:sz w:val="32"/>
          <w:highlight w:val="none"/>
          <w:u w:val="single"/>
        </w:rPr>
        <w:t xml:space="preserve">   </w:t>
      </w:r>
      <w:r>
        <w:rPr>
          <w:rFonts w:hint="eastAsia" w:ascii="宋体" w:hAnsi="宋体" w:eastAsia="宋体" w:cs="宋体"/>
          <w:kern w:val="0"/>
          <w:sz w:val="24"/>
          <w:highlight w:val="none"/>
        </w:rPr>
        <w:t>级注册造价工程师资格</w:t>
      </w:r>
      <w:r>
        <w:rPr>
          <w:rFonts w:hint="eastAsia" w:ascii="宋体" w:hAnsi="宋体" w:eastAsia="宋体" w:cs="宋体"/>
          <w:kern w:val="0"/>
          <w:sz w:val="24"/>
          <w:szCs w:val="24"/>
          <w:highlight w:val="none"/>
        </w:rPr>
        <w:t>（</w:t>
      </w:r>
      <w:r>
        <w:rPr>
          <w:rFonts w:hint="eastAsia" w:ascii="宋体" w:hAnsi="宋体" w:eastAsia="宋体" w:cs="宋体"/>
          <w:kern w:val="0"/>
          <w:sz w:val="24"/>
          <w:szCs w:val="22"/>
          <w:highlight w:val="none"/>
        </w:rPr>
        <w:t>具体要求根据项目要求进行调整，</w:t>
      </w:r>
      <w:r>
        <w:rPr>
          <w:rFonts w:hint="eastAsia" w:ascii="宋体" w:hAnsi="宋体" w:eastAsia="宋体" w:cs="宋体"/>
          <w:kern w:val="0"/>
          <w:sz w:val="24"/>
          <w:szCs w:val="24"/>
          <w:highlight w:val="none"/>
        </w:rPr>
        <w:t>未实行分级的注册造价工程师自动划分为一级注册造价工程师）。</w:t>
      </w:r>
    </w:p>
    <w:p w14:paraId="12D62ECF">
      <w:pPr>
        <w:spacing w:line="360" w:lineRule="auto"/>
        <w:ind w:left="1" w:firstLine="434" w:firstLineChars="181"/>
        <w:rPr>
          <w:rFonts w:hint="eastAsia" w:ascii="宋体" w:hAnsi="宋体" w:eastAsia="宋体" w:cs="宋体"/>
          <w:kern w:val="0"/>
          <w:sz w:val="24"/>
          <w:highlight w:val="none"/>
        </w:rPr>
      </w:pPr>
      <w:r>
        <w:rPr>
          <w:rFonts w:hint="eastAsia" w:ascii="宋体" w:hAnsi="宋体" w:eastAsia="宋体" w:cs="宋体"/>
          <w:kern w:val="0"/>
          <w:sz w:val="24"/>
          <w:highlight w:val="none"/>
        </w:rPr>
        <w:t>安全监理员或注册安全工程师：</w:t>
      </w:r>
      <w:r>
        <w:rPr>
          <w:rFonts w:hint="eastAsia" w:ascii="宋体" w:hAnsi="宋体" w:eastAsia="宋体" w:cs="宋体"/>
          <w:b/>
          <w:snapToGrid w:val="0"/>
          <w:kern w:val="0"/>
          <w:sz w:val="24"/>
          <w:highlight w:val="none"/>
        </w:rPr>
        <w:t xml:space="preserve"> </w:t>
      </w:r>
      <w:r>
        <w:rPr>
          <w:rFonts w:hint="eastAsia" w:ascii="宋体" w:hAnsi="宋体" w:eastAsia="宋体" w:cs="宋体"/>
          <w:bCs/>
          <w:kern w:val="0"/>
          <w:sz w:val="32"/>
          <w:highlight w:val="none"/>
          <w:u w:val="single"/>
        </w:rPr>
        <w:t xml:space="preserve">   </w:t>
      </w:r>
      <w:r>
        <w:rPr>
          <w:rFonts w:hint="eastAsia" w:ascii="宋体" w:hAnsi="宋体" w:eastAsia="宋体" w:cs="宋体"/>
          <w:kern w:val="0"/>
          <w:sz w:val="24"/>
          <w:highlight w:val="none"/>
        </w:rPr>
        <w:t>名，要求为取得安全监理员证书或注册安全工程师资格证书和注册证。</w:t>
      </w:r>
    </w:p>
    <w:p w14:paraId="41BF07C5">
      <w:pPr>
        <w:topLinePunct/>
        <w:adjustRightInd w:val="0"/>
        <w:snapToGrid w:val="0"/>
        <w:spacing w:line="312"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资料员：</w:t>
      </w:r>
      <w:r>
        <w:rPr>
          <w:rFonts w:hint="eastAsia" w:ascii="宋体" w:hAnsi="宋体" w:eastAsia="宋体" w:cs="宋体"/>
          <w:b/>
          <w:snapToGrid w:val="0"/>
          <w:kern w:val="0"/>
          <w:sz w:val="24"/>
          <w:highlight w:val="none"/>
        </w:rPr>
        <w:t xml:space="preserve"> </w:t>
      </w:r>
      <w:r>
        <w:rPr>
          <w:rFonts w:hint="eastAsia" w:ascii="宋体" w:hAnsi="宋体" w:eastAsia="宋体" w:cs="宋体"/>
          <w:bCs/>
          <w:kern w:val="0"/>
          <w:sz w:val="32"/>
          <w:highlight w:val="none"/>
          <w:u w:val="single"/>
        </w:rPr>
        <w:t xml:space="preserve">   </w:t>
      </w:r>
      <w:r>
        <w:rPr>
          <w:rFonts w:hint="eastAsia" w:ascii="宋体" w:hAnsi="宋体" w:eastAsia="宋体" w:cs="宋体"/>
          <w:kern w:val="0"/>
          <w:sz w:val="24"/>
          <w:highlight w:val="none"/>
        </w:rPr>
        <w:t>名，熟悉建设工程档案归档要求。</w:t>
      </w:r>
    </w:p>
    <w:p w14:paraId="72F40BA0">
      <w:pPr>
        <w:topLinePunct/>
        <w:adjustRightInd w:val="0"/>
        <w:snapToGrid w:val="0"/>
        <w:spacing w:line="312" w:lineRule="auto"/>
        <w:rPr>
          <w:rFonts w:hint="eastAsia" w:ascii="宋体" w:hAnsi="宋体" w:eastAsia="楷体_GB2312" w:cs="Times New Roman"/>
          <w:b/>
          <w:snapToGrid w:val="0"/>
          <w:kern w:val="0"/>
          <w:sz w:val="24"/>
          <w:highlight w:val="none"/>
        </w:rPr>
      </w:pPr>
      <w:r>
        <w:rPr>
          <w:rFonts w:ascii="仿宋_GB2312" w:hAnsi="仿宋_GB2312" w:eastAsia="仿宋_GB2312" w:cs="仿宋_GB2312"/>
          <w:kern w:val="0"/>
          <w:sz w:val="28"/>
          <w:szCs w:val="28"/>
          <w:highlight w:val="none"/>
          <w:lang w:val="zh-CN"/>
        </w:rPr>
        <w:t>各阶段委派监理人员情况需满足委托人要求，具体可参照本合同“第四部分 合同附件” 附件2标准执行。</w:t>
      </w:r>
    </w:p>
    <w:p w14:paraId="5EE3C82C">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三、监理酬金及其支付方式</w:t>
      </w:r>
    </w:p>
    <w:p w14:paraId="13B67A6D">
      <w:pPr>
        <w:topLinePunct/>
        <w:adjustRightInd w:val="0"/>
        <w:snapToGrid w:val="0"/>
        <w:spacing w:line="312" w:lineRule="auto"/>
        <w:ind w:firstLine="482" w:firstLineChars="200"/>
        <w:rPr>
          <w:rFonts w:hint="eastAsia" w:ascii="宋体" w:hAnsi="宋体" w:eastAsia="楷体_GB2312" w:cs="Times New Roman"/>
          <w:b/>
          <w:snapToGrid w:val="0"/>
          <w:kern w:val="0"/>
          <w:sz w:val="24"/>
          <w:highlight w:val="none"/>
        </w:rPr>
      </w:pPr>
      <w:r>
        <w:rPr>
          <w:rFonts w:hint="eastAsia" w:ascii="宋体" w:hAnsi="宋体" w:eastAsia="楷体_GB2312" w:cs="Times New Roman"/>
          <w:b/>
          <w:snapToGrid w:val="0"/>
          <w:kern w:val="0"/>
          <w:sz w:val="24"/>
          <w:highlight w:val="none"/>
        </w:rPr>
        <w:t>3.1监理酬金的计取</w:t>
      </w:r>
    </w:p>
    <w:p w14:paraId="2E8E04A1">
      <w:pPr>
        <w:adjustRightInd w:val="0"/>
        <w:snapToGrid w:val="0"/>
        <w:spacing w:line="312" w:lineRule="auto"/>
        <w:ind w:left="-1" w:firstLine="480" w:firstLineChars="200"/>
        <w:rPr>
          <w:rFonts w:hint="eastAsia" w:ascii="宋体" w:hAnsi="宋体" w:eastAsia="宋体" w:cs="宋体"/>
          <w:snapToGrid w:val="0"/>
          <w:color w:val="auto"/>
          <w:kern w:val="0"/>
          <w:sz w:val="24"/>
          <w:highlight w:val="none"/>
          <w:u w:val="single"/>
        </w:rPr>
      </w:pPr>
      <w:r>
        <w:rPr>
          <w:rFonts w:hint="eastAsia" w:ascii="宋体" w:hAnsi="宋体" w:eastAsia="宋体" w:cs="宋体"/>
          <w:snapToGrid w:val="0"/>
          <w:kern w:val="0"/>
          <w:sz w:val="24"/>
          <w:highlight w:val="none"/>
        </w:rPr>
        <w:t>3.1.1</w:t>
      </w:r>
      <w:r>
        <w:rPr>
          <w:rFonts w:hint="eastAsia" w:ascii="宋体" w:hAnsi="宋体" w:eastAsia="宋体" w:cs="宋体"/>
          <w:snapToGrid w:val="0"/>
          <w:color w:val="auto"/>
          <w:kern w:val="0"/>
          <w:sz w:val="24"/>
          <w:highlight w:val="none"/>
        </w:rPr>
        <w:t>本合同的监理酬金暂以本合同</w:t>
      </w:r>
      <w:r>
        <w:rPr>
          <w:rFonts w:hint="eastAsia" w:ascii="宋体" w:hAnsi="宋体" w:eastAsia="宋体" w:cs="宋体"/>
          <w:color w:val="auto"/>
          <w:kern w:val="0"/>
          <w:sz w:val="24"/>
          <w:highlight w:val="none"/>
        </w:rPr>
        <w:sym w:font="Wingdings" w:char="00A8"/>
      </w:r>
      <w:r>
        <w:rPr>
          <w:rFonts w:hint="eastAsia" w:ascii="宋体" w:hAnsi="宋体" w:eastAsia="宋体" w:cs="宋体"/>
          <w:snapToGrid w:val="0"/>
          <w:color w:val="auto"/>
          <w:kern w:val="0"/>
          <w:sz w:val="24"/>
          <w:highlight w:val="none"/>
        </w:rPr>
        <w:t xml:space="preserve">工程可行性研究报告 </w:t>
      </w:r>
      <w:r>
        <w:rPr>
          <w:rFonts w:hint="eastAsia" w:ascii="宋体" w:hAnsi="宋体" w:eastAsia="宋体" w:cs="宋体"/>
          <w:color w:val="auto"/>
          <w:kern w:val="0"/>
          <w:sz w:val="24"/>
          <w:highlight w:val="none"/>
        </w:rPr>
        <w:sym w:font="Wingdings" w:char="00FE"/>
      </w:r>
      <w:r>
        <w:rPr>
          <w:rFonts w:hint="eastAsia" w:ascii="宋体" w:hAnsi="宋体" w:eastAsia="宋体" w:cs="宋体"/>
          <w:color w:val="auto"/>
          <w:kern w:val="0"/>
          <w:sz w:val="24"/>
          <w:highlight w:val="none"/>
        </w:rPr>
        <w:t>初步设计概算</w:t>
      </w:r>
      <w:r>
        <w:rPr>
          <w:rFonts w:hint="eastAsia" w:ascii="宋体" w:hAnsi="宋体" w:eastAsia="宋体" w:cs="宋体"/>
          <w:snapToGrid w:val="0"/>
          <w:color w:val="auto"/>
          <w:kern w:val="0"/>
          <w:sz w:val="24"/>
          <w:highlight w:val="none"/>
        </w:rPr>
        <w:t>确定的工程建安费估算</w:t>
      </w:r>
      <w:r>
        <w:rPr>
          <w:rFonts w:hint="eastAsia" w:ascii="宋体" w:hAnsi="宋体" w:eastAsia="宋体" w:cs="宋体"/>
          <w:bCs/>
          <w:color w:val="auto"/>
          <w:kern w:val="0"/>
          <w:sz w:val="32"/>
          <w:highlight w:val="none"/>
          <w:u w:val="single"/>
        </w:rPr>
        <w:t xml:space="preserve">   </w:t>
      </w:r>
      <w:r>
        <w:rPr>
          <w:rFonts w:hint="eastAsia" w:ascii="宋体" w:hAnsi="宋体" w:eastAsia="楷体_GB2312" w:cs="Times New Roman"/>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万元作为施工监理服务收费的计费额，以中标价作为监理酬金的暂定金额；结算时以实际工程结算建安费用作为施工监理服务收费的计费额，</w:t>
      </w:r>
      <w:r>
        <w:rPr>
          <w:rFonts w:hint="eastAsia" w:ascii="宋体" w:hAnsi="宋体" w:eastAsia="宋体" w:cs="宋体"/>
          <w:color w:val="auto"/>
          <w:kern w:val="0"/>
          <w:sz w:val="24"/>
          <w:szCs w:val="24"/>
          <w:highlight w:val="none"/>
        </w:rPr>
        <w:t>按监理费中标价同比例计算，作结算合同价，即：</w:t>
      </w:r>
      <w:r>
        <w:rPr>
          <w:rFonts w:hint="eastAsia" w:ascii="宋体" w:hAnsi="宋体" w:eastAsia="宋体" w:cs="宋体"/>
          <w:color w:val="auto"/>
          <w:kern w:val="0"/>
          <w:sz w:val="24"/>
          <w:highlight w:val="none"/>
        </w:rPr>
        <w:sym w:font="Wingdings" w:char="00A8"/>
      </w:r>
      <w:r>
        <w:rPr>
          <w:rFonts w:hint="eastAsia" w:ascii="宋体" w:hAnsi="宋体" w:eastAsia="宋体" w:cs="宋体"/>
          <w:color w:val="auto"/>
          <w:kern w:val="0"/>
          <w:sz w:val="24"/>
          <w:szCs w:val="24"/>
          <w:highlight w:val="none"/>
        </w:rPr>
        <w:t xml:space="preserve">结算合同价=（监理费中标价÷可行性研究报告确定的工程建安费）×结算建安工程费用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sym w:font="Wingdings" w:char="00FE"/>
      </w:r>
      <w:r>
        <w:rPr>
          <w:rFonts w:hint="eastAsia" w:ascii="宋体" w:hAnsi="宋体" w:eastAsia="宋体" w:cs="宋体"/>
          <w:color w:val="auto"/>
          <w:kern w:val="0"/>
          <w:sz w:val="24"/>
          <w:szCs w:val="24"/>
          <w:highlight w:val="none"/>
        </w:rPr>
        <w:t>结算合同价=（监理费中标价÷初步设计概算确定的工程建安费）×结算建安工程费用。</w:t>
      </w:r>
      <w:r>
        <w:rPr>
          <w:rFonts w:hint="eastAsia" w:ascii="宋体" w:hAnsi="宋体" w:eastAsia="宋体" w:cs="宋体"/>
          <w:snapToGrid w:val="0"/>
          <w:color w:val="auto"/>
          <w:kern w:val="0"/>
          <w:sz w:val="24"/>
          <w:highlight w:val="none"/>
        </w:rPr>
        <w:t>合同约定的监理酬金是基于合同约定监理人员按委托人要求到位的前提下，结算时才按本合同约定的方法计算。否则，除了按合同约定的处罚条款进行处罚以外，委托人有权在监理费用中扣除人员不到位的费用，计算举例：如投标文件承诺人员到场 10 人，如按委托人要求人员到位的前提下按合同约定方法计算的监理酬金结算额为 100万元，则对应每人监理酬金结算额为：100万元÷10人=10万元/人。如监理单位出现一名人员未按委托人要求到位，则扣除相应不到位费用10万元/人。监理人除按上述约定收取监理酬金外，不得向委托人主张其他任何费用或补偿。</w:t>
      </w:r>
    </w:p>
    <w:p w14:paraId="185D77B2">
      <w:pPr>
        <w:adjustRightInd w:val="0"/>
        <w:snapToGrid w:val="0"/>
        <w:spacing w:line="312" w:lineRule="auto"/>
        <w:ind w:right="11" w:firstLine="480" w:firstLineChars="200"/>
        <w:rPr>
          <w:rFonts w:hint="eastAsia" w:ascii="宋体" w:hAnsi="宋体" w:eastAsia="楷体_GB2312" w:cs="Times New Roman"/>
          <w:snapToGrid w:val="0"/>
          <w:kern w:val="0"/>
          <w:sz w:val="24"/>
          <w:highlight w:val="none"/>
        </w:rPr>
      </w:pPr>
      <w:r>
        <w:rPr>
          <w:rFonts w:hint="eastAsia" w:ascii="宋体" w:hAnsi="宋体" w:eastAsia="楷体_GB2312" w:cs="Times New Roman"/>
          <w:snapToGrid w:val="0"/>
          <w:kern w:val="0"/>
          <w:sz w:val="24"/>
          <w:highlight w:val="none"/>
        </w:rPr>
        <w:t>3.1.2 本合同监理酬金的暂定金额为</w:t>
      </w:r>
      <w:r>
        <w:rPr>
          <w:rFonts w:hint="eastAsia" w:ascii="宋体" w:hAnsi="宋体" w:eastAsia="楷体_GB2312" w:cs="Times New Roman"/>
          <w:snapToGrid w:val="0"/>
          <w:kern w:val="0"/>
          <w:sz w:val="24"/>
          <w:highlight w:val="none"/>
          <w:u w:val="single"/>
        </w:rPr>
        <w:t xml:space="preserve">       </w:t>
      </w:r>
      <w:r>
        <w:rPr>
          <w:rFonts w:hint="eastAsia" w:ascii="宋体" w:hAnsi="宋体" w:eastAsia="楷体_GB2312" w:cs="Times New Roman"/>
          <w:snapToGrid w:val="0"/>
          <w:kern w:val="0"/>
          <w:sz w:val="24"/>
          <w:highlight w:val="none"/>
        </w:rPr>
        <w:t>万元（大写：</w:t>
      </w:r>
      <w:r>
        <w:rPr>
          <w:rFonts w:hint="eastAsia" w:ascii="宋体" w:hAnsi="宋体" w:eastAsia="楷体_GB2312" w:cs="Times New Roman"/>
          <w:snapToGrid w:val="0"/>
          <w:kern w:val="0"/>
          <w:sz w:val="24"/>
          <w:highlight w:val="none"/>
          <w:u w:val="single"/>
        </w:rPr>
        <w:t xml:space="preserve">             </w:t>
      </w:r>
      <w:r>
        <w:rPr>
          <w:rFonts w:hint="eastAsia" w:ascii="宋体" w:hAnsi="宋体" w:eastAsia="楷体_GB2312" w:cs="Times New Roman"/>
          <w:snapToGrid w:val="0"/>
          <w:kern w:val="0"/>
          <w:sz w:val="24"/>
          <w:highlight w:val="none"/>
        </w:rPr>
        <w:t>）。</w:t>
      </w:r>
    </w:p>
    <w:p w14:paraId="43DF9E20">
      <w:pPr>
        <w:adjustRightInd w:val="0"/>
        <w:snapToGrid w:val="0"/>
        <w:spacing w:line="312" w:lineRule="auto"/>
        <w:ind w:firstLine="480" w:firstLineChars="200"/>
        <w:rPr>
          <w:rFonts w:hint="eastAsia" w:ascii="宋体" w:hAnsi="宋体" w:eastAsia="宋体" w:cs="宋体"/>
          <w:snapToGrid w:val="0"/>
          <w:kern w:val="0"/>
          <w:sz w:val="24"/>
          <w:highlight w:val="none"/>
        </w:rPr>
      </w:pPr>
      <w:r>
        <w:rPr>
          <w:rFonts w:hint="eastAsia" w:ascii="宋体" w:hAnsi="宋体" w:eastAsia="楷体_GB2312" w:cs="Times New Roman"/>
          <w:snapToGrid w:val="0"/>
          <w:kern w:val="0"/>
          <w:sz w:val="24"/>
          <w:highlight w:val="none"/>
        </w:rPr>
        <w:t>3.1.3</w:t>
      </w:r>
      <w:r>
        <w:rPr>
          <w:rFonts w:hint="eastAsia" w:ascii="宋体" w:hAnsi="宋体" w:eastAsia="宋体" w:cs="宋体"/>
          <w:snapToGrid w:val="0"/>
          <w:kern w:val="0"/>
          <w:sz w:val="24"/>
          <w:highlight w:val="none"/>
        </w:rPr>
        <w:t>监理酬金的定义：凡在本合同中提及即与监理服务有关的一切费用均含在监理酬金中，具体包括人员工资、福利、社保、办公费用（资料费、电脑、打印机、复印机等办公设备及耗材费）、受托人为监理本项目使用的设备和设施费用、交通差旅费用、餐费、管理费、利润、税金等一切费用（包括专用条款3.3.1条提及的食堂开办及保洁费用）。</w:t>
      </w:r>
    </w:p>
    <w:p w14:paraId="212CBABA">
      <w:pPr>
        <w:topLinePunct/>
        <w:adjustRightInd w:val="0"/>
        <w:snapToGrid w:val="0"/>
        <w:spacing w:line="312" w:lineRule="auto"/>
        <w:ind w:firstLine="496" w:firstLineChars="200"/>
        <w:rPr>
          <w:rFonts w:hint="eastAsia" w:ascii="宋体" w:hAnsi="宋体" w:eastAsia="宋体" w:cs="宋体"/>
          <w:b/>
          <w:snapToGrid w:val="0"/>
          <w:kern w:val="0"/>
          <w:sz w:val="24"/>
          <w:highlight w:val="none"/>
        </w:rPr>
      </w:pPr>
      <w:r>
        <w:rPr>
          <w:rFonts w:hint="eastAsia" w:ascii="宋体" w:hAnsi="宋体" w:eastAsia="宋体" w:cs="宋体"/>
          <w:snapToGrid w:val="0"/>
          <w:spacing w:val="4"/>
          <w:kern w:val="0"/>
          <w:sz w:val="24"/>
          <w:highlight w:val="none"/>
        </w:rPr>
        <w:t>3.1.4当委托人认为监理人派到现场监理人员不能胜任监理工作导致合同范围内的各项工作不能按时完成或完成的工作不符合规定甚至出现违规现象时，这时可由委托人另行委派专业人员代替受托人安排的原班人员，所需费用（费用多少由委托人定，受托人不能有任何异议）由委托人从本合同监理酬金中直接扣除并支付给委托人指派的专业人员。在本合同中，凡与3.1.4条有矛盾的均以此条为准。</w:t>
      </w:r>
    </w:p>
    <w:p w14:paraId="41C4BD50">
      <w:pPr>
        <w:adjustRightInd w:val="0"/>
        <w:snapToGrid w:val="0"/>
        <w:spacing w:line="312" w:lineRule="auto"/>
        <w:ind w:right="11" w:firstLine="480" w:firstLineChars="200"/>
        <w:rPr>
          <w:rFonts w:hint="eastAsia" w:ascii="宋体" w:hAnsi="宋体" w:eastAsia="楷体_GB2312" w:cs="Times New Roman"/>
          <w:bCs/>
          <w:snapToGrid w:val="0"/>
          <w:spacing w:val="-4"/>
          <w:kern w:val="0"/>
          <w:sz w:val="24"/>
          <w:highlight w:val="none"/>
        </w:rPr>
      </w:pPr>
      <w:r>
        <w:rPr>
          <w:rFonts w:hint="eastAsia" w:ascii="宋体" w:hAnsi="宋体" w:eastAsia="楷体_GB2312" w:cs="Times New Roman"/>
          <w:snapToGrid w:val="0"/>
          <w:kern w:val="0"/>
          <w:sz w:val="24"/>
          <w:highlight w:val="none"/>
        </w:rPr>
        <w:t>3.1.5</w:t>
      </w:r>
      <w:r>
        <w:rPr>
          <w:rFonts w:hint="eastAsia" w:ascii="宋体" w:hAnsi="宋体" w:eastAsia="楷体_GB2312" w:cs="Times New Roman"/>
          <w:bCs/>
          <w:snapToGrid w:val="0"/>
          <w:kern w:val="0"/>
          <w:sz w:val="24"/>
          <w:highlight w:val="none"/>
        </w:rPr>
        <w:t>在本合同约定的监理范围内，监理人不得以任何理由要求附加工作和额外工作的监理酬金。</w:t>
      </w:r>
    </w:p>
    <w:p w14:paraId="74F31228">
      <w:pPr>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楷体_GB2312" w:cs="Times New Roman"/>
          <w:snapToGrid w:val="0"/>
          <w:spacing w:val="-4"/>
          <w:kern w:val="0"/>
          <w:sz w:val="24"/>
          <w:highlight w:val="none"/>
        </w:rPr>
        <w:t>3.1.6</w:t>
      </w:r>
      <w:r>
        <w:rPr>
          <w:rFonts w:hint="eastAsia" w:ascii="宋体" w:hAnsi="宋体" w:eastAsia="楷体_GB2312" w:cs="Times New Roman"/>
          <w:bCs/>
          <w:snapToGrid w:val="0"/>
          <w:spacing w:val="-4"/>
          <w:kern w:val="0"/>
          <w:sz w:val="24"/>
          <w:highlight w:val="none"/>
        </w:rPr>
        <w:t>在</w:t>
      </w:r>
      <w:r>
        <w:rPr>
          <w:rFonts w:hint="eastAsia" w:ascii="宋体" w:hAnsi="宋体" w:eastAsia="宋体" w:cs="宋体"/>
          <w:bCs/>
          <w:snapToGrid w:val="0"/>
          <w:spacing w:val="-4"/>
          <w:kern w:val="0"/>
          <w:sz w:val="24"/>
          <w:highlight w:val="none"/>
        </w:rPr>
        <w:t>本合同约定的监理范围内，当工程量增加、或设计变更、或设计变化、或设计规模变化时，监理人工作的变化均应视为本合同约定的监理工作。</w:t>
      </w:r>
    </w:p>
    <w:p w14:paraId="77EE5750">
      <w:pPr>
        <w:adjustRightInd w:val="0"/>
        <w:snapToGrid w:val="0"/>
        <w:spacing w:line="312" w:lineRule="auto"/>
        <w:ind w:right="11" w:firstLine="464" w:firstLineChars="200"/>
        <w:rPr>
          <w:rFonts w:hint="eastAsia" w:ascii="宋体" w:hAnsi="宋体" w:eastAsia="宋体" w:cs="宋体"/>
          <w:snapToGrid w:val="0"/>
          <w:spacing w:val="-4"/>
          <w:kern w:val="0"/>
          <w:sz w:val="24"/>
          <w:highlight w:val="none"/>
        </w:rPr>
      </w:pPr>
      <w:r>
        <w:rPr>
          <w:rFonts w:hint="eastAsia" w:ascii="宋体" w:hAnsi="宋体" w:eastAsia="宋体" w:cs="宋体"/>
          <w:snapToGrid w:val="0"/>
          <w:spacing w:val="-4"/>
          <w:kern w:val="0"/>
          <w:sz w:val="24"/>
          <w:highlight w:val="none"/>
        </w:rPr>
        <w:t>3.1.7在本合同约定的服务期间，不因物价变动而对约定的监理酬金浮动幅度作任何调整。</w:t>
      </w:r>
    </w:p>
    <w:p w14:paraId="56416342">
      <w:pPr>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snapToGrid w:val="0"/>
          <w:spacing w:val="-4"/>
          <w:kern w:val="0"/>
          <w:sz w:val="24"/>
          <w:highlight w:val="none"/>
        </w:rPr>
        <w:t>3.1.8</w:t>
      </w:r>
      <w:r>
        <w:rPr>
          <w:rFonts w:hint="eastAsia" w:ascii="宋体" w:hAnsi="宋体" w:eastAsia="宋体" w:cs="宋体"/>
          <w:bCs/>
          <w:snapToGrid w:val="0"/>
          <w:spacing w:val="-4"/>
          <w:kern w:val="0"/>
          <w:sz w:val="24"/>
          <w:highlight w:val="none"/>
        </w:rPr>
        <w:t>在本合同约定的监理范围内，非因监理人原因造成工程延期，致使监理服务期出现延长，监理人的责任期也应相应延长，本合同监理酬金暂定金额不作调整，双方另有约定的除外。</w:t>
      </w:r>
    </w:p>
    <w:p w14:paraId="277E6283">
      <w:pPr>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snapToGrid w:val="0"/>
          <w:spacing w:val="-4"/>
          <w:kern w:val="0"/>
          <w:sz w:val="24"/>
          <w:highlight w:val="none"/>
        </w:rPr>
        <w:t>3.1.9</w:t>
      </w:r>
      <w:r>
        <w:rPr>
          <w:rFonts w:hint="eastAsia" w:ascii="宋体" w:hAnsi="宋体" w:eastAsia="宋体" w:cs="宋体"/>
          <w:bCs/>
          <w:snapToGrid w:val="0"/>
          <w:spacing w:val="-4"/>
          <w:kern w:val="0"/>
          <w:sz w:val="24"/>
          <w:highlight w:val="none"/>
        </w:rPr>
        <w:t>如在工程实施期间，因国家政策变化、政府对本合同工程的计划调整或不可抗力等非委托人主观原因造成本合同工程停建的，则监理人必须接受终止服务并积极配合委托人做好善后工作，按已实际完成的监理服务内容和本合同的相关约定结清监理酬金，监理人不得要求额外的费用及任何形式的补偿。</w:t>
      </w:r>
    </w:p>
    <w:p w14:paraId="72DB4F6C">
      <w:pPr>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snapToGrid w:val="0"/>
          <w:spacing w:val="-4"/>
          <w:kern w:val="0"/>
          <w:sz w:val="24"/>
          <w:highlight w:val="none"/>
        </w:rPr>
        <w:t>3.1.10</w:t>
      </w:r>
      <w:r>
        <w:rPr>
          <w:rFonts w:hint="eastAsia" w:ascii="宋体" w:hAnsi="宋体" w:eastAsia="宋体" w:cs="宋体"/>
          <w:bCs/>
          <w:snapToGrid w:val="0"/>
          <w:spacing w:val="-4"/>
          <w:kern w:val="0"/>
          <w:sz w:val="24"/>
          <w:highlight w:val="none"/>
        </w:rPr>
        <w:t>如在工程实施期间，因任何原因造成本合同工程中间停工而导致监理人必须二次或多次进出场，监理酬金暂定金额将不会因此而有所调整，相关费用亦已经包含在本合同监理酬金之中。因工程中间停工而不退场的，在此期间，监理人可与委托人协商减少驻场监理人员的数量，但本合同监理酬金暂定金额不作调整。</w:t>
      </w:r>
    </w:p>
    <w:p w14:paraId="3B77B904">
      <w:pPr>
        <w:adjustRightInd w:val="0"/>
        <w:snapToGrid w:val="0"/>
        <w:spacing w:line="312" w:lineRule="auto"/>
        <w:ind w:right="11" w:firstLine="466" w:firstLineChars="200"/>
        <w:rPr>
          <w:rFonts w:hint="eastAsia" w:ascii="宋体" w:hAnsi="宋体" w:eastAsia="楷体_GB2312" w:cs="Times New Roman"/>
          <w:b/>
          <w:bCs/>
          <w:snapToGrid w:val="0"/>
          <w:spacing w:val="-4"/>
          <w:kern w:val="0"/>
          <w:sz w:val="24"/>
          <w:highlight w:val="none"/>
        </w:rPr>
      </w:pPr>
      <w:r>
        <w:rPr>
          <w:rFonts w:hint="eastAsia" w:ascii="宋体" w:hAnsi="宋体" w:eastAsia="楷体_GB2312" w:cs="Times New Roman"/>
          <w:b/>
          <w:snapToGrid w:val="0"/>
          <w:spacing w:val="-4"/>
          <w:kern w:val="0"/>
          <w:sz w:val="24"/>
          <w:highlight w:val="none"/>
        </w:rPr>
        <w:t>3.2监理酬金</w:t>
      </w:r>
      <w:r>
        <w:rPr>
          <w:rFonts w:hint="eastAsia" w:ascii="宋体" w:hAnsi="宋体" w:eastAsia="楷体_GB2312" w:cs="Times New Roman"/>
          <w:b/>
          <w:bCs/>
          <w:snapToGrid w:val="0"/>
          <w:spacing w:val="-4"/>
          <w:kern w:val="0"/>
          <w:sz w:val="24"/>
          <w:highlight w:val="none"/>
        </w:rPr>
        <w:t>的支付</w:t>
      </w:r>
    </w:p>
    <w:p w14:paraId="1664EE08">
      <w:pPr>
        <w:tabs>
          <w:tab w:val="left" w:pos="3060"/>
        </w:tabs>
        <w:adjustRightInd w:val="0"/>
        <w:snapToGrid w:val="0"/>
        <w:spacing w:line="312" w:lineRule="auto"/>
        <w:ind w:right="11" w:firstLine="464" w:firstLineChars="200"/>
        <w:rPr>
          <w:rFonts w:hint="eastAsia" w:ascii="宋体" w:hAnsi="宋体" w:eastAsia="楷体_GB2312" w:cs="Times New Roman"/>
          <w:bCs/>
          <w:snapToGrid w:val="0"/>
          <w:spacing w:val="-4"/>
          <w:kern w:val="0"/>
          <w:sz w:val="24"/>
          <w:highlight w:val="none"/>
        </w:rPr>
      </w:pPr>
      <w:r>
        <w:rPr>
          <w:rFonts w:hint="eastAsia" w:ascii="宋体" w:hAnsi="宋体" w:eastAsia="楷体_GB2312" w:cs="Times New Roman"/>
          <w:bCs/>
          <w:snapToGrid w:val="0"/>
          <w:spacing w:val="-4"/>
          <w:kern w:val="0"/>
          <w:sz w:val="24"/>
          <w:highlight w:val="none"/>
        </w:rPr>
        <w:t>3.2.1</w:t>
      </w:r>
      <w:r>
        <w:rPr>
          <w:rFonts w:hint="eastAsia" w:ascii="宋体" w:hAnsi="宋体" w:eastAsia="楷体_GB2312" w:cs="Times New Roman"/>
          <w:snapToGrid w:val="0"/>
          <w:spacing w:val="-4"/>
          <w:kern w:val="0"/>
          <w:sz w:val="24"/>
          <w:highlight w:val="none"/>
        </w:rPr>
        <w:t>监</w:t>
      </w:r>
      <w:r>
        <w:rPr>
          <w:rFonts w:hint="eastAsia" w:ascii="宋体" w:hAnsi="宋体" w:eastAsia="宋体" w:cs="宋体"/>
          <w:snapToGrid w:val="0"/>
          <w:spacing w:val="-4"/>
          <w:kern w:val="0"/>
          <w:sz w:val="24"/>
          <w:highlight w:val="none"/>
        </w:rPr>
        <w:t>理人向委托人承诺，将按照本合同的约定完成本合同监理服务的工作内容且相关的监理服务须达到令委托人满意的程度。监理人如未能</w:t>
      </w:r>
      <w:r>
        <w:rPr>
          <w:rFonts w:hint="eastAsia" w:ascii="宋体" w:hAnsi="宋体" w:eastAsia="宋体" w:cs="宋体"/>
          <w:bCs/>
          <w:snapToGrid w:val="0"/>
          <w:spacing w:val="-4"/>
          <w:kern w:val="0"/>
          <w:sz w:val="24"/>
          <w:highlight w:val="none"/>
        </w:rPr>
        <w:t>按约定完成相关工作内容的工作成果，或完成的工作成果未能达到约定的审核标准，或委托人对监理工作情况的检查结果未能达到约定的令人满意的程度，均视为监理人对该承诺的违反，委托人将在合同监理酬金暂定金额中扣减相关监理工作内容的酬金。监理人对于履行监理职责方面的违约责任按照专用条款第4.1款的相关约定执行。</w:t>
      </w:r>
    </w:p>
    <w:p w14:paraId="11B97285">
      <w:pPr>
        <w:tabs>
          <w:tab w:val="left" w:pos="3060"/>
        </w:tabs>
        <w:adjustRightInd w:val="0"/>
        <w:snapToGrid w:val="0"/>
        <w:spacing w:line="312" w:lineRule="auto"/>
        <w:ind w:right="11" w:firstLine="464" w:firstLineChars="200"/>
        <w:rPr>
          <w:rFonts w:hint="eastAsia" w:ascii="宋体" w:hAnsi="宋体" w:eastAsia="楷体_GB2312" w:cs="Times New Roman"/>
          <w:bCs/>
          <w:snapToGrid w:val="0"/>
          <w:spacing w:val="-4"/>
          <w:kern w:val="0"/>
          <w:sz w:val="24"/>
          <w:highlight w:val="none"/>
        </w:rPr>
      </w:pPr>
      <w:r>
        <w:rPr>
          <w:rFonts w:hint="eastAsia" w:ascii="宋体" w:hAnsi="宋体" w:eastAsia="楷体_GB2312" w:cs="Times New Roman"/>
          <w:bCs/>
          <w:snapToGrid w:val="0"/>
          <w:spacing w:val="-4"/>
          <w:kern w:val="0"/>
          <w:sz w:val="24"/>
          <w:highlight w:val="none"/>
        </w:rPr>
        <w:t>3.2.2委托人同意按以下的</w:t>
      </w:r>
      <w:r>
        <w:rPr>
          <w:rFonts w:hint="eastAsia" w:ascii="宋体" w:hAnsi="宋体" w:eastAsia="宋体" w:cs="宋体"/>
          <w:bCs/>
          <w:snapToGrid w:val="0"/>
          <w:spacing w:val="-4"/>
          <w:kern w:val="0"/>
          <w:sz w:val="24"/>
          <w:highlight w:val="none"/>
        </w:rPr>
        <w:t>支付时间与金额，支付</w:t>
      </w:r>
      <w:r>
        <w:rPr>
          <w:rFonts w:hint="eastAsia" w:ascii="宋体" w:hAnsi="宋体" w:eastAsia="楷体_GB2312" w:cs="Times New Roman"/>
          <w:bCs/>
          <w:snapToGrid w:val="0"/>
          <w:spacing w:val="-4"/>
          <w:kern w:val="0"/>
          <w:sz w:val="24"/>
          <w:highlight w:val="none"/>
        </w:rPr>
        <w:t>监理人的报酬：</w:t>
      </w:r>
    </w:p>
    <w:tbl>
      <w:tblPr>
        <w:tblStyle w:val="49"/>
        <w:tblW w:w="0" w:type="auto"/>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984"/>
        <w:gridCol w:w="3119"/>
        <w:gridCol w:w="2126"/>
      </w:tblGrid>
      <w:tr w14:paraId="6D36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center"/>
          </w:tcPr>
          <w:p w14:paraId="2A3AAD87">
            <w:pPr>
              <w:tabs>
                <w:tab w:val="left" w:pos="3060"/>
              </w:tabs>
              <w:adjustRightInd w:val="0"/>
              <w:snapToGrid w:val="0"/>
              <w:spacing w:line="312" w:lineRule="auto"/>
              <w:ind w:right="11"/>
              <w:jc w:val="center"/>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155E05">
            <w:pPr>
              <w:tabs>
                <w:tab w:val="left" w:pos="3060"/>
              </w:tabs>
              <w:adjustRightInd w:val="0"/>
              <w:snapToGrid w:val="0"/>
              <w:spacing w:line="312" w:lineRule="auto"/>
              <w:ind w:right="11"/>
              <w:jc w:val="center"/>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款项</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032CF77">
            <w:pPr>
              <w:tabs>
                <w:tab w:val="left" w:pos="3060"/>
              </w:tabs>
              <w:adjustRightInd w:val="0"/>
              <w:snapToGrid w:val="0"/>
              <w:spacing w:line="312" w:lineRule="auto"/>
              <w:ind w:right="11"/>
              <w:jc w:val="center"/>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当期支付数额</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2F8ECCBC">
            <w:pPr>
              <w:tabs>
                <w:tab w:val="left" w:pos="3060"/>
              </w:tabs>
              <w:adjustRightInd w:val="0"/>
              <w:snapToGrid w:val="0"/>
              <w:spacing w:line="312" w:lineRule="auto"/>
              <w:ind w:right="11"/>
              <w:jc w:val="center"/>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支付日期</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35A5F6B">
            <w:pPr>
              <w:tabs>
                <w:tab w:val="left" w:pos="3060"/>
              </w:tabs>
              <w:adjustRightInd w:val="0"/>
              <w:snapToGrid w:val="0"/>
              <w:spacing w:line="312" w:lineRule="auto"/>
              <w:ind w:right="11"/>
              <w:jc w:val="center"/>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支付条件</w:t>
            </w:r>
          </w:p>
        </w:tc>
      </w:tr>
      <w:tr w14:paraId="2D80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13DF34AF">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068A2099">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预付款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29CE6333">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暂定监理酬金×10%</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4ACC6400">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合同签订且监理机构人员进场之日起10个工作日内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08F1458C">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本合同签订生效</w:t>
            </w:r>
          </w:p>
        </w:tc>
      </w:tr>
      <w:tr w14:paraId="046C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0172E2DE">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09454417">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进度款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7A818E17">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暂定监理酬金×10%</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3D780312">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基础工程完成验收合格后10个工作日内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305D7B2B">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基础工程完成，±0.00验收合格</w:t>
            </w:r>
          </w:p>
        </w:tc>
      </w:tr>
      <w:tr w14:paraId="52D6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2D5377E3">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02A66964">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进度款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7814A3EC">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暂定监理酬金×</w:t>
            </w:r>
            <w:r>
              <w:rPr>
                <w:rFonts w:ascii="宋体" w:hAnsi="宋体" w:eastAsia="楷体_GB2312" w:cs="Times New Roman"/>
                <w:bCs/>
                <w:snapToGrid w:val="0"/>
                <w:spacing w:val="-4"/>
                <w:kern w:val="0"/>
                <w:sz w:val="24"/>
                <w:szCs w:val="21"/>
                <w:highlight w:val="none"/>
              </w:rPr>
              <w:t>2</w:t>
            </w:r>
            <w:r>
              <w:rPr>
                <w:rFonts w:hint="eastAsia" w:ascii="宋体" w:hAnsi="宋体" w:eastAsia="楷体_GB2312" w:cs="Times New Roman"/>
                <w:bCs/>
                <w:snapToGrid w:val="0"/>
                <w:spacing w:val="-4"/>
                <w:kern w:val="0"/>
                <w:sz w:val="24"/>
                <w:szCs w:val="21"/>
                <w:highlight w:val="none"/>
              </w:rPr>
              <w:t>5%</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65665CE5">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工程完成结构封顶，验收合格后10个工作日内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4BA280F1">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工程主体结构封顶</w:t>
            </w:r>
          </w:p>
        </w:tc>
      </w:tr>
      <w:tr w14:paraId="5529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37AA88B6">
            <w:pPr>
              <w:tabs>
                <w:tab w:val="left" w:pos="3060"/>
              </w:tabs>
              <w:adjustRightInd w:val="0"/>
              <w:snapToGrid w:val="0"/>
              <w:spacing w:line="312" w:lineRule="auto"/>
              <w:ind w:right="11"/>
              <w:rPr>
                <w:rFonts w:hint="eastAsia"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4</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FF1FC49">
            <w:pPr>
              <w:tabs>
                <w:tab w:val="left" w:pos="3060"/>
              </w:tabs>
              <w:adjustRightInd w:val="0"/>
              <w:snapToGrid w:val="0"/>
              <w:spacing w:line="312" w:lineRule="auto"/>
              <w:ind w:right="11"/>
              <w:rPr>
                <w:rFonts w:hint="eastAsia"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进度款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30B6CF7B">
            <w:pPr>
              <w:tabs>
                <w:tab w:val="left" w:pos="3060"/>
              </w:tabs>
              <w:adjustRightInd w:val="0"/>
              <w:snapToGrid w:val="0"/>
              <w:spacing w:line="312" w:lineRule="auto"/>
              <w:ind w:right="11"/>
              <w:rPr>
                <w:rFonts w:hint="eastAsia"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暂定监理酬金×10%</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771B2E64">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外脚手架拆除完成，验收合格后10个工作日内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7698F776">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外脚手架拆除完成</w:t>
            </w:r>
          </w:p>
        </w:tc>
      </w:tr>
      <w:tr w14:paraId="3CE4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71450245">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5</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12F7D756">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进度款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055587F1">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暂定监理酬金×25%</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6A5F0D7C">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监理范围内的工程竣工验收合格后10个工作日内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2FDBA592">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工程竣工验收合格</w:t>
            </w:r>
          </w:p>
        </w:tc>
      </w:tr>
      <w:tr w14:paraId="071B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val="0"/>
            <w:vAlign w:val="top"/>
          </w:tcPr>
          <w:p w14:paraId="4BC6635E">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6</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38F00954">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结算款</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68AAC627">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付至结算监理酬金的9</w:t>
            </w:r>
            <w:r>
              <w:rPr>
                <w:rFonts w:ascii="宋体" w:hAnsi="宋体" w:eastAsia="楷体_GB2312" w:cs="Times New Roman"/>
                <w:bCs/>
                <w:snapToGrid w:val="0"/>
                <w:spacing w:val="-4"/>
                <w:kern w:val="0"/>
                <w:sz w:val="24"/>
                <w:szCs w:val="21"/>
                <w:highlight w:val="none"/>
              </w:rPr>
              <w:t>5</w:t>
            </w:r>
            <w:r>
              <w:rPr>
                <w:rFonts w:hint="eastAsia" w:ascii="宋体" w:hAnsi="宋体" w:eastAsia="楷体_GB2312" w:cs="Times New Roman"/>
                <w:bCs/>
                <w:snapToGrid w:val="0"/>
                <w:spacing w:val="-4"/>
                <w:kern w:val="0"/>
                <w:sz w:val="24"/>
                <w:szCs w:val="21"/>
                <w:highlight w:val="none"/>
              </w:rPr>
              <w:t>%</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0D98545C">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监理范围内的工程审定结算后10个工作日内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3E1ED6EC">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审定工程结算</w:t>
            </w:r>
          </w:p>
        </w:tc>
      </w:tr>
      <w:tr w14:paraId="26EE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09" w:type="dxa"/>
            <w:tcBorders>
              <w:top w:val="single" w:color="auto" w:sz="4" w:space="0"/>
              <w:left w:val="single" w:color="auto" w:sz="4" w:space="0"/>
              <w:bottom w:val="single" w:color="auto" w:sz="4" w:space="0"/>
              <w:right w:val="single" w:color="auto" w:sz="4" w:space="0"/>
            </w:tcBorders>
            <w:noWrap w:val="0"/>
            <w:vAlign w:val="top"/>
          </w:tcPr>
          <w:p w14:paraId="081C9BAD">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7</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3CB9EF4">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竣工保修期质量保修期</w:t>
            </w:r>
          </w:p>
        </w:tc>
        <w:tc>
          <w:tcPr>
            <w:tcW w:w="1984" w:type="dxa"/>
            <w:tcBorders>
              <w:top w:val="single" w:color="auto" w:sz="4" w:space="0"/>
              <w:left w:val="single" w:color="auto" w:sz="4" w:space="0"/>
              <w:bottom w:val="single" w:color="auto" w:sz="4" w:space="0"/>
              <w:right w:val="single" w:color="auto" w:sz="4" w:space="0"/>
            </w:tcBorders>
            <w:noWrap w:val="0"/>
            <w:vAlign w:val="top"/>
          </w:tcPr>
          <w:p w14:paraId="3C398CAA">
            <w:pPr>
              <w:tabs>
                <w:tab w:val="left" w:pos="3060"/>
              </w:tabs>
              <w:adjustRightInd w:val="0"/>
              <w:snapToGrid w:val="0"/>
              <w:spacing w:line="312" w:lineRule="auto"/>
              <w:ind w:right="11"/>
              <w:rPr>
                <w:rFonts w:ascii="宋体" w:hAnsi="宋体" w:eastAsia="楷体_GB2312" w:cs="Times New Roman"/>
                <w:bCs/>
                <w:snapToGrid w:val="0"/>
                <w:spacing w:val="-4"/>
                <w:kern w:val="0"/>
                <w:sz w:val="24"/>
                <w:szCs w:val="21"/>
                <w:highlight w:val="none"/>
              </w:rPr>
            </w:pPr>
            <w:r>
              <w:rPr>
                <w:rFonts w:hint="eastAsia" w:ascii="宋体" w:hAnsi="宋体" w:eastAsia="楷体_GB2312" w:cs="Times New Roman"/>
                <w:bCs/>
                <w:snapToGrid w:val="0"/>
                <w:spacing w:val="-4"/>
                <w:kern w:val="0"/>
                <w:sz w:val="24"/>
                <w:szCs w:val="21"/>
                <w:highlight w:val="none"/>
              </w:rPr>
              <w:t>结算监理酬金×</w:t>
            </w:r>
            <w:r>
              <w:rPr>
                <w:rFonts w:ascii="宋体" w:hAnsi="宋体" w:eastAsia="楷体_GB2312" w:cs="Times New Roman"/>
                <w:bCs/>
                <w:snapToGrid w:val="0"/>
                <w:spacing w:val="-4"/>
                <w:kern w:val="0"/>
                <w:sz w:val="24"/>
                <w:szCs w:val="21"/>
                <w:highlight w:val="none"/>
              </w:rPr>
              <w:t>5</w:t>
            </w:r>
            <w:r>
              <w:rPr>
                <w:rFonts w:hint="eastAsia" w:ascii="宋体" w:hAnsi="宋体" w:eastAsia="楷体_GB2312" w:cs="Times New Roman"/>
                <w:bCs/>
                <w:snapToGrid w:val="0"/>
                <w:spacing w:val="-4"/>
                <w:kern w:val="0"/>
                <w:sz w:val="24"/>
                <w:szCs w:val="21"/>
                <w:highlight w:val="none"/>
              </w:rPr>
              <w:t>%</w:t>
            </w:r>
          </w:p>
        </w:tc>
        <w:tc>
          <w:tcPr>
            <w:tcW w:w="3119" w:type="dxa"/>
            <w:tcBorders>
              <w:top w:val="single" w:color="auto" w:sz="4" w:space="0"/>
              <w:left w:val="single" w:color="auto" w:sz="4" w:space="0"/>
              <w:bottom w:val="single" w:color="auto" w:sz="4" w:space="0"/>
              <w:right w:val="single" w:color="auto" w:sz="4" w:space="0"/>
            </w:tcBorders>
            <w:noWrap w:val="0"/>
            <w:vAlign w:val="top"/>
          </w:tcPr>
          <w:p w14:paraId="72E9A45A">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工程竣工验收合格之日起满两年后十天内</w:t>
            </w:r>
          </w:p>
        </w:tc>
        <w:tc>
          <w:tcPr>
            <w:tcW w:w="2126" w:type="dxa"/>
            <w:tcBorders>
              <w:top w:val="single" w:color="auto" w:sz="4" w:space="0"/>
              <w:left w:val="single" w:color="auto" w:sz="4" w:space="0"/>
              <w:bottom w:val="single" w:color="auto" w:sz="4" w:space="0"/>
              <w:right w:val="single" w:color="auto" w:sz="4" w:space="0"/>
            </w:tcBorders>
            <w:noWrap w:val="0"/>
            <w:vAlign w:val="top"/>
          </w:tcPr>
          <w:p w14:paraId="2977AB8A">
            <w:pPr>
              <w:tabs>
                <w:tab w:val="left" w:pos="3060"/>
              </w:tabs>
              <w:adjustRightInd w:val="0"/>
              <w:snapToGrid w:val="0"/>
              <w:spacing w:line="312" w:lineRule="auto"/>
              <w:ind w:right="11"/>
              <w:rPr>
                <w:rFonts w:hint="eastAsia" w:ascii="宋体" w:hAnsi="宋体" w:eastAsia="宋体" w:cs="宋体"/>
                <w:bCs/>
                <w:snapToGrid w:val="0"/>
                <w:spacing w:val="-4"/>
                <w:kern w:val="0"/>
                <w:sz w:val="24"/>
                <w:szCs w:val="21"/>
                <w:highlight w:val="none"/>
              </w:rPr>
            </w:pPr>
            <w:r>
              <w:rPr>
                <w:rFonts w:hint="eastAsia" w:ascii="宋体" w:hAnsi="宋体" w:eastAsia="宋体" w:cs="宋体"/>
                <w:bCs/>
                <w:snapToGrid w:val="0"/>
                <w:spacing w:val="-4"/>
                <w:kern w:val="0"/>
                <w:sz w:val="24"/>
                <w:szCs w:val="21"/>
                <w:highlight w:val="none"/>
              </w:rPr>
              <w:t>竣工验收合格后满两年</w:t>
            </w:r>
          </w:p>
        </w:tc>
      </w:tr>
    </w:tbl>
    <w:p w14:paraId="11C7268F">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备注：如有多个单体建筑，则按已完成情况及单体建筑投资占总投资比例分节点支付。</w:t>
      </w:r>
    </w:p>
    <w:p w14:paraId="26FA1A76">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3.2.3 约定的拨款计划及行为，监理人应充分考虑到省财政集中支付程序所需的时间，如监理费未能及时到位，委托人应积极协调政府有关部门解决，监理人不得因非委托人原因而提出索赔，也不得因此影响本项目的进度、质量和安全。</w:t>
      </w:r>
    </w:p>
    <w:p w14:paraId="37FB9180">
      <w:pPr>
        <w:tabs>
          <w:tab w:val="left" w:pos="3060"/>
        </w:tabs>
        <w:adjustRightInd w:val="0"/>
        <w:snapToGrid w:val="0"/>
        <w:spacing w:line="312" w:lineRule="auto"/>
        <w:ind w:right="11" w:firstLine="464" w:firstLineChars="200"/>
        <w:rPr>
          <w:rFonts w:hint="eastAsia" w:ascii="宋体" w:hAnsi="宋体" w:eastAsia="宋体" w:cs="宋体"/>
          <w:bCs/>
          <w:snapToGrid w:val="0"/>
          <w:spacing w:val="-6"/>
          <w:kern w:val="0"/>
          <w:sz w:val="24"/>
          <w:highlight w:val="none"/>
        </w:rPr>
      </w:pPr>
      <w:r>
        <w:rPr>
          <w:rFonts w:hint="eastAsia" w:ascii="宋体" w:hAnsi="宋体" w:eastAsia="宋体" w:cs="宋体"/>
          <w:bCs/>
          <w:snapToGrid w:val="0"/>
          <w:spacing w:val="-4"/>
          <w:kern w:val="0"/>
          <w:sz w:val="24"/>
          <w:highlight w:val="none"/>
        </w:rPr>
        <w:t>3.2.4</w:t>
      </w:r>
      <w:r>
        <w:rPr>
          <w:rFonts w:hint="eastAsia" w:ascii="宋体" w:hAnsi="宋体" w:eastAsia="宋体" w:cs="宋体"/>
          <w:bCs/>
          <w:snapToGrid w:val="0"/>
          <w:spacing w:val="-6"/>
          <w:kern w:val="0"/>
          <w:sz w:val="24"/>
          <w:highlight w:val="none"/>
        </w:rPr>
        <w:t>本合同结算监理酬金审定后，委托人发现监理酬金超付的，则监理人必须在14日内无条件退还委托人；若监理人迟延退还超付的监理酬金，除须继续向委托人退还超付的监理酬金外，还应每天向委托人支付该超付监理酬金2‰的违约金。</w:t>
      </w:r>
    </w:p>
    <w:p w14:paraId="6BB3BAC4">
      <w:pPr>
        <w:tabs>
          <w:tab w:val="left" w:pos="3060"/>
        </w:tabs>
        <w:adjustRightInd w:val="0"/>
        <w:snapToGrid w:val="0"/>
        <w:spacing w:line="312" w:lineRule="auto"/>
        <w:ind w:right="11" w:firstLine="456" w:firstLineChars="200"/>
        <w:rPr>
          <w:rFonts w:hint="eastAsia" w:ascii="宋体" w:hAnsi="宋体" w:eastAsia="宋体" w:cs="宋体"/>
          <w:bCs/>
          <w:snapToGrid w:val="0"/>
          <w:spacing w:val="-6"/>
          <w:kern w:val="0"/>
          <w:sz w:val="24"/>
          <w:highlight w:val="none"/>
        </w:rPr>
      </w:pPr>
      <w:r>
        <w:rPr>
          <w:rFonts w:hint="eastAsia" w:ascii="宋体" w:hAnsi="宋体" w:eastAsia="宋体" w:cs="宋体"/>
          <w:bCs/>
          <w:snapToGrid w:val="0"/>
          <w:spacing w:val="-6"/>
          <w:kern w:val="0"/>
          <w:sz w:val="24"/>
          <w:highlight w:val="none"/>
        </w:rPr>
        <w:t>3.2.5本合同价款由省财政部门直接支付至合同乙方。甲方审核合同款项出具同意支付意见后须将请款材料报送项目使用单位及省财政部门进行审核，并由项目使用单位及省财政部门办理款项支付相关手续。</w:t>
      </w:r>
    </w:p>
    <w:p w14:paraId="15BEBE50">
      <w:pPr>
        <w:tabs>
          <w:tab w:val="left" w:pos="3060"/>
        </w:tabs>
        <w:adjustRightInd w:val="0"/>
        <w:snapToGrid w:val="0"/>
        <w:spacing w:line="312" w:lineRule="auto"/>
        <w:ind w:right="11" w:firstLine="456" w:firstLineChars="200"/>
        <w:rPr>
          <w:rFonts w:hint="eastAsia" w:ascii="宋体" w:hAnsi="宋体" w:eastAsia="宋体" w:cs="宋体"/>
          <w:bCs/>
          <w:snapToGrid w:val="0"/>
          <w:spacing w:val="-6"/>
          <w:kern w:val="0"/>
          <w:sz w:val="24"/>
          <w:highlight w:val="none"/>
        </w:rPr>
      </w:pPr>
      <w:r>
        <w:rPr>
          <w:rFonts w:hint="eastAsia" w:ascii="宋体" w:hAnsi="宋体" w:eastAsia="宋体" w:cs="宋体"/>
          <w:bCs/>
          <w:snapToGrid w:val="0"/>
          <w:spacing w:val="-6"/>
          <w:kern w:val="0"/>
          <w:sz w:val="24"/>
          <w:highlight w:val="none"/>
        </w:rPr>
        <w:t>3.2.6</w:t>
      </w:r>
      <w:r>
        <w:rPr>
          <w:rFonts w:hint="eastAsia" w:ascii="宋体" w:hAnsi="宋体" w:eastAsia="宋体" w:cs="宋体"/>
          <w:kern w:val="0"/>
          <w:sz w:val="24"/>
          <w:highlight w:val="none"/>
        </w:rPr>
        <w:t>本项目工程监理费用不因工期变化而调整。</w:t>
      </w:r>
    </w:p>
    <w:p w14:paraId="52DE493D">
      <w:pPr>
        <w:tabs>
          <w:tab w:val="left" w:pos="3060"/>
        </w:tabs>
        <w:adjustRightInd w:val="0"/>
        <w:snapToGrid w:val="0"/>
        <w:spacing w:line="312" w:lineRule="auto"/>
        <w:ind w:right="11" w:firstLine="456" w:firstLineChars="200"/>
        <w:rPr>
          <w:rFonts w:hint="eastAsia" w:ascii="宋体" w:hAnsi="宋体" w:eastAsia="宋体" w:cs="宋体"/>
          <w:bCs/>
          <w:snapToGrid w:val="0"/>
          <w:spacing w:val="-6"/>
          <w:kern w:val="0"/>
          <w:sz w:val="24"/>
          <w:highlight w:val="none"/>
        </w:rPr>
      </w:pPr>
    </w:p>
    <w:p w14:paraId="1CD280B4">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四、总监理工程师</w:t>
      </w:r>
    </w:p>
    <w:p w14:paraId="45B48D7F">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总监理工程师姓名：</w:t>
      </w:r>
      <w:r>
        <w:rPr>
          <w:rFonts w:hint="eastAsia" w:ascii="宋体" w:hAnsi="宋体" w:eastAsia="宋体" w:cs="宋体"/>
          <w:bCs/>
          <w:snapToGrid w:val="0"/>
          <w:spacing w:val="-4"/>
          <w:kern w:val="0"/>
          <w:sz w:val="24"/>
          <w:szCs w:val="22"/>
          <w:highlight w:val="none"/>
          <w:u w:val="single"/>
        </w:rPr>
        <w:t xml:space="preserve">      </w:t>
      </w:r>
      <w:r>
        <w:rPr>
          <w:rFonts w:hint="eastAsia" w:ascii="宋体" w:hAnsi="宋体" w:eastAsia="宋体" w:cs="宋体"/>
          <w:bCs/>
          <w:snapToGrid w:val="0"/>
          <w:spacing w:val="-4"/>
          <w:kern w:val="0"/>
          <w:sz w:val="24"/>
          <w:highlight w:val="none"/>
        </w:rPr>
        <w:t>，身份证号码：</w:t>
      </w:r>
      <w:r>
        <w:rPr>
          <w:rFonts w:hint="eastAsia" w:ascii="宋体" w:hAnsi="宋体" w:eastAsia="宋体" w:cs="宋体"/>
          <w:kern w:val="0"/>
          <w:sz w:val="24"/>
          <w:szCs w:val="24"/>
          <w:highlight w:val="none"/>
          <w:u w:val="single"/>
        </w:rPr>
        <w:t xml:space="preserve">       </w:t>
      </w:r>
      <w:r>
        <w:rPr>
          <w:rFonts w:hint="eastAsia" w:ascii="宋体" w:hAnsi="宋体" w:eastAsia="宋体" w:cs="宋体"/>
          <w:bCs/>
          <w:snapToGrid w:val="0"/>
          <w:spacing w:val="-4"/>
          <w:kern w:val="0"/>
          <w:sz w:val="24"/>
          <w:highlight w:val="none"/>
        </w:rPr>
        <w:t>，注册号：</w:t>
      </w:r>
      <w:r>
        <w:rPr>
          <w:rFonts w:hint="eastAsia" w:ascii="宋体" w:hAnsi="宋体" w:eastAsia="宋体" w:cs="宋体"/>
          <w:kern w:val="0"/>
          <w:sz w:val="24"/>
          <w:szCs w:val="24"/>
          <w:highlight w:val="none"/>
          <w:u w:val="single"/>
        </w:rPr>
        <w:t xml:space="preserve">       </w:t>
      </w:r>
      <w:r>
        <w:rPr>
          <w:rFonts w:hint="eastAsia" w:ascii="宋体" w:hAnsi="宋体" w:eastAsia="宋体" w:cs="宋体"/>
          <w:bCs/>
          <w:snapToGrid w:val="0"/>
          <w:spacing w:val="-4"/>
          <w:kern w:val="0"/>
          <w:sz w:val="24"/>
          <w:highlight w:val="none"/>
        </w:rPr>
        <w:t>。</w:t>
      </w:r>
    </w:p>
    <w:p w14:paraId="61904DED">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p>
    <w:p w14:paraId="1CEEF380">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五、词语限定</w:t>
      </w:r>
    </w:p>
    <w:p w14:paraId="4FF40F39">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本协议书中相关词语的含义与专用条款、通用条款中的定义与解释相同。</w:t>
      </w:r>
    </w:p>
    <w:p w14:paraId="696600F5">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p>
    <w:p w14:paraId="78510A6F">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六、主要人员信息提供</w:t>
      </w:r>
    </w:p>
    <w:p w14:paraId="64DDCB00">
      <w:pPr>
        <w:topLinePunct/>
        <w:adjustRightInd w:val="0"/>
        <w:snapToGrid w:val="0"/>
        <w:spacing w:line="312" w:lineRule="auto"/>
        <w:ind w:firstLine="480" w:firstLineChars="200"/>
        <w:rPr>
          <w:rFonts w:hint="eastAsia" w:ascii="宋体" w:hAnsi="宋体" w:eastAsia="宋体" w:cs="宋体"/>
          <w:b/>
          <w:snapToGrid w:val="0"/>
          <w:kern w:val="0"/>
          <w:sz w:val="24"/>
          <w:highlight w:val="none"/>
        </w:rPr>
      </w:pPr>
      <w:r>
        <w:rPr>
          <w:rFonts w:hint="eastAsia" w:ascii="宋体" w:hAnsi="宋体" w:eastAsia="宋体" w:cs="宋体"/>
          <w:bCs/>
          <w:snapToGrid w:val="0"/>
          <w:kern w:val="0"/>
          <w:sz w:val="24"/>
          <w:highlight w:val="none"/>
        </w:rPr>
        <w:t>监理人应在收到中标通知书之日起5日内以书面形式向委托人提交其法定代表人、总监理工程师的姓名、身份证号码、职务、职称、联系方式（包括办公电话、手机、传真号码）、通信地址等信息作为合同附件。</w:t>
      </w:r>
    </w:p>
    <w:p w14:paraId="2EBCBCE5">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p>
    <w:p w14:paraId="12970EF0">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七、监理人资料变更</w:t>
      </w:r>
    </w:p>
    <w:p w14:paraId="1500B975">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在本合同有效期内，监理人的单位名称变更的，应及时以书面形式通知委托人并附上变更登记资料；监理人法定代表人变更的，应在变更后15日内向委托人提交新法定代表人的姓名、身份证号码、职务、职称、联系电话、通信地址等信息。</w:t>
      </w:r>
    </w:p>
    <w:p w14:paraId="7E11B7B9">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p>
    <w:p w14:paraId="0B285D92">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八、人员变更</w:t>
      </w:r>
    </w:p>
    <w:p w14:paraId="2D969DB8">
      <w:pPr>
        <w:topLinePunct/>
        <w:adjustRightInd w:val="0"/>
        <w:snapToGrid w:val="0"/>
        <w:spacing w:line="312" w:lineRule="auto"/>
        <w:ind w:firstLine="480" w:firstLineChars="200"/>
        <w:rPr>
          <w:rFonts w:hint="eastAsia" w:ascii="宋体" w:hAnsi="宋体" w:eastAsia="宋体" w:cs="宋体"/>
          <w:b/>
          <w:snapToGrid w:val="0"/>
          <w:kern w:val="0"/>
          <w:sz w:val="24"/>
          <w:highlight w:val="none"/>
        </w:rPr>
      </w:pPr>
      <w:r>
        <w:rPr>
          <w:rFonts w:hint="eastAsia" w:ascii="宋体" w:hAnsi="宋体" w:eastAsia="宋体" w:cs="宋体"/>
          <w:bCs/>
          <w:snapToGrid w:val="0"/>
          <w:kern w:val="0"/>
          <w:sz w:val="24"/>
          <w:highlight w:val="none"/>
        </w:rPr>
        <w:t>在本合同有效期内，原则上不能更换总监理工程师，监理人确需更换总监理工程师，应在更换前7日书面报告委托人并得到委托人许可，拟更换的总监理工程师的资格条件不得低于原总监理工程师。</w:t>
      </w:r>
    </w:p>
    <w:p w14:paraId="27ECFC09">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p>
    <w:p w14:paraId="1C0E7959">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九、双方承诺</w:t>
      </w:r>
    </w:p>
    <w:p w14:paraId="706FA0EC">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（1）监理人向委托人承诺，按照本合同约定提供监理与相关服务。</w:t>
      </w:r>
    </w:p>
    <w:p w14:paraId="271F5A09">
      <w:pPr>
        <w:tabs>
          <w:tab w:val="left" w:pos="3060"/>
        </w:tabs>
        <w:adjustRightInd w:val="0"/>
        <w:snapToGrid w:val="0"/>
        <w:spacing w:line="312" w:lineRule="auto"/>
        <w:ind w:right="11" w:firstLine="464" w:firstLineChars="200"/>
        <w:rPr>
          <w:rFonts w:hint="eastAsia" w:ascii="宋体" w:hAnsi="宋体" w:eastAsia="宋体" w:cs="宋体"/>
          <w:bCs/>
          <w:snapToGrid w:val="0"/>
          <w:spacing w:val="-4"/>
          <w:kern w:val="0"/>
          <w:sz w:val="24"/>
          <w:highlight w:val="none"/>
        </w:rPr>
      </w:pPr>
      <w:r>
        <w:rPr>
          <w:rFonts w:hint="eastAsia" w:ascii="宋体" w:hAnsi="宋体" w:eastAsia="宋体" w:cs="宋体"/>
          <w:bCs/>
          <w:snapToGrid w:val="0"/>
          <w:spacing w:val="-4"/>
          <w:kern w:val="0"/>
          <w:sz w:val="24"/>
          <w:highlight w:val="none"/>
        </w:rPr>
        <w:t>（2）委托人向监理人承诺，按本合同约定支付酬金。</w:t>
      </w:r>
    </w:p>
    <w:p w14:paraId="0FCAF683">
      <w:pPr>
        <w:tabs>
          <w:tab w:val="left" w:pos="3060"/>
        </w:tabs>
        <w:adjustRightInd w:val="0"/>
        <w:snapToGrid w:val="0"/>
        <w:spacing w:line="312" w:lineRule="auto"/>
        <w:ind w:right="11" w:firstLine="464" w:firstLineChars="200"/>
        <w:rPr>
          <w:rFonts w:hint="eastAsia" w:ascii="宋体" w:hAnsi="宋体" w:eastAsia="宋体" w:cs="宋体"/>
          <w:b/>
          <w:snapToGrid w:val="0"/>
          <w:kern w:val="0"/>
          <w:sz w:val="24"/>
          <w:highlight w:val="none"/>
        </w:rPr>
      </w:pPr>
      <w:r>
        <w:rPr>
          <w:rFonts w:hint="eastAsia" w:ascii="宋体" w:hAnsi="宋体" w:eastAsia="宋体" w:cs="宋体"/>
          <w:bCs/>
          <w:snapToGrid w:val="0"/>
          <w:spacing w:val="-4"/>
          <w:kern w:val="0"/>
          <w:sz w:val="24"/>
          <w:highlight w:val="none"/>
        </w:rPr>
        <w:t>(3)  监理人应按委托人通知规定的日期及政府相关文件的规定，向广州公共资源交易中心交纳交易服务费</w:t>
      </w:r>
      <w:r>
        <w:rPr>
          <w:rFonts w:hint="eastAsia" w:ascii="宋体" w:hAnsi="宋体" w:eastAsia="宋体" w:cs="宋体"/>
          <w:bCs/>
          <w:snapToGrid w:val="0"/>
          <w:spacing w:val="-4"/>
          <w:kern w:val="0"/>
          <w:sz w:val="24"/>
          <w:highlight w:val="none"/>
          <w:u w:val="single"/>
        </w:rPr>
        <w:t xml:space="preserve">       </w:t>
      </w:r>
      <w:r>
        <w:rPr>
          <w:rFonts w:hint="eastAsia" w:ascii="宋体" w:hAnsi="宋体" w:eastAsia="宋体" w:cs="宋体"/>
          <w:bCs/>
          <w:snapToGrid w:val="0"/>
          <w:spacing w:val="-4"/>
          <w:kern w:val="0"/>
          <w:sz w:val="24"/>
          <w:highlight w:val="none"/>
        </w:rPr>
        <w:t>万元。交易服务费的金额为中标总金额的 0.9‰，上述费用在监理人第一次请款时一并申请。</w:t>
      </w:r>
    </w:p>
    <w:p w14:paraId="0059620A">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十、合同的生效与终止</w:t>
      </w:r>
    </w:p>
    <w:p w14:paraId="6CEBC23E">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本合同自</w:t>
      </w:r>
      <w:r>
        <w:rPr>
          <w:rFonts w:hint="eastAsia" w:ascii="宋体" w:hAnsi="宋体" w:eastAsia="宋体" w:cs="宋体"/>
          <w:snapToGrid w:val="0"/>
          <w:kern w:val="0"/>
          <w:sz w:val="24"/>
          <w:highlight w:val="none"/>
        </w:rPr>
        <w:t>委托人</w:t>
      </w:r>
      <w:r>
        <w:rPr>
          <w:rFonts w:hint="eastAsia" w:ascii="宋体" w:hAnsi="宋体" w:eastAsia="宋体" w:cs="宋体"/>
          <w:bCs/>
          <w:snapToGrid w:val="0"/>
          <w:kern w:val="0"/>
          <w:sz w:val="24"/>
          <w:highlight w:val="none"/>
        </w:rPr>
        <w:t>、</w:t>
      </w:r>
      <w:r>
        <w:rPr>
          <w:rFonts w:hint="eastAsia" w:ascii="宋体" w:hAnsi="宋体" w:eastAsia="宋体" w:cs="宋体"/>
          <w:snapToGrid w:val="0"/>
          <w:kern w:val="0"/>
          <w:sz w:val="24"/>
          <w:highlight w:val="none"/>
        </w:rPr>
        <w:t>监理人</w:t>
      </w:r>
      <w:r>
        <w:rPr>
          <w:rFonts w:hint="eastAsia" w:ascii="宋体" w:hAnsi="宋体" w:eastAsia="宋体" w:cs="宋体"/>
          <w:bCs/>
          <w:snapToGrid w:val="0"/>
          <w:kern w:val="0"/>
          <w:sz w:val="24"/>
          <w:highlight w:val="none"/>
        </w:rPr>
        <w:t>双方代表签字并加盖公章后生效。以下三个条件均满足后，双方终止本合同的执行：</w:t>
      </w:r>
    </w:p>
    <w:p w14:paraId="011BEE50">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（1）本合同工程质量保修期届满；</w:t>
      </w:r>
    </w:p>
    <w:p w14:paraId="0BE1DB93">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（2）本合同工程竣工结算经终审部门审定之日起届满60日；</w:t>
      </w:r>
    </w:p>
    <w:p w14:paraId="1670DA7A">
      <w:pPr>
        <w:topLinePunct/>
        <w:adjustRightInd w:val="0"/>
        <w:snapToGrid w:val="0"/>
        <w:spacing w:line="312"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（3）双方在本合同项下的责任承担、义务履行均告完毕。</w:t>
      </w:r>
    </w:p>
    <w:p w14:paraId="63D6D460">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十一、其他</w:t>
      </w:r>
    </w:p>
    <w:p w14:paraId="6248B53D">
      <w:pPr>
        <w:topLinePunct/>
        <w:adjustRightInd w:val="0"/>
        <w:snapToGrid w:val="0"/>
        <w:spacing w:line="312" w:lineRule="auto"/>
        <w:ind w:firstLine="480" w:firstLineChars="200"/>
        <w:rPr>
          <w:rFonts w:hint="eastAsia" w:ascii="宋体" w:hAnsi="宋体" w:eastAsia="宋体" w:cs="宋体"/>
          <w:b w:val="0"/>
          <w:bCs/>
          <w:snapToGrid w:val="0"/>
          <w:kern w:val="0"/>
          <w:sz w:val="24"/>
          <w:highlight w:val="none"/>
        </w:rPr>
      </w:pPr>
      <w:r>
        <w:rPr>
          <w:rFonts w:hint="eastAsia" w:ascii="宋体" w:hAnsi="宋体" w:eastAsia="宋体" w:cs="宋体"/>
          <w:b w:val="0"/>
          <w:bCs/>
          <w:snapToGrid w:val="0"/>
          <w:kern w:val="0"/>
          <w:sz w:val="24"/>
          <w:highlight w:val="none"/>
        </w:rPr>
        <w:t>承包人未按合同要求或招标文件约定履行相关义务（包括但不限于未及时提交履约保函、未按投标文件中的承诺投入监理人员、未督促施工（总承包）单位及时提交专业工程分包计划、擅自更换总监理工程师、未按发包人要求缴纳违约罚金等），承包人将被按一般违约或严重违约进行处罚，发包人有权从中标合同金额中扣除相应罚金，发包人有权视情况认为承包人存在不诚信行为或不充分履约行为，发包人有权将承包人纳入发包人拒绝投标名单。</w:t>
      </w:r>
    </w:p>
    <w:p w14:paraId="2F2DC278">
      <w:pPr>
        <w:topLinePunct/>
        <w:adjustRightInd w:val="0"/>
        <w:snapToGrid w:val="0"/>
        <w:spacing w:line="312" w:lineRule="auto"/>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十二、合同文本的份数</w:t>
      </w:r>
    </w:p>
    <w:p w14:paraId="12D1544D">
      <w:pPr>
        <w:topLinePunct/>
        <w:adjustRightInd w:val="0"/>
        <w:snapToGrid w:val="0"/>
        <w:spacing w:line="312"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bCs/>
          <w:snapToGrid w:val="0"/>
          <w:kern w:val="0"/>
          <w:sz w:val="24"/>
          <w:highlight w:val="none"/>
        </w:rPr>
        <w:t>本合同一式十六份，委托人执十份，监理人执六份，其中正本各持三份。</w:t>
      </w:r>
    </w:p>
    <w:p w14:paraId="308E6D3F">
      <w:pPr>
        <w:topLinePunct/>
        <w:adjustRightInd w:val="0"/>
        <w:snapToGrid w:val="0"/>
        <w:spacing w:line="312" w:lineRule="auto"/>
        <w:ind w:firstLine="120" w:firstLineChars="5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委托人：</w:t>
      </w:r>
      <w:r>
        <w:rPr>
          <w:rFonts w:hint="eastAsia" w:ascii="宋体" w:hAnsi="宋体" w:eastAsia="宋体" w:cs="宋体"/>
          <w:snapToGrid w:val="0"/>
          <w:kern w:val="0"/>
          <w:sz w:val="24"/>
          <w:highlight w:val="none"/>
          <w:u w:val="single"/>
        </w:rPr>
        <w:t>广东省代建项目管理局</w:t>
      </w:r>
      <w:r>
        <w:rPr>
          <w:rFonts w:hint="eastAsia" w:ascii="宋体" w:hAnsi="宋体" w:eastAsia="宋体" w:cs="宋体"/>
          <w:snapToGrid w:val="0"/>
          <w:kern w:val="0"/>
          <w:sz w:val="24"/>
          <w:highlight w:val="none"/>
        </w:rPr>
        <w:t xml:space="preserve">           监理人：</w:t>
      </w:r>
      <w:r>
        <w:rPr>
          <w:rFonts w:hint="eastAsia" w:ascii="宋体" w:hAnsi="宋体" w:eastAsia="宋体" w:cs="宋体"/>
          <w:snapToGrid w:val="0"/>
          <w:kern w:val="0"/>
          <w:sz w:val="24"/>
          <w:highlight w:val="none"/>
          <w:u w:val="single"/>
        </w:rPr>
        <w:t xml:space="preserve">                   </w:t>
      </w:r>
    </w:p>
    <w:p w14:paraId="693C9A3A">
      <w:pPr>
        <w:topLinePunct/>
        <w:adjustRightInd w:val="0"/>
        <w:snapToGrid w:val="0"/>
        <w:spacing w:line="312" w:lineRule="auto"/>
        <w:ind w:firstLine="2400" w:firstLineChars="10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（盖章）                                       （盖章）</w:t>
      </w:r>
    </w:p>
    <w:p w14:paraId="11774AAF">
      <w:pPr>
        <w:topLinePunct/>
        <w:adjustRightInd w:val="0"/>
        <w:snapToGrid w:val="0"/>
        <w:spacing w:line="312" w:lineRule="auto"/>
        <w:rPr>
          <w:rFonts w:hint="eastAsia" w:ascii="宋体" w:hAnsi="宋体" w:eastAsia="宋体" w:cs="宋体"/>
          <w:snapToGrid w:val="0"/>
          <w:kern w:val="0"/>
          <w:sz w:val="24"/>
          <w:highlight w:val="none"/>
        </w:rPr>
      </w:pPr>
    </w:p>
    <w:p w14:paraId="78003DD7">
      <w:pPr>
        <w:topLinePunct/>
        <w:adjustRightInd w:val="0"/>
        <w:snapToGrid w:val="0"/>
        <w:spacing w:line="312" w:lineRule="auto"/>
        <w:ind w:firstLine="120" w:firstLineChars="5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法定代表人：                           法定代表人：</w:t>
      </w:r>
    </w:p>
    <w:p w14:paraId="1F5E9864">
      <w:pPr>
        <w:topLinePunct/>
        <w:adjustRightInd w:val="0"/>
        <w:snapToGrid w:val="0"/>
        <w:spacing w:line="312" w:lineRule="auto"/>
        <w:rPr>
          <w:rFonts w:hint="eastAsia" w:ascii="宋体" w:hAnsi="宋体" w:eastAsia="宋体" w:cs="宋体"/>
          <w:snapToGrid w:val="0"/>
          <w:kern w:val="0"/>
          <w:sz w:val="24"/>
          <w:highlight w:val="none"/>
        </w:rPr>
      </w:pPr>
    </w:p>
    <w:p w14:paraId="2C39CAE9">
      <w:pPr>
        <w:topLinePunct/>
        <w:adjustRightInd w:val="0"/>
        <w:snapToGrid w:val="0"/>
        <w:spacing w:line="312" w:lineRule="auto"/>
        <w:ind w:firstLine="120" w:firstLineChars="5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委托代理人：                           委托代理人：</w:t>
      </w:r>
    </w:p>
    <w:p w14:paraId="3F35BBBE">
      <w:pPr>
        <w:widowControl w:val="0"/>
        <w:topLinePunct/>
        <w:adjustRightInd w:val="0"/>
        <w:snapToGrid w:val="0"/>
        <w:spacing w:line="360" w:lineRule="auto"/>
        <w:ind w:firstLine="0" w:firstLineChars="0"/>
        <w:jc w:val="both"/>
        <w:rPr>
          <w:rFonts w:hint="eastAsia" w:ascii="宋体" w:hAnsi="宋体" w:eastAsia="宋体" w:cs="宋体"/>
          <w:bCs/>
          <w:spacing w:val="0"/>
          <w:kern w:val="0"/>
          <w:sz w:val="24"/>
          <w:szCs w:val="24"/>
          <w:highlight w:val="none"/>
          <w:lang w:val="en-US" w:eastAsia="zh-CN" w:bidi="ar-SA"/>
        </w:rPr>
      </w:pPr>
    </w:p>
    <w:p w14:paraId="4BB50866">
      <w:pPr>
        <w:widowControl w:val="0"/>
        <w:topLinePunct/>
        <w:adjustRightInd w:val="0"/>
        <w:snapToGrid w:val="0"/>
        <w:spacing w:before="156" w:beforeLines="50" w:after="156" w:afterLines="50" w:line="360" w:lineRule="auto"/>
        <w:ind w:firstLine="120" w:firstLineChars="50"/>
        <w:jc w:val="both"/>
        <w:outlineLvl w:val="1"/>
        <w:rPr>
          <w:rFonts w:hint="eastAsia" w:ascii="宋体" w:hAnsi="宋体" w:eastAsia="宋体" w:cs="宋体"/>
          <w:b w:val="0"/>
          <w:spacing w:val="0"/>
          <w:kern w:val="0"/>
          <w:sz w:val="24"/>
          <w:szCs w:val="24"/>
          <w:highlight w:val="none"/>
          <w:lang w:val="en-US" w:eastAsia="zh-CN" w:bidi="ar-SA"/>
        </w:rPr>
      </w:pPr>
      <w:r>
        <w:rPr>
          <w:rFonts w:hint="eastAsia" w:ascii="宋体" w:hAnsi="宋体" w:eastAsia="宋体" w:cs="宋体"/>
          <w:b w:val="0"/>
          <w:spacing w:val="0"/>
          <w:kern w:val="0"/>
          <w:sz w:val="24"/>
          <w:szCs w:val="24"/>
          <w:highlight w:val="none"/>
          <w:lang w:val="en-US" w:eastAsia="zh-CN" w:bidi="ar-SA"/>
        </w:rPr>
        <w:t>签订日期：</w:t>
      </w:r>
      <w:r>
        <w:rPr>
          <w:rFonts w:hint="eastAsia" w:ascii="宋体" w:hAnsi="宋体" w:eastAsia="宋体" w:cs="宋体"/>
          <w:b/>
          <w:spacing w:val="0"/>
          <w:kern w:val="0"/>
          <w:sz w:val="24"/>
          <w:szCs w:val="24"/>
          <w:highlight w:val="none"/>
          <w:u w:val="single"/>
          <w:lang w:val="en-US" w:eastAsia="zh-CN" w:bidi="ar-SA"/>
        </w:rPr>
        <w:t xml:space="preserve">    </w:t>
      </w:r>
      <w:r>
        <w:rPr>
          <w:rFonts w:hint="eastAsia" w:ascii="宋体" w:hAnsi="宋体" w:eastAsia="宋体" w:cs="宋体"/>
          <w:b w:val="0"/>
          <w:spacing w:val="0"/>
          <w:kern w:val="0"/>
          <w:sz w:val="24"/>
          <w:szCs w:val="24"/>
          <w:highlight w:val="none"/>
          <w:lang w:val="en-US" w:eastAsia="zh-CN" w:bidi="ar-SA"/>
        </w:rPr>
        <w:t xml:space="preserve">年 </w:t>
      </w:r>
      <w:r>
        <w:rPr>
          <w:rFonts w:hint="eastAsia" w:ascii="宋体" w:hAnsi="宋体" w:eastAsia="宋体" w:cs="宋体"/>
          <w:b w:val="0"/>
          <w:spacing w:val="0"/>
          <w:kern w:val="0"/>
          <w:sz w:val="24"/>
          <w:szCs w:val="24"/>
          <w:highlight w:val="none"/>
          <w:u w:val="single"/>
          <w:lang w:val="en-US" w:eastAsia="zh-CN" w:bidi="ar-SA"/>
        </w:rPr>
        <w:t xml:space="preserve">    </w:t>
      </w:r>
      <w:r>
        <w:rPr>
          <w:rFonts w:hint="eastAsia" w:ascii="宋体" w:hAnsi="宋体" w:eastAsia="宋体" w:cs="宋体"/>
          <w:b w:val="0"/>
          <w:spacing w:val="0"/>
          <w:kern w:val="0"/>
          <w:sz w:val="24"/>
          <w:szCs w:val="24"/>
          <w:highlight w:val="none"/>
          <w:lang w:val="en-US" w:eastAsia="zh-CN" w:bidi="ar-SA"/>
        </w:rPr>
        <w:t>月</w:t>
      </w:r>
      <w:r>
        <w:rPr>
          <w:rFonts w:hint="eastAsia" w:ascii="宋体" w:hAnsi="宋体" w:eastAsia="宋体" w:cs="宋体"/>
          <w:b w:val="0"/>
          <w:spacing w:val="0"/>
          <w:kern w:val="0"/>
          <w:sz w:val="24"/>
          <w:szCs w:val="24"/>
          <w:highlight w:val="none"/>
          <w:u w:val="single"/>
          <w:lang w:val="en-US" w:eastAsia="zh-CN" w:bidi="ar-SA"/>
        </w:rPr>
        <w:t xml:space="preserve">   </w:t>
      </w:r>
      <w:r>
        <w:rPr>
          <w:rFonts w:hint="eastAsia" w:ascii="宋体" w:hAnsi="宋体" w:eastAsia="宋体" w:cs="宋体"/>
          <w:b w:val="0"/>
          <w:spacing w:val="0"/>
          <w:kern w:val="0"/>
          <w:sz w:val="24"/>
          <w:szCs w:val="24"/>
          <w:highlight w:val="none"/>
          <w:lang w:val="en-US" w:eastAsia="zh-CN" w:bidi="ar-SA"/>
        </w:rPr>
        <w:t>日</w:t>
      </w:r>
    </w:p>
    <w:p w14:paraId="15B9C5EE">
      <w:pPr>
        <w:widowControl w:val="0"/>
        <w:topLinePunct/>
        <w:adjustRightInd w:val="0"/>
        <w:snapToGrid w:val="0"/>
        <w:spacing w:before="156" w:beforeLines="50" w:after="156" w:afterLines="50" w:line="360" w:lineRule="auto"/>
        <w:jc w:val="center"/>
        <w:outlineLvl w:val="1"/>
        <w:rPr>
          <w:rFonts w:hint="eastAsia" w:ascii="宋体" w:hAnsi="宋体" w:eastAsia="宋体" w:cs="Times New Roman"/>
          <w:b/>
          <w:spacing w:val="0"/>
          <w:kern w:val="0"/>
          <w:sz w:val="44"/>
          <w:szCs w:val="44"/>
          <w:highlight w:val="none"/>
          <w:lang w:val="en-US" w:eastAsia="zh-CN" w:bidi="ar-SA"/>
        </w:rPr>
      </w:pPr>
      <w:r>
        <w:rPr>
          <w:rFonts w:hint="eastAsia" w:ascii="宋体" w:hAnsi="宋体" w:eastAsia="黑体" w:cs="Times New Roman"/>
          <w:b w:val="0"/>
          <w:snapToGrid w:val="0"/>
          <w:spacing w:val="4"/>
          <w:kern w:val="0"/>
          <w:sz w:val="30"/>
          <w:szCs w:val="30"/>
          <w:highlight w:val="none"/>
          <w:lang w:val="en-US" w:eastAsia="zh-CN" w:bidi="ar-SA"/>
        </w:rPr>
        <w:br w:type="page"/>
      </w:r>
      <w:bookmarkStart w:id="20" w:name="_Toc403660591"/>
      <w:r>
        <w:rPr>
          <w:rFonts w:hint="eastAsia" w:ascii="宋体" w:hAnsi="宋体" w:eastAsia="宋体" w:cs="Times New Roman"/>
          <w:b/>
          <w:spacing w:val="0"/>
          <w:kern w:val="0"/>
          <w:sz w:val="44"/>
          <w:szCs w:val="44"/>
          <w:highlight w:val="none"/>
          <w:lang w:val="en-US" w:eastAsia="zh-CN" w:bidi="ar-SA"/>
        </w:rPr>
        <w:t>第二部分  通用条款</w:t>
      </w:r>
      <w:bookmarkEnd w:id="20"/>
    </w:p>
    <w:p w14:paraId="0EC1F00F">
      <w:pPr>
        <w:snapToGrid w:val="0"/>
        <w:spacing w:line="360" w:lineRule="auto"/>
        <w:rPr>
          <w:rFonts w:hint="eastAsia" w:ascii="宋体" w:hAnsi="宋体" w:eastAsia="楷体_GB2312" w:cs="Times New Roman"/>
          <w:b/>
          <w:bCs/>
          <w:snapToGrid w:val="0"/>
          <w:kern w:val="0"/>
          <w:sz w:val="24"/>
          <w:szCs w:val="24"/>
          <w:highlight w:val="none"/>
        </w:rPr>
      </w:pPr>
    </w:p>
    <w:p w14:paraId="562CAC5C">
      <w:pPr>
        <w:snapToGrid w:val="0"/>
        <w:spacing w:line="360" w:lineRule="auto"/>
        <w:rPr>
          <w:rFonts w:hint="eastAsia" w:ascii="宋体" w:hAnsi="宋体" w:eastAsia="楷体_GB2312" w:cs="Times New Roman"/>
          <w:b/>
          <w:bCs/>
          <w:snapToGrid w:val="0"/>
          <w:kern w:val="0"/>
          <w:sz w:val="28"/>
          <w:szCs w:val="28"/>
          <w:highlight w:val="none"/>
        </w:rPr>
      </w:pPr>
      <w:r>
        <w:rPr>
          <w:rFonts w:hint="eastAsia" w:ascii="宋体" w:hAnsi="宋体" w:eastAsia="楷体_GB2312" w:cs="Times New Roman"/>
          <w:b/>
          <w:bCs/>
          <w:snapToGrid w:val="0"/>
          <w:kern w:val="0"/>
          <w:sz w:val="28"/>
          <w:szCs w:val="28"/>
          <w:highlight w:val="none"/>
        </w:rPr>
        <w:t>1.定义与解释</w:t>
      </w:r>
    </w:p>
    <w:p w14:paraId="22E42E57">
      <w:pPr>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1.1定义</w:t>
      </w:r>
    </w:p>
    <w:p w14:paraId="788FC17C">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除根据上下文另有其意义外，组成本合同的全部文件中的下列名词和用语应具有本款所赋予的含义：</w:t>
      </w:r>
    </w:p>
    <w:p w14:paraId="0112613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1.1.1“工程”是指按照本合同约定实施监理与相关服务的建设工程。</w:t>
      </w:r>
    </w:p>
    <w:p w14:paraId="6C0FEE9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1.1.2“委托人”是指本合同中委托监理与相关服务的一方，及其合法的继承人或受让人。</w:t>
      </w:r>
    </w:p>
    <w:p w14:paraId="646B82A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1.1.3“监理人”是指本合同中提供监理与相关服务的一方，及其合法的继承人。</w:t>
      </w:r>
    </w:p>
    <w:p w14:paraId="6B517EE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1.1.4“承包人”是指在工程范围内与委托人签订勘察、设计、施工等有关合同的当事人，及其合法的继承人。</w:t>
      </w:r>
    </w:p>
    <w:p w14:paraId="4A22B3B5">
      <w:pPr>
        <w:adjustRightInd w:val="0"/>
        <w:snapToGrid w:val="0"/>
        <w:spacing w:line="360" w:lineRule="auto"/>
        <w:ind w:firstLine="48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1.1.5“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293693B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1.1.6“相关服务”是指监理人受委托人的委托，按照本合同约定，在勘察、设计、保修等阶段提供的服务活动。</w:t>
      </w:r>
    </w:p>
    <w:p w14:paraId="4501B80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1.1.7“正常工作”指本合同订立时通用条款和专用条款中约定的监理人的工作。</w:t>
      </w:r>
    </w:p>
    <w:p w14:paraId="4EB9380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1.1.8“附加工作”是指本合同约定的正常工作以外监理人的工作。</w:t>
      </w:r>
    </w:p>
    <w:p w14:paraId="29026CF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1.1.9“项目监理机构”是指监理人派驻工程负责履行本合同的组织机构。</w:t>
      </w:r>
    </w:p>
    <w:p w14:paraId="575401B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1.1.10“总监理工程师”是指由监理人的法定代表人书面授权，全面负责履行本合同、主持项目监理机构工作的注册监理工程师。</w:t>
      </w:r>
    </w:p>
    <w:p w14:paraId="395CC25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1.1.11总监理工程师代表：指由总监理工程师授权，代表总监理工程师行使其部分职责和权力的注册监理工程师。</w:t>
      </w:r>
    </w:p>
    <w:p w14:paraId="30BC600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1.1.12注册监理工程师：指取得国务院建设主管部门颁发的《中华人民共和国注册监理工程师注册执业证书》和执业印章，从事建设工程监理与相关服务等活动的人员。</w:t>
      </w:r>
    </w:p>
    <w:p w14:paraId="3D499886">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1.1.13专业监理工程师：指由总监理工程师授权，负责实施某一专业或某一岗位的监理工作，有相应监理文件签发权的监理人员。</w:t>
      </w:r>
    </w:p>
    <w:p w14:paraId="6D8F471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1.1.14监理员：指从事具体监理工作的监理人员。</w:t>
      </w:r>
    </w:p>
    <w:p w14:paraId="67B853AB">
      <w:pPr>
        <w:adjustRightInd w:val="0"/>
        <w:snapToGrid w:val="0"/>
        <w:spacing w:line="360" w:lineRule="auto"/>
        <w:ind w:firstLine="475" w:firstLineChars="198"/>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1.1.15“酬金”是指监理人履行本合同义务，委托人按照本合同约定给付监理人的金额。</w:t>
      </w:r>
    </w:p>
    <w:p w14:paraId="638E041A">
      <w:pPr>
        <w:adjustRightInd w:val="0"/>
        <w:snapToGrid w:val="0"/>
        <w:spacing w:line="360" w:lineRule="auto"/>
        <w:ind w:firstLine="475" w:firstLineChars="198"/>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1.1.16“正常工作酬金”是指监理人完成正常工作，委托人应给付监理人并在协议书中载明的签约酬金额。</w:t>
      </w:r>
    </w:p>
    <w:p w14:paraId="0776B8BF">
      <w:pPr>
        <w:adjustRightInd w:val="0"/>
        <w:snapToGrid w:val="0"/>
        <w:spacing w:line="360" w:lineRule="auto"/>
        <w:ind w:firstLine="475" w:firstLineChars="198"/>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1.1.17“附加工作酬金”是指监理人完成附加工作，委托人应给付监理人的金额。</w:t>
      </w:r>
    </w:p>
    <w:p w14:paraId="2240C61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1.1.18“一方”是指委托人或监理人；“双方”是指委托人和监理人；“第三方”是指除委托人和监理人以外的有关方。</w:t>
      </w:r>
    </w:p>
    <w:p w14:paraId="34C14BBA">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1.1.19“书面形式”是指合同书、信件和数据电文（包括电报、电传、传真、电子数据交换和电子邮件）等可以有形地表现所载内容的形式。</w:t>
      </w:r>
    </w:p>
    <w:p w14:paraId="3B8B85C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1.1.20“天”是指第一天零时至第二天零时的时间。</w:t>
      </w:r>
    </w:p>
    <w:p w14:paraId="1CE194E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1.1.21“月”是指按公历从一个月中任何一天开始的一个公历月时间。</w:t>
      </w:r>
    </w:p>
    <w:p w14:paraId="36B7F2C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1.1.22“不可抗力”是指委托人和监理人在订立本合同时不可预见，在工程施工过程中不可避免发生并不能克服的自然灾害和社会性突发事件，如地震、海啸、瘟疫、水灾、骚乱、暴动、战争和专用条款约定的其他情形。</w:t>
      </w:r>
    </w:p>
    <w:p w14:paraId="7AA597A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1.1.23监理规划：指导项目监理机构全面开展监理工作的纲领性文件。</w:t>
      </w:r>
    </w:p>
    <w:p w14:paraId="7ADB033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1.1.24监理实施细则：指针对某一专业或某一方面监理工作的操作性文件。</w:t>
      </w:r>
    </w:p>
    <w:p w14:paraId="66EBC67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1.1.25工程变更：指按照施工合同约定的程序对工程在材料、工艺、功能、构造、尺寸、技术指标、工程量及施工方法等方面做出的改变。</w:t>
      </w:r>
    </w:p>
    <w:p w14:paraId="5A29CC5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1.1.26旁站：指监理人员在施工现场对工程实体关键部位或关键工序的施工质量进行的监督检查活动。</w:t>
      </w:r>
    </w:p>
    <w:p w14:paraId="6EF74B7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1.1.27巡视：指监理人员在施工现场进行的定期或不定期的监督检查活动。</w:t>
      </w:r>
    </w:p>
    <w:p w14:paraId="7CDBC38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1.1.28平行检验：指项目监理机构在施工单位对工程质量自检的基础上，按照有关规定或建设工程监理合同约定独立进行的检测试验活动。</w:t>
      </w:r>
    </w:p>
    <w:p w14:paraId="18671CC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1.1.29见证取样：指项目监理机构对施工单位进行的涉及结构安全的试块、试件及工程材料现场取样、封样、送检工作的监督活动。</w:t>
      </w:r>
    </w:p>
    <w:p w14:paraId="1455A026">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1.1.30工程延期：指由于非施工单位原因造成合同工期延长的时间。</w:t>
      </w:r>
    </w:p>
    <w:p w14:paraId="6F6D6467">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1.1.31工期延误：指由于施工单位自身原因造成施工期延长的时间。</w:t>
      </w:r>
    </w:p>
    <w:p w14:paraId="0222209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1.1.32监理日志：指项目监理机构每日对建设工程监理工作及建设工程实施情况所做的记录。</w:t>
      </w:r>
    </w:p>
    <w:p w14:paraId="1C5D31D7">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1.1.33监理月报：指项目监理机构每月向建设单位提交的建设工程监理工作及建设工程实施情况分析总结报告。</w:t>
      </w:r>
    </w:p>
    <w:p w14:paraId="61E997A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1.1.34设备监造：指项目监理机构按照建设工程监理合同和设备采购合同约定，对设备制造过程进行的监督检查。</w:t>
      </w:r>
    </w:p>
    <w:p w14:paraId="0DB2F8D6">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1.1.35费用索赔：指根据承包合同的约定，合同一方因另一方原因造成本方经济损失，通过监理工程师向对方索取费用的活动。</w:t>
      </w:r>
    </w:p>
    <w:p w14:paraId="75EA2DBB">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1.1.36节点工期：指在经委托人和总监理工程师批准的施工组织设计或者工程工期网络计划中载明的承包人按总日历天数（包括法定节假日）计算完成某一阶段或某一工序的期限。按工期网络计划的一般线路和关键线路分为一般节点工期和关键节点工期。</w:t>
      </w:r>
    </w:p>
    <w:p w14:paraId="544D9C4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1.1.37通知：指合同中所提及的各方之间传达意思表示的方式，包括但不限于申请、报告、同意、答复、批准、指令、证书、决定，等等。除专用条款有特别约定外，只有采用书面形式的通知才有效。</w:t>
      </w:r>
    </w:p>
    <w:p w14:paraId="0432300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1.1.38 生产安全事故：指在工程建设过程中由于责任过失造成工程倒塌或报废、机械设备毁坏和安全设施失当等原因造成人身伤亡或者重大经济损失的事故。</w:t>
      </w:r>
    </w:p>
    <w:p w14:paraId="41B4ED0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1.1.39质量事故：指因质量原因导致损失或造成人身伤亡的事故。</w:t>
      </w:r>
    </w:p>
    <w:p w14:paraId="1DF9367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1.1.40元：指人民币元。</w:t>
      </w:r>
    </w:p>
    <w:p w14:paraId="0E39B83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1.1.41管理服务单位：指受委托人委托对本合同工程建设进行管理的单位，包括监理人和技术督导单位、材料设备管理服务单位等。</w:t>
      </w:r>
    </w:p>
    <w:p w14:paraId="4DC32A9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1.1.42保证人：指按约定向委托人提交监理人履约保函的机构。</w:t>
      </w:r>
    </w:p>
    <w:p w14:paraId="2E0E594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1.1.43施工准备阶段：指自监理人接到入场通知开始，至本合同工程正式开工止，监理人在此期间应完成熟悉设计文件、参加设计技术交底、参加图纸会审、提交监理规划等监理工作。</w:t>
      </w:r>
    </w:p>
    <w:p w14:paraId="0CF7615C">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1.1.44施工阶段：指自本合同工程主体工程正式开工开始，至本合同工程具备竣工条件后止，监理人在此期间应负责实施本合同工程的工程质量控制、工程造价控制、工程职业健康安全控制、工程合同管理、工程信息管理等监理工作。</w:t>
      </w:r>
    </w:p>
    <w:p w14:paraId="45F5FA4C">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1.1.45工程收尾阶段：指自本项目工程具备竣工条件直至本合同工程结算工作全部完成结束，监理人在此期间组织实施本合同工程的竣工验收、工程项目整改、工程结算等监理工作。</w:t>
      </w:r>
    </w:p>
    <w:p w14:paraId="72B1CE9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1.1.46工程质量保修阶段：指自本工程项目质量保修期质量保修期开始，直至本工程项目质量保修期质量保修期结束，监理人在此期间应负责本合同工程质量保修相关的监理工作。</w:t>
      </w:r>
    </w:p>
    <w:p w14:paraId="6160E6C2">
      <w:pPr>
        <w:adjustRightInd w:val="0"/>
        <w:snapToGrid w:val="0"/>
        <w:spacing w:line="360" w:lineRule="auto"/>
        <w:ind w:firstLine="480" w:firstLineChars="200"/>
        <w:rPr>
          <w:rFonts w:hint="eastAsia" w:ascii="宋体" w:hAnsi="宋体" w:eastAsia="宋体" w:cs="宋体"/>
          <w:bCs/>
          <w:snapToGrid w:val="0"/>
          <w:kern w:val="0"/>
          <w:sz w:val="24"/>
          <w:highlight w:val="none"/>
        </w:rPr>
      </w:pPr>
    </w:p>
    <w:p w14:paraId="60F10AB6">
      <w:pPr>
        <w:adjustRightInd w:val="0"/>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1.2解释</w:t>
      </w:r>
    </w:p>
    <w:p w14:paraId="35E8541F">
      <w:pPr>
        <w:tabs>
          <w:tab w:val="left" w:pos="6140"/>
        </w:tabs>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1.2.1本合同使用中文书写、解释和说明。如专用条款约定使用两种及以上语言文字时，应以中文为准。</w:t>
      </w:r>
    </w:p>
    <w:p w14:paraId="6A1E5484">
      <w:pPr>
        <w:tabs>
          <w:tab w:val="left" w:pos="6140"/>
        </w:tabs>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1.2.2组成本合同的下列文件彼此应能相互解释、互为说明。除专用条款另有约定外，本合同文件的解释顺序如下：</w:t>
      </w:r>
    </w:p>
    <w:p w14:paraId="493B04F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（1）协议书；</w:t>
      </w:r>
    </w:p>
    <w:p w14:paraId="1B81A01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（2）中标通知书（适用于招标工程）或委托书（适用于非招标工程）；</w:t>
      </w:r>
    </w:p>
    <w:p w14:paraId="1C84A19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（3）专用条款；</w:t>
      </w:r>
    </w:p>
    <w:p w14:paraId="71AF474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（4）通用条款；</w:t>
      </w:r>
    </w:p>
    <w:p w14:paraId="5CF9B9DA">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（5）投标文件（适用于招标工程）或监理与相关服务建议书（适用于非招标工程）。</w:t>
      </w:r>
    </w:p>
    <w:p w14:paraId="12D373D9">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双方签订的补充协议与其他文件发生矛盾或歧义时，属于同一类内容的文件，应以最新签署的为准。</w:t>
      </w:r>
    </w:p>
    <w:p w14:paraId="54B6F6A0">
      <w:pPr>
        <w:spacing w:line="360" w:lineRule="auto"/>
        <w:rPr>
          <w:rFonts w:hint="eastAsia" w:ascii="宋体" w:hAnsi="宋体" w:eastAsia="宋体" w:cs="宋体"/>
          <w:bCs/>
          <w:snapToGrid w:val="0"/>
          <w:kern w:val="0"/>
          <w:sz w:val="24"/>
          <w:highlight w:val="none"/>
        </w:rPr>
      </w:pPr>
    </w:p>
    <w:p w14:paraId="05FE009E">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2.监理人的义务</w:t>
      </w:r>
    </w:p>
    <w:p w14:paraId="0710F4D1">
      <w:pPr>
        <w:adjustRightInd w:val="0"/>
        <w:snapToGrid w:val="0"/>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2.1监理的范围和工作内容</w:t>
      </w:r>
    </w:p>
    <w:p w14:paraId="7F312D8B">
      <w:pPr>
        <w:adjustRightInd w:val="0"/>
        <w:snapToGrid w:val="0"/>
        <w:spacing w:line="360" w:lineRule="auto"/>
        <w:ind w:left="420" w:left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2.1.1监理范围在专用条款中约定。</w:t>
      </w:r>
    </w:p>
    <w:p w14:paraId="377ABD4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（1）实行总监理工程师负责制。</w:t>
      </w:r>
    </w:p>
    <w:p w14:paraId="51EF8E1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（2）监理人应公正、独立、自主地开展监理工作，维护委托人和承包人的合法权益。</w:t>
      </w:r>
    </w:p>
    <w:p w14:paraId="21A7BCB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委托人授权监理人，依据有关法律、法规、政策及标准，充分行使其严格控制工程进度、质量、安全和投资的权力，充分行使工程合同、工程信息管理和协调处理现场有关工程问题的权力，保证工程有序顺利进行。委托人通过监理人下达指令，监督承包人履约行为，承包人所有请求事项由监理人协调并在一般情况下均通过监理人接受或提出处理意见。</w:t>
      </w:r>
    </w:p>
    <w:p w14:paraId="4942731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（3）建设工程监理除应符合《建设工程监理规范》（GB50319-2013）外，还应符合国家现行的有关强制性标准、规范的规定。</w:t>
      </w:r>
    </w:p>
    <w:p w14:paraId="6484FF5D">
      <w:pPr>
        <w:adjustRightInd w:val="0"/>
        <w:snapToGrid w:val="0"/>
        <w:spacing w:line="360" w:lineRule="auto"/>
        <w:ind w:left="420" w:left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2.1.2除专用条款另有约定外，监理工作内容包括：</w:t>
      </w:r>
    </w:p>
    <w:p w14:paraId="6AAAC42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（1）收到工程设计文件后编制监理规划，并在第一次工地会议7天前报委托人。根据有关规定和监理工作需要，编制监理实施细则；</w:t>
      </w:r>
    </w:p>
    <w:p w14:paraId="1DDBB4A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（2）熟悉工程设计文件，并参加由委托人主持的图纸会审和设计交底会议；</w:t>
      </w:r>
    </w:p>
    <w:p w14:paraId="0691703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（3）参加由委托人主持的第一次工地会议；主持监理例会并根据工程需要主持或参加专题会议；</w:t>
      </w:r>
    </w:p>
    <w:p w14:paraId="5D95B16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（4）审查承包人提交的施工组织设计，重点审查其中的质量安全技术措施、专项施工方案与工程建设强制性标准的符合性；</w:t>
      </w:r>
    </w:p>
    <w:p w14:paraId="02C1021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（5）检查承包人工程质量、安全生产管理制度及组织机构和人员资格；</w:t>
      </w:r>
    </w:p>
    <w:p w14:paraId="7EBE573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（6）检查承包人专职安全生产管理人员的配备情况；</w:t>
      </w:r>
    </w:p>
    <w:p w14:paraId="16CF3B9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（7）审查承包人提交的施工进度计划，核查承包人对施工进度计划的调整；</w:t>
      </w:r>
    </w:p>
    <w:p w14:paraId="5BF7B7D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（8）检查承包人的试验室；</w:t>
      </w:r>
    </w:p>
    <w:p w14:paraId="1470118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（9）审核施工分包人条件；</w:t>
      </w:r>
    </w:p>
    <w:p w14:paraId="0188D47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（10）查验承包人的施工测量放线成果；</w:t>
      </w:r>
    </w:p>
    <w:p w14:paraId="2779807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（11）审查工程开工条件，对条件具备的签发开工令；</w:t>
      </w:r>
    </w:p>
    <w:p w14:paraId="125C3CCA">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（12）审查承包人报送的工程材料、构配件、设备质量证明文件的有效性和符合性，并按规定对用于工程的材料采取平行检验或见证取样方式进行抽检；</w:t>
      </w:r>
    </w:p>
    <w:p w14:paraId="10873E1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（13）审核承包人提交的工程款支付申请，签发或出具工程款支付证书，并报委托人审核、批准；</w:t>
      </w:r>
    </w:p>
    <w:p w14:paraId="626E391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（14）在巡视、旁站和检验过程中，发现工程质量、施工安全存在事故隐患的，要求承包人整改并报委托人；</w:t>
      </w:r>
    </w:p>
    <w:p w14:paraId="6F75038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（15）经委托人同意，签发工程暂停令和复工令；</w:t>
      </w:r>
    </w:p>
    <w:p w14:paraId="2CED046A">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（16）审查承包人提交的采用新材料、新工艺、新技术、新设备的论证材料及相关验收标准；</w:t>
      </w:r>
    </w:p>
    <w:p w14:paraId="344F6E27">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（17）验收隐蔽工程、分部分项工程；</w:t>
      </w:r>
    </w:p>
    <w:p w14:paraId="02A6F68C">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（18）审查承包人提交的工程变更申请，协调处理施工进度调整、费用索赔、合同争议等事项；</w:t>
      </w:r>
    </w:p>
    <w:p w14:paraId="7E080BFC">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（19）审查承包人提交的竣工验收申请，编写工程质量评估报告；</w:t>
      </w:r>
    </w:p>
    <w:p w14:paraId="7B0D8E8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（20）参加工程竣工验收，签署竣工验收意见；</w:t>
      </w:r>
    </w:p>
    <w:p w14:paraId="40D072F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（21）审查承包人提交的竣工结算申请并报委托人；</w:t>
      </w:r>
    </w:p>
    <w:p w14:paraId="6E5FCD0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（22）编制、整理工程监理归档文件并报委托人。</w:t>
      </w:r>
    </w:p>
    <w:p w14:paraId="2C299887">
      <w:pPr>
        <w:spacing w:line="360" w:lineRule="auto"/>
        <w:ind w:firstLine="240" w:firstLine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2.2监理与相关服务依据</w:t>
      </w:r>
    </w:p>
    <w:p w14:paraId="3934BA2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2.2.1监理依据包括：</w:t>
      </w:r>
    </w:p>
    <w:p w14:paraId="20488C63">
      <w:pPr>
        <w:adjustRightInd w:val="0"/>
        <w:snapToGrid w:val="0"/>
        <w:spacing w:line="360" w:lineRule="auto"/>
        <w:ind w:firstLine="600" w:firstLineChars="25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（1）适用的法律、行政法规及部门规章；</w:t>
      </w:r>
    </w:p>
    <w:p w14:paraId="1692EE91">
      <w:pPr>
        <w:adjustRightInd w:val="0"/>
        <w:snapToGrid w:val="0"/>
        <w:spacing w:line="360" w:lineRule="auto"/>
        <w:ind w:firstLine="600" w:firstLineChars="25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（2）与工程有关的标准；</w:t>
      </w:r>
    </w:p>
    <w:p w14:paraId="0A2961FC">
      <w:pPr>
        <w:adjustRightInd w:val="0"/>
        <w:snapToGrid w:val="0"/>
        <w:spacing w:line="360" w:lineRule="auto"/>
        <w:ind w:firstLine="600" w:firstLineChars="25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（3）工程设计及有关文件；</w:t>
      </w:r>
    </w:p>
    <w:p w14:paraId="17F2049F">
      <w:pPr>
        <w:adjustRightInd w:val="0"/>
        <w:snapToGrid w:val="0"/>
        <w:spacing w:line="360" w:lineRule="auto"/>
        <w:ind w:firstLine="600" w:firstLineChars="25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（4）本合同及委托人与第三方签订的与实施工程有关的其他合同。</w:t>
      </w:r>
    </w:p>
    <w:p w14:paraId="5151750A">
      <w:pPr>
        <w:spacing w:line="360" w:lineRule="auto"/>
        <w:ind w:left="210" w:leftChars="100"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双方根据工程的行业和地域特点，在专用条款中具体约定监理依据。</w:t>
      </w:r>
    </w:p>
    <w:p w14:paraId="147FE32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2.2.2相关服务依据在专用条款中约定。</w:t>
      </w:r>
    </w:p>
    <w:p w14:paraId="14007011">
      <w:pPr>
        <w:spacing w:line="360" w:lineRule="auto"/>
        <w:ind w:firstLine="240" w:firstLine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2.3项目监理机构和人员</w:t>
      </w:r>
    </w:p>
    <w:p w14:paraId="772DE01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2.3.1监理人应组建满足工作需要的项目监理机构，配备必要的检测设备。项目监理机构的主要人员应具有相应的资格条件。</w:t>
      </w:r>
    </w:p>
    <w:p w14:paraId="0744BB5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2.3.2本合同履行过程中，总监理工程师及重要岗位监理人员应保持相对稳定，以保证监理工作正常进行。</w:t>
      </w:r>
    </w:p>
    <w:p w14:paraId="18F62C8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25E5CAB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2.3.4监理人应及时更换有下列情形之一的监理人员：</w:t>
      </w:r>
    </w:p>
    <w:p w14:paraId="242F4F5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（1）严重过失行为的；</w:t>
      </w:r>
    </w:p>
    <w:p w14:paraId="6D68538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（2）有违法行为不能履行职责的；</w:t>
      </w:r>
    </w:p>
    <w:p w14:paraId="39D4C0A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（3）涉嫌犯罪的；</w:t>
      </w:r>
    </w:p>
    <w:p w14:paraId="1564C3B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（4）不能胜任岗位职责的；</w:t>
      </w:r>
    </w:p>
    <w:p w14:paraId="14F43169">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（5）严重违反职业道德的；</w:t>
      </w:r>
    </w:p>
    <w:p w14:paraId="00AD1FAB">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（6）专用条款约定的其他情形。</w:t>
      </w:r>
    </w:p>
    <w:p w14:paraId="4D2E49B4">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2.3.5委托人可要求监理人更换不能胜任本职工作的项目监理机构人员。</w:t>
      </w:r>
    </w:p>
    <w:p w14:paraId="24990CDF">
      <w:pPr>
        <w:spacing w:line="360" w:lineRule="auto"/>
        <w:ind w:firstLine="240" w:firstLine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2.4履行职责</w:t>
      </w:r>
    </w:p>
    <w:p w14:paraId="13D12B76">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监理人应遵循职业道德准则和行为规范，严格按照法律法规、工程建设有关标准及本合同履行职责。</w:t>
      </w:r>
    </w:p>
    <w:p w14:paraId="7725F80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2.4.1在监理与相关服务范围内，委托人和承包人提出的意见和要求，监理人应及时提出处置意见。当委托人与承包人之间发生合同争议时，监理人应协助委托人、承包人协商解决。</w:t>
      </w:r>
    </w:p>
    <w:p w14:paraId="3843BF8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2.4.2当委托人与承包人之间的合同争议提交仲裁机构仲裁或人民法院审理时，监理人应提供必要的证明资料。</w:t>
      </w:r>
    </w:p>
    <w:p w14:paraId="47D5066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2.4.3监理人应在专用条款约定的授权范围内，处理委托人与承包人所签订合同的变更事宜。如果变更超过授权范围，应以书面形式报委托人批准。</w:t>
      </w:r>
    </w:p>
    <w:p w14:paraId="32873BA8">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在紧急情况下，为了保护财产和人身安全，监理人所发出的指令未能事先报委托人批准时，应在发出指令后的24小时内以书面形式报委托人。</w:t>
      </w:r>
    </w:p>
    <w:p w14:paraId="47B7453A">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2.4.4除专用条款另有约定外，监理人发现承包人的人员不能胜任本职工作的，有权要求承包人予以调换。</w:t>
      </w:r>
    </w:p>
    <w:p w14:paraId="03E494A4">
      <w:pPr>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2.5提交报告</w:t>
      </w:r>
    </w:p>
    <w:p w14:paraId="5DC212C3">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监理人应按专用条款约定的种类、时间和份数向委托人提交监理与相关服务的报告。</w:t>
      </w:r>
    </w:p>
    <w:p w14:paraId="649ABD56">
      <w:pPr>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2.6文件资料</w:t>
      </w:r>
    </w:p>
    <w:p w14:paraId="6B698030">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在本合同履行期内，监理人应在现场保留工作所用的图纸、报告及记录监理工作的相关文件。工程竣工后，应当按照档案管理规定将监理有关文件归档。</w:t>
      </w:r>
    </w:p>
    <w:p w14:paraId="53D4E407">
      <w:pPr>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2.7使用委托人的财产</w:t>
      </w:r>
    </w:p>
    <w:p w14:paraId="1D3B9AA1">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监理人无偿使用由委托人提供的房屋。除专用条款另有约定外，委托人提供的房屋属于委托人的财产，监理人应妥善使用和保管，在本合同终止时将这些房屋提交委托人，并按专用条款约定的时间和方式移交。</w:t>
      </w:r>
    </w:p>
    <w:p w14:paraId="13820CAA">
      <w:pPr>
        <w:spacing w:line="360" w:lineRule="auto"/>
        <w:rPr>
          <w:rFonts w:hint="eastAsia" w:ascii="宋体" w:hAnsi="宋体" w:eastAsia="宋体" w:cs="宋体"/>
          <w:bCs/>
          <w:snapToGrid w:val="0"/>
          <w:kern w:val="0"/>
          <w:sz w:val="24"/>
          <w:highlight w:val="none"/>
        </w:rPr>
      </w:pPr>
    </w:p>
    <w:p w14:paraId="54E5760D">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3．委托人的义务</w:t>
      </w:r>
    </w:p>
    <w:p w14:paraId="5404A3F7">
      <w:pPr>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3.1告知</w:t>
      </w:r>
    </w:p>
    <w:p w14:paraId="13C3ADB8">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委托人应在委托人与承包人签订的合同中明确监理人、总监理工程师和授予项目监理机构的权限。如有变更，应及时通知承包人。</w:t>
      </w:r>
    </w:p>
    <w:p w14:paraId="0C3A55AC">
      <w:pPr>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3.2提供资料</w:t>
      </w:r>
    </w:p>
    <w:p w14:paraId="5A1EC306">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委托人应按照约定，无偿向监理人提供工程有关的资料。在本合同履行过程中，委托人应及时向监理人提供最新的与工程有关的资料。</w:t>
      </w:r>
    </w:p>
    <w:p w14:paraId="08EDFB3F">
      <w:pPr>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3.3提供工作条件</w:t>
      </w:r>
    </w:p>
    <w:p w14:paraId="22D6B81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委托人应为监理人完成监理与相关服务提供必要的条件。</w:t>
      </w:r>
    </w:p>
    <w:p w14:paraId="53E57D7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3.3.1委托人应按照约定，提供办公用房，供监理人无偿使用。</w:t>
      </w:r>
    </w:p>
    <w:p w14:paraId="107FB8F9">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3.3.2委托人应负责协调工程建设中所有外部关系，为监理人履行本合同提供必要的外部条件。</w:t>
      </w:r>
    </w:p>
    <w:p w14:paraId="5BD27455">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3.4委托人代表</w:t>
      </w:r>
    </w:p>
    <w:p w14:paraId="77DFD6F3">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委托人应授权一名熟悉工程情况的代表，负责与监理人联系。委托人应在双方签订本合同后7天内，将委托人代表的姓名和职责书面告知监理人。当委托人更换委托人代表时，应提前7天通知监理人。</w:t>
      </w:r>
    </w:p>
    <w:p w14:paraId="7C5E1FDC">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3.5委托人意见或要求</w:t>
      </w:r>
    </w:p>
    <w:p w14:paraId="3B71B7E0">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在本合同约定的监理与相关服务工作范围内，委托人对承包人的任何意见或要求应通知监理人，由监理人向承包人发出相应指令。</w:t>
      </w:r>
    </w:p>
    <w:p w14:paraId="4094A0ED">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3.6答复</w:t>
      </w:r>
    </w:p>
    <w:p w14:paraId="60F059D6">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委托人应在专用条款约定的时间内，对监理人以书面形式提交并要求作出决定的事宜，给予书面答复。逾期未答复的，视为委托人认可。</w:t>
      </w:r>
    </w:p>
    <w:p w14:paraId="11E45DAC">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3.7支付</w:t>
      </w:r>
    </w:p>
    <w:p w14:paraId="67D4A833">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委托人应按本合同约定，向监理人支付酬金。</w:t>
      </w:r>
    </w:p>
    <w:p w14:paraId="624CE46E">
      <w:pPr>
        <w:snapToGrid w:val="0"/>
        <w:spacing w:line="360" w:lineRule="auto"/>
        <w:rPr>
          <w:rFonts w:hint="eastAsia" w:ascii="宋体" w:hAnsi="宋体" w:eastAsia="宋体" w:cs="宋体"/>
          <w:bCs/>
          <w:snapToGrid w:val="0"/>
          <w:kern w:val="0"/>
          <w:sz w:val="24"/>
          <w:highlight w:val="none"/>
        </w:rPr>
      </w:pPr>
    </w:p>
    <w:p w14:paraId="19471F57">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4.违约责任</w:t>
      </w:r>
    </w:p>
    <w:p w14:paraId="64B5927A">
      <w:pPr>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4.1监理人的违约责任</w:t>
      </w:r>
    </w:p>
    <w:p w14:paraId="563F2EE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监理人未履行本合同义务的，应承担相应的责任。</w:t>
      </w:r>
    </w:p>
    <w:p w14:paraId="181FDA2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4.1.1因监理人违反本合同约定给委托人造成损失的，监理人应当赔偿委托人损失。赔偿金额的确定方法在专用条款中约定。监理人承担部分赔偿责任的，其承担赔偿金额由双方协商确定。</w:t>
      </w:r>
    </w:p>
    <w:p w14:paraId="5C17B4C2">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4.1.2监理人向委托人的索赔不成立时，监理人应赔偿委托人由此发生的费用。</w:t>
      </w:r>
    </w:p>
    <w:p w14:paraId="5597767A">
      <w:pPr>
        <w:snapToGrid w:val="0"/>
        <w:spacing w:line="360" w:lineRule="auto"/>
        <w:ind w:firstLine="240" w:firstLine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4.2委托人的违约责任</w:t>
      </w:r>
    </w:p>
    <w:p w14:paraId="1E096A4B">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委托人未履行本合同义务的，应承担相应的责任。</w:t>
      </w:r>
    </w:p>
    <w:p w14:paraId="33718BC1">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4.2.1委托人违反本合同约定造成监理人损失的，委托人应予以赔偿。</w:t>
      </w:r>
    </w:p>
    <w:p w14:paraId="0E5DC09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4.2.2委托人向监理人的索赔不成立时，应赔偿监理人由此引起的费用。</w:t>
      </w:r>
    </w:p>
    <w:p w14:paraId="263F3A6C">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4.2.3委托人未能按期支付酬金超过28天，应按专用条款约定支付逾期付款利息。</w:t>
      </w:r>
    </w:p>
    <w:p w14:paraId="2EF378C8">
      <w:pPr>
        <w:spacing w:line="360" w:lineRule="auto"/>
        <w:ind w:firstLine="240" w:firstLine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4.3除外责任</w:t>
      </w:r>
    </w:p>
    <w:p w14:paraId="4EF23E9D">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因非监理人的原因，且监理人无过错，发生工程质量事故、安全事故、工期延误等造成的损失，监理人不承担赔偿责任。</w:t>
      </w:r>
    </w:p>
    <w:p w14:paraId="0A95EE2C">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因不可抗力导致本合同全部或部分不能履行时，双方各自承担其因此而造成的损失、损害。</w:t>
      </w:r>
    </w:p>
    <w:p w14:paraId="2E27E05F">
      <w:pPr>
        <w:snapToGrid w:val="0"/>
        <w:spacing w:line="360" w:lineRule="auto"/>
        <w:rPr>
          <w:rFonts w:hint="eastAsia" w:ascii="宋体" w:hAnsi="宋体" w:eastAsia="宋体" w:cs="宋体"/>
          <w:bCs/>
          <w:snapToGrid w:val="0"/>
          <w:kern w:val="0"/>
          <w:sz w:val="24"/>
          <w:highlight w:val="none"/>
        </w:rPr>
      </w:pPr>
    </w:p>
    <w:p w14:paraId="385D7714">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5.支付</w:t>
      </w:r>
    </w:p>
    <w:p w14:paraId="5CCA7AF4">
      <w:pPr>
        <w:snapToGrid w:val="0"/>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5.1支付货币</w:t>
      </w:r>
    </w:p>
    <w:p w14:paraId="1F41CDB6">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除专用条款另有约定外，酬金均以人民币支付。涉及外币支付的，所采用的货币种类、比例和汇率在专用条款中约定。</w:t>
      </w:r>
    </w:p>
    <w:p w14:paraId="5C8FFCDE">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5.2支付申请</w:t>
      </w:r>
    </w:p>
    <w:p w14:paraId="528829CB">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监理人应在本合同约定的每次应付款时间的7天前，向委托人提交支付申请书。支付申请书应当说明当期应付款总额，并列出当期应支付的款项及其金额。</w:t>
      </w:r>
    </w:p>
    <w:p w14:paraId="1B8FB763">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5.3支付酬金</w:t>
      </w:r>
    </w:p>
    <w:p w14:paraId="440989CF">
      <w:pPr>
        <w:snapToGrid w:val="0"/>
        <w:spacing w:line="360" w:lineRule="auto"/>
        <w:ind w:firstLine="48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支付的酬金包括正常工作酬金、附加工作酬金、合理化建议奖励金额及费用。</w:t>
      </w:r>
    </w:p>
    <w:p w14:paraId="54AF714E">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5.4有争议部分的付款</w:t>
      </w:r>
    </w:p>
    <w:p w14:paraId="4E435E12">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委托人对监理人提交的支付申请书有异议时，应当在收到监理人提交的支付申请书后7天内，以书面形式向监理人发出异议通知。无异议部分的款项应按期支付，有异议部分的款项按第7条约定办理。</w:t>
      </w:r>
    </w:p>
    <w:p w14:paraId="06D40EFE">
      <w:pPr>
        <w:snapToGrid w:val="0"/>
        <w:spacing w:line="360" w:lineRule="auto"/>
        <w:rPr>
          <w:rFonts w:hint="eastAsia" w:ascii="宋体" w:hAnsi="宋体" w:eastAsia="宋体" w:cs="宋体"/>
          <w:bCs/>
          <w:snapToGrid w:val="0"/>
          <w:kern w:val="0"/>
          <w:sz w:val="24"/>
          <w:highlight w:val="none"/>
        </w:rPr>
      </w:pPr>
    </w:p>
    <w:p w14:paraId="6FC16055">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6.合同生效、变更、暂停、解除与终止</w:t>
      </w:r>
    </w:p>
    <w:p w14:paraId="5DFAE58E">
      <w:pPr>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6.1生效</w:t>
      </w:r>
    </w:p>
    <w:p w14:paraId="060B9ABA">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除法律另有规定或者专用条款另有约定外，委托人和监理人的法定代表人或其授权代理人在协议书上签字并盖单位章后本合同生效。</w:t>
      </w:r>
    </w:p>
    <w:p w14:paraId="51460634">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6.2变更</w:t>
      </w:r>
    </w:p>
    <w:p w14:paraId="150E356C">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6.2.1任何一方提出变更请求时，双方经协商一致后可进行变更。</w:t>
      </w:r>
    </w:p>
    <w:p w14:paraId="11CB7E06">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款中约定。</w:t>
      </w:r>
    </w:p>
    <w:p w14:paraId="19AD9F8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6.2.3合同生效后，如果实际情况发生变化使得监理人不能完成全部或部分工作时，监理人应立即通知委托人。除不可抗力外，其善后工作以及恢复服务的准备工作应为附加工作，附加工作酬金的确定方法在专用条款中约定。监理人用于恢复服务的准备时间不应超过28天。</w:t>
      </w:r>
    </w:p>
    <w:p w14:paraId="65B6A28D">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6.2.4合同签订后，遇有与工程相关的法律法规、标准颁布或修订的，双方应遵照执行。由此引起监理与相关服务的范围、时间、酬金变化的，双方应通过协商进行相应调整。</w:t>
      </w:r>
    </w:p>
    <w:p w14:paraId="1631C7F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6.2.5因非监理人原因造成工程概算投资额或建筑安装工程费增加时，正常工作酬金应作相应调整。调整方法在专用条款中约定。</w:t>
      </w:r>
    </w:p>
    <w:p w14:paraId="413E26A8">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6.2.6因工程规模、监理范围的变化导致监理人的正常工作量减少时，正常工作酬金应作相应调整。调整方法在专用条款中约定。</w:t>
      </w:r>
    </w:p>
    <w:p w14:paraId="74810EE1">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6.3暂停与解除</w:t>
      </w:r>
    </w:p>
    <w:p w14:paraId="5100531F">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除双方协商一致可以解除本合同外，当一方无正当理由未履行本合同约定的义务时，另一方可以根据本合同约定暂停履行本合同直至解除本合同。</w:t>
      </w:r>
    </w:p>
    <w:p w14:paraId="620423B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156D1453">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因解除本合同或解除监理人的部分义务导致监理人遭受的损失，除依法可以免除责任的情况外，应由委托人予以补偿，补偿金额由双方协商确定。</w:t>
      </w:r>
    </w:p>
    <w:p w14:paraId="0D2BBE8A">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解除本合同的协议必须采取书面形式，协议未达成之前，本合同仍然有效。</w:t>
      </w:r>
    </w:p>
    <w:p w14:paraId="12F5C2E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78147D8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第4.2款约定的责任。</w:t>
      </w:r>
    </w:p>
    <w:p w14:paraId="3776AEA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6.3.3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14:paraId="23CE067E">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6.3.4监理人在专用条款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45AE7255">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6.3.5 因不可抗力致使本合同部分或全部不能履行时，一方应立即通知另一方，可暂停或解除本合同。</w:t>
      </w:r>
    </w:p>
    <w:p w14:paraId="0E77238E">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6.3.6本合同解除后，本合同约定的有关结算、清理、争议解决方式的条件仍然有效。</w:t>
      </w:r>
    </w:p>
    <w:p w14:paraId="22BA892E">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6.4终止</w:t>
      </w:r>
    </w:p>
    <w:p w14:paraId="6DE35332">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以下条件全部满足时，本合同即告终止：</w:t>
      </w:r>
    </w:p>
    <w:p w14:paraId="365C2C10">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（1）监理人完成本合同约定的全部工作；</w:t>
      </w:r>
    </w:p>
    <w:p w14:paraId="1DCC0F11">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（2）委托人与监理人结清并支付全部酬金。</w:t>
      </w:r>
    </w:p>
    <w:p w14:paraId="2C18FFB4">
      <w:pPr>
        <w:snapToGrid w:val="0"/>
        <w:spacing w:line="360" w:lineRule="auto"/>
        <w:rPr>
          <w:rFonts w:hint="eastAsia" w:ascii="宋体" w:hAnsi="宋体" w:eastAsia="宋体" w:cs="宋体"/>
          <w:bCs/>
          <w:snapToGrid w:val="0"/>
          <w:kern w:val="0"/>
          <w:sz w:val="24"/>
          <w:highlight w:val="none"/>
        </w:rPr>
      </w:pPr>
    </w:p>
    <w:p w14:paraId="737B11F6">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7.争议解决</w:t>
      </w:r>
    </w:p>
    <w:p w14:paraId="693F0134">
      <w:pPr>
        <w:snapToGrid w:val="0"/>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7.1协商</w:t>
      </w:r>
    </w:p>
    <w:p w14:paraId="7694CB49">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双方应本着诚信原则协商解决彼此间的争议。</w:t>
      </w:r>
    </w:p>
    <w:p w14:paraId="54B24879">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7.2调解</w:t>
      </w:r>
    </w:p>
    <w:p w14:paraId="7D50F2C4">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如果双方不能在14天内或双方商定的其他时间内解决本合同争议，可以将其提交给专用条款约定的或事后达成协议的调解人进行调解。</w:t>
      </w:r>
    </w:p>
    <w:p w14:paraId="392A64ED">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7.3仲裁或诉讼</w:t>
      </w:r>
    </w:p>
    <w:p w14:paraId="47757819">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双方均有权不经调解直接向专用条款约定的仲裁机构申请仲裁或向有管辖权的人民法院提起诉讼。</w:t>
      </w:r>
    </w:p>
    <w:p w14:paraId="2CEF2CC8">
      <w:pPr>
        <w:snapToGrid w:val="0"/>
        <w:spacing w:line="360" w:lineRule="auto"/>
        <w:rPr>
          <w:rFonts w:hint="eastAsia" w:ascii="宋体" w:hAnsi="宋体" w:eastAsia="宋体" w:cs="宋体"/>
          <w:bCs/>
          <w:snapToGrid w:val="0"/>
          <w:kern w:val="0"/>
          <w:sz w:val="24"/>
          <w:highlight w:val="none"/>
        </w:rPr>
      </w:pPr>
    </w:p>
    <w:p w14:paraId="7232C831">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8.其他</w:t>
      </w:r>
    </w:p>
    <w:p w14:paraId="4D3E0EC0">
      <w:pPr>
        <w:spacing w:line="360" w:lineRule="auto"/>
        <w:ind w:left="210" w:leftChars="100"/>
        <w:rPr>
          <w:rFonts w:hint="eastAsia" w:ascii="宋体" w:hAnsi="宋体" w:eastAsia="宋体" w:cs="宋体"/>
          <w:bCs/>
          <w:snapToGrid w:val="0"/>
          <w:kern w:val="0"/>
          <w:sz w:val="24"/>
          <w:szCs w:val="24"/>
          <w:highlight w:val="none"/>
        </w:rPr>
      </w:pPr>
      <w:r>
        <w:rPr>
          <w:rFonts w:hint="eastAsia" w:ascii="宋体" w:hAnsi="宋体" w:eastAsia="宋体" w:cs="宋体"/>
          <w:bCs/>
          <w:snapToGrid w:val="0"/>
          <w:kern w:val="0"/>
          <w:sz w:val="24"/>
          <w:highlight w:val="none"/>
        </w:rPr>
        <w:t>8.1外出考察费用</w:t>
      </w:r>
    </w:p>
    <w:p w14:paraId="09ABF6F8">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经委托人同意，监理人员外出考察发生的费用由委托人审核后支付。</w:t>
      </w:r>
    </w:p>
    <w:p w14:paraId="479B56B6">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8.2检测费用</w:t>
      </w:r>
    </w:p>
    <w:p w14:paraId="22450B83">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委托人要求监理人进行的材料和设备检测所发生的费用，由委托人支付，支付时间在专用条款中约定。</w:t>
      </w:r>
    </w:p>
    <w:p w14:paraId="1EC28F64">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8.3咨询费用</w:t>
      </w:r>
    </w:p>
    <w:p w14:paraId="456D35A3">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经委托人同意，根据工程需要由监理人组织的相关咨询论证会以及聘请相关专家等发生的费用由委托人支付，支付时间在专用条款中约定。</w:t>
      </w:r>
    </w:p>
    <w:p w14:paraId="7CEF1EFC">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8.4奖励</w:t>
      </w:r>
    </w:p>
    <w:p w14:paraId="6FFA56FE">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监理人在服务过程中提出的合理化建议，使委托人获得经济效益的，双方在专用条款中约定奖励金额的确定方法。奖励金额在合理化建议被采纳后，与最近一期的正常工作酬金同期支付。</w:t>
      </w:r>
    </w:p>
    <w:p w14:paraId="2C137728">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8.5守法诚信</w:t>
      </w:r>
    </w:p>
    <w:p w14:paraId="7F682AD9">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监理人及其工作人员不得从与实施工程有关的第三方处获得任何经济利益。</w:t>
      </w:r>
    </w:p>
    <w:p w14:paraId="23186526">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8.6保密</w:t>
      </w:r>
    </w:p>
    <w:p w14:paraId="0F048EEE">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双方不得泄露对方申明的保密资料，亦不得泄露与实施工程有关的第三方所提供的保密资料，保密事项在专用条款中约定。</w:t>
      </w:r>
    </w:p>
    <w:p w14:paraId="7B76A0B8">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8.7通知</w:t>
      </w:r>
    </w:p>
    <w:p w14:paraId="7101EB1E">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本合同涉及的通知均应当采用书面形式，并在送达对方时生效，收件人应书面签收。</w:t>
      </w:r>
    </w:p>
    <w:p w14:paraId="1BDAD70F">
      <w:pPr>
        <w:snapToGrid w:val="0"/>
        <w:spacing w:line="360" w:lineRule="auto"/>
        <w:ind w:left="210" w:leftChars="1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8.8著作权</w:t>
      </w:r>
    </w:p>
    <w:p w14:paraId="63226A6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监理人对其编制的文件拥有著作权。</w:t>
      </w:r>
    </w:p>
    <w:p w14:paraId="22370FDE">
      <w:pPr>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可单独或与他人联合出版有关监理与相关服务的资料。除专用条款另有约定外，如果监理人在本合同履行期间及本合同终止后两年内出版涉及本合同工程的有关监理与相关服务的资料，应当征得委托人的同意。</w:t>
      </w:r>
    </w:p>
    <w:p w14:paraId="65095996">
      <w:pPr>
        <w:spacing w:line="360" w:lineRule="auto"/>
        <w:rPr>
          <w:rFonts w:hint="eastAsia" w:ascii="宋体" w:hAnsi="宋体" w:eastAsia="宋体" w:cs="宋体"/>
          <w:b/>
          <w:bCs/>
          <w:kern w:val="0"/>
          <w:sz w:val="24"/>
          <w:highlight w:val="none"/>
        </w:rPr>
      </w:pPr>
    </w:p>
    <w:p w14:paraId="4C71D960">
      <w:pPr>
        <w:widowControl w:val="0"/>
        <w:topLinePunct/>
        <w:adjustRightInd w:val="0"/>
        <w:snapToGrid w:val="0"/>
        <w:spacing w:line="360" w:lineRule="auto"/>
        <w:ind w:firstLine="0" w:firstLineChars="0"/>
        <w:jc w:val="both"/>
        <w:rPr>
          <w:rFonts w:hint="eastAsia" w:ascii="宋体" w:hAnsi="宋体" w:eastAsia="宋体" w:cs="宋体"/>
          <w:spacing w:val="0"/>
          <w:kern w:val="0"/>
          <w:sz w:val="24"/>
          <w:szCs w:val="24"/>
          <w:highlight w:val="none"/>
          <w:lang w:val="en-US" w:eastAsia="zh-CN" w:bidi="ar-SA"/>
        </w:rPr>
      </w:pPr>
    </w:p>
    <w:p w14:paraId="60AE6626">
      <w:pPr>
        <w:widowControl w:val="0"/>
        <w:topLinePunct/>
        <w:adjustRightInd w:val="0"/>
        <w:snapToGrid w:val="0"/>
        <w:spacing w:line="360" w:lineRule="auto"/>
        <w:ind w:firstLine="0" w:firstLineChars="0"/>
        <w:jc w:val="both"/>
        <w:rPr>
          <w:rFonts w:hint="eastAsia" w:ascii="宋体" w:hAnsi="宋体" w:eastAsia="楷体_GB2312" w:cs="Times New Roman"/>
          <w:spacing w:val="0"/>
          <w:kern w:val="0"/>
          <w:sz w:val="24"/>
          <w:szCs w:val="24"/>
          <w:highlight w:val="none"/>
          <w:lang w:val="en-US" w:eastAsia="zh-CN" w:bidi="ar-SA"/>
        </w:rPr>
      </w:pPr>
    </w:p>
    <w:p w14:paraId="42219F77">
      <w:pPr>
        <w:widowControl w:val="0"/>
        <w:topLinePunct/>
        <w:adjustRightInd w:val="0"/>
        <w:snapToGrid w:val="0"/>
        <w:spacing w:line="360" w:lineRule="auto"/>
        <w:ind w:firstLine="0" w:firstLineChars="0"/>
        <w:jc w:val="both"/>
        <w:rPr>
          <w:rFonts w:hint="eastAsia" w:ascii="宋体" w:hAnsi="宋体" w:eastAsia="楷体_GB2312" w:cs="Times New Roman"/>
          <w:spacing w:val="0"/>
          <w:kern w:val="0"/>
          <w:sz w:val="24"/>
          <w:szCs w:val="24"/>
          <w:highlight w:val="none"/>
          <w:lang w:val="en-US" w:eastAsia="zh-CN" w:bidi="ar-SA"/>
        </w:rPr>
      </w:pPr>
      <w:r>
        <w:rPr>
          <w:rFonts w:hint="eastAsia" w:ascii="宋体" w:hAnsi="宋体" w:eastAsia="楷体_GB2312" w:cs="Times New Roman"/>
          <w:snapToGrid w:val="0"/>
          <w:spacing w:val="4"/>
          <w:kern w:val="0"/>
          <w:sz w:val="24"/>
          <w:szCs w:val="24"/>
          <w:highlight w:val="none"/>
          <w:lang w:val="en-US" w:eastAsia="zh-CN" w:bidi="ar-SA"/>
        </w:rPr>
        <w:br w:type="page"/>
      </w:r>
    </w:p>
    <w:p w14:paraId="463A040A">
      <w:pPr>
        <w:widowControl w:val="0"/>
        <w:topLinePunct/>
        <w:adjustRightInd w:val="0"/>
        <w:snapToGrid w:val="0"/>
        <w:spacing w:before="156" w:beforeLines="50" w:after="156" w:afterLines="50" w:line="360" w:lineRule="auto"/>
        <w:jc w:val="center"/>
        <w:outlineLvl w:val="1"/>
        <w:rPr>
          <w:rFonts w:hint="eastAsia" w:ascii="宋体" w:hAnsi="宋体" w:eastAsia="宋体" w:cs="Times New Roman"/>
          <w:b/>
          <w:spacing w:val="0"/>
          <w:kern w:val="0"/>
          <w:sz w:val="44"/>
          <w:szCs w:val="44"/>
          <w:highlight w:val="none"/>
          <w:lang w:val="en-US" w:eastAsia="zh-CN" w:bidi="ar-SA"/>
        </w:rPr>
      </w:pPr>
      <w:bookmarkStart w:id="21" w:name="_Toc403660592"/>
      <w:r>
        <w:rPr>
          <w:rFonts w:hint="eastAsia" w:ascii="宋体" w:hAnsi="宋体" w:eastAsia="宋体" w:cs="Times New Roman"/>
          <w:b/>
          <w:spacing w:val="0"/>
          <w:kern w:val="0"/>
          <w:sz w:val="44"/>
          <w:szCs w:val="44"/>
          <w:highlight w:val="none"/>
          <w:lang w:val="en-US" w:eastAsia="zh-CN" w:bidi="ar-SA"/>
        </w:rPr>
        <w:t>第三部分  专用条款</w:t>
      </w:r>
      <w:bookmarkEnd w:id="21"/>
    </w:p>
    <w:p w14:paraId="0EA6B490">
      <w:pPr>
        <w:widowControl w:val="0"/>
        <w:topLinePunct/>
        <w:adjustRightInd w:val="0"/>
        <w:snapToGrid w:val="0"/>
        <w:spacing w:before="156" w:beforeLines="50" w:after="156" w:afterLines="50" w:line="360" w:lineRule="auto"/>
        <w:jc w:val="both"/>
        <w:outlineLvl w:val="9"/>
        <w:rPr>
          <w:rFonts w:hint="eastAsia" w:ascii="宋体" w:hAnsi="宋体" w:eastAsia="宋体" w:cs="Times New Roman"/>
          <w:b/>
          <w:spacing w:val="0"/>
          <w:kern w:val="0"/>
          <w:sz w:val="24"/>
          <w:szCs w:val="24"/>
          <w:highlight w:val="none"/>
          <w:lang w:val="en-US" w:eastAsia="zh-CN" w:bidi="ar-SA"/>
        </w:rPr>
      </w:pPr>
    </w:p>
    <w:p w14:paraId="2597E621">
      <w:pPr>
        <w:widowControl w:val="0"/>
        <w:topLinePunct/>
        <w:adjustRightInd w:val="0"/>
        <w:snapToGrid w:val="0"/>
        <w:spacing w:line="360" w:lineRule="auto"/>
        <w:ind w:firstLine="480" w:firstLineChars="200"/>
        <w:jc w:val="both"/>
        <w:rPr>
          <w:rFonts w:hint="eastAsia" w:ascii="楷体" w:hAnsi="楷体" w:eastAsia="楷体" w:cs="Times New Roman"/>
          <w:spacing w:val="0"/>
          <w:kern w:val="0"/>
          <w:sz w:val="24"/>
          <w:szCs w:val="24"/>
          <w:highlight w:val="none"/>
          <w:lang w:val="en-US" w:eastAsia="zh-CN" w:bidi="ar-SA"/>
        </w:rPr>
      </w:pPr>
      <w:r>
        <w:rPr>
          <w:rFonts w:hint="eastAsia" w:ascii="楷体" w:hAnsi="楷体" w:eastAsia="楷体" w:cs="Times New Roman"/>
          <w:spacing w:val="0"/>
          <w:kern w:val="0"/>
          <w:sz w:val="24"/>
          <w:szCs w:val="24"/>
          <w:highlight w:val="none"/>
          <w:lang w:val="en-US" w:eastAsia="zh-CN" w:bidi="ar-SA"/>
        </w:rPr>
        <w:t>（本部分条款的编号与通用条款的编号相对应，是根据本合同工程的实际情况对通用条款中相对应条款进行的修改、补充或否定，其适用顺序优先于通用条款。本部分条款未阐明的内容，则按本合同其他部分的有关约定执行）</w:t>
      </w:r>
    </w:p>
    <w:p w14:paraId="50C9DDB8">
      <w:pPr>
        <w:widowControl w:val="0"/>
        <w:topLinePunct/>
        <w:adjustRightInd w:val="0"/>
        <w:snapToGrid w:val="0"/>
        <w:spacing w:line="360" w:lineRule="auto"/>
        <w:ind w:firstLine="562" w:firstLineChars="200"/>
        <w:jc w:val="both"/>
        <w:rPr>
          <w:rFonts w:hint="eastAsia" w:ascii="宋体" w:hAnsi="宋体" w:eastAsia="楷体_GB2312" w:cs="Times New Roman"/>
          <w:b/>
          <w:bCs/>
          <w:spacing w:val="0"/>
          <w:kern w:val="0"/>
          <w:sz w:val="28"/>
          <w:szCs w:val="28"/>
          <w:highlight w:val="none"/>
          <w:lang w:val="en-US" w:eastAsia="zh-CN" w:bidi="ar-SA"/>
        </w:rPr>
      </w:pPr>
      <w:r>
        <w:rPr>
          <w:rFonts w:hint="eastAsia" w:ascii="宋体" w:hAnsi="宋体" w:eastAsia="楷体_GB2312" w:cs="Times New Roman"/>
          <w:b/>
          <w:bCs/>
          <w:spacing w:val="0"/>
          <w:kern w:val="0"/>
          <w:sz w:val="28"/>
          <w:szCs w:val="28"/>
          <w:highlight w:val="none"/>
          <w:lang w:val="en-US" w:eastAsia="zh-CN" w:bidi="ar-SA"/>
        </w:rPr>
        <w:t>1．定义与解释</w:t>
      </w:r>
    </w:p>
    <w:p w14:paraId="64B089E5">
      <w:pPr>
        <w:widowControl w:val="0"/>
        <w:topLinePunct/>
        <w:adjustRightInd w:val="0"/>
        <w:snapToGrid w:val="0"/>
        <w:spacing w:line="360" w:lineRule="auto"/>
        <w:ind w:firstLine="482" w:firstLineChars="200"/>
        <w:jc w:val="both"/>
        <w:rPr>
          <w:rFonts w:hint="eastAsia" w:ascii="宋体" w:hAnsi="宋体" w:eastAsia="楷体_GB2312" w:cs="Times New Roman"/>
          <w:b/>
          <w:spacing w:val="0"/>
          <w:kern w:val="0"/>
          <w:sz w:val="24"/>
          <w:szCs w:val="24"/>
          <w:highlight w:val="none"/>
          <w:lang w:val="en-US" w:eastAsia="zh-CN" w:bidi="ar-SA"/>
        </w:rPr>
      </w:pPr>
      <w:r>
        <w:rPr>
          <w:rFonts w:hint="eastAsia" w:ascii="宋体" w:hAnsi="宋体" w:eastAsia="楷体_GB2312" w:cs="Times New Roman"/>
          <w:b/>
          <w:spacing w:val="0"/>
          <w:kern w:val="0"/>
          <w:sz w:val="24"/>
          <w:szCs w:val="24"/>
          <w:highlight w:val="none"/>
          <w:lang w:val="en-US" w:eastAsia="zh-CN" w:bidi="ar-SA"/>
        </w:rPr>
        <w:t>1.1定义</w:t>
      </w:r>
    </w:p>
    <w:p w14:paraId="1D2B481F">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1.1.11总监理工程师代表：指由总监理工程师授权，代表总监理工程师行使其部分职责和权力，具有工程类注册执业资格或具有中级及以上专业技术职称、3年及以上工程监理实践经验的监理人员</w:t>
      </w:r>
      <w:r>
        <w:rPr>
          <w:rFonts w:hint="eastAsia" w:ascii="宋体" w:hAnsi="宋体" w:eastAsia="宋体" w:cs="宋体"/>
          <w:kern w:val="0"/>
          <w:sz w:val="24"/>
          <w:szCs w:val="22"/>
          <w:highlight w:val="none"/>
        </w:rPr>
        <w:t>（具体以招标文件项目监理部人员组成配置要求为准）。</w:t>
      </w:r>
    </w:p>
    <w:p w14:paraId="4773D005">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1.1.13专业监理工程师：指由总监理工程师授权，负责实施某一专业或某一岗位的监理工作，有相应监理文件签发权，具有工程类注册执业资格或具有中级及以上专业技术职称、2年及以上工程实践经验的监理人员</w:t>
      </w:r>
      <w:r>
        <w:rPr>
          <w:rFonts w:hint="eastAsia" w:ascii="宋体" w:hAnsi="宋体" w:eastAsia="宋体" w:cs="宋体"/>
          <w:kern w:val="0"/>
          <w:sz w:val="24"/>
          <w:szCs w:val="22"/>
          <w:highlight w:val="none"/>
        </w:rPr>
        <w:t>（具体以招标文件项目监理部人员组成配置要求为准）</w:t>
      </w:r>
      <w:r>
        <w:rPr>
          <w:rFonts w:hint="eastAsia" w:ascii="宋体" w:hAnsi="宋体" w:eastAsia="宋体" w:cs="宋体"/>
          <w:kern w:val="0"/>
          <w:sz w:val="24"/>
          <w:highlight w:val="none"/>
        </w:rPr>
        <w:t>。</w:t>
      </w:r>
    </w:p>
    <w:p w14:paraId="1782DCEB">
      <w:pPr>
        <w:widowControl w:val="0"/>
        <w:topLinePunct/>
        <w:adjustRightInd w:val="0"/>
        <w:snapToGrid w:val="0"/>
        <w:spacing w:line="360" w:lineRule="auto"/>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1.1.14监理员：指从事具体监理工作，具有中专及以上学历并经过监理业务培训的监理人员</w:t>
      </w:r>
      <w:r>
        <w:rPr>
          <w:rFonts w:hint="eastAsia" w:ascii="宋体" w:hAnsi="宋体" w:eastAsia="宋体" w:cs="宋体"/>
          <w:spacing w:val="4"/>
          <w:kern w:val="0"/>
          <w:sz w:val="24"/>
          <w:szCs w:val="22"/>
          <w:highlight w:val="none"/>
          <w:lang w:val="en-US" w:eastAsia="zh-CN" w:bidi="ar-SA"/>
        </w:rPr>
        <w:t>（具体以招标文件项目监理部人员组成配置要求为准）</w:t>
      </w:r>
      <w:r>
        <w:rPr>
          <w:rFonts w:hint="eastAsia" w:ascii="宋体" w:hAnsi="宋体" w:eastAsia="宋体" w:cs="宋体"/>
          <w:spacing w:val="4"/>
          <w:kern w:val="0"/>
          <w:sz w:val="24"/>
          <w:szCs w:val="24"/>
          <w:highlight w:val="none"/>
          <w:lang w:val="en-US" w:eastAsia="zh-CN" w:bidi="ar-SA"/>
        </w:rPr>
        <w:t>。</w:t>
      </w:r>
    </w:p>
    <w:p w14:paraId="58CC557B">
      <w:pPr>
        <w:widowControl w:val="0"/>
        <w:topLinePunct/>
        <w:adjustRightInd w:val="0"/>
        <w:snapToGrid w:val="0"/>
        <w:spacing w:line="480" w:lineRule="exact"/>
        <w:ind w:firstLine="480"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1.1.38</w:t>
      </w:r>
      <w:r>
        <w:rPr>
          <w:rFonts w:hint="eastAsia" w:ascii="宋体" w:hAnsi="宋体" w:eastAsia="宋体" w:cs="宋体"/>
          <w:spacing w:val="4"/>
          <w:kern w:val="0"/>
          <w:sz w:val="24"/>
          <w:szCs w:val="24"/>
          <w:highlight w:val="none"/>
          <w:lang w:val="en-US" w:eastAsia="zh-CN" w:bidi="ar-SA"/>
        </w:rPr>
        <w:t xml:space="preserve"> </w:t>
      </w:r>
      <w:r>
        <w:rPr>
          <w:rFonts w:hint="eastAsia" w:ascii="宋体" w:hAnsi="宋体" w:eastAsia="宋体" w:cs="宋体"/>
          <w:spacing w:val="4"/>
          <w:kern w:val="0"/>
          <w:sz w:val="23"/>
          <w:szCs w:val="23"/>
          <w:highlight w:val="none"/>
          <w:lang w:val="en-US" w:eastAsia="zh-CN" w:bidi="ar-SA"/>
        </w:rPr>
        <w:t>生产安全事故：</w:t>
      </w:r>
      <w:r>
        <w:rPr>
          <w:rFonts w:hint="eastAsia" w:ascii="宋体" w:hAnsi="宋体" w:eastAsia="宋体" w:cs="宋体"/>
          <w:spacing w:val="4"/>
          <w:kern w:val="0"/>
          <w:sz w:val="24"/>
          <w:szCs w:val="24"/>
          <w:highlight w:val="none"/>
          <w:lang w:val="en-US" w:eastAsia="zh-CN" w:bidi="ar-SA"/>
        </w:rPr>
        <w:t>指在工程建设过程中由于责任过失造成工程倒塌或报废、机械设备毁坏和安全设施失当等原因造成人身伤亡或者重大经济损失的事故。分为：</w:t>
      </w:r>
    </w:p>
    <w:p w14:paraId="3EBCB00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1.1.38.1 特别重大事故，是指造成30人以上死亡，或者100人以上重伤（包括急性工业中毒，下同），或者1亿元以上直接经济损失的事故；</w:t>
      </w:r>
    </w:p>
    <w:p w14:paraId="044F2C4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1.1.38.2 重大事故，是指造成10人以上30人以下死亡，或者50人以上100人以下重伤，或者5000万元以上1亿元以下直接经济损失的事故；</w:t>
      </w:r>
    </w:p>
    <w:p w14:paraId="4DC08F7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1.1.38.3 较大事故，是指造成3人以上10人以下死亡，或者10人以上50人以下重伤，或者1000万元以上5000万元以下直接经济损失的事故；</w:t>
      </w:r>
    </w:p>
    <w:p w14:paraId="021924B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1.1.38.4 一般事故，是指造成3人以下死亡，或者10人以下重伤，或者1000万元以下直接经济损失的事故。</w:t>
      </w:r>
    </w:p>
    <w:p w14:paraId="05A7063A">
      <w:pPr>
        <w:widowControl w:val="0"/>
        <w:topLinePunct/>
        <w:adjustRightInd w:val="0"/>
        <w:snapToGrid w:val="0"/>
        <w:spacing w:line="360" w:lineRule="auto"/>
        <w:ind w:firstLine="496"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本项所称的“以上”包括本数，所称的“以下”不包括本数。</w:t>
      </w:r>
    </w:p>
    <w:p w14:paraId="2D3691B5">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w:t>
      </w:r>
      <w:r>
        <w:rPr>
          <w:rFonts w:hint="eastAsia" w:ascii="宋体" w:hAnsi="宋体" w:eastAsia="宋体" w:cs="宋体"/>
          <w:spacing w:val="0"/>
          <w:kern w:val="0"/>
          <w:sz w:val="24"/>
          <w:szCs w:val="24"/>
          <w:highlight w:val="none"/>
          <w:lang w:val="en-US" w:eastAsia="zh-CN" w:bidi="ar-SA"/>
        </w:rPr>
        <w:t>1.</w:t>
      </w:r>
      <w:r>
        <w:rPr>
          <w:rFonts w:hint="eastAsia" w:ascii="宋体" w:hAnsi="宋体" w:eastAsia="宋体" w:cs="宋体"/>
          <w:bCs/>
          <w:spacing w:val="0"/>
          <w:kern w:val="0"/>
          <w:sz w:val="24"/>
          <w:szCs w:val="24"/>
          <w:highlight w:val="none"/>
          <w:lang w:val="en-US" w:eastAsia="zh-CN" w:bidi="ar-SA"/>
        </w:rPr>
        <w:t>42保证人：指按专用条款第</w:t>
      </w:r>
      <w:r>
        <w:rPr>
          <w:rFonts w:hint="eastAsia" w:ascii="宋体" w:hAnsi="宋体" w:eastAsia="宋体" w:cs="宋体"/>
          <w:spacing w:val="0"/>
          <w:kern w:val="0"/>
          <w:sz w:val="24"/>
          <w:szCs w:val="24"/>
          <w:highlight w:val="none"/>
          <w:lang w:val="en-US" w:eastAsia="zh-CN" w:bidi="ar-SA"/>
        </w:rPr>
        <w:t>2.16</w:t>
      </w:r>
      <w:r>
        <w:rPr>
          <w:rFonts w:hint="eastAsia" w:ascii="宋体" w:hAnsi="宋体" w:eastAsia="宋体" w:cs="宋体"/>
          <w:bCs/>
          <w:spacing w:val="0"/>
          <w:kern w:val="0"/>
          <w:sz w:val="24"/>
          <w:szCs w:val="24"/>
          <w:highlight w:val="none"/>
          <w:lang w:val="en-US" w:eastAsia="zh-CN" w:bidi="ar-SA"/>
        </w:rPr>
        <w:t>款约定向委托人提交监理人履约保函的机构。</w:t>
      </w:r>
    </w:p>
    <w:p w14:paraId="6FDC3BD5">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1.2</w:t>
      </w:r>
      <w:r>
        <w:rPr>
          <w:rFonts w:hint="eastAsia" w:ascii="宋体" w:hAnsi="宋体" w:eastAsia="宋体" w:cs="宋体"/>
          <w:b/>
          <w:spacing w:val="0"/>
          <w:kern w:val="0"/>
          <w:sz w:val="24"/>
          <w:szCs w:val="24"/>
          <w:highlight w:val="none"/>
          <w:lang w:val="en-US" w:eastAsia="zh-CN" w:bidi="ar-SA"/>
        </w:rPr>
        <w:t>解释</w:t>
      </w:r>
    </w:p>
    <w:p w14:paraId="1C39FAF4">
      <w:pPr>
        <w:widowControl w:val="0"/>
        <w:topLinePunct/>
        <w:adjustRightInd w:val="0"/>
        <w:snapToGrid w:val="0"/>
        <w:spacing w:line="360" w:lineRule="auto"/>
        <w:ind w:firstLine="464"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1.2.2</w:t>
      </w:r>
      <w:r>
        <w:rPr>
          <w:rFonts w:hint="eastAsia" w:ascii="宋体" w:hAnsi="宋体" w:eastAsia="宋体" w:cs="宋体"/>
          <w:bCs/>
          <w:spacing w:val="0"/>
          <w:kern w:val="0"/>
          <w:sz w:val="24"/>
          <w:szCs w:val="24"/>
          <w:highlight w:val="none"/>
          <w:lang w:val="en-US" w:eastAsia="zh-CN" w:bidi="ar-SA"/>
        </w:rPr>
        <w:t>下列文件应被认为是组成本合同的一部分，并互为补充和解释，如各文件存在冲突之处，以如下排列次序在前者优先适用：</w:t>
      </w:r>
    </w:p>
    <w:p w14:paraId="3254296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（1）相关政府主管部门关于</w:t>
      </w:r>
      <w:r>
        <w:rPr>
          <w:rFonts w:hint="eastAsia" w:ascii="宋体" w:hAnsi="宋体" w:eastAsia="宋体" w:cs="宋体"/>
          <w:b/>
          <w:spacing w:val="4"/>
          <w:kern w:val="2"/>
          <w:sz w:val="32"/>
          <w:szCs w:val="32"/>
          <w:highlight w:val="none"/>
          <w:lang w:val="en-US" w:eastAsia="zh-CN" w:bidi="ar-SA"/>
        </w:rPr>
        <w:t>__________</w:t>
      </w:r>
      <w:r>
        <w:rPr>
          <w:rFonts w:hint="eastAsia" w:ascii="宋体" w:hAnsi="宋体" w:eastAsia="宋体" w:cs="宋体"/>
          <w:spacing w:val="4"/>
          <w:kern w:val="0"/>
          <w:sz w:val="24"/>
          <w:szCs w:val="21"/>
          <w:highlight w:val="none"/>
          <w:lang w:val="en-US" w:eastAsia="zh-CN" w:bidi="ar-SA"/>
        </w:rPr>
        <w:t>（项目名称）</w:t>
      </w:r>
      <w:r>
        <w:rPr>
          <w:rFonts w:hint="eastAsia" w:ascii="宋体" w:hAnsi="宋体" w:eastAsia="宋体" w:cs="宋体"/>
          <w:bCs/>
          <w:spacing w:val="0"/>
          <w:kern w:val="0"/>
          <w:sz w:val="24"/>
          <w:szCs w:val="24"/>
          <w:highlight w:val="none"/>
          <w:lang w:val="en-US" w:eastAsia="zh-CN" w:bidi="ar-SA"/>
        </w:rPr>
        <w:t>的有关文件；</w:t>
      </w:r>
    </w:p>
    <w:p w14:paraId="6BC6F7BC">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（2）本合同履行期间委托人与监理人双方签订的补充合同（协议）或修正文件；</w:t>
      </w:r>
    </w:p>
    <w:p w14:paraId="53F3383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（3）委托监理协议书；</w:t>
      </w:r>
    </w:p>
    <w:p w14:paraId="2498A8AB">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（4）中标通知书；</w:t>
      </w:r>
    </w:p>
    <w:p w14:paraId="69003E1B">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（5）专用条款；</w:t>
      </w:r>
    </w:p>
    <w:p w14:paraId="043B854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（6）委托人制定的本合同工程管理的各项制度、规定；</w:t>
      </w:r>
    </w:p>
    <w:p w14:paraId="2FD403C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（7）本合同附件</w:t>
      </w:r>
      <w:r>
        <w:rPr>
          <w:rFonts w:hint="eastAsia" w:ascii="宋体" w:hAnsi="宋体" w:eastAsia="宋体" w:cs="宋体"/>
          <w:bCs/>
          <w:spacing w:val="0"/>
          <w:kern w:val="0"/>
          <w:sz w:val="24"/>
          <w:szCs w:val="24"/>
          <w:highlight w:val="none"/>
          <w:lang w:val="en-US" w:eastAsia="zh-CN" w:bidi="ar-SA"/>
        </w:rPr>
        <w:t>[属本条第（1）、（6）项内容的除外]</w:t>
      </w:r>
      <w:r>
        <w:rPr>
          <w:rFonts w:hint="eastAsia" w:ascii="宋体" w:hAnsi="宋体" w:eastAsia="宋体" w:cs="宋体"/>
          <w:spacing w:val="0"/>
          <w:kern w:val="0"/>
          <w:sz w:val="24"/>
          <w:szCs w:val="24"/>
          <w:highlight w:val="none"/>
          <w:lang w:val="en-US" w:eastAsia="zh-CN" w:bidi="ar-SA"/>
        </w:rPr>
        <w:t>；</w:t>
      </w:r>
    </w:p>
    <w:p w14:paraId="577FE15F">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（8）监理人据以中标的本合同工程监理投标文件</w:t>
      </w:r>
      <w:r>
        <w:rPr>
          <w:rFonts w:hint="eastAsia" w:ascii="宋体" w:hAnsi="宋体" w:eastAsia="宋体" w:cs="宋体"/>
          <w:bCs/>
          <w:spacing w:val="0"/>
          <w:kern w:val="0"/>
          <w:sz w:val="24"/>
          <w:szCs w:val="24"/>
          <w:highlight w:val="none"/>
          <w:lang w:val="en-US" w:eastAsia="zh-CN" w:bidi="ar-SA"/>
        </w:rPr>
        <w:t>[含投标文件澄清等，属本条第（7）项内容的除外]</w:t>
      </w:r>
      <w:r>
        <w:rPr>
          <w:rFonts w:hint="eastAsia" w:ascii="宋体" w:hAnsi="宋体" w:eastAsia="宋体" w:cs="宋体"/>
          <w:spacing w:val="0"/>
          <w:kern w:val="0"/>
          <w:sz w:val="24"/>
          <w:szCs w:val="24"/>
          <w:highlight w:val="none"/>
          <w:lang w:val="en-US" w:eastAsia="zh-CN" w:bidi="ar-SA"/>
        </w:rPr>
        <w:t>；</w:t>
      </w:r>
    </w:p>
    <w:p w14:paraId="736E600B">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（9）本合同工程监理招标文件</w:t>
      </w:r>
      <w:r>
        <w:rPr>
          <w:rFonts w:hint="eastAsia" w:ascii="宋体" w:hAnsi="宋体" w:eastAsia="宋体" w:cs="宋体"/>
          <w:bCs/>
          <w:spacing w:val="0"/>
          <w:kern w:val="0"/>
          <w:sz w:val="24"/>
          <w:szCs w:val="24"/>
          <w:highlight w:val="none"/>
          <w:lang w:val="en-US" w:eastAsia="zh-CN" w:bidi="ar-SA"/>
        </w:rPr>
        <w:t>[含招标文件补充文件、澄清文件、答疑文件等，属本条第（7）项内容的除外]</w:t>
      </w:r>
      <w:r>
        <w:rPr>
          <w:rFonts w:hint="eastAsia" w:ascii="宋体" w:hAnsi="宋体" w:eastAsia="宋体" w:cs="宋体"/>
          <w:spacing w:val="0"/>
          <w:kern w:val="0"/>
          <w:sz w:val="24"/>
          <w:szCs w:val="24"/>
          <w:highlight w:val="none"/>
          <w:lang w:val="en-US" w:eastAsia="zh-CN" w:bidi="ar-SA"/>
        </w:rPr>
        <w:t>；</w:t>
      </w:r>
    </w:p>
    <w:p w14:paraId="3C928A2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（10）通用条款；</w:t>
      </w:r>
    </w:p>
    <w:p w14:paraId="6AD55B9B">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（11）组成本合同的其他文件。</w:t>
      </w:r>
    </w:p>
    <w:p w14:paraId="1BD0670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通过上述顺序解释仍无法明确的事项，由委托人与监理人协商解决；如协商不成，由委托人按照公平合理和有利于本合同工程建设的原则作出决定，如监理人对此决定不服的，应在接到委托人决定之日起三日内提出书面异议。如期满不提出书面异议的，视为同意委托人的决定。委托人收到监理人的书面异议后应作出进一步的决定。如监理人仍有异议的，可按</w:t>
      </w:r>
      <w:r>
        <w:rPr>
          <w:rFonts w:hint="eastAsia" w:ascii="宋体" w:hAnsi="宋体" w:eastAsia="宋体" w:cs="宋体"/>
          <w:bCs/>
          <w:spacing w:val="0"/>
          <w:kern w:val="0"/>
          <w:sz w:val="24"/>
          <w:szCs w:val="24"/>
          <w:highlight w:val="none"/>
          <w:lang w:val="en-US" w:eastAsia="zh-CN" w:bidi="ar-SA"/>
        </w:rPr>
        <w:t>专用条款第7条</w:t>
      </w:r>
      <w:r>
        <w:rPr>
          <w:rFonts w:hint="eastAsia" w:ascii="宋体" w:hAnsi="宋体" w:eastAsia="宋体" w:cs="宋体"/>
          <w:spacing w:val="0"/>
          <w:kern w:val="0"/>
          <w:sz w:val="24"/>
          <w:szCs w:val="24"/>
          <w:highlight w:val="none"/>
          <w:lang w:val="en-US" w:eastAsia="zh-CN" w:bidi="ar-SA"/>
        </w:rPr>
        <w:t>的约定处理，但在有关部门没有作出正式裁决之前，监理人必须无条件先行执行委托人的决定。</w:t>
      </w:r>
    </w:p>
    <w:p w14:paraId="52BFFE77">
      <w:pPr>
        <w:spacing w:line="360" w:lineRule="auto"/>
        <w:rPr>
          <w:rFonts w:hint="eastAsia" w:ascii="宋体" w:hAnsi="宋体" w:eastAsia="宋体" w:cs="宋体"/>
          <w:bCs/>
          <w:snapToGrid w:val="0"/>
          <w:kern w:val="0"/>
          <w:sz w:val="24"/>
          <w:highlight w:val="none"/>
        </w:rPr>
      </w:pPr>
    </w:p>
    <w:p w14:paraId="23F29F56">
      <w:pPr>
        <w:snapToGrid w:val="0"/>
        <w:spacing w:line="360" w:lineRule="auto"/>
        <w:rPr>
          <w:rFonts w:hint="eastAsia" w:ascii="宋体" w:hAnsi="宋体" w:eastAsia="宋体" w:cs="宋体"/>
          <w:b/>
          <w:bCs/>
          <w:snapToGrid w:val="0"/>
          <w:kern w:val="0"/>
          <w:sz w:val="28"/>
          <w:szCs w:val="28"/>
          <w:highlight w:val="none"/>
        </w:rPr>
      </w:pPr>
      <w:r>
        <w:rPr>
          <w:rFonts w:hint="eastAsia" w:ascii="宋体" w:hAnsi="宋体" w:eastAsia="宋体" w:cs="宋体"/>
          <w:b/>
          <w:bCs/>
          <w:snapToGrid w:val="0"/>
          <w:kern w:val="0"/>
          <w:sz w:val="28"/>
          <w:szCs w:val="28"/>
          <w:highlight w:val="none"/>
        </w:rPr>
        <w:t>2.监理人的义务</w:t>
      </w:r>
    </w:p>
    <w:p w14:paraId="74A806FF">
      <w:pPr>
        <w:adjustRightInd w:val="0"/>
        <w:snapToGrid w:val="0"/>
        <w:spacing w:line="360" w:lineRule="auto"/>
        <w:ind w:left="210" w:leftChars="100"/>
        <w:rPr>
          <w:rFonts w:hint="eastAsia" w:ascii="宋体" w:hAnsi="宋体" w:eastAsia="宋体" w:cs="宋体"/>
          <w:b/>
          <w:bCs/>
          <w:snapToGrid w:val="0"/>
          <w:kern w:val="0"/>
          <w:sz w:val="24"/>
          <w:szCs w:val="24"/>
          <w:highlight w:val="none"/>
        </w:rPr>
      </w:pPr>
      <w:r>
        <w:rPr>
          <w:rFonts w:hint="eastAsia" w:ascii="宋体" w:hAnsi="宋体" w:eastAsia="宋体" w:cs="宋体"/>
          <w:b/>
          <w:bCs/>
          <w:snapToGrid w:val="0"/>
          <w:kern w:val="0"/>
          <w:sz w:val="24"/>
          <w:highlight w:val="none"/>
        </w:rPr>
        <w:t>2.1监理的范围和工作内容</w:t>
      </w:r>
    </w:p>
    <w:p w14:paraId="6AAD78B2">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2.1.2  施工准备阶段的监理工作</w:t>
      </w:r>
    </w:p>
    <w:p w14:paraId="36E4647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施工准备阶段的监理工作包括但不限于以下内容：</w:t>
      </w:r>
    </w:p>
    <w:p w14:paraId="5CBCC3F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（1）在设计交底前，总监理工程师应组织监理人员熟悉设计文件，并对图纸中存在的问题通过委托人向设计单位提出书面意见和建议。</w:t>
      </w:r>
    </w:p>
    <w:p w14:paraId="2C38C17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（2）项目监理人员应参加由委托人组织的设计技术交底会，总监理工程师应组织人员编写设计技术交底会议纪要并提交给委托人。</w:t>
      </w:r>
    </w:p>
    <w:p w14:paraId="1C5311E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（3）图纸会审由委托人组织，总监理工程师应组织人员做好图纸会审记录并提交给委托人。</w:t>
      </w:r>
    </w:p>
    <w:p w14:paraId="4FA5C96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（4）工程项目开工前，总监理工程师应组织专业监理工程师审查承包人报送的施工组织设计（方案）报审表，提出审查意见，并经总监理工程师审核、签认后报委托人。</w:t>
      </w:r>
    </w:p>
    <w:p w14:paraId="471943C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工程项目开工前，总监理工程师应审查承包人现场项目管理机构的质量管理体系、环境管理体系和安全管理体系，在确能保证工程项目施工质量时予以确认。对质量管理体系、环境管理体系和安全管理体系应审核以下内容：</w:t>
      </w:r>
    </w:p>
    <w:p w14:paraId="1601D8B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1）质量管理体系、环境管理体系和安全管理体系的组织及职责；</w:t>
      </w:r>
    </w:p>
    <w:p w14:paraId="407ED51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2）质量管理体系、环境管理体系和安全管理体系各过程的识别与管理；</w:t>
      </w:r>
    </w:p>
    <w:p w14:paraId="23A5CF7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3）质量管理体系、环境管理体系和安全管理体系的持续改进措施。</w:t>
      </w:r>
    </w:p>
    <w:p w14:paraId="449FDC2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监理人应当督促施工（总承包）单位在签订合同后两个月内，根据项目招投标文件及合同约定向委托人提交专业工程分包计划资料，督促施工（总承包）单位在专业工程分包正式实施前两个月内提交专业分包施工单位资格报审材料，具体按照《省代建局建设工程施工分包管理办法（试行）》执行（按最新办法执行）</w:t>
      </w:r>
    </w:p>
    <w:p w14:paraId="7DBB327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专业监理工程师应审查承包人报送的分包单位资格报审表和分包单位有关资质资料，符合有关规定后，由总监理工程师予以签认。对报送的分包资料应审查以下内容：</w:t>
      </w:r>
    </w:p>
    <w:p w14:paraId="0F05DC36">
      <w:pPr>
        <w:widowControl w:val="0"/>
        <w:numPr>
          <w:ilvl w:val="0"/>
          <w:numId w:val="13"/>
        </w:numPr>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分包原因、依据、分包金额等分包概况；</w:t>
      </w:r>
    </w:p>
    <w:p w14:paraId="5428A233">
      <w:pPr>
        <w:widowControl w:val="0"/>
        <w:numPr>
          <w:ilvl w:val="0"/>
          <w:numId w:val="13"/>
        </w:numPr>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分包工程的内容和范围；</w:t>
      </w:r>
    </w:p>
    <w:p w14:paraId="1386CA3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3）分包单位名称、分包企业营业执照、企业资质等级证书、特殊行业施工许可证、国外（境外）企业在国内承包工程许可证，三年内分包单位诚信情况；</w:t>
      </w:r>
    </w:p>
    <w:p w14:paraId="72269B8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4）分包单位的业绩，尤其是类似工程施工的经验；</w:t>
      </w:r>
    </w:p>
    <w:p w14:paraId="7ED60E1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5）分包人员（项目负责人、技术负责人、质量负责人和安全负责人）资格证书及社保。专职管理人员和特种作业人员的社保情况、资格证、上岗证。</w:t>
      </w:r>
    </w:p>
    <w:p w14:paraId="411DF18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如监理单位未按合同约定限定时间履行义务，应承担1次一般违约责任。</w:t>
      </w:r>
    </w:p>
    <w:p w14:paraId="58FDE93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（7）专业监理工程师应按以下要求对承包人报送的测量放线控制方案成果及保护措施进行检查，符合要求时，专业监理工程师对承包人报送的施工测量资料予以签认：</w:t>
      </w:r>
    </w:p>
    <w:p w14:paraId="4C429C1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1）检查承包人专职测量人员的岗位证书及测量设备检定证书；</w:t>
      </w:r>
    </w:p>
    <w:p w14:paraId="5E3D806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2）审核承包人提交的控制测量方案；</w:t>
      </w:r>
    </w:p>
    <w:p w14:paraId="535D907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3）复核控制桩的校核成果、控制桩的保护措施以及平面控制网、高程控制网和临时水准点的测量成果。</w:t>
      </w:r>
    </w:p>
    <w:p w14:paraId="0672747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（8）专业监理工程师应审查承包人报送的工程开工报审表及相关资料，具备以下开工条件时，由总监理工程师签发，并报委托人：</w:t>
      </w:r>
    </w:p>
    <w:p w14:paraId="2846F0A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1）施工许可证已获政府主管部门批准；</w:t>
      </w:r>
    </w:p>
    <w:p w14:paraId="7C5AF27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2）征地拆迁工作能满足工程进度的需要；</w:t>
      </w:r>
    </w:p>
    <w:p w14:paraId="579026A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3）施工组织设计已获总监理工程师批准；</w:t>
      </w:r>
    </w:p>
    <w:p w14:paraId="22BBDBC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4）承包人现场管理人员已到位，机具、施工人员已进场，主要工程材料已落实；</w:t>
      </w:r>
    </w:p>
    <w:p w14:paraId="2A7D1F5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5）进场道路及水、电、通讯等已满足开工要求；</w:t>
      </w:r>
    </w:p>
    <w:p w14:paraId="420D922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6）施工测量、技术交底、作业指导书等各项技术准备工作已经完成。</w:t>
      </w:r>
    </w:p>
    <w:p w14:paraId="68D843C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（9）工程项目开工前，监理人员应参加由委托人主持召开的第一次工地会议。工地会议应包括以下主要内容：</w:t>
      </w:r>
    </w:p>
    <w:p w14:paraId="16AC70F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1）委托人、承包人和监理人分别介绍各自派驻现场的组织机构、人员及其分工；</w:t>
      </w:r>
    </w:p>
    <w:p w14:paraId="14F2798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2）委托人根据委托监理合同宣布对总监理工程师的授权；</w:t>
      </w:r>
    </w:p>
    <w:p w14:paraId="4150606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3）委托人介绍工程开工准备情况；</w:t>
      </w:r>
    </w:p>
    <w:p w14:paraId="0691AE9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4）承包人介绍施工准备情况；</w:t>
      </w:r>
    </w:p>
    <w:p w14:paraId="3778A7E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5）委托人和总监理工程师对施工准备情况提出意见和要求；</w:t>
      </w:r>
    </w:p>
    <w:p w14:paraId="47C681A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6）总监理工程师介绍监理规划的主要内容；</w:t>
      </w:r>
    </w:p>
    <w:p w14:paraId="15B4B11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7）研究确定各方在施工过程中参加工地例会的主要人员，召开工地例会周期、地点及主要议题。</w:t>
      </w:r>
    </w:p>
    <w:p w14:paraId="52E69F6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第一次工地会议纪要应由项目监理机构负责起草，并经与会各方代表会签。</w:t>
      </w:r>
    </w:p>
    <w:p w14:paraId="3D1623E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（10）制定监理规划</w:t>
      </w:r>
    </w:p>
    <w:p w14:paraId="781CD22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1）监理规划的编制应针对项目的实际情况，明确项目监理机构的工作目标，确定具体的监理工作制度、程序、方法和措施，并应具有可操作性。</w:t>
      </w:r>
    </w:p>
    <w:p w14:paraId="1F97F54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2）监理规划编制的程序与依据应符合下列规定：</w:t>
      </w:r>
    </w:p>
    <w:p w14:paraId="4B7463A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监理规划应在签订委托监理合同及收到设计文件后开始编制，完成后必须经监理人技术负责人审核批准，并应在召开第一次工地会议前报送委托人；</w:t>
      </w:r>
    </w:p>
    <w:p w14:paraId="7D945A8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监理规划应由总监理工程师主持、专业监理工程师参加编制；</w:t>
      </w:r>
    </w:p>
    <w:p w14:paraId="19357B3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编制监理规划应依据为以下各项：</w:t>
      </w:r>
    </w:p>
    <w:p w14:paraId="43B329E5">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建设工程的相关法律、法规及项目审批文件；</w:t>
      </w:r>
    </w:p>
    <w:p w14:paraId="54C81FA0">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与建设工程项目有关的标准、设计文件、技术资料；</w:t>
      </w:r>
    </w:p>
    <w:p w14:paraId="7E408C8E">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监理大纲、委托监理合同文件以及与建设工程项目相关的合同文件；</w:t>
      </w:r>
    </w:p>
    <w:p w14:paraId="1BB8EE59">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委托人制定的有关本合同工程建设的管理制度。</w:t>
      </w:r>
    </w:p>
    <w:p w14:paraId="6750D3A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3）监理规划应包括以下主要内容：</w:t>
      </w:r>
    </w:p>
    <w:p w14:paraId="56704DC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工程项目概况；</w:t>
      </w:r>
    </w:p>
    <w:p w14:paraId="0E676FBF">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监理工作范围；</w:t>
      </w:r>
    </w:p>
    <w:p w14:paraId="5F0157ED">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监理工作内容；</w:t>
      </w:r>
    </w:p>
    <w:p w14:paraId="7171160C">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监理工作目标；</w:t>
      </w:r>
    </w:p>
    <w:p w14:paraId="728239F8">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监理工作依据；</w:t>
      </w:r>
    </w:p>
    <w:p w14:paraId="48D16714">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项目监理机构的组织形式；</w:t>
      </w:r>
    </w:p>
    <w:p w14:paraId="068481B9">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⑦</w:t>
      </w:r>
      <w:r>
        <w:rPr>
          <w:rFonts w:hint="eastAsia" w:ascii="宋体" w:hAnsi="宋体" w:eastAsia="宋体" w:cs="宋体"/>
          <w:spacing w:val="4"/>
          <w:kern w:val="0"/>
          <w:sz w:val="24"/>
          <w:szCs w:val="24"/>
          <w:highlight w:val="none"/>
          <w:lang w:val="en-US" w:eastAsia="zh-CN" w:bidi="ar-SA"/>
        </w:rPr>
        <w:t xml:space="preserve"> 项目监理机构的人员配备计划；</w:t>
      </w:r>
    </w:p>
    <w:p w14:paraId="0E7DAD5D">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⑧</w:t>
      </w:r>
      <w:r>
        <w:rPr>
          <w:rFonts w:hint="eastAsia" w:ascii="宋体" w:hAnsi="宋体" w:eastAsia="宋体" w:cs="宋体"/>
          <w:spacing w:val="4"/>
          <w:kern w:val="0"/>
          <w:sz w:val="24"/>
          <w:szCs w:val="24"/>
          <w:highlight w:val="none"/>
          <w:lang w:val="en-US" w:eastAsia="zh-CN" w:bidi="ar-SA"/>
        </w:rPr>
        <w:t xml:space="preserve"> 项目监理机构的人员岗位职责；</w:t>
      </w:r>
    </w:p>
    <w:p w14:paraId="4131D15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⑨</w:t>
      </w:r>
      <w:r>
        <w:rPr>
          <w:rFonts w:hint="eastAsia" w:ascii="宋体" w:hAnsi="宋体" w:eastAsia="宋体" w:cs="宋体"/>
          <w:spacing w:val="4"/>
          <w:kern w:val="0"/>
          <w:sz w:val="24"/>
          <w:szCs w:val="24"/>
          <w:highlight w:val="none"/>
          <w:lang w:val="en-US" w:eastAsia="zh-CN" w:bidi="ar-SA"/>
        </w:rPr>
        <w:t xml:space="preserve"> 监理工作程序；</w:t>
      </w:r>
    </w:p>
    <w:p w14:paraId="18648C4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⑩</w:t>
      </w:r>
      <w:r>
        <w:rPr>
          <w:rFonts w:hint="eastAsia" w:ascii="宋体" w:hAnsi="宋体" w:eastAsia="宋体" w:cs="宋体"/>
          <w:spacing w:val="4"/>
          <w:kern w:val="0"/>
          <w:sz w:val="24"/>
          <w:szCs w:val="24"/>
          <w:highlight w:val="none"/>
          <w:lang w:val="en-US" w:eastAsia="zh-CN" w:bidi="ar-SA"/>
        </w:rPr>
        <w:t xml:space="preserve"> 监理工作方法及措施；</w:t>
      </w:r>
    </w:p>
    <w:p w14:paraId="1AFA5E22">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,11)</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监理工作制度；</w:t>
      </w:r>
    </w:p>
    <w:p w14:paraId="7317744B">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,12)</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监理设施。</w:t>
      </w:r>
    </w:p>
    <w:p w14:paraId="525F7BE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4）在监理工作实施过程中，如实际情况或条件发生重大变化而需要调整监理规划时，应由总监理工程师组织专业监理工程师研究修改，按原报审程序经过批准后报委托人。</w:t>
      </w:r>
    </w:p>
    <w:p w14:paraId="6C3D290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（11）制定监理实施细则</w:t>
      </w:r>
    </w:p>
    <w:p w14:paraId="775A28A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1）项目监理机构应编制监理实施细则。监理实施细则应符合监理规划的要求，并应结合工程项目的专业特点，做到详细具体、具有可操作性。</w:t>
      </w:r>
    </w:p>
    <w:p w14:paraId="3B05152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2）监理实施细则的编制程序与依据应符合下列规定：</w:t>
      </w:r>
    </w:p>
    <w:p w14:paraId="13A98CCC">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监理实施细则应在相应工程施工开始前编制完成，并必须经总监理工程师批准；</w:t>
      </w:r>
    </w:p>
    <w:p w14:paraId="6F9F324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监理实施细则应由专业监理工程师编制；</w:t>
      </w:r>
    </w:p>
    <w:p w14:paraId="1DBDC294">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编制监理实施细则的依据为以下各项：</w:t>
      </w:r>
    </w:p>
    <w:p w14:paraId="6B9BCC3E">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已批准的监理规划；</w:t>
      </w:r>
    </w:p>
    <w:p w14:paraId="36870078">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与专业工程相关的标准、设计文件和技术资料；</w:t>
      </w:r>
    </w:p>
    <w:p w14:paraId="548EE1FC">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施工组织设计；</w:t>
      </w:r>
    </w:p>
    <w:p w14:paraId="57F37C83">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本合同工程的设计、施工、安装招投标文件及合同；</w:t>
      </w:r>
    </w:p>
    <w:p w14:paraId="7FF6384E">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e. 委托人制定的有关本合同工程建设的管理制度。</w:t>
      </w:r>
    </w:p>
    <w:p w14:paraId="21476F0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3）监理实施细则应包括下列主要内容：</w:t>
      </w:r>
    </w:p>
    <w:p w14:paraId="6DB3E823">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专业工程的特点；</w:t>
      </w:r>
    </w:p>
    <w:p w14:paraId="13FB7A1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监理工作的流程；</w:t>
      </w:r>
    </w:p>
    <w:p w14:paraId="2604EA9C">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监理工作的控制要点及目标值；</w:t>
      </w:r>
    </w:p>
    <w:p w14:paraId="44B3A82D">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监理工作的方法及措施。</w:t>
      </w:r>
    </w:p>
    <w:p w14:paraId="6D96C2E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4）在监理工作实施过程中，监理实施细则应根据实际情况进行补充、修改和完善。</w:t>
      </w:r>
    </w:p>
    <w:p w14:paraId="0462A41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（12）</w:t>
      </w:r>
      <w:r>
        <w:rPr>
          <w:rFonts w:hint="eastAsia" w:ascii="宋体" w:hAnsi="宋体" w:eastAsia="宋体" w:cs="宋体"/>
          <w:spacing w:val="4"/>
          <w:kern w:val="0"/>
          <w:sz w:val="24"/>
          <w:szCs w:val="24"/>
          <w:highlight w:val="none"/>
          <w:lang w:val="en-US" w:eastAsia="zh-CN" w:bidi="ar-SA"/>
        </w:rPr>
        <w:t>对合同管理实施控制工作程序化、规范化，建立定期和不定期的协商会办制度，根据合同文件的约定及委托人要求的图纸批准程序、工程变更程序、承包人索赔程序、承包人的账单审查程序、进度付款账单的审查批准程序、工程问题的请示报告程序等制定相关表格。</w:t>
      </w:r>
    </w:p>
    <w:p w14:paraId="09A46C57">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  施工阶段的监理工作（包括但不限于以下内容）</w:t>
      </w:r>
    </w:p>
    <w:p w14:paraId="32B96C36">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2.1.3.1  工程质量控制工作</w:t>
      </w:r>
    </w:p>
    <w:p w14:paraId="7CDAEC8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（1）在施工过程中，当承包人对已批准的施工组织设计进行调整、补充或变动时，应经专业监理工程师审查，并应由总监理工程师签认。</w:t>
      </w:r>
    </w:p>
    <w:p w14:paraId="472A55C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（2）专业监理工程师应要求承包人报送重点部位、关键工序的施工方案或作业指导和确保工程质量的措施，审核同意后予以签认。</w:t>
      </w:r>
    </w:p>
    <w:p w14:paraId="1498014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（3）当承包人采用新材料、新工艺、新技术、新设备时，专业监理工程师应要求承包人报送相应的施工工艺措施和证明材料，组织专题论证，经审定后予以签认。</w:t>
      </w:r>
    </w:p>
    <w:p w14:paraId="2EBCA05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（4）项目监理机构应对承包人在施工过程中报送的施工测量放线成果进行复验和确认。</w:t>
      </w:r>
    </w:p>
    <w:p w14:paraId="128F581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监理人应对材料、设备的进场验收负主要责任。专业监理工程师应对承包人报送的拟进场工程材料、构配件和设备的工程材料/构配件/设备报审表及其质量证明资料进行审核，并对进场的实物按照委托监理合同约定或有关工程质量管理文件规定的比例采用平行检验或见证取样方式进行抽检。</w:t>
      </w:r>
    </w:p>
    <w:p w14:paraId="33075FF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对未经监理人员验收或验收不合格的工程材料、构配件、设备，监理人员应拒绝签认，并应签发监理工程师通知单，书面通知承包人限期将不合格的工程材料、构配件、设备撤出现场。</w:t>
      </w:r>
    </w:p>
    <w:p w14:paraId="51C70EE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（6）项目监理机构应定期检查承包人的直接影响工程质量的计量设备的技术状况。</w:t>
      </w:r>
    </w:p>
    <w:p w14:paraId="2F027F2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总监理工程师应安排监理人员对建筑材料设备的进场检验的全过程进行见证，对施工过程进行巡视和检查（包括重点检查、抽查及专项检查）。对基础工程中土方回填，混凝土灌注桩浇筑，地下连续墙、土钉墙、后浇带及其他结构混凝土、防水混凝土浇筑，卷材防水层细部构造处理，钢结构安装和主体结构工程中梁柱节点钢筋隐蔽过程，混凝土浇筑，预应力张拉，装配式结构安装，钢结构安装，网架结构安装，索膜安装及委托人要求的其它旁站工作等，专业监理工程师应安排监理员进行旁站，主要职责是：</w:t>
      </w:r>
    </w:p>
    <w:p w14:paraId="2EC839D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1）检查施工企业现场质检人员到岗、特殊工种人员持证上岗以及施工机械、建筑材料准备情况；</w:t>
      </w:r>
    </w:p>
    <w:p w14:paraId="3CDADAC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2）在现场跟班监督关键部位、关键工序的施工执行施工方案以及工程建设强制性标准情况；</w:t>
      </w:r>
    </w:p>
    <w:p w14:paraId="0108942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3）核查进场建筑材料、建筑构配件、设备和商品混凝土的质量检验报告等，并可在现场监督施工企业进行检验或者委托具有资格的第三方进行复验；</w:t>
      </w:r>
    </w:p>
    <w:p w14:paraId="15F96EF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4）做好旁站监理记录和监理日记，保存旁站监理原始资料。</w:t>
      </w:r>
    </w:p>
    <w:p w14:paraId="078666A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旁站监理人员应当认真履行职责，对需要实施旁站监理的关键部位、关键工序在施工现场跟班监督，及时发现和处理旁站监理过程中出现的质量问题，如实准确地做好旁站监理记录。凡旁站监理人员和施工企业现场质检人员未在旁站监理记录上签字的，不得进行下一道工序施工。</w:t>
      </w:r>
    </w:p>
    <w:p w14:paraId="2C3646C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旁站监理人员实施旁站监理时，发现施工企业有违反工程建设强制性标准行为的，有权责令施工企业立即整改；发现其施工活动已经或者可能危及工程质量的，应当及时向监理工程师或者总监理工程师报告，由总监理工程师下达局部暂停施工指令或者采取其他应急措施。</w:t>
      </w:r>
    </w:p>
    <w:p w14:paraId="5F36FFB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旁站监理记录是监理工程师或者总监理工程师依法行使有关签字权的重要依据。对于需要旁站监理的关键部位、关键工序施工，凡没有实施旁站监理或者没有旁站监理记录的，监理工程师或者总监理工程师不得在相应文件上签字。在工程竣工验收后，监理企业应当将旁站监理记录存档备查。</w:t>
      </w:r>
    </w:p>
    <w:p w14:paraId="4F0AACD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（8）专业监理工程师应根据承包人报送的隐蔽工程报验申请表和自检结果进行现场检查，符合要求后予以签认。</w:t>
      </w:r>
    </w:p>
    <w:p w14:paraId="20A68B8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对未经监理人员验收或验收不合格的工序，监理人员应拒绝签认，并要求承包人严禁进行下一道工序的施工。</w:t>
      </w:r>
    </w:p>
    <w:p w14:paraId="57F5B09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专业监理工程师应对承包人报送的分项工程质量验评资料进行审核，符合要求后予以签认；总监理工程师应组织监理人员对承包人报送的分部工程和单位工程质量验评资料进行审核和现场检查，符合要求后予以签认。</w:t>
      </w:r>
    </w:p>
    <w:p w14:paraId="23E075A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（10）监理单位按照基建程序从工程建设前期法定建设程序资料、施工过程质量控制技术资料、工程验收及备案资料按照与工程同步的原则进行及时收集，保证保管一套完整的工程技术资料。</w:t>
      </w:r>
    </w:p>
    <w:p w14:paraId="08C5E55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（11）施工阶段的工程质量控制中的其他监理工作</w:t>
      </w:r>
    </w:p>
    <w:p w14:paraId="1A8E530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1）对施工过程中出现的质量缺陷，专业监理工程师应及时下达监理工程师通知，要求承包人整改，并检查整改结果。</w:t>
      </w:r>
    </w:p>
    <w:p w14:paraId="7A4FF4A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人应在本合同工程的施工阶段开始之前向委托人提交质量事故处理程序。监理人员发现施工存在重大质量隐患，可能造成质量事故或已经造成质量事故时，应通过总监理工程师及时下达工程暂停令，要求承包人停工整改。整改完毕并经监理人员复查，符合规定要求后，总监理工程师应及时签署工程复工报审表。总监理工程师下达工程暂停令和签署工程复工报审表，应事先向委托人报告。</w:t>
      </w:r>
    </w:p>
    <w:p w14:paraId="7C3BA60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3）对需要返工处理或加固补强的质量事故，总监理工程师应责令承包人报送质量事故调查报告和经设计单位等相关单位认可的处理方案，项目监理机构应对质量事故的处理过程和处理结果进行跟踪检查和验收。</w:t>
      </w:r>
    </w:p>
    <w:p w14:paraId="11C0D1E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4）总监理工程师应及时向委托人及本监理单位提交有关质量事故的书面报告，并应将完整的质量事故处理记录整理归档。</w:t>
      </w:r>
    </w:p>
    <w:p w14:paraId="719FB7E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5）对承包人的试验室进行考核</w:t>
      </w:r>
    </w:p>
    <w:p w14:paraId="6C5F95D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对承包人的试验室，专业监理工程师应从以下五个方面进行考核：</w:t>
      </w:r>
    </w:p>
    <w:p w14:paraId="67922F4C">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试验室的资质等级及其试验范围；</w:t>
      </w:r>
    </w:p>
    <w:p w14:paraId="0D1F6F58">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法定计量部门对试验设备出具的计量检定证明；</w:t>
      </w:r>
    </w:p>
    <w:p w14:paraId="4D110A4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试验室的管理制度；</w:t>
      </w:r>
    </w:p>
    <w:p w14:paraId="7491B989">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试验人员的资格证书；</w:t>
      </w:r>
    </w:p>
    <w:p w14:paraId="60CC99C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本工程的试验项目及其要求。</w:t>
      </w:r>
    </w:p>
    <w:p w14:paraId="4A912DB0">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2.1.3.2  工程造价控制工作</w:t>
      </w:r>
    </w:p>
    <w:p w14:paraId="4F9900E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（1）项目监理机构应组织施工单位、造价单位、造价咨询单位、设计单位在限定时间完成清标工作；</w:t>
      </w:r>
    </w:p>
    <w:p w14:paraId="2FD40F2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（2）项目监理机构应按下列程序进行工程计量和工程款支付工作：</w:t>
      </w:r>
    </w:p>
    <w:p w14:paraId="5D6B563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1）监理人应每日统计承包人实际完成的工程量，并记录于监理日志中；</w:t>
      </w:r>
    </w:p>
    <w:p w14:paraId="7484F2D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2）专业监理工程师进行现场计量，复核当期验收合格的工程量，按施工合同的约定审核承包人提交的工程量清单和工程款支付申请表，并报总监理工程师审定；</w:t>
      </w:r>
    </w:p>
    <w:p w14:paraId="1654264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3）总监理工程师对工程量清单和工程款支付申请表进行复核，并报委托人；</w:t>
      </w:r>
    </w:p>
    <w:p w14:paraId="3855025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4）提交月度分包工程支付建议书给委托人。</w:t>
      </w:r>
    </w:p>
    <w:p w14:paraId="54644BE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（3）项目监理机构应依据施工合同有关条款、施工图，对工程项目造价目标进行风险分析，并应制定防范性对策。</w:t>
      </w:r>
    </w:p>
    <w:p w14:paraId="4C60E16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（4）项目监理机构应按施工合同约定的工程量计算规则和支付条款进行工程量计量和工程款支付。</w:t>
      </w:r>
    </w:p>
    <w:p w14:paraId="77FC652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（5）专业监理工程师应及时建立月完成工程量和工作量统计表，对实际完成量与计划完成量进行比较、分析，制定调整措施，并应在监理月报中向委托人报告。</w:t>
      </w:r>
    </w:p>
    <w:p w14:paraId="5EF591F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（6）未经监理人员质量验收合格的工程量，或不符合施工合同规定的工程量，监理人员应拒绝计量和该部分的工程款支付申请。</w:t>
      </w:r>
    </w:p>
    <w:p w14:paraId="07FE921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（7）工程变更的管理</w:t>
      </w:r>
    </w:p>
    <w:p w14:paraId="2027FFF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总监理工程师应从造价、项目的功能要求、质量和工期等方面审查工程变更的方案，并在工程变更实施前与委托人、承包人协商确定工程变更的价款。</w:t>
      </w:r>
    </w:p>
    <w:p w14:paraId="5A2AC10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1）项目监理机构应按下列程序处理工程变更：</w:t>
      </w:r>
    </w:p>
    <w:p w14:paraId="3FE783B2">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对承包人提出的工程变更，应提交总监理工程师，由总监理工程师组织专业监理工程师审查。审查同意后，应由委托人转交原设计单位编制设计变更文件。当工程变更涉及安全、环保等内容时，应按规定经有关部门审定。</w:t>
      </w:r>
    </w:p>
    <w:p w14:paraId="496D6EDF">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项目监理机构应了解实际情况和收集与工程变更有关的资料。</w:t>
      </w:r>
    </w:p>
    <w:p w14:paraId="00EA0D84">
      <w:pPr>
        <w:spacing w:line="480" w:lineRule="exact"/>
        <w:ind w:firstLine="560" w:firstLineChars="200"/>
        <w:rPr>
          <w:rFonts w:hint="eastAsia" w:ascii="宋体" w:hAnsi="宋体" w:eastAsia="宋体" w:cs="宋体"/>
          <w:kern w:val="0"/>
          <w:sz w:val="24"/>
          <w:highlight w:val="none"/>
        </w:rPr>
      </w:pPr>
      <w:r>
        <w:rPr>
          <w:rFonts w:hint="eastAsia" w:ascii="宋体" w:hAnsi="宋体" w:eastAsia="宋体" w:cs="宋体"/>
          <w:kern w:val="0"/>
          <w:sz w:val="28"/>
          <w:szCs w:val="28"/>
          <w:highlight w:val="none"/>
        </w:rPr>
        <w:t>③</w:t>
      </w:r>
      <w:r>
        <w:rPr>
          <w:rFonts w:hint="eastAsia" w:ascii="宋体" w:hAnsi="宋体" w:eastAsia="宋体" w:cs="宋体"/>
          <w:kern w:val="0"/>
          <w:sz w:val="24"/>
          <w:highlight w:val="none"/>
        </w:rPr>
        <w:t xml:space="preserve"> 总监理工程师必须根据实际情况、设计变更文件和其他有关资料，按照施工合同的有关条款，在指定专业监理工程师完成下列各项工作后，对工程变更的费用和工期作出评估：</w:t>
      </w:r>
    </w:p>
    <w:p w14:paraId="5BB101A6">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审核工程变更项目与原工程项目之间的类似程度和难易程度；</w:t>
      </w:r>
    </w:p>
    <w:p w14:paraId="003E6FC9">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审核工程变更项目的工程量；</w:t>
      </w:r>
    </w:p>
    <w:p w14:paraId="746D04D3">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审核工程变更的单价和总价；</w:t>
      </w:r>
    </w:p>
    <w:p w14:paraId="2A33D68F">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审核工程变更所引起的工期变化。</w:t>
      </w:r>
    </w:p>
    <w:p w14:paraId="7E6C279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总监理工程师应就工程变更费用及工期的评估情况与承包人和委托人进行协调。</w:t>
      </w:r>
    </w:p>
    <w:p w14:paraId="6F26A55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总监理工程师签发工程变更单。工程变更单应包括工程变更要求、工程变更说明、工程变更费用和工期、必要的附件等内容，有设计变更文件的工程变更应附设计变更文件。</w:t>
      </w:r>
    </w:p>
    <w:p w14:paraId="6101DF7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项目监理机构应根据工程变更单监督承包人实施。</w:t>
      </w:r>
    </w:p>
    <w:p w14:paraId="42BD4FF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2）项目监理机构处理工程变更应符合下列要求：</w:t>
      </w:r>
    </w:p>
    <w:p w14:paraId="316F3702">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项目监理机构在工程变更的质量、费用和工期方面取得委托人授权后，应按施工合同规定与承包人进行协商，经协商达成一致后，总监理工程师应将协商结果向委托人通报，并由委托人与承包人在变更文件上签字；</w:t>
      </w:r>
    </w:p>
    <w:p w14:paraId="00D8F10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在项目监理机构未能就工程变更的质量、费用和工期方面取得委托人授权时，总监理工程师应协助委托人和承包人进行协商，并达成一致；</w:t>
      </w:r>
    </w:p>
    <w:p w14:paraId="0702FE2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3）在总监理工程师签发工程变更单之前，承包人不得实施工程变更。</w:t>
      </w:r>
    </w:p>
    <w:p w14:paraId="608A096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4）未经总监理工程师审查同意而实施的工程变更，项目监理机构不得予以计量。</w:t>
      </w:r>
    </w:p>
    <w:p w14:paraId="21BFFA4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 监理人必须按月度提交项目造价变更统计表给委托人。</w:t>
      </w:r>
    </w:p>
    <w:p w14:paraId="038074B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（8）工程签证的管理</w:t>
      </w:r>
    </w:p>
    <w:p w14:paraId="11CDFF4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按委托人工程签证管理的相关规定对工程的现场签证进行管理，因监理人把关不严，致使该部分工程签证所发生的费用超过合理费用的（以政府结算终审部门审定价对照为准），由监理人按本合同专用条款第四条的有关约定承担违约责任。</w:t>
      </w:r>
    </w:p>
    <w:p w14:paraId="30BCAA5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（9）分段结算工作的管理</w:t>
      </w:r>
    </w:p>
    <w:p w14:paraId="0CE9F76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为确保本合同工程结算的顺利进行，甲方可能对本合同工程按分部分项或单位工程进行分段结算（单位工程、分部工程或分项工程），乙方在接到甲方关于分段结算配合工作的指令后7天内向甲方提交相关的分段结算配合服务工作计划，乙方应根据经过甲方批准的分段结算配合服务工作计划积极配合相关的分段结算工作。</w:t>
      </w:r>
    </w:p>
    <w:p w14:paraId="41341C8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人应在承包人提交所完成的分部工程的结算文件（包括相关的结算资料）后15天内完成分段结算的审核工作并将向委托人提交审核报告。如承包人未能在施工合同规定的期限内提交相关结算文件，监理人应立即报告委托人裁处。</w:t>
      </w:r>
    </w:p>
    <w:p w14:paraId="189E5A1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如在施工过程中发生设计变更、新增工程等情况导致已经审定的分段结算的单位工程（分部或分项工程）发生变化的，监理人应在原审定的分段结算的基础上对变更、新增部分按本条约定的程序和要求进行结算审核，形成分段结算补充报告报送委托人。</w:t>
      </w:r>
    </w:p>
    <w:p w14:paraId="65A3F7C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4）分段结算涉及到的资料（但不限于以下）：</w:t>
      </w:r>
    </w:p>
    <w:p w14:paraId="4BABC3F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结算书；</w:t>
      </w:r>
    </w:p>
    <w:p w14:paraId="42A90044">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工程量计算书（即计算底稿）；</w:t>
      </w:r>
    </w:p>
    <w:p w14:paraId="68DC54D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钢筋抽料表（建筑、市政、园林景观等工程适用）；</w:t>
      </w:r>
    </w:p>
    <w:p w14:paraId="324E2B9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图纸会审记录；</w:t>
      </w:r>
    </w:p>
    <w:p w14:paraId="2F49AA2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设计变更单；</w:t>
      </w:r>
    </w:p>
    <w:p w14:paraId="5D8DE75D">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工程洽商记录；</w:t>
      </w:r>
    </w:p>
    <w:p w14:paraId="1B3A085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⑦</w:t>
      </w:r>
      <w:r>
        <w:rPr>
          <w:rFonts w:hint="eastAsia" w:ascii="宋体" w:hAnsi="宋体" w:eastAsia="宋体" w:cs="宋体"/>
          <w:spacing w:val="4"/>
          <w:kern w:val="0"/>
          <w:sz w:val="24"/>
          <w:szCs w:val="24"/>
          <w:highlight w:val="none"/>
          <w:lang w:val="en-US" w:eastAsia="zh-CN" w:bidi="ar-SA"/>
        </w:rPr>
        <w:t xml:space="preserve"> 总监理工程师通知或委托人施工指令；</w:t>
      </w:r>
    </w:p>
    <w:p w14:paraId="49F48CAA">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⑧</w:t>
      </w:r>
      <w:r>
        <w:rPr>
          <w:rFonts w:hint="eastAsia" w:ascii="宋体" w:hAnsi="宋体" w:eastAsia="宋体" w:cs="宋体"/>
          <w:spacing w:val="4"/>
          <w:kern w:val="0"/>
          <w:sz w:val="24"/>
          <w:szCs w:val="24"/>
          <w:highlight w:val="none"/>
          <w:lang w:val="en-US" w:eastAsia="zh-CN" w:bidi="ar-SA"/>
        </w:rPr>
        <w:t xml:space="preserve"> 会议纪要；</w:t>
      </w:r>
    </w:p>
    <w:p w14:paraId="173D132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⑨</w:t>
      </w:r>
      <w:r>
        <w:rPr>
          <w:rFonts w:hint="eastAsia" w:ascii="宋体" w:hAnsi="宋体" w:eastAsia="宋体" w:cs="宋体"/>
          <w:spacing w:val="4"/>
          <w:kern w:val="0"/>
          <w:sz w:val="24"/>
          <w:szCs w:val="24"/>
          <w:highlight w:val="none"/>
          <w:lang w:val="en-US" w:eastAsia="zh-CN" w:bidi="ar-SA"/>
        </w:rPr>
        <w:t xml:space="preserve"> 工程签证；</w:t>
      </w:r>
    </w:p>
    <w:p w14:paraId="448847A4">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⑩</w:t>
      </w:r>
      <w:r>
        <w:rPr>
          <w:rFonts w:hint="eastAsia" w:ascii="宋体" w:hAnsi="宋体" w:eastAsia="宋体" w:cs="宋体"/>
          <w:spacing w:val="4"/>
          <w:kern w:val="0"/>
          <w:sz w:val="24"/>
          <w:szCs w:val="24"/>
          <w:highlight w:val="none"/>
          <w:lang w:val="en-US" w:eastAsia="zh-CN" w:bidi="ar-SA"/>
        </w:rPr>
        <w:t xml:space="preserve"> 材料设备单价呈批审核单；</w:t>
      </w:r>
    </w:p>
    <w:p w14:paraId="5ECA84C0">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11</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综合单价呈批审核单；</w:t>
      </w:r>
    </w:p>
    <w:p w14:paraId="09E2CF37">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12</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委托人供应材料收货验收签收单；</w:t>
      </w:r>
    </w:p>
    <w:p w14:paraId="73E1F251">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13</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验收记录或验收报告；</w:t>
      </w:r>
    </w:p>
    <w:p w14:paraId="749B0B19">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14</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其他分段结算资料；</w:t>
      </w:r>
    </w:p>
    <w:p w14:paraId="0D32ADA3">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15</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移交资料签收表。</w:t>
      </w:r>
    </w:p>
    <w:p w14:paraId="7580C7A3">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2.1.3.3  工程进度控制工作</w:t>
      </w:r>
    </w:p>
    <w:p w14:paraId="177851E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（1）项目监理机构应按下列程序进行工程进度控制：</w:t>
      </w:r>
    </w:p>
    <w:p w14:paraId="3D088A4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1）总监理工程师审批承包人报送的施工总进度计划；</w:t>
      </w:r>
    </w:p>
    <w:p w14:paraId="36F2BB8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2）总监理工程师审批承包人编制的年、季、月度施工进度计划；</w:t>
      </w:r>
    </w:p>
    <w:p w14:paraId="65BF345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3）专业监理工程师对进度计划实施情况检查、分析；</w:t>
      </w:r>
    </w:p>
    <w:p w14:paraId="5B2B82D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4）当实际进度符合计划进度时，应要求承包人编制下一期进度计划；当实际进度滞后于计划进度时，专业监理工程师应书面通知承包人采取纠偏措施并监督实施。</w:t>
      </w:r>
    </w:p>
    <w:p w14:paraId="31EC857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（2）专业监理工程师应依据施工合同有关条款、施工图及经过批准的施工组织设计制定进度控制方案，对进度目标进行风险分析，制定防范性对策，经总监理工程师审定后报送委托人。</w:t>
      </w:r>
    </w:p>
    <w:p w14:paraId="7DDFFD1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（3）专业监理工程师应检查进度计划的实施，并记录实际进度及其相关情况。</w:t>
      </w:r>
    </w:p>
    <w:p w14:paraId="77A68F5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（4）施工阶段的工程进度控制中的其他监理工作</w:t>
      </w:r>
    </w:p>
    <w:p w14:paraId="15A64AC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当发现实际进度滞后于计划进度时，应签发监理工程师通知单指令承包人采取调整措施。当实际进度严重滞后于计划进度时应及时报总监理工程师，由总监理工程师与委托人商定采取进一步措施。</w:t>
      </w:r>
    </w:p>
    <w:p w14:paraId="779921E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总监理工程师应在监理月报中向委托人报告工程进度和所采取进度控制措施的执行情况，并提出合理预防由于委托人原因导致的工程延期及其相关费用索赔的建议。</w:t>
      </w:r>
    </w:p>
    <w:p w14:paraId="13325EE9">
      <w:pPr>
        <w:widowControl w:val="0"/>
        <w:topLinePunct/>
        <w:adjustRightInd w:val="0"/>
        <w:snapToGrid w:val="0"/>
        <w:spacing w:line="480" w:lineRule="exact"/>
        <w:ind w:firstLine="498" w:firstLineChars="200"/>
        <w:jc w:val="both"/>
        <w:rPr>
          <w:rFonts w:hint="eastAsia" w:ascii="宋体" w:hAnsi="宋体" w:eastAsia="宋体" w:cs="宋体"/>
          <w:b/>
          <w:bCs/>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2.1.3.4  工程职业健康安全控制工作</w:t>
      </w:r>
    </w:p>
    <w:p w14:paraId="2F6C166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（1）工程职业健康安全控制应遵循下列程序：</w:t>
      </w:r>
    </w:p>
    <w:p w14:paraId="152BE8C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1）确定施工职业健康安全目标；</w:t>
      </w:r>
    </w:p>
    <w:p w14:paraId="2B15256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2）编制工程职业健康安全保证计划；</w:t>
      </w:r>
    </w:p>
    <w:p w14:paraId="228E198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3）实施工程职业健康安全计划；</w:t>
      </w:r>
    </w:p>
    <w:p w14:paraId="04B6720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4）工程职业健康安全保证计划验证；</w:t>
      </w:r>
    </w:p>
    <w:p w14:paraId="0B6D3E7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5）持续改进。</w:t>
      </w:r>
    </w:p>
    <w:p w14:paraId="66A9899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（2）编制安全监理实施细则，对施工中人的不安全行为、物的不安全状态、作业环境的不安全因素和管理缺陷进行相应的安全控制。</w:t>
      </w:r>
    </w:p>
    <w:p w14:paraId="3CCCCB7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（3）检查项目施工安全目标的要求配置的资源是否满足需要。</w:t>
      </w:r>
    </w:p>
    <w:p w14:paraId="321B7FC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（4）要求承包人对结构复杂、施工难度大、专业性强的项目和达到一定规模的危险性较大的分部分项工程编制专项施工方案，必要时，组织专家进行论证、审查：</w:t>
      </w:r>
    </w:p>
    <w:p w14:paraId="36C9BE0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1）基坑支护及降水工程；</w:t>
      </w:r>
    </w:p>
    <w:p w14:paraId="7D9866F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2）土方开挖工程；</w:t>
      </w:r>
    </w:p>
    <w:p w14:paraId="7018691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3）模板工程；</w:t>
      </w:r>
    </w:p>
    <w:p w14:paraId="314DA92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4）起重吊装工程；</w:t>
      </w:r>
    </w:p>
    <w:p w14:paraId="62C7850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5）脚手架工程；</w:t>
      </w:r>
    </w:p>
    <w:p w14:paraId="774E020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6）拆除、爆破工程；</w:t>
      </w:r>
    </w:p>
    <w:p w14:paraId="749E65F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7）其他危险性较大的工程。</w:t>
      </w:r>
    </w:p>
    <w:p w14:paraId="2649288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（5）定期组织安全控制计划的执行情况并进行检查考核和评价，对施工中存在的不安全行为和隐患，分析原因并制定相应整改防范措施。</w:t>
      </w:r>
    </w:p>
    <w:p w14:paraId="5F34E6D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（6）采取随机抽样、现场观察、实地检测相结合的方法进行安全检查，并记录检测结果。对现场管理人员的违章指挥和操作人员的违章作业行为应进行纠正。</w:t>
      </w:r>
    </w:p>
    <w:p w14:paraId="6BB8A5B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（7）对检查结果进行分析，找出安全隐患部位，确定危险程度。</w:t>
      </w:r>
    </w:p>
    <w:p w14:paraId="6B43788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（8）对检查出的隐患立即发出安全隐患整改通知单。受检单位应对安全隐患原因进行分析，制定和落实纠正和预防措施。</w:t>
      </w:r>
    </w:p>
    <w:p w14:paraId="7AC35D9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（9）对纠正预防措施的实施过程和实施效果应进行跟踪检查，保存验证记录。</w:t>
      </w:r>
    </w:p>
    <w:p w14:paraId="541C379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（10）职业健康安全质量事故的处理</w:t>
      </w:r>
    </w:p>
    <w:p w14:paraId="4658B1D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对于发生的安全质量事故，监理人及时向委托人及政府相关部门报告，同时应积极保护事故现场，收集相关的原始资料。监理人在调查事故情况并分析原因、责任后，并将事故调查分析报告提交委托人及政府相关部门。监理人同时应提交相应的防范措施建议书以防止同类事故再次发生。</w:t>
      </w:r>
    </w:p>
    <w:p w14:paraId="1FC0D66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（10）审查安全防护、文明施工措施落实情况、安全文明施工措施费专款专用使用情况。</w:t>
      </w:r>
    </w:p>
    <w:p w14:paraId="76D32B21">
      <w:pPr>
        <w:widowControl w:val="0"/>
        <w:topLinePunct/>
        <w:adjustRightInd w:val="0"/>
        <w:snapToGrid w:val="0"/>
        <w:spacing w:line="480" w:lineRule="exact"/>
        <w:ind w:firstLine="498" w:firstLineChars="200"/>
        <w:jc w:val="both"/>
        <w:rPr>
          <w:rFonts w:hint="eastAsia" w:ascii="宋体" w:hAnsi="宋体" w:eastAsia="宋体" w:cs="宋体"/>
          <w:b/>
          <w:bCs/>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2.1.3.5  工程材料设备控制工作</w:t>
      </w:r>
    </w:p>
    <w:p w14:paraId="69BC0BD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bookmarkStart w:id="22" w:name="_Toc123449962"/>
      <w:bookmarkStart w:id="23" w:name="_Toc122371761"/>
      <w:bookmarkStart w:id="24" w:name="_Toc122856772"/>
      <w:r>
        <w:rPr>
          <w:rFonts w:hint="eastAsia" w:ascii="宋体" w:hAnsi="宋体" w:eastAsia="宋体" w:cs="宋体"/>
          <w:spacing w:val="4"/>
          <w:kern w:val="0"/>
          <w:sz w:val="24"/>
          <w:szCs w:val="24"/>
          <w:highlight w:val="none"/>
          <w:lang w:val="en-US" w:eastAsia="zh-CN" w:bidi="ar-SA"/>
        </w:rPr>
        <w:t>（1）甲供材料设备</w:t>
      </w:r>
      <w:bookmarkEnd w:id="22"/>
      <w:bookmarkEnd w:id="23"/>
      <w:bookmarkEnd w:id="24"/>
      <w:r>
        <w:rPr>
          <w:rFonts w:hint="eastAsia" w:ascii="宋体" w:hAnsi="宋体" w:eastAsia="宋体" w:cs="宋体"/>
          <w:spacing w:val="4"/>
          <w:kern w:val="0"/>
          <w:sz w:val="24"/>
          <w:szCs w:val="24"/>
          <w:highlight w:val="none"/>
          <w:lang w:val="en-US" w:eastAsia="zh-CN" w:bidi="ar-SA"/>
        </w:rPr>
        <w:t>的管理，包括：</w:t>
      </w:r>
    </w:p>
    <w:p w14:paraId="0177FCF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1）审核施工单位编制的机电设备安装、调试、验收计划；</w:t>
      </w:r>
    </w:p>
    <w:p w14:paraId="2F25EC9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2）主持施工图交底审查会；</w:t>
      </w:r>
    </w:p>
    <w:p w14:paraId="521E4C5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3）检查施工单位为设备提供运输所需通道和卸货作业场地及设备仓库或符合要求的材料堆放场地的落实情况；</w:t>
      </w:r>
    </w:p>
    <w:p w14:paraId="6FDC17A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4）参加设备的到货验收、开箱检验，并签署相关文件；</w:t>
      </w:r>
    </w:p>
    <w:p w14:paraId="38E93D0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5）负责机电设备安装、调试、验收过程中的质量、安全、进度控制。</w:t>
      </w:r>
    </w:p>
    <w:p w14:paraId="7F2807B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bookmarkStart w:id="25" w:name="_Toc122371762"/>
      <w:bookmarkStart w:id="26" w:name="_Toc122856773"/>
      <w:bookmarkStart w:id="27" w:name="_Toc123449963"/>
      <w:r>
        <w:rPr>
          <w:rFonts w:hint="eastAsia" w:ascii="宋体" w:hAnsi="宋体" w:eastAsia="宋体" w:cs="宋体"/>
          <w:spacing w:val="4"/>
          <w:kern w:val="0"/>
          <w:sz w:val="24"/>
          <w:szCs w:val="24"/>
          <w:highlight w:val="none"/>
          <w:lang w:val="en-US" w:eastAsia="zh-CN" w:bidi="ar-SA"/>
        </w:rPr>
        <w:t>（2）甲招乙供材料设备的管理，包括：</w:t>
      </w:r>
    </w:p>
    <w:p w14:paraId="39E7009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1）协助委托人针对甲招乙供材料设备开展的公开招标活动；</w:t>
      </w:r>
    </w:p>
    <w:p w14:paraId="5BDC04C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2）督促并审核施工单位签订材料设备供货合同及合同款的支付情况；</w:t>
      </w:r>
    </w:p>
    <w:p w14:paraId="4D1499D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3）审核并批准施工单位编制的材料设备生产和到货进度计划；</w:t>
      </w:r>
    </w:p>
    <w:p w14:paraId="5FB3362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4）审核施工单位编制的机电设备安装、调试、验收计划；</w:t>
      </w:r>
    </w:p>
    <w:p w14:paraId="703026F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5）检查施工单位为设备提供运输所需通道和卸货作业场地及设备仓库或符合要求的材料堆放场地的落实情况；</w:t>
      </w:r>
    </w:p>
    <w:p w14:paraId="29784B8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6）参加设备的到货验收、开箱检验，并签署相关文件；</w:t>
      </w:r>
    </w:p>
    <w:p w14:paraId="7E1DCB1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7）负责机电设备安装、调试、验收过程中的投资、质量、进度控制；</w:t>
      </w:r>
    </w:p>
    <w:p w14:paraId="2EC7828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8）审核施工单位提供的材料设备的结算资料。</w:t>
      </w:r>
    </w:p>
    <w:p w14:paraId="151B5E5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（3）甲管乙供材料设备</w:t>
      </w:r>
      <w:bookmarkEnd w:id="25"/>
      <w:bookmarkEnd w:id="26"/>
      <w:bookmarkEnd w:id="27"/>
      <w:r>
        <w:rPr>
          <w:rFonts w:hint="eastAsia" w:ascii="宋体" w:hAnsi="宋体" w:eastAsia="宋体" w:cs="宋体"/>
          <w:spacing w:val="4"/>
          <w:kern w:val="0"/>
          <w:sz w:val="24"/>
          <w:szCs w:val="24"/>
          <w:highlight w:val="none"/>
          <w:lang w:val="en-US" w:eastAsia="zh-CN" w:bidi="ar-SA"/>
        </w:rPr>
        <w:t>的管理，包括：</w:t>
      </w:r>
    </w:p>
    <w:p w14:paraId="0244A1F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1）协助委托人针对甲管乙供材料设备的公开择优竞价活动；</w:t>
      </w:r>
    </w:p>
    <w:p w14:paraId="0BEA9FF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2）督促并审核施工单位签订材料设备供货合同及合同款的支付情况；</w:t>
      </w:r>
    </w:p>
    <w:p w14:paraId="1F356CF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3）审核施工单位提供的材料设备数量；</w:t>
      </w:r>
    </w:p>
    <w:p w14:paraId="304413A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4）审核并批准施工单位编制的材料设备生产和到货进度计划；</w:t>
      </w:r>
    </w:p>
    <w:p w14:paraId="34E72D4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5）监督检查施工单位对材料设备生产的质量控制；</w:t>
      </w:r>
    </w:p>
    <w:p w14:paraId="579A7AA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6）参加出厂验收；</w:t>
      </w:r>
    </w:p>
    <w:p w14:paraId="72C58C9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7）审核施工单位编制的材料设备安装、调试、验收计划；</w:t>
      </w:r>
    </w:p>
    <w:p w14:paraId="1FFB3D4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8）主持施工图交底审查会；</w:t>
      </w:r>
    </w:p>
    <w:p w14:paraId="0424B0A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9）检查施工单位为材料设备提供运输所需通道和卸货作业场地及材料设备仓库或符合要求的材料堆放场地的落实情况；</w:t>
      </w:r>
    </w:p>
    <w:p w14:paraId="4B42898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10）参加材料设备的到货验收、开箱检验，并签署相关文件；</w:t>
      </w:r>
    </w:p>
    <w:p w14:paraId="04BB794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11）负责材料设备安装、调试、验收过程中的投资、质量、进度控制；</w:t>
      </w:r>
    </w:p>
    <w:p w14:paraId="68C5EE2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12）审核施工单位提供的材料设备的结算资料；</w:t>
      </w:r>
    </w:p>
    <w:p w14:paraId="2B1BA05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13）检查质量保证期工作。</w:t>
      </w:r>
    </w:p>
    <w:p w14:paraId="6C7B1D0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bookmarkStart w:id="28" w:name="_Toc123449964"/>
      <w:bookmarkStart w:id="29" w:name="_Toc122856774"/>
      <w:r>
        <w:rPr>
          <w:rFonts w:hint="eastAsia" w:ascii="宋体" w:hAnsi="宋体" w:eastAsia="宋体" w:cs="宋体"/>
          <w:spacing w:val="4"/>
          <w:kern w:val="0"/>
          <w:sz w:val="24"/>
          <w:szCs w:val="24"/>
          <w:highlight w:val="none"/>
          <w:lang w:val="en-US" w:eastAsia="zh-CN" w:bidi="ar-SA"/>
        </w:rPr>
        <w:t>（4）乙供</w:t>
      </w:r>
      <w:bookmarkEnd w:id="28"/>
      <w:bookmarkEnd w:id="29"/>
      <w:r>
        <w:rPr>
          <w:rFonts w:hint="eastAsia" w:ascii="宋体" w:hAnsi="宋体" w:eastAsia="宋体" w:cs="宋体"/>
          <w:spacing w:val="4"/>
          <w:kern w:val="0"/>
          <w:sz w:val="24"/>
          <w:szCs w:val="24"/>
          <w:highlight w:val="none"/>
          <w:lang w:val="en-US" w:eastAsia="zh-CN" w:bidi="ar-SA"/>
        </w:rPr>
        <w:t>材料设备的管理，包括：</w:t>
      </w:r>
    </w:p>
    <w:p w14:paraId="4AD082A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1）审核工程总体材料设备使用计划和月度材料设备分批使用计划；</w:t>
      </w:r>
    </w:p>
    <w:p w14:paraId="634F0CD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2）审核施工单位选定的材料设备合格供货商并对样品进行封存；</w:t>
      </w:r>
    </w:p>
    <w:p w14:paraId="48B713B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3）督促并审核施工单位签订材料设备供货合同；</w:t>
      </w:r>
    </w:p>
    <w:p w14:paraId="1D02CD0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4）组织施工单位拟定准确的材料设备进场计划，及时进行材料设备的采购及供货；</w:t>
      </w:r>
    </w:p>
    <w:p w14:paraId="27C57C7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5）组织施工单位认真清点到货材料设备，在安装材料设备过程中及安装后应进行监督、检验，把好质量关；</w:t>
      </w:r>
    </w:p>
    <w:p w14:paraId="6643099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6）对施工单位所定材料设备规格、型号、数量、质量必须严格把关，发现货不对板情况应及时向委托人汇报；</w:t>
      </w:r>
    </w:p>
    <w:p w14:paraId="2800557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7）负责材料设备安装、调试、验收过程中的投资、质量、进度控制；</w:t>
      </w:r>
    </w:p>
    <w:p w14:paraId="22C14B7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8）审核施工单位提供的材料设备的结算资料；</w:t>
      </w:r>
    </w:p>
    <w:p w14:paraId="7A4A4BE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9）检查质量保证期工作。</w:t>
      </w:r>
    </w:p>
    <w:p w14:paraId="5503B89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（5）建筑装饰材料的管理，包括：</w:t>
      </w:r>
    </w:p>
    <w:p w14:paraId="7218922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1）协助委托人进行材料管理及采购策划；</w:t>
      </w:r>
    </w:p>
    <w:p w14:paraId="294C0AA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2）协助委托人选定合格材料供货商；</w:t>
      </w:r>
    </w:p>
    <w:p w14:paraId="3A0F4B2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3）协助并督促施工单位签订材料供货合同；</w:t>
      </w:r>
    </w:p>
    <w:p w14:paraId="5ADBD8A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4）督促施工单位拟定准确的分批次订货计划，及时进行材料的采购及供货；</w:t>
      </w:r>
    </w:p>
    <w:p w14:paraId="5A802A4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5）对材料到货、施工过程中及施工后进行监督、检验，把好材料质量关；</w:t>
      </w:r>
    </w:p>
    <w:p w14:paraId="2F5046E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6）对材料变更费用进行预测及审核，提出专业意见及建议；</w:t>
      </w:r>
    </w:p>
    <w:p w14:paraId="1BFE090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7）负责供货单位与施工单位的协调。</w:t>
      </w:r>
    </w:p>
    <w:p w14:paraId="30C01DC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（6）材料设备采购监理，包括：</w:t>
      </w:r>
    </w:p>
    <w:p w14:paraId="50D753AC">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委托监理合同；</w:t>
      </w:r>
    </w:p>
    <w:p w14:paraId="0507985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设备采购方案计划；</w:t>
      </w:r>
    </w:p>
    <w:p w14:paraId="2324C3E1">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设计图纸和文件；</w:t>
      </w:r>
    </w:p>
    <w:p w14:paraId="68A7D72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市场调查、考察报告；</w:t>
      </w:r>
    </w:p>
    <w:p w14:paraId="28448B9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设备采购招投标文件；</w:t>
      </w:r>
    </w:p>
    <w:p w14:paraId="0EDE879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设备采购订货合同；</w:t>
      </w:r>
    </w:p>
    <w:p w14:paraId="15D181DA">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⑦</w:t>
      </w:r>
      <w:r>
        <w:rPr>
          <w:rFonts w:hint="eastAsia" w:ascii="宋体" w:hAnsi="宋体" w:eastAsia="宋体" w:cs="宋体"/>
          <w:spacing w:val="4"/>
          <w:kern w:val="0"/>
          <w:sz w:val="24"/>
          <w:szCs w:val="24"/>
          <w:highlight w:val="none"/>
          <w:lang w:val="en-US" w:eastAsia="zh-CN" w:bidi="ar-SA"/>
        </w:rPr>
        <w:t xml:space="preserve"> 设备采购监理工作总结。</w:t>
      </w:r>
    </w:p>
    <w:p w14:paraId="7A237E4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（7）施工阶段材料设备控制中的其它监理工作，包括：</w:t>
      </w:r>
    </w:p>
    <w:p w14:paraId="453E6A2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1）根据委托人的委托实施设备监造工作（相关费用包含在本次监理服务费范围内，委托人不再另行支付），具体工作如下：</w:t>
      </w:r>
    </w:p>
    <w:p w14:paraId="2D790D0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监理人应根据设备监造阶段的监理工作内容，成立由总监理工程师和专业监理工程师组成的项目监理机构。项目监理机构应进驻设备制造现场。</w:t>
      </w:r>
    </w:p>
    <w:p w14:paraId="1ADADC9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总监理工程师应组织专业监理工程师熟悉设备制造图纸及有关技术说明和标准，掌握设计意图和各项设备制造的工艺规程以及设备采购订货合同中的各项规定，并应组织或参加委托人组织的设备制造图纸的设计交底。</w:t>
      </w:r>
    </w:p>
    <w:p w14:paraId="120ACE44">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总监理工程师应组织专业监理工程师编制设备监造规划，经监理人技术负责人审核批准后，在设备制造开始前十天内报送委托人。</w:t>
      </w:r>
    </w:p>
    <w:p w14:paraId="35439B3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总监理工程师应审查设备制造单位报送的设备制造生产计划和工艺方案，提出审查意见，符合要求后予以批准，并报委托人。</w:t>
      </w:r>
    </w:p>
    <w:p w14:paraId="7643981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总监理工程师应审核设备制造分包单位的资质情况、实际生产能力和质量保证体系，符合要求后予以确认。</w:t>
      </w:r>
    </w:p>
    <w:p w14:paraId="22B23E9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专业监理工程师应审查设备制造的检验计划和检验要求，确认各阶段的检验时间、内容、方法、标准以及检测手段、检测设备和仪器。</w:t>
      </w:r>
    </w:p>
    <w:p w14:paraId="7CB7A70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⑦</w:t>
      </w:r>
      <w:r>
        <w:rPr>
          <w:rFonts w:hint="eastAsia" w:ascii="宋体" w:hAnsi="宋体" w:eastAsia="宋体" w:cs="宋体"/>
          <w:spacing w:val="4"/>
          <w:kern w:val="0"/>
          <w:sz w:val="24"/>
          <w:szCs w:val="24"/>
          <w:highlight w:val="none"/>
          <w:lang w:val="en-US" w:eastAsia="zh-CN" w:bidi="ar-SA"/>
        </w:rPr>
        <w:t xml:space="preserve"> 专业监理工程师必须对设备制造过程中拟采用的新技术、新材料、新工艺的鉴定书和试验报告进行审核，并签署意见。</w:t>
      </w:r>
    </w:p>
    <w:p w14:paraId="28CBB79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⑧</w:t>
      </w:r>
      <w:r>
        <w:rPr>
          <w:rFonts w:hint="eastAsia" w:ascii="宋体" w:hAnsi="宋体" w:eastAsia="宋体" w:cs="宋体"/>
          <w:spacing w:val="4"/>
          <w:kern w:val="0"/>
          <w:sz w:val="24"/>
          <w:szCs w:val="24"/>
          <w:highlight w:val="none"/>
          <w:lang w:val="en-US" w:eastAsia="zh-CN" w:bidi="ar-SA"/>
        </w:rPr>
        <w:t xml:space="preserve"> 专业监理工程师应审查主要及关键零件的生产工艺设备、操作规程和相关生产人员的上岗资格，并对设备制造和装配场所的环境进行检查。</w:t>
      </w:r>
    </w:p>
    <w:p w14:paraId="6F8BF91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⑨</w:t>
      </w:r>
      <w:r>
        <w:rPr>
          <w:rFonts w:hint="eastAsia" w:ascii="宋体" w:hAnsi="宋体" w:eastAsia="宋体" w:cs="宋体"/>
          <w:spacing w:val="4"/>
          <w:kern w:val="0"/>
          <w:sz w:val="24"/>
          <w:szCs w:val="24"/>
          <w:highlight w:val="none"/>
          <w:lang w:val="en-US" w:eastAsia="zh-CN" w:bidi="ar-SA"/>
        </w:rPr>
        <w:t xml:space="preserve"> 专业监理工程师应审查设备制造的原材料、外购配套件、元器件、标准件以及坯料的质量证明文件及检验报告，检查设备制造单位对外购器件、外协作加工件和材料的质量验收，并由专业监理工程师审查设备制造单位提交的报验资料，符合规定要求时予以签认。</w:t>
      </w:r>
    </w:p>
    <w:p w14:paraId="208E665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⑩</w:t>
      </w:r>
      <w:r>
        <w:rPr>
          <w:rFonts w:hint="eastAsia" w:ascii="宋体" w:hAnsi="宋体" w:eastAsia="宋体" w:cs="宋体"/>
          <w:spacing w:val="4"/>
          <w:kern w:val="0"/>
          <w:sz w:val="24"/>
          <w:szCs w:val="24"/>
          <w:highlight w:val="none"/>
          <w:lang w:val="en-US" w:eastAsia="zh-CN" w:bidi="ar-SA"/>
        </w:rPr>
        <w:t xml:space="preserve"> 专业监理工程师应对设备制造过程进行监督和检查，对主要及关键零部件的制造工序应进行抽检或检验。</w:t>
      </w:r>
    </w:p>
    <w:p w14:paraId="294882FC">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11</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专业监理工程师应要求设备制造单位按批准的检验计划和检验要求进行设备制造过程的检验工作，做好检验记录，并对检验结果进行审核。专业监理工程师认为不符合质量要求时，指令设备制造单位进行整改、返修或返工。当发生质量失控或重大质量事故时，必须由总监理工程师下达暂停制造指令，提出处理意见，并及时报告委托人。</w:t>
      </w:r>
    </w:p>
    <w:p w14:paraId="331AE063">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12</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专业监理工程师应检查和监督设备的装配过程，符合要求后予以签认。</w:t>
      </w:r>
    </w:p>
    <w:p w14:paraId="1E3EEAA3">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13</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在设备制造过程中如需要对设备的原设计进行变更，专业监理工程师应审核设计变更，并审查因变更引起的费用增减和制造工期的变化。</w:t>
      </w:r>
    </w:p>
    <w:p w14:paraId="5D8F327C">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14</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总监理工程师应组织专业监理工程师参加设备制造过程中的调试、整机性能检测和验证，符合要求后予以签认。</w:t>
      </w:r>
    </w:p>
    <w:p w14:paraId="158DFDAF">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15</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在设备运往现场前，专业监理工程师应检查设备制造单位对待运设备采取的防护和包装措施，并应检查是否符合运输、装卸、储存、安装的要求，以及相关的随机文件、装箱单和附件是否齐全。</w:t>
      </w:r>
    </w:p>
    <w:p w14:paraId="2E0291A3">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16</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设备全部运到现场后，总监理工程师应组织专业监理工程师参加由设备制造单位按合同规定与安装单位的交接工作，开箱清点、检查、验收、移交。</w:t>
      </w:r>
    </w:p>
    <w:p w14:paraId="11D9247B">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17</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专业监理工程师应按设备采购合同的规定审核设备制造单位提交的进度付款单，提出审核意见，由总监理工程师复核后报委托人。</w:t>
      </w:r>
    </w:p>
    <w:p w14:paraId="43983933">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18</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专业监理工程师应审查委托人或设备制造单位提出的索赔文件，提出意见后报总监理工程师，由总监理工程师与委托人、设备制造单位进行协商，并提出审核报告。</w:t>
      </w:r>
    </w:p>
    <w:p w14:paraId="3A26CFC8">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19</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专业监理工程师应审核设备制造单位报送的设备制造结算文件，并提出审核意见，报总监理工程师审核，由总监理工程师与委托人、设备制造单位进行协商，并提出审核报告。</w:t>
      </w:r>
    </w:p>
    <w:p w14:paraId="0AD75AFF">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20</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在设备监造工作结束后，总监理工程师应组织编写设备监造工作总结。</w:t>
      </w:r>
    </w:p>
    <w:p w14:paraId="2E0E27F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2）根据委托人委托的设备监造工作提交相关的监理资料（相关费用已包含在本工程监理服务费之内，委托人不再另行支付），包括：</w:t>
      </w:r>
    </w:p>
    <w:p w14:paraId="1457DEA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设备采购合同及委托监理合同；</w:t>
      </w:r>
    </w:p>
    <w:p w14:paraId="0FD9209B">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设备监造规划；</w:t>
      </w:r>
    </w:p>
    <w:p w14:paraId="74508749">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设备制造的生产计划和工艺方案；</w:t>
      </w:r>
    </w:p>
    <w:p w14:paraId="3A012565">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设备制造的检验计划和检验要求；</w:t>
      </w:r>
    </w:p>
    <w:p w14:paraId="6D5CFCFA">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分包单位资格报审表；</w:t>
      </w:r>
    </w:p>
    <w:p w14:paraId="381A179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⑥</w:t>
      </w:r>
      <w:r>
        <w:rPr>
          <w:rFonts w:hint="eastAsia" w:ascii="宋体" w:hAnsi="宋体" w:eastAsia="宋体" w:cs="宋体"/>
          <w:spacing w:val="4"/>
          <w:kern w:val="0"/>
          <w:sz w:val="24"/>
          <w:szCs w:val="24"/>
          <w:highlight w:val="none"/>
          <w:lang w:val="en-US" w:eastAsia="zh-CN" w:bidi="ar-SA"/>
        </w:rPr>
        <w:t xml:space="preserve"> 原材料、零配件等的质量证明文件和检验报告；</w:t>
      </w:r>
    </w:p>
    <w:p w14:paraId="394F4E1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⑦</w:t>
      </w:r>
      <w:r>
        <w:rPr>
          <w:rFonts w:hint="eastAsia" w:ascii="宋体" w:hAnsi="宋体" w:eastAsia="宋体" w:cs="宋体"/>
          <w:spacing w:val="4"/>
          <w:kern w:val="0"/>
          <w:sz w:val="24"/>
          <w:szCs w:val="24"/>
          <w:highlight w:val="none"/>
          <w:lang w:val="en-US" w:eastAsia="zh-CN" w:bidi="ar-SA"/>
        </w:rPr>
        <w:t xml:space="preserve"> 开工／复工报审表、暂停令；</w:t>
      </w:r>
    </w:p>
    <w:p w14:paraId="7056792F">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⑧</w:t>
      </w:r>
      <w:r>
        <w:rPr>
          <w:rFonts w:hint="eastAsia" w:ascii="宋体" w:hAnsi="宋体" w:eastAsia="宋体" w:cs="宋体"/>
          <w:spacing w:val="4"/>
          <w:kern w:val="0"/>
          <w:sz w:val="24"/>
          <w:szCs w:val="24"/>
          <w:highlight w:val="none"/>
          <w:lang w:val="en-US" w:eastAsia="zh-CN" w:bidi="ar-SA"/>
        </w:rPr>
        <w:t xml:space="preserve"> 检验记录及试验报告；</w:t>
      </w:r>
    </w:p>
    <w:p w14:paraId="36285641">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⑨</w:t>
      </w:r>
      <w:r>
        <w:rPr>
          <w:rFonts w:hint="eastAsia" w:ascii="宋体" w:hAnsi="宋体" w:eastAsia="宋体" w:cs="宋体"/>
          <w:spacing w:val="4"/>
          <w:kern w:val="0"/>
          <w:sz w:val="24"/>
          <w:szCs w:val="24"/>
          <w:highlight w:val="none"/>
          <w:lang w:val="en-US" w:eastAsia="zh-CN" w:bidi="ar-SA"/>
        </w:rPr>
        <w:t xml:space="preserve"> 报验申请表；</w:t>
      </w:r>
    </w:p>
    <w:p w14:paraId="27193B93">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⑩</w:t>
      </w:r>
      <w:r>
        <w:rPr>
          <w:rFonts w:hint="eastAsia" w:ascii="宋体" w:hAnsi="宋体" w:eastAsia="宋体" w:cs="宋体"/>
          <w:spacing w:val="4"/>
          <w:kern w:val="0"/>
          <w:sz w:val="24"/>
          <w:szCs w:val="24"/>
          <w:highlight w:val="none"/>
          <w:lang w:val="en-US" w:eastAsia="zh-CN" w:bidi="ar-SA"/>
        </w:rPr>
        <w:t xml:space="preserve"> 设计变更文件；</w:t>
      </w:r>
    </w:p>
    <w:p w14:paraId="23282D65">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11</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会议纪要；</w:t>
      </w:r>
    </w:p>
    <w:p w14:paraId="561DD684">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12</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来往文件；</w:t>
      </w:r>
    </w:p>
    <w:p w14:paraId="468A8EC5">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13</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监理日记；</w:t>
      </w:r>
    </w:p>
    <w:p w14:paraId="4417EF57">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14</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监理工程师通知单；</w:t>
      </w:r>
    </w:p>
    <w:p w14:paraId="40E698D8">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15</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监理工作联系单；</w:t>
      </w:r>
    </w:p>
    <w:p w14:paraId="1CD57B75">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16</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监理月报；</w:t>
      </w:r>
    </w:p>
    <w:p w14:paraId="5E2E4711">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17</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质量事故处理文件；</w:t>
      </w:r>
    </w:p>
    <w:p w14:paraId="65BAC47A">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18</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设备制造索赔文件；</w:t>
      </w:r>
    </w:p>
    <w:p w14:paraId="05E01C6A">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19</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设备验收文件；</w:t>
      </w:r>
    </w:p>
    <w:p w14:paraId="061D6087">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20</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设备交接文件；</w:t>
      </w:r>
    </w:p>
    <w:p w14:paraId="2659822C">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21</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支付证书和设备制造结算审核文件；</w:t>
      </w:r>
    </w:p>
    <w:p w14:paraId="4AD9153B">
      <w:pPr>
        <w:widowControl w:val="0"/>
        <w:topLinePunct/>
        <w:adjustRightInd w:val="0"/>
        <w:snapToGrid w:val="0"/>
        <w:spacing w:line="480" w:lineRule="exact"/>
        <w:ind w:firstLine="558" w:firstLineChars="225"/>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fldChar w:fldCharType="begin"/>
      </w:r>
      <w:r>
        <w:rPr>
          <w:rFonts w:hint="eastAsia" w:ascii="宋体" w:hAnsi="宋体" w:eastAsia="宋体" w:cs="宋体"/>
          <w:spacing w:val="4"/>
          <w:kern w:val="0"/>
          <w:sz w:val="24"/>
          <w:szCs w:val="24"/>
          <w:highlight w:val="none"/>
          <w:lang w:val="en-US" w:eastAsia="zh-CN" w:bidi="ar-SA"/>
        </w:rPr>
        <w:instrText xml:space="preserve"> eq \o\ac(</w:instrText>
      </w:r>
      <w:r>
        <w:rPr>
          <w:rFonts w:hint="eastAsia" w:ascii="宋体" w:hAnsi="宋体" w:eastAsia="宋体" w:cs="宋体"/>
          <w:spacing w:val="4"/>
          <w:kern w:val="0"/>
          <w:position w:val="-4"/>
          <w:sz w:val="36"/>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0"/>
          <w:kern w:val="0"/>
          <w:sz w:val="24"/>
          <w:szCs w:val="24"/>
          <w:highlight w:val="none"/>
          <w:lang w:val="en-US" w:eastAsia="zh-CN" w:bidi="ar-SA"/>
        </w:rPr>
        <w:instrText xml:space="preserve">22</w:instrText>
      </w:r>
      <w:r>
        <w:rPr>
          <w:rFonts w:hint="eastAsia" w:ascii="宋体" w:hAnsi="宋体" w:eastAsia="宋体" w:cs="宋体"/>
          <w:spacing w:val="4"/>
          <w:kern w:val="0"/>
          <w:sz w:val="24"/>
          <w:szCs w:val="24"/>
          <w:highlight w:val="none"/>
          <w:lang w:val="en-US" w:eastAsia="zh-CN" w:bidi="ar-SA"/>
        </w:rPr>
        <w:instrText xml:space="preserve">)</w:instrText>
      </w:r>
      <w:r>
        <w:rPr>
          <w:rFonts w:hint="eastAsia" w:ascii="宋体" w:hAnsi="宋体" w:eastAsia="宋体" w:cs="宋体"/>
          <w:spacing w:val="4"/>
          <w:kern w:val="0"/>
          <w:sz w:val="24"/>
          <w:szCs w:val="24"/>
          <w:highlight w:val="none"/>
          <w:lang w:val="en-US" w:eastAsia="zh-CN" w:bidi="ar-SA"/>
        </w:rPr>
        <w:fldChar w:fldCharType="end"/>
      </w:r>
      <w:r>
        <w:rPr>
          <w:rFonts w:hint="eastAsia" w:ascii="宋体" w:hAnsi="宋体" w:eastAsia="宋体" w:cs="宋体"/>
          <w:spacing w:val="4"/>
          <w:kern w:val="0"/>
          <w:sz w:val="24"/>
          <w:szCs w:val="24"/>
          <w:highlight w:val="none"/>
          <w:lang w:val="en-US" w:eastAsia="zh-CN" w:bidi="ar-SA"/>
        </w:rPr>
        <w:t xml:space="preserve"> 设备监造工作总结。</w:t>
      </w:r>
    </w:p>
    <w:p w14:paraId="393BED67">
      <w:pPr>
        <w:widowControl w:val="0"/>
        <w:topLinePunct/>
        <w:adjustRightInd w:val="0"/>
        <w:snapToGrid w:val="0"/>
        <w:spacing w:line="480" w:lineRule="exact"/>
        <w:ind w:firstLine="498" w:firstLineChars="200"/>
        <w:jc w:val="both"/>
        <w:rPr>
          <w:rFonts w:hint="eastAsia" w:ascii="宋体" w:hAnsi="宋体" w:eastAsia="宋体" w:cs="宋体"/>
          <w:b/>
          <w:bCs/>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2.1.3.6  工程</w:t>
      </w:r>
      <w:r>
        <w:rPr>
          <w:rFonts w:hint="eastAsia" w:ascii="宋体" w:hAnsi="宋体" w:eastAsia="宋体" w:cs="宋体"/>
          <w:b/>
          <w:bCs/>
          <w:spacing w:val="4"/>
          <w:kern w:val="0"/>
          <w:sz w:val="24"/>
          <w:szCs w:val="24"/>
          <w:highlight w:val="none"/>
          <w:lang w:val="en-US" w:eastAsia="zh-CN" w:bidi="ar-SA"/>
        </w:rPr>
        <w:t>合同管理工作</w:t>
      </w:r>
    </w:p>
    <w:p w14:paraId="40EFB09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（1）建立合同实施的保证体系，使工程项目的全部合同事件处于控制中，保证合同目标的实现。</w:t>
      </w:r>
    </w:p>
    <w:p w14:paraId="5ED6EA5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（2）</w:t>
      </w:r>
      <w:r>
        <w:rPr>
          <w:rFonts w:hint="eastAsia" w:ascii="宋体" w:hAnsi="宋体" w:eastAsia="宋体" w:cs="宋体"/>
          <w:spacing w:val="4"/>
          <w:kern w:val="0"/>
          <w:sz w:val="24"/>
          <w:szCs w:val="24"/>
          <w:highlight w:val="none"/>
          <w:lang w:val="en-US" w:eastAsia="zh-CN" w:bidi="ar-SA"/>
        </w:rPr>
        <w:t>建立合同管理文档系统。应建立与相适应的编码系统和文档系统，便于各种合同资料的保存与查询。</w:t>
      </w:r>
    </w:p>
    <w:p w14:paraId="67A455F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（3）</w:t>
      </w:r>
      <w:r>
        <w:rPr>
          <w:rFonts w:hint="eastAsia" w:ascii="宋体" w:hAnsi="宋体" w:eastAsia="宋体" w:cs="宋体"/>
          <w:spacing w:val="4"/>
          <w:kern w:val="0"/>
          <w:sz w:val="24"/>
          <w:szCs w:val="24"/>
          <w:highlight w:val="none"/>
          <w:lang w:val="en-US" w:eastAsia="zh-CN" w:bidi="ar-SA"/>
        </w:rPr>
        <w:t>建立合同文件沟通方式。承包人和委托人、监理工程师、分包人之间的有关合同的文件沟通都应以书面形式进行。</w:t>
      </w:r>
    </w:p>
    <w:p w14:paraId="0994D71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（4）</w:t>
      </w:r>
      <w:r>
        <w:rPr>
          <w:rFonts w:hint="eastAsia" w:ascii="宋体" w:hAnsi="宋体" w:eastAsia="宋体" w:cs="宋体"/>
          <w:spacing w:val="4"/>
          <w:kern w:val="0"/>
          <w:sz w:val="24"/>
          <w:szCs w:val="24"/>
          <w:highlight w:val="none"/>
          <w:lang w:val="en-US" w:eastAsia="zh-CN" w:bidi="ar-SA"/>
        </w:rPr>
        <w:t>合同实施监督。包括：监督总承包人、分包人严格执行合同，并做好各分包人的协调和管理工作。同时也应督促委托人执行其合同责任，以保证工程顺利进行。</w:t>
      </w:r>
    </w:p>
    <w:p w14:paraId="4FCD879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（5）</w:t>
      </w:r>
      <w:r>
        <w:rPr>
          <w:rFonts w:hint="eastAsia" w:ascii="宋体" w:hAnsi="宋体" w:eastAsia="宋体" w:cs="宋体"/>
          <w:spacing w:val="4"/>
          <w:kern w:val="0"/>
          <w:sz w:val="24"/>
          <w:szCs w:val="24"/>
          <w:highlight w:val="none"/>
          <w:lang w:val="en-US" w:eastAsia="zh-CN" w:bidi="ar-SA"/>
        </w:rPr>
        <w:t>合同跟踪和诊断。包括：</w:t>
      </w:r>
    </w:p>
    <w:p w14:paraId="7559F35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1）全面收集并分析合同实施的信息与工程资料，将合同实施情况与合同分析资料进行对比分析，找出其中的偏离。</w:t>
      </w:r>
    </w:p>
    <w:p w14:paraId="4BE19C4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2）对合同履行情况做出诊断。合同诊断包括：合同执行差异的原因分析、合同差异责任分析、合同实施趋向预测。及时通报合同实施情况及问题，提出合同实施方面的意见、建议、甚至警告。</w:t>
      </w:r>
    </w:p>
    <w:p w14:paraId="79A785B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3）对于发现的问题，及时采取对应的管理措施，防止问题的扩大和重复发生。</w:t>
      </w:r>
    </w:p>
    <w:p w14:paraId="430AB52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（6）严格合同变更管理。包括：变更谈判、变更的处理程序，落实变更的措施，修改变更相关的资料，检查变更措施的落实情况。</w:t>
      </w:r>
    </w:p>
    <w:p w14:paraId="7860300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（7）</w:t>
      </w:r>
      <w:r>
        <w:rPr>
          <w:rFonts w:hint="eastAsia" w:ascii="宋体" w:hAnsi="宋体" w:eastAsia="宋体" w:cs="宋体"/>
          <w:spacing w:val="4"/>
          <w:kern w:val="0"/>
          <w:sz w:val="24"/>
          <w:szCs w:val="24"/>
          <w:highlight w:val="none"/>
          <w:lang w:val="en-US" w:eastAsia="zh-CN" w:bidi="ar-SA"/>
        </w:rPr>
        <w:t>监理人应按委托人的要求参与本合同工程施工、采购等招投标文件（含招投标修改、澄清等文件）的审查工作，对相关合同及施工组织设计等文件进行审核，确定可能引起争议的合同条款等内容，向委托人提交关于合同执行过程的可能存在的索赔风险的报告。对收到的承包人的索赔报告应进行审查分析，收集反驳理由和证据，复核索赔值；如具备反索赔条件，应及时提出反索赔报告并附上相关证据。</w:t>
      </w:r>
    </w:p>
    <w:p w14:paraId="3A809A4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（8）</w:t>
      </w:r>
      <w:r>
        <w:rPr>
          <w:rFonts w:hint="eastAsia" w:ascii="宋体" w:hAnsi="宋体" w:eastAsia="宋体" w:cs="宋体"/>
          <w:spacing w:val="4"/>
          <w:kern w:val="0"/>
          <w:sz w:val="24"/>
          <w:szCs w:val="24"/>
          <w:highlight w:val="none"/>
          <w:lang w:val="en-US" w:eastAsia="zh-CN" w:bidi="ar-SA"/>
        </w:rPr>
        <w:t>合同终止和后评价工作，包括：合同按约定履行结束后，合同即告终止。监理人应及时进行合同后评价，总结合同签订和执行过程中的利弊得失、经验教训，作为改进以后工程合同管理工作的借鉴。</w:t>
      </w:r>
    </w:p>
    <w:p w14:paraId="3DC2E00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（9）</w:t>
      </w:r>
      <w:r>
        <w:rPr>
          <w:rFonts w:hint="eastAsia" w:ascii="宋体" w:hAnsi="宋体" w:eastAsia="宋体" w:cs="宋体"/>
          <w:spacing w:val="4"/>
          <w:kern w:val="0"/>
          <w:sz w:val="24"/>
          <w:szCs w:val="24"/>
          <w:highlight w:val="none"/>
          <w:lang w:val="en-US" w:eastAsia="zh-CN" w:bidi="ar-SA"/>
        </w:rPr>
        <w:t>合同后评估应包括如下内容：</w:t>
      </w:r>
    </w:p>
    <w:p w14:paraId="4CB775D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1）合同签订情况评价；</w:t>
      </w:r>
    </w:p>
    <w:p w14:paraId="2B0C98F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2）合同执行情况评价；</w:t>
      </w:r>
    </w:p>
    <w:p w14:paraId="09C2C61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3）合同管理工作评价；</w:t>
      </w:r>
    </w:p>
    <w:p w14:paraId="6F9DBE7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4）对本项目有重大影响的合同条款的评价。</w:t>
      </w:r>
    </w:p>
    <w:p w14:paraId="2837373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（10）合同管理中的其他监理工作，包括：</w:t>
      </w:r>
    </w:p>
    <w:p w14:paraId="21F136E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1）费用索赔的处理</w:t>
      </w:r>
    </w:p>
    <w:p w14:paraId="5715C90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专业监理工程师应及时收集、整理有关的施工和监理资料，为处理可能发生的费用索赔提供证据。</w:t>
      </w:r>
    </w:p>
    <w:p w14:paraId="085A4D5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项目监理机构处理费用索赔应依据下列内容：</w:t>
      </w:r>
    </w:p>
    <w:p w14:paraId="50A9BDD7">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国家有关的法律、法规和工程项目所在地的地方法规；</w:t>
      </w:r>
    </w:p>
    <w:p w14:paraId="69055CC8">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本工程的施工合同文件；</w:t>
      </w:r>
    </w:p>
    <w:p w14:paraId="69EE779D">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国家、部门和地方有关的标准、规范和定额；</w:t>
      </w:r>
    </w:p>
    <w:p w14:paraId="0D8B2E16">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施工合同履行过程中与索赔事件有关的凭证。</w:t>
      </w:r>
    </w:p>
    <w:p w14:paraId="4CF4AD02">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当承包人提出费用索赔的理由同时满足以下条件时，项目监理机构应予以受理：</w:t>
      </w:r>
    </w:p>
    <w:p w14:paraId="3BDB0248">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索赔事件造成了承包人直接经济损失；</w:t>
      </w:r>
    </w:p>
    <w:p w14:paraId="7BF00A51">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索赔事件是由于非承包人的责任发生的；</w:t>
      </w:r>
    </w:p>
    <w:p w14:paraId="5786245A">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承包人已按照施工合同规定的期限和程序提出费用索赔申请表，并附有索赔凭证材料。</w:t>
      </w:r>
    </w:p>
    <w:p w14:paraId="12DBEFE1">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承包人向委托人提出费用索赔，项目监理机构应按下列程序处理：</w:t>
      </w:r>
    </w:p>
    <w:p w14:paraId="170F0C8A">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承包人在施工合同规定的期限内向项目监理机构提交对委托人的费用索赔意向通知书；</w:t>
      </w:r>
    </w:p>
    <w:p w14:paraId="4BECF8E1">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总监理工程师指定专业监理工程师收集与索赔有关的资料；</w:t>
      </w:r>
    </w:p>
    <w:p w14:paraId="13006821">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承包人在承包合同规定的期限内向项目监理机构提交对委托人的费用索赔申请表；</w:t>
      </w:r>
    </w:p>
    <w:p w14:paraId="25D13F68">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总监理工程师初步审查费用索赔申请表，符合上述②款规定的条件时予以受理；</w:t>
      </w:r>
    </w:p>
    <w:p w14:paraId="68267CCC">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e. 总监理工程师进行费用索赔审查，并在初步确定一个额度后，与承包人和委托人进行协商；</w:t>
      </w:r>
    </w:p>
    <w:p w14:paraId="1DFEE0BA">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f. 总监理工程师应在施工合同规定的期限内签署费用索赔审批表，或在施工合同规定的期限内发出要求承包人提交有关索赔报告的进一步详细资料的通知，待收到承包人提交的详细资料后，按上述的第d、e项的程序进行。</w:t>
      </w:r>
    </w:p>
    <w:p w14:paraId="1E77F444">
      <w:pPr>
        <w:widowControl w:val="0"/>
        <w:topLinePunct/>
        <w:adjustRightInd w:val="0"/>
        <w:snapToGrid w:val="0"/>
        <w:spacing w:line="480" w:lineRule="exact"/>
        <w:ind w:firstLine="7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当承包人的费用索赔要求与工程延期要求相关联时，总监理工程师在作出费用索赔的批准决定时，应与工程延期的批准联系起来，综合作出费用索赔和工程延期的决定。</w:t>
      </w:r>
    </w:p>
    <w:p w14:paraId="635BC0E2">
      <w:pPr>
        <w:widowControl w:val="0"/>
        <w:topLinePunct/>
        <w:adjustRightInd w:val="0"/>
        <w:snapToGrid w:val="0"/>
        <w:spacing w:line="480" w:lineRule="exact"/>
        <w:ind w:firstLine="7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⑤</w:t>
      </w:r>
      <w:r>
        <w:rPr>
          <w:rFonts w:hint="eastAsia" w:ascii="宋体" w:hAnsi="宋体" w:eastAsia="宋体" w:cs="宋体"/>
          <w:spacing w:val="4"/>
          <w:kern w:val="0"/>
          <w:sz w:val="24"/>
          <w:szCs w:val="24"/>
          <w:highlight w:val="none"/>
          <w:lang w:val="en-US" w:eastAsia="zh-CN" w:bidi="ar-SA"/>
        </w:rPr>
        <w:t xml:space="preserve"> 由于承包人的原因造成委托人的额外损失，委托人向承包人提出费用索赔时，总监理工程师在审查索赔报告后，应公正地与委托人和承包人进行协商，并及时作出答复。</w:t>
      </w:r>
    </w:p>
    <w:p w14:paraId="71E1966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2）合同争议的调解</w:t>
      </w:r>
    </w:p>
    <w:p w14:paraId="767DC418">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项目监理机构接到合同争议的调解要求后应进行以下工作：</w:t>
      </w:r>
    </w:p>
    <w:p w14:paraId="5C220B08">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及时了解合同争议的全部情况，包括进行调查和取证；</w:t>
      </w:r>
    </w:p>
    <w:p w14:paraId="062DD762">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及时与合同争议的双方进行磋商；</w:t>
      </w:r>
    </w:p>
    <w:p w14:paraId="448DE151">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在项目监理机构提出调解方案后，由总监理工程师进行争议调解；</w:t>
      </w:r>
    </w:p>
    <w:p w14:paraId="0D80BF5D">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当调解未能达成一致时，总监理工程师应在施工合同规定的期限内提出处理该合同争议的意见；</w:t>
      </w:r>
    </w:p>
    <w:p w14:paraId="7613F0A0">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e. 在争议调解过程中，除已达到了施工合同规定的暂停履行合同的条件之外，项目监理机构应要求施工合同的双方继续履行施工合同。</w:t>
      </w:r>
    </w:p>
    <w:p w14:paraId="33C493A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在总监理工程师签发合同争议处理意见后，委托人或承包人在施工合同规定的期限内未对合同争议处理决定提出异议，在符合施工合同的前提下，此意见应成为最后的决定，双方必须执行。</w:t>
      </w:r>
    </w:p>
    <w:p w14:paraId="0A29A347">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在合同争议的仲裁或诉讼过程中，项目监理机构接到仲裁机关或法院要求提供有关证据的通知后，应公正地向仲裁机关或法院提供与争议有关的证据。</w:t>
      </w:r>
    </w:p>
    <w:p w14:paraId="3693555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3）合同解除的相关工作</w:t>
      </w:r>
    </w:p>
    <w:p w14:paraId="49159149">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①</w:t>
      </w:r>
      <w:r>
        <w:rPr>
          <w:rFonts w:hint="eastAsia" w:ascii="宋体" w:hAnsi="宋体" w:eastAsia="宋体" w:cs="宋体"/>
          <w:spacing w:val="4"/>
          <w:kern w:val="0"/>
          <w:sz w:val="24"/>
          <w:szCs w:val="24"/>
          <w:highlight w:val="none"/>
          <w:lang w:val="en-US" w:eastAsia="zh-CN" w:bidi="ar-SA"/>
        </w:rPr>
        <w:t xml:space="preserve"> 施工合同的解除必须符合法律程序。</w:t>
      </w:r>
    </w:p>
    <w:p w14:paraId="57D13A8E">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②</w:t>
      </w:r>
      <w:r>
        <w:rPr>
          <w:rFonts w:hint="eastAsia" w:ascii="宋体" w:hAnsi="宋体" w:eastAsia="宋体" w:cs="宋体"/>
          <w:spacing w:val="4"/>
          <w:kern w:val="0"/>
          <w:sz w:val="24"/>
          <w:szCs w:val="24"/>
          <w:highlight w:val="none"/>
          <w:lang w:val="en-US" w:eastAsia="zh-CN" w:bidi="ar-SA"/>
        </w:rPr>
        <w:t xml:space="preserve"> 当委托人违约导致施工合同最终解除时，项目监理机构应就承包人按施工合同规定应得到的款项与委托人和承包人进行协商，并应按施工合同的规定从下列应得的款项中确定承包人应得到的全部款项，并书面通知委托人和承包人：</w:t>
      </w:r>
    </w:p>
    <w:p w14:paraId="2D6ECB82">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承包人已完成的工程量表中所列的各项工作所应得的款项；</w:t>
      </w:r>
    </w:p>
    <w:p w14:paraId="35C5C79B">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按批准的采购计划订购工程材料、设备、构配件的款项；</w:t>
      </w:r>
    </w:p>
    <w:p w14:paraId="64435983">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承包人撤离施工设备至原基地或其他目的地的合理费用；</w:t>
      </w:r>
    </w:p>
    <w:p w14:paraId="4C81126A">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承包人所有人员的合理遣返费用；</w:t>
      </w:r>
    </w:p>
    <w:p w14:paraId="5CC21004">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e. 合理的利润补偿；</w:t>
      </w:r>
    </w:p>
    <w:p w14:paraId="532BB697">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f. 施工合同规定的委托人应支付的违约金。</w:t>
      </w:r>
    </w:p>
    <w:p w14:paraId="004EE016">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③</w:t>
      </w:r>
      <w:r>
        <w:rPr>
          <w:rFonts w:hint="eastAsia" w:ascii="宋体" w:hAnsi="宋体" w:eastAsia="宋体" w:cs="宋体"/>
          <w:spacing w:val="4"/>
          <w:kern w:val="0"/>
          <w:sz w:val="24"/>
          <w:szCs w:val="24"/>
          <w:highlight w:val="none"/>
          <w:lang w:val="en-US" w:eastAsia="zh-CN" w:bidi="ar-SA"/>
        </w:rPr>
        <w:t xml:space="preserve"> 由于承包人违约导致施工合同终止后，项目监理机构应按下列程序清理承包人的应得款项，或偿还委托人的相关款项，并书面通知委托人和承包人：</w:t>
      </w:r>
    </w:p>
    <w:p w14:paraId="37E22F3D">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a. 施工合同终止时，清理承包人已按施工合同规定实际完成的工作所应得的款项和已经得到支付的款项；</w:t>
      </w:r>
    </w:p>
    <w:p w14:paraId="1958729A">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b. 施工现场余留的材料、设备及临时工程的价值；</w:t>
      </w:r>
    </w:p>
    <w:p w14:paraId="29ADA1B0">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c. 检查和验收已完工工程，移交工程资料和对该部分工程的清理、质量缺陷修复等所需的费用；</w:t>
      </w:r>
    </w:p>
    <w:p w14:paraId="29A31753">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d. 施工合同规定的承包人应支付的违约金；</w:t>
      </w:r>
    </w:p>
    <w:p w14:paraId="274BB06B">
      <w:pPr>
        <w:widowControl w:val="0"/>
        <w:topLinePunct/>
        <w:adjustRightInd w:val="0"/>
        <w:snapToGrid w:val="0"/>
        <w:spacing w:line="480" w:lineRule="exact"/>
        <w:ind w:firstLine="620" w:firstLineChars="25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e. 总监理工程师按照施工合同的规定，在与委托人和承包人协商后，书面提交承包人应得款项或偿还委托人款项的证明。</w:t>
      </w:r>
    </w:p>
    <w:p w14:paraId="51402040">
      <w:pPr>
        <w:widowControl w:val="0"/>
        <w:topLinePunct/>
        <w:adjustRightInd w:val="0"/>
        <w:snapToGrid w:val="0"/>
        <w:spacing w:line="480" w:lineRule="exact"/>
        <w:ind w:firstLine="57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8"/>
          <w:szCs w:val="28"/>
          <w:highlight w:val="none"/>
          <w:lang w:val="en-US" w:eastAsia="zh-CN" w:bidi="ar-SA"/>
        </w:rPr>
        <w:t>④</w:t>
      </w:r>
      <w:r>
        <w:rPr>
          <w:rFonts w:hint="eastAsia" w:ascii="宋体" w:hAnsi="宋体" w:eastAsia="宋体" w:cs="宋体"/>
          <w:spacing w:val="4"/>
          <w:kern w:val="0"/>
          <w:sz w:val="24"/>
          <w:szCs w:val="24"/>
          <w:highlight w:val="none"/>
          <w:lang w:val="en-US" w:eastAsia="zh-CN" w:bidi="ar-SA"/>
        </w:rPr>
        <w:t xml:space="preserve"> 由于不可抗力或非委托人、承包人原因导致施工合同终止时，项目监理机构应按施工合同规定处理合同解除后的有关事宜。</w:t>
      </w:r>
    </w:p>
    <w:p w14:paraId="50D29942">
      <w:pPr>
        <w:widowControl w:val="0"/>
        <w:topLinePunct/>
        <w:adjustRightInd w:val="0"/>
        <w:snapToGrid w:val="0"/>
        <w:spacing w:line="480" w:lineRule="exact"/>
        <w:ind w:firstLine="498" w:firstLineChars="200"/>
        <w:jc w:val="both"/>
        <w:rPr>
          <w:rFonts w:hint="eastAsia" w:ascii="宋体" w:hAnsi="宋体" w:eastAsia="宋体" w:cs="宋体"/>
          <w:b/>
          <w:bCs/>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2.1.3.7  工程</w:t>
      </w:r>
      <w:r>
        <w:rPr>
          <w:rFonts w:hint="eastAsia" w:ascii="宋体" w:hAnsi="宋体" w:eastAsia="宋体" w:cs="宋体"/>
          <w:b/>
          <w:bCs/>
          <w:spacing w:val="4"/>
          <w:kern w:val="0"/>
          <w:sz w:val="24"/>
          <w:szCs w:val="24"/>
          <w:highlight w:val="none"/>
          <w:lang w:val="en-US" w:eastAsia="zh-CN" w:bidi="ar-SA"/>
        </w:rPr>
        <w:t>信息管理工作</w:t>
      </w:r>
    </w:p>
    <w:p w14:paraId="5286C87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w:t>
      </w:r>
      <w:r>
        <w:rPr>
          <w:rFonts w:hint="eastAsia" w:ascii="宋体" w:hAnsi="宋体" w:eastAsia="宋体" w:cs="宋体"/>
          <w:spacing w:val="4"/>
          <w:kern w:val="0"/>
          <w:sz w:val="24"/>
          <w:szCs w:val="24"/>
          <w:highlight w:val="none"/>
          <w:lang w:val="en-US" w:eastAsia="zh-CN" w:bidi="ar-SA"/>
        </w:rPr>
        <w:t>项目信息是预测项目未来、决策项目实施方案以及追溯项目实施过程的依据，是项目管理的重要基础资源，监理人要全面掌握信息源，灵活运用信息处理工具，收集相关信息资料。监理人必须进行管理的工程信息资料包括但不限于：</w:t>
      </w:r>
    </w:p>
    <w:p w14:paraId="6896B8E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1）有关政策文件、法规、技术规范、质量标准等；</w:t>
      </w:r>
    </w:p>
    <w:p w14:paraId="2FB8214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2）设计及有关批准文件、图纸会审记录、设计变更设计文件等；</w:t>
      </w:r>
    </w:p>
    <w:p w14:paraId="5B09FFF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3）招投标文件、工程建设合同、协议、补充协议等；</w:t>
      </w:r>
    </w:p>
    <w:p w14:paraId="281BE04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4）与委托人、承包人及工程有关单位之间的往来文件；</w:t>
      </w:r>
    </w:p>
    <w:p w14:paraId="72A2647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5）承包人施工组织设计、临时工程设计、方案等资料；</w:t>
      </w:r>
    </w:p>
    <w:p w14:paraId="38A9E19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6）各种材料报验、材料、构配件、机械设备的技术资料、检测、试验报告等资料；</w:t>
      </w:r>
    </w:p>
    <w:p w14:paraId="74CE482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7）各种报验、验收、报告、报表、计量、支付、施工记录、现场签证、质量、进度状况记录等资料；</w:t>
      </w:r>
    </w:p>
    <w:p w14:paraId="2F3082D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8）监理日记、巡查、旁站记录、工程照片、事故处理资料、关键的检查资料；</w:t>
      </w:r>
    </w:p>
    <w:p w14:paraId="6844BD5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9）监理通知、会议记要、备忘录、合同执行情况、监理月报、监理报告、总结、评估等；</w:t>
      </w:r>
    </w:p>
    <w:p w14:paraId="70DF383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10）工序验收、检验批验收、分项验收、分部（或子分部）验收、中间验收、竣工验收资料；</w:t>
      </w:r>
    </w:p>
    <w:p w14:paraId="454A49C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11）消防验收、防疫验收、环保验收、装修室内辐射/空气等专项验收资料；</w:t>
      </w:r>
    </w:p>
    <w:p w14:paraId="69B436D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12）监理制度、规定与管理办法等内部文件；</w:t>
      </w:r>
    </w:p>
    <w:p w14:paraId="271543D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13）安全、文明生产控制资料等。</w:t>
      </w:r>
    </w:p>
    <w:p w14:paraId="06E4CCA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（2）</w:t>
      </w:r>
      <w:r>
        <w:rPr>
          <w:rFonts w:hint="eastAsia" w:ascii="宋体" w:hAnsi="宋体" w:eastAsia="宋体" w:cs="宋体"/>
          <w:spacing w:val="4"/>
          <w:kern w:val="0"/>
          <w:sz w:val="24"/>
          <w:szCs w:val="24"/>
          <w:highlight w:val="none"/>
          <w:lang w:val="en-US" w:eastAsia="zh-CN" w:bidi="ar-SA"/>
        </w:rPr>
        <w:t>建立信息管理制度，严格信息采集、编排、查阅、归档保存的管理办法，由专人实施。监理资料的管理必须满足以下要求：</w:t>
      </w:r>
    </w:p>
    <w:p w14:paraId="79F7F15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1）监理资料必须及时整理、真实完整、分类有序。</w:t>
      </w:r>
    </w:p>
    <w:p w14:paraId="57A3BFD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2）监理资料的管理应由总监理工程师负责，并指定专人具体实施。</w:t>
      </w:r>
    </w:p>
    <w:p w14:paraId="758BA83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3）监理资料应在各阶段监理工作结束后及时整理归档。</w:t>
      </w:r>
    </w:p>
    <w:p w14:paraId="78BC515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4）监理档案的编制及保存应按有关规定执行。</w:t>
      </w:r>
    </w:p>
    <w:p w14:paraId="741E8FCD">
      <w:pPr>
        <w:widowControl w:val="0"/>
        <w:topLinePunct/>
        <w:adjustRightInd w:val="0"/>
        <w:snapToGrid w:val="0"/>
        <w:spacing w:line="480" w:lineRule="exact"/>
        <w:ind w:firstLine="496" w:firstLineChars="200"/>
        <w:jc w:val="both"/>
        <w:rPr>
          <w:rFonts w:hint="eastAsia" w:ascii="宋体" w:hAnsi="宋体" w:eastAsia="宋体" w:cs="宋体"/>
          <w:bCs/>
          <w:spacing w:val="4"/>
          <w:kern w:val="0"/>
          <w:sz w:val="24"/>
          <w:szCs w:val="24"/>
          <w:highlight w:val="none"/>
          <w:lang w:val="en-US" w:eastAsia="zh-CN" w:bidi="ar-SA"/>
        </w:rPr>
      </w:pPr>
      <w:bookmarkStart w:id="30" w:name="_Toc4071351"/>
      <w:bookmarkStart w:id="31" w:name="_Toc3908438"/>
      <w:bookmarkStart w:id="32" w:name="_Toc3633674"/>
      <w:bookmarkStart w:id="33" w:name="_Toc3831323"/>
      <w:bookmarkStart w:id="34" w:name="_Toc3636823"/>
      <w:bookmarkStart w:id="35" w:name="_Toc3518173"/>
      <w:bookmarkStart w:id="36" w:name="_Toc3979677"/>
      <w:bookmarkStart w:id="37" w:name="_Toc4051040"/>
      <w:bookmarkStart w:id="38" w:name="_Toc3517697"/>
      <w:r>
        <w:rPr>
          <w:rFonts w:hint="eastAsia" w:ascii="宋体" w:hAnsi="宋体" w:eastAsia="宋体" w:cs="宋体"/>
          <w:bCs/>
          <w:spacing w:val="4"/>
          <w:kern w:val="0"/>
          <w:sz w:val="24"/>
          <w:szCs w:val="24"/>
          <w:highlight w:val="none"/>
          <w:lang w:val="en-US" w:eastAsia="zh-CN" w:bidi="ar-SA"/>
        </w:rPr>
        <w:t>（3）计算机信息管理</w:t>
      </w:r>
    </w:p>
    <w:p w14:paraId="44020146">
      <w:pPr>
        <w:widowControl w:val="0"/>
        <w:topLinePunct/>
        <w:adjustRightInd w:val="0"/>
        <w:snapToGrid w:val="0"/>
        <w:spacing w:line="480" w:lineRule="exact"/>
        <w:ind w:firstLine="496" w:firstLineChars="200"/>
        <w:jc w:val="both"/>
        <w:rPr>
          <w:rFonts w:hint="eastAsia" w:ascii="宋体" w:hAnsi="宋体" w:eastAsia="宋体" w:cs="宋体"/>
          <w:bCs/>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1）计算机信息管理的内容和基本要求</w:t>
      </w:r>
      <w:bookmarkEnd w:id="30"/>
      <w:bookmarkEnd w:id="31"/>
      <w:bookmarkEnd w:id="32"/>
      <w:bookmarkEnd w:id="33"/>
      <w:bookmarkEnd w:id="34"/>
      <w:bookmarkEnd w:id="35"/>
      <w:bookmarkEnd w:id="36"/>
      <w:bookmarkEnd w:id="37"/>
      <w:bookmarkEnd w:id="38"/>
    </w:p>
    <w:p w14:paraId="44B82A9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监理人应运用计算机技术对合同项目进行科学管理，全面提高合同工程施工管理水平。</w:t>
      </w:r>
    </w:p>
    <w:p w14:paraId="45558A68">
      <w:pPr>
        <w:widowControl w:val="0"/>
        <w:topLinePunct/>
        <w:adjustRightInd w:val="0"/>
        <w:snapToGrid w:val="0"/>
        <w:spacing w:line="480" w:lineRule="exact"/>
        <w:ind w:firstLine="496" w:firstLineChars="200"/>
        <w:jc w:val="both"/>
        <w:rPr>
          <w:rFonts w:hint="eastAsia" w:ascii="宋体" w:hAnsi="宋体" w:eastAsia="宋体" w:cs="宋体"/>
          <w:bCs/>
          <w:spacing w:val="4"/>
          <w:kern w:val="0"/>
          <w:sz w:val="24"/>
          <w:szCs w:val="24"/>
          <w:highlight w:val="none"/>
          <w:lang w:val="en-US" w:eastAsia="zh-CN" w:bidi="ar-SA"/>
        </w:rPr>
      </w:pPr>
      <w:bookmarkStart w:id="39" w:name="_Toc522866706"/>
      <w:bookmarkStart w:id="40" w:name="_Toc2071538"/>
      <w:bookmarkStart w:id="41" w:name="_Toc3517699"/>
      <w:bookmarkStart w:id="42" w:name="_Toc522250424"/>
      <w:bookmarkStart w:id="43" w:name="_Toc523825991"/>
      <w:bookmarkStart w:id="44" w:name="_Toc479500869"/>
      <w:bookmarkStart w:id="45" w:name="_Toc1877123"/>
      <w:bookmarkStart w:id="46" w:name="_Toc3636825"/>
      <w:bookmarkStart w:id="47" w:name="_Toc923751"/>
      <w:bookmarkStart w:id="48" w:name="_Toc4071353"/>
      <w:bookmarkStart w:id="49" w:name="_Toc522940799"/>
      <w:bookmarkStart w:id="50" w:name="_Toc3979679"/>
      <w:bookmarkStart w:id="51" w:name="_Toc3518175"/>
      <w:bookmarkStart w:id="52" w:name="_Toc480258778"/>
      <w:bookmarkStart w:id="53" w:name="_Toc1876218"/>
      <w:bookmarkStart w:id="54" w:name="_Toc3831325"/>
      <w:bookmarkStart w:id="55" w:name="_Toc523542706"/>
      <w:bookmarkStart w:id="56" w:name="_Toc4051042"/>
      <w:bookmarkStart w:id="57" w:name="_Toc3908440"/>
      <w:bookmarkStart w:id="58" w:name="_Toc3633676"/>
      <w:bookmarkStart w:id="59" w:name="_Toc522249978"/>
      <w:bookmarkStart w:id="60" w:name="_Toc521924604"/>
      <w:r>
        <w:rPr>
          <w:rFonts w:hint="eastAsia" w:ascii="宋体" w:hAnsi="宋体" w:eastAsia="宋体" w:cs="宋体"/>
          <w:bCs/>
          <w:spacing w:val="4"/>
          <w:kern w:val="0"/>
          <w:sz w:val="24"/>
          <w:szCs w:val="24"/>
          <w:highlight w:val="none"/>
          <w:lang w:val="en-US" w:eastAsia="zh-CN" w:bidi="ar-SA"/>
        </w:rPr>
        <w:t>2）计算机硬件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E6DAF8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监理人应配置满足运行要求的计算机和工作站来支持日常的合同项目施工管理工作。</w:t>
      </w:r>
    </w:p>
    <w:p w14:paraId="40E08C63">
      <w:pPr>
        <w:widowControl w:val="0"/>
        <w:topLinePunct/>
        <w:adjustRightInd w:val="0"/>
        <w:snapToGrid w:val="0"/>
        <w:spacing w:line="480" w:lineRule="exact"/>
        <w:ind w:firstLine="496" w:firstLineChars="200"/>
        <w:jc w:val="both"/>
        <w:rPr>
          <w:rFonts w:hint="eastAsia" w:ascii="宋体" w:hAnsi="宋体" w:eastAsia="宋体" w:cs="宋体"/>
          <w:bCs/>
          <w:spacing w:val="4"/>
          <w:kern w:val="0"/>
          <w:sz w:val="24"/>
          <w:szCs w:val="24"/>
          <w:highlight w:val="none"/>
          <w:lang w:val="en-US" w:eastAsia="zh-CN" w:bidi="ar-SA"/>
        </w:rPr>
      </w:pPr>
      <w:bookmarkStart w:id="61" w:name="_Toc923752"/>
      <w:bookmarkStart w:id="62" w:name="_Toc521924605"/>
      <w:bookmarkStart w:id="63" w:name="_Toc1877124"/>
      <w:bookmarkStart w:id="64" w:name="_Toc522940800"/>
      <w:bookmarkStart w:id="65" w:name="_Toc1876219"/>
      <w:bookmarkStart w:id="66" w:name="_Toc3517700"/>
      <w:bookmarkStart w:id="67" w:name="_Toc479500870"/>
      <w:bookmarkStart w:id="68" w:name="_Toc3831326"/>
      <w:bookmarkStart w:id="69" w:name="_Toc522866707"/>
      <w:bookmarkStart w:id="70" w:name="_Toc3908441"/>
      <w:bookmarkStart w:id="71" w:name="_Toc480258779"/>
      <w:bookmarkStart w:id="72" w:name="_Toc4071354"/>
      <w:bookmarkStart w:id="73" w:name="_Toc2071539"/>
      <w:bookmarkStart w:id="74" w:name="_Toc522250425"/>
      <w:bookmarkStart w:id="75" w:name="_Toc522249979"/>
      <w:bookmarkStart w:id="76" w:name="_Toc523542707"/>
      <w:bookmarkStart w:id="77" w:name="_Toc3636826"/>
      <w:bookmarkStart w:id="78" w:name="_Toc3633677"/>
      <w:bookmarkStart w:id="79" w:name="_Toc3979680"/>
      <w:bookmarkStart w:id="80" w:name="_Toc523825992"/>
      <w:bookmarkStart w:id="81" w:name="_Toc3518176"/>
      <w:bookmarkStart w:id="82" w:name="_Toc4051043"/>
      <w:r>
        <w:rPr>
          <w:rFonts w:hint="eastAsia" w:ascii="宋体" w:hAnsi="宋体" w:eastAsia="宋体" w:cs="宋体"/>
          <w:bCs/>
          <w:spacing w:val="4"/>
          <w:kern w:val="0"/>
          <w:sz w:val="24"/>
          <w:szCs w:val="24"/>
          <w:highlight w:val="none"/>
          <w:lang w:val="en-US" w:eastAsia="zh-CN" w:bidi="ar-SA"/>
        </w:rPr>
        <w:t>3）计算机软件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7E1AB9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计算机工程信息管理系统运行在国产自主知识产权系统或Windows2000或更高版本的操作系统上，这部分软件由监理人自己负责。</w:t>
      </w:r>
    </w:p>
    <w:p w14:paraId="27268A2A">
      <w:pPr>
        <w:widowControl w:val="0"/>
        <w:topLinePunct/>
        <w:adjustRightInd w:val="0"/>
        <w:snapToGrid w:val="0"/>
        <w:spacing w:line="480" w:lineRule="exact"/>
        <w:ind w:firstLine="496" w:firstLineChars="200"/>
        <w:jc w:val="both"/>
        <w:rPr>
          <w:rFonts w:hint="eastAsia" w:ascii="宋体" w:hAnsi="宋体" w:eastAsia="宋体" w:cs="宋体"/>
          <w:bCs/>
          <w:spacing w:val="4"/>
          <w:kern w:val="0"/>
          <w:sz w:val="24"/>
          <w:szCs w:val="24"/>
          <w:highlight w:val="none"/>
          <w:lang w:val="en-US" w:eastAsia="zh-CN" w:bidi="ar-SA"/>
        </w:rPr>
      </w:pPr>
      <w:bookmarkStart w:id="83" w:name="_Toc522940802"/>
      <w:bookmarkStart w:id="84" w:name="_Toc3979682"/>
      <w:bookmarkStart w:id="85" w:name="_Toc1877126"/>
      <w:bookmarkStart w:id="86" w:name="_Toc1876221"/>
      <w:bookmarkStart w:id="87" w:name="_Toc521924607"/>
      <w:bookmarkStart w:id="88" w:name="_Toc3633679"/>
      <w:bookmarkStart w:id="89" w:name="_Toc2071541"/>
      <w:bookmarkStart w:id="90" w:name="_Toc3908443"/>
      <w:bookmarkStart w:id="91" w:name="_Toc523825994"/>
      <w:bookmarkStart w:id="92" w:name="_Toc480258781"/>
      <w:bookmarkStart w:id="93" w:name="_Toc3517702"/>
      <w:bookmarkStart w:id="94" w:name="_Toc923754"/>
      <w:bookmarkStart w:id="95" w:name="_Toc3831328"/>
      <w:bookmarkStart w:id="96" w:name="_Toc522250427"/>
      <w:bookmarkStart w:id="97" w:name="_Toc3636828"/>
      <w:bookmarkStart w:id="98" w:name="_Toc522866709"/>
      <w:bookmarkStart w:id="99" w:name="_Toc3518178"/>
      <w:bookmarkStart w:id="100" w:name="_Toc522249981"/>
      <w:bookmarkStart w:id="101" w:name="_Toc4051045"/>
      <w:bookmarkStart w:id="102" w:name="_Toc479500872"/>
      <w:bookmarkStart w:id="103" w:name="_Toc523542709"/>
      <w:bookmarkStart w:id="104" w:name="_Toc4071356"/>
      <w:r>
        <w:rPr>
          <w:rFonts w:hint="eastAsia" w:ascii="宋体" w:hAnsi="宋体" w:eastAsia="宋体" w:cs="宋体"/>
          <w:bCs/>
          <w:spacing w:val="4"/>
          <w:kern w:val="0"/>
          <w:sz w:val="24"/>
          <w:szCs w:val="24"/>
          <w:highlight w:val="none"/>
          <w:lang w:val="en-US" w:eastAsia="zh-CN" w:bidi="ar-SA"/>
        </w:rPr>
        <w:t>4）信息内容、格式及信息传递要求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0B2287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人应及时准确地按委托人和监理工程师所要求的时限、内容和格式将相关工程信息录入并传递给委托人和监理工程师。监理人如未能按委托人的规定将信息录入或传递给委托人，可以成为委托人缓付或停付工程进度款的理由。</w:t>
      </w:r>
    </w:p>
    <w:p w14:paraId="6E1434F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（4）对所收集的信息必须进行分析，确保其准确、全面、来源可靠，且要求为正式资料。</w:t>
      </w:r>
    </w:p>
    <w:p w14:paraId="72FC604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（5）</w:t>
      </w:r>
      <w:r>
        <w:rPr>
          <w:rFonts w:hint="eastAsia" w:ascii="宋体" w:hAnsi="宋体" w:eastAsia="宋体" w:cs="宋体"/>
          <w:spacing w:val="4"/>
          <w:kern w:val="0"/>
          <w:sz w:val="24"/>
          <w:szCs w:val="24"/>
          <w:highlight w:val="none"/>
          <w:lang w:val="en-US" w:eastAsia="zh-CN" w:bidi="ar-SA"/>
        </w:rPr>
        <w:t>及时将采集到的信息进行筛选分类，分别通报给有关领导、职能部门和有关人员审阅和签署意见。</w:t>
      </w:r>
    </w:p>
    <w:p w14:paraId="129FE26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（6）</w:t>
      </w:r>
      <w:r>
        <w:rPr>
          <w:rFonts w:hint="eastAsia" w:ascii="宋体" w:hAnsi="宋体" w:eastAsia="宋体" w:cs="宋体"/>
          <w:spacing w:val="4"/>
          <w:kern w:val="0"/>
          <w:sz w:val="24"/>
          <w:szCs w:val="24"/>
          <w:highlight w:val="none"/>
          <w:lang w:val="en-US" w:eastAsia="zh-CN" w:bidi="ar-SA"/>
        </w:rPr>
        <w:t>建立主体数据库系统结构，及时对信息分类保存、要求列名事件、题目、来源、概要、经办人或其他基本情况。</w:t>
      </w:r>
    </w:p>
    <w:p w14:paraId="6C8C4C1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（7）</w:t>
      </w:r>
      <w:r>
        <w:rPr>
          <w:rFonts w:hint="eastAsia" w:ascii="宋体" w:hAnsi="宋体" w:eastAsia="宋体" w:cs="宋体"/>
          <w:spacing w:val="4"/>
          <w:kern w:val="0"/>
          <w:sz w:val="24"/>
          <w:szCs w:val="24"/>
          <w:highlight w:val="none"/>
          <w:lang w:val="en-US" w:eastAsia="zh-CN" w:bidi="ar-SA"/>
        </w:rPr>
        <w:t>对信息资料收集和反馈进行跟踪，对信息进行动态管理。</w:t>
      </w:r>
    </w:p>
    <w:p w14:paraId="23899B8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（8）</w:t>
      </w:r>
      <w:r>
        <w:rPr>
          <w:rFonts w:hint="eastAsia" w:ascii="宋体" w:hAnsi="宋体" w:eastAsia="宋体" w:cs="宋体"/>
          <w:spacing w:val="4"/>
          <w:kern w:val="0"/>
          <w:sz w:val="24"/>
          <w:szCs w:val="24"/>
          <w:highlight w:val="none"/>
          <w:lang w:val="en-US" w:eastAsia="zh-CN" w:bidi="ar-SA"/>
        </w:rPr>
        <w:t>涉及国家机密或各单位商业秘密的信息资料保管工作应制订保密管理细则，防止机密泄漏，避免造成经济损失和政治影响。</w:t>
      </w:r>
    </w:p>
    <w:p w14:paraId="5A0BBD7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（9）</w:t>
      </w:r>
      <w:r>
        <w:rPr>
          <w:rFonts w:hint="eastAsia" w:ascii="宋体" w:hAnsi="宋体" w:eastAsia="宋体" w:cs="宋体"/>
          <w:spacing w:val="4"/>
          <w:kern w:val="0"/>
          <w:sz w:val="24"/>
          <w:szCs w:val="24"/>
          <w:highlight w:val="none"/>
          <w:lang w:val="en-US" w:eastAsia="zh-CN" w:bidi="ar-SA"/>
        </w:rPr>
        <w:t>有保留价值的信息，经请示有关领导后可以消除，但应做好登记。</w:t>
      </w:r>
    </w:p>
    <w:p w14:paraId="74B9AD9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（10）</w:t>
      </w:r>
      <w:r>
        <w:rPr>
          <w:rFonts w:hint="eastAsia" w:ascii="宋体" w:hAnsi="宋体" w:eastAsia="宋体" w:cs="宋体"/>
          <w:spacing w:val="4"/>
          <w:kern w:val="0"/>
          <w:sz w:val="24"/>
          <w:szCs w:val="24"/>
          <w:highlight w:val="none"/>
          <w:lang w:val="en-US" w:eastAsia="zh-CN" w:bidi="ar-SA"/>
        </w:rPr>
        <w:t>工程结束后，按有关规定进行信息整理存档、移交，并办理好移交签收手续。</w:t>
      </w:r>
    </w:p>
    <w:p w14:paraId="2974FA4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（11）监理人在提交相关信息的纸质文件的同时，须根据委托人的要求提交电子原版和纸质文件扫描版。</w:t>
      </w:r>
    </w:p>
    <w:p w14:paraId="086C575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12）其中VR拍摄采集图像由项目监理单位负主要责任，VR设备由监理单位采购，相关费用包含在合同价中。具备工作内容需满足《广东省代建项目管理局VR技术应用实施方案》的相关要求，具体工作设备的具体参数要求需满足附件6《VR 设备技术要求》。</w:t>
      </w:r>
    </w:p>
    <w:p w14:paraId="3886DCEA">
      <w:pPr>
        <w:widowControl w:val="0"/>
        <w:topLinePunct/>
        <w:adjustRightInd w:val="0"/>
        <w:snapToGrid w:val="0"/>
        <w:spacing w:line="480" w:lineRule="exact"/>
        <w:ind w:firstLine="498" w:firstLineChars="200"/>
        <w:jc w:val="both"/>
        <w:rPr>
          <w:rFonts w:hint="eastAsia" w:ascii="宋体" w:hAnsi="宋体" w:eastAsia="宋体" w:cs="宋体"/>
          <w:b/>
          <w:bCs/>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2.1.3.8 工程</w:t>
      </w:r>
      <w:r>
        <w:rPr>
          <w:rFonts w:hint="eastAsia" w:ascii="宋体" w:hAnsi="宋体" w:eastAsia="宋体" w:cs="宋体"/>
          <w:b/>
          <w:bCs/>
          <w:spacing w:val="4"/>
          <w:kern w:val="0"/>
          <w:sz w:val="24"/>
          <w:szCs w:val="24"/>
          <w:highlight w:val="none"/>
          <w:lang w:val="en-US" w:eastAsia="zh-CN" w:bidi="ar-SA"/>
        </w:rPr>
        <w:t>项目沟通与协调</w:t>
      </w:r>
    </w:p>
    <w:p w14:paraId="524354B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w:t>
      </w:r>
      <w:r>
        <w:rPr>
          <w:rFonts w:hint="eastAsia" w:ascii="宋体" w:hAnsi="宋体" w:eastAsia="宋体" w:cs="宋体"/>
          <w:spacing w:val="4"/>
          <w:kern w:val="0"/>
          <w:sz w:val="24"/>
          <w:szCs w:val="24"/>
          <w:highlight w:val="none"/>
          <w:lang w:val="en-US" w:eastAsia="zh-CN" w:bidi="ar-SA"/>
        </w:rPr>
        <w:t>建立项目沟通与协调管理系统，健全各项制度，并本着“严格守法、遵守公德”的原则，以维护各相关方的利益为前提，应用先进、实用的方法和手段，有效解决项目实施过程中的问题。</w:t>
      </w:r>
    </w:p>
    <w:p w14:paraId="66581E3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（2）</w:t>
      </w:r>
      <w:r>
        <w:rPr>
          <w:rFonts w:hint="eastAsia" w:ascii="宋体" w:hAnsi="宋体" w:eastAsia="宋体" w:cs="宋体"/>
          <w:spacing w:val="4"/>
          <w:kern w:val="0"/>
          <w:sz w:val="24"/>
          <w:szCs w:val="24"/>
          <w:highlight w:val="none"/>
          <w:lang w:val="en-US" w:eastAsia="zh-CN" w:bidi="ar-SA"/>
        </w:rPr>
        <w:t>制定项目沟通管理计划，按内容划分主要有：施工进度、质量、安全、成本、资金、环保、设计变更、索赔、材料供应、设备使用、人力资源、文明工地建设等；按时间划分主要有：项目管理实施规划、年度计划、月计划、周计划等。</w:t>
      </w:r>
    </w:p>
    <w:p w14:paraId="57A6D53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（3）</w:t>
      </w:r>
      <w:r>
        <w:rPr>
          <w:rFonts w:hint="eastAsia" w:ascii="宋体" w:hAnsi="宋体" w:eastAsia="宋体" w:cs="宋体"/>
          <w:spacing w:val="4"/>
          <w:kern w:val="0"/>
          <w:sz w:val="24"/>
          <w:szCs w:val="24"/>
          <w:highlight w:val="none"/>
          <w:lang w:val="en-US" w:eastAsia="zh-CN" w:bidi="ar-SA"/>
        </w:rPr>
        <w:t>项目沟通管理计划明确沟通的具体内容、对象、方式、目标、责任人、完成时间、奖罚措施等，并定期或不定期地进行检查、考核和评价，确保沟通计划落到实处。</w:t>
      </w:r>
    </w:p>
    <w:p w14:paraId="64CDD73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（4）</w:t>
      </w:r>
      <w:r>
        <w:rPr>
          <w:rFonts w:hint="eastAsia" w:ascii="宋体" w:hAnsi="宋体" w:eastAsia="宋体" w:cs="宋体"/>
          <w:spacing w:val="4"/>
          <w:kern w:val="0"/>
          <w:sz w:val="24"/>
          <w:szCs w:val="24"/>
          <w:highlight w:val="none"/>
          <w:lang w:val="en-US" w:eastAsia="zh-CN" w:bidi="ar-SA"/>
        </w:rPr>
        <w:t>对项目实施各阶段出现的矛盾和问题，根据沟通与协调的进展情况和结果，按程序要求通过各种方式及时将信息反馈给各相关方，实现共享，提高沟通与协调的效果。通过有效地计划、组织和协调，监督相关各方履行各自的职责，协调参与工程建设各方关系，充分利用各方优势为本合同工程建设服务。</w:t>
      </w:r>
    </w:p>
    <w:p w14:paraId="519120D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（5）</w:t>
      </w:r>
      <w:r>
        <w:rPr>
          <w:rFonts w:hint="eastAsia" w:ascii="宋体" w:hAnsi="宋体" w:eastAsia="宋体" w:cs="宋体"/>
          <w:spacing w:val="4"/>
          <w:kern w:val="0"/>
          <w:sz w:val="24"/>
          <w:szCs w:val="24"/>
          <w:highlight w:val="none"/>
          <w:lang w:val="en-US" w:eastAsia="zh-CN" w:bidi="ar-SA"/>
        </w:rPr>
        <w:t>定期组织召开建设单位、设计、监理、质监站、安监站、承包人参加的工地现场会，协调施工过程中出现的各种矛盾和问题，会前一天，就质量、安全、进度、资金、技术、材料等需要协调的问题等议题征求意见，分送有关单位，以便会前做好充分准备，会后写出会议纪要发与会各单位，并督促执行。</w:t>
      </w:r>
    </w:p>
    <w:p w14:paraId="246DB9D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（6）</w:t>
      </w:r>
      <w:r>
        <w:rPr>
          <w:rFonts w:hint="eastAsia" w:ascii="宋体" w:hAnsi="宋体" w:eastAsia="宋体" w:cs="宋体"/>
          <w:spacing w:val="4"/>
          <w:kern w:val="0"/>
          <w:sz w:val="24"/>
          <w:szCs w:val="24"/>
          <w:highlight w:val="none"/>
          <w:lang w:val="en-US" w:eastAsia="zh-CN" w:bidi="ar-SA"/>
        </w:rPr>
        <w:t>妥善处理各分项工程之间的施工配合，要求各承包人提出需要配合的问题，如施工场地的要求、施工用水、用电、交叉作业的相互影响，施工收口处理、建筑成品保护要求及需要采取的配合措施等。</w:t>
      </w:r>
    </w:p>
    <w:p w14:paraId="2813BCA7">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2.1.3.9  环境管理工作</w:t>
      </w:r>
    </w:p>
    <w:p w14:paraId="2FAED0B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监理人应对施工过程中影响环境的活动进行监督管理，以满足相关的法律法规对环境保护的要求。监理人环境管理工作的主要工作内容如下：</w:t>
      </w:r>
    </w:p>
    <w:p w14:paraId="036B873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（1）制定相关的监督检查工作的程序及制度提交委托人及政府相关部门核准；</w:t>
      </w:r>
    </w:p>
    <w:p w14:paraId="6CC4172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（2）根据相关的法律、法规、制度及程序等，对工程建设过程中污染环境、破坏生态的行为进行监督管理，如噪声、废气、污水等污染物排放应达标、粉尘控制达标、减少水土流失和生态环境破坏；</w:t>
      </w:r>
    </w:p>
    <w:p w14:paraId="2CF15AA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（3）对配套的环保工程进行施工监理，如对水处理设施、声屏障、绿化工程、水源保护区的保护等进行监理。</w:t>
      </w:r>
    </w:p>
    <w:p w14:paraId="3C7117C0">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2.1.3.10 提交监理月报</w:t>
      </w:r>
    </w:p>
    <w:p w14:paraId="72D4A78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监理月报应包括以下内容：</w:t>
      </w:r>
    </w:p>
    <w:p w14:paraId="7295417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（1）本月工程概况；</w:t>
      </w:r>
    </w:p>
    <w:p w14:paraId="00D43D4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（2）本月工程形象进度；</w:t>
      </w:r>
    </w:p>
    <w:p w14:paraId="084E334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（3）工程进度，包括：</w:t>
      </w:r>
    </w:p>
    <w:p w14:paraId="6775B23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1）本月实际完成情况与计划进度比较；</w:t>
      </w:r>
    </w:p>
    <w:p w14:paraId="27BBD6E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2）对进度完成情况及采取措施效果的分析。</w:t>
      </w:r>
    </w:p>
    <w:p w14:paraId="45DC894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（4）工程质量，包括：</w:t>
      </w:r>
    </w:p>
    <w:p w14:paraId="283BF4F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1）本月工程质量情况分析；</w:t>
      </w:r>
    </w:p>
    <w:p w14:paraId="48275DE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2）本月采取的工程质量措施及效果。</w:t>
      </w:r>
    </w:p>
    <w:p w14:paraId="1811B27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（5）工程计量与工程款支付，包括：</w:t>
      </w:r>
    </w:p>
    <w:p w14:paraId="7F12039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1）工程量审核情况；</w:t>
      </w:r>
    </w:p>
    <w:p w14:paraId="35CA323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2）工程款审批情况及月支付情况；</w:t>
      </w:r>
    </w:p>
    <w:p w14:paraId="3FFF1D4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3）工程款支付情况分析；</w:t>
      </w:r>
    </w:p>
    <w:p w14:paraId="0AAD982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4）本月采取的措施及效果。</w:t>
      </w:r>
    </w:p>
    <w:p w14:paraId="01B93AF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（6）合同其他事项的处理情况，包括：</w:t>
      </w:r>
    </w:p>
    <w:p w14:paraId="3C90458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1）工程变更；</w:t>
      </w:r>
    </w:p>
    <w:p w14:paraId="1F6C712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2）工程延期；</w:t>
      </w:r>
    </w:p>
    <w:p w14:paraId="44A110F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3）费用索赔。</w:t>
      </w:r>
    </w:p>
    <w:p w14:paraId="363042D4">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（7）本月职业健康安全及环境等情况的综合评价及相关意见或建议。</w:t>
      </w:r>
    </w:p>
    <w:p w14:paraId="25C6A2E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（8）本月监理工作小结，包括：</w:t>
      </w:r>
    </w:p>
    <w:p w14:paraId="1A65895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1）对本月进度、质量、工程款支付、安全文明施工（含安全文明施工措施费使用审查情况）等方面情况的综合评价；</w:t>
      </w:r>
    </w:p>
    <w:p w14:paraId="223F99C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2）本月监理工作情况；</w:t>
      </w:r>
    </w:p>
    <w:p w14:paraId="48A30C2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3）有关本工程的意见和建议；</w:t>
      </w:r>
    </w:p>
    <w:p w14:paraId="79836AE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4）下月监理工作的重点。</w:t>
      </w:r>
    </w:p>
    <w:p w14:paraId="6AEFEC4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监理月报应由总监理工程师组织编制及签认，签认后报委托人和本监理人总部。</w:t>
      </w:r>
    </w:p>
    <w:p w14:paraId="7586D9C7">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2.1.3.11  施工阶段的其他监理工作</w:t>
      </w:r>
    </w:p>
    <w:p w14:paraId="1C5C20F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（1）工地例会</w:t>
      </w:r>
    </w:p>
    <w:p w14:paraId="7823099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1）在施工过程中，总监理工程师应定期主持召开工地例会。工地例会应按委托人提供的例会细则执行。会议纪要应由项目监理机构负责起草，并经与会各方代表会签。</w:t>
      </w:r>
    </w:p>
    <w:p w14:paraId="12C6CFE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2）工地例会应包括以下主要内容：</w:t>
      </w:r>
    </w:p>
    <w:p w14:paraId="3DD5FE5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① 检查上次例会议定事项的落实情况，分析未完事项原因；</w:t>
      </w:r>
    </w:p>
    <w:p w14:paraId="376CA8D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② 检查分析工程项目进度计划完成情况，提出下一阶段进度目标及其落实措施；</w:t>
      </w:r>
    </w:p>
    <w:p w14:paraId="5A0648D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③ 检查分析工程项目质量状况，针对存在的质量问题提出改进措施；</w:t>
      </w:r>
    </w:p>
    <w:p w14:paraId="1AA849F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④ 检查工程量核定及工程款支付情况；</w:t>
      </w:r>
    </w:p>
    <w:p w14:paraId="5D281E7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⑤ 检讨工作联系单的相关内容的执行情况，解决需要协调的有关事项；</w:t>
      </w:r>
    </w:p>
    <w:p w14:paraId="6857B5E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⑥ 本月职业健康安全及环境、文明施工等方面的综合情况，解决需要协调的有关事项。</w:t>
      </w:r>
    </w:p>
    <w:p w14:paraId="29B4E31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⑦ 其他有关事宜。</w:t>
      </w:r>
    </w:p>
    <w:p w14:paraId="0CF180C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3）总监理工程师或专业监理工程师应根据需要及时组织专题会议，解决施工过程中的各种专项问题。</w:t>
      </w:r>
    </w:p>
    <w:p w14:paraId="38D9C49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4）对于工地例会上提出的有关设计问题，监理人应积极把关控制，不应随意对相关问题做出定论。工地例会上的相关结论必须以设计变更的方式确定后方可实施。</w:t>
      </w:r>
    </w:p>
    <w:p w14:paraId="6D19127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（2）工程暂停及复工的相关工作</w:t>
      </w:r>
    </w:p>
    <w:p w14:paraId="67E5DD8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1）总监理工程师在签发工程暂停令时，应根据暂停工程的影响范围和影响程度，按照施工合同和委托监理合同的约定签发。</w:t>
      </w:r>
    </w:p>
    <w:p w14:paraId="767C3FB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2）在发生下列情况之一时，总监理工程师可签发工程暂停令：</w:t>
      </w:r>
    </w:p>
    <w:p w14:paraId="3A9DED8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① 委托人要求暂停施工且工程需要暂停施工；</w:t>
      </w:r>
    </w:p>
    <w:p w14:paraId="48C4EA9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② 为了保证工程质量而需要进行停工处理；</w:t>
      </w:r>
    </w:p>
    <w:p w14:paraId="21323BF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③ 施工出现了安全隐患，总监理工程师认为有必要停工以消除隐患；</w:t>
      </w:r>
    </w:p>
    <w:p w14:paraId="517FC21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④ 发生了必须暂时停止施工的紧急事件；</w:t>
      </w:r>
    </w:p>
    <w:p w14:paraId="173FB71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⑤ 承包人未经许可擅自施工或拒绝项目监理机构管理。</w:t>
      </w:r>
    </w:p>
    <w:p w14:paraId="407BCD8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3）总监理工程师在签发工程暂停令时，应根据停工原因的影响范围和影响程度，确定工程项目停工范围。</w:t>
      </w:r>
    </w:p>
    <w:p w14:paraId="27B01D8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4）由于非承包人且非上述第2）-②、③、④、⑤项原因时，总监理工程师在签发工程暂停令之前，应就有关工期和费用等事宜与承包人进行协商。</w:t>
      </w:r>
    </w:p>
    <w:p w14:paraId="4E88E6C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5）由于委托人原因或其他非承包人原因导致工程暂停时，项目监理机构应如实记录所发生的实际情况。总监理工程师应在施工暂停原因消失、具备复工条件时，及时签署工程复工报审表，指令承包人继续施工。</w:t>
      </w:r>
    </w:p>
    <w:p w14:paraId="4B12BE6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6）由于承包人原因导致工程暂停，在具备恢复施工条件时，项目监理机构应审查承包人报送的复工申请及有关材料，同意后由总监理工程师签署工程复工报审表，指令承包人继续施工。</w:t>
      </w:r>
    </w:p>
    <w:p w14:paraId="645FA233">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7）总监理工程师在签发工程暂停令到签发工程复工报审表之间的时间内，应会同有关各方按照施工合同的约定，处理因工程暂停引起的与工期、费用等有关的问题。</w:t>
      </w:r>
    </w:p>
    <w:p w14:paraId="1EFD59B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（3）工程延期及工程延误的处理工作</w:t>
      </w:r>
    </w:p>
    <w:p w14:paraId="67A91A6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1）当承包人提出工程延期要求符合施工合同文件的规定条件时，项目监理机构应予以受理。</w:t>
      </w:r>
    </w:p>
    <w:p w14:paraId="4E3CB35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当影响工期事件具有持续性时，项目监理机构可在收到承包人提交的阶段性工程延期申请表并经过审查后，先由总监理工程师签署工程临时延期审批表并通报委托人。当承包人提交最终的工程延期申请表后，项目监理机构应复查工程延期及临时延期情况，并由总监理工程师签署工程最终延期审批表。</w:t>
      </w:r>
    </w:p>
    <w:p w14:paraId="1C9DD89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3）项目监理机构在作出临时工程延期批准或最终的工程延期批准之前，均应与委托人和承包人进行协商。</w:t>
      </w:r>
    </w:p>
    <w:p w14:paraId="1D11DFF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4）项目监理机构在审查工程延期时，应依下列情况确定批准工程延期的时间：</w:t>
      </w:r>
    </w:p>
    <w:p w14:paraId="5F6E801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① 施工合同中有关工程延期的约定；</w:t>
      </w:r>
    </w:p>
    <w:p w14:paraId="25A9AB1A">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② 工期拖延和影响工期事件的事实和程度；</w:t>
      </w:r>
    </w:p>
    <w:p w14:paraId="4331F8B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③ 影响工期事件对工期影响的量化程度。</w:t>
      </w:r>
    </w:p>
    <w:p w14:paraId="7DDED5D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5）工程延期造成承包人提出费用索赔时，项目监理机构应按本条第2.1.3.6（10）项的约定处理。</w:t>
      </w:r>
    </w:p>
    <w:p w14:paraId="382313F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6）当承包人未能按照施工合同要求的工期竣工交付造成工期延误时，项目监理机构应按施工合同规定从承包人应得款项中扣除误期损害赔偿费。</w:t>
      </w:r>
    </w:p>
    <w:p w14:paraId="7F3EFF67">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2.1.4 工程收尾阶段的监理工作（包括但不限于以下内容）</w:t>
      </w:r>
    </w:p>
    <w:p w14:paraId="44379E85">
      <w:pPr>
        <w:widowControl w:val="0"/>
        <w:topLinePunct/>
        <w:adjustRightInd w:val="0"/>
        <w:snapToGrid w:val="0"/>
        <w:spacing w:line="480" w:lineRule="exact"/>
        <w:ind w:firstLine="498"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2.1.4.1</w:t>
      </w:r>
      <w:r>
        <w:rPr>
          <w:rFonts w:hint="eastAsia" w:ascii="宋体" w:hAnsi="宋体" w:eastAsia="宋体" w:cs="宋体"/>
          <w:spacing w:val="4"/>
          <w:kern w:val="0"/>
          <w:sz w:val="24"/>
          <w:szCs w:val="24"/>
          <w:highlight w:val="none"/>
          <w:lang w:val="en-US" w:eastAsia="zh-CN" w:bidi="ar-SA"/>
        </w:rPr>
        <w:t xml:space="preserve">  工程收尾阶段包括竣工扫尾、验收、整改、移交、结算、考核评价等方面的管理。监理人应制定工作计划，提出各项管理要求。工程收尾阶段管理应包括以下内容：</w:t>
      </w:r>
    </w:p>
    <w:p w14:paraId="69990A1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（1）</w:t>
      </w:r>
      <w:r>
        <w:rPr>
          <w:rFonts w:hint="eastAsia" w:ascii="宋体" w:hAnsi="宋体" w:eastAsia="宋体" w:cs="宋体"/>
          <w:spacing w:val="4"/>
          <w:kern w:val="0"/>
          <w:sz w:val="24"/>
          <w:szCs w:val="24"/>
          <w:highlight w:val="none"/>
          <w:lang w:val="en-US" w:eastAsia="zh-CN" w:bidi="ar-SA"/>
        </w:rPr>
        <w:t>项目的竣工扫尾；</w:t>
      </w:r>
    </w:p>
    <w:p w14:paraId="72FDA93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（2）</w:t>
      </w:r>
      <w:r>
        <w:rPr>
          <w:rFonts w:hint="eastAsia" w:ascii="宋体" w:hAnsi="宋体" w:eastAsia="宋体" w:cs="宋体"/>
          <w:spacing w:val="4"/>
          <w:kern w:val="0"/>
          <w:sz w:val="24"/>
          <w:szCs w:val="24"/>
          <w:highlight w:val="none"/>
          <w:lang w:val="en-US" w:eastAsia="zh-CN" w:bidi="ar-SA"/>
        </w:rPr>
        <w:t>项目的竣工验收、整改及移交；</w:t>
      </w:r>
    </w:p>
    <w:p w14:paraId="7CE5FDC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（3）</w:t>
      </w:r>
      <w:r>
        <w:rPr>
          <w:rFonts w:hint="eastAsia" w:ascii="宋体" w:hAnsi="宋体" w:eastAsia="宋体" w:cs="宋体"/>
          <w:spacing w:val="4"/>
          <w:kern w:val="0"/>
          <w:sz w:val="24"/>
          <w:szCs w:val="24"/>
          <w:highlight w:val="none"/>
          <w:lang w:val="en-US" w:eastAsia="zh-CN" w:bidi="ar-SA"/>
        </w:rPr>
        <w:t>项目的竣工结算；</w:t>
      </w:r>
    </w:p>
    <w:p w14:paraId="6BA8FDA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（4）</w:t>
      </w:r>
      <w:r>
        <w:rPr>
          <w:rFonts w:hint="eastAsia" w:ascii="宋体" w:hAnsi="宋体" w:eastAsia="宋体" w:cs="宋体"/>
          <w:spacing w:val="4"/>
          <w:kern w:val="0"/>
          <w:sz w:val="24"/>
          <w:szCs w:val="24"/>
          <w:highlight w:val="none"/>
          <w:lang w:val="en-US" w:eastAsia="zh-CN" w:bidi="ar-SA"/>
        </w:rPr>
        <w:t>项目的回访维护；</w:t>
      </w:r>
    </w:p>
    <w:p w14:paraId="12E505F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bCs/>
          <w:spacing w:val="4"/>
          <w:kern w:val="0"/>
          <w:sz w:val="24"/>
          <w:szCs w:val="24"/>
          <w:highlight w:val="none"/>
          <w:lang w:val="en-US" w:eastAsia="zh-CN" w:bidi="ar-SA"/>
        </w:rPr>
        <w:t>（5）</w:t>
      </w:r>
      <w:r>
        <w:rPr>
          <w:rFonts w:hint="eastAsia" w:ascii="宋体" w:hAnsi="宋体" w:eastAsia="宋体" w:cs="宋体"/>
          <w:spacing w:val="4"/>
          <w:kern w:val="0"/>
          <w:sz w:val="24"/>
          <w:szCs w:val="24"/>
          <w:highlight w:val="none"/>
          <w:lang w:val="en-US" w:eastAsia="zh-CN" w:bidi="ar-SA"/>
        </w:rPr>
        <w:t>项目的考核评价。</w:t>
      </w:r>
    </w:p>
    <w:p w14:paraId="4575A825">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2.1.4.2  竣工验收</w:t>
      </w:r>
    </w:p>
    <w:p w14:paraId="576E100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总监理工程师应组织专业监理工程师，依据有关法律、法规、工程建设强制性标准、设计文件及施工合同，对承包人报送的竣工资料进行审查，并对工程质量进行竣工预验收。对存在的问题，应及时要求承包人整改。整改完毕由总监理工程师签署工程竣工报验单，并应在此基础上提出工程质量评估报告。工程质量评估报告应经总监理工程师和监理人技术负责人审核签字。</w:t>
      </w:r>
    </w:p>
    <w:p w14:paraId="5152069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人应负责组织系统联动调试、试运行及各专项验收及检测。项目监理机构应参加由委托人组织的竣工验收，并提供相关监理资料。对验收中提出的整改问题，项目监理机构应要求承包人进行整改。工程质量符合要求，由总监理工程师会同参加验收的各方签署竣工验收报告。</w:t>
      </w:r>
    </w:p>
    <w:p w14:paraId="090508D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（3）组织或协助委托人、承包人对项目进行移交。</w:t>
      </w:r>
    </w:p>
    <w:p w14:paraId="4C698B5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（4）根据现场的实际竣工情况对承包人提交的竣工图纸（包括设备移交资料等）进行复核确认。</w:t>
      </w:r>
    </w:p>
    <w:p w14:paraId="64C7F3D4">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2.1.4.3  审核竣工结算</w:t>
      </w:r>
    </w:p>
    <w:p w14:paraId="10C374C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（1）结算的总体要求</w:t>
      </w:r>
    </w:p>
    <w:p w14:paraId="61607F8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人应根据有关合同约定及工程进展的实际情况，于竣工后2周内编制工程竣工结算计划报委托人批准后实施。监理人负责组织有关单位按核准的结算计划中的时间要求提交竣工结算书及竣工结算资料。监理人须根据委托人的要求审核承包人提交的工程结算书，确保工程结算资料的完整性，并对其提交给委托人的结算审核结果负责。工程结算以单个施工合同为结算对象，监理人应在完成全部合同结算的审核后形成结算汇总。总监理工程师应对监理人提交的《竣工结算审核意见书》进行签认并对由其审核的结算金额的准确性负责。</w:t>
      </w:r>
    </w:p>
    <w:p w14:paraId="26DD1BA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（2）工程结算资料必须实事求是、完整、真实准确，工程资料的主要内容包括：</w:t>
      </w:r>
    </w:p>
    <w:p w14:paraId="659B30B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1）合同（组成包括：协议书、中标通知书或委托书、投标文件澄清纪要、投标文件及其附件、合同专用条款、合同通用条款、招标文件及补遗书、本合同履行期间合同各方间签订的补充合同（协议）、其它）；</w:t>
      </w:r>
    </w:p>
    <w:p w14:paraId="79DE337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2）结算书及电子文档；</w:t>
      </w:r>
    </w:p>
    <w:p w14:paraId="32B446A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3）招标图纸及竣工图纸；</w:t>
      </w:r>
    </w:p>
    <w:p w14:paraId="63CD215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4）图纸会审（交底）的会议纪要；</w:t>
      </w:r>
    </w:p>
    <w:p w14:paraId="0AC834C7">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5）工程量计算书（或钢筋抽料表）及电子文档；</w:t>
      </w:r>
    </w:p>
    <w:p w14:paraId="0779F0AC">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6）工程变更图纸、变更指令及工程变更申报审批表；</w:t>
      </w:r>
    </w:p>
    <w:p w14:paraId="2424D4F2">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7）施工现场变更签证及工程变更申报审批表；</w:t>
      </w:r>
    </w:p>
    <w:p w14:paraId="55DE791F">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8）工程竣工验收证明；</w:t>
      </w:r>
    </w:p>
    <w:p w14:paraId="3A79E759">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9）开、竣工报告；</w:t>
      </w:r>
    </w:p>
    <w:p w14:paraId="4AB1EE7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10）中间计量资料；</w:t>
      </w:r>
    </w:p>
    <w:p w14:paraId="14C23F4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11）其它竣工结算资料。</w:t>
      </w:r>
    </w:p>
    <w:p w14:paraId="721EDC1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（3）政府有权审核部门结算审核过程中的相关工作</w:t>
      </w:r>
    </w:p>
    <w:p w14:paraId="70120831">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1）监理人应积极组织并督促承包人配合政府主管部门对本合同工程结算书（结算资料）的审核工作，以推动结算工作的顺利进行。</w:t>
      </w:r>
    </w:p>
    <w:p w14:paraId="115963C5">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2）监理人应按委托人要求，派出相关人员参加政府主管部门组织的针对本合同工程结算审核工作的相关会议（如结算工作会议、结算工程量核对会议等）。</w:t>
      </w:r>
    </w:p>
    <w:p w14:paraId="48A54B3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3）监理人应根据政府主管部门对本合同工程结算提出的意见，向委托人提出解决本合同工程结算争议的合理建议。</w:t>
      </w:r>
    </w:p>
    <w:p w14:paraId="2C9263B6">
      <w:pPr>
        <w:widowControl w:val="0"/>
        <w:topLinePunct/>
        <w:adjustRightInd w:val="0"/>
        <w:snapToGrid w:val="0"/>
        <w:spacing w:line="480" w:lineRule="exact"/>
        <w:ind w:firstLine="498" w:firstLineChars="200"/>
        <w:jc w:val="both"/>
        <w:rPr>
          <w:rFonts w:hint="eastAsia" w:ascii="宋体" w:hAnsi="宋体" w:eastAsia="宋体" w:cs="宋体"/>
          <w:b/>
          <w:spacing w:val="4"/>
          <w:kern w:val="0"/>
          <w:sz w:val="24"/>
          <w:szCs w:val="24"/>
          <w:highlight w:val="none"/>
          <w:lang w:val="en-US" w:eastAsia="zh-CN" w:bidi="ar-SA"/>
        </w:rPr>
      </w:pPr>
      <w:r>
        <w:rPr>
          <w:rFonts w:hint="eastAsia" w:ascii="宋体" w:hAnsi="宋体" w:eastAsia="宋体" w:cs="宋体"/>
          <w:b/>
          <w:spacing w:val="4"/>
          <w:kern w:val="0"/>
          <w:sz w:val="24"/>
          <w:szCs w:val="24"/>
          <w:highlight w:val="none"/>
          <w:lang w:val="en-US" w:eastAsia="zh-CN" w:bidi="ar-SA"/>
        </w:rPr>
        <w:t>2.1.4.4  提交监理工作总结</w:t>
      </w:r>
    </w:p>
    <w:p w14:paraId="155AEEBD">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监理工作结束时，监理人应向委托人提交监理工作总结。监理工作总结包括但不限于以下内容：</w:t>
      </w:r>
    </w:p>
    <w:p w14:paraId="53FC325B">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（1）工程概况；</w:t>
      </w:r>
    </w:p>
    <w:p w14:paraId="6DFFE7B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（2）监理组织机构、监理人员和投入的监理设施；</w:t>
      </w:r>
    </w:p>
    <w:p w14:paraId="1ED00758">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（3）监理合同履行情况；</w:t>
      </w:r>
    </w:p>
    <w:p w14:paraId="624727BE">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（4）监理工作成效；</w:t>
      </w:r>
    </w:p>
    <w:p w14:paraId="6EB69D46">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（5）施工过程中出现的问题及其处理情况和建议；</w:t>
      </w:r>
    </w:p>
    <w:p w14:paraId="7E6BEE50">
      <w:pPr>
        <w:widowControl w:val="0"/>
        <w:topLinePunct/>
        <w:adjustRightInd w:val="0"/>
        <w:snapToGrid w:val="0"/>
        <w:spacing w:line="480" w:lineRule="exact"/>
        <w:ind w:firstLine="496" w:firstLineChars="200"/>
        <w:jc w:val="both"/>
        <w:rPr>
          <w:rFonts w:hint="eastAsia" w:ascii="宋体" w:hAnsi="宋体" w:eastAsia="宋体" w:cs="宋体"/>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（6）工程照片（有必要时）。</w:t>
      </w:r>
    </w:p>
    <w:p w14:paraId="0E11A0C1">
      <w:pPr>
        <w:adjustRightInd w:val="0"/>
        <w:snapToGrid w:val="0"/>
        <w:spacing w:line="480" w:lineRule="exact"/>
        <w:ind w:firstLine="482" w:firstLineChars="200"/>
        <w:rPr>
          <w:rFonts w:hint="eastAsia"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2.1.5  工程质量保修期的监理工作</w:t>
      </w:r>
    </w:p>
    <w:p w14:paraId="1EFB8BEF">
      <w:pPr>
        <w:adjustRightInd w:val="0"/>
        <w:snapToGrid w:val="0"/>
        <w:spacing w:line="480" w:lineRule="exact"/>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（1）监理人应依据委托监理合同约定的工程质量保修期监理工作的时间、范围和内容开展工作。</w:t>
      </w:r>
    </w:p>
    <w:p w14:paraId="42E486EE">
      <w:pPr>
        <w:adjustRightInd w:val="0"/>
        <w:snapToGrid w:val="0"/>
        <w:spacing w:line="480" w:lineRule="exact"/>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（2）承担质量保修期监理工作时，监理人应安排监理人员对委托人提出的工程质量缺陷进行检查和记录，对承包人进行修复的工程质量进行验收，合格后予以签认。</w:t>
      </w:r>
    </w:p>
    <w:p w14:paraId="7960F7D0">
      <w:pPr>
        <w:widowControl w:val="0"/>
        <w:topLinePunct/>
        <w:adjustRightInd w:val="0"/>
        <w:snapToGrid w:val="0"/>
        <w:spacing w:line="360" w:lineRule="auto"/>
        <w:ind w:firstLine="496" w:firstLineChars="200"/>
        <w:jc w:val="both"/>
        <w:rPr>
          <w:rFonts w:hint="eastAsia" w:ascii="宋体" w:hAnsi="宋体" w:eastAsia="宋体" w:cs="宋体"/>
          <w:bCs/>
          <w:spacing w:val="4"/>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t>（3）监理人员应对工程质量缺陷原因进行调查分析并确定责任归属，对非承包人原因造成的工程质量缺陷，监理人员应核实修复工程的费用和签署工程款支付证书，并报委托人。</w:t>
      </w:r>
    </w:p>
    <w:p w14:paraId="29BD8C14">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2.2监理与相关服务依据</w:t>
      </w:r>
    </w:p>
    <w:p w14:paraId="2086A6BC">
      <w:pPr>
        <w:widowControl w:val="0"/>
        <w:topLinePunct/>
        <w:adjustRightInd w:val="0"/>
        <w:snapToGrid w:val="0"/>
        <w:spacing w:line="360" w:lineRule="auto"/>
        <w:ind w:firstLine="470" w:firstLineChars="196"/>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2.2.1本合同适用的法律法规及监理依据</w:t>
      </w:r>
    </w:p>
    <w:p w14:paraId="69F0EB5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（1）中华人民共和国的法律、法规、本合同约定的部门规章及工程所在地的地方性法规和规章；</w:t>
      </w:r>
    </w:p>
    <w:p w14:paraId="3AC74DA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（2）《建设工程监理规范》（GB/T50319—2013）；</w:t>
      </w:r>
    </w:p>
    <w:p w14:paraId="580AC87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（3）国家和地方现行的建设工程质量评定标准、设计及施工验收规范；</w:t>
      </w:r>
    </w:p>
    <w:p w14:paraId="2D10DA81">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（4）经批准的施工图纸及说明，以及经图纸会审确定的修改设计通知书；</w:t>
      </w:r>
    </w:p>
    <w:p w14:paraId="0A029B5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（5）本合同工程的设计、施工、安装、招投标文件及合同；</w:t>
      </w:r>
    </w:p>
    <w:p w14:paraId="335FE90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（6）委托人发出的有关本合同工程建设的指令；</w:t>
      </w:r>
    </w:p>
    <w:p w14:paraId="605982D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（7）委托人制定的有关本合同工程建设的管理制度。</w:t>
      </w:r>
    </w:p>
    <w:p w14:paraId="090B6CDD">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2.3项目监理机构和人员</w:t>
      </w:r>
    </w:p>
    <w:p w14:paraId="32C3D5BF">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2.3.1项目监理机构</w:t>
      </w:r>
    </w:p>
    <w:p w14:paraId="6B6BA54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（1）监理人必须在施工现场建立项目监理机构。项目监理机构在完成本合同约定的监理工作后方可撤离施工现场。</w:t>
      </w:r>
    </w:p>
    <w:p w14:paraId="277E2812">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（2）监理人必须在委托人发出进场通知后，按委托人具体的要求进场，并立即开始履行本合同约定的服务。监理人必须按照其投标文件和监理规划的承诺，足额、按时派驻监理人员和投入设备。</w:t>
      </w:r>
    </w:p>
    <w:p w14:paraId="7EA91668">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（3）监理人员应包括总监理工程师、相关专业人员及服务人员，他们的基本要求按照招标文件的要求执行，并没有被人民法院判决犯罪的记录（若不能开具证明，监理人必须作出书面承诺）。</w:t>
      </w:r>
    </w:p>
    <w:p w14:paraId="4EABEEDF">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项目监理机构的监理人员应专业配套、数量满足工程项目监理工作的需要，保证足够的监理人员从事要求的施工准备期至工程收尾、工程整改、工程竣工、工程结算、工程竣工备案、工程质量保修期的监理工作。</w:t>
      </w:r>
    </w:p>
    <w:p w14:paraId="033F9857">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（5）监理人派驻到项目所在地履行监理服务的监理人员，必须常驻现场。</w:t>
      </w:r>
    </w:p>
    <w:p w14:paraId="5400A9E1">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考虑到本合同项目的重要性、特殊性、复杂性，委托人将监理人的人员落实、驻场人员的到位作为监理管理工作考核的内容之一。如监理人的人员投入、驻场工作的安排、落实，未能达到合同要求，委托人将严格按本合同的相关约定作出处理。</w:t>
      </w:r>
    </w:p>
    <w:p w14:paraId="61ED7F3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7）监理人必须保证参与本项目监理人员的稳定性，未征得委托人同意不可撤换，否则必须承担相应责任。监理人因工作安排或其他原因，需要更换派驻到项目所在地履行监理服务的主要监理人员的，应事先得到委托人的同意。</w:t>
      </w:r>
    </w:p>
    <w:p w14:paraId="474E67E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8）委托人有权要求监理人更换不称职的管理人员。除因为死亡或严重疾病的原因外，监理人更换主要管理人员（总监）必须征得委托人的同意。委托人有权对监理人拟更换的总监进行考核。监理人拟更换的总监不能通过委托人考核的，不得任总监。</w:t>
      </w:r>
    </w:p>
    <w:p w14:paraId="36AAED8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9）委托人有权以书面形式要求监理人更换不能按照本合同约定履行监理服务的派驻人员。即使是委托人要求或同意更换的监理人员，其替代人员的资质仍应得到委托人的认可。由于更换人员引起的费用由监理人承担。</w:t>
      </w:r>
    </w:p>
    <w:p w14:paraId="6069AEE2">
      <w:pPr>
        <w:widowControl w:val="0"/>
        <w:numPr>
          <w:ilvl w:val="0"/>
          <w:numId w:val="14"/>
        </w:numPr>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如因监理人使用不称职管理人员给工程建设造成损失的，由监理人向委托人承担相应的赔偿责任。虽然征得委托人的同意，监理人如更换总监，委托人仍有权要求监理人按30万元/人/次承担违约赔偿，如更换其他一般管理人员，委托人有权要求监理人按1万元/人/次承担违约赔偿。</w:t>
      </w:r>
    </w:p>
    <w:p w14:paraId="0E8C63FA">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（11）总监理工程师在本合同授权范围内行使合同规定的权利，履行相应的职责。</w:t>
      </w:r>
    </w:p>
    <w:p w14:paraId="64AD789E">
      <w:pPr>
        <w:widowControl w:val="0"/>
        <w:topLinePunct/>
        <w:adjustRightInd w:val="0"/>
        <w:snapToGrid w:val="0"/>
        <w:spacing w:line="360" w:lineRule="auto"/>
        <w:ind w:firstLine="0" w:firstLineChars="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 xml:space="preserve">   （12）如委托人认为监理人员的数量、监理人员的业务水平、监理人员的专业配置不能满足监理工作所需时，委托人有权另行聘请符合工作需要的监理人员；所聘请监理人员的工资已包括在本合同监理酬金内，此费用由监理人向所聘监理人员支付。必要时委托人有权直接从本合同监理酬金中扣取支付。</w:t>
      </w:r>
    </w:p>
    <w:p w14:paraId="61E3B45A">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（13）委托人根据工程推进实际情况，有权要求监理人的项目负责人必须调用其资源保证落实本项目监理工作。</w:t>
      </w:r>
    </w:p>
    <w:p w14:paraId="7163AB52">
      <w:pPr>
        <w:widowControl w:val="0"/>
        <w:topLinePunct/>
        <w:adjustRightInd w:val="0"/>
        <w:snapToGrid w:val="0"/>
        <w:spacing w:line="360" w:lineRule="auto"/>
        <w:ind w:firstLine="0" w:firstLineChars="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 xml:space="preserve">    （14）监理人应对其驻地监理人员的人身安全承担责任。</w:t>
      </w:r>
    </w:p>
    <w:p w14:paraId="2855E8B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15）监理人应于本合同签订后十天内将项目监理机构的组织形式、人员构成及对总监理工程师的任命书面通知委托人。当总监理工程师需要调整时，监理人应事先书面征得委托人的同意；当专业监理工程师需要调整时，总监理工程师应书面通知委托人和承包人。</w:t>
      </w:r>
    </w:p>
    <w:p w14:paraId="42777E4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（16）为发挥委托人工程管理人员对监理工作的直接参与和对监理人项目管理的掌控，委托人的项目工作小组将与监理人的项目监理机构集中办公，督促监理人履行职责，并对项目监理机构的下列工作进行检查：</w:t>
      </w:r>
    </w:p>
    <w:p w14:paraId="7606FFE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1）监理人的日常监理工作；</w:t>
      </w:r>
    </w:p>
    <w:p w14:paraId="4E25FAD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2）监理人人员及仪器设备的投入；</w:t>
      </w:r>
    </w:p>
    <w:p w14:paraId="1D0DED92">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3）监理人的旁站计划及旁站工作记录；</w:t>
      </w:r>
    </w:p>
    <w:p w14:paraId="73E6C4F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4）监理人的监理日志及隐蔽工程验收记录；</w:t>
      </w:r>
    </w:p>
    <w:p w14:paraId="61CAFA83">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5）监理人编制的承包人人、材、机投入及实物工程量统计报表；</w:t>
      </w:r>
    </w:p>
    <w:p w14:paraId="5FC387F9">
      <w:pPr>
        <w:widowControl w:val="0"/>
        <w:topLinePunct/>
        <w:adjustRightInd w:val="0"/>
        <w:snapToGrid w:val="0"/>
        <w:spacing w:line="360" w:lineRule="auto"/>
        <w:ind w:firstLine="0" w:firstLineChars="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 xml:space="preserve">   （17）监理人应建立现场报到指纹打卡制度，对总监及现场监理工程师到场情况进行考核。</w:t>
      </w:r>
    </w:p>
    <w:p w14:paraId="1053264D">
      <w:pPr>
        <w:widowControl w:val="0"/>
        <w:topLinePunct/>
        <w:adjustRightInd w:val="0"/>
        <w:snapToGrid w:val="0"/>
        <w:spacing w:line="360" w:lineRule="auto"/>
        <w:ind w:firstLine="496"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sym w:font="Wingdings" w:char="00FE"/>
      </w:r>
      <w:r>
        <w:rPr>
          <w:rFonts w:hint="eastAsia" w:ascii="宋体" w:hAnsi="宋体" w:eastAsia="宋体" w:cs="宋体"/>
          <w:spacing w:val="0"/>
          <w:kern w:val="0"/>
          <w:sz w:val="24"/>
          <w:szCs w:val="24"/>
          <w:highlight w:val="none"/>
          <w:lang w:val="en-US" w:eastAsia="zh-CN" w:bidi="ar-SA"/>
        </w:rPr>
        <w:t>（18）总监理工程师不得在其他在建项目担任职务。</w:t>
      </w:r>
    </w:p>
    <w:p w14:paraId="2BED399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2.3.2总监理工程师的委派和指令</w:t>
      </w:r>
    </w:p>
    <w:p w14:paraId="75D7A150">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w:t>
      </w:r>
      <w:r>
        <w:rPr>
          <w:rFonts w:hint="eastAsia" w:ascii="宋体" w:hAnsi="宋体" w:eastAsia="宋体" w:cs="宋体"/>
          <w:bCs/>
          <w:spacing w:val="0"/>
          <w:kern w:val="0"/>
          <w:sz w:val="24"/>
          <w:szCs w:val="24"/>
          <w:highlight w:val="none"/>
          <w:lang w:val="en-US" w:eastAsia="zh-CN" w:bidi="ar-SA"/>
        </w:rPr>
        <w:t>总监理工程师可以授权监理人员负责执行其指派的一项或多项监管工作。总监理工程师应将这些监理人员的姓名及其授权范围通知承包人。被授权的监理人员在授权范围内发出的指令视为已得到总监理工程师的同意，与总监理工程师发出的指令具有同等效力。总监理工程师撤销对监理人员某项授权的，应将撤销授权的决定及时通知承包人。</w:t>
      </w:r>
    </w:p>
    <w:p w14:paraId="3DFE249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w:t>
      </w:r>
      <w:r>
        <w:rPr>
          <w:rFonts w:hint="eastAsia" w:ascii="宋体" w:hAnsi="宋体" w:eastAsia="宋体" w:cs="宋体"/>
          <w:bCs/>
          <w:spacing w:val="0"/>
          <w:kern w:val="0"/>
          <w:sz w:val="24"/>
          <w:szCs w:val="24"/>
          <w:highlight w:val="none"/>
          <w:lang w:val="en-US" w:eastAsia="zh-CN" w:bidi="ar-SA"/>
        </w:rPr>
        <w:t>除特别指明外，监理人员对承包人的任何工作、工程或其采用的材料和工程设备未提出否定意见的，不应视为已获批准，也不影响总监理工程师或监理人员在以后拒绝该项工作、工程、材料或工程设备的权利。</w:t>
      </w:r>
    </w:p>
    <w:p w14:paraId="2171A94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w:t>
      </w:r>
      <w:r>
        <w:rPr>
          <w:rFonts w:hint="eastAsia" w:ascii="宋体" w:hAnsi="宋体" w:eastAsia="宋体" w:cs="宋体"/>
          <w:bCs/>
          <w:spacing w:val="0"/>
          <w:kern w:val="0"/>
          <w:sz w:val="24"/>
          <w:szCs w:val="24"/>
          <w:highlight w:val="none"/>
          <w:lang w:val="en-US" w:eastAsia="zh-CN" w:bidi="ar-SA"/>
        </w:rPr>
        <w:t>总监理工程师应按相关合同的约定向承包人发出指令，总监理工程师的指令应盖有监理人授权的施工场地项目监理机构章，并由总监理工程师或总监理工程师按上述（1）项约定授权的监理人员签字。</w:t>
      </w:r>
    </w:p>
    <w:p w14:paraId="0621BF9E">
      <w:pPr>
        <w:widowControl w:val="0"/>
        <w:topLinePunct/>
        <w:adjustRightInd w:val="0"/>
        <w:snapToGrid w:val="0"/>
        <w:spacing w:line="360" w:lineRule="auto"/>
        <w:ind w:firstLine="480" w:firstLineChars="200"/>
        <w:jc w:val="both"/>
        <w:rPr>
          <w:rFonts w:hint="eastAsia" w:ascii="宋体" w:hAnsi="宋体" w:eastAsia="宋体" w:cs="宋体"/>
          <w:bCs/>
          <w:strike/>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w:t>
      </w:r>
      <w:r>
        <w:rPr>
          <w:rFonts w:hint="eastAsia" w:ascii="宋体" w:hAnsi="宋体" w:eastAsia="宋体" w:cs="宋体"/>
          <w:bCs/>
          <w:spacing w:val="0"/>
          <w:kern w:val="0"/>
          <w:sz w:val="24"/>
          <w:szCs w:val="24"/>
          <w:highlight w:val="none"/>
          <w:lang w:val="en-US" w:eastAsia="zh-CN" w:bidi="ar-SA"/>
        </w:rPr>
        <w:t>承包人收到总监理工程师按上述（3）项约定作出的指令后应遵照执行。承包人对总监理工程师的指令有异议的，可向总监理工程师提出书面意见，但应先遵照执行。总监理工程师研究承包人的书面意见后，应在48小时内对该指令予以确认、更改或撤销，并通知承包人。若总监理工程师再次决定继续执行原指令，承包人应遵照执行，承包人如仍有异议，可报委托人裁决。</w:t>
      </w:r>
    </w:p>
    <w:p w14:paraId="65C7535E">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（5）</w:t>
      </w:r>
      <w:r>
        <w:rPr>
          <w:rFonts w:hint="eastAsia" w:ascii="宋体" w:hAnsi="宋体" w:eastAsia="宋体" w:cs="宋体"/>
          <w:bCs/>
          <w:spacing w:val="0"/>
          <w:kern w:val="0"/>
          <w:sz w:val="24"/>
          <w:szCs w:val="24"/>
          <w:highlight w:val="none"/>
          <w:lang w:val="en-US" w:eastAsia="zh-CN" w:bidi="ar-SA"/>
        </w:rPr>
        <w:t>在紧急情况下，总监理工程师或被授权的监理人员可以当场发出口头指令，承包人应遵照执行。监理人应在发出口头指令后24小时内发出书面指令予以确认。</w:t>
      </w:r>
    </w:p>
    <w:p w14:paraId="7409702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w:t>
      </w:r>
      <w:r>
        <w:rPr>
          <w:rFonts w:hint="eastAsia" w:ascii="宋体" w:hAnsi="宋体" w:eastAsia="宋体" w:cs="宋体"/>
          <w:bCs/>
          <w:spacing w:val="0"/>
          <w:kern w:val="0"/>
          <w:sz w:val="24"/>
          <w:szCs w:val="24"/>
          <w:highlight w:val="none"/>
          <w:lang w:val="en-US" w:eastAsia="zh-CN" w:bidi="ar-SA"/>
        </w:rPr>
        <w:t>除合同另有约定外，承包人只从总监理工程师或按上述（1）项被授权的监理人员处取得指令。</w:t>
      </w:r>
    </w:p>
    <w:p w14:paraId="533BB22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（7）</w:t>
      </w:r>
      <w:r>
        <w:rPr>
          <w:rFonts w:hint="eastAsia" w:ascii="宋体" w:hAnsi="宋体" w:eastAsia="宋体" w:cs="宋体"/>
          <w:bCs/>
          <w:spacing w:val="0"/>
          <w:kern w:val="0"/>
          <w:sz w:val="24"/>
          <w:szCs w:val="24"/>
          <w:highlight w:val="none"/>
          <w:lang w:val="en-US" w:eastAsia="zh-CN" w:bidi="ar-SA"/>
        </w:rPr>
        <w:t>由于总监理工程师未能按合同约定履行职责或总监理工程师指令错误而延误工期的，工期顺延情形只适用于一般节点工期。</w:t>
      </w:r>
    </w:p>
    <w:p w14:paraId="496A0863">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2.3.3监理人可根据工程进展和工作需要调整项目监理机构人员，应提前7天向委托人书面报告，并经委托人同意后方可更换。</w:t>
      </w:r>
    </w:p>
    <w:p w14:paraId="7FB40ACB">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2.5提交报告</w:t>
      </w:r>
    </w:p>
    <w:p w14:paraId="1C1439B5">
      <w:pPr>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bCs/>
          <w:snapToGrid w:val="0"/>
          <w:kern w:val="0"/>
          <w:sz w:val="24"/>
          <w:highlight w:val="none"/>
        </w:rPr>
        <w:t>监理人应向委托人提交的监理与相关服务报告的种类、时间和份数,由委托人的项目工作小组与监理人的</w:t>
      </w:r>
      <w:r>
        <w:rPr>
          <w:rFonts w:hint="eastAsia" w:ascii="宋体" w:hAnsi="宋体" w:eastAsia="宋体" w:cs="宋体"/>
          <w:kern w:val="0"/>
          <w:sz w:val="24"/>
          <w:highlight w:val="none"/>
        </w:rPr>
        <w:t>项目监理机构在监理服务过程中</w:t>
      </w:r>
      <w:r>
        <w:rPr>
          <w:rFonts w:hint="eastAsia" w:ascii="宋体" w:hAnsi="宋体" w:eastAsia="宋体" w:cs="宋体"/>
          <w:bCs/>
          <w:snapToGrid w:val="0"/>
          <w:kern w:val="0"/>
          <w:sz w:val="24"/>
          <w:highlight w:val="none"/>
        </w:rPr>
        <w:t>协商确定并按委托人项目工作小组的意见执行。</w:t>
      </w:r>
    </w:p>
    <w:p w14:paraId="3C2294B3">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2.8</w:t>
      </w:r>
      <w:r>
        <w:rPr>
          <w:rFonts w:hint="eastAsia" w:ascii="宋体" w:hAnsi="宋体" w:eastAsia="宋体" w:cs="宋体"/>
          <w:spacing w:val="0"/>
          <w:kern w:val="0"/>
          <w:sz w:val="24"/>
          <w:szCs w:val="24"/>
          <w:highlight w:val="none"/>
          <w:lang w:val="en-US" w:eastAsia="zh-CN" w:bidi="ar-SA"/>
        </w:rPr>
        <w:t>监理人应对其派驻的项目监理机构在监理业务范围内的工作全面负责，并提供一切必要的支持。</w:t>
      </w:r>
    </w:p>
    <w:p w14:paraId="5253E81F">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2.9</w:t>
      </w:r>
      <w:r>
        <w:rPr>
          <w:rFonts w:hint="eastAsia" w:ascii="宋体" w:hAnsi="宋体" w:eastAsia="宋体" w:cs="宋体"/>
          <w:spacing w:val="0"/>
          <w:kern w:val="0"/>
          <w:sz w:val="24"/>
          <w:szCs w:val="24"/>
          <w:highlight w:val="none"/>
          <w:lang w:val="en-US" w:eastAsia="zh-CN" w:bidi="ar-SA"/>
        </w:rPr>
        <w:t>监理人在本合同履行期内必须接受委托人有关项目管理机构职权规定的约束，监理人应对提供给本项目服务的人员经常进行检查、指导、管理及后方支持，对他们完成的服务承担责任。</w:t>
      </w:r>
    </w:p>
    <w:p w14:paraId="23432DD8">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2.10</w:t>
      </w:r>
      <w:r>
        <w:rPr>
          <w:rFonts w:hint="eastAsia" w:ascii="宋体" w:hAnsi="宋体" w:eastAsia="宋体" w:cs="宋体"/>
          <w:spacing w:val="0"/>
          <w:kern w:val="0"/>
          <w:sz w:val="24"/>
          <w:szCs w:val="24"/>
          <w:highlight w:val="none"/>
          <w:lang w:val="en-US" w:eastAsia="zh-CN" w:bidi="ar-SA"/>
        </w:rPr>
        <w:t>监理工程师在本合同工程中，对工程质量、投资与进度进行控制，办理合同约定的各项手续。监理工程师在办理各种手续时，不得扣压和延误。</w:t>
      </w:r>
    </w:p>
    <w:p w14:paraId="3301512B">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2.11</w:t>
      </w:r>
      <w:r>
        <w:rPr>
          <w:rFonts w:hint="eastAsia" w:ascii="宋体" w:hAnsi="宋体" w:eastAsia="宋体" w:cs="宋体"/>
          <w:spacing w:val="0"/>
          <w:kern w:val="0"/>
          <w:sz w:val="24"/>
          <w:szCs w:val="24"/>
          <w:highlight w:val="none"/>
          <w:lang w:val="en-US" w:eastAsia="zh-CN" w:bidi="ar-SA"/>
        </w:rPr>
        <w:t>在任何情况下（包括合同另有约定的情况），凡涉及工程变更、工程量增减、议价、索赔、处理事故、改变工期、改变技术标准、改变重大施工方案等及一切有关费用的问题，均需与委托人共同商定，报委托人批准。</w:t>
      </w:r>
    </w:p>
    <w:p w14:paraId="2433BC61">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2.12</w:t>
      </w:r>
      <w:r>
        <w:rPr>
          <w:rFonts w:hint="eastAsia" w:ascii="宋体" w:hAnsi="宋体" w:eastAsia="宋体" w:cs="宋体"/>
          <w:spacing w:val="0"/>
          <w:kern w:val="0"/>
          <w:sz w:val="24"/>
          <w:szCs w:val="24"/>
          <w:highlight w:val="none"/>
          <w:lang w:val="en-US" w:eastAsia="zh-CN" w:bidi="ar-SA"/>
        </w:rPr>
        <w:t>本合同工程质量实行承包人自检、监理人、委托人和政府监督的多级管理体制。对工程质量出现问题返工而造成的一切经济和工期损失，由承包人承担，并按合同约定承担相应的违约责任。监理人根据本合同约定承担相应的责任。监理人对某一分部或分项工程的认可不影响政府监督机构或委托人在事后的否定。</w:t>
      </w:r>
    </w:p>
    <w:p w14:paraId="6DA10350">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2.13</w:t>
      </w:r>
      <w:r>
        <w:rPr>
          <w:rFonts w:hint="eastAsia" w:ascii="宋体" w:hAnsi="宋体" w:eastAsia="宋体" w:cs="宋体"/>
          <w:spacing w:val="0"/>
          <w:kern w:val="0"/>
          <w:sz w:val="24"/>
          <w:szCs w:val="24"/>
          <w:highlight w:val="none"/>
          <w:lang w:val="en-US" w:eastAsia="zh-CN" w:bidi="ar-SA"/>
        </w:rPr>
        <w:t>监理人应尽一切努力，高效又经济地按照合同约定及行业通常接受的技术和惯例履行服务，遵守正确的管理和工程惯例，使用适当的先进技术和安全有效的设备、仪器、材料和方法，就与本合同约定服务有关的事宜，监理人始终作为委托人的忠实顾问，认真、充分履行其监理职责。在与承包人的交往中维护委托人的合法利益，力争使其服务达到委托人满意。</w:t>
      </w:r>
    </w:p>
    <w:p w14:paraId="190EE273">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2.14</w:t>
      </w:r>
      <w:r>
        <w:rPr>
          <w:rFonts w:hint="eastAsia" w:ascii="宋体" w:hAnsi="宋体" w:eastAsia="宋体" w:cs="宋体"/>
          <w:spacing w:val="0"/>
          <w:kern w:val="0"/>
          <w:sz w:val="24"/>
          <w:szCs w:val="24"/>
          <w:highlight w:val="none"/>
          <w:lang w:val="en-US" w:eastAsia="zh-CN" w:bidi="ar-SA"/>
        </w:rPr>
        <w:t>监理人必须不折不扣地履行其工作职责，不得推托或耽误，不能有不履行或不完全履行职务的行为，否则，必须承担相应的违约责任。</w:t>
      </w:r>
    </w:p>
    <w:p w14:paraId="7957FCC0">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2.15</w:t>
      </w:r>
      <w:r>
        <w:rPr>
          <w:rFonts w:hint="eastAsia" w:ascii="宋体" w:hAnsi="宋体" w:eastAsia="宋体" w:cs="宋体"/>
          <w:spacing w:val="0"/>
          <w:kern w:val="0"/>
          <w:sz w:val="24"/>
          <w:szCs w:val="24"/>
          <w:highlight w:val="none"/>
          <w:lang w:val="en-US" w:eastAsia="zh-CN" w:bidi="ar-SA"/>
        </w:rPr>
        <w:t>对于委托人及承包人书面提交并要求作出决定的事宜，监理人应在3日内作出书面答复，对影响施工现场进度的事项应在24小时内作出具有明确处理意见的书面答复。</w:t>
      </w:r>
    </w:p>
    <w:p w14:paraId="6FEFAFDF">
      <w:pPr>
        <w:pStyle w:val="222"/>
        <w:ind w:firstLine="482"/>
        <w:rPr>
          <w:rFonts w:hint="eastAsia" w:ascii="宋体" w:hAnsi="宋体" w:eastAsia="宋体" w:cs="宋体"/>
          <w:b w:val="0"/>
          <w:spacing w:val="0"/>
          <w:highlight w:val="none"/>
        </w:rPr>
      </w:pPr>
      <w:r>
        <w:rPr>
          <w:rFonts w:hint="eastAsia" w:ascii="宋体" w:hAnsi="宋体" w:eastAsia="宋体" w:cs="宋体"/>
          <w:b/>
          <w:spacing w:val="0"/>
          <w:kern w:val="0"/>
          <w:sz w:val="24"/>
          <w:szCs w:val="24"/>
          <w:highlight w:val="none"/>
          <w:lang w:val="en-US" w:eastAsia="zh-CN" w:bidi="ar-SA"/>
        </w:rPr>
        <w:t>2.16</w:t>
      </w:r>
      <w:r>
        <w:rPr>
          <w:rFonts w:hint="eastAsia" w:ascii="宋体" w:hAnsi="宋体" w:eastAsia="宋体" w:cs="宋体"/>
          <w:b w:val="0"/>
          <w:spacing w:val="0"/>
          <w:highlight w:val="none"/>
        </w:rPr>
        <w:t>监理人应在发出中标通知书 20 日内，向委托人提交由在中国注册的银行（或担保公司或保险机构）开出的担保金额为合同价款的 10％（即人民币      元）的《履约保函》原件。</w:t>
      </w:r>
    </w:p>
    <w:p w14:paraId="16A85210">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val="0"/>
          <w:spacing w:val="0"/>
          <w:sz w:val="24"/>
          <w:szCs w:val="24"/>
          <w:highlight w:val="none"/>
        </w:rPr>
        <w:t>承包人在收到中标通知书后 20天之内并在签订合同协议书之前，应向发包人提交履约担保。履约担保可以采用银行保函或担保公司或保险公司担保等形式，提交履约保函的具体要求应满足发包人要求，符合《省属代建项目履约保函管理办法》（粤代建办〔2024〕28号，以发包人最新文件为准），具体可由合同当事人在专用合同条款中约定。担保的正本由发包人保存，执行本条各项要求所需的费用由承包人承担。</w:t>
      </w:r>
    </w:p>
    <w:p w14:paraId="17881B14">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2.17</w:t>
      </w:r>
      <w:r>
        <w:rPr>
          <w:rFonts w:hint="eastAsia" w:ascii="宋体" w:hAnsi="宋体" w:eastAsia="宋体" w:cs="宋体"/>
          <w:spacing w:val="0"/>
          <w:kern w:val="0"/>
          <w:sz w:val="24"/>
          <w:szCs w:val="24"/>
          <w:highlight w:val="none"/>
          <w:lang w:val="en-US" w:eastAsia="zh-CN" w:bidi="ar-SA"/>
        </w:rPr>
        <w:t>监理人如未能在上述约定的时间内提交履约保函的，视为自动放弃中标资格。</w:t>
      </w:r>
    </w:p>
    <w:p w14:paraId="7B087DD1">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2.18</w:t>
      </w:r>
      <w:r>
        <w:rPr>
          <w:rFonts w:hint="eastAsia" w:ascii="宋体" w:hAnsi="宋体" w:eastAsia="宋体" w:cs="宋体"/>
          <w:spacing w:val="0"/>
          <w:kern w:val="0"/>
          <w:sz w:val="24"/>
          <w:szCs w:val="24"/>
          <w:highlight w:val="none"/>
          <w:lang w:val="en-US" w:eastAsia="zh-CN" w:bidi="ar-SA"/>
        </w:rPr>
        <w:t>监理人提交的履约保函是对本合同约定的监理人的全部义务（包括但不限于监理人违约后应支付的违约金和赔偿金）的担保，监理人的任何一次不履行或不完全履行合同义务的行为，委托人均有权向出函担保机构提出索赔。</w:t>
      </w:r>
    </w:p>
    <w:p w14:paraId="411429B7">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2.19</w:t>
      </w:r>
      <w:r>
        <w:rPr>
          <w:rFonts w:hint="eastAsia" w:ascii="宋体" w:hAnsi="宋体" w:eastAsia="宋体" w:cs="宋体"/>
          <w:spacing w:val="0"/>
          <w:kern w:val="0"/>
          <w:sz w:val="24"/>
          <w:szCs w:val="24"/>
          <w:highlight w:val="none"/>
          <w:lang w:val="en-US" w:eastAsia="zh-CN" w:bidi="ar-SA"/>
        </w:rPr>
        <w:t>监理人不履行或不完全履行合同义务的行为导致委托人依据履约保函向担保机构索赔履约保函金额的一部分或者全部的，监理人必须在委托人规定的时间内补充提交履约保函，使得本合同履行期间有效的履约保函金额等于监理人第一次提交的履约保函金额。</w:t>
      </w:r>
    </w:p>
    <w:p w14:paraId="16846085">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2.20</w:t>
      </w:r>
      <w:r>
        <w:rPr>
          <w:rFonts w:hint="eastAsia" w:ascii="宋体" w:hAnsi="宋体" w:eastAsia="宋体" w:cs="宋体"/>
          <w:spacing w:val="0"/>
          <w:kern w:val="0"/>
          <w:sz w:val="24"/>
          <w:szCs w:val="24"/>
          <w:highlight w:val="none"/>
          <w:lang w:val="en-US" w:eastAsia="zh-CN" w:bidi="ar-SA"/>
        </w:rPr>
        <w:t>如果监理人不按委托人的要求及时补充提交履约保函，则委托人有权单方面部分解除或解除本合同，并按专用条款第4.1.1.1（4）、（5）款的有关约定执行。</w:t>
      </w:r>
    </w:p>
    <w:p w14:paraId="5BBB931D">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2.21</w:t>
      </w:r>
      <w:r>
        <w:rPr>
          <w:rFonts w:hint="eastAsia" w:ascii="宋体" w:hAnsi="宋体" w:eastAsia="宋体" w:cs="宋体"/>
          <w:b w:val="0"/>
          <w:spacing w:val="0"/>
          <w:kern w:val="0"/>
          <w:sz w:val="24"/>
          <w:szCs w:val="24"/>
          <w:highlight w:val="none"/>
        </w:rPr>
        <w:t>工程结算审定且缺陷责任期满后，监理人可以向委托人申请退还履约保函。</w:t>
      </w:r>
    </w:p>
    <w:p w14:paraId="7EDBB170">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2.22</w:t>
      </w:r>
      <w:r>
        <w:rPr>
          <w:rFonts w:hint="eastAsia" w:ascii="宋体" w:hAnsi="宋体" w:eastAsia="宋体" w:cs="宋体"/>
          <w:spacing w:val="0"/>
          <w:kern w:val="0"/>
          <w:sz w:val="24"/>
          <w:szCs w:val="24"/>
          <w:highlight w:val="none"/>
          <w:lang w:val="en-US" w:eastAsia="zh-CN" w:bidi="ar-SA"/>
        </w:rPr>
        <w:t>监理人应在监理服务期内，办理派驻到项目所在地人员人身和自备财产的有关保险，保险时间应随服务时间的延长而顺延，并在出险后自行办理索赔。如果监理人不办理上述保险，则应对有关风险及后果自负其责。同时，监理人应尽一切合理的努力，按委托人可接受的条件对监理人的责任、第三方的责任以及委托人为监理服务提供的财产等进行保险。上述有关费用由监理人承担。</w:t>
      </w:r>
    </w:p>
    <w:p w14:paraId="3AB09593">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监理人不按上述约定购买保险所产生的后果，由监理人自行承担。</w:t>
      </w:r>
    </w:p>
    <w:p w14:paraId="1F54AADB">
      <w:pPr>
        <w:widowControl w:val="0"/>
        <w:topLinePunct/>
        <w:adjustRightInd w:val="0"/>
        <w:snapToGrid w:val="0"/>
        <w:spacing w:line="360" w:lineRule="auto"/>
        <w:ind w:firstLine="199" w:firstLineChars="83"/>
        <w:jc w:val="both"/>
        <w:rPr>
          <w:rFonts w:hint="eastAsia" w:ascii="宋体" w:hAnsi="宋体" w:eastAsia="宋体" w:cs="宋体"/>
          <w:spacing w:val="0"/>
          <w:kern w:val="0"/>
          <w:sz w:val="24"/>
          <w:szCs w:val="24"/>
          <w:highlight w:val="none"/>
          <w:lang w:val="en-US" w:eastAsia="zh-CN" w:bidi="ar-SA"/>
        </w:rPr>
      </w:pPr>
    </w:p>
    <w:p w14:paraId="4352E621">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3．委托人的义务</w:t>
      </w:r>
    </w:p>
    <w:p w14:paraId="0251FF42">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3.2提供资料</w:t>
      </w:r>
    </w:p>
    <w:p w14:paraId="5B3169A4">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委托人向监理人免费提供下列文件、资料：</w:t>
      </w:r>
    </w:p>
    <w:p w14:paraId="620535FE">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（1）委托人与承包人签订的施工合同文本1份；</w:t>
      </w:r>
    </w:p>
    <w:p w14:paraId="01244BBE">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（2）合同图纸和相关的标准图纸及说明3套；</w:t>
      </w:r>
    </w:p>
    <w:p w14:paraId="2400DAC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（3）施工图纸及说明3套；</w:t>
      </w:r>
    </w:p>
    <w:p w14:paraId="00201182">
      <w:pPr>
        <w:widowControl w:val="0"/>
        <w:topLinePunct/>
        <w:adjustRightInd w:val="0"/>
        <w:snapToGrid w:val="0"/>
        <w:spacing w:line="360" w:lineRule="auto"/>
        <w:ind w:firstLine="480"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（4）监理人完成本合同监理工作所必须的其他文件和资料。</w:t>
      </w:r>
    </w:p>
    <w:p w14:paraId="3CA97C09">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3.3提供工作条件</w:t>
      </w:r>
    </w:p>
    <w:p w14:paraId="27117D85">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3.3.1在监理服务期间，委托人仅向监理人提供项目监理机构办公用房、住宿用房（不包括房内的设施）及接通水电，其他满足本合同约定监理工作需要的人员、办公、交通、通讯、生活等设施全部由监理人自行解决。监理人应在现场开办食堂（由委托人提供场地），解决驻场监理工作人员的饮食，不得与承包人同食同住；监理人应安排专人负责委托人和监理人现场办公用房、住宿用房的保洁工作。上述费用已包含在监理酬金中。</w:t>
      </w:r>
    </w:p>
    <w:p w14:paraId="266BDFAA">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对监理人自备的设施，监理人不得向委托人索取任何经济补偿。</w:t>
      </w:r>
    </w:p>
    <w:p w14:paraId="2FF2C6A3">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项目监理机构应根据工程项目类别、规模、技术复杂程度、工程项目所在地的环境条件，按本合同的约定，配备满足监理工作需要的常规检测设备和工具。</w:t>
      </w:r>
    </w:p>
    <w:p w14:paraId="433357E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项目监理机构应配备足够实施监理工作的计算机辅助管理。</w:t>
      </w:r>
    </w:p>
    <w:p w14:paraId="1C7E3AD8">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3.3.2委托人根据需要有权指令监理人协调部分外部关系，委托人对此无需支付任何酬金。</w:t>
      </w:r>
    </w:p>
    <w:p w14:paraId="26BD2A31">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3.4委托人代表</w:t>
      </w:r>
    </w:p>
    <w:p w14:paraId="67489071">
      <w:pPr>
        <w:widowControl w:val="0"/>
        <w:topLinePunct/>
        <w:adjustRightInd w:val="0"/>
        <w:snapToGrid w:val="0"/>
        <w:spacing w:line="360" w:lineRule="auto"/>
        <w:ind w:firstLine="480"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委托人代表由委托人项目工作小组委派。</w:t>
      </w:r>
    </w:p>
    <w:p w14:paraId="64F8476F">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3.6答复</w:t>
      </w:r>
    </w:p>
    <w:p w14:paraId="11B5CAC1">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委托人应在3日内对监理人书面提交并要求作出决定的事宜作出书面答复。</w:t>
      </w:r>
    </w:p>
    <w:p w14:paraId="3C1F9B2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p>
    <w:p w14:paraId="1D8CF6B7">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4.违约责任</w:t>
      </w:r>
    </w:p>
    <w:p w14:paraId="601D1E13">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4.1</w:t>
      </w:r>
      <w:r>
        <w:rPr>
          <w:rFonts w:hint="eastAsia" w:ascii="宋体" w:hAnsi="宋体" w:eastAsia="宋体" w:cs="宋体"/>
          <w:b/>
          <w:spacing w:val="0"/>
          <w:kern w:val="0"/>
          <w:sz w:val="24"/>
          <w:szCs w:val="24"/>
          <w:highlight w:val="none"/>
          <w:lang w:val="en-US" w:eastAsia="zh-CN" w:bidi="ar-SA"/>
        </w:rPr>
        <w:t>监理人的违约责任</w:t>
      </w:r>
    </w:p>
    <w:p w14:paraId="71F7FF4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4.1.1监理人违反本合同的约定或未按本合同约定履行相关义务的，应当按约定向委托人承担相应的违约责任。</w:t>
      </w:r>
    </w:p>
    <w:p w14:paraId="2CFD499C">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4.1.1.1监理人承担违约责任的方式（包括但不限于）</w:t>
      </w:r>
    </w:p>
    <w:p w14:paraId="7F62C24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书面警告。监理人未履行或未按时履行或未按质履行义务或不执行委托人（含主管人员）的指令时，委托人有权向监理人发出书面警告。监理人必须在书面警告限定的时间内履行义务，否则应承担1次一般违约责任。</w:t>
      </w:r>
    </w:p>
    <w:p w14:paraId="5509B73A">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（2）一般违约责任。监理人按本合同约定应当承担一般违约责任时，第一次必须向委托人交纳违约金</w:t>
      </w:r>
      <w:r>
        <w:rPr>
          <w:rFonts w:hint="eastAsia" w:ascii="宋体" w:hAnsi="宋体" w:eastAsia="宋体" w:cs="宋体"/>
          <w:spacing w:val="0"/>
          <w:kern w:val="0"/>
          <w:sz w:val="24"/>
          <w:szCs w:val="24"/>
          <w:highlight w:val="none"/>
          <w:lang w:val="en-US" w:eastAsia="zh-CN" w:bidi="ar-SA"/>
        </w:rPr>
        <w:t>2000元</w:t>
      </w:r>
      <w:r>
        <w:rPr>
          <w:rFonts w:hint="eastAsia" w:ascii="宋体" w:hAnsi="宋体" w:eastAsia="宋体" w:cs="宋体"/>
          <w:bCs/>
          <w:spacing w:val="0"/>
          <w:kern w:val="0"/>
          <w:sz w:val="24"/>
          <w:szCs w:val="24"/>
          <w:highlight w:val="none"/>
          <w:lang w:val="en-US" w:eastAsia="zh-CN" w:bidi="ar-SA"/>
        </w:rPr>
        <w:t>/次；第二次承担同一违约性质的一般违约责任时，监理人应向委托人交纳的违约金为第一次交纳金额的2倍；第三次承担同一违约性质的一般违约责任时，监理人应向委托人交纳的违约金为第一次交纳金额的3倍；以此类推，但每次交纳的金额最高不超过第一次交纳金额的5倍。本合同另有约定的，从其约定。</w:t>
      </w:r>
    </w:p>
    <w:p w14:paraId="7521E676">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（3）严重违约责任。监理人按本合同约定应当承担严重违约责任时，必须向委托人交纳违约金</w:t>
      </w:r>
      <w:r>
        <w:rPr>
          <w:rFonts w:hint="eastAsia" w:ascii="宋体" w:hAnsi="宋体" w:eastAsia="宋体" w:cs="宋体"/>
          <w:spacing w:val="0"/>
          <w:kern w:val="0"/>
          <w:sz w:val="24"/>
          <w:szCs w:val="24"/>
          <w:highlight w:val="none"/>
          <w:lang w:val="en-US" w:eastAsia="zh-CN" w:bidi="ar-SA"/>
        </w:rPr>
        <w:t>10000元</w:t>
      </w:r>
      <w:r>
        <w:rPr>
          <w:rFonts w:hint="eastAsia" w:ascii="宋体" w:hAnsi="宋体" w:eastAsia="宋体" w:cs="宋体"/>
          <w:bCs/>
          <w:spacing w:val="0"/>
          <w:kern w:val="0"/>
          <w:sz w:val="24"/>
          <w:szCs w:val="24"/>
          <w:highlight w:val="none"/>
          <w:lang w:val="en-US" w:eastAsia="zh-CN" w:bidi="ar-SA"/>
        </w:rPr>
        <w:t>/次。</w:t>
      </w:r>
    </w:p>
    <w:p w14:paraId="6A644DA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部分解除合同。委托人依本合同约定向监理人发出部分解除合同的通知后，本合同部分解除即生效。于此情形下，监理人必须在收到委托人部分解除合同通知之日起3日内停止被解除部分的工作，5日内配合委托人完成现场工作和有关资料的移交，所交接资料必须完整。监理人无特殊原因未在要求期限内完成移交和撤出，或交接资料不完整的，委托人有权处理其留在现场的材料、设备和其他物件，处理费用由监理人承担，且委托人有权视情况全部解除合同。因监理人拒交或延误交接现场工作和有关资料而引致委托人工期延误及其他方面的损失，委托人有权要求监理人赔偿有关损失。委托人在发出部分解除合同的通知后，委托人即可委托新的监理单位承接该部分工程的监理，监理人不得影响或阻碍新的监理单位办理进场手续和相关工作。</w:t>
      </w:r>
    </w:p>
    <w:p w14:paraId="45996BC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5）解除合同。委托人依本合同约定向监理人发出解除合同的通知后，本合同即宣告解除。于此情形下，监理人必须在收到委托人解除合同通知之日起3日内停止全部工作，5日内配合委托人完成现场工作和有关资料的移交，并于完成交接工作当日内离场。监理人应保证所移交的资料齐全完整，监理人无特殊原因未在要求期限内完成移交和离场或所移交的资料不完整的，委托人有权处理其留在现场的材料、设备和其他物件，处理费用由监理人承担，如果引致委托人工期延误和其他方面的损失，委托人将要求监理人赔偿有关损失。委托人在发出解除合同的通知后，委托人即可委托新的监理单位承接本合同工程的监理，监理人不得影响或阻碍新的监理单位办理进场手续和相关工作。</w:t>
      </w:r>
    </w:p>
    <w:p w14:paraId="49E1E59C">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赔偿损失。因监理人违约或工作失误给委托人造成损失的，监理人应向委托人赔偿经济损失，赔偿总金额不应超过本合同监理酬金暂定金额；但如果损失是由于监理人故意或严重渎职造成的，监理人应承担全部赔偿责任。</w:t>
      </w:r>
    </w:p>
    <w:p w14:paraId="67A40E7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4.1.1.2监理人累计承担书面警告达3次的，则另行追加一般违约责任1次；监理人累计承担一般违约责任达3次的，则另行追加严重违约责任1次；监理人累计承担严重违约责任达3次或者工程进度严重滞后的，委托人有权要求监理人的法定代表人驻场办公，代行总监理工程师职责，直至委托人满意其监理工作时方可离场。</w:t>
      </w:r>
    </w:p>
    <w:p w14:paraId="4404696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4.1.1.3当监理人违约需向委托人支付违约金或赔偿金时，委托人有权从应支付给监理人的监理酬金中直接扣除，扣除款项计入累计监理酬金进度款，结算时不予退还，监理人不得有异议。同时，委托人保留进一步依法追究监理人及其保证人有关责任的权利。</w:t>
      </w:r>
    </w:p>
    <w:p w14:paraId="077775D9">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4.1.1.4当监理人无正当理由而不履行或没有全面且适当履行其相关承诺及监理义务时，委托人有权书面通知监理人，指明其未能履约的内容和委托人要求其承担违约责任的等级。</w:t>
      </w:r>
    </w:p>
    <w:p w14:paraId="3A533F1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4.1.1.4.1监理组织管理方面的违约责任</w:t>
      </w:r>
    </w:p>
    <w:p w14:paraId="04BC897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监理人承诺主动支持委托人的工作，若无正当理由又未提前向委托人报告且未得到委托人同意的，而对委托人的指令和书面通知，公开或变相拒不执行的，属于违约，监理人承担一般违约责任1次；监理人因此而再次违约的，每违约一次，监理人承担严重违约责任1次；情节特别严重的，委托人有权单方面部分解除合同或解除合同。同时，监理人还须承担由此造成的经济损失。</w:t>
      </w:r>
    </w:p>
    <w:p w14:paraId="23FF0A99">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监理人不遵守委托人依据专用条款总则第六条约定所制订的各项制度、规定的，由监理人按所违反制度、规定的有关规定承担违约责任。相应制度、规定没有明确规定的，由委托人参照专用条款第4.1.1.4.1（1）款的约定处理。</w:t>
      </w:r>
    </w:p>
    <w:p w14:paraId="4CE582BA">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（3）监理人未按承诺建立组织架构、派驻监理人员和投入设备，监理人必须按委托人要求限期整改，并承担相应违约责任，具体约定为：</w:t>
      </w:r>
    </w:p>
    <w:p w14:paraId="5441B395">
      <w:pPr>
        <w:widowControl w:val="0"/>
        <w:tabs>
          <w:tab w:val="left" w:pos="720"/>
        </w:tabs>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在委托人书面通知监理人进场后3日内，监理人在投标文件中承诺的主要监理人员未能足额到位，或到位后又离开，造成该岗位空缺，或未按承诺依时、足额投入有关设备的，监理人应向委托人书面解释并保证人员、设备限期到位；如果监理人拒不配合，未在委托人提出限期改正的期限内进行整改的，监理人承担严重违约责任1次。于此情形下，委托人有权单方面解除合同，并要求监理人承担由此造成的损失。</w:t>
      </w:r>
    </w:p>
    <w:p w14:paraId="46B6EEC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监理人必须严格按照投标承诺投入监理人员，调换监理人员必须提出书面报告并附上替代人员的所有证明资料，经委托人审核书面同意后才能调换。委托人要求监理人更换监理人员时，监理人在接到委托人通知后三天内安排更换到位，否则，委托人有权延期支付监理酬金，并由委托人直接另行聘请监理人员，聘请人员所需费用按专用条款第</w:t>
      </w:r>
      <w:r>
        <w:rPr>
          <w:rFonts w:hint="eastAsia" w:ascii="宋体" w:hAnsi="宋体" w:eastAsia="宋体" w:cs="宋体"/>
          <w:spacing w:val="0"/>
          <w:kern w:val="0"/>
          <w:sz w:val="24"/>
          <w:szCs w:val="24"/>
          <w:highlight w:val="none"/>
          <w:lang w:val="en-US" w:eastAsia="zh-CN" w:bidi="ar-SA"/>
        </w:rPr>
        <w:t>2.3.1</w:t>
      </w:r>
      <w:r>
        <w:rPr>
          <w:rFonts w:hint="eastAsia" w:ascii="宋体" w:hAnsi="宋体" w:eastAsia="宋体" w:cs="宋体"/>
          <w:bCs/>
          <w:spacing w:val="0"/>
          <w:kern w:val="0"/>
          <w:sz w:val="24"/>
          <w:szCs w:val="24"/>
          <w:highlight w:val="none"/>
          <w:lang w:val="en-US" w:eastAsia="zh-CN" w:bidi="ar-SA"/>
        </w:rPr>
        <w:t>（12）款的约定执行。同时，监理人按下表的约定承担违约责任；情节严重的，委托人有权单方面解除合同。</w:t>
      </w:r>
    </w:p>
    <w:p w14:paraId="777DBC94">
      <w:pPr>
        <w:widowControl w:val="0"/>
        <w:snapToGrid w:val="0"/>
        <w:spacing w:line="400" w:lineRule="exact"/>
        <w:ind w:firstLine="480" w:firstLineChars="200"/>
        <w:jc w:val="both"/>
        <w:rPr>
          <w:rFonts w:ascii="仿宋_GB2312" w:hAnsi="宋体" w:eastAsia="仿宋_GB2312" w:cs="Times New Roman"/>
          <w:spacing w:val="5"/>
          <w:kern w:val="2"/>
          <w:sz w:val="23"/>
          <w:szCs w:val="21"/>
          <w:highlight w:val="none"/>
          <w:lang w:val="en-US" w:eastAsia="zh-CN" w:bidi="ar-SA"/>
        </w:rPr>
      </w:pPr>
      <w:r>
        <w:rPr>
          <w:rFonts w:hint="eastAsia" w:ascii="仿宋_GB2312" w:hAnsi="宋体" w:eastAsia="仿宋_GB2312" w:cs="Times New Roman"/>
          <w:spacing w:val="5"/>
          <w:kern w:val="2"/>
          <w:sz w:val="23"/>
          <w:szCs w:val="21"/>
          <w:highlight w:val="none"/>
          <w:lang w:val="en-US" w:eastAsia="zh-CN" w:bidi="ar-SA"/>
        </w:rPr>
        <w:t>1）【人员不到位与更换】监理人应在服务期间保证项目组织机构人员的稳定。监理人提交的监理人员名单经委托人确认后，在项目实施的全过程，监理人员不能随意撤换；监理人更换项目主要负责人（总监理工程师）应取得委托人的书面同意。除死亡、重病或重伤（持有县、区以上医院证明）两个月以上不能履行职责的情况，原则上不得更换监理组织机构的主要负责人（总监理工程师）。</w:t>
      </w:r>
    </w:p>
    <w:p w14:paraId="30EB500D">
      <w:pPr>
        <w:tabs>
          <w:tab w:val="left" w:pos="0"/>
          <w:tab w:val="left" w:pos="5400"/>
        </w:tabs>
        <w:autoSpaceDE w:val="0"/>
        <w:autoSpaceDN w:val="0"/>
        <w:adjustRightInd w:val="0"/>
        <w:spacing w:line="360" w:lineRule="auto"/>
        <w:ind w:firstLine="468" w:firstLineChars="200"/>
        <w:rPr>
          <w:rFonts w:hint="eastAsia" w:ascii="宋体" w:hAnsi="宋体" w:eastAsia="宋体" w:cs="Times New Roman"/>
          <w:spacing w:val="12"/>
          <w:kern w:val="0"/>
          <w:sz w:val="21"/>
          <w:szCs w:val="21"/>
          <w:highlight w:val="none"/>
        </w:rPr>
      </w:pPr>
      <w:r>
        <w:rPr>
          <w:rFonts w:hint="eastAsia" w:ascii="宋体" w:hAnsi="宋体" w:eastAsia="宋体" w:cs="Times New Roman"/>
          <w:spacing w:val="12"/>
          <w:kern w:val="0"/>
          <w:sz w:val="21"/>
          <w:szCs w:val="21"/>
          <w:highlight w:val="none"/>
        </w:rPr>
        <w:t>监理人擅自更换总监理工程师，监理人承担30万元违约金；发生总监理工程师不称职需要更换等不能正常履职情况，或委托人不满意未按照委托人要求及时更换总监理工程师，监理人承担15万元违约金；委托人同意更换总监理工程师（除死亡、重病或重伤），监理人承担7.5万元违约金；</w:t>
      </w:r>
    </w:p>
    <w:p w14:paraId="0C684A21">
      <w:pPr>
        <w:tabs>
          <w:tab w:val="left" w:pos="0"/>
          <w:tab w:val="left" w:pos="5400"/>
        </w:tabs>
        <w:autoSpaceDE w:val="0"/>
        <w:autoSpaceDN w:val="0"/>
        <w:adjustRightInd w:val="0"/>
        <w:spacing w:line="360" w:lineRule="auto"/>
        <w:ind w:firstLine="627" w:firstLineChars="268"/>
        <w:rPr>
          <w:rFonts w:ascii="宋体" w:hAnsi="宋体" w:eastAsia="宋体" w:cs="Times New Roman"/>
          <w:spacing w:val="12"/>
          <w:kern w:val="0"/>
          <w:sz w:val="21"/>
          <w:szCs w:val="21"/>
          <w:highlight w:val="none"/>
        </w:rPr>
      </w:pPr>
      <w:r>
        <w:rPr>
          <w:rFonts w:hint="eastAsia" w:ascii="宋体" w:hAnsi="宋体" w:eastAsia="宋体" w:cs="Times New Roman"/>
          <w:spacing w:val="12"/>
          <w:kern w:val="0"/>
          <w:sz w:val="21"/>
          <w:szCs w:val="21"/>
          <w:highlight w:val="none"/>
        </w:rPr>
        <w:t>监理人自行调换或未按照委托人要求及时更换专业监理工程师（含造价工程师），监理人承担1万元违约金。</w:t>
      </w:r>
    </w:p>
    <w:p w14:paraId="1D70559E">
      <w:pPr>
        <w:tabs>
          <w:tab w:val="left" w:pos="0"/>
          <w:tab w:val="left" w:pos="5400"/>
        </w:tabs>
        <w:autoSpaceDE w:val="0"/>
        <w:autoSpaceDN w:val="0"/>
        <w:adjustRightInd w:val="0"/>
        <w:spacing w:line="360" w:lineRule="auto"/>
        <w:ind w:firstLine="627" w:firstLineChars="268"/>
        <w:rPr>
          <w:rFonts w:hint="eastAsia" w:ascii="宋体" w:hAnsi="宋体" w:eastAsia="宋体" w:cs="Times New Roman"/>
          <w:spacing w:val="12"/>
          <w:kern w:val="0"/>
          <w:sz w:val="21"/>
          <w:szCs w:val="21"/>
          <w:highlight w:val="none"/>
        </w:rPr>
      </w:pPr>
      <w:r>
        <w:rPr>
          <w:rFonts w:hint="eastAsia" w:ascii="宋体" w:hAnsi="宋体" w:eastAsia="楷体_GB2312" w:cs="Times New Roman"/>
          <w:spacing w:val="12"/>
          <w:kern w:val="0"/>
          <w:sz w:val="21"/>
          <w:szCs w:val="21"/>
          <w:highlight w:val="none"/>
        </w:rPr>
        <w:t>2）</w:t>
      </w:r>
      <w:r>
        <w:rPr>
          <w:rFonts w:hint="eastAsia" w:ascii="宋体" w:hAnsi="宋体" w:eastAsia="宋体" w:cs="Times New Roman"/>
          <w:spacing w:val="12"/>
          <w:kern w:val="0"/>
          <w:sz w:val="21"/>
          <w:szCs w:val="21"/>
          <w:highlight w:val="none"/>
        </w:rPr>
        <w:t>【监理出勤】监理人员必须有完善的考勤管理记录，委托人支付进度款或双方结算时，考勤管理记录可作为付款或结算的凭证之一。委托人有权随时检查咨询人员在岗情况，如果委托人发现项目组织机构无考勤管理记录，委托人可以不支付该阶段的监理费；如发现考勤管理记录有造假情况，每次监理人承担违约金1万元。如果监理人对承诺的人员数量及安排擅自作了变化，则就变动总人数按照不在岗的办法予以处罚（事后征得委托人书面追认同意的情况除外）。如果不在岗的监理人员一天超过两人或不在岗的记录月超过10人次，视为严重违约，委托人有权发出整改通知。若委托人第二次以书面形式发出整改通知后7天内未收到咨询人书面形式的合理解释，有权提前解除合同及扣减相应部分监理费用；</w:t>
      </w:r>
    </w:p>
    <w:tbl>
      <w:tblPr>
        <w:tblStyle w:val="49"/>
        <w:tblpPr w:leftFromText="180" w:rightFromText="180" w:vertAnchor="text" w:horzAnchor="page" w:tblpX="1267" w:tblpY="154"/>
        <w:tblOverlap w:val="never"/>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09"/>
        <w:gridCol w:w="4664"/>
      </w:tblGrid>
      <w:tr w14:paraId="71EE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307A240">
            <w:pPr>
              <w:widowControl w:val="0"/>
              <w:adjustRightInd w:val="0"/>
              <w:snapToGrid w:val="0"/>
              <w:spacing w:line="36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序号</w:t>
            </w:r>
          </w:p>
        </w:tc>
        <w:tc>
          <w:tcPr>
            <w:tcW w:w="3909" w:type="dxa"/>
            <w:tcBorders>
              <w:top w:val="single" w:color="auto" w:sz="4" w:space="0"/>
              <w:left w:val="single" w:color="auto" w:sz="4" w:space="0"/>
              <w:bottom w:val="single" w:color="auto" w:sz="4" w:space="0"/>
              <w:right w:val="single" w:color="auto" w:sz="4" w:space="0"/>
            </w:tcBorders>
            <w:noWrap w:val="0"/>
            <w:vAlign w:val="center"/>
          </w:tcPr>
          <w:p w14:paraId="2C83B745">
            <w:pPr>
              <w:widowControl w:val="0"/>
              <w:adjustRightInd w:val="0"/>
              <w:snapToGrid w:val="0"/>
              <w:spacing w:line="36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违约项目</w:t>
            </w:r>
          </w:p>
        </w:tc>
        <w:tc>
          <w:tcPr>
            <w:tcW w:w="4664" w:type="dxa"/>
            <w:tcBorders>
              <w:top w:val="single" w:color="auto" w:sz="4" w:space="0"/>
              <w:left w:val="single" w:color="auto" w:sz="4" w:space="0"/>
              <w:bottom w:val="single" w:color="auto" w:sz="4" w:space="0"/>
              <w:right w:val="single" w:color="auto" w:sz="4" w:space="0"/>
            </w:tcBorders>
            <w:noWrap w:val="0"/>
            <w:vAlign w:val="center"/>
          </w:tcPr>
          <w:p w14:paraId="1F79F8E4">
            <w:pPr>
              <w:widowControl w:val="0"/>
              <w:adjustRightInd w:val="0"/>
              <w:snapToGrid w:val="0"/>
              <w:spacing w:line="30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违约金（元/人·次）</w:t>
            </w:r>
          </w:p>
        </w:tc>
      </w:tr>
      <w:tr w14:paraId="0367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AE2036E">
            <w:pPr>
              <w:widowControl w:val="0"/>
              <w:adjustRightInd w:val="0"/>
              <w:snapToGrid w:val="0"/>
              <w:spacing w:line="360" w:lineRule="auto"/>
              <w:jc w:val="center"/>
              <w:rPr>
                <w:rFonts w:hint="eastAsia" w:ascii="宋体" w:hAnsi="宋体" w:eastAsia="宋体"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1</w:t>
            </w:r>
          </w:p>
        </w:tc>
        <w:tc>
          <w:tcPr>
            <w:tcW w:w="3909" w:type="dxa"/>
            <w:tcBorders>
              <w:top w:val="single" w:color="auto" w:sz="4" w:space="0"/>
              <w:left w:val="single" w:color="auto" w:sz="4" w:space="0"/>
              <w:bottom w:val="single" w:color="auto" w:sz="4" w:space="0"/>
              <w:right w:val="single" w:color="auto" w:sz="4" w:space="0"/>
            </w:tcBorders>
            <w:noWrap w:val="0"/>
            <w:vAlign w:val="center"/>
          </w:tcPr>
          <w:p w14:paraId="1F034F65">
            <w:pPr>
              <w:widowControl w:val="0"/>
              <w:adjustRightInd w:val="0"/>
              <w:snapToGrid w:val="0"/>
              <w:spacing w:line="360" w:lineRule="auto"/>
              <w:jc w:val="center"/>
              <w:rPr>
                <w:rFonts w:hint="eastAsia" w:ascii="宋体" w:hAnsi="宋体" w:eastAsia="宋体"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监理人擅自更换监理总监理工程师</w:t>
            </w:r>
          </w:p>
        </w:tc>
        <w:tc>
          <w:tcPr>
            <w:tcW w:w="4664" w:type="dxa"/>
            <w:tcBorders>
              <w:top w:val="single" w:color="auto" w:sz="4" w:space="0"/>
              <w:left w:val="single" w:color="auto" w:sz="4" w:space="0"/>
              <w:bottom w:val="single" w:color="auto" w:sz="4" w:space="0"/>
              <w:right w:val="single" w:color="auto" w:sz="4" w:space="0"/>
            </w:tcBorders>
            <w:noWrap w:val="0"/>
            <w:vAlign w:val="center"/>
          </w:tcPr>
          <w:p w14:paraId="11657C9D">
            <w:pPr>
              <w:widowControl w:val="0"/>
              <w:adjustRightInd w:val="0"/>
              <w:snapToGrid w:val="0"/>
              <w:spacing w:line="30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总监理工程师：30万元/人·次</w:t>
            </w:r>
          </w:p>
          <w:p w14:paraId="6EAA2E5F">
            <w:pPr>
              <w:widowControl w:val="0"/>
              <w:adjustRightInd w:val="0"/>
              <w:snapToGrid w:val="0"/>
              <w:spacing w:line="300" w:lineRule="auto"/>
              <w:jc w:val="left"/>
              <w:rPr>
                <w:rFonts w:hint="eastAsia" w:ascii="宋体" w:hAnsi="宋体" w:eastAsia="楷体_GB2312" w:cs="Times New Roman"/>
                <w:snapToGrid w:val="0"/>
                <w:sz w:val="24"/>
                <w:szCs w:val="24"/>
                <w:highlight w:val="none"/>
                <w:lang w:val="en-US" w:eastAsia="zh-CN" w:bidi="ar-SA"/>
              </w:rPr>
            </w:pPr>
          </w:p>
        </w:tc>
      </w:tr>
      <w:tr w14:paraId="18FE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9C1E556">
            <w:pPr>
              <w:widowControl w:val="0"/>
              <w:adjustRightInd w:val="0"/>
              <w:snapToGrid w:val="0"/>
              <w:spacing w:line="36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2</w:t>
            </w:r>
          </w:p>
        </w:tc>
        <w:tc>
          <w:tcPr>
            <w:tcW w:w="3909" w:type="dxa"/>
            <w:tcBorders>
              <w:top w:val="single" w:color="auto" w:sz="4" w:space="0"/>
              <w:left w:val="single" w:color="auto" w:sz="4" w:space="0"/>
              <w:bottom w:val="single" w:color="auto" w:sz="4" w:space="0"/>
              <w:right w:val="single" w:color="auto" w:sz="4" w:space="0"/>
            </w:tcBorders>
            <w:noWrap w:val="0"/>
            <w:vAlign w:val="center"/>
          </w:tcPr>
          <w:p w14:paraId="33939BF2">
            <w:pPr>
              <w:widowControl w:val="0"/>
              <w:adjustRightInd w:val="0"/>
              <w:snapToGrid w:val="0"/>
              <w:spacing w:line="360" w:lineRule="auto"/>
              <w:jc w:val="center"/>
              <w:rPr>
                <w:rFonts w:hint="eastAsia"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发生总监理工程师不称职需要更换等不能正常履职情况，或委托人不满意未按照委托人要求及时更换</w:t>
            </w:r>
          </w:p>
        </w:tc>
        <w:tc>
          <w:tcPr>
            <w:tcW w:w="4664" w:type="dxa"/>
            <w:tcBorders>
              <w:top w:val="single" w:color="auto" w:sz="4" w:space="0"/>
              <w:left w:val="single" w:color="auto" w:sz="4" w:space="0"/>
              <w:bottom w:val="single" w:color="auto" w:sz="4" w:space="0"/>
              <w:right w:val="single" w:color="auto" w:sz="4" w:space="0"/>
            </w:tcBorders>
            <w:noWrap w:val="0"/>
            <w:vAlign w:val="center"/>
          </w:tcPr>
          <w:p w14:paraId="33CA2983">
            <w:pPr>
              <w:widowControl w:val="0"/>
              <w:adjustRightInd w:val="0"/>
              <w:snapToGrid w:val="0"/>
              <w:spacing w:line="30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总监理工程师：20万元/人·次</w:t>
            </w:r>
          </w:p>
          <w:p w14:paraId="3ACF9ED6">
            <w:pPr>
              <w:widowControl w:val="0"/>
              <w:adjustRightInd w:val="0"/>
              <w:snapToGrid w:val="0"/>
              <w:spacing w:line="300" w:lineRule="auto"/>
              <w:jc w:val="center"/>
              <w:rPr>
                <w:rFonts w:hint="eastAsia" w:ascii="宋体" w:hAnsi="宋体" w:eastAsia="楷体_GB2312" w:cs="Times New Roman"/>
                <w:snapToGrid w:val="0"/>
                <w:sz w:val="24"/>
                <w:szCs w:val="24"/>
                <w:highlight w:val="none"/>
                <w:lang w:val="en-US" w:eastAsia="zh-CN" w:bidi="ar-SA"/>
              </w:rPr>
            </w:pPr>
          </w:p>
        </w:tc>
      </w:tr>
      <w:tr w14:paraId="48A9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B93639A">
            <w:pPr>
              <w:widowControl w:val="0"/>
              <w:adjustRightInd w:val="0"/>
              <w:snapToGrid w:val="0"/>
              <w:spacing w:line="360" w:lineRule="auto"/>
              <w:jc w:val="center"/>
              <w:rPr>
                <w:rFonts w:ascii="宋体" w:hAnsi="宋体" w:eastAsia="宋体"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3</w:t>
            </w:r>
          </w:p>
        </w:tc>
        <w:tc>
          <w:tcPr>
            <w:tcW w:w="3909" w:type="dxa"/>
            <w:tcBorders>
              <w:top w:val="single" w:color="auto" w:sz="4" w:space="0"/>
              <w:left w:val="single" w:color="auto" w:sz="4" w:space="0"/>
              <w:bottom w:val="single" w:color="auto" w:sz="4" w:space="0"/>
              <w:right w:val="single" w:color="auto" w:sz="4" w:space="0"/>
            </w:tcBorders>
            <w:noWrap w:val="0"/>
            <w:vAlign w:val="center"/>
          </w:tcPr>
          <w:p w14:paraId="42F7D1E4">
            <w:pPr>
              <w:widowControl w:val="0"/>
              <w:adjustRightInd w:val="0"/>
              <w:snapToGrid w:val="0"/>
              <w:spacing w:line="360" w:lineRule="auto"/>
              <w:jc w:val="center"/>
              <w:rPr>
                <w:rFonts w:hint="eastAsia"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经委托人同意，监理人调换总监理工程师（除死亡、重病或重伤）</w:t>
            </w:r>
          </w:p>
        </w:tc>
        <w:tc>
          <w:tcPr>
            <w:tcW w:w="4664" w:type="dxa"/>
            <w:tcBorders>
              <w:top w:val="single" w:color="auto" w:sz="4" w:space="0"/>
              <w:left w:val="single" w:color="auto" w:sz="4" w:space="0"/>
              <w:bottom w:val="single" w:color="auto" w:sz="4" w:space="0"/>
              <w:right w:val="single" w:color="auto" w:sz="4" w:space="0"/>
            </w:tcBorders>
            <w:noWrap w:val="0"/>
            <w:vAlign w:val="center"/>
          </w:tcPr>
          <w:p w14:paraId="2390171C">
            <w:pPr>
              <w:widowControl w:val="0"/>
              <w:adjustRightInd w:val="0"/>
              <w:snapToGrid w:val="0"/>
              <w:spacing w:line="300" w:lineRule="auto"/>
              <w:jc w:val="center"/>
              <w:rPr>
                <w:rFonts w:ascii="宋体" w:hAnsi="宋体" w:eastAsia="楷体_GB2312" w:cs="Times New Roman"/>
                <w:snapToGrid w:val="0"/>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总监理工程师：10万元/人·次</w:t>
            </w:r>
          </w:p>
          <w:p w14:paraId="6B8D9710">
            <w:pPr>
              <w:widowControl w:val="0"/>
              <w:adjustRightInd w:val="0"/>
              <w:snapToGrid w:val="0"/>
              <w:spacing w:line="300" w:lineRule="auto"/>
              <w:jc w:val="left"/>
              <w:rPr>
                <w:rFonts w:hint="eastAsia" w:ascii="宋体" w:hAnsi="宋体" w:eastAsia="楷体_GB2312" w:cs="Times New Roman"/>
                <w:bCs/>
                <w:snapToGrid w:val="0"/>
                <w:sz w:val="24"/>
                <w:szCs w:val="24"/>
                <w:highlight w:val="none"/>
                <w:lang w:val="en-US" w:eastAsia="zh-CN" w:bidi="ar-SA"/>
              </w:rPr>
            </w:pPr>
          </w:p>
        </w:tc>
      </w:tr>
      <w:tr w14:paraId="07E5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9EDF49C">
            <w:pPr>
              <w:widowControl w:val="0"/>
              <w:adjustRightInd w:val="0"/>
              <w:snapToGrid w:val="0"/>
              <w:spacing w:line="360" w:lineRule="auto"/>
              <w:jc w:val="center"/>
              <w:rPr>
                <w:rFonts w:ascii="宋体" w:hAnsi="宋体" w:eastAsia="宋体" w:cs="Times New Roman"/>
                <w:snapToGrid w:val="0"/>
                <w:kern w:val="2"/>
                <w:sz w:val="24"/>
                <w:szCs w:val="24"/>
                <w:highlight w:val="none"/>
                <w:lang w:val="en-US" w:eastAsia="zh-CN" w:bidi="ar-SA"/>
              </w:rPr>
            </w:pPr>
            <w:r>
              <w:rPr>
                <w:rFonts w:hint="eastAsia" w:ascii="宋体" w:hAnsi="宋体" w:eastAsia="楷体_GB2312" w:cs="Times New Roman"/>
                <w:snapToGrid w:val="0"/>
                <w:kern w:val="2"/>
                <w:sz w:val="24"/>
                <w:szCs w:val="24"/>
                <w:highlight w:val="none"/>
                <w:lang w:val="en-US" w:eastAsia="zh-CN" w:bidi="ar-SA"/>
              </w:rPr>
              <w:t>4</w:t>
            </w:r>
          </w:p>
        </w:tc>
        <w:tc>
          <w:tcPr>
            <w:tcW w:w="3909" w:type="dxa"/>
            <w:tcBorders>
              <w:top w:val="single" w:color="auto" w:sz="4" w:space="0"/>
              <w:left w:val="single" w:color="auto" w:sz="4" w:space="0"/>
              <w:bottom w:val="single" w:color="auto" w:sz="4" w:space="0"/>
              <w:right w:val="single" w:color="auto" w:sz="4" w:space="0"/>
            </w:tcBorders>
            <w:noWrap w:val="0"/>
            <w:vAlign w:val="center"/>
          </w:tcPr>
          <w:p w14:paraId="3A183C2A">
            <w:pPr>
              <w:widowControl w:val="0"/>
              <w:adjustRightInd w:val="0"/>
              <w:snapToGrid w:val="0"/>
              <w:spacing w:line="360" w:lineRule="auto"/>
              <w:jc w:val="center"/>
              <w:rPr>
                <w:rFonts w:hint="eastAsia" w:ascii="宋体" w:hAnsi="宋体" w:eastAsia="宋体" w:cs="Times New Roman"/>
                <w:snapToGrid w:val="0"/>
                <w:kern w:val="2"/>
                <w:sz w:val="24"/>
                <w:szCs w:val="24"/>
                <w:highlight w:val="none"/>
                <w:lang w:val="en-US" w:eastAsia="zh-CN" w:bidi="ar-SA"/>
              </w:rPr>
            </w:pPr>
            <w:r>
              <w:rPr>
                <w:rFonts w:hint="eastAsia" w:ascii="宋体" w:hAnsi="宋体" w:eastAsia="楷体_GB2312" w:cs="Times New Roman"/>
                <w:snapToGrid w:val="0"/>
                <w:sz w:val="24"/>
                <w:szCs w:val="24"/>
                <w:highlight w:val="none"/>
                <w:lang w:val="en-US" w:eastAsia="zh-CN" w:bidi="ar-SA"/>
              </w:rPr>
              <w:t>监理人自行调换或未按照委托人要求及时更换专业监理工程师（含造价工程师）</w:t>
            </w:r>
          </w:p>
        </w:tc>
        <w:tc>
          <w:tcPr>
            <w:tcW w:w="4664" w:type="dxa"/>
            <w:tcBorders>
              <w:top w:val="single" w:color="auto" w:sz="4" w:space="0"/>
              <w:left w:val="single" w:color="auto" w:sz="4" w:space="0"/>
              <w:bottom w:val="single" w:color="auto" w:sz="4" w:space="0"/>
              <w:right w:val="single" w:color="auto" w:sz="4" w:space="0"/>
            </w:tcBorders>
            <w:noWrap w:val="0"/>
            <w:vAlign w:val="center"/>
          </w:tcPr>
          <w:p w14:paraId="30143E9C">
            <w:pPr>
              <w:widowControl w:val="0"/>
              <w:adjustRightInd w:val="0"/>
              <w:snapToGrid w:val="0"/>
              <w:spacing w:line="300" w:lineRule="auto"/>
              <w:jc w:val="center"/>
              <w:rPr>
                <w:rFonts w:ascii="宋体" w:hAnsi="宋体" w:eastAsia="宋体" w:cs="Times New Roman"/>
                <w:snapToGrid w:val="0"/>
                <w:kern w:val="2"/>
                <w:sz w:val="24"/>
                <w:szCs w:val="24"/>
                <w:highlight w:val="none"/>
                <w:lang w:val="en-US" w:eastAsia="zh-CN" w:bidi="ar-SA"/>
              </w:rPr>
            </w:pPr>
            <w:r>
              <w:rPr>
                <w:rFonts w:hint="eastAsia" w:ascii="宋体" w:hAnsi="宋体" w:eastAsia="楷体_GB2312" w:cs="Times New Roman"/>
                <w:snapToGrid w:val="0"/>
                <w:kern w:val="2"/>
                <w:sz w:val="24"/>
                <w:szCs w:val="24"/>
                <w:highlight w:val="none"/>
                <w:lang w:val="en-US" w:eastAsia="zh-CN" w:bidi="ar-SA"/>
              </w:rPr>
              <w:t>1万元</w:t>
            </w:r>
            <w:r>
              <w:rPr>
                <w:rFonts w:hint="eastAsia" w:ascii="宋体" w:hAnsi="宋体" w:eastAsia="楷体_GB2312" w:cs="Times New Roman"/>
                <w:snapToGrid w:val="0"/>
                <w:sz w:val="24"/>
                <w:szCs w:val="24"/>
                <w:highlight w:val="none"/>
                <w:lang w:val="en-US" w:eastAsia="zh-CN" w:bidi="ar-SA"/>
              </w:rPr>
              <w:t>/人·次</w:t>
            </w:r>
          </w:p>
        </w:tc>
      </w:tr>
    </w:tbl>
    <w:p w14:paraId="3EE528C6">
      <w:pPr>
        <w:widowControl w:val="0"/>
        <w:topLinePunct/>
        <w:adjustRightInd w:val="0"/>
        <w:snapToGrid w:val="0"/>
        <w:spacing w:line="360" w:lineRule="auto"/>
        <w:ind w:firstLine="480" w:firstLineChars="200"/>
        <w:jc w:val="both"/>
        <w:rPr>
          <w:rFonts w:hint="eastAsia" w:ascii="宋体" w:hAnsi="宋体" w:eastAsia="楷体_GB2312" w:cs="Times New Roman"/>
          <w:bCs/>
          <w:spacing w:val="0"/>
          <w:kern w:val="0"/>
          <w:sz w:val="24"/>
          <w:szCs w:val="24"/>
          <w:highlight w:val="none"/>
          <w:lang w:val="en-US" w:eastAsia="zh-CN" w:bidi="ar-SA"/>
        </w:rPr>
      </w:pPr>
    </w:p>
    <w:p w14:paraId="0D3A67E3">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5）对于委托人通知监理人参加的会议（包括但不限于进场会、现场问题处理会议、工程验收会议、结算问题处理会议、质保期工作的相关会议等），被通知人员（包括但不限于监理人的法定代表人、经报委托人批准同意的监理人法定代表人授权人、总监理工程师、项目副总监等）未经委托人书面同意自行缺席的，每缺席一人次监理人承担1次一般违约责任。</w:t>
      </w:r>
    </w:p>
    <w:p w14:paraId="03A83FB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（6）监理人应该定期或不定期组织、主持召开监理例会及各种技术专题会，以及监理规划、监理实施细则和委托人要求必须召开的会议，否则视为违约，每违约一次，监理人承担一般违约责任1次。</w:t>
      </w:r>
    </w:p>
    <w:p w14:paraId="07BD1A8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（7）如监理人违反委托监理协议书第七条、第八条的约定，未在相关信息发生变化时及时将变更情况书面报告委托人的，每经委托人确认1次，监理人承担1次一般违约责任。</w:t>
      </w:r>
    </w:p>
    <w:p w14:paraId="71634530">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（8）①总监、资料员、安全监理员或注册安全工程师必须在施工全过程常驻现场，其他监理人员应驻场的具体阶段由委托人和监理人在合同签订时具体协商确定。</w:t>
      </w:r>
    </w:p>
    <w:p w14:paraId="2EADA09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 xml:space="preserve">   ②监理人员常驻现场的具体要求为：每月不得少于22天，每天不得少于8小时，有事离开施工现场必须向委托人请假批准，否则视为脱岗，脱岗每发生一次，监理人应承担1次一般违约责任；总监不得同时离开施工现场，否则视为脱岗，脱岗每发生一次监理人应承担1次一般违约责任；项目处于赶工期间或处于较大安全隐患期间、重要施工节点期间时，总监、安全监理员或注册安全工程师及根据第①条确定应该驻场的所有监理人员必须24小时在现场，离开施工现场必须向委托人请假批准，否则视为脱岗，脱岗每发生一次监理人应承担1次严重违约责任。</w:t>
      </w:r>
    </w:p>
    <w:p w14:paraId="2E10B468">
      <w:pPr>
        <w:widowControl w:val="0"/>
        <w:topLinePunct/>
        <w:adjustRightInd w:val="0"/>
        <w:snapToGrid w:val="0"/>
        <w:spacing w:line="360" w:lineRule="auto"/>
        <w:ind w:firstLine="496"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spacing w:val="4"/>
          <w:kern w:val="0"/>
          <w:sz w:val="24"/>
          <w:szCs w:val="24"/>
          <w:highlight w:val="none"/>
          <w:lang w:val="en-US" w:eastAsia="zh-CN" w:bidi="ar-SA"/>
        </w:rPr>
        <w:sym w:font="Wingdings" w:char="00FE"/>
      </w:r>
      <w:r>
        <w:rPr>
          <w:rFonts w:hint="eastAsia" w:ascii="宋体" w:hAnsi="宋体" w:eastAsia="宋体" w:cs="宋体"/>
          <w:bCs/>
          <w:spacing w:val="0"/>
          <w:kern w:val="0"/>
          <w:sz w:val="24"/>
          <w:szCs w:val="24"/>
          <w:highlight w:val="none"/>
          <w:lang w:val="en-US" w:eastAsia="zh-CN" w:bidi="ar-SA"/>
        </w:rPr>
        <w:t>（9）如本项目施工阶段监理服务期内，发生总监理工程师在其他在建项目担任职务的，监理人承担30万元违约金。</w:t>
      </w:r>
    </w:p>
    <w:p w14:paraId="723BE03A">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4.1.1.4.2履行监理职责方面的违约责任</w:t>
      </w:r>
    </w:p>
    <w:p w14:paraId="2EBE9CC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监理人在自己职责范围内对应当作出决定的事项故意拖延或者不作出明确的处理意见，在委托人书面警告后监理人在整改期限内仍不加以改正的，视为违约，监理人承担一般违约责任1次；因此造成损失的，监理人承担赔偿责任。</w:t>
      </w:r>
    </w:p>
    <w:p w14:paraId="1D1262A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监理人对于承包人现场的管理机构人员不到位、擅自离场，管理人员工作能力存在严重不足等存在的问题不进行有效检查、督促、处理，且不向委托人报告的，在委托人书面警告并要求限期改正后，拒不限期改正的，承担1次一般违约责任。</w:t>
      </w:r>
    </w:p>
    <w:p w14:paraId="5E4DDDA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监理人对于承包人未按投标文件所作的承诺投入机械、设备、材料等存在的问题不进行有效检查、督促、处理，且不向委托人报告的，在委托人书面警告并要求限期改正后，拒不限期改正的，承担1次一般违约责任。</w:t>
      </w:r>
    </w:p>
    <w:p w14:paraId="76F987E5">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监理人对于承包人每次进场材料不进行检查和登记，或者对已进场的材料不按有关规定及时进行抽查、送检的，承担一般违约责任1次；如因此出现不合格材料使用于工程建设并造成质量缺陷的，监理人承担一般违约责任1次；如因此出现质量事故或经济损失达10万元/次以上的，监理人承担严重违约责任1次；如因此造成重大质量安全事故（按国家规定界定）的，委托人有权视情况的严重程度部分解除合同或解除合同，同时，委托人保留追究监理人相关法律责任的权利。</w:t>
      </w:r>
    </w:p>
    <w:p w14:paraId="4F661509">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5）在工程施工过程中，需要监理人进行旁站监督的，监理人没有到场，或者到场后没有进行监督，或发现质量问题后没有及时处理，且没有向委托人报告，在委托人书面警告并要求限期改正后，拒不限期改正的，监理人应承担一般违约责任1次。</w:t>
      </w:r>
    </w:p>
    <w:p w14:paraId="5A894F5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（6）监理人不按专用条款第</w:t>
      </w:r>
      <w:r>
        <w:rPr>
          <w:rFonts w:hint="eastAsia" w:ascii="宋体" w:hAnsi="宋体" w:eastAsia="宋体" w:cs="宋体"/>
          <w:spacing w:val="0"/>
          <w:kern w:val="0"/>
          <w:sz w:val="24"/>
          <w:szCs w:val="24"/>
          <w:highlight w:val="none"/>
          <w:lang w:val="en-US" w:eastAsia="zh-CN" w:bidi="ar-SA"/>
        </w:rPr>
        <w:t>2.22</w:t>
      </w:r>
      <w:r>
        <w:rPr>
          <w:rFonts w:hint="eastAsia" w:ascii="宋体" w:hAnsi="宋体" w:eastAsia="宋体" w:cs="宋体"/>
          <w:bCs/>
          <w:spacing w:val="0"/>
          <w:kern w:val="0"/>
          <w:sz w:val="24"/>
          <w:szCs w:val="24"/>
          <w:highlight w:val="none"/>
          <w:lang w:val="en-US" w:eastAsia="zh-CN" w:bidi="ar-SA"/>
        </w:rPr>
        <w:t>款的约定办理有关保险事宜的，在委托人书面警告并要求限期改正后，监理人拒不限期改正的，监理人应承担严重违约责任1次，并承担由此产生的一切后果。</w:t>
      </w:r>
    </w:p>
    <w:p w14:paraId="2E9FBC3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7）监理人对承包人的施工质量应每月定期或不定期组织大检查并同时定期组织召开质量会议，将质量检查的情况报告委托人。承包人的施工质量经监理人检验为合格，但经委托人或工程质量监督机构抽查，发现存在质量不合格或未按设计要求和有关规范进行施工情形的，监理人承担一般违约责任1次；情节严重的，监理人承担严重违约责任1次。同时，监理人应赔偿委托人的经济损失。</w:t>
      </w:r>
    </w:p>
    <w:p w14:paraId="67FD270A">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8）由于监理人应当预见而未能及时预见，或已经预见但未及时向委托人报告，或未及时提出有效的整改措施，或未及时向承包人发出整改通知并积极督促承包人实施整改而对整个工程的按期完工不能起到有效监管作用，致使工程施工的关键线路工期比计划滞后3日（含3日）以上的，监理人承担一般违约责任1次；出现关键工期滞后5日（含5日）以上的，监理人承担严重违约责任1次；出现关键线路工期滞后10日（含10日）以上的，委托人有权部分解除合同或解除合同。</w:t>
      </w:r>
    </w:p>
    <w:p w14:paraId="451F0150">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9）对于承包人提交的现场签证资料，监理人没有准确、真实的现场原始记录或不进行现场复核即予签认，致使签认的文件有错误的，监理人应立即改正，并承担一般违约责任1次；由于该签证错误因此可能给委托人造成10万元（含10万元）以上的直接经济损失的，监理人承担严重违约责任1次，如果这种经济损失是由于监理人故意造成的，则按专用条款第4.1.1.1（6）款的约定处理。</w:t>
      </w:r>
    </w:p>
    <w:p w14:paraId="046A4EF9">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对于现场签证（含工程数量、单价等）未经过注册造价工程师审核即报送委托人，或者虽经过注册造价工程师审核但未在规定时间内报送委托人的，监理人应限期改正；以上情形累计出现2次的，监理人承担一般违约责任1次。</w:t>
      </w:r>
    </w:p>
    <w:p w14:paraId="4460430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10）监理人对承包人提交的施工方案、设计变更等技术文件中明显不符合现场实际的部分，或者与招投标文件不符，会引起委托人投资增加和工期延误的部分，不进行认真审核、不进行优化就给予同意的，应限期改正，并承担一般违约责任1次；情节严重的，承担严重违约责任1次。</w:t>
      </w:r>
    </w:p>
    <w:p w14:paraId="5AFCC7F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监理人对承包人提交的施工方案、设计变更等技术文件，应当在3日内予以批复；须转报委托人审批的，监理人应在3日内出具审核意见报委托人。由于监理人未及时批复而影响工程进度或者工程质量的，监理人承担严重违约责任1次；须转报委托人审批的，监理人未在3日内报委托人或未出具审核意见的，应限期改正，承担一般违约责任1次。</w:t>
      </w:r>
    </w:p>
    <w:p w14:paraId="6C06859A">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承包人提交给监理人审核的资料或文件存在错误须承包人改正的，监理人应将所有错误一次性要求承包人改正。监理人要求承包人反复修改拖延时间的，在委托人书面警告并要求限期改正后，监理人拒不限期改正的，承担一般违约责任1次。</w:t>
      </w:r>
    </w:p>
    <w:p w14:paraId="6412A553">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11）监理人应当按时对承包人的申请计量事项予以审批，申请计量事项在正常情况下应在2个工作日内完成审批；监理人对申请计量事项的真实性、准确性负责；监理人派驻的专业工程师应对承包人提交的计量报表认真审核并予以确认。监理人对不合格工程却同意计量，或者计量数量严重不实、资料不齐全却同意计量的，应立即改正，承担一般违约责任1次；情节严重的，承担严重违约责任1次；给委托人造成损失的，应当赔偿损失。</w:t>
      </w:r>
    </w:p>
    <w:p w14:paraId="07909DCE">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12）监理人对于承包人提交的请款报告，不按实际完成的工作量进行审核，或不按本合同要求签署拨款意见的，应限期改正；累计出现达2次的，承担一般违约责任1次；如造成委托人超形象进度、超合同支付工程款达10万元（含10万元）以上，或监理人审核的当期支付金额与经过委托人复核的实际应付金额存在正负10％以上误差的，承担一般违约责任1次，情节严重的，承担严重违约责任1次；若由此给委托人造成10万元（含10万元）以上损失的，监理人应当赔偿委托人的损失，委托人将视情况部分解除合同或解除合同。</w:t>
      </w:r>
    </w:p>
    <w:p w14:paraId="7C2410B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13）监理人同时发生专用条款第4.1.1.4.2（9）、（10）、（11）、（12）款约定的违约行为且情节严重的，视为监理人和承包人串通作假，委托人有权单方解除合同；因此造成委托人损失的，委托人有权按专用条款第4.1.1.1（6）款的约定要求监理人承担赔偿责任。</w:t>
      </w:r>
    </w:p>
    <w:p w14:paraId="2E03331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14）监理人应设立专职的职业健康安全与环境管理人员，督促承包人建立安全生产保障体系，并要求各施工标段设立专职安全员，将安全责任制度落实到人；监理人应每月定期或不定期组织安全文明施工大检查，并将检查结果向委托人报告。对于承包人没有按投标承诺做好安全文明施工措施，或没有按有关规定进行安全生产，或存在安全隐患等问题，监理人未及时发现，或发现后不督促承包人进行整改，不作及时处理并及时向委托人报告，在委托人书面警告并要求限期改正后，监理人拒不限期改正的，承担一般违约责任1次；因此而发生安全生产事故，或被上级主管部门通报批评，或被新闻媒体曝光的，监理人承担严重违约责任1次；情节严重的，委托人有权部分解除合同或解除合同；因此而发生重大安全质量事故（按国家及本合同有关规定界定）的，监理人承担赔偿责任，赔偿金额为本合同监理酬金的1%～5%。</w:t>
      </w:r>
    </w:p>
    <w:p w14:paraId="3E19B21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（15）由于下列原因，使本合同工程在投资、工期、质量等方面给委托人造成损失的，监理人承担赔偿责任，但累计赔偿金额不应超过本合同监理酬金暂定金额（除去税金）：</w:t>
      </w:r>
    </w:p>
    <w:p w14:paraId="1186FD15">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1）在施工过程中，监理人发出错误指令；</w:t>
      </w:r>
    </w:p>
    <w:p w14:paraId="0467772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2）监理人越权审批设计变更；</w:t>
      </w:r>
    </w:p>
    <w:p w14:paraId="77C24C9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3）其他因监理人自身失误或失职。</w:t>
      </w:r>
    </w:p>
    <w:p w14:paraId="3BE4880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具体约定为：</w:t>
      </w:r>
    </w:p>
    <w:p w14:paraId="3731356C">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① 由于监理人上述原因致使工程投资额较原计划投资额增加的，委托人将根据该增加额双倍扣减与之相应比例的监理酬金；若增加工程投资比例超过原计划投资额的20%时，委托人有权单方解除本合同，并要求监理人赔偿委托人由此遭受的实际损失中的50%。</w:t>
      </w:r>
    </w:p>
    <w:p w14:paraId="57E26D5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② 因监理人责任导致工期延误，其中分段工期延误日数占该段总工期的30%时，则委托人有权扣除该分段工程监理酬金的60%；分段工期延误日数达到该段总工期的50%时，则委托人有权单方解除本合同。因监理人责任导致工程竣工拖延的，依据拖延的日数，监理人应每日按监理酬金暂定金额的1%向委托人支付违约金。由于监理人责任导致工期延误，致使委托人要承担赔偿第三方责任的，监理人承担赔偿委托人由此遭受的实际损失中的50%。</w:t>
      </w:r>
    </w:p>
    <w:p w14:paraId="62B4902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③ 因监理人责任造成质量事故，需要返工的，监理人承担严重违约责任1次，由委托人双倍扣减该部分的监理酬金，同时监理人应赔偿委托人的实际损失；情节严重的，委托人有权单方面解除合同，并有权要求监理人赔偿委托人由此遭受的经济损失。</w:t>
      </w:r>
    </w:p>
    <w:p w14:paraId="24AABAF5">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④ 因监理人责任导致工程（含各分部、单位及整体工程，下同）质量一次性验收不符合质量目标的，委托人按相应工程占总工程的比例扣除监理人监理酬金；若导致工程质量一次性验收不合格而造成委托人的直接损失达100万元以上时，委托人有权单方面解除本合同并要求监理人赔偿相应经济损失。</w:t>
      </w:r>
    </w:p>
    <w:p w14:paraId="0FC45FA1">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16）监理人提供的《监理规划》和相应的《监理实施细则》，经委托人审核认为未能针对本合同工程特点、难点和重点，需要退回修改的，若连续两次修改后仍未能达到委托人要求的，监理人应承担一般违约责任1次。</w:t>
      </w:r>
    </w:p>
    <w:p w14:paraId="13C3B1AC">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（17）如果监理人在服务期内未能按要求提供本合同约定的监理服务（包括监理人员缺额、监理深度不足及监理资料不齐等）的，委托人有权酌情扣减监理酬金。</w:t>
      </w:r>
    </w:p>
    <w:p w14:paraId="2C2786C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18）对于工程施工过程中出现的工程变更，如当月由委托人确定的工程变更的单价较监理人审定的单价的差值大于正负10%以上的情况累计出现8宗以上，或由委托人确定的工程变更的总价较监理人审定的总价的差值大于正负10%以上的情况累计出现3宗以上，监理人承担一般违约责任1次。</w:t>
      </w:r>
    </w:p>
    <w:p w14:paraId="6738E44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19）因监理人原因，造成竣工图纸（包括设备移交资料等）与竣工时现场的实际情况不符，导致相关的工程结算出现偏差的，监理人承担一般违约责任1次；如由此可能给委托人造成直接经济损失10万元（含10万元）以上的，监理人承担严重违约责任1次；如该经济损失是监理人故意造成的，则按专用条款第4.1.1.1（6）款的约定执行。</w:t>
      </w:r>
    </w:p>
    <w:p w14:paraId="66900A0B">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（20）对于承包人不按合同约定</w:t>
      </w:r>
      <w:r>
        <w:rPr>
          <w:rFonts w:hint="eastAsia" w:ascii="宋体" w:hAnsi="宋体" w:eastAsia="宋体" w:cs="宋体"/>
          <w:spacing w:val="0"/>
          <w:kern w:val="0"/>
          <w:sz w:val="24"/>
          <w:szCs w:val="24"/>
          <w:highlight w:val="none"/>
          <w:lang w:val="en-US" w:eastAsia="zh-CN" w:bidi="ar-SA"/>
        </w:rPr>
        <w:t>提交分项工程的结算文件，监理人不按合同约定采取有效措施或未及时向委托人报告的，监理人承担一般违约责任1次。</w:t>
      </w:r>
    </w:p>
    <w:p w14:paraId="3F70212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21）监理人根据合同约定对承包人提交的工程结算书（结算资料）进行审核，如最终由终审部门审定的结算金额较由监理人审定的结算金额的差值大于正负8%，则由监理人按下列计算方法向委托人支付违约金，最多不超过本合同监理酬金暂定金额的10%：</w:t>
      </w:r>
    </w:p>
    <w:p w14:paraId="5393E1E3">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违约金=[〔（A－B）/B〕-8%]×C</w:t>
      </w:r>
    </w:p>
    <w:p w14:paraId="2FB26F8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其中：A-监理人审定的工程结算金额；</w:t>
      </w:r>
    </w:p>
    <w:p w14:paraId="0DD9E83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B-结算终审部门审定的工程结算金额；</w:t>
      </w:r>
    </w:p>
    <w:p w14:paraId="3B79A4CE">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C-监理合同酬金总额。</w:t>
      </w:r>
    </w:p>
    <w:p w14:paraId="71655AB5">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4.1.1.4.3其他方面的违约责任</w:t>
      </w:r>
    </w:p>
    <w:p w14:paraId="3B87CC5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（1）监理人必须加强对监理人员职业操守、廉政建设的培训和教育，本项目监理人员需共同遵守监理人员职业道德守则，并严格遵守以下规定：</w:t>
      </w:r>
    </w:p>
    <w:p w14:paraId="5C407EA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1）禁止向委托人及承包人推销材料、设备，或以倾向性、排他性变相推销；</w:t>
      </w:r>
    </w:p>
    <w:p w14:paraId="330AB83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2）禁止与承包人串通，对不合格材料、产品、工程进行包庇及验收；</w:t>
      </w:r>
    </w:p>
    <w:p w14:paraId="1C2718EF">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3）禁止与承包人串通，对材料用量、工程量进行虚假签认；</w:t>
      </w:r>
    </w:p>
    <w:p w14:paraId="3EA07B2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4）禁止与承包人串通，不合理提高施工难度及增加材料用量，以增大施工费用，获取不正当收益；</w:t>
      </w:r>
    </w:p>
    <w:p w14:paraId="60B418C6">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5）禁止接受承包人的请吃送礼或变相受礼；</w:t>
      </w:r>
    </w:p>
    <w:p w14:paraId="2C50F404">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6）禁止向承包人介绍分包或推销材料、设备等；</w:t>
      </w:r>
    </w:p>
    <w:p w14:paraId="072D0853">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7）禁止故意刁难承包人以谋取私利，损害委托人的合法利益。</w:t>
      </w:r>
    </w:p>
    <w:p w14:paraId="7BA668A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凡违反以上任一项约定者，一经查实，监理人应立即清退该监理人员，承担严重违约责任1次；情节严重的，委托人有权部分解除合同或解除合同，向有关部门反映情况，追究监理人及有关责任人相关责任，要求赔偿相应损失，同时将上述违反职业道德的行为通过新闻媒体公诸于众，甚至移交司法机关处理。</w:t>
      </w:r>
    </w:p>
    <w:p w14:paraId="6CDDA29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监理人违约行为的直接责任人，其行为致使监理人承担严重违约责任（或相当于严重违约责任）1次，或主管人员因其下属的行为致使监理人承担严重违约责任（或相当于严重违约责任）累计次数达到3次，委托人认为该直接责任人或主管人员已不适于继续担任本合同工程的监理工作的，有权要求监理人限期更换该人员。于此情形下，监理人应无条件接受，并承担由此引起的后果及费用；如监理人拒不执行，则自委托人向监理人发出更换要求7日后起算，委托人可认为该岗位已空缺，并按专用条款第4.1.1.4.1（3）款的约定处理。</w:t>
      </w:r>
    </w:p>
    <w:p w14:paraId="0FF89E6B">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3）发包人有权对项目的全过程进行审计或审计调查，承包人应积极配合发包人的审计工作，提供必要的办公场所、条件及有关资料，确保按时提供真实审计资料，并对发现问题进行整改被审计单位拒绝、拖延提供，或者提供的资料不真实、不规范不完整，或者拒绝、阻碍检查的，按违约责任处理。</w:t>
      </w:r>
    </w:p>
    <w:p w14:paraId="1920E556">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(1)一般审计违约责任。承包人违反本合同不配合发包人进行审计或审计调查的工作，发包人发出通知，口头指令限期时间内，承包人不履行审计配合责任，承担一般违约责任。</w:t>
      </w:r>
    </w:p>
    <w:p w14:paraId="3AC7D577">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(2) 严重审计违约责任。承包人违反本合同的约定拒绝接受发包人进行审计或审计调查的义务，超出发包人发出通知，口头指令等限期要求时间 7 天后承包人仍拒绝、拖延提供，或者提供的资料不真实、不完整，或者拒绝、阻碍检查的，或者给与通报批评、书面警告、责令限期改正后,仍拒不改正的，承担严重违约责任。</w:t>
      </w:r>
    </w:p>
    <w:p w14:paraId="1204F062">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除上述约定之外，监理人违反本合同约定的其他义务的，均构成违约，委托人有权视具体情况给予监理人书面警告并要求限期改正。于此情形下，若监理人拒不限期改正的，承担一般违约责任1次；情节严重的，承担严重违约责任1次。</w:t>
      </w:r>
    </w:p>
    <w:p w14:paraId="6AA90328">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4.1.1.</w:t>
      </w:r>
      <w:r>
        <w:rPr>
          <w:rFonts w:hint="eastAsia" w:ascii="宋体" w:hAnsi="宋体" w:eastAsia="宋体" w:cs="宋体"/>
          <w:spacing w:val="0"/>
          <w:kern w:val="0"/>
          <w:sz w:val="24"/>
          <w:szCs w:val="24"/>
          <w:highlight w:val="none"/>
          <w:lang w:val="en-US" w:eastAsia="zh-CN" w:bidi="ar-SA"/>
        </w:rPr>
        <w:t>5监理人违约责任的认定方式及送达程序</w:t>
      </w:r>
    </w:p>
    <w:p w14:paraId="615A4077">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（1）认定方式：以委托人发出的通知、通报、会议纪要等书面文件确定的内容为准。</w:t>
      </w:r>
    </w:p>
    <w:p w14:paraId="136D1F9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（2）送达程序：委托人通过下列方式之一将书面违约处理决定送达监理人：</w:t>
      </w:r>
    </w:p>
    <w:p w14:paraId="13DEDAAC">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1）监理人工地现场项目监理机构人员签收；</w:t>
      </w:r>
    </w:p>
    <w:p w14:paraId="43CC7E1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2）监理人其他工作人员签收；</w:t>
      </w:r>
    </w:p>
    <w:p w14:paraId="435CA1D8">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3）委托人邮寄送达。</w:t>
      </w:r>
    </w:p>
    <w:p w14:paraId="343529DC">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3）委托人以书面形式作出的违约处理决定一经送达监理人立即生效。监理人如有足够证据证明不应由其承担违约责任的，应在收到违约处理决定后3天内以书面形式向委托人提出异议并附上有关证据。委托人在收到监理人的异议后15天内审核完毕，作出书面决定并通知监理人。</w:t>
      </w:r>
    </w:p>
    <w:p w14:paraId="00D00B42">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4）监理人承诺严格按照合同和招投标文件规定履行义务，并同意委托人将其执行国家强制性规范、标准和履行合同、招投标文件义务的情况（包括但不限于由委托人组织的考核、考评通报、违约责任处理决定等）在委托人网站和其他媒体上公开披露。</w:t>
      </w:r>
    </w:p>
    <w:p w14:paraId="5BAFF0CA">
      <w:pPr>
        <w:widowControl w:val="0"/>
        <w:topLinePunct/>
        <w:adjustRightInd w:val="0"/>
        <w:snapToGrid w:val="0"/>
        <w:spacing w:line="360" w:lineRule="auto"/>
        <w:ind w:firstLine="0" w:firstLineChars="0"/>
        <w:jc w:val="both"/>
        <w:rPr>
          <w:rFonts w:hint="eastAsia" w:ascii="宋体" w:hAnsi="宋体" w:eastAsia="宋体" w:cs="宋体"/>
          <w:spacing w:val="0"/>
          <w:kern w:val="0"/>
          <w:sz w:val="24"/>
          <w:szCs w:val="24"/>
          <w:highlight w:val="none"/>
          <w:lang w:val="en-US" w:eastAsia="zh-CN" w:bidi="ar-SA"/>
        </w:rPr>
      </w:pPr>
    </w:p>
    <w:p w14:paraId="4F642E2A">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5.支付</w:t>
      </w:r>
    </w:p>
    <w:p w14:paraId="3D7EF077">
      <w:pPr>
        <w:widowControl w:val="0"/>
        <w:topLinePunct/>
        <w:adjustRightInd w:val="0"/>
        <w:snapToGrid w:val="0"/>
        <w:spacing w:line="360" w:lineRule="auto"/>
        <w:ind w:firstLine="482" w:firstLineChars="200"/>
        <w:jc w:val="both"/>
        <w:rPr>
          <w:rFonts w:hint="eastAsia" w:ascii="宋体" w:hAnsi="宋体" w:eastAsia="宋体" w:cs="宋体"/>
          <w:b/>
          <w:bCs/>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5.1支付货币</w:t>
      </w:r>
    </w:p>
    <w:p w14:paraId="1911FBC8">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委托人与监理人双方同意用人民币支付本合同涉及的款项。</w:t>
      </w:r>
    </w:p>
    <w:p w14:paraId="376E5B30">
      <w:pPr>
        <w:widowControl w:val="0"/>
        <w:topLinePunct/>
        <w:adjustRightInd w:val="0"/>
        <w:snapToGrid w:val="0"/>
        <w:spacing w:line="360" w:lineRule="auto"/>
        <w:ind w:firstLine="482" w:firstLineChars="200"/>
        <w:jc w:val="both"/>
        <w:rPr>
          <w:rFonts w:hint="eastAsia" w:ascii="宋体" w:hAnsi="宋体" w:eastAsia="宋体" w:cs="宋体"/>
          <w:b/>
          <w:bCs/>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5.2支付申请</w:t>
      </w:r>
    </w:p>
    <w:p w14:paraId="091A952D">
      <w:pPr>
        <w:widowControl w:val="0"/>
        <w:topLinePunct/>
        <w:adjustRightInd w:val="0"/>
        <w:snapToGrid w:val="0"/>
        <w:spacing w:line="360" w:lineRule="auto"/>
        <w:ind w:firstLine="480" w:firstLineChars="200"/>
        <w:jc w:val="both"/>
        <w:rPr>
          <w:rFonts w:hint="eastAsia" w:ascii="宋体" w:hAnsi="宋体" w:eastAsia="宋体" w:cs="宋体"/>
          <w:b/>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双方一致同意不适用通用条款第5.2款的约定。监理酬金的支付时间按委托监理协议书第三条的约定执行。</w:t>
      </w:r>
    </w:p>
    <w:p w14:paraId="2022B3B6">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5.3支付酬金</w:t>
      </w:r>
    </w:p>
    <w:p w14:paraId="1102DF19">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双方一致同意不适用通用条款第5.3款的约定。监理酬金的计算方法、支付时间与金额按委托监理协议书第三条的约定执行。</w:t>
      </w:r>
    </w:p>
    <w:p w14:paraId="5A8AFD7E">
      <w:pPr>
        <w:widowControl w:val="0"/>
        <w:topLinePunct/>
        <w:adjustRightInd w:val="0"/>
        <w:snapToGrid w:val="0"/>
        <w:spacing w:line="360" w:lineRule="auto"/>
        <w:ind w:firstLine="482"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5.4</w:t>
      </w:r>
      <w:r>
        <w:rPr>
          <w:rFonts w:hint="eastAsia" w:ascii="宋体" w:hAnsi="宋体" w:eastAsia="宋体" w:cs="宋体"/>
          <w:bCs/>
          <w:spacing w:val="0"/>
          <w:kern w:val="0"/>
          <w:sz w:val="24"/>
          <w:szCs w:val="24"/>
          <w:highlight w:val="none"/>
          <w:lang w:val="en-US" w:eastAsia="zh-CN" w:bidi="ar-SA"/>
        </w:rPr>
        <w:t>双方一致同意不适用通用条款第5.4款的约定。</w:t>
      </w:r>
      <w:r>
        <w:rPr>
          <w:rFonts w:hint="eastAsia" w:ascii="宋体" w:hAnsi="宋体" w:eastAsia="宋体" w:cs="宋体"/>
          <w:spacing w:val="0"/>
          <w:kern w:val="0"/>
          <w:sz w:val="24"/>
          <w:szCs w:val="24"/>
          <w:highlight w:val="none"/>
          <w:lang w:val="en-US" w:eastAsia="zh-CN" w:bidi="ar-SA"/>
        </w:rPr>
        <w:t>监理人申请委托人付款应向委托人提交正副本四份本次付款申请以及发票、收据和其他合适的证明材料。委托人在收到监理人附有证明材料的付款申请并经委托人审核确认后30日内进行支付。</w:t>
      </w:r>
    </w:p>
    <w:p w14:paraId="683DBB00">
      <w:pPr>
        <w:widowControl w:val="0"/>
        <w:topLinePunct/>
        <w:adjustRightInd w:val="0"/>
        <w:snapToGrid w:val="0"/>
        <w:spacing w:line="360" w:lineRule="auto"/>
        <w:ind w:firstLine="198" w:firstLineChars="82"/>
        <w:jc w:val="both"/>
        <w:rPr>
          <w:rFonts w:hint="eastAsia" w:ascii="宋体" w:hAnsi="宋体" w:eastAsia="宋体" w:cs="宋体"/>
          <w:b/>
          <w:bCs/>
          <w:spacing w:val="0"/>
          <w:kern w:val="0"/>
          <w:sz w:val="24"/>
          <w:szCs w:val="24"/>
          <w:highlight w:val="none"/>
          <w:lang w:val="en-US" w:eastAsia="zh-CN" w:bidi="ar-SA"/>
        </w:rPr>
      </w:pPr>
    </w:p>
    <w:p w14:paraId="581F4F63">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6.合同生效、变更、暂停、解除与终止</w:t>
      </w:r>
    </w:p>
    <w:p w14:paraId="21802EFE">
      <w:pPr>
        <w:widowControl w:val="0"/>
        <w:topLinePunct/>
        <w:adjustRightInd w:val="0"/>
        <w:snapToGrid w:val="0"/>
        <w:spacing w:line="360" w:lineRule="auto"/>
        <w:ind w:firstLine="482" w:firstLineChars="200"/>
        <w:jc w:val="both"/>
        <w:rPr>
          <w:rFonts w:hint="eastAsia" w:ascii="宋体" w:hAnsi="宋体" w:eastAsia="宋体" w:cs="宋体"/>
          <w:b/>
          <w:bCs/>
          <w:spacing w:val="0"/>
          <w:kern w:val="0"/>
          <w:sz w:val="24"/>
          <w:szCs w:val="24"/>
          <w:highlight w:val="none"/>
          <w:lang w:val="en-US" w:eastAsia="zh-CN" w:bidi="ar-SA"/>
        </w:rPr>
      </w:pPr>
      <w:r>
        <w:rPr>
          <w:rFonts w:hint="eastAsia" w:ascii="宋体" w:hAnsi="宋体" w:eastAsia="宋体" w:cs="宋体"/>
          <w:b/>
          <w:bCs/>
          <w:spacing w:val="0"/>
          <w:kern w:val="0"/>
          <w:sz w:val="24"/>
          <w:szCs w:val="24"/>
          <w:highlight w:val="none"/>
          <w:lang w:val="en-US" w:eastAsia="zh-CN" w:bidi="ar-SA"/>
        </w:rPr>
        <w:t>6.2变更</w:t>
      </w:r>
    </w:p>
    <w:p w14:paraId="451FEA90">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6.2.2</w:t>
      </w:r>
      <w:r>
        <w:rPr>
          <w:rFonts w:hint="eastAsia" w:ascii="宋体" w:hAnsi="宋体" w:eastAsia="宋体" w:cs="宋体"/>
          <w:spacing w:val="0"/>
          <w:kern w:val="0"/>
          <w:sz w:val="24"/>
          <w:szCs w:val="24"/>
          <w:highlight w:val="none"/>
          <w:lang w:val="en-US" w:eastAsia="zh-CN" w:bidi="ar-SA"/>
        </w:rPr>
        <w:t>双方一致同意不适用通用条款第6.2.2款的约定。除不可抗力外，因非监理人原因导致监理人履行合同期限延长、内容增加时，则监理人应当将此情况与可能产生的影响及时通知委托人，完成监理业务的时间相应延长，监理酬金不变。</w:t>
      </w:r>
    </w:p>
    <w:p w14:paraId="6799B367">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6.2.3</w:t>
      </w:r>
      <w:r>
        <w:rPr>
          <w:rFonts w:hint="eastAsia" w:ascii="宋体" w:hAnsi="宋体" w:eastAsia="宋体" w:cs="宋体"/>
          <w:spacing w:val="0"/>
          <w:kern w:val="0"/>
          <w:sz w:val="24"/>
          <w:szCs w:val="24"/>
          <w:highlight w:val="none"/>
          <w:lang w:val="en-US" w:eastAsia="zh-CN" w:bidi="ar-SA"/>
        </w:rPr>
        <w:t>双方一致同意不适用通用条款第6.2.3款的约定。</w:t>
      </w:r>
      <w:r>
        <w:rPr>
          <w:rFonts w:hint="eastAsia" w:ascii="宋体" w:hAnsi="宋体" w:eastAsia="宋体" w:cs="宋体"/>
          <w:bCs/>
          <w:spacing w:val="4"/>
          <w:kern w:val="0"/>
          <w:sz w:val="24"/>
          <w:szCs w:val="24"/>
          <w:highlight w:val="none"/>
          <w:lang w:val="en-US" w:eastAsia="zh-CN" w:bidi="ar-SA"/>
        </w:rPr>
        <w:t>合同生效后，如果实际情况发生变化使得监理人不能完成全部或部分工作时，监理人应立即通知委托人</w:t>
      </w:r>
      <w:r>
        <w:rPr>
          <w:rFonts w:hint="eastAsia" w:ascii="宋体" w:hAnsi="宋体" w:eastAsia="宋体" w:cs="宋体"/>
          <w:spacing w:val="0"/>
          <w:kern w:val="0"/>
          <w:sz w:val="24"/>
          <w:szCs w:val="24"/>
          <w:highlight w:val="none"/>
          <w:lang w:val="en-US" w:eastAsia="zh-CN" w:bidi="ar-SA"/>
        </w:rPr>
        <w:t>，该监理业务的完成时间应予延长。当恢复执行监理业务时，监理人应当立即恢复执行监理业务，监理酬金不变。</w:t>
      </w:r>
    </w:p>
    <w:p w14:paraId="5ADC430D">
      <w:pPr>
        <w:widowControl w:val="0"/>
        <w:topLinePunct/>
        <w:adjustRightInd w:val="0"/>
        <w:snapToGrid w:val="0"/>
        <w:spacing w:line="360" w:lineRule="auto"/>
        <w:ind w:firstLine="480" w:firstLineChars="200"/>
        <w:jc w:val="both"/>
        <w:rPr>
          <w:rFonts w:hint="eastAsia" w:ascii="宋体" w:hAnsi="宋体" w:eastAsia="宋体" w:cs="宋体"/>
          <w:bCs/>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6.2.4</w:t>
      </w:r>
      <w:r>
        <w:rPr>
          <w:rFonts w:hint="eastAsia" w:ascii="宋体" w:hAnsi="宋体" w:eastAsia="宋体" w:cs="宋体"/>
          <w:spacing w:val="0"/>
          <w:kern w:val="0"/>
          <w:sz w:val="24"/>
          <w:szCs w:val="24"/>
          <w:highlight w:val="none"/>
          <w:lang w:val="en-US" w:eastAsia="zh-CN" w:bidi="ar-SA"/>
        </w:rPr>
        <w:t>双方一致同意不适用通用条款第6.2.4款的约定。</w:t>
      </w:r>
      <w:r>
        <w:rPr>
          <w:rFonts w:hint="eastAsia" w:ascii="宋体" w:hAnsi="宋体" w:eastAsia="宋体" w:cs="宋体"/>
          <w:bCs/>
          <w:spacing w:val="4"/>
          <w:kern w:val="0"/>
          <w:sz w:val="24"/>
          <w:szCs w:val="24"/>
          <w:highlight w:val="none"/>
          <w:lang w:val="en-US" w:eastAsia="zh-CN" w:bidi="ar-SA"/>
        </w:rPr>
        <w:t>合同签订后，遇有与工程相关的法律法规、标准颁布或修订的，双方应遵照执行，由此引起</w:t>
      </w:r>
      <w:r>
        <w:rPr>
          <w:rFonts w:hint="eastAsia" w:ascii="宋体" w:hAnsi="宋体" w:eastAsia="宋体" w:cs="宋体"/>
          <w:bCs/>
          <w:spacing w:val="-4"/>
          <w:kern w:val="0"/>
          <w:sz w:val="24"/>
          <w:szCs w:val="24"/>
          <w:highlight w:val="none"/>
          <w:lang w:val="en-US" w:eastAsia="zh-CN" w:bidi="ar-SA"/>
        </w:rPr>
        <w:t>监理人工作的变化均应视为本合同约定的监理工作</w:t>
      </w:r>
      <w:r>
        <w:rPr>
          <w:rFonts w:hint="eastAsia" w:ascii="宋体" w:hAnsi="宋体" w:eastAsia="宋体" w:cs="宋体"/>
          <w:bCs/>
          <w:spacing w:val="4"/>
          <w:kern w:val="0"/>
          <w:sz w:val="24"/>
          <w:szCs w:val="24"/>
          <w:highlight w:val="none"/>
          <w:lang w:val="en-US" w:eastAsia="zh-CN" w:bidi="ar-SA"/>
        </w:rPr>
        <w:t>，监理酬金不变。</w:t>
      </w:r>
    </w:p>
    <w:p w14:paraId="6D1FC4E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bCs/>
          <w:spacing w:val="0"/>
          <w:kern w:val="0"/>
          <w:sz w:val="24"/>
          <w:szCs w:val="24"/>
          <w:highlight w:val="none"/>
          <w:lang w:val="en-US" w:eastAsia="zh-CN" w:bidi="ar-SA"/>
        </w:rPr>
        <w:t>6.2.5</w:t>
      </w:r>
      <w:r>
        <w:rPr>
          <w:rFonts w:hint="eastAsia" w:ascii="宋体" w:hAnsi="宋体" w:eastAsia="宋体" w:cs="宋体"/>
          <w:bCs/>
          <w:spacing w:val="4"/>
          <w:kern w:val="0"/>
          <w:sz w:val="24"/>
          <w:szCs w:val="24"/>
          <w:highlight w:val="none"/>
          <w:lang w:val="en-US" w:eastAsia="zh-CN" w:bidi="ar-SA"/>
        </w:rPr>
        <w:t>因非监理人原因造成工程概算投资额或建筑安装工程费增加时，正常工作酬金应作相应调整，调整方法</w:t>
      </w:r>
      <w:r>
        <w:rPr>
          <w:rFonts w:hint="eastAsia" w:ascii="宋体" w:hAnsi="宋体" w:eastAsia="宋体" w:cs="宋体"/>
          <w:spacing w:val="0"/>
          <w:kern w:val="0"/>
          <w:sz w:val="24"/>
          <w:szCs w:val="24"/>
          <w:highlight w:val="none"/>
          <w:lang w:val="en-US" w:eastAsia="zh-CN" w:bidi="ar-SA"/>
        </w:rPr>
        <w:t>按委托监理协议书第三条的约定执行。</w:t>
      </w:r>
    </w:p>
    <w:p w14:paraId="77BC59DE">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6.2.6</w:t>
      </w:r>
      <w:r>
        <w:rPr>
          <w:rFonts w:hint="eastAsia" w:ascii="宋体" w:hAnsi="宋体" w:eastAsia="宋体" w:cs="宋体"/>
          <w:bCs/>
          <w:spacing w:val="4"/>
          <w:kern w:val="0"/>
          <w:sz w:val="24"/>
          <w:szCs w:val="24"/>
          <w:highlight w:val="none"/>
          <w:lang w:val="en-US" w:eastAsia="zh-CN" w:bidi="ar-SA"/>
        </w:rPr>
        <w:t>因工程规模、监理范围的变化导致监理人的正常工作量减少时，正常工作酬金应作相应调整，调整方法</w:t>
      </w:r>
      <w:r>
        <w:rPr>
          <w:rFonts w:hint="eastAsia" w:ascii="宋体" w:hAnsi="宋体" w:eastAsia="宋体" w:cs="宋体"/>
          <w:spacing w:val="0"/>
          <w:kern w:val="0"/>
          <w:sz w:val="24"/>
          <w:szCs w:val="24"/>
          <w:highlight w:val="none"/>
          <w:lang w:val="en-US" w:eastAsia="zh-CN" w:bidi="ar-SA"/>
        </w:rPr>
        <w:t>按委托监理协议书第三条的约定执行。</w:t>
      </w:r>
    </w:p>
    <w:p w14:paraId="7702D2C7">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6.2.7本合同未经双方协商一致，不得变更。本合同的修改（包括服务范围的修改），只能以双方书面同意的方式进行。但由于建设项目施工过程的特殊性，委托人有调整局部服务范围的权利，即部分解除或部分增加服务范围，并按委托监理协议书第三条的有关约定结算监理酬金。</w:t>
      </w:r>
    </w:p>
    <w:p w14:paraId="0CF974F1">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6.3暂停与解除</w:t>
      </w:r>
    </w:p>
    <w:p w14:paraId="54D853A9">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本合同未经双方协商一致，不得暂停或解除。委托人根据本合同的约定单方面部分或全部解除本合同的，自委托人书面通知监理人时起部分或全部解除本合同即生效。</w:t>
      </w:r>
    </w:p>
    <w:p w14:paraId="3DD81AF2">
      <w:pPr>
        <w:widowControl w:val="0"/>
        <w:topLinePunct/>
        <w:adjustRightInd w:val="0"/>
        <w:snapToGrid w:val="0"/>
        <w:spacing w:line="360" w:lineRule="auto"/>
        <w:ind w:firstLine="480" w:firstLineChars="200"/>
        <w:jc w:val="both"/>
        <w:rPr>
          <w:rFonts w:hint="eastAsia" w:ascii="宋体" w:hAnsi="宋体" w:eastAsia="宋体" w:cs="宋体"/>
          <w:bCs/>
          <w:spacing w:val="-4"/>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6.3.1双方一致同意不适用通用条款第6.3.1款的约定。</w:t>
      </w:r>
      <w:r>
        <w:rPr>
          <w:rFonts w:hint="eastAsia" w:ascii="宋体" w:hAnsi="宋体" w:eastAsia="宋体" w:cs="宋体"/>
          <w:bCs/>
          <w:spacing w:val="4"/>
          <w:kern w:val="0"/>
          <w:sz w:val="24"/>
          <w:szCs w:val="24"/>
          <w:highlight w:val="none"/>
          <w:lang w:val="en-US" w:eastAsia="zh-CN" w:bidi="ar-SA"/>
        </w:rPr>
        <w:t>在本合同有效期内，由于双方无法预见和控制的原因导致本合同全部或部分无法继续履行或继续履行已无意义，</w:t>
      </w:r>
      <w:r>
        <w:rPr>
          <w:rFonts w:hint="eastAsia" w:ascii="宋体" w:hAnsi="宋体" w:eastAsia="宋体" w:cs="宋体"/>
          <w:bCs/>
          <w:spacing w:val="-4"/>
          <w:kern w:val="0"/>
          <w:sz w:val="24"/>
          <w:szCs w:val="24"/>
          <w:highlight w:val="none"/>
          <w:lang w:val="en-US" w:eastAsia="zh-CN" w:bidi="ar-SA"/>
        </w:rPr>
        <w:t>则监理人必须接受终止服务并积极配合委托人做好善后工作，按已实际完成的监理服务内容和本合同的相关约定结清监理酬金，监理人不得要求额外的费用及任何形式的补偿。</w:t>
      </w:r>
    </w:p>
    <w:p w14:paraId="2F363202">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6.3.2双方一致同意不适用通用条款第6.3.2款的约定。</w:t>
      </w:r>
    </w:p>
    <w:p w14:paraId="1073BA92">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6.3.3双方一致同意不适用通用条款第6.3.3款的约定。当委托人认为监理人无正当理由而又未履行监理义务时，按专用条款第4.1款的约定处理。</w:t>
      </w:r>
    </w:p>
    <w:p w14:paraId="3A3AB750">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6.3.4双方一致同意不适用通用条款第6.3.4款的约定。</w:t>
      </w:r>
    </w:p>
    <w:p w14:paraId="12E0B980">
      <w:pPr>
        <w:widowControl w:val="0"/>
        <w:topLinePunct/>
        <w:adjustRightInd w:val="0"/>
        <w:snapToGrid w:val="0"/>
        <w:spacing w:line="360" w:lineRule="auto"/>
        <w:ind w:firstLine="482" w:firstLineChars="200"/>
        <w:jc w:val="both"/>
        <w:rPr>
          <w:rFonts w:hint="eastAsia" w:ascii="宋体" w:hAnsi="宋体" w:eastAsia="宋体" w:cs="宋体"/>
          <w:b/>
          <w:bCs/>
          <w:smallCaps/>
          <w:spacing w:val="0"/>
          <w:kern w:val="0"/>
          <w:sz w:val="24"/>
          <w:szCs w:val="24"/>
          <w:highlight w:val="none"/>
          <w:lang w:val="en-US" w:eastAsia="zh-CN" w:bidi="ar-SA"/>
        </w:rPr>
      </w:pPr>
      <w:r>
        <w:rPr>
          <w:rFonts w:hint="eastAsia" w:ascii="宋体" w:hAnsi="宋体" w:eastAsia="宋体" w:cs="宋体"/>
          <w:b/>
          <w:bCs/>
          <w:smallCaps/>
          <w:spacing w:val="0"/>
          <w:kern w:val="0"/>
          <w:sz w:val="24"/>
          <w:szCs w:val="24"/>
          <w:highlight w:val="none"/>
          <w:lang w:val="en-US" w:eastAsia="zh-CN" w:bidi="ar-SA"/>
        </w:rPr>
        <w:t>6.4终止</w:t>
      </w:r>
    </w:p>
    <w:p w14:paraId="6F359EF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双方一致同意不适用通用条款第6.4款的约定，本合同的终止按委托监理协议书第十条的约定执行。</w:t>
      </w:r>
    </w:p>
    <w:p w14:paraId="24B6B351">
      <w:pPr>
        <w:widowControl w:val="0"/>
        <w:topLinePunct/>
        <w:adjustRightInd w:val="0"/>
        <w:snapToGrid w:val="0"/>
        <w:spacing w:line="360" w:lineRule="auto"/>
        <w:ind w:firstLine="198" w:firstLineChars="82"/>
        <w:jc w:val="both"/>
        <w:rPr>
          <w:rFonts w:hint="eastAsia" w:ascii="宋体" w:hAnsi="宋体" w:eastAsia="宋体" w:cs="宋体"/>
          <w:b/>
          <w:bCs/>
          <w:smallCaps/>
          <w:spacing w:val="0"/>
          <w:kern w:val="0"/>
          <w:sz w:val="24"/>
          <w:szCs w:val="24"/>
          <w:highlight w:val="none"/>
          <w:lang w:val="en-US" w:eastAsia="zh-CN" w:bidi="ar-SA"/>
        </w:rPr>
      </w:pPr>
    </w:p>
    <w:p w14:paraId="1C986B6F">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7.争议解决</w:t>
      </w:r>
    </w:p>
    <w:p w14:paraId="0B0AFB03">
      <w:pPr>
        <w:widowControl w:val="0"/>
        <w:topLinePunct/>
        <w:adjustRightInd w:val="0"/>
        <w:snapToGrid w:val="0"/>
        <w:spacing w:line="360" w:lineRule="auto"/>
        <w:ind w:firstLine="482" w:firstLineChars="200"/>
        <w:jc w:val="both"/>
        <w:rPr>
          <w:rFonts w:hint="eastAsia" w:ascii="宋体" w:hAnsi="宋体" w:eastAsia="宋体" w:cs="宋体"/>
          <w:b/>
          <w:bCs/>
          <w:smallCaps/>
          <w:spacing w:val="0"/>
          <w:kern w:val="0"/>
          <w:sz w:val="24"/>
          <w:szCs w:val="24"/>
          <w:highlight w:val="none"/>
          <w:lang w:val="en-US" w:eastAsia="zh-CN" w:bidi="ar-SA"/>
        </w:rPr>
      </w:pPr>
      <w:r>
        <w:rPr>
          <w:rFonts w:hint="eastAsia" w:ascii="宋体" w:hAnsi="宋体" w:eastAsia="宋体" w:cs="宋体"/>
          <w:b/>
          <w:bCs/>
          <w:smallCaps/>
          <w:spacing w:val="0"/>
          <w:kern w:val="0"/>
          <w:sz w:val="24"/>
          <w:szCs w:val="24"/>
          <w:highlight w:val="none"/>
          <w:lang w:val="en-US" w:eastAsia="zh-CN" w:bidi="ar-SA"/>
        </w:rPr>
        <w:t>7.2调解</w:t>
      </w:r>
    </w:p>
    <w:p w14:paraId="4DE09A28">
      <w:pPr>
        <w:widowControl w:val="0"/>
        <w:topLinePunct/>
        <w:adjustRightInd w:val="0"/>
        <w:snapToGrid w:val="0"/>
        <w:spacing w:line="360" w:lineRule="auto"/>
        <w:ind w:firstLine="480" w:firstLineChars="200"/>
        <w:jc w:val="both"/>
        <w:rPr>
          <w:rFonts w:hint="eastAsia" w:ascii="宋体" w:hAnsi="宋体" w:eastAsia="宋体" w:cs="宋体"/>
          <w:bCs/>
          <w:smallCaps/>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双方一致同意不适用通用条款第7.2款的约定。</w:t>
      </w:r>
    </w:p>
    <w:p w14:paraId="06B12652">
      <w:pPr>
        <w:widowControl w:val="0"/>
        <w:topLinePunct/>
        <w:adjustRightInd w:val="0"/>
        <w:snapToGrid w:val="0"/>
        <w:spacing w:line="360" w:lineRule="auto"/>
        <w:ind w:firstLine="482" w:firstLineChars="200"/>
        <w:jc w:val="both"/>
        <w:rPr>
          <w:rFonts w:hint="eastAsia" w:ascii="宋体" w:hAnsi="宋体" w:eastAsia="宋体" w:cs="宋体"/>
          <w:b/>
          <w:bCs/>
          <w:smallCaps/>
          <w:spacing w:val="0"/>
          <w:kern w:val="0"/>
          <w:sz w:val="24"/>
          <w:szCs w:val="24"/>
          <w:highlight w:val="none"/>
          <w:lang w:val="en-US" w:eastAsia="zh-CN" w:bidi="ar-SA"/>
        </w:rPr>
      </w:pPr>
      <w:r>
        <w:rPr>
          <w:rFonts w:hint="eastAsia" w:ascii="宋体" w:hAnsi="宋体" w:eastAsia="宋体" w:cs="宋体"/>
          <w:b/>
          <w:bCs/>
          <w:smallCaps/>
          <w:spacing w:val="0"/>
          <w:kern w:val="0"/>
          <w:sz w:val="24"/>
          <w:szCs w:val="24"/>
          <w:highlight w:val="none"/>
          <w:lang w:val="en-US" w:eastAsia="zh-CN" w:bidi="ar-SA"/>
        </w:rPr>
        <w:t>7.3诉讼</w:t>
      </w:r>
    </w:p>
    <w:p w14:paraId="304AEF00">
      <w:pPr>
        <w:widowControl w:val="0"/>
        <w:topLinePunct/>
        <w:adjustRightInd w:val="0"/>
        <w:snapToGrid w:val="0"/>
        <w:spacing w:line="360" w:lineRule="auto"/>
        <w:ind w:firstLine="480" w:firstLineChars="200"/>
        <w:jc w:val="both"/>
        <w:rPr>
          <w:rFonts w:hint="eastAsia" w:ascii="宋体" w:hAnsi="宋体" w:eastAsia="宋体" w:cs="宋体"/>
          <w:bCs/>
          <w:smallCaps/>
          <w:spacing w:val="0"/>
          <w:kern w:val="0"/>
          <w:sz w:val="24"/>
          <w:szCs w:val="24"/>
          <w:highlight w:val="none"/>
          <w:lang w:val="en-US" w:eastAsia="zh-CN" w:bidi="ar-SA"/>
        </w:rPr>
      </w:pPr>
      <w:r>
        <w:rPr>
          <w:rFonts w:hint="eastAsia" w:ascii="宋体" w:hAnsi="宋体" w:eastAsia="宋体" w:cs="宋体"/>
          <w:bCs/>
          <w:smallCaps/>
          <w:spacing w:val="0"/>
          <w:kern w:val="0"/>
          <w:sz w:val="24"/>
          <w:szCs w:val="24"/>
          <w:highlight w:val="none"/>
          <w:lang w:val="en-US" w:eastAsia="zh-CN" w:bidi="ar-SA"/>
        </w:rPr>
        <w:t>因履行本合同发生或与本合同有关的争议，双方当事人应友好协商解决。如在一周内未能解决，委托人可先行单方面作出处理决定，任何一方均可向工程所在地有管辖权的人民法院提起诉讼，但诉讼不影响委托人同其他监理单位另行签订监理合同。</w:t>
      </w:r>
    </w:p>
    <w:p w14:paraId="0BEBCBB5">
      <w:pPr>
        <w:widowControl w:val="0"/>
        <w:topLinePunct/>
        <w:adjustRightInd w:val="0"/>
        <w:snapToGrid w:val="0"/>
        <w:spacing w:line="360" w:lineRule="auto"/>
        <w:ind w:firstLine="439" w:firstLineChars="183"/>
        <w:jc w:val="both"/>
        <w:rPr>
          <w:rFonts w:hint="eastAsia" w:ascii="宋体" w:hAnsi="宋体" w:eastAsia="宋体" w:cs="宋体"/>
          <w:bCs/>
          <w:smallCaps/>
          <w:spacing w:val="0"/>
          <w:kern w:val="0"/>
          <w:sz w:val="24"/>
          <w:szCs w:val="24"/>
          <w:highlight w:val="none"/>
          <w:lang w:val="en-US" w:eastAsia="zh-CN" w:bidi="ar-SA"/>
        </w:rPr>
      </w:pPr>
      <w:r>
        <w:rPr>
          <w:rFonts w:hint="eastAsia" w:ascii="宋体" w:hAnsi="宋体" w:eastAsia="宋体" w:cs="宋体"/>
          <w:bCs/>
          <w:smallCaps/>
          <w:spacing w:val="0"/>
          <w:kern w:val="0"/>
          <w:sz w:val="24"/>
          <w:szCs w:val="24"/>
          <w:highlight w:val="none"/>
          <w:lang w:val="en-US" w:eastAsia="zh-CN" w:bidi="ar-SA"/>
        </w:rPr>
        <w:t>7.4 损失赔偿</w:t>
      </w:r>
    </w:p>
    <w:p w14:paraId="6525357F">
      <w:pPr>
        <w:spacing w:line="360" w:lineRule="auto"/>
        <w:ind w:firstLine="480" w:firstLineChars="200"/>
        <w:rPr>
          <w:rFonts w:hint="eastAsia" w:ascii="宋体" w:hAnsi="宋体" w:eastAsia="宋体" w:cs="宋体"/>
          <w:bCs/>
          <w:smallCaps/>
          <w:kern w:val="0"/>
          <w:sz w:val="24"/>
          <w:szCs w:val="24"/>
          <w:highlight w:val="none"/>
        </w:rPr>
      </w:pPr>
      <w:r>
        <w:rPr>
          <w:rFonts w:hint="eastAsia" w:ascii="宋体" w:hAnsi="宋体" w:eastAsia="宋体" w:cs="宋体"/>
          <w:bCs/>
          <w:smallCaps/>
          <w:kern w:val="0"/>
          <w:sz w:val="24"/>
          <w:szCs w:val="24"/>
          <w:highlight w:val="none"/>
        </w:rPr>
        <w:t>因监理单位原因引起诉讼、仲裁等纠纷，给委托人造成经济损失的（包括不限于律师代理费、专家咨询费、诉讼及仲裁等相关费用），监理单位应向委托人赔偿因其造成的直接经济损失。如发生不赔偿的，发包人有权动用履约保函进行抵扣。</w:t>
      </w:r>
    </w:p>
    <w:p w14:paraId="4B83E9D6">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8.其他</w:t>
      </w:r>
    </w:p>
    <w:p w14:paraId="709403C4">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8.1外出考察费用</w:t>
      </w:r>
    </w:p>
    <w:p w14:paraId="45DBF0A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双方一致同意不适用通用条款第8.1款的约定。委托的建设工程监理所必要的监理人员出外考察、材料设备复试、监造，其费用支出由监理人负责解决。但对于设备监造酬金，由双方另行约定。</w:t>
      </w:r>
    </w:p>
    <w:p w14:paraId="05B68AF5">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8.2检测费用</w:t>
      </w:r>
    </w:p>
    <w:p w14:paraId="38BB5B07">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双方一致同意不适用通用条款第8.2款的约定。委托的建设工程监理所必要的由监理人进行的材料和设备检测所发生的费用由监理人负责解决。</w:t>
      </w:r>
    </w:p>
    <w:p w14:paraId="5125B098">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8.3咨询费用</w:t>
      </w:r>
    </w:p>
    <w:p w14:paraId="19152B51">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根据工程需要组织的相关咨询论证会以及聘请相关专家等发生的费用，属监理人组织或聘请的由监理人支付，属委托人或者委托人委托监理人组织或聘请的由委托人支付。</w:t>
      </w:r>
    </w:p>
    <w:p w14:paraId="4142BCB0">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8.4奖励</w:t>
      </w:r>
    </w:p>
    <w:p w14:paraId="72699379">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双方一致同意不适用通用条款第8.4款的约定。</w:t>
      </w:r>
    </w:p>
    <w:p w14:paraId="4BEF3C1D">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8.6保密</w:t>
      </w:r>
    </w:p>
    <w:p w14:paraId="60A64F8D">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在合同期内或合同终止后，未征得有关方同意，不得泄露与本合同工程、本合同业务有关的保密资料。</w:t>
      </w:r>
    </w:p>
    <w:p w14:paraId="4C2F952F">
      <w:pPr>
        <w:widowControl w:val="0"/>
        <w:topLinePunct/>
        <w:adjustRightInd w:val="0"/>
        <w:snapToGrid w:val="0"/>
        <w:spacing w:line="360" w:lineRule="auto"/>
        <w:ind w:firstLine="482" w:firstLineChars="200"/>
        <w:jc w:val="both"/>
        <w:rPr>
          <w:rFonts w:hint="eastAsia" w:ascii="宋体" w:hAnsi="宋体" w:eastAsia="宋体" w:cs="宋体"/>
          <w:b/>
          <w:spacing w:val="0"/>
          <w:kern w:val="0"/>
          <w:sz w:val="24"/>
          <w:szCs w:val="24"/>
          <w:highlight w:val="none"/>
          <w:lang w:val="en-US" w:eastAsia="zh-CN" w:bidi="ar-SA"/>
        </w:rPr>
      </w:pPr>
      <w:r>
        <w:rPr>
          <w:rFonts w:hint="eastAsia" w:ascii="宋体" w:hAnsi="宋体" w:eastAsia="宋体" w:cs="宋体"/>
          <w:b/>
          <w:spacing w:val="0"/>
          <w:kern w:val="0"/>
          <w:sz w:val="24"/>
          <w:szCs w:val="24"/>
          <w:highlight w:val="none"/>
          <w:lang w:val="en-US" w:eastAsia="zh-CN" w:bidi="ar-SA"/>
        </w:rPr>
        <w:t>8.8著作权</w:t>
      </w:r>
    </w:p>
    <w:p w14:paraId="7FAEDC5A">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监理人对其编制的文件拥有著作权，委托人仅有权为本合同工程使用或复制此类文件。</w:t>
      </w:r>
    </w:p>
    <w:p w14:paraId="3071A82C">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p>
    <w:p w14:paraId="6C3F725E">
      <w:pPr>
        <w:widowControl w:val="0"/>
        <w:topLinePunct/>
        <w:adjustRightInd w:val="0"/>
        <w:snapToGrid w:val="0"/>
        <w:spacing w:line="360" w:lineRule="auto"/>
        <w:ind w:firstLine="562" w:firstLineChars="200"/>
        <w:jc w:val="both"/>
        <w:rPr>
          <w:rFonts w:hint="eastAsia" w:ascii="宋体" w:hAnsi="宋体" w:eastAsia="宋体" w:cs="宋体"/>
          <w:b/>
          <w:bCs/>
          <w:spacing w:val="0"/>
          <w:kern w:val="0"/>
          <w:sz w:val="28"/>
          <w:szCs w:val="28"/>
          <w:highlight w:val="none"/>
          <w:lang w:val="en-US" w:eastAsia="zh-CN" w:bidi="ar-SA"/>
        </w:rPr>
      </w:pPr>
      <w:r>
        <w:rPr>
          <w:rFonts w:hint="eastAsia" w:ascii="宋体" w:hAnsi="宋体" w:eastAsia="宋体" w:cs="宋体"/>
          <w:b/>
          <w:bCs/>
          <w:spacing w:val="0"/>
          <w:kern w:val="0"/>
          <w:sz w:val="28"/>
          <w:szCs w:val="28"/>
          <w:highlight w:val="none"/>
          <w:lang w:val="en-US" w:eastAsia="zh-CN" w:bidi="ar-SA"/>
        </w:rPr>
        <w:t>9.补充条款</w:t>
      </w:r>
    </w:p>
    <w:p w14:paraId="52595726">
      <w:pPr>
        <w:widowControl w:val="0"/>
        <w:topLinePunct/>
        <w:adjustRightInd w:val="0"/>
        <w:snapToGrid w:val="0"/>
        <w:spacing w:line="360" w:lineRule="auto"/>
        <w:ind w:firstLine="480" w:firstLineChars="200"/>
        <w:jc w:val="both"/>
        <w:rPr>
          <w:rFonts w:hint="eastAsia" w:ascii="宋体" w:hAnsi="宋体" w:eastAsia="宋体" w:cs="宋体"/>
          <w:spacing w:val="0"/>
          <w:kern w:val="0"/>
          <w:sz w:val="24"/>
          <w:szCs w:val="24"/>
          <w:highlight w:val="none"/>
          <w:lang w:val="en-US" w:eastAsia="zh-CN" w:bidi="ar-SA"/>
        </w:rPr>
      </w:pPr>
      <w:r>
        <w:rPr>
          <w:rFonts w:hint="eastAsia" w:ascii="宋体" w:hAnsi="宋体" w:eastAsia="宋体" w:cs="宋体"/>
          <w:spacing w:val="0"/>
          <w:kern w:val="0"/>
          <w:sz w:val="24"/>
          <w:szCs w:val="24"/>
          <w:highlight w:val="none"/>
          <w:lang w:val="en-US" w:eastAsia="zh-CN" w:bidi="ar-SA"/>
        </w:rPr>
        <w:t>为了使建设项目施工监理工作更合理、有序地进行，委托人有权</w:t>
      </w:r>
      <w:r>
        <w:rPr>
          <w:rFonts w:hint="eastAsia" w:ascii="宋体" w:hAnsi="宋体" w:eastAsia="宋体" w:cs="宋体"/>
          <w:bCs/>
          <w:spacing w:val="0"/>
          <w:kern w:val="0"/>
          <w:sz w:val="24"/>
          <w:szCs w:val="24"/>
          <w:highlight w:val="none"/>
          <w:lang w:val="en-US" w:eastAsia="zh-CN" w:bidi="ar-SA"/>
        </w:rPr>
        <w:t>对本合同约定的监理范围、监理内容作适当的调整，特别是对本合同监理范围内专业性较强的、有特殊要求的施工内容，委托人将视监理人能力、水平等实际情况，保留另行选择专业技术管理服务队伍的权利，但不因此免除本合同监理人应有的义务和责任。</w:t>
      </w:r>
      <w:r>
        <w:rPr>
          <w:rFonts w:hint="eastAsia" w:ascii="宋体" w:hAnsi="宋体" w:eastAsia="宋体" w:cs="宋体"/>
          <w:spacing w:val="0"/>
          <w:kern w:val="0"/>
          <w:sz w:val="24"/>
          <w:szCs w:val="24"/>
          <w:highlight w:val="none"/>
          <w:lang w:val="en-US" w:eastAsia="zh-CN" w:bidi="ar-SA"/>
        </w:rPr>
        <w:t>监理人必须不折不扣地按照《建设工程监理规范》（GB/T50319-2013）的规定</w:t>
      </w:r>
      <w:r>
        <w:rPr>
          <w:rFonts w:hint="eastAsia" w:ascii="宋体" w:hAnsi="宋体" w:eastAsia="宋体" w:cs="宋体"/>
          <w:bCs/>
          <w:spacing w:val="0"/>
          <w:kern w:val="0"/>
          <w:sz w:val="24"/>
          <w:szCs w:val="24"/>
          <w:highlight w:val="none"/>
          <w:lang w:val="en-US" w:eastAsia="zh-CN" w:bidi="ar-SA"/>
        </w:rPr>
        <w:t>对本合同工程实施全过程监理，不因委托人另行委托了</w:t>
      </w:r>
      <w:r>
        <w:rPr>
          <w:rFonts w:hint="eastAsia" w:ascii="宋体" w:hAnsi="宋体" w:eastAsia="宋体" w:cs="宋体"/>
          <w:spacing w:val="0"/>
          <w:kern w:val="0"/>
          <w:sz w:val="24"/>
          <w:szCs w:val="24"/>
          <w:highlight w:val="none"/>
          <w:lang w:val="en-US" w:eastAsia="zh-CN" w:bidi="ar-SA"/>
        </w:rPr>
        <w:t>技术督导等技术管理服务单位而减轻或免除监理人的任何责任及义务，并由其负责技术督导等技术管理服务单位的协调管理工作。</w:t>
      </w:r>
    </w:p>
    <w:p w14:paraId="43A7D8A5">
      <w:pPr>
        <w:widowControl w:val="0"/>
        <w:topLinePunct/>
        <w:adjustRightInd w:val="0"/>
        <w:snapToGrid w:val="0"/>
        <w:spacing w:line="360" w:lineRule="auto"/>
        <w:ind w:firstLine="0" w:firstLineChars="0"/>
        <w:jc w:val="both"/>
        <w:rPr>
          <w:rFonts w:hint="eastAsia" w:ascii="宋体" w:hAnsi="宋体" w:eastAsia="宋体" w:cs="宋体"/>
          <w:b/>
          <w:bCs/>
          <w:spacing w:val="0"/>
          <w:kern w:val="0"/>
          <w:sz w:val="24"/>
          <w:szCs w:val="24"/>
          <w:highlight w:val="none"/>
          <w:lang w:val="en-US" w:eastAsia="zh-CN" w:bidi="ar-SA"/>
        </w:rPr>
      </w:pPr>
    </w:p>
    <w:p w14:paraId="0073C7AA">
      <w:pPr>
        <w:widowControl w:val="0"/>
        <w:topLinePunct/>
        <w:adjustRightInd w:val="0"/>
        <w:snapToGrid w:val="0"/>
        <w:spacing w:line="360" w:lineRule="auto"/>
        <w:ind w:firstLine="0" w:firstLineChars="0"/>
        <w:jc w:val="both"/>
        <w:rPr>
          <w:rFonts w:hint="eastAsia" w:ascii="宋体" w:hAnsi="宋体" w:eastAsia="楷体_GB2312" w:cs="Times New Roman"/>
          <w:spacing w:val="0"/>
          <w:kern w:val="0"/>
          <w:sz w:val="24"/>
          <w:szCs w:val="24"/>
          <w:highlight w:val="none"/>
          <w:lang w:val="en-US" w:eastAsia="zh-CN" w:bidi="ar-SA"/>
        </w:rPr>
      </w:pPr>
    </w:p>
    <w:p w14:paraId="114FAB73">
      <w:pPr>
        <w:spacing w:line="360" w:lineRule="auto"/>
        <w:rPr>
          <w:rFonts w:hint="eastAsia" w:ascii="华文中宋" w:hAnsi="华文中宋" w:eastAsia="华文中宋" w:cs="Times New Roman"/>
          <w:b/>
          <w:bCs/>
          <w:kern w:val="0"/>
          <w:sz w:val="24"/>
          <w:highlight w:val="none"/>
        </w:rPr>
      </w:pPr>
      <w:r>
        <w:rPr>
          <w:rFonts w:hint="eastAsia" w:ascii="华文中宋" w:hAnsi="华文中宋" w:eastAsia="华文中宋" w:cs="Times New Roman"/>
          <w:b/>
          <w:bCs/>
          <w:kern w:val="0"/>
          <w:sz w:val="24"/>
          <w:highlight w:val="none"/>
        </w:rPr>
        <w:br w:type="page"/>
      </w:r>
    </w:p>
    <w:p w14:paraId="6DD27F45">
      <w:pPr>
        <w:widowControl w:val="0"/>
        <w:topLinePunct/>
        <w:adjustRightInd w:val="0"/>
        <w:snapToGrid w:val="0"/>
        <w:spacing w:before="156" w:beforeLines="50" w:after="156" w:afterLines="50" w:line="360" w:lineRule="auto"/>
        <w:jc w:val="center"/>
        <w:outlineLvl w:val="1"/>
        <w:rPr>
          <w:rFonts w:hint="eastAsia" w:ascii="宋体" w:hAnsi="宋体" w:eastAsia="宋体" w:cs="Times New Roman"/>
          <w:b/>
          <w:spacing w:val="0"/>
          <w:kern w:val="0"/>
          <w:sz w:val="44"/>
          <w:szCs w:val="44"/>
          <w:highlight w:val="none"/>
          <w:lang w:val="en-US" w:eastAsia="zh-CN" w:bidi="ar-SA"/>
        </w:rPr>
      </w:pPr>
      <w:bookmarkStart w:id="105" w:name="_Toc403660593"/>
      <w:r>
        <w:rPr>
          <w:rFonts w:hint="eastAsia" w:ascii="宋体" w:hAnsi="宋体" w:eastAsia="宋体" w:cs="Times New Roman"/>
          <w:b/>
          <w:spacing w:val="0"/>
          <w:kern w:val="0"/>
          <w:sz w:val="44"/>
          <w:szCs w:val="44"/>
          <w:highlight w:val="none"/>
          <w:lang w:val="en-US" w:eastAsia="zh-CN" w:bidi="ar-SA"/>
        </w:rPr>
        <w:t>第四部分  合同附件</w:t>
      </w:r>
      <w:bookmarkEnd w:id="105"/>
    </w:p>
    <w:p w14:paraId="21B0C513">
      <w:pPr>
        <w:widowControl w:val="0"/>
        <w:topLinePunct/>
        <w:adjustRightInd w:val="0"/>
        <w:snapToGrid w:val="0"/>
        <w:spacing w:line="360" w:lineRule="auto"/>
        <w:ind w:firstLine="0" w:firstLineChars="0"/>
        <w:jc w:val="both"/>
        <w:rPr>
          <w:rFonts w:hint="eastAsia" w:ascii="宋体" w:hAnsi="宋体" w:eastAsia="楷体_GB2312" w:cs="Times New Roman"/>
          <w:b/>
          <w:spacing w:val="0"/>
          <w:kern w:val="0"/>
          <w:sz w:val="24"/>
          <w:szCs w:val="24"/>
          <w:highlight w:val="none"/>
          <w:lang w:val="en-US" w:eastAsia="zh-CN" w:bidi="ar-SA"/>
        </w:rPr>
      </w:pPr>
      <w:bookmarkStart w:id="106" w:name="_Toc191697649"/>
    </w:p>
    <w:bookmarkEnd w:id="106"/>
    <w:p w14:paraId="25F4DCF2">
      <w:pPr>
        <w:adjustRightInd w:val="0"/>
        <w:snapToGrid w:val="0"/>
        <w:spacing w:line="360" w:lineRule="auto"/>
        <w:rPr>
          <w:rFonts w:hint="eastAsia" w:ascii="宋体" w:hAnsi="宋体" w:eastAsia="楷体_GB2312" w:cs="Times New Roman"/>
          <w:snapToGrid w:val="0"/>
          <w:kern w:val="0"/>
          <w:sz w:val="24"/>
          <w:highlight w:val="none"/>
        </w:rPr>
      </w:pPr>
      <w:bookmarkStart w:id="107" w:name="_Toc305848753"/>
      <w:r>
        <w:rPr>
          <w:rFonts w:hint="eastAsia" w:ascii="宋体" w:hAnsi="宋体" w:eastAsia="楷体_GB2312" w:cs="宋体"/>
          <w:snapToGrid w:val="0"/>
          <w:kern w:val="0"/>
          <w:sz w:val="24"/>
          <w:highlight w:val="none"/>
        </w:rPr>
        <w:t>附件1：</w:t>
      </w:r>
      <w:bookmarkEnd w:id="107"/>
    </w:p>
    <w:p w14:paraId="00C5EE09">
      <w:pPr>
        <w:adjustRightInd w:val="0"/>
        <w:snapToGrid w:val="0"/>
        <w:spacing w:line="360" w:lineRule="auto"/>
        <w:jc w:val="center"/>
        <w:rPr>
          <w:rFonts w:hint="eastAsia" w:ascii="宋体" w:hAnsi="宋体" w:eastAsia="楷体_GB2312" w:cs="Times New Roman"/>
          <w:b/>
          <w:snapToGrid w:val="0"/>
          <w:kern w:val="0"/>
          <w:sz w:val="32"/>
          <w:szCs w:val="32"/>
          <w:highlight w:val="none"/>
        </w:rPr>
      </w:pPr>
      <w:r>
        <w:rPr>
          <w:rFonts w:hint="eastAsia" w:ascii="宋体" w:hAnsi="宋体" w:eastAsia="楷体_GB2312" w:cs="Times New Roman"/>
          <w:b/>
          <w:snapToGrid w:val="0"/>
          <w:kern w:val="0"/>
          <w:sz w:val="32"/>
          <w:szCs w:val="32"/>
          <w:highlight w:val="none"/>
        </w:rPr>
        <w:t>工程建设廉洁协议书</w:t>
      </w:r>
    </w:p>
    <w:p w14:paraId="69480E5F">
      <w:pPr>
        <w:adjustRightInd w:val="0"/>
        <w:snapToGrid w:val="0"/>
        <w:spacing w:line="360" w:lineRule="auto"/>
        <w:rPr>
          <w:rFonts w:hint="eastAsia" w:ascii="宋体" w:hAnsi="宋体" w:eastAsia="楷体_GB2312" w:cs="Times New Roman"/>
          <w:snapToGrid w:val="0"/>
          <w:kern w:val="0"/>
          <w:sz w:val="24"/>
          <w:szCs w:val="24"/>
          <w:highlight w:val="none"/>
        </w:rPr>
      </w:pPr>
    </w:p>
    <w:p w14:paraId="09A8E287">
      <w:pPr>
        <w:adjustRightInd w:val="0"/>
        <w:snapToGrid w:val="0"/>
        <w:spacing w:line="360" w:lineRule="auto"/>
        <w:rPr>
          <w:rFonts w:hint="eastAsia" w:ascii="宋体" w:hAnsi="宋体" w:eastAsia="楷体_GB2312" w:cs="Times New Roman"/>
          <w:bCs/>
          <w:kern w:val="0"/>
          <w:sz w:val="24"/>
          <w:szCs w:val="24"/>
          <w:highlight w:val="none"/>
          <w:u w:val="single"/>
        </w:rPr>
      </w:pPr>
      <w:r>
        <w:rPr>
          <w:rFonts w:hint="eastAsia" w:ascii="宋体" w:hAnsi="宋体" w:eastAsia="楷体_GB2312" w:cs="Times New Roman"/>
          <w:snapToGrid w:val="0"/>
          <w:kern w:val="0"/>
          <w:sz w:val="24"/>
          <w:szCs w:val="24"/>
          <w:highlight w:val="none"/>
        </w:rPr>
        <w:t>项目名称：</w:t>
      </w:r>
      <w:r>
        <w:rPr>
          <w:rFonts w:hint="eastAsia" w:ascii="宋体" w:hAnsi="宋体" w:eastAsia="楷体_GB2312" w:cs="Times New Roman"/>
          <w:snapToGrid w:val="0"/>
          <w:kern w:val="0"/>
          <w:sz w:val="24"/>
          <w:szCs w:val="24"/>
          <w:highlight w:val="none"/>
          <w:u w:val="single"/>
        </w:rPr>
        <w:t xml:space="preserve">                  </w:t>
      </w:r>
    </w:p>
    <w:p w14:paraId="7C8CADB3">
      <w:pPr>
        <w:adjustRightInd w:val="0"/>
        <w:snapToGrid w:val="0"/>
        <w:spacing w:line="360" w:lineRule="auto"/>
        <w:rPr>
          <w:rFonts w:hint="eastAsia" w:ascii="宋体" w:hAnsi="宋体" w:eastAsia="楷体_GB2312" w:cs="Times New Roman"/>
          <w:snapToGrid w:val="0"/>
          <w:kern w:val="0"/>
          <w:sz w:val="24"/>
          <w:szCs w:val="24"/>
          <w:highlight w:val="none"/>
        </w:rPr>
      </w:pPr>
      <w:r>
        <w:rPr>
          <w:rFonts w:hint="eastAsia" w:ascii="宋体" w:hAnsi="宋体" w:eastAsia="楷体_GB2312" w:cs="Times New Roman"/>
          <w:snapToGrid w:val="0"/>
          <w:kern w:val="0"/>
          <w:sz w:val="24"/>
          <w:szCs w:val="24"/>
          <w:highlight w:val="none"/>
        </w:rPr>
        <w:t>项目地址：</w:t>
      </w:r>
      <w:r>
        <w:rPr>
          <w:rFonts w:hint="eastAsia" w:ascii="宋体" w:hAnsi="宋体" w:eastAsia="楷体_GB2312" w:cs="Times New Roman"/>
          <w:snapToGrid w:val="0"/>
          <w:kern w:val="0"/>
          <w:sz w:val="24"/>
          <w:szCs w:val="24"/>
          <w:highlight w:val="none"/>
          <w:u w:val="single"/>
        </w:rPr>
        <w:t xml:space="preserve">                  </w:t>
      </w:r>
      <w:r>
        <w:rPr>
          <w:rFonts w:hint="eastAsia" w:ascii="宋体" w:hAnsi="宋体" w:eastAsia="楷体_GB2312" w:cs="Times New Roman"/>
          <w:bCs/>
          <w:kern w:val="0"/>
          <w:sz w:val="24"/>
          <w:szCs w:val="24"/>
          <w:highlight w:val="none"/>
          <w:u w:val="single"/>
        </w:rPr>
        <w:t xml:space="preserve"> </w:t>
      </w:r>
    </w:p>
    <w:p w14:paraId="76837D28">
      <w:pPr>
        <w:adjustRightInd w:val="0"/>
        <w:snapToGrid w:val="0"/>
        <w:spacing w:line="360" w:lineRule="auto"/>
        <w:rPr>
          <w:rFonts w:hint="eastAsia" w:ascii="宋体" w:hAnsi="宋体" w:eastAsia="楷体_GB2312" w:cs="Times New Roman"/>
          <w:snapToGrid w:val="0"/>
          <w:kern w:val="0"/>
          <w:sz w:val="24"/>
          <w:szCs w:val="24"/>
          <w:highlight w:val="none"/>
        </w:rPr>
      </w:pPr>
      <w:r>
        <w:rPr>
          <w:rFonts w:hint="eastAsia" w:ascii="宋体" w:hAnsi="宋体" w:eastAsia="楷体_GB2312" w:cs="Times New Roman"/>
          <w:snapToGrid w:val="0"/>
          <w:kern w:val="0"/>
          <w:sz w:val="24"/>
          <w:szCs w:val="24"/>
          <w:highlight w:val="none"/>
        </w:rPr>
        <w:t>委托人（甲方）：</w:t>
      </w:r>
      <w:r>
        <w:rPr>
          <w:rFonts w:hint="eastAsia" w:ascii="宋体" w:hAnsi="宋体" w:eastAsia="楷体_GB2312" w:cs="Times New Roman"/>
          <w:bCs/>
          <w:kern w:val="0"/>
          <w:sz w:val="24"/>
          <w:szCs w:val="24"/>
          <w:highlight w:val="none"/>
          <w:u w:val="single"/>
        </w:rPr>
        <w:t xml:space="preserve"> 广东省代建项目管理局 </w:t>
      </w:r>
    </w:p>
    <w:p w14:paraId="55C47B21">
      <w:pPr>
        <w:adjustRightInd w:val="0"/>
        <w:snapToGrid w:val="0"/>
        <w:spacing w:line="360" w:lineRule="auto"/>
        <w:rPr>
          <w:rFonts w:hint="eastAsia" w:ascii="宋体" w:hAnsi="宋体" w:eastAsia="楷体_GB2312" w:cs="Times New Roman"/>
          <w:snapToGrid w:val="0"/>
          <w:kern w:val="0"/>
          <w:sz w:val="24"/>
          <w:szCs w:val="24"/>
          <w:highlight w:val="none"/>
        </w:rPr>
      </w:pPr>
      <w:r>
        <w:rPr>
          <w:rFonts w:hint="eastAsia" w:ascii="宋体" w:hAnsi="宋体" w:eastAsia="楷体_GB2312" w:cs="Times New Roman"/>
          <w:snapToGrid w:val="0"/>
          <w:kern w:val="0"/>
          <w:sz w:val="24"/>
          <w:szCs w:val="24"/>
          <w:highlight w:val="none"/>
        </w:rPr>
        <w:t>监理人（乙方）：</w:t>
      </w:r>
      <w:r>
        <w:rPr>
          <w:rFonts w:hint="eastAsia" w:ascii="宋体" w:hAnsi="宋体" w:eastAsia="楷体_GB2312" w:cs="Times New Roman"/>
          <w:snapToGrid w:val="0"/>
          <w:kern w:val="0"/>
          <w:sz w:val="24"/>
          <w:szCs w:val="24"/>
          <w:highlight w:val="none"/>
          <w:u w:val="single"/>
        </w:rPr>
        <w:t xml:space="preserve">                   </w:t>
      </w:r>
    </w:p>
    <w:p w14:paraId="35987635">
      <w:pPr>
        <w:adjustRightInd w:val="0"/>
        <w:snapToGrid w:val="0"/>
        <w:spacing w:line="360" w:lineRule="auto"/>
        <w:rPr>
          <w:rFonts w:hint="eastAsia" w:ascii="宋体" w:hAnsi="宋体" w:eastAsia="楷体_GB2312" w:cs="Times New Roman"/>
          <w:snapToGrid w:val="0"/>
          <w:kern w:val="0"/>
          <w:sz w:val="24"/>
          <w:highlight w:val="none"/>
        </w:rPr>
      </w:pPr>
    </w:p>
    <w:p w14:paraId="136E738B">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为切实加强廉洁工程建设，规范承发包双方的各项建筑活动，预防违法违纪等腐败现象的发生，保障工程建设优质、安全和廉洁，根据《广州市建筑市场廉洁准入规定</w:t>
      </w:r>
      <w:r>
        <w:rPr>
          <w:rFonts w:hint="eastAsia" w:ascii="宋体" w:hAnsi="宋体" w:eastAsia="宋体" w:cs="宋体"/>
          <w:bCs/>
          <w:snapToGrid w:val="0"/>
          <w:kern w:val="0"/>
          <w:sz w:val="24"/>
          <w:highlight w:val="none"/>
        </w:rPr>
        <w:t>（试行）</w:t>
      </w:r>
      <w:r>
        <w:rPr>
          <w:rFonts w:hint="eastAsia" w:ascii="宋体" w:hAnsi="宋体" w:eastAsia="宋体" w:cs="宋体"/>
          <w:snapToGrid w:val="0"/>
          <w:kern w:val="0"/>
          <w:sz w:val="24"/>
          <w:highlight w:val="none"/>
        </w:rPr>
        <w:t>》及相关法律法规的规定，特订立本协议书。</w:t>
      </w:r>
    </w:p>
    <w:p w14:paraId="560A8B8A">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第一条 甲乙双方责任</w:t>
      </w:r>
    </w:p>
    <w:p w14:paraId="5233C155">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（一）严格遵守国家有关法律法规和政策规定，以及廉政建设的各项约定。</w:t>
      </w:r>
    </w:p>
    <w:p w14:paraId="0393AAE8">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（二）严格执行建设工程项目承发包合同文件，自觉按合同办事。</w:t>
      </w:r>
    </w:p>
    <w:p w14:paraId="26DA24B1">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三）建筑活动必须坚持公开、公平、公正、诚信、透明的原则（除法律法规另有规定者外），不得为获取不正当的利益，损害国家、集体和对方利益，不得违反国家、省、市和甲方有关工程建设管理的规章制度。</w:t>
      </w:r>
    </w:p>
    <w:p w14:paraId="0F0792A7">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（四）发现对方在建筑活动中存在违规、违纪、违法行为的，有权向其上级主管部门或纪检监察、检察等有关机关举报。</w:t>
      </w:r>
    </w:p>
    <w:p w14:paraId="5DC4BC17">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（五）甲乙双方应充分发挥各自职能作用，积极互动形成纵向监督合力，依照本协议书规定，对本合同工程项目承发包合同履行情况实施监督，及时制止不廉洁行为的发生。</w:t>
      </w:r>
    </w:p>
    <w:p w14:paraId="46CEE243">
      <w:pPr>
        <w:adjustRightInd w:val="0"/>
        <w:snapToGrid w:val="0"/>
        <w:spacing w:line="360" w:lineRule="auto"/>
        <w:ind w:firstLine="470" w:firstLineChars="196"/>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第二条 甲方责任</w:t>
      </w:r>
    </w:p>
    <w:p w14:paraId="3672E5CD">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（一）甲方领导干部和从事该工程建设的管理人员，在建筑活动中须严格遵守以下廉洁从业规定：</w:t>
      </w:r>
    </w:p>
    <w:p w14:paraId="1B0AE09B">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1.不准向乙方和相关单位或个人索取钱物或接受回扣、礼金、各种有价证券、信用卡和好处费、感谢费以及其它支付凭证等。</w:t>
      </w:r>
    </w:p>
    <w:p w14:paraId="1B739F41">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2.不准接受可能影响公正执行公务的乙方和相关单位或个人的礼物馈赠、宴请、各种形式俱乐部会员资格、高消费娱乐活动。</w:t>
      </w:r>
    </w:p>
    <w:p w14:paraId="741AD84E">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3.不准在乙方和相关单位报销任何应由甲方或个人负担的费用。</w:t>
      </w:r>
    </w:p>
    <w:p w14:paraId="47575BA6">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4.不准要求、暗示或接受乙方和相关单位或个人为自己、配偶、子女、其他亲属朋友及身边工作人员的装修住房、婚丧嫁娶、工作安排、学习培训、经商办企业以及出国（境）、旅游、度假等支付费用。</w:t>
      </w:r>
    </w:p>
    <w:p w14:paraId="1D387365">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5.不准向乙方介绍配偶、子女、其他亲属朋友及身边工作人员参与同甲方项目工程合同有关的设备、材料、工程分包、劳务等经济活动。</w:t>
      </w:r>
    </w:p>
    <w:p w14:paraId="69192D45">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6.不得以任何理由向乙方和相关单位推荐分包单位和要求或暗示乙方购买项目工程合同规定外的材料、设备等。</w:t>
      </w:r>
    </w:p>
    <w:p w14:paraId="052CE15B">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（二）合同签订后组织与乙方相关廉洁责任人见面会，进行廉洁工程建设交底，明确廉洁工程建设责任和目标任务、举报方式。</w:t>
      </w:r>
    </w:p>
    <w:p w14:paraId="31A67644">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（三）加强对合同支付、合同结算等建设管理环节的监督管理，特别是审批效能方面的监察检查，提高建设管理服务水平。</w:t>
      </w:r>
    </w:p>
    <w:p w14:paraId="1F526828">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（四）成立监督工作机构，不定期对合同履行情况开展监督检查，对发现的有关问题，及时协调给予解决。</w:t>
      </w:r>
    </w:p>
    <w:p w14:paraId="75714DCB">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第三条 乙方责任</w:t>
      </w:r>
    </w:p>
    <w:p w14:paraId="11C0B14C">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（一）与甲方保持正常的业务交往，遵守以下规定：</w:t>
      </w:r>
    </w:p>
    <w:p w14:paraId="39F3FB2A">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1.不准以任何理由向甲方人员行贿或赠送回扣、礼金、各种有价证券、信用卡和好处费、感谢费及其它支付凭证等。</w:t>
      </w:r>
    </w:p>
    <w:p w14:paraId="16EED98C">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2.不准以任何理由为甲方人员组织有可能影响公正执行公务的宴请、各种形式俱乐部及高消费娱乐等活动。</w:t>
      </w:r>
    </w:p>
    <w:p w14:paraId="7B3645B5">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3.不准以任何理由为甲方或个人报销应由对方或个人支付的费用。</w:t>
      </w:r>
    </w:p>
    <w:p w14:paraId="2152A88A">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4.不准暗示或要求为甲方人员及其配偶、子女、其他亲属朋友及身边工作人员的装修住房、婚丧嫁娶、工作安排、学习培训、经商办企业以及出国（境）、旅游、度假提供方便和支付费用。</w:t>
      </w:r>
    </w:p>
    <w:p w14:paraId="63C9A68F">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5.不准介绍和安排甲方人员及其配偶、子女、其他亲属朋友及身边工作人员参与同甲方工程项目有关的设备、材料、工程分包、劳务等经济活动。</w:t>
      </w:r>
    </w:p>
    <w:p w14:paraId="57D4BF85">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6.不得与发包人及其工作人员亲属经营的企业存在业务关联或利益输送。</w:t>
      </w:r>
    </w:p>
    <w:p w14:paraId="735A17E0">
      <w:pPr>
        <w:widowControl w:val="0"/>
        <w:ind w:firstLine="420"/>
        <w:jc w:val="both"/>
        <w:rPr>
          <w:rFonts w:hint="eastAsia" w:ascii="宋体" w:hAnsi="宋体" w:eastAsia="宋体" w:cs="宋体"/>
          <w:sz w:val="34"/>
          <w:szCs w:val="20"/>
          <w:highlight w:val="none"/>
          <w:lang w:val="en-US" w:eastAsia="zh-CN" w:bidi="ar-SA"/>
        </w:rPr>
      </w:pPr>
    </w:p>
    <w:p w14:paraId="31377656">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（二）组织项目负责人及相关管理人员层层签订廉洁从业责任状，明确廉洁责任，形成有效的内部监督管理机制。</w:t>
      </w:r>
    </w:p>
    <w:p w14:paraId="2B394CB7">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（三）按甲方要求参加廉政座谈、法制讲座等活动，加强对项目负责人及相关管理人员的法律法规、廉洁和职业道德教育，共同筑牢防腐防线。</w:t>
      </w:r>
    </w:p>
    <w:p w14:paraId="7B326A16">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第四条 违约责任</w:t>
      </w:r>
    </w:p>
    <w:p w14:paraId="4679D158">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（一）甲方违约责任</w:t>
      </w:r>
    </w:p>
    <w:p w14:paraId="02802EF5">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snapToGrid w:val="0"/>
          <w:kern w:val="0"/>
          <w:sz w:val="24"/>
          <w:highlight w:val="none"/>
        </w:rPr>
        <w:t>1.甲方</w:t>
      </w:r>
      <w:r>
        <w:rPr>
          <w:rFonts w:hint="eastAsia" w:ascii="宋体" w:hAnsi="宋体" w:eastAsia="宋体" w:cs="宋体"/>
          <w:bCs/>
          <w:snapToGrid w:val="0"/>
          <w:kern w:val="0"/>
          <w:sz w:val="24"/>
          <w:highlight w:val="none"/>
        </w:rPr>
        <w:t>不履行或不完全履行本协议书有关责任义务给乙方造成损失的，在乙方提交足够证据并经查证属实的情况下，甲方赔偿其直接经济损失。</w:t>
      </w:r>
    </w:p>
    <w:p w14:paraId="1A39CF90">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2.甲方人员出现受贿等严重违法违纪违规行为的，按照管理权限，依据有关法律法规和规定给予党纪、政纪处分或组织处理；涉嫌犯罪的，移交司法机关追究刑事责任。</w:t>
      </w:r>
    </w:p>
    <w:p w14:paraId="2ACC9981">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（二）乙方违约责任</w:t>
      </w:r>
    </w:p>
    <w:p w14:paraId="3A8CEF44">
      <w:pPr>
        <w:adjustRightInd w:val="0"/>
        <w:snapToGrid w:val="0"/>
        <w:spacing w:line="360" w:lineRule="auto"/>
        <w:ind w:firstLine="480" w:firstLineChars="200"/>
        <w:rPr>
          <w:rFonts w:hint="eastAsia" w:ascii="宋体" w:hAnsi="宋体" w:eastAsia="宋体" w:cs="宋体"/>
          <w:bCs/>
          <w:snapToGrid w:val="0"/>
          <w:kern w:val="0"/>
          <w:sz w:val="24"/>
          <w:highlight w:val="none"/>
        </w:rPr>
      </w:pPr>
      <w:r>
        <w:rPr>
          <w:rFonts w:hint="eastAsia" w:ascii="宋体" w:hAnsi="宋体" w:eastAsia="宋体" w:cs="宋体"/>
          <w:snapToGrid w:val="0"/>
          <w:kern w:val="0"/>
          <w:sz w:val="24"/>
          <w:highlight w:val="none"/>
        </w:rPr>
        <w:t>1.</w:t>
      </w:r>
      <w:r>
        <w:rPr>
          <w:rFonts w:hint="eastAsia" w:ascii="宋体" w:hAnsi="宋体" w:eastAsia="宋体" w:cs="宋体"/>
          <w:bCs/>
          <w:snapToGrid w:val="0"/>
          <w:kern w:val="0"/>
          <w:sz w:val="24"/>
          <w:highlight w:val="none"/>
        </w:rPr>
        <w:t>乙方不履行或不完全履行本协议书有关责任义务的，</w:t>
      </w:r>
      <w:r>
        <w:rPr>
          <w:rFonts w:hint="eastAsia" w:ascii="宋体" w:hAnsi="宋体" w:eastAsia="宋体" w:cs="宋体"/>
          <w:snapToGrid w:val="0"/>
          <w:kern w:val="0"/>
          <w:sz w:val="24"/>
          <w:highlight w:val="none"/>
        </w:rPr>
        <w:t>按本合同工程合同</w:t>
      </w:r>
      <w:r>
        <w:rPr>
          <w:rFonts w:hint="eastAsia" w:ascii="宋体" w:hAnsi="宋体" w:eastAsia="宋体" w:cs="宋体"/>
          <w:bCs/>
          <w:snapToGrid w:val="0"/>
          <w:kern w:val="0"/>
          <w:sz w:val="24"/>
          <w:highlight w:val="none"/>
        </w:rPr>
        <w:t>规定须承担一次一般违约责任。情节较轻的，可给予书面警告；情节较重的，须承担一次严重违约责任。</w:t>
      </w:r>
    </w:p>
    <w:p w14:paraId="12F7BEF4">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bCs/>
          <w:snapToGrid w:val="0"/>
          <w:kern w:val="0"/>
          <w:sz w:val="24"/>
          <w:highlight w:val="none"/>
        </w:rPr>
        <w:t>2.乙方</w:t>
      </w:r>
      <w:r>
        <w:rPr>
          <w:rFonts w:hint="eastAsia" w:ascii="宋体" w:hAnsi="宋体" w:eastAsia="宋体" w:cs="宋体"/>
          <w:snapToGrid w:val="0"/>
          <w:kern w:val="0"/>
          <w:sz w:val="24"/>
          <w:highlight w:val="none"/>
        </w:rPr>
        <w:t>出现严重违法违纪违规行为的，甲方将上报监察或检察机关依法查处，并提请建设行政主管部门进行处理。</w:t>
      </w:r>
    </w:p>
    <w:p w14:paraId="5FD26411">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第五条 甲乙双方监管部门</w:t>
      </w:r>
    </w:p>
    <w:p w14:paraId="44555D78">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1.甲方监督部门：</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，举报电话：</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w:t>
      </w:r>
    </w:p>
    <w:p w14:paraId="0CEC547C">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2.乙方监督部门：</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，举报电话：</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，廉政责任人：</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，职务：</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，上级主管部门：</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w:t>
      </w:r>
    </w:p>
    <w:p w14:paraId="637D9FDD">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第六条 本协议书作为工程施工监理合同的附件，与工程施工监理合同具有同等法律效力。经双方签字盖章后生效。</w:t>
      </w:r>
    </w:p>
    <w:p w14:paraId="64B8EB6C">
      <w:pPr>
        <w:adjustRightInd w:val="0"/>
        <w:snapToGrid w:val="0"/>
        <w:spacing w:line="360" w:lineRule="auto"/>
        <w:ind w:firstLine="480" w:firstLineChars="200"/>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第七条未尽事宜，由双方协商解决。</w:t>
      </w:r>
    </w:p>
    <w:p w14:paraId="2BE4C28F">
      <w:pPr>
        <w:adjustRightInd w:val="0"/>
        <w:snapToGrid w:val="0"/>
        <w:spacing w:line="360" w:lineRule="auto"/>
        <w:rPr>
          <w:rFonts w:hint="eastAsia" w:ascii="宋体" w:hAnsi="宋体" w:eastAsia="楷体_GB2312" w:cs="Times New Roman"/>
          <w:snapToGrid w:val="0"/>
          <w:kern w:val="0"/>
          <w:sz w:val="24"/>
          <w:highlight w:val="none"/>
        </w:rPr>
      </w:pPr>
    </w:p>
    <w:p w14:paraId="132363D3">
      <w:pPr>
        <w:adjustRightInd w:val="0"/>
        <w:snapToGrid w:val="0"/>
        <w:spacing w:line="360" w:lineRule="auto"/>
        <w:jc w:val="left"/>
        <w:rPr>
          <w:rFonts w:ascii="宋体" w:hAnsi="Times New Roman" w:eastAsia="楷体_GB2312" w:cs="Times New Roman"/>
          <w:kern w:val="0"/>
          <w:sz w:val="32"/>
          <w:szCs w:val="32"/>
          <w:highlight w:val="none"/>
        </w:rPr>
      </w:pPr>
      <w:r>
        <w:rPr>
          <w:rFonts w:ascii="宋体" w:hAnsi="Times New Roman" w:eastAsia="楷体_GB2312" w:cs="Times New Roman"/>
          <w:snapToGrid w:val="0"/>
          <w:kern w:val="0"/>
          <w:sz w:val="34"/>
          <w:highlight w:val="none"/>
        </w:rPr>
        <w:br w:type="page"/>
      </w:r>
      <w:r>
        <w:rPr>
          <w:rFonts w:ascii="宋体" w:hAnsi="Times New Roman" w:eastAsia="楷体_GB2312" w:cs="Times New Roman"/>
          <w:kern w:val="0"/>
          <w:sz w:val="32"/>
          <w:szCs w:val="32"/>
          <w:highlight w:val="none"/>
        </w:rPr>
        <w:t>附件</w:t>
      </w:r>
      <w:r>
        <w:rPr>
          <w:rFonts w:hint="eastAsia" w:ascii="宋体" w:hAnsi="Times New Roman" w:eastAsia="楷体_GB2312" w:cs="Times New Roman"/>
          <w:kern w:val="0"/>
          <w:sz w:val="32"/>
          <w:szCs w:val="32"/>
          <w:highlight w:val="none"/>
        </w:rPr>
        <w:t>2</w:t>
      </w:r>
      <w:r>
        <w:rPr>
          <w:rFonts w:ascii="宋体" w:hAnsi="Times New Roman" w:eastAsia="楷体_GB2312" w:cs="Times New Roman"/>
          <w:kern w:val="0"/>
          <w:sz w:val="32"/>
          <w:szCs w:val="32"/>
          <w:highlight w:val="none"/>
        </w:rPr>
        <w:t xml:space="preserve">  </w:t>
      </w:r>
    </w:p>
    <w:p w14:paraId="2EF754F0">
      <w:pPr>
        <w:jc w:val="center"/>
        <w:rPr>
          <w:rFonts w:ascii="宋体" w:hAnsi="Times New Roman" w:eastAsia="楷体_GB2312" w:cs="Times New Roman"/>
          <w:kern w:val="0"/>
          <w:sz w:val="34"/>
          <w:highlight w:val="none"/>
        </w:rPr>
      </w:pPr>
      <w:r>
        <w:rPr>
          <w:rFonts w:ascii="宋体" w:hAnsi="Times New Roman" w:eastAsia="楷体_GB2312" w:cs="Times New Roman"/>
          <w:b/>
          <w:bCs/>
          <w:kern w:val="0"/>
          <w:sz w:val="28"/>
          <w:szCs w:val="28"/>
          <w:highlight w:val="none"/>
        </w:rPr>
        <w:t>一、监理组织架构框图</w:t>
      </w:r>
    </w:p>
    <w:p w14:paraId="51814B22">
      <w:pPr>
        <w:spacing w:line="320" w:lineRule="exact"/>
        <w:rPr>
          <w:rFonts w:hint="eastAsia" w:ascii="宋体" w:hAnsi="Times New Roman" w:eastAsia="楷体_GB2312" w:cs="Times New Roman"/>
          <w:spacing w:val="18"/>
          <w:kern w:val="0"/>
          <w:sz w:val="24"/>
          <w:highlight w:val="none"/>
        </w:rPr>
      </w:pPr>
    </w:p>
    <w:p w14:paraId="0CC303FD">
      <w:pPr>
        <w:spacing w:line="320" w:lineRule="exact"/>
        <w:rPr>
          <w:rFonts w:hint="eastAsia" w:ascii="宋体" w:hAnsi="Times New Roman" w:eastAsia="楷体_GB2312" w:cs="Times New Roman"/>
          <w:b/>
          <w:kern w:val="0"/>
          <w:sz w:val="31"/>
          <w:highlight w:val="none"/>
        </w:rPr>
      </w:pPr>
      <w:r>
        <w:rPr>
          <w:rFonts w:hint="eastAsia" w:ascii="宋体" w:hAnsi="Times New Roman" w:eastAsia="楷体_GB2312" w:cs="Times New Roman"/>
          <w:spacing w:val="18"/>
          <w:kern w:val="0"/>
          <w:sz w:val="24"/>
          <w:highlight w:val="none"/>
        </w:rPr>
        <w:t>法定</w:t>
      </w:r>
      <w:r>
        <w:rPr>
          <w:rFonts w:ascii="宋体" w:hAnsi="Times New Roman" w:eastAsia="楷体_GB2312" w:cs="Times New Roman"/>
          <w:spacing w:val="18"/>
          <w:kern w:val="0"/>
          <w:sz w:val="24"/>
          <w:highlight w:val="none"/>
        </w:rPr>
        <w:t xml:space="preserve">代表人(或被授权人) </w:t>
      </w:r>
      <w:r>
        <w:rPr>
          <w:rFonts w:hint="eastAsia" w:ascii="宋体" w:hAnsi="Times New Roman" w:eastAsia="楷体_GB2312" w:cs="Times New Roman"/>
          <w:spacing w:val="18"/>
          <w:kern w:val="0"/>
          <w:sz w:val="24"/>
          <w:highlight w:val="none"/>
        </w:rPr>
        <w:t>签</w:t>
      </w:r>
      <w:r>
        <w:rPr>
          <w:rFonts w:ascii="宋体" w:hAnsi="Times New Roman" w:eastAsia="楷体_GB2312" w:cs="Times New Roman"/>
          <w:spacing w:val="18"/>
          <w:kern w:val="0"/>
          <w:sz w:val="24"/>
          <w:highlight w:val="none"/>
        </w:rPr>
        <w:t xml:space="preserve">章：     </w:t>
      </w:r>
      <w:r>
        <w:rPr>
          <w:rFonts w:hint="eastAsia" w:ascii="宋体" w:hAnsi="Times New Roman" w:eastAsia="楷体_GB2312" w:cs="Times New Roman"/>
          <w:spacing w:val="18"/>
          <w:kern w:val="0"/>
          <w:sz w:val="24"/>
          <w:highlight w:val="none"/>
        </w:rPr>
        <w:t xml:space="preserve">          </w:t>
      </w:r>
      <w:r>
        <w:rPr>
          <w:rFonts w:ascii="宋体" w:hAnsi="Times New Roman" w:eastAsia="楷体_GB2312" w:cs="Times New Roman"/>
          <w:spacing w:val="18"/>
          <w:kern w:val="0"/>
          <w:sz w:val="24"/>
          <w:highlight w:val="none"/>
        </w:rPr>
        <w:t xml:space="preserve"> 日期：</w:t>
      </w:r>
      <w:r>
        <w:rPr>
          <w:rFonts w:hint="eastAsia" w:ascii="宋体" w:hAnsi="Times New Roman" w:eastAsia="楷体_GB2312" w:cs="Times New Roman"/>
          <w:spacing w:val="18"/>
          <w:kern w:val="0"/>
          <w:sz w:val="24"/>
          <w:highlight w:val="none"/>
        </w:rPr>
        <w:t xml:space="preserve">   </w:t>
      </w:r>
      <w:r>
        <w:rPr>
          <w:rFonts w:ascii="宋体" w:hAnsi="Times New Roman" w:eastAsia="楷体_GB2312" w:cs="Times New Roman"/>
          <w:spacing w:val="18"/>
          <w:kern w:val="0"/>
          <w:sz w:val="24"/>
          <w:highlight w:val="none"/>
        </w:rPr>
        <w:t>年  月 日</w:t>
      </w:r>
    </w:p>
    <w:p w14:paraId="08EB5419">
      <w:pPr>
        <w:rPr>
          <w:rFonts w:hint="eastAsia" w:ascii="楷体_GB2312" w:hAnsi="Times New Roman" w:eastAsia="楷体_GB2312" w:cs="Times New Roman"/>
          <w:kern w:val="0"/>
          <w:sz w:val="24"/>
          <w:highlight w:val="none"/>
        </w:rPr>
      </w:pPr>
    </w:p>
    <w:p w14:paraId="4A01A1CF">
      <w:pPr>
        <w:jc w:val="center"/>
        <w:rPr>
          <w:rFonts w:hint="eastAsia" w:ascii="宋体" w:hAnsi="宋体" w:eastAsia="楷体_GB2312" w:cs="Times New Roman"/>
          <w:b/>
          <w:bCs/>
          <w:kern w:val="0"/>
          <w:sz w:val="30"/>
          <w:highlight w:val="none"/>
        </w:rPr>
      </w:pPr>
      <w:r>
        <w:rPr>
          <w:rFonts w:hint="eastAsia" w:ascii="宋体" w:hAnsi="宋体" w:eastAsia="楷体_GB2312" w:cs="Times New Roman"/>
          <w:b/>
          <w:bCs/>
          <w:kern w:val="0"/>
          <w:sz w:val="30"/>
          <w:highlight w:val="none"/>
        </w:rPr>
        <w:t>二、拟委派本项目驻场监理机构人员一览表</w:t>
      </w:r>
    </w:p>
    <w:p w14:paraId="7B22C109">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 xml:space="preserve">  </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56"/>
        <w:gridCol w:w="667"/>
        <w:gridCol w:w="667"/>
        <w:gridCol w:w="970"/>
        <w:gridCol w:w="962"/>
        <w:gridCol w:w="1072"/>
        <w:gridCol w:w="1441"/>
        <w:gridCol w:w="1787"/>
        <w:gridCol w:w="525"/>
      </w:tblGrid>
      <w:tr w14:paraId="5483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5DB716CB">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序号</w:t>
            </w:r>
          </w:p>
        </w:tc>
        <w:tc>
          <w:tcPr>
            <w:tcW w:w="956" w:type="dxa"/>
            <w:noWrap w:val="0"/>
            <w:vAlign w:val="center"/>
          </w:tcPr>
          <w:p w14:paraId="099047FD">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姓名</w:t>
            </w:r>
          </w:p>
        </w:tc>
        <w:tc>
          <w:tcPr>
            <w:tcW w:w="667" w:type="dxa"/>
            <w:noWrap w:val="0"/>
            <w:vAlign w:val="center"/>
          </w:tcPr>
          <w:p w14:paraId="16AFB657">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性别</w:t>
            </w:r>
          </w:p>
        </w:tc>
        <w:tc>
          <w:tcPr>
            <w:tcW w:w="667" w:type="dxa"/>
            <w:noWrap w:val="0"/>
            <w:vAlign w:val="center"/>
          </w:tcPr>
          <w:p w14:paraId="12D78B9A">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年龄</w:t>
            </w:r>
          </w:p>
        </w:tc>
        <w:tc>
          <w:tcPr>
            <w:tcW w:w="970" w:type="dxa"/>
            <w:noWrap w:val="0"/>
            <w:vAlign w:val="center"/>
          </w:tcPr>
          <w:p w14:paraId="55830A19">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职称</w:t>
            </w:r>
          </w:p>
        </w:tc>
        <w:tc>
          <w:tcPr>
            <w:tcW w:w="962" w:type="dxa"/>
            <w:noWrap w:val="0"/>
            <w:vAlign w:val="center"/>
          </w:tcPr>
          <w:p w14:paraId="18367F52">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专业</w:t>
            </w:r>
          </w:p>
        </w:tc>
        <w:tc>
          <w:tcPr>
            <w:tcW w:w="1072" w:type="dxa"/>
            <w:noWrap w:val="0"/>
            <w:vAlign w:val="center"/>
          </w:tcPr>
          <w:p w14:paraId="3F413628">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从事监理工作年限</w:t>
            </w:r>
          </w:p>
        </w:tc>
        <w:tc>
          <w:tcPr>
            <w:tcW w:w="1441" w:type="dxa"/>
            <w:noWrap w:val="0"/>
            <w:vAlign w:val="center"/>
          </w:tcPr>
          <w:p w14:paraId="088E7E1A">
            <w:pPr>
              <w:jc w:val="center"/>
              <w:rPr>
                <w:rFonts w:hint="eastAsia" w:ascii="宋体" w:hAnsi="宋体" w:eastAsia="楷体_GB2312" w:cs="Times New Roman"/>
                <w:spacing w:val="-6"/>
                <w:kern w:val="0"/>
                <w:sz w:val="21"/>
                <w:szCs w:val="21"/>
                <w:highlight w:val="none"/>
              </w:rPr>
            </w:pPr>
            <w:r>
              <w:rPr>
                <w:rFonts w:hint="eastAsia" w:ascii="宋体" w:hAnsi="宋体" w:eastAsia="楷体_GB2312" w:cs="Times New Roman"/>
                <w:spacing w:val="-6"/>
                <w:kern w:val="0"/>
                <w:sz w:val="21"/>
                <w:szCs w:val="21"/>
                <w:highlight w:val="none"/>
              </w:rPr>
              <w:t>在本项目担</w:t>
            </w:r>
          </w:p>
          <w:p w14:paraId="59A1FB7A">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spacing w:val="-6"/>
                <w:kern w:val="0"/>
                <w:sz w:val="21"/>
                <w:szCs w:val="21"/>
                <w:highlight w:val="none"/>
              </w:rPr>
              <w:t>任的职务</w:t>
            </w:r>
          </w:p>
        </w:tc>
        <w:tc>
          <w:tcPr>
            <w:tcW w:w="1787" w:type="dxa"/>
            <w:noWrap w:val="0"/>
            <w:vAlign w:val="center"/>
          </w:tcPr>
          <w:p w14:paraId="31AE78BE">
            <w:pP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监理工程师注册（或岗位）证号</w:t>
            </w:r>
          </w:p>
        </w:tc>
        <w:tc>
          <w:tcPr>
            <w:tcW w:w="525" w:type="dxa"/>
            <w:noWrap w:val="0"/>
            <w:vAlign w:val="center"/>
          </w:tcPr>
          <w:p w14:paraId="4FBC4400">
            <w:pPr>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备注</w:t>
            </w:r>
          </w:p>
        </w:tc>
      </w:tr>
      <w:tr w14:paraId="3566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384D4D4C">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1</w:t>
            </w:r>
          </w:p>
        </w:tc>
        <w:tc>
          <w:tcPr>
            <w:tcW w:w="956" w:type="dxa"/>
            <w:noWrap w:val="0"/>
            <w:vAlign w:val="center"/>
          </w:tcPr>
          <w:p w14:paraId="26E6DA20">
            <w:pPr>
              <w:jc w:val="center"/>
              <w:rPr>
                <w:rFonts w:hint="eastAsia" w:ascii="宋体" w:hAnsi="宋体" w:eastAsia="楷体_GB2312" w:cs="Times New Roman"/>
                <w:kern w:val="0"/>
                <w:sz w:val="24"/>
                <w:highlight w:val="none"/>
              </w:rPr>
            </w:pPr>
          </w:p>
        </w:tc>
        <w:tc>
          <w:tcPr>
            <w:tcW w:w="667" w:type="dxa"/>
            <w:noWrap w:val="0"/>
            <w:vAlign w:val="center"/>
          </w:tcPr>
          <w:p w14:paraId="23F8932F">
            <w:pPr>
              <w:jc w:val="center"/>
              <w:rPr>
                <w:rFonts w:hint="eastAsia" w:ascii="宋体" w:hAnsi="宋体" w:eastAsia="楷体_GB2312" w:cs="Times New Roman"/>
                <w:kern w:val="0"/>
                <w:sz w:val="24"/>
                <w:highlight w:val="none"/>
              </w:rPr>
            </w:pPr>
          </w:p>
        </w:tc>
        <w:tc>
          <w:tcPr>
            <w:tcW w:w="667" w:type="dxa"/>
            <w:noWrap w:val="0"/>
            <w:vAlign w:val="center"/>
          </w:tcPr>
          <w:p w14:paraId="6AE43514">
            <w:pPr>
              <w:jc w:val="center"/>
              <w:rPr>
                <w:rFonts w:ascii="宋体" w:hAnsi="宋体" w:eastAsia="楷体_GB2312" w:cs="Times New Roman"/>
                <w:kern w:val="0"/>
                <w:sz w:val="24"/>
                <w:highlight w:val="none"/>
              </w:rPr>
            </w:pPr>
          </w:p>
        </w:tc>
        <w:tc>
          <w:tcPr>
            <w:tcW w:w="970" w:type="dxa"/>
            <w:noWrap w:val="0"/>
            <w:vAlign w:val="center"/>
          </w:tcPr>
          <w:p w14:paraId="74A9B287">
            <w:pPr>
              <w:jc w:val="center"/>
              <w:rPr>
                <w:rFonts w:hint="eastAsia" w:ascii="宋体" w:hAnsi="宋体" w:eastAsia="楷体_GB2312" w:cs="Times New Roman"/>
                <w:kern w:val="0"/>
                <w:sz w:val="24"/>
                <w:highlight w:val="none"/>
              </w:rPr>
            </w:pPr>
          </w:p>
        </w:tc>
        <w:tc>
          <w:tcPr>
            <w:tcW w:w="962" w:type="dxa"/>
            <w:noWrap w:val="0"/>
            <w:vAlign w:val="center"/>
          </w:tcPr>
          <w:p w14:paraId="3B7088AB">
            <w:pPr>
              <w:jc w:val="center"/>
              <w:rPr>
                <w:rFonts w:hint="eastAsia" w:ascii="宋体" w:hAnsi="宋体" w:eastAsia="楷体_GB2312" w:cs="Times New Roman"/>
                <w:kern w:val="0"/>
                <w:sz w:val="24"/>
                <w:highlight w:val="none"/>
              </w:rPr>
            </w:pPr>
          </w:p>
        </w:tc>
        <w:tc>
          <w:tcPr>
            <w:tcW w:w="1072" w:type="dxa"/>
            <w:noWrap w:val="0"/>
            <w:vAlign w:val="center"/>
          </w:tcPr>
          <w:p w14:paraId="5DF131FB">
            <w:pPr>
              <w:jc w:val="center"/>
              <w:rPr>
                <w:rFonts w:ascii="宋体" w:hAnsi="宋体" w:eastAsia="楷体_GB2312" w:cs="Times New Roman"/>
                <w:kern w:val="0"/>
                <w:sz w:val="24"/>
                <w:highlight w:val="none"/>
              </w:rPr>
            </w:pPr>
          </w:p>
        </w:tc>
        <w:tc>
          <w:tcPr>
            <w:tcW w:w="1441" w:type="dxa"/>
            <w:noWrap w:val="0"/>
            <w:vAlign w:val="center"/>
          </w:tcPr>
          <w:p w14:paraId="5764497D">
            <w:pPr>
              <w:jc w:val="center"/>
              <w:rPr>
                <w:rFonts w:hint="eastAsia" w:ascii="宋体" w:hAnsi="宋体" w:eastAsia="楷体_GB2312" w:cs="Times New Roman"/>
                <w:kern w:val="0"/>
                <w:sz w:val="24"/>
                <w:highlight w:val="none"/>
              </w:rPr>
            </w:pPr>
          </w:p>
        </w:tc>
        <w:tc>
          <w:tcPr>
            <w:tcW w:w="1787" w:type="dxa"/>
            <w:noWrap w:val="0"/>
            <w:vAlign w:val="center"/>
          </w:tcPr>
          <w:p w14:paraId="15CD2F90">
            <w:pPr>
              <w:jc w:val="center"/>
              <w:rPr>
                <w:rFonts w:ascii="宋体" w:hAnsi="宋体" w:eastAsia="楷体_GB2312" w:cs="Times New Roman"/>
                <w:kern w:val="0"/>
                <w:sz w:val="24"/>
                <w:highlight w:val="none"/>
              </w:rPr>
            </w:pPr>
          </w:p>
        </w:tc>
        <w:tc>
          <w:tcPr>
            <w:tcW w:w="525" w:type="dxa"/>
            <w:noWrap w:val="0"/>
            <w:vAlign w:val="top"/>
          </w:tcPr>
          <w:p w14:paraId="6D37F48F">
            <w:pPr>
              <w:rPr>
                <w:rFonts w:hint="eastAsia" w:ascii="宋体" w:hAnsi="宋体" w:eastAsia="楷体_GB2312" w:cs="Times New Roman"/>
                <w:kern w:val="0"/>
                <w:sz w:val="24"/>
                <w:highlight w:val="none"/>
              </w:rPr>
            </w:pPr>
          </w:p>
        </w:tc>
      </w:tr>
      <w:tr w14:paraId="25D7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161E9571">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2</w:t>
            </w:r>
          </w:p>
        </w:tc>
        <w:tc>
          <w:tcPr>
            <w:tcW w:w="956" w:type="dxa"/>
            <w:noWrap w:val="0"/>
            <w:vAlign w:val="center"/>
          </w:tcPr>
          <w:p w14:paraId="6361C1D0">
            <w:pPr>
              <w:jc w:val="center"/>
              <w:rPr>
                <w:rFonts w:hint="eastAsia" w:ascii="宋体" w:hAnsi="宋体" w:eastAsia="楷体_GB2312" w:cs="Times New Roman"/>
                <w:kern w:val="0"/>
                <w:sz w:val="24"/>
                <w:highlight w:val="none"/>
              </w:rPr>
            </w:pPr>
          </w:p>
        </w:tc>
        <w:tc>
          <w:tcPr>
            <w:tcW w:w="667" w:type="dxa"/>
            <w:noWrap w:val="0"/>
            <w:vAlign w:val="center"/>
          </w:tcPr>
          <w:p w14:paraId="3C7A20A6">
            <w:pPr>
              <w:jc w:val="center"/>
              <w:rPr>
                <w:rFonts w:hint="eastAsia" w:ascii="宋体" w:hAnsi="宋体" w:eastAsia="楷体_GB2312" w:cs="Times New Roman"/>
                <w:kern w:val="0"/>
                <w:sz w:val="24"/>
                <w:highlight w:val="none"/>
              </w:rPr>
            </w:pPr>
          </w:p>
        </w:tc>
        <w:tc>
          <w:tcPr>
            <w:tcW w:w="667" w:type="dxa"/>
            <w:noWrap w:val="0"/>
            <w:vAlign w:val="center"/>
          </w:tcPr>
          <w:p w14:paraId="7472C889">
            <w:pPr>
              <w:jc w:val="center"/>
              <w:rPr>
                <w:rFonts w:ascii="宋体" w:hAnsi="宋体" w:eastAsia="楷体_GB2312" w:cs="Times New Roman"/>
                <w:kern w:val="0"/>
                <w:sz w:val="24"/>
                <w:highlight w:val="none"/>
              </w:rPr>
            </w:pPr>
          </w:p>
        </w:tc>
        <w:tc>
          <w:tcPr>
            <w:tcW w:w="970" w:type="dxa"/>
            <w:noWrap w:val="0"/>
            <w:vAlign w:val="center"/>
          </w:tcPr>
          <w:p w14:paraId="1C8ADF01">
            <w:pPr>
              <w:jc w:val="center"/>
              <w:rPr>
                <w:rFonts w:hint="eastAsia" w:ascii="宋体" w:hAnsi="宋体" w:eastAsia="楷体_GB2312" w:cs="Times New Roman"/>
                <w:kern w:val="0"/>
                <w:sz w:val="24"/>
                <w:highlight w:val="none"/>
              </w:rPr>
            </w:pPr>
          </w:p>
        </w:tc>
        <w:tc>
          <w:tcPr>
            <w:tcW w:w="962" w:type="dxa"/>
            <w:noWrap w:val="0"/>
            <w:vAlign w:val="center"/>
          </w:tcPr>
          <w:p w14:paraId="737360E8">
            <w:pPr>
              <w:jc w:val="center"/>
              <w:rPr>
                <w:rFonts w:hint="eastAsia" w:ascii="宋体" w:hAnsi="宋体" w:eastAsia="楷体_GB2312" w:cs="Times New Roman"/>
                <w:kern w:val="0"/>
                <w:sz w:val="24"/>
                <w:highlight w:val="none"/>
              </w:rPr>
            </w:pPr>
          </w:p>
        </w:tc>
        <w:tc>
          <w:tcPr>
            <w:tcW w:w="1072" w:type="dxa"/>
            <w:noWrap w:val="0"/>
            <w:vAlign w:val="center"/>
          </w:tcPr>
          <w:p w14:paraId="32792A6F">
            <w:pPr>
              <w:jc w:val="center"/>
              <w:rPr>
                <w:rFonts w:hint="eastAsia" w:ascii="宋体" w:hAnsi="宋体" w:eastAsia="楷体_GB2312" w:cs="Times New Roman"/>
                <w:kern w:val="0"/>
                <w:sz w:val="24"/>
                <w:highlight w:val="none"/>
              </w:rPr>
            </w:pPr>
          </w:p>
        </w:tc>
        <w:tc>
          <w:tcPr>
            <w:tcW w:w="1441" w:type="dxa"/>
            <w:noWrap w:val="0"/>
            <w:vAlign w:val="center"/>
          </w:tcPr>
          <w:p w14:paraId="20FEF869">
            <w:pPr>
              <w:jc w:val="center"/>
              <w:rPr>
                <w:rFonts w:hint="eastAsia" w:ascii="宋体" w:hAnsi="宋体" w:eastAsia="楷体_GB2312" w:cs="Times New Roman"/>
                <w:kern w:val="0"/>
                <w:sz w:val="24"/>
                <w:highlight w:val="none"/>
              </w:rPr>
            </w:pPr>
          </w:p>
        </w:tc>
        <w:tc>
          <w:tcPr>
            <w:tcW w:w="1787" w:type="dxa"/>
            <w:noWrap w:val="0"/>
            <w:vAlign w:val="center"/>
          </w:tcPr>
          <w:p w14:paraId="7A842390">
            <w:pPr>
              <w:jc w:val="center"/>
              <w:rPr>
                <w:rFonts w:ascii="宋体" w:hAnsi="宋体" w:eastAsia="楷体_GB2312" w:cs="Times New Roman"/>
                <w:kern w:val="0"/>
                <w:sz w:val="24"/>
                <w:highlight w:val="none"/>
              </w:rPr>
            </w:pPr>
          </w:p>
        </w:tc>
        <w:tc>
          <w:tcPr>
            <w:tcW w:w="525" w:type="dxa"/>
            <w:noWrap w:val="0"/>
            <w:vAlign w:val="top"/>
          </w:tcPr>
          <w:p w14:paraId="46EA00F2">
            <w:pPr>
              <w:rPr>
                <w:rFonts w:hint="eastAsia" w:ascii="宋体" w:hAnsi="宋体" w:eastAsia="楷体_GB2312" w:cs="Times New Roman"/>
                <w:kern w:val="0"/>
                <w:sz w:val="24"/>
                <w:highlight w:val="none"/>
              </w:rPr>
            </w:pPr>
          </w:p>
        </w:tc>
      </w:tr>
      <w:tr w14:paraId="5C3E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ADDDEED">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3</w:t>
            </w:r>
          </w:p>
        </w:tc>
        <w:tc>
          <w:tcPr>
            <w:tcW w:w="956" w:type="dxa"/>
            <w:noWrap w:val="0"/>
            <w:vAlign w:val="center"/>
          </w:tcPr>
          <w:p w14:paraId="204D61B6">
            <w:pPr>
              <w:jc w:val="center"/>
              <w:rPr>
                <w:rFonts w:hint="eastAsia" w:ascii="宋体" w:hAnsi="宋体" w:eastAsia="楷体_GB2312" w:cs="Times New Roman"/>
                <w:kern w:val="0"/>
                <w:sz w:val="24"/>
                <w:highlight w:val="none"/>
              </w:rPr>
            </w:pPr>
          </w:p>
        </w:tc>
        <w:tc>
          <w:tcPr>
            <w:tcW w:w="667" w:type="dxa"/>
            <w:noWrap w:val="0"/>
            <w:vAlign w:val="center"/>
          </w:tcPr>
          <w:p w14:paraId="28C0F072">
            <w:pPr>
              <w:jc w:val="center"/>
              <w:rPr>
                <w:rFonts w:hint="eastAsia" w:ascii="宋体" w:hAnsi="宋体" w:eastAsia="楷体_GB2312" w:cs="Times New Roman"/>
                <w:kern w:val="0"/>
                <w:sz w:val="24"/>
                <w:highlight w:val="none"/>
              </w:rPr>
            </w:pPr>
          </w:p>
        </w:tc>
        <w:tc>
          <w:tcPr>
            <w:tcW w:w="667" w:type="dxa"/>
            <w:noWrap w:val="0"/>
            <w:vAlign w:val="center"/>
          </w:tcPr>
          <w:p w14:paraId="4916ED01">
            <w:pPr>
              <w:jc w:val="center"/>
              <w:rPr>
                <w:rFonts w:ascii="宋体" w:hAnsi="宋体" w:eastAsia="楷体_GB2312" w:cs="Times New Roman"/>
                <w:kern w:val="0"/>
                <w:sz w:val="24"/>
                <w:highlight w:val="none"/>
              </w:rPr>
            </w:pPr>
          </w:p>
        </w:tc>
        <w:tc>
          <w:tcPr>
            <w:tcW w:w="970" w:type="dxa"/>
            <w:noWrap w:val="0"/>
            <w:vAlign w:val="center"/>
          </w:tcPr>
          <w:p w14:paraId="1C8E1631">
            <w:pPr>
              <w:jc w:val="center"/>
              <w:rPr>
                <w:rFonts w:ascii="宋体" w:hAnsi="宋体" w:eastAsia="楷体_GB2312" w:cs="Times New Roman"/>
                <w:kern w:val="0"/>
                <w:sz w:val="24"/>
                <w:highlight w:val="none"/>
              </w:rPr>
            </w:pPr>
          </w:p>
        </w:tc>
        <w:tc>
          <w:tcPr>
            <w:tcW w:w="962" w:type="dxa"/>
            <w:noWrap w:val="0"/>
            <w:vAlign w:val="center"/>
          </w:tcPr>
          <w:p w14:paraId="1EF8447B">
            <w:pPr>
              <w:jc w:val="center"/>
              <w:rPr>
                <w:rFonts w:hint="eastAsia" w:ascii="宋体" w:hAnsi="宋体" w:eastAsia="楷体_GB2312" w:cs="Times New Roman"/>
                <w:kern w:val="0"/>
                <w:sz w:val="24"/>
                <w:highlight w:val="none"/>
              </w:rPr>
            </w:pPr>
          </w:p>
        </w:tc>
        <w:tc>
          <w:tcPr>
            <w:tcW w:w="1072" w:type="dxa"/>
            <w:noWrap w:val="0"/>
            <w:vAlign w:val="center"/>
          </w:tcPr>
          <w:p w14:paraId="3E6B1CDF">
            <w:pPr>
              <w:jc w:val="center"/>
              <w:rPr>
                <w:rFonts w:hint="eastAsia" w:ascii="宋体" w:hAnsi="宋体" w:eastAsia="楷体_GB2312" w:cs="Times New Roman"/>
                <w:kern w:val="0"/>
                <w:sz w:val="24"/>
                <w:highlight w:val="none"/>
              </w:rPr>
            </w:pPr>
          </w:p>
        </w:tc>
        <w:tc>
          <w:tcPr>
            <w:tcW w:w="1441" w:type="dxa"/>
            <w:noWrap w:val="0"/>
            <w:vAlign w:val="center"/>
          </w:tcPr>
          <w:p w14:paraId="7F192480">
            <w:pPr>
              <w:jc w:val="center"/>
              <w:rPr>
                <w:rFonts w:hint="eastAsia" w:ascii="宋体" w:hAnsi="宋体" w:eastAsia="楷体_GB2312" w:cs="Times New Roman"/>
                <w:kern w:val="0"/>
                <w:sz w:val="24"/>
                <w:highlight w:val="none"/>
              </w:rPr>
            </w:pPr>
          </w:p>
        </w:tc>
        <w:tc>
          <w:tcPr>
            <w:tcW w:w="1787" w:type="dxa"/>
            <w:noWrap w:val="0"/>
            <w:vAlign w:val="center"/>
          </w:tcPr>
          <w:p w14:paraId="29B4EA54">
            <w:pPr>
              <w:jc w:val="center"/>
              <w:rPr>
                <w:rFonts w:ascii="宋体" w:hAnsi="宋体" w:eastAsia="楷体_GB2312" w:cs="Times New Roman"/>
                <w:kern w:val="0"/>
                <w:sz w:val="24"/>
                <w:highlight w:val="none"/>
              </w:rPr>
            </w:pPr>
          </w:p>
        </w:tc>
        <w:tc>
          <w:tcPr>
            <w:tcW w:w="525" w:type="dxa"/>
            <w:noWrap w:val="0"/>
            <w:vAlign w:val="top"/>
          </w:tcPr>
          <w:p w14:paraId="6D41B7AF">
            <w:pPr>
              <w:rPr>
                <w:rFonts w:hint="eastAsia" w:ascii="宋体" w:hAnsi="宋体" w:eastAsia="楷体_GB2312" w:cs="Times New Roman"/>
                <w:kern w:val="0"/>
                <w:sz w:val="24"/>
                <w:highlight w:val="none"/>
              </w:rPr>
            </w:pPr>
          </w:p>
        </w:tc>
      </w:tr>
      <w:tr w14:paraId="1141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22A3DB5">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4</w:t>
            </w:r>
          </w:p>
        </w:tc>
        <w:tc>
          <w:tcPr>
            <w:tcW w:w="956" w:type="dxa"/>
            <w:noWrap w:val="0"/>
            <w:vAlign w:val="center"/>
          </w:tcPr>
          <w:p w14:paraId="6F7279B1">
            <w:pPr>
              <w:jc w:val="center"/>
              <w:rPr>
                <w:rFonts w:hint="eastAsia" w:ascii="宋体" w:hAnsi="宋体" w:eastAsia="楷体_GB2312" w:cs="Times New Roman"/>
                <w:kern w:val="0"/>
                <w:sz w:val="24"/>
                <w:highlight w:val="none"/>
              </w:rPr>
            </w:pPr>
          </w:p>
        </w:tc>
        <w:tc>
          <w:tcPr>
            <w:tcW w:w="667" w:type="dxa"/>
            <w:noWrap w:val="0"/>
            <w:vAlign w:val="center"/>
          </w:tcPr>
          <w:p w14:paraId="23B40A24">
            <w:pPr>
              <w:jc w:val="center"/>
              <w:rPr>
                <w:rFonts w:hint="eastAsia" w:ascii="宋体" w:hAnsi="宋体" w:eastAsia="楷体_GB2312" w:cs="Times New Roman"/>
                <w:kern w:val="0"/>
                <w:sz w:val="24"/>
                <w:highlight w:val="none"/>
              </w:rPr>
            </w:pPr>
          </w:p>
        </w:tc>
        <w:tc>
          <w:tcPr>
            <w:tcW w:w="667" w:type="dxa"/>
            <w:noWrap w:val="0"/>
            <w:vAlign w:val="center"/>
          </w:tcPr>
          <w:p w14:paraId="4713932D">
            <w:pPr>
              <w:jc w:val="center"/>
              <w:rPr>
                <w:rFonts w:ascii="宋体" w:hAnsi="宋体" w:eastAsia="楷体_GB2312" w:cs="Times New Roman"/>
                <w:kern w:val="0"/>
                <w:sz w:val="24"/>
                <w:highlight w:val="none"/>
              </w:rPr>
            </w:pPr>
          </w:p>
        </w:tc>
        <w:tc>
          <w:tcPr>
            <w:tcW w:w="970" w:type="dxa"/>
            <w:noWrap w:val="0"/>
            <w:vAlign w:val="center"/>
          </w:tcPr>
          <w:p w14:paraId="0E789306">
            <w:pPr>
              <w:jc w:val="center"/>
              <w:rPr>
                <w:rFonts w:ascii="宋体" w:hAnsi="宋体" w:eastAsia="楷体_GB2312" w:cs="Times New Roman"/>
                <w:kern w:val="0"/>
                <w:sz w:val="24"/>
                <w:highlight w:val="none"/>
              </w:rPr>
            </w:pPr>
          </w:p>
        </w:tc>
        <w:tc>
          <w:tcPr>
            <w:tcW w:w="962" w:type="dxa"/>
            <w:noWrap w:val="0"/>
            <w:vAlign w:val="center"/>
          </w:tcPr>
          <w:p w14:paraId="627496F8">
            <w:pPr>
              <w:jc w:val="center"/>
              <w:rPr>
                <w:rFonts w:hint="eastAsia" w:ascii="宋体" w:hAnsi="宋体" w:eastAsia="楷体_GB2312" w:cs="Times New Roman"/>
                <w:kern w:val="0"/>
                <w:sz w:val="24"/>
                <w:highlight w:val="none"/>
              </w:rPr>
            </w:pPr>
          </w:p>
        </w:tc>
        <w:tc>
          <w:tcPr>
            <w:tcW w:w="1072" w:type="dxa"/>
            <w:noWrap w:val="0"/>
            <w:vAlign w:val="center"/>
          </w:tcPr>
          <w:p w14:paraId="724DB70F">
            <w:pPr>
              <w:jc w:val="center"/>
              <w:rPr>
                <w:rFonts w:hint="eastAsia" w:ascii="宋体" w:hAnsi="宋体" w:eastAsia="楷体_GB2312" w:cs="Times New Roman"/>
                <w:kern w:val="0"/>
                <w:sz w:val="24"/>
                <w:highlight w:val="none"/>
              </w:rPr>
            </w:pPr>
          </w:p>
        </w:tc>
        <w:tc>
          <w:tcPr>
            <w:tcW w:w="1441" w:type="dxa"/>
            <w:noWrap w:val="0"/>
            <w:vAlign w:val="center"/>
          </w:tcPr>
          <w:p w14:paraId="7FA4689B">
            <w:pPr>
              <w:jc w:val="center"/>
              <w:rPr>
                <w:rFonts w:hint="eastAsia" w:ascii="宋体" w:hAnsi="宋体" w:eastAsia="楷体_GB2312" w:cs="Times New Roman"/>
                <w:kern w:val="0"/>
                <w:sz w:val="24"/>
                <w:highlight w:val="none"/>
              </w:rPr>
            </w:pPr>
          </w:p>
        </w:tc>
        <w:tc>
          <w:tcPr>
            <w:tcW w:w="1787" w:type="dxa"/>
            <w:noWrap w:val="0"/>
            <w:vAlign w:val="center"/>
          </w:tcPr>
          <w:p w14:paraId="019F91F7">
            <w:pPr>
              <w:jc w:val="center"/>
              <w:rPr>
                <w:rFonts w:ascii="宋体" w:hAnsi="宋体" w:eastAsia="楷体_GB2312" w:cs="Times New Roman"/>
                <w:kern w:val="0"/>
                <w:sz w:val="24"/>
                <w:highlight w:val="none"/>
              </w:rPr>
            </w:pPr>
          </w:p>
        </w:tc>
        <w:tc>
          <w:tcPr>
            <w:tcW w:w="525" w:type="dxa"/>
            <w:noWrap w:val="0"/>
            <w:vAlign w:val="top"/>
          </w:tcPr>
          <w:p w14:paraId="51643EF6">
            <w:pPr>
              <w:rPr>
                <w:rFonts w:hint="eastAsia" w:ascii="宋体" w:hAnsi="宋体" w:eastAsia="楷体_GB2312" w:cs="Times New Roman"/>
                <w:kern w:val="0"/>
                <w:sz w:val="24"/>
                <w:highlight w:val="none"/>
              </w:rPr>
            </w:pPr>
          </w:p>
        </w:tc>
      </w:tr>
      <w:tr w14:paraId="5685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4353029D">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5</w:t>
            </w:r>
          </w:p>
        </w:tc>
        <w:tc>
          <w:tcPr>
            <w:tcW w:w="956" w:type="dxa"/>
            <w:noWrap w:val="0"/>
            <w:vAlign w:val="center"/>
          </w:tcPr>
          <w:p w14:paraId="1F6E7B6A">
            <w:pPr>
              <w:jc w:val="center"/>
              <w:rPr>
                <w:rFonts w:ascii="宋体" w:hAnsi="宋体" w:eastAsia="楷体_GB2312" w:cs="Times New Roman"/>
                <w:kern w:val="0"/>
                <w:sz w:val="24"/>
                <w:highlight w:val="none"/>
              </w:rPr>
            </w:pPr>
          </w:p>
        </w:tc>
        <w:tc>
          <w:tcPr>
            <w:tcW w:w="667" w:type="dxa"/>
            <w:noWrap w:val="0"/>
            <w:vAlign w:val="center"/>
          </w:tcPr>
          <w:p w14:paraId="6F3A5E34">
            <w:pPr>
              <w:jc w:val="center"/>
              <w:rPr>
                <w:rFonts w:hint="eastAsia" w:ascii="宋体" w:hAnsi="宋体" w:eastAsia="楷体_GB2312" w:cs="Times New Roman"/>
                <w:kern w:val="0"/>
                <w:sz w:val="24"/>
                <w:highlight w:val="none"/>
              </w:rPr>
            </w:pPr>
          </w:p>
        </w:tc>
        <w:tc>
          <w:tcPr>
            <w:tcW w:w="667" w:type="dxa"/>
            <w:noWrap w:val="0"/>
            <w:vAlign w:val="center"/>
          </w:tcPr>
          <w:p w14:paraId="5FEA5BF4">
            <w:pPr>
              <w:jc w:val="center"/>
              <w:rPr>
                <w:rFonts w:ascii="宋体" w:hAnsi="宋体" w:eastAsia="楷体_GB2312" w:cs="Times New Roman"/>
                <w:kern w:val="0"/>
                <w:sz w:val="24"/>
                <w:highlight w:val="none"/>
              </w:rPr>
            </w:pPr>
          </w:p>
        </w:tc>
        <w:tc>
          <w:tcPr>
            <w:tcW w:w="970" w:type="dxa"/>
            <w:noWrap w:val="0"/>
            <w:vAlign w:val="center"/>
          </w:tcPr>
          <w:p w14:paraId="2DCE4BC6">
            <w:pPr>
              <w:jc w:val="center"/>
              <w:rPr>
                <w:rFonts w:ascii="宋体" w:hAnsi="宋体" w:eastAsia="楷体_GB2312" w:cs="Times New Roman"/>
                <w:kern w:val="0"/>
                <w:sz w:val="24"/>
                <w:highlight w:val="none"/>
              </w:rPr>
            </w:pPr>
          </w:p>
        </w:tc>
        <w:tc>
          <w:tcPr>
            <w:tcW w:w="962" w:type="dxa"/>
            <w:noWrap w:val="0"/>
            <w:vAlign w:val="center"/>
          </w:tcPr>
          <w:p w14:paraId="4F11AE60">
            <w:pPr>
              <w:jc w:val="center"/>
              <w:rPr>
                <w:rFonts w:hint="eastAsia" w:ascii="宋体" w:hAnsi="宋体" w:eastAsia="楷体_GB2312" w:cs="Times New Roman"/>
                <w:kern w:val="0"/>
                <w:sz w:val="24"/>
                <w:highlight w:val="none"/>
              </w:rPr>
            </w:pPr>
          </w:p>
        </w:tc>
        <w:tc>
          <w:tcPr>
            <w:tcW w:w="1072" w:type="dxa"/>
            <w:noWrap w:val="0"/>
            <w:vAlign w:val="center"/>
          </w:tcPr>
          <w:p w14:paraId="030889E1">
            <w:pPr>
              <w:jc w:val="center"/>
              <w:rPr>
                <w:rFonts w:hint="eastAsia" w:ascii="宋体" w:hAnsi="宋体" w:eastAsia="楷体_GB2312" w:cs="Times New Roman"/>
                <w:kern w:val="0"/>
                <w:sz w:val="24"/>
                <w:highlight w:val="none"/>
              </w:rPr>
            </w:pPr>
          </w:p>
        </w:tc>
        <w:tc>
          <w:tcPr>
            <w:tcW w:w="1441" w:type="dxa"/>
            <w:noWrap w:val="0"/>
            <w:vAlign w:val="center"/>
          </w:tcPr>
          <w:p w14:paraId="57D006CA">
            <w:pPr>
              <w:jc w:val="center"/>
              <w:rPr>
                <w:rFonts w:hint="eastAsia" w:ascii="宋体" w:hAnsi="宋体" w:eastAsia="楷体_GB2312" w:cs="Times New Roman"/>
                <w:kern w:val="0"/>
                <w:sz w:val="24"/>
                <w:highlight w:val="none"/>
              </w:rPr>
            </w:pPr>
          </w:p>
        </w:tc>
        <w:tc>
          <w:tcPr>
            <w:tcW w:w="1787" w:type="dxa"/>
            <w:noWrap w:val="0"/>
            <w:vAlign w:val="center"/>
          </w:tcPr>
          <w:p w14:paraId="78A83853">
            <w:pPr>
              <w:jc w:val="center"/>
              <w:rPr>
                <w:rFonts w:ascii="宋体" w:hAnsi="宋体" w:eastAsia="楷体_GB2312" w:cs="Times New Roman"/>
                <w:kern w:val="0"/>
                <w:sz w:val="24"/>
                <w:highlight w:val="none"/>
              </w:rPr>
            </w:pPr>
          </w:p>
        </w:tc>
        <w:tc>
          <w:tcPr>
            <w:tcW w:w="525" w:type="dxa"/>
            <w:noWrap w:val="0"/>
            <w:vAlign w:val="top"/>
          </w:tcPr>
          <w:p w14:paraId="64B99253">
            <w:pPr>
              <w:rPr>
                <w:rFonts w:hint="eastAsia" w:ascii="宋体" w:hAnsi="宋体" w:eastAsia="楷体_GB2312" w:cs="Times New Roman"/>
                <w:kern w:val="0"/>
                <w:sz w:val="24"/>
                <w:highlight w:val="none"/>
              </w:rPr>
            </w:pPr>
          </w:p>
        </w:tc>
      </w:tr>
      <w:tr w14:paraId="1B7E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5F9E9CF">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6</w:t>
            </w:r>
          </w:p>
        </w:tc>
        <w:tc>
          <w:tcPr>
            <w:tcW w:w="956" w:type="dxa"/>
            <w:noWrap w:val="0"/>
            <w:vAlign w:val="center"/>
          </w:tcPr>
          <w:p w14:paraId="6FCD330F">
            <w:pPr>
              <w:jc w:val="center"/>
              <w:rPr>
                <w:rFonts w:hint="eastAsia" w:ascii="宋体" w:hAnsi="宋体" w:eastAsia="楷体_GB2312" w:cs="Times New Roman"/>
                <w:kern w:val="0"/>
                <w:sz w:val="24"/>
                <w:highlight w:val="none"/>
              </w:rPr>
            </w:pPr>
          </w:p>
        </w:tc>
        <w:tc>
          <w:tcPr>
            <w:tcW w:w="667" w:type="dxa"/>
            <w:noWrap w:val="0"/>
            <w:vAlign w:val="center"/>
          </w:tcPr>
          <w:p w14:paraId="215692F4">
            <w:pPr>
              <w:jc w:val="center"/>
              <w:rPr>
                <w:rFonts w:hint="eastAsia" w:ascii="宋体" w:hAnsi="宋体" w:eastAsia="楷体_GB2312" w:cs="Times New Roman"/>
                <w:kern w:val="0"/>
                <w:sz w:val="24"/>
                <w:highlight w:val="none"/>
              </w:rPr>
            </w:pPr>
          </w:p>
        </w:tc>
        <w:tc>
          <w:tcPr>
            <w:tcW w:w="667" w:type="dxa"/>
            <w:noWrap w:val="0"/>
            <w:vAlign w:val="center"/>
          </w:tcPr>
          <w:p w14:paraId="5165CEA5">
            <w:pPr>
              <w:jc w:val="center"/>
              <w:rPr>
                <w:rFonts w:ascii="宋体" w:hAnsi="宋体" w:eastAsia="楷体_GB2312" w:cs="Times New Roman"/>
                <w:kern w:val="0"/>
                <w:sz w:val="24"/>
                <w:highlight w:val="none"/>
              </w:rPr>
            </w:pPr>
          </w:p>
        </w:tc>
        <w:tc>
          <w:tcPr>
            <w:tcW w:w="970" w:type="dxa"/>
            <w:noWrap w:val="0"/>
            <w:vAlign w:val="center"/>
          </w:tcPr>
          <w:p w14:paraId="556F3E17">
            <w:pPr>
              <w:jc w:val="center"/>
              <w:rPr>
                <w:rFonts w:hint="eastAsia" w:ascii="宋体" w:hAnsi="宋体" w:eastAsia="楷体_GB2312" w:cs="Times New Roman"/>
                <w:kern w:val="0"/>
                <w:sz w:val="24"/>
                <w:highlight w:val="none"/>
              </w:rPr>
            </w:pPr>
          </w:p>
        </w:tc>
        <w:tc>
          <w:tcPr>
            <w:tcW w:w="962" w:type="dxa"/>
            <w:noWrap w:val="0"/>
            <w:vAlign w:val="center"/>
          </w:tcPr>
          <w:p w14:paraId="451F2D99">
            <w:pPr>
              <w:jc w:val="center"/>
              <w:rPr>
                <w:rFonts w:hint="eastAsia" w:ascii="宋体" w:hAnsi="宋体" w:eastAsia="楷体_GB2312" w:cs="Times New Roman"/>
                <w:kern w:val="0"/>
                <w:sz w:val="24"/>
                <w:highlight w:val="none"/>
              </w:rPr>
            </w:pPr>
          </w:p>
        </w:tc>
        <w:tc>
          <w:tcPr>
            <w:tcW w:w="1072" w:type="dxa"/>
            <w:noWrap w:val="0"/>
            <w:vAlign w:val="center"/>
          </w:tcPr>
          <w:p w14:paraId="5DB15D59">
            <w:pPr>
              <w:jc w:val="center"/>
              <w:rPr>
                <w:rFonts w:hint="eastAsia" w:ascii="宋体" w:hAnsi="宋体" w:eastAsia="楷体_GB2312" w:cs="Times New Roman"/>
                <w:kern w:val="0"/>
                <w:sz w:val="24"/>
                <w:highlight w:val="none"/>
              </w:rPr>
            </w:pPr>
          </w:p>
        </w:tc>
        <w:tc>
          <w:tcPr>
            <w:tcW w:w="1441" w:type="dxa"/>
            <w:noWrap w:val="0"/>
            <w:vAlign w:val="center"/>
          </w:tcPr>
          <w:p w14:paraId="3E95B808">
            <w:pPr>
              <w:jc w:val="center"/>
              <w:rPr>
                <w:rFonts w:hint="eastAsia" w:ascii="宋体" w:hAnsi="宋体" w:eastAsia="楷体_GB2312" w:cs="Times New Roman"/>
                <w:kern w:val="0"/>
                <w:sz w:val="24"/>
                <w:highlight w:val="none"/>
              </w:rPr>
            </w:pPr>
          </w:p>
        </w:tc>
        <w:tc>
          <w:tcPr>
            <w:tcW w:w="1787" w:type="dxa"/>
            <w:noWrap w:val="0"/>
            <w:vAlign w:val="center"/>
          </w:tcPr>
          <w:p w14:paraId="66CFBAC1">
            <w:pPr>
              <w:jc w:val="center"/>
              <w:rPr>
                <w:rFonts w:ascii="宋体" w:hAnsi="宋体" w:eastAsia="楷体_GB2312" w:cs="Times New Roman"/>
                <w:kern w:val="0"/>
                <w:sz w:val="24"/>
                <w:highlight w:val="none"/>
              </w:rPr>
            </w:pPr>
          </w:p>
        </w:tc>
        <w:tc>
          <w:tcPr>
            <w:tcW w:w="525" w:type="dxa"/>
            <w:noWrap w:val="0"/>
            <w:vAlign w:val="top"/>
          </w:tcPr>
          <w:p w14:paraId="281FBEB8">
            <w:pPr>
              <w:rPr>
                <w:rFonts w:hint="eastAsia" w:ascii="宋体" w:hAnsi="宋体" w:eastAsia="楷体_GB2312" w:cs="Times New Roman"/>
                <w:kern w:val="0"/>
                <w:sz w:val="24"/>
                <w:highlight w:val="none"/>
              </w:rPr>
            </w:pPr>
          </w:p>
        </w:tc>
      </w:tr>
      <w:tr w14:paraId="5ABA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13A9EB3">
            <w:pPr>
              <w:jc w:val="center"/>
              <w:rPr>
                <w:rFonts w:hint="eastAsia" w:ascii="宋体" w:hAnsi="宋体" w:eastAsia="楷体_GB2312" w:cs="Times New Roman"/>
                <w:kern w:val="0"/>
                <w:sz w:val="24"/>
                <w:highlight w:val="none"/>
              </w:rPr>
            </w:pPr>
            <w:r>
              <w:rPr>
                <w:rFonts w:hint="eastAsia" w:ascii="宋体" w:hAnsi="宋体" w:eastAsia="楷体_GB2312" w:cs="Times New Roman"/>
                <w:kern w:val="0"/>
                <w:sz w:val="24"/>
                <w:highlight w:val="none"/>
              </w:rPr>
              <w:t>7</w:t>
            </w:r>
          </w:p>
        </w:tc>
        <w:tc>
          <w:tcPr>
            <w:tcW w:w="956" w:type="dxa"/>
            <w:noWrap w:val="0"/>
            <w:vAlign w:val="center"/>
          </w:tcPr>
          <w:p w14:paraId="1065356E">
            <w:pPr>
              <w:jc w:val="center"/>
              <w:rPr>
                <w:rFonts w:hint="eastAsia" w:ascii="宋体" w:hAnsi="宋体" w:eastAsia="楷体_GB2312" w:cs="Times New Roman"/>
                <w:kern w:val="0"/>
                <w:sz w:val="24"/>
                <w:szCs w:val="22"/>
                <w:highlight w:val="none"/>
              </w:rPr>
            </w:pPr>
          </w:p>
        </w:tc>
        <w:tc>
          <w:tcPr>
            <w:tcW w:w="667" w:type="dxa"/>
            <w:noWrap w:val="0"/>
            <w:vAlign w:val="center"/>
          </w:tcPr>
          <w:p w14:paraId="7169491C">
            <w:pPr>
              <w:jc w:val="center"/>
              <w:rPr>
                <w:rFonts w:hint="eastAsia" w:ascii="宋体" w:hAnsi="宋体" w:eastAsia="楷体_GB2312" w:cs="Times New Roman"/>
                <w:kern w:val="0"/>
                <w:sz w:val="24"/>
                <w:szCs w:val="22"/>
                <w:highlight w:val="none"/>
              </w:rPr>
            </w:pPr>
          </w:p>
        </w:tc>
        <w:tc>
          <w:tcPr>
            <w:tcW w:w="667" w:type="dxa"/>
            <w:noWrap w:val="0"/>
            <w:vAlign w:val="center"/>
          </w:tcPr>
          <w:p w14:paraId="0CC65922">
            <w:pPr>
              <w:jc w:val="center"/>
              <w:rPr>
                <w:rFonts w:ascii="宋体" w:hAnsi="宋体" w:eastAsia="楷体_GB2312" w:cs="Times New Roman"/>
                <w:kern w:val="0"/>
                <w:sz w:val="24"/>
                <w:szCs w:val="22"/>
                <w:highlight w:val="none"/>
              </w:rPr>
            </w:pPr>
          </w:p>
        </w:tc>
        <w:tc>
          <w:tcPr>
            <w:tcW w:w="970" w:type="dxa"/>
            <w:noWrap w:val="0"/>
            <w:vAlign w:val="center"/>
          </w:tcPr>
          <w:p w14:paraId="1783D749">
            <w:pPr>
              <w:jc w:val="center"/>
              <w:rPr>
                <w:rFonts w:hint="eastAsia" w:ascii="宋体" w:hAnsi="宋体" w:eastAsia="楷体_GB2312" w:cs="Times New Roman"/>
                <w:kern w:val="0"/>
                <w:sz w:val="24"/>
                <w:szCs w:val="22"/>
                <w:highlight w:val="none"/>
              </w:rPr>
            </w:pPr>
          </w:p>
        </w:tc>
        <w:tc>
          <w:tcPr>
            <w:tcW w:w="962" w:type="dxa"/>
            <w:noWrap w:val="0"/>
            <w:vAlign w:val="center"/>
          </w:tcPr>
          <w:p w14:paraId="4ACD4A83">
            <w:pPr>
              <w:jc w:val="center"/>
              <w:rPr>
                <w:rFonts w:hint="eastAsia" w:ascii="宋体" w:hAnsi="宋体" w:eastAsia="楷体_GB2312" w:cs="Times New Roman"/>
                <w:kern w:val="0"/>
                <w:sz w:val="24"/>
                <w:szCs w:val="22"/>
                <w:highlight w:val="none"/>
              </w:rPr>
            </w:pPr>
          </w:p>
        </w:tc>
        <w:tc>
          <w:tcPr>
            <w:tcW w:w="1072" w:type="dxa"/>
            <w:noWrap w:val="0"/>
            <w:vAlign w:val="center"/>
          </w:tcPr>
          <w:p w14:paraId="739F7F0D">
            <w:pPr>
              <w:jc w:val="center"/>
              <w:rPr>
                <w:rFonts w:hint="eastAsia" w:ascii="宋体" w:hAnsi="宋体" w:eastAsia="楷体_GB2312" w:cs="Times New Roman"/>
                <w:kern w:val="0"/>
                <w:sz w:val="24"/>
                <w:szCs w:val="22"/>
                <w:highlight w:val="none"/>
              </w:rPr>
            </w:pPr>
          </w:p>
        </w:tc>
        <w:tc>
          <w:tcPr>
            <w:tcW w:w="1441" w:type="dxa"/>
            <w:noWrap w:val="0"/>
            <w:vAlign w:val="center"/>
          </w:tcPr>
          <w:p w14:paraId="6BA2B2D7">
            <w:pPr>
              <w:jc w:val="center"/>
              <w:rPr>
                <w:rFonts w:hint="eastAsia" w:ascii="宋体" w:hAnsi="宋体" w:eastAsia="楷体_GB2312" w:cs="Times New Roman"/>
                <w:kern w:val="0"/>
                <w:sz w:val="24"/>
                <w:szCs w:val="22"/>
                <w:highlight w:val="none"/>
              </w:rPr>
            </w:pPr>
          </w:p>
        </w:tc>
        <w:tc>
          <w:tcPr>
            <w:tcW w:w="1787" w:type="dxa"/>
            <w:noWrap w:val="0"/>
            <w:vAlign w:val="center"/>
          </w:tcPr>
          <w:p w14:paraId="22FA6234">
            <w:pPr>
              <w:jc w:val="center"/>
              <w:rPr>
                <w:rFonts w:hint="eastAsia" w:ascii="宋体" w:hAnsi="宋体" w:eastAsia="楷体_GB2312" w:cs="Times New Roman"/>
                <w:kern w:val="0"/>
                <w:sz w:val="24"/>
                <w:szCs w:val="22"/>
                <w:highlight w:val="none"/>
              </w:rPr>
            </w:pPr>
          </w:p>
        </w:tc>
        <w:tc>
          <w:tcPr>
            <w:tcW w:w="525" w:type="dxa"/>
            <w:noWrap w:val="0"/>
            <w:vAlign w:val="top"/>
          </w:tcPr>
          <w:p w14:paraId="4C728767">
            <w:pPr>
              <w:rPr>
                <w:rFonts w:hint="eastAsia" w:ascii="宋体" w:hAnsi="宋体" w:eastAsia="楷体_GB2312" w:cs="Times New Roman"/>
                <w:kern w:val="0"/>
                <w:sz w:val="24"/>
                <w:highlight w:val="none"/>
              </w:rPr>
            </w:pPr>
          </w:p>
        </w:tc>
      </w:tr>
      <w:tr w14:paraId="3AE6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53E114D0">
            <w:pPr>
              <w:jc w:val="center"/>
              <w:rPr>
                <w:rFonts w:hint="eastAsia" w:ascii="宋体" w:hAnsi="宋体" w:eastAsia="楷体_GB2312" w:cs="Times New Roman"/>
                <w:kern w:val="0"/>
                <w:sz w:val="24"/>
                <w:szCs w:val="22"/>
                <w:highlight w:val="none"/>
              </w:rPr>
            </w:pPr>
            <w:r>
              <w:rPr>
                <w:rFonts w:hint="eastAsia" w:ascii="宋体" w:hAnsi="宋体" w:eastAsia="楷体_GB2312" w:cs="Times New Roman"/>
                <w:kern w:val="0"/>
                <w:sz w:val="24"/>
                <w:szCs w:val="22"/>
                <w:highlight w:val="none"/>
              </w:rPr>
              <w:t>8</w:t>
            </w:r>
          </w:p>
        </w:tc>
        <w:tc>
          <w:tcPr>
            <w:tcW w:w="956" w:type="dxa"/>
            <w:noWrap w:val="0"/>
            <w:vAlign w:val="center"/>
          </w:tcPr>
          <w:p w14:paraId="57AD69EA">
            <w:pPr>
              <w:jc w:val="center"/>
              <w:rPr>
                <w:rFonts w:hint="eastAsia" w:ascii="宋体" w:hAnsi="宋体" w:eastAsia="楷体_GB2312" w:cs="Times New Roman"/>
                <w:kern w:val="0"/>
                <w:sz w:val="24"/>
                <w:szCs w:val="22"/>
                <w:highlight w:val="none"/>
              </w:rPr>
            </w:pPr>
          </w:p>
        </w:tc>
        <w:tc>
          <w:tcPr>
            <w:tcW w:w="667" w:type="dxa"/>
            <w:noWrap w:val="0"/>
            <w:vAlign w:val="center"/>
          </w:tcPr>
          <w:p w14:paraId="0F095280">
            <w:pPr>
              <w:jc w:val="center"/>
              <w:rPr>
                <w:rFonts w:hint="eastAsia" w:ascii="宋体" w:hAnsi="宋体" w:eastAsia="楷体_GB2312" w:cs="Times New Roman"/>
                <w:kern w:val="0"/>
                <w:sz w:val="24"/>
                <w:szCs w:val="22"/>
                <w:highlight w:val="none"/>
              </w:rPr>
            </w:pPr>
          </w:p>
        </w:tc>
        <w:tc>
          <w:tcPr>
            <w:tcW w:w="667" w:type="dxa"/>
            <w:noWrap w:val="0"/>
            <w:vAlign w:val="center"/>
          </w:tcPr>
          <w:p w14:paraId="0AC0A3B3">
            <w:pPr>
              <w:jc w:val="center"/>
              <w:rPr>
                <w:rFonts w:ascii="宋体" w:hAnsi="宋体" w:eastAsia="楷体_GB2312" w:cs="Times New Roman"/>
                <w:kern w:val="0"/>
                <w:sz w:val="24"/>
                <w:szCs w:val="22"/>
                <w:highlight w:val="none"/>
              </w:rPr>
            </w:pPr>
          </w:p>
        </w:tc>
        <w:tc>
          <w:tcPr>
            <w:tcW w:w="970" w:type="dxa"/>
            <w:noWrap w:val="0"/>
            <w:vAlign w:val="center"/>
          </w:tcPr>
          <w:p w14:paraId="0D68F2F6">
            <w:pPr>
              <w:jc w:val="center"/>
              <w:rPr>
                <w:rFonts w:hint="eastAsia" w:ascii="宋体" w:hAnsi="宋体" w:eastAsia="楷体_GB2312" w:cs="Times New Roman"/>
                <w:kern w:val="0"/>
                <w:sz w:val="24"/>
                <w:szCs w:val="22"/>
                <w:highlight w:val="none"/>
              </w:rPr>
            </w:pPr>
          </w:p>
        </w:tc>
        <w:tc>
          <w:tcPr>
            <w:tcW w:w="962" w:type="dxa"/>
            <w:noWrap w:val="0"/>
            <w:vAlign w:val="center"/>
          </w:tcPr>
          <w:p w14:paraId="58DEB97E">
            <w:pPr>
              <w:jc w:val="center"/>
              <w:rPr>
                <w:rFonts w:hint="eastAsia" w:ascii="宋体" w:hAnsi="宋体" w:eastAsia="楷体_GB2312" w:cs="Times New Roman"/>
                <w:kern w:val="0"/>
                <w:sz w:val="24"/>
                <w:szCs w:val="22"/>
                <w:highlight w:val="none"/>
              </w:rPr>
            </w:pPr>
          </w:p>
        </w:tc>
        <w:tc>
          <w:tcPr>
            <w:tcW w:w="1072" w:type="dxa"/>
            <w:noWrap w:val="0"/>
            <w:vAlign w:val="center"/>
          </w:tcPr>
          <w:p w14:paraId="74586C1B">
            <w:pPr>
              <w:jc w:val="center"/>
              <w:rPr>
                <w:rFonts w:hint="eastAsia" w:ascii="宋体" w:hAnsi="宋体" w:eastAsia="楷体_GB2312" w:cs="Times New Roman"/>
                <w:kern w:val="0"/>
                <w:sz w:val="24"/>
                <w:szCs w:val="22"/>
                <w:highlight w:val="none"/>
              </w:rPr>
            </w:pPr>
          </w:p>
        </w:tc>
        <w:tc>
          <w:tcPr>
            <w:tcW w:w="1441" w:type="dxa"/>
            <w:noWrap w:val="0"/>
            <w:vAlign w:val="center"/>
          </w:tcPr>
          <w:p w14:paraId="2397DE4D">
            <w:pPr>
              <w:jc w:val="center"/>
              <w:rPr>
                <w:rFonts w:hint="eastAsia" w:ascii="宋体" w:hAnsi="宋体" w:eastAsia="楷体_GB2312" w:cs="Times New Roman"/>
                <w:kern w:val="0"/>
                <w:sz w:val="24"/>
                <w:szCs w:val="22"/>
                <w:highlight w:val="none"/>
              </w:rPr>
            </w:pPr>
          </w:p>
        </w:tc>
        <w:tc>
          <w:tcPr>
            <w:tcW w:w="1787" w:type="dxa"/>
            <w:noWrap w:val="0"/>
            <w:vAlign w:val="center"/>
          </w:tcPr>
          <w:p w14:paraId="6A5CF261">
            <w:pPr>
              <w:jc w:val="center"/>
              <w:rPr>
                <w:rFonts w:hint="eastAsia" w:ascii="宋体" w:hAnsi="宋体" w:eastAsia="楷体_GB2312" w:cs="Times New Roman"/>
                <w:kern w:val="0"/>
                <w:sz w:val="24"/>
                <w:szCs w:val="22"/>
                <w:highlight w:val="none"/>
              </w:rPr>
            </w:pPr>
          </w:p>
        </w:tc>
        <w:tc>
          <w:tcPr>
            <w:tcW w:w="525" w:type="dxa"/>
            <w:noWrap w:val="0"/>
            <w:vAlign w:val="top"/>
          </w:tcPr>
          <w:p w14:paraId="5E18B00C">
            <w:pPr>
              <w:jc w:val="center"/>
              <w:rPr>
                <w:rFonts w:hint="eastAsia" w:ascii="宋体" w:hAnsi="宋体" w:eastAsia="楷体_GB2312" w:cs="Times New Roman"/>
                <w:kern w:val="0"/>
                <w:sz w:val="24"/>
                <w:szCs w:val="22"/>
                <w:highlight w:val="none"/>
              </w:rPr>
            </w:pPr>
          </w:p>
        </w:tc>
      </w:tr>
      <w:tr w14:paraId="5376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43F8F4EB">
            <w:pPr>
              <w:jc w:val="center"/>
              <w:rPr>
                <w:rFonts w:hint="eastAsia" w:ascii="宋体" w:hAnsi="宋体" w:eastAsia="楷体_GB2312" w:cs="Times New Roman"/>
                <w:kern w:val="0"/>
                <w:sz w:val="24"/>
                <w:szCs w:val="22"/>
                <w:highlight w:val="none"/>
              </w:rPr>
            </w:pPr>
            <w:r>
              <w:rPr>
                <w:rFonts w:hint="eastAsia" w:ascii="宋体" w:hAnsi="宋体" w:eastAsia="楷体_GB2312" w:cs="Times New Roman"/>
                <w:kern w:val="0"/>
                <w:sz w:val="24"/>
                <w:szCs w:val="22"/>
                <w:highlight w:val="none"/>
              </w:rPr>
              <w:t>9</w:t>
            </w:r>
          </w:p>
        </w:tc>
        <w:tc>
          <w:tcPr>
            <w:tcW w:w="956" w:type="dxa"/>
            <w:noWrap w:val="0"/>
            <w:vAlign w:val="center"/>
          </w:tcPr>
          <w:p w14:paraId="4D074739">
            <w:pPr>
              <w:jc w:val="center"/>
              <w:rPr>
                <w:rFonts w:hint="eastAsia" w:ascii="宋体" w:hAnsi="宋体" w:eastAsia="楷体_GB2312" w:cs="Times New Roman"/>
                <w:kern w:val="0"/>
                <w:sz w:val="24"/>
                <w:szCs w:val="22"/>
                <w:highlight w:val="none"/>
              </w:rPr>
            </w:pPr>
          </w:p>
        </w:tc>
        <w:tc>
          <w:tcPr>
            <w:tcW w:w="667" w:type="dxa"/>
            <w:noWrap w:val="0"/>
            <w:vAlign w:val="center"/>
          </w:tcPr>
          <w:p w14:paraId="35653F57">
            <w:pPr>
              <w:jc w:val="center"/>
              <w:rPr>
                <w:rFonts w:hint="eastAsia" w:ascii="宋体" w:hAnsi="宋体" w:eastAsia="楷体_GB2312" w:cs="Times New Roman"/>
                <w:kern w:val="0"/>
                <w:sz w:val="24"/>
                <w:szCs w:val="22"/>
                <w:highlight w:val="none"/>
              </w:rPr>
            </w:pPr>
          </w:p>
        </w:tc>
        <w:tc>
          <w:tcPr>
            <w:tcW w:w="667" w:type="dxa"/>
            <w:noWrap w:val="0"/>
            <w:vAlign w:val="center"/>
          </w:tcPr>
          <w:p w14:paraId="074929CF">
            <w:pPr>
              <w:jc w:val="center"/>
              <w:rPr>
                <w:rFonts w:ascii="宋体" w:hAnsi="宋体" w:eastAsia="楷体_GB2312" w:cs="Times New Roman"/>
                <w:kern w:val="0"/>
                <w:sz w:val="24"/>
                <w:szCs w:val="22"/>
                <w:highlight w:val="none"/>
              </w:rPr>
            </w:pPr>
          </w:p>
        </w:tc>
        <w:tc>
          <w:tcPr>
            <w:tcW w:w="970" w:type="dxa"/>
            <w:noWrap w:val="0"/>
            <w:vAlign w:val="center"/>
          </w:tcPr>
          <w:p w14:paraId="27C2CD97">
            <w:pPr>
              <w:jc w:val="center"/>
              <w:rPr>
                <w:rFonts w:hint="eastAsia" w:ascii="宋体" w:hAnsi="宋体" w:eastAsia="楷体_GB2312" w:cs="Times New Roman"/>
                <w:kern w:val="0"/>
                <w:sz w:val="24"/>
                <w:szCs w:val="22"/>
                <w:highlight w:val="none"/>
              </w:rPr>
            </w:pPr>
          </w:p>
        </w:tc>
        <w:tc>
          <w:tcPr>
            <w:tcW w:w="962" w:type="dxa"/>
            <w:noWrap w:val="0"/>
            <w:vAlign w:val="center"/>
          </w:tcPr>
          <w:p w14:paraId="3397DEDD">
            <w:pPr>
              <w:jc w:val="center"/>
              <w:rPr>
                <w:rFonts w:hint="eastAsia" w:ascii="宋体" w:hAnsi="宋体" w:eastAsia="楷体_GB2312" w:cs="Times New Roman"/>
                <w:kern w:val="0"/>
                <w:sz w:val="24"/>
                <w:szCs w:val="22"/>
                <w:highlight w:val="none"/>
              </w:rPr>
            </w:pPr>
          </w:p>
        </w:tc>
        <w:tc>
          <w:tcPr>
            <w:tcW w:w="1072" w:type="dxa"/>
            <w:noWrap w:val="0"/>
            <w:vAlign w:val="center"/>
          </w:tcPr>
          <w:p w14:paraId="6A5F925D">
            <w:pPr>
              <w:jc w:val="center"/>
              <w:rPr>
                <w:rFonts w:hint="eastAsia" w:ascii="宋体" w:hAnsi="宋体" w:eastAsia="楷体_GB2312" w:cs="Times New Roman"/>
                <w:kern w:val="0"/>
                <w:sz w:val="24"/>
                <w:szCs w:val="22"/>
                <w:highlight w:val="none"/>
              </w:rPr>
            </w:pPr>
          </w:p>
        </w:tc>
        <w:tc>
          <w:tcPr>
            <w:tcW w:w="1441" w:type="dxa"/>
            <w:noWrap w:val="0"/>
            <w:vAlign w:val="center"/>
          </w:tcPr>
          <w:p w14:paraId="65E98EAB">
            <w:pPr>
              <w:jc w:val="center"/>
              <w:rPr>
                <w:rFonts w:hint="eastAsia" w:ascii="宋体" w:hAnsi="宋体" w:eastAsia="楷体_GB2312" w:cs="Times New Roman"/>
                <w:kern w:val="0"/>
                <w:sz w:val="24"/>
                <w:szCs w:val="22"/>
                <w:highlight w:val="none"/>
              </w:rPr>
            </w:pPr>
          </w:p>
        </w:tc>
        <w:tc>
          <w:tcPr>
            <w:tcW w:w="1787" w:type="dxa"/>
            <w:noWrap w:val="0"/>
            <w:vAlign w:val="center"/>
          </w:tcPr>
          <w:p w14:paraId="0065621D">
            <w:pPr>
              <w:jc w:val="center"/>
              <w:rPr>
                <w:rFonts w:hint="eastAsia" w:ascii="宋体" w:hAnsi="宋体" w:eastAsia="楷体_GB2312" w:cs="Times New Roman"/>
                <w:kern w:val="0"/>
                <w:sz w:val="24"/>
                <w:szCs w:val="22"/>
                <w:highlight w:val="none"/>
              </w:rPr>
            </w:pPr>
          </w:p>
        </w:tc>
        <w:tc>
          <w:tcPr>
            <w:tcW w:w="525" w:type="dxa"/>
            <w:noWrap w:val="0"/>
            <w:vAlign w:val="top"/>
          </w:tcPr>
          <w:p w14:paraId="416628A6">
            <w:pPr>
              <w:jc w:val="center"/>
              <w:rPr>
                <w:rFonts w:hint="eastAsia" w:ascii="宋体" w:hAnsi="宋体" w:eastAsia="楷体_GB2312" w:cs="Times New Roman"/>
                <w:kern w:val="0"/>
                <w:sz w:val="24"/>
                <w:szCs w:val="22"/>
                <w:highlight w:val="none"/>
              </w:rPr>
            </w:pPr>
          </w:p>
        </w:tc>
      </w:tr>
      <w:tr w14:paraId="33E4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9C87419">
            <w:pPr>
              <w:jc w:val="center"/>
              <w:rPr>
                <w:rFonts w:ascii="宋体" w:hAnsi="宋体" w:eastAsia="楷体_GB2312" w:cs="Times New Roman"/>
                <w:kern w:val="0"/>
                <w:sz w:val="24"/>
                <w:szCs w:val="22"/>
                <w:highlight w:val="none"/>
              </w:rPr>
            </w:pPr>
            <w:r>
              <w:rPr>
                <w:rFonts w:hint="eastAsia" w:ascii="宋体" w:hAnsi="宋体" w:eastAsia="楷体_GB2312" w:cs="Times New Roman"/>
                <w:kern w:val="0"/>
                <w:sz w:val="24"/>
                <w:szCs w:val="22"/>
                <w:highlight w:val="none"/>
              </w:rPr>
              <w:t>10</w:t>
            </w:r>
          </w:p>
        </w:tc>
        <w:tc>
          <w:tcPr>
            <w:tcW w:w="956" w:type="dxa"/>
            <w:noWrap w:val="0"/>
            <w:vAlign w:val="center"/>
          </w:tcPr>
          <w:p w14:paraId="4BFC34FC">
            <w:pPr>
              <w:jc w:val="center"/>
              <w:rPr>
                <w:rFonts w:hint="eastAsia" w:ascii="宋体" w:hAnsi="宋体" w:eastAsia="楷体_GB2312" w:cs="Times New Roman"/>
                <w:kern w:val="0"/>
                <w:sz w:val="24"/>
                <w:szCs w:val="22"/>
                <w:highlight w:val="none"/>
              </w:rPr>
            </w:pPr>
          </w:p>
        </w:tc>
        <w:tc>
          <w:tcPr>
            <w:tcW w:w="667" w:type="dxa"/>
            <w:noWrap w:val="0"/>
            <w:vAlign w:val="center"/>
          </w:tcPr>
          <w:p w14:paraId="5B973C5F">
            <w:pPr>
              <w:jc w:val="center"/>
              <w:rPr>
                <w:rFonts w:hint="eastAsia" w:ascii="宋体" w:hAnsi="宋体" w:eastAsia="楷体_GB2312" w:cs="Times New Roman"/>
                <w:kern w:val="0"/>
                <w:sz w:val="24"/>
                <w:szCs w:val="22"/>
                <w:highlight w:val="none"/>
              </w:rPr>
            </w:pPr>
          </w:p>
        </w:tc>
        <w:tc>
          <w:tcPr>
            <w:tcW w:w="667" w:type="dxa"/>
            <w:noWrap w:val="0"/>
            <w:vAlign w:val="center"/>
          </w:tcPr>
          <w:p w14:paraId="1BA556D1">
            <w:pPr>
              <w:jc w:val="center"/>
              <w:rPr>
                <w:rFonts w:ascii="宋体" w:hAnsi="宋体" w:eastAsia="楷体_GB2312" w:cs="Times New Roman"/>
                <w:kern w:val="0"/>
                <w:sz w:val="24"/>
                <w:szCs w:val="22"/>
                <w:highlight w:val="none"/>
              </w:rPr>
            </w:pPr>
          </w:p>
        </w:tc>
        <w:tc>
          <w:tcPr>
            <w:tcW w:w="970" w:type="dxa"/>
            <w:noWrap w:val="0"/>
            <w:vAlign w:val="center"/>
          </w:tcPr>
          <w:p w14:paraId="29693647">
            <w:pPr>
              <w:jc w:val="center"/>
              <w:rPr>
                <w:rFonts w:hint="eastAsia" w:ascii="宋体" w:hAnsi="宋体" w:eastAsia="楷体_GB2312" w:cs="Times New Roman"/>
                <w:kern w:val="0"/>
                <w:sz w:val="24"/>
                <w:szCs w:val="22"/>
                <w:highlight w:val="none"/>
              </w:rPr>
            </w:pPr>
          </w:p>
        </w:tc>
        <w:tc>
          <w:tcPr>
            <w:tcW w:w="962" w:type="dxa"/>
            <w:noWrap w:val="0"/>
            <w:vAlign w:val="center"/>
          </w:tcPr>
          <w:p w14:paraId="3B3961C4">
            <w:pPr>
              <w:jc w:val="center"/>
              <w:rPr>
                <w:rFonts w:hint="eastAsia" w:ascii="宋体" w:hAnsi="宋体" w:eastAsia="楷体_GB2312" w:cs="Times New Roman"/>
                <w:kern w:val="0"/>
                <w:sz w:val="24"/>
                <w:szCs w:val="22"/>
                <w:highlight w:val="none"/>
              </w:rPr>
            </w:pPr>
          </w:p>
        </w:tc>
        <w:tc>
          <w:tcPr>
            <w:tcW w:w="1072" w:type="dxa"/>
            <w:noWrap w:val="0"/>
            <w:vAlign w:val="center"/>
          </w:tcPr>
          <w:p w14:paraId="6DD815C5">
            <w:pPr>
              <w:jc w:val="center"/>
              <w:rPr>
                <w:rFonts w:hint="eastAsia" w:ascii="宋体" w:hAnsi="宋体" w:eastAsia="楷体_GB2312" w:cs="Times New Roman"/>
                <w:kern w:val="0"/>
                <w:sz w:val="24"/>
                <w:szCs w:val="22"/>
                <w:highlight w:val="none"/>
              </w:rPr>
            </w:pPr>
          </w:p>
        </w:tc>
        <w:tc>
          <w:tcPr>
            <w:tcW w:w="1441" w:type="dxa"/>
            <w:noWrap w:val="0"/>
            <w:vAlign w:val="center"/>
          </w:tcPr>
          <w:p w14:paraId="5C634BA0">
            <w:pPr>
              <w:jc w:val="center"/>
              <w:rPr>
                <w:rFonts w:hint="eastAsia" w:ascii="宋体" w:hAnsi="宋体" w:eastAsia="楷体_GB2312" w:cs="Times New Roman"/>
                <w:kern w:val="0"/>
                <w:sz w:val="24"/>
                <w:szCs w:val="22"/>
                <w:highlight w:val="none"/>
              </w:rPr>
            </w:pPr>
          </w:p>
        </w:tc>
        <w:tc>
          <w:tcPr>
            <w:tcW w:w="1787" w:type="dxa"/>
            <w:noWrap w:val="0"/>
            <w:vAlign w:val="center"/>
          </w:tcPr>
          <w:p w14:paraId="2411BDD4">
            <w:pPr>
              <w:jc w:val="center"/>
              <w:rPr>
                <w:rFonts w:hint="eastAsia" w:ascii="宋体" w:hAnsi="宋体" w:eastAsia="楷体_GB2312" w:cs="Times New Roman"/>
                <w:kern w:val="0"/>
                <w:sz w:val="24"/>
                <w:szCs w:val="22"/>
                <w:highlight w:val="none"/>
              </w:rPr>
            </w:pPr>
          </w:p>
        </w:tc>
        <w:tc>
          <w:tcPr>
            <w:tcW w:w="525" w:type="dxa"/>
            <w:noWrap w:val="0"/>
            <w:vAlign w:val="top"/>
          </w:tcPr>
          <w:p w14:paraId="37E43F69">
            <w:pPr>
              <w:jc w:val="center"/>
              <w:rPr>
                <w:rFonts w:hint="eastAsia" w:ascii="宋体" w:hAnsi="宋体" w:eastAsia="楷体_GB2312" w:cs="Times New Roman"/>
                <w:kern w:val="0"/>
                <w:sz w:val="24"/>
                <w:szCs w:val="22"/>
                <w:highlight w:val="none"/>
              </w:rPr>
            </w:pPr>
          </w:p>
        </w:tc>
      </w:tr>
      <w:tr w14:paraId="6F3C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66" w:type="dxa"/>
            <w:noWrap w:val="0"/>
            <w:vAlign w:val="center"/>
          </w:tcPr>
          <w:p w14:paraId="20AB8AEE">
            <w:pPr>
              <w:jc w:val="center"/>
              <w:rPr>
                <w:rFonts w:hint="eastAsia" w:ascii="宋体" w:hAnsi="宋体" w:eastAsia="楷体_GB2312" w:cs="Times New Roman"/>
                <w:kern w:val="0"/>
                <w:sz w:val="24"/>
                <w:highlight w:val="none"/>
              </w:rPr>
            </w:pPr>
          </w:p>
        </w:tc>
        <w:tc>
          <w:tcPr>
            <w:tcW w:w="956" w:type="dxa"/>
            <w:noWrap w:val="0"/>
            <w:vAlign w:val="center"/>
          </w:tcPr>
          <w:p w14:paraId="34B3EB0E">
            <w:pPr>
              <w:jc w:val="center"/>
              <w:rPr>
                <w:rFonts w:hint="eastAsia" w:ascii="宋体" w:hAnsi="宋体" w:eastAsia="楷体_GB2312" w:cs="Times New Roman"/>
                <w:kern w:val="0"/>
                <w:sz w:val="24"/>
                <w:highlight w:val="none"/>
              </w:rPr>
            </w:pPr>
          </w:p>
        </w:tc>
        <w:tc>
          <w:tcPr>
            <w:tcW w:w="667" w:type="dxa"/>
            <w:noWrap w:val="0"/>
            <w:vAlign w:val="center"/>
          </w:tcPr>
          <w:p w14:paraId="1DB9737E">
            <w:pPr>
              <w:jc w:val="center"/>
              <w:rPr>
                <w:rFonts w:ascii="宋体" w:hAnsi="宋体" w:eastAsia="楷体_GB2312" w:cs="Times New Roman"/>
                <w:kern w:val="0"/>
                <w:sz w:val="24"/>
                <w:highlight w:val="none"/>
              </w:rPr>
            </w:pPr>
          </w:p>
        </w:tc>
        <w:tc>
          <w:tcPr>
            <w:tcW w:w="667" w:type="dxa"/>
            <w:noWrap w:val="0"/>
            <w:vAlign w:val="center"/>
          </w:tcPr>
          <w:p w14:paraId="1331E6E7">
            <w:pPr>
              <w:jc w:val="center"/>
              <w:rPr>
                <w:rFonts w:hint="eastAsia" w:ascii="宋体" w:hAnsi="宋体" w:eastAsia="楷体_GB2312" w:cs="Times New Roman"/>
                <w:kern w:val="0"/>
                <w:sz w:val="24"/>
                <w:highlight w:val="none"/>
              </w:rPr>
            </w:pPr>
          </w:p>
        </w:tc>
        <w:tc>
          <w:tcPr>
            <w:tcW w:w="970" w:type="dxa"/>
            <w:noWrap w:val="0"/>
            <w:vAlign w:val="center"/>
          </w:tcPr>
          <w:p w14:paraId="3F6FBEB5">
            <w:pPr>
              <w:jc w:val="center"/>
              <w:rPr>
                <w:rFonts w:ascii="宋体" w:hAnsi="宋体" w:eastAsia="楷体_GB2312" w:cs="Times New Roman"/>
                <w:kern w:val="0"/>
                <w:sz w:val="24"/>
                <w:highlight w:val="none"/>
              </w:rPr>
            </w:pPr>
          </w:p>
        </w:tc>
        <w:tc>
          <w:tcPr>
            <w:tcW w:w="962" w:type="dxa"/>
            <w:noWrap w:val="0"/>
            <w:vAlign w:val="center"/>
          </w:tcPr>
          <w:p w14:paraId="0456EA8D">
            <w:pPr>
              <w:jc w:val="center"/>
              <w:rPr>
                <w:rFonts w:hint="eastAsia" w:ascii="宋体" w:hAnsi="宋体" w:eastAsia="楷体_GB2312" w:cs="Times New Roman"/>
                <w:kern w:val="0"/>
                <w:sz w:val="24"/>
                <w:highlight w:val="none"/>
              </w:rPr>
            </w:pPr>
          </w:p>
        </w:tc>
        <w:tc>
          <w:tcPr>
            <w:tcW w:w="1072" w:type="dxa"/>
            <w:noWrap w:val="0"/>
            <w:vAlign w:val="top"/>
          </w:tcPr>
          <w:p w14:paraId="5E60D5C1">
            <w:pPr>
              <w:jc w:val="center"/>
              <w:rPr>
                <w:rFonts w:hint="eastAsia" w:ascii="宋体" w:hAnsi="宋体" w:eastAsia="楷体_GB2312" w:cs="Times New Roman"/>
                <w:kern w:val="0"/>
                <w:sz w:val="24"/>
                <w:highlight w:val="none"/>
              </w:rPr>
            </w:pPr>
          </w:p>
        </w:tc>
        <w:tc>
          <w:tcPr>
            <w:tcW w:w="1441" w:type="dxa"/>
            <w:noWrap w:val="0"/>
            <w:vAlign w:val="center"/>
          </w:tcPr>
          <w:p w14:paraId="5C36AC56">
            <w:pPr>
              <w:jc w:val="center"/>
              <w:rPr>
                <w:rFonts w:hint="eastAsia" w:ascii="宋体" w:hAnsi="宋体" w:eastAsia="楷体_GB2312" w:cs="Times New Roman"/>
                <w:kern w:val="0"/>
                <w:sz w:val="24"/>
                <w:highlight w:val="none"/>
              </w:rPr>
            </w:pPr>
          </w:p>
        </w:tc>
        <w:tc>
          <w:tcPr>
            <w:tcW w:w="1787" w:type="dxa"/>
            <w:noWrap w:val="0"/>
            <w:vAlign w:val="center"/>
          </w:tcPr>
          <w:p w14:paraId="059ADE01">
            <w:pPr>
              <w:jc w:val="center"/>
              <w:rPr>
                <w:rFonts w:hint="eastAsia" w:ascii="宋体" w:hAnsi="宋体" w:eastAsia="楷体_GB2312" w:cs="Times New Roman"/>
                <w:kern w:val="0"/>
                <w:sz w:val="24"/>
                <w:highlight w:val="none"/>
              </w:rPr>
            </w:pPr>
          </w:p>
        </w:tc>
        <w:tc>
          <w:tcPr>
            <w:tcW w:w="525" w:type="dxa"/>
            <w:noWrap w:val="0"/>
            <w:vAlign w:val="top"/>
          </w:tcPr>
          <w:p w14:paraId="35473F09">
            <w:pPr>
              <w:rPr>
                <w:rFonts w:hint="eastAsia" w:ascii="宋体" w:hAnsi="宋体" w:eastAsia="楷体_GB2312" w:cs="Times New Roman"/>
                <w:kern w:val="0"/>
                <w:sz w:val="24"/>
                <w:highlight w:val="none"/>
              </w:rPr>
            </w:pPr>
          </w:p>
        </w:tc>
      </w:tr>
    </w:tbl>
    <w:p w14:paraId="2128634D">
      <w:pPr>
        <w:spacing w:line="320" w:lineRule="exact"/>
        <w:rPr>
          <w:rFonts w:hint="eastAsia" w:ascii="宋体" w:hAnsi="Times New Roman" w:eastAsia="楷体_GB2312" w:cs="Times New Roman"/>
          <w:spacing w:val="18"/>
          <w:kern w:val="0"/>
          <w:sz w:val="21"/>
          <w:szCs w:val="21"/>
          <w:highlight w:val="none"/>
        </w:rPr>
      </w:pPr>
      <w:r>
        <w:rPr>
          <w:rFonts w:hint="eastAsia" w:ascii="宋体" w:hAnsi="宋体" w:eastAsia="楷体_GB2312" w:cs="Times New Roman"/>
          <w:b/>
          <w:kern w:val="0"/>
          <w:sz w:val="21"/>
          <w:szCs w:val="21"/>
          <w:highlight w:val="none"/>
        </w:rPr>
        <w:t>备注：本表应根据《监理人员基本要求资历表》要求填写，人员数量和资历不低于其基本要求。本表可根据人员数量增栏填写，本表填写包括监理员。在备注栏中对人员状态进行标识：在册人员标识“○”，外聘人员标识“□”。</w:t>
      </w:r>
    </w:p>
    <w:p w14:paraId="6BC00872">
      <w:pPr>
        <w:spacing w:line="524" w:lineRule="exact"/>
        <w:rPr>
          <w:rFonts w:hint="eastAsia" w:ascii="仿宋_GB2312" w:hAnsi="Times New Roman" w:eastAsia="仿宋_GB2312" w:cs="Times New Roman"/>
          <w:kern w:val="0"/>
          <w:sz w:val="28"/>
          <w:highlight w:val="none"/>
        </w:rPr>
      </w:pPr>
      <w:r>
        <w:rPr>
          <w:rFonts w:hint="eastAsia" w:ascii="宋体" w:hAnsi="Times New Roman" w:eastAsia="楷体_GB2312" w:cs="Times New Roman"/>
          <w:spacing w:val="18"/>
          <w:kern w:val="0"/>
          <w:sz w:val="21"/>
          <w:szCs w:val="21"/>
          <w:highlight w:val="none"/>
        </w:rPr>
        <w:t>法定</w:t>
      </w:r>
      <w:r>
        <w:rPr>
          <w:rFonts w:ascii="宋体" w:hAnsi="Times New Roman" w:eastAsia="楷体_GB2312" w:cs="Times New Roman"/>
          <w:spacing w:val="18"/>
          <w:kern w:val="0"/>
          <w:sz w:val="21"/>
          <w:szCs w:val="21"/>
          <w:highlight w:val="none"/>
        </w:rPr>
        <w:t xml:space="preserve">代表人(或被授权人) </w:t>
      </w:r>
      <w:r>
        <w:rPr>
          <w:rFonts w:hint="eastAsia" w:ascii="宋体" w:hAnsi="Times New Roman" w:eastAsia="楷体_GB2312" w:cs="Times New Roman"/>
          <w:spacing w:val="18"/>
          <w:kern w:val="0"/>
          <w:sz w:val="21"/>
          <w:szCs w:val="21"/>
          <w:highlight w:val="none"/>
        </w:rPr>
        <w:t>签</w:t>
      </w:r>
      <w:r>
        <w:rPr>
          <w:rFonts w:ascii="宋体" w:hAnsi="Times New Roman" w:eastAsia="楷体_GB2312" w:cs="Times New Roman"/>
          <w:spacing w:val="18"/>
          <w:kern w:val="0"/>
          <w:sz w:val="21"/>
          <w:szCs w:val="21"/>
          <w:highlight w:val="none"/>
        </w:rPr>
        <w:t xml:space="preserve">章：     </w:t>
      </w:r>
      <w:r>
        <w:rPr>
          <w:rFonts w:hint="eastAsia" w:ascii="宋体" w:hAnsi="Times New Roman" w:eastAsia="楷体_GB2312" w:cs="Times New Roman"/>
          <w:spacing w:val="18"/>
          <w:kern w:val="0"/>
          <w:sz w:val="21"/>
          <w:szCs w:val="21"/>
          <w:highlight w:val="none"/>
        </w:rPr>
        <w:t xml:space="preserve">          </w:t>
      </w:r>
      <w:r>
        <w:rPr>
          <w:rFonts w:ascii="宋体" w:hAnsi="Times New Roman" w:eastAsia="楷体_GB2312" w:cs="Times New Roman"/>
          <w:spacing w:val="18"/>
          <w:kern w:val="0"/>
          <w:sz w:val="21"/>
          <w:szCs w:val="21"/>
          <w:highlight w:val="none"/>
        </w:rPr>
        <w:t xml:space="preserve"> 日期</w:t>
      </w:r>
      <w:r>
        <w:rPr>
          <w:rFonts w:ascii="宋体" w:hAnsi="Times New Roman" w:eastAsia="楷体_GB2312" w:cs="Times New Roman"/>
          <w:spacing w:val="18"/>
          <w:kern w:val="0"/>
          <w:sz w:val="24"/>
          <w:highlight w:val="none"/>
        </w:rPr>
        <w:t>：</w:t>
      </w:r>
      <w:r>
        <w:rPr>
          <w:rFonts w:hint="eastAsia" w:ascii="宋体" w:hAnsi="Times New Roman" w:eastAsia="楷体_GB2312" w:cs="Times New Roman"/>
          <w:spacing w:val="18"/>
          <w:kern w:val="0"/>
          <w:sz w:val="24"/>
          <w:highlight w:val="none"/>
        </w:rPr>
        <w:t xml:space="preserve">   </w:t>
      </w:r>
      <w:r>
        <w:rPr>
          <w:rFonts w:ascii="宋体" w:hAnsi="Times New Roman" w:eastAsia="楷体_GB2312" w:cs="Times New Roman"/>
          <w:spacing w:val="18"/>
          <w:kern w:val="0"/>
          <w:sz w:val="24"/>
          <w:highlight w:val="none"/>
        </w:rPr>
        <w:t>年  月 日</w:t>
      </w:r>
    </w:p>
    <w:p w14:paraId="3941E091">
      <w:pPr>
        <w:spacing w:after="156" w:afterLines="50"/>
        <w:jc w:val="center"/>
        <w:rPr>
          <w:rFonts w:ascii="宋体" w:hAnsi="Times New Roman" w:eastAsia="楷体_GB2312" w:cs="Times New Roman"/>
          <w:b/>
          <w:kern w:val="0"/>
          <w:sz w:val="28"/>
          <w:szCs w:val="28"/>
          <w:highlight w:val="none"/>
        </w:rPr>
      </w:pPr>
      <w:r>
        <w:rPr>
          <w:rFonts w:hint="eastAsia" w:ascii="宋体" w:hAnsi="Times New Roman" w:eastAsia="楷体_GB2312" w:cs="Times New Roman"/>
          <w:b/>
          <w:kern w:val="0"/>
          <w:sz w:val="28"/>
          <w:szCs w:val="28"/>
          <w:highlight w:val="none"/>
        </w:rPr>
        <w:br w:type="page"/>
      </w:r>
      <w:r>
        <w:rPr>
          <w:rFonts w:hint="eastAsia" w:ascii="宋体" w:hAnsi="Times New Roman" w:eastAsia="楷体_GB2312" w:cs="Times New Roman"/>
          <w:b/>
          <w:kern w:val="0"/>
          <w:sz w:val="28"/>
          <w:szCs w:val="28"/>
          <w:highlight w:val="none"/>
        </w:rPr>
        <w:t>各阶段委派</w:t>
      </w:r>
      <w:r>
        <w:rPr>
          <w:rFonts w:hint="eastAsia" w:ascii="宋体" w:hAnsi="宋体" w:eastAsia="楷体_GB2312" w:cs="Times New Roman"/>
          <w:b/>
          <w:kern w:val="0"/>
          <w:sz w:val="28"/>
          <w:szCs w:val="28"/>
          <w:highlight w:val="none"/>
        </w:rPr>
        <w:t>监理人员</w:t>
      </w:r>
      <w:r>
        <w:rPr>
          <w:rFonts w:hint="eastAsia" w:ascii="宋体" w:hAnsi="Times New Roman" w:eastAsia="楷体_GB2312" w:cs="Times New Roman"/>
          <w:b/>
          <w:kern w:val="0"/>
          <w:sz w:val="28"/>
          <w:szCs w:val="28"/>
          <w:highlight w:val="none"/>
        </w:rPr>
        <w:t>情况</w:t>
      </w:r>
      <w:r>
        <w:rPr>
          <w:rFonts w:hint="eastAsia" w:ascii="宋体" w:hAnsi="宋体" w:eastAsia="楷体_GB2312" w:cs="Times New Roman"/>
          <w:b/>
          <w:kern w:val="0"/>
          <w:sz w:val="28"/>
          <w:szCs w:val="28"/>
          <w:highlight w:val="none"/>
        </w:rPr>
        <w:t>表</w:t>
      </w:r>
    </w:p>
    <w:tbl>
      <w:tblPr>
        <w:tblStyle w:val="49"/>
        <w:tblW w:w="98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3110"/>
        <w:gridCol w:w="1645"/>
        <w:gridCol w:w="1260"/>
        <w:gridCol w:w="2160"/>
      </w:tblGrid>
      <w:tr w14:paraId="4B7D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828" w:type="dxa"/>
            <w:gridSpan w:val="5"/>
            <w:noWrap w:val="0"/>
            <w:vAlign w:val="center"/>
          </w:tcPr>
          <w:p w14:paraId="016C57E1">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b/>
                <w:bCs/>
                <w:kern w:val="0"/>
                <w:sz w:val="24"/>
                <w:szCs w:val="24"/>
                <w:highlight w:val="none"/>
              </w:rPr>
              <w:t xml:space="preserve">进 场 阶 段 监 理 人 员 </w:t>
            </w:r>
          </w:p>
        </w:tc>
      </w:tr>
      <w:tr w14:paraId="0816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3D85DBC7">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姓名</w:t>
            </w:r>
          </w:p>
        </w:tc>
        <w:tc>
          <w:tcPr>
            <w:tcW w:w="3110" w:type="dxa"/>
            <w:noWrap w:val="0"/>
            <w:vAlign w:val="center"/>
          </w:tcPr>
          <w:p w14:paraId="72A1078A">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岗位职务</w:t>
            </w:r>
          </w:p>
        </w:tc>
        <w:tc>
          <w:tcPr>
            <w:tcW w:w="1645" w:type="dxa"/>
            <w:noWrap w:val="0"/>
            <w:vAlign w:val="center"/>
          </w:tcPr>
          <w:p w14:paraId="721D982D">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职称</w:t>
            </w:r>
          </w:p>
        </w:tc>
        <w:tc>
          <w:tcPr>
            <w:tcW w:w="1260" w:type="dxa"/>
            <w:noWrap w:val="0"/>
            <w:vAlign w:val="center"/>
          </w:tcPr>
          <w:p w14:paraId="45CEAD07">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专业</w:t>
            </w:r>
          </w:p>
        </w:tc>
        <w:tc>
          <w:tcPr>
            <w:tcW w:w="2160" w:type="dxa"/>
            <w:noWrap w:val="0"/>
            <w:vAlign w:val="center"/>
          </w:tcPr>
          <w:p w14:paraId="29772FAA">
            <w:pPr>
              <w:widowControl/>
              <w:spacing w:line="360" w:lineRule="exact"/>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身份证号码/执业资格证号/上岗证号</w:t>
            </w:r>
          </w:p>
        </w:tc>
      </w:tr>
      <w:tr w14:paraId="0F09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53" w:type="dxa"/>
            <w:noWrap w:val="0"/>
            <w:vAlign w:val="center"/>
          </w:tcPr>
          <w:p w14:paraId="20CC1D49">
            <w:pPr>
              <w:widowControl/>
              <w:jc w:val="center"/>
              <w:textAlignment w:val="center"/>
              <w:rPr>
                <w:rFonts w:ascii="宋体" w:hAnsi="Times New Roman" w:eastAsia="楷体_GB2312" w:cs="Times New Roman"/>
                <w:kern w:val="0"/>
                <w:sz w:val="24"/>
                <w:szCs w:val="24"/>
                <w:highlight w:val="none"/>
                <w:lang w:bidi="ar"/>
              </w:rPr>
            </w:pPr>
          </w:p>
        </w:tc>
        <w:tc>
          <w:tcPr>
            <w:tcW w:w="3110" w:type="dxa"/>
            <w:noWrap w:val="0"/>
            <w:vAlign w:val="center"/>
          </w:tcPr>
          <w:p w14:paraId="04DCF44F">
            <w:pPr>
              <w:widowControl/>
              <w:jc w:val="center"/>
              <w:textAlignment w:val="center"/>
              <w:rPr>
                <w:rFonts w:ascii="宋体" w:hAnsi="Times New Roman" w:eastAsia="楷体_GB2312" w:cs="Times New Roman"/>
                <w:kern w:val="2"/>
                <w:sz w:val="24"/>
                <w:szCs w:val="24"/>
                <w:highlight w:val="none"/>
              </w:rPr>
            </w:pPr>
          </w:p>
        </w:tc>
        <w:tc>
          <w:tcPr>
            <w:tcW w:w="1645" w:type="dxa"/>
            <w:noWrap w:val="0"/>
            <w:vAlign w:val="center"/>
          </w:tcPr>
          <w:p w14:paraId="250E95E6">
            <w:pPr>
              <w:widowControl/>
              <w:jc w:val="center"/>
              <w:textAlignment w:val="center"/>
              <w:rPr>
                <w:rFonts w:ascii="宋体" w:hAnsi="Times New Roman" w:eastAsia="楷体_GB2312" w:cs="Times New Roman"/>
                <w:kern w:val="0"/>
                <w:sz w:val="24"/>
                <w:szCs w:val="24"/>
                <w:highlight w:val="none"/>
                <w:lang w:bidi="ar"/>
              </w:rPr>
            </w:pPr>
          </w:p>
        </w:tc>
        <w:tc>
          <w:tcPr>
            <w:tcW w:w="1260" w:type="dxa"/>
            <w:noWrap w:val="0"/>
            <w:vAlign w:val="center"/>
          </w:tcPr>
          <w:p w14:paraId="732FCA61">
            <w:pPr>
              <w:spacing w:before="62" w:beforeLines="20" w:after="62" w:afterLines="20"/>
              <w:jc w:val="center"/>
              <w:rPr>
                <w:rFonts w:ascii="宋体" w:hAnsi="Times New Roman" w:eastAsia="楷体_GB2312" w:cs="Times New Roman"/>
                <w:kern w:val="2"/>
                <w:sz w:val="24"/>
                <w:szCs w:val="24"/>
                <w:highlight w:val="none"/>
              </w:rPr>
            </w:pPr>
          </w:p>
        </w:tc>
        <w:tc>
          <w:tcPr>
            <w:tcW w:w="2160" w:type="dxa"/>
            <w:noWrap w:val="0"/>
            <w:vAlign w:val="center"/>
          </w:tcPr>
          <w:p w14:paraId="6508B6DF">
            <w:pPr>
              <w:spacing w:before="62" w:beforeLines="20" w:after="62" w:afterLines="20"/>
              <w:jc w:val="center"/>
              <w:rPr>
                <w:rFonts w:ascii="宋体" w:hAnsi="Times New Roman" w:eastAsia="楷体_GB2312" w:cs="Times New Roman"/>
                <w:kern w:val="2"/>
                <w:sz w:val="24"/>
                <w:szCs w:val="24"/>
                <w:highlight w:val="none"/>
              </w:rPr>
            </w:pPr>
          </w:p>
        </w:tc>
      </w:tr>
      <w:tr w14:paraId="405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828" w:type="dxa"/>
            <w:gridSpan w:val="5"/>
            <w:noWrap w:val="0"/>
            <w:vAlign w:val="center"/>
          </w:tcPr>
          <w:p w14:paraId="1F75871B">
            <w:pPr>
              <w:jc w:val="center"/>
              <w:rPr>
                <w:rFonts w:ascii="宋体" w:hAnsi="Times New Roman" w:eastAsia="楷体_GB2312" w:cs="Times New Roman"/>
                <w:kern w:val="0"/>
                <w:sz w:val="24"/>
                <w:szCs w:val="24"/>
                <w:highlight w:val="none"/>
              </w:rPr>
            </w:pPr>
            <w:r>
              <w:rPr>
                <w:rFonts w:hint="eastAsia" w:ascii="宋体" w:hAnsi="宋体" w:eastAsia="宋体" w:cs="宋体"/>
                <w:b/>
                <w:bCs/>
                <w:kern w:val="0"/>
                <w:sz w:val="24"/>
                <w:szCs w:val="24"/>
                <w:highlight w:val="none"/>
              </w:rPr>
              <w:t>主 体 阶 段 监 理 人 员</w:t>
            </w:r>
          </w:p>
        </w:tc>
      </w:tr>
      <w:tr w14:paraId="0363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14FB3F22">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姓名</w:t>
            </w:r>
          </w:p>
        </w:tc>
        <w:tc>
          <w:tcPr>
            <w:tcW w:w="3110" w:type="dxa"/>
            <w:noWrap w:val="0"/>
            <w:vAlign w:val="center"/>
          </w:tcPr>
          <w:p w14:paraId="513FBDAB">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岗位职务</w:t>
            </w:r>
          </w:p>
        </w:tc>
        <w:tc>
          <w:tcPr>
            <w:tcW w:w="1645" w:type="dxa"/>
            <w:noWrap w:val="0"/>
            <w:vAlign w:val="center"/>
          </w:tcPr>
          <w:p w14:paraId="4F677853">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职称</w:t>
            </w:r>
          </w:p>
        </w:tc>
        <w:tc>
          <w:tcPr>
            <w:tcW w:w="1260" w:type="dxa"/>
            <w:noWrap w:val="0"/>
            <w:vAlign w:val="center"/>
          </w:tcPr>
          <w:p w14:paraId="3DBAA271">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专业</w:t>
            </w:r>
          </w:p>
        </w:tc>
        <w:tc>
          <w:tcPr>
            <w:tcW w:w="2160" w:type="dxa"/>
            <w:noWrap w:val="0"/>
            <w:vAlign w:val="center"/>
          </w:tcPr>
          <w:p w14:paraId="3FE5A46F">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身份证号码/执业资格证号/上岗证号</w:t>
            </w:r>
          </w:p>
        </w:tc>
      </w:tr>
      <w:tr w14:paraId="469B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51BD52B2">
            <w:pPr>
              <w:widowControl/>
              <w:jc w:val="center"/>
              <w:textAlignment w:val="center"/>
              <w:rPr>
                <w:rFonts w:ascii="宋体" w:hAnsi="Times New Roman" w:eastAsia="楷体_GB2312" w:cs="Times New Roman"/>
                <w:kern w:val="0"/>
                <w:sz w:val="24"/>
                <w:szCs w:val="24"/>
                <w:highlight w:val="none"/>
                <w:lang w:bidi="ar"/>
              </w:rPr>
            </w:pPr>
          </w:p>
        </w:tc>
        <w:tc>
          <w:tcPr>
            <w:tcW w:w="3110" w:type="dxa"/>
            <w:noWrap w:val="0"/>
            <w:vAlign w:val="center"/>
          </w:tcPr>
          <w:p w14:paraId="2C3D3EB2">
            <w:pPr>
              <w:widowControl/>
              <w:jc w:val="center"/>
              <w:textAlignment w:val="center"/>
              <w:rPr>
                <w:rFonts w:ascii="宋体" w:hAnsi="Times New Roman" w:eastAsia="楷体_GB2312" w:cs="Times New Roman"/>
                <w:kern w:val="2"/>
                <w:sz w:val="24"/>
                <w:szCs w:val="24"/>
                <w:highlight w:val="none"/>
              </w:rPr>
            </w:pPr>
          </w:p>
        </w:tc>
        <w:tc>
          <w:tcPr>
            <w:tcW w:w="1645" w:type="dxa"/>
            <w:noWrap w:val="0"/>
            <w:vAlign w:val="center"/>
          </w:tcPr>
          <w:p w14:paraId="7C1E4BAD">
            <w:pPr>
              <w:widowControl/>
              <w:jc w:val="center"/>
              <w:textAlignment w:val="center"/>
              <w:rPr>
                <w:rFonts w:ascii="宋体" w:hAnsi="Times New Roman" w:eastAsia="楷体_GB2312" w:cs="Times New Roman"/>
                <w:kern w:val="0"/>
                <w:sz w:val="24"/>
                <w:szCs w:val="24"/>
                <w:highlight w:val="none"/>
                <w:lang w:bidi="ar"/>
              </w:rPr>
            </w:pPr>
          </w:p>
        </w:tc>
        <w:tc>
          <w:tcPr>
            <w:tcW w:w="1260" w:type="dxa"/>
            <w:noWrap w:val="0"/>
            <w:vAlign w:val="center"/>
          </w:tcPr>
          <w:p w14:paraId="6B078C50">
            <w:pPr>
              <w:spacing w:before="62" w:beforeLines="20" w:after="62" w:afterLines="20"/>
              <w:jc w:val="center"/>
              <w:rPr>
                <w:rFonts w:ascii="宋体" w:hAnsi="Times New Roman" w:eastAsia="楷体_GB2312" w:cs="Times New Roman"/>
                <w:kern w:val="2"/>
                <w:sz w:val="24"/>
                <w:szCs w:val="24"/>
                <w:highlight w:val="none"/>
              </w:rPr>
            </w:pPr>
          </w:p>
        </w:tc>
        <w:tc>
          <w:tcPr>
            <w:tcW w:w="2160" w:type="dxa"/>
            <w:noWrap w:val="0"/>
            <w:vAlign w:val="center"/>
          </w:tcPr>
          <w:p w14:paraId="7672694F">
            <w:pPr>
              <w:spacing w:before="62" w:beforeLines="20" w:after="62" w:afterLines="20"/>
              <w:jc w:val="center"/>
              <w:rPr>
                <w:rFonts w:ascii="宋体" w:hAnsi="Times New Roman" w:eastAsia="楷体_GB2312" w:cs="Times New Roman"/>
                <w:kern w:val="2"/>
                <w:sz w:val="24"/>
                <w:szCs w:val="24"/>
                <w:highlight w:val="none"/>
              </w:rPr>
            </w:pPr>
          </w:p>
        </w:tc>
      </w:tr>
      <w:tr w14:paraId="7E47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828" w:type="dxa"/>
            <w:gridSpan w:val="5"/>
            <w:noWrap w:val="0"/>
            <w:vAlign w:val="center"/>
          </w:tcPr>
          <w:p w14:paraId="5C211AC0">
            <w:pPr>
              <w:jc w:val="center"/>
              <w:rPr>
                <w:rFonts w:ascii="宋体" w:hAnsi="Times New Roman" w:eastAsia="楷体_GB2312" w:cs="Times New Roman"/>
                <w:kern w:val="0"/>
                <w:sz w:val="24"/>
                <w:szCs w:val="24"/>
                <w:highlight w:val="none"/>
              </w:rPr>
            </w:pPr>
            <w:r>
              <w:rPr>
                <w:rFonts w:hint="eastAsia" w:ascii="宋体" w:hAnsi="宋体" w:eastAsia="宋体" w:cs="宋体"/>
                <w:b/>
                <w:bCs/>
                <w:kern w:val="0"/>
                <w:sz w:val="24"/>
                <w:szCs w:val="24"/>
                <w:highlight w:val="none"/>
              </w:rPr>
              <w:t xml:space="preserve">高 峰 阶 段 监 理 人 员 </w:t>
            </w:r>
          </w:p>
        </w:tc>
      </w:tr>
      <w:tr w14:paraId="3BE3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027D91EA">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姓名</w:t>
            </w:r>
          </w:p>
        </w:tc>
        <w:tc>
          <w:tcPr>
            <w:tcW w:w="3110" w:type="dxa"/>
            <w:noWrap w:val="0"/>
            <w:vAlign w:val="center"/>
          </w:tcPr>
          <w:p w14:paraId="23F3E0B4">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岗位职务</w:t>
            </w:r>
          </w:p>
        </w:tc>
        <w:tc>
          <w:tcPr>
            <w:tcW w:w="1645" w:type="dxa"/>
            <w:noWrap w:val="0"/>
            <w:vAlign w:val="center"/>
          </w:tcPr>
          <w:p w14:paraId="7E2FE2AB">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职称</w:t>
            </w:r>
          </w:p>
        </w:tc>
        <w:tc>
          <w:tcPr>
            <w:tcW w:w="1260" w:type="dxa"/>
            <w:noWrap w:val="0"/>
            <w:vAlign w:val="center"/>
          </w:tcPr>
          <w:p w14:paraId="0BA7BF46">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专业</w:t>
            </w:r>
          </w:p>
        </w:tc>
        <w:tc>
          <w:tcPr>
            <w:tcW w:w="2160" w:type="dxa"/>
            <w:noWrap w:val="0"/>
            <w:vAlign w:val="center"/>
          </w:tcPr>
          <w:p w14:paraId="522CADC7">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身份证号码/执业资格证号/上岗证号</w:t>
            </w:r>
          </w:p>
        </w:tc>
      </w:tr>
      <w:tr w14:paraId="3A05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28C142E1">
            <w:pPr>
              <w:widowControl/>
              <w:jc w:val="center"/>
              <w:textAlignment w:val="center"/>
              <w:rPr>
                <w:rFonts w:ascii="宋体" w:hAnsi="Times New Roman" w:eastAsia="楷体_GB2312" w:cs="Times New Roman"/>
                <w:kern w:val="0"/>
                <w:sz w:val="24"/>
                <w:szCs w:val="24"/>
                <w:highlight w:val="none"/>
                <w:lang w:bidi="ar"/>
              </w:rPr>
            </w:pPr>
          </w:p>
        </w:tc>
        <w:tc>
          <w:tcPr>
            <w:tcW w:w="3110" w:type="dxa"/>
            <w:noWrap w:val="0"/>
            <w:vAlign w:val="center"/>
          </w:tcPr>
          <w:p w14:paraId="6C71DD1B">
            <w:pPr>
              <w:widowControl/>
              <w:jc w:val="center"/>
              <w:textAlignment w:val="center"/>
              <w:rPr>
                <w:rFonts w:ascii="宋体" w:hAnsi="Times New Roman" w:eastAsia="楷体_GB2312" w:cs="Times New Roman"/>
                <w:kern w:val="0"/>
                <w:sz w:val="24"/>
                <w:szCs w:val="24"/>
                <w:highlight w:val="none"/>
              </w:rPr>
            </w:pPr>
          </w:p>
        </w:tc>
        <w:tc>
          <w:tcPr>
            <w:tcW w:w="1645" w:type="dxa"/>
            <w:noWrap w:val="0"/>
            <w:vAlign w:val="center"/>
          </w:tcPr>
          <w:p w14:paraId="35E6183C">
            <w:pPr>
              <w:widowControl/>
              <w:textAlignment w:val="center"/>
              <w:rPr>
                <w:rFonts w:hint="eastAsia" w:ascii="宋体" w:hAnsi="Times New Roman" w:eastAsia="楷体_GB2312" w:cs="Times New Roman"/>
                <w:kern w:val="0"/>
                <w:sz w:val="24"/>
                <w:szCs w:val="24"/>
                <w:highlight w:val="none"/>
                <w:lang w:bidi="ar"/>
              </w:rPr>
            </w:pPr>
          </w:p>
        </w:tc>
        <w:tc>
          <w:tcPr>
            <w:tcW w:w="1260" w:type="dxa"/>
            <w:noWrap w:val="0"/>
            <w:vAlign w:val="center"/>
          </w:tcPr>
          <w:p w14:paraId="222A8165">
            <w:pPr>
              <w:spacing w:before="62" w:beforeLines="20" w:after="62" w:afterLines="20"/>
              <w:jc w:val="center"/>
              <w:rPr>
                <w:rFonts w:ascii="宋体" w:hAnsi="Times New Roman" w:eastAsia="楷体_GB2312" w:cs="Times New Roman"/>
                <w:kern w:val="2"/>
                <w:sz w:val="24"/>
                <w:szCs w:val="24"/>
                <w:highlight w:val="none"/>
              </w:rPr>
            </w:pPr>
          </w:p>
        </w:tc>
        <w:tc>
          <w:tcPr>
            <w:tcW w:w="2160" w:type="dxa"/>
            <w:noWrap w:val="0"/>
            <w:vAlign w:val="center"/>
          </w:tcPr>
          <w:p w14:paraId="411D9A8C">
            <w:pPr>
              <w:spacing w:before="62" w:beforeLines="20" w:after="62" w:afterLines="20"/>
              <w:jc w:val="center"/>
              <w:rPr>
                <w:rFonts w:ascii="宋体" w:hAnsi="Times New Roman" w:eastAsia="楷体_GB2312" w:cs="Times New Roman"/>
                <w:kern w:val="0"/>
                <w:sz w:val="24"/>
                <w:szCs w:val="24"/>
                <w:highlight w:val="none"/>
              </w:rPr>
            </w:pPr>
          </w:p>
        </w:tc>
      </w:tr>
      <w:tr w14:paraId="01B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828" w:type="dxa"/>
            <w:gridSpan w:val="5"/>
            <w:noWrap w:val="0"/>
            <w:vAlign w:val="center"/>
          </w:tcPr>
          <w:p w14:paraId="6F58D730">
            <w:pPr>
              <w:jc w:val="center"/>
              <w:rPr>
                <w:rFonts w:ascii="宋体" w:hAnsi="Times New Roman" w:eastAsia="楷体_GB2312" w:cs="Times New Roman"/>
                <w:kern w:val="0"/>
                <w:sz w:val="24"/>
                <w:szCs w:val="24"/>
                <w:highlight w:val="none"/>
              </w:rPr>
            </w:pPr>
            <w:r>
              <w:rPr>
                <w:rFonts w:hint="eastAsia" w:ascii="宋体" w:hAnsi="宋体" w:eastAsia="宋体" w:cs="宋体"/>
                <w:b/>
                <w:bCs/>
                <w:kern w:val="0"/>
                <w:sz w:val="24"/>
                <w:szCs w:val="24"/>
                <w:highlight w:val="none"/>
              </w:rPr>
              <w:t xml:space="preserve">收 尾 阶 段 监 理 人 员 </w:t>
            </w:r>
          </w:p>
        </w:tc>
      </w:tr>
      <w:tr w14:paraId="38EF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15D33439">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姓名</w:t>
            </w:r>
          </w:p>
        </w:tc>
        <w:tc>
          <w:tcPr>
            <w:tcW w:w="3110" w:type="dxa"/>
            <w:noWrap w:val="0"/>
            <w:vAlign w:val="center"/>
          </w:tcPr>
          <w:p w14:paraId="0ABB6B50">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岗位职务</w:t>
            </w:r>
          </w:p>
        </w:tc>
        <w:tc>
          <w:tcPr>
            <w:tcW w:w="1645" w:type="dxa"/>
            <w:noWrap w:val="0"/>
            <w:vAlign w:val="center"/>
          </w:tcPr>
          <w:p w14:paraId="7C0134BC">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职称</w:t>
            </w:r>
          </w:p>
        </w:tc>
        <w:tc>
          <w:tcPr>
            <w:tcW w:w="1260" w:type="dxa"/>
            <w:noWrap w:val="0"/>
            <w:vAlign w:val="center"/>
          </w:tcPr>
          <w:p w14:paraId="310E041A">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专业</w:t>
            </w:r>
          </w:p>
        </w:tc>
        <w:tc>
          <w:tcPr>
            <w:tcW w:w="2160" w:type="dxa"/>
            <w:noWrap w:val="0"/>
            <w:vAlign w:val="center"/>
          </w:tcPr>
          <w:p w14:paraId="3400C797">
            <w:pPr>
              <w:jc w:val="center"/>
              <w:rPr>
                <w:rFonts w:ascii="宋体" w:hAnsi="Times New Roman" w:eastAsia="楷体_GB2312" w:cs="Times New Roman"/>
                <w:kern w:val="0"/>
                <w:sz w:val="24"/>
                <w:szCs w:val="24"/>
                <w:highlight w:val="none"/>
              </w:rPr>
            </w:pPr>
            <w:r>
              <w:rPr>
                <w:rFonts w:hint="eastAsia" w:ascii="宋体" w:hAnsi="宋体" w:eastAsia="宋体" w:cs="宋体"/>
                <w:kern w:val="0"/>
                <w:sz w:val="24"/>
                <w:szCs w:val="24"/>
                <w:highlight w:val="none"/>
              </w:rPr>
              <w:t>身份证号码/执业资格证号/上岗证号</w:t>
            </w:r>
          </w:p>
        </w:tc>
      </w:tr>
      <w:tr w14:paraId="59E9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53" w:type="dxa"/>
            <w:noWrap w:val="0"/>
            <w:vAlign w:val="center"/>
          </w:tcPr>
          <w:p w14:paraId="3F3C48D2">
            <w:pPr>
              <w:ind w:left="1"/>
              <w:jc w:val="center"/>
              <w:rPr>
                <w:rFonts w:ascii="宋体" w:hAnsi="Times New Roman" w:eastAsia="楷体_GB2312" w:cs="Times New Roman"/>
                <w:kern w:val="0"/>
                <w:sz w:val="24"/>
                <w:szCs w:val="24"/>
                <w:highlight w:val="none"/>
              </w:rPr>
            </w:pPr>
          </w:p>
        </w:tc>
        <w:tc>
          <w:tcPr>
            <w:tcW w:w="3110" w:type="dxa"/>
            <w:noWrap w:val="0"/>
            <w:vAlign w:val="center"/>
          </w:tcPr>
          <w:p w14:paraId="6B1743B3">
            <w:pPr>
              <w:ind w:left="1"/>
              <w:jc w:val="center"/>
              <w:rPr>
                <w:rFonts w:ascii="宋体" w:hAnsi="Times New Roman" w:eastAsia="楷体_GB2312" w:cs="Times New Roman"/>
                <w:kern w:val="2"/>
                <w:sz w:val="24"/>
                <w:szCs w:val="24"/>
                <w:highlight w:val="none"/>
              </w:rPr>
            </w:pPr>
          </w:p>
        </w:tc>
        <w:tc>
          <w:tcPr>
            <w:tcW w:w="1645" w:type="dxa"/>
            <w:noWrap w:val="0"/>
            <w:vAlign w:val="center"/>
          </w:tcPr>
          <w:p w14:paraId="0F822B38">
            <w:pPr>
              <w:rPr>
                <w:rFonts w:hint="eastAsia" w:ascii="宋体" w:hAnsi="Times New Roman" w:eastAsia="楷体_GB2312" w:cs="Times New Roman"/>
                <w:kern w:val="2"/>
                <w:sz w:val="24"/>
                <w:szCs w:val="24"/>
                <w:highlight w:val="none"/>
              </w:rPr>
            </w:pPr>
          </w:p>
        </w:tc>
        <w:tc>
          <w:tcPr>
            <w:tcW w:w="1260" w:type="dxa"/>
            <w:noWrap w:val="0"/>
            <w:vAlign w:val="center"/>
          </w:tcPr>
          <w:p w14:paraId="56D97450">
            <w:pPr>
              <w:spacing w:before="62" w:beforeLines="20" w:after="62" w:afterLines="20"/>
              <w:rPr>
                <w:rFonts w:hint="eastAsia" w:ascii="宋体" w:hAnsi="Times New Roman" w:eastAsia="楷体_GB2312" w:cs="Times New Roman"/>
                <w:kern w:val="2"/>
                <w:sz w:val="24"/>
                <w:szCs w:val="24"/>
                <w:highlight w:val="none"/>
              </w:rPr>
            </w:pPr>
          </w:p>
        </w:tc>
        <w:tc>
          <w:tcPr>
            <w:tcW w:w="2160" w:type="dxa"/>
            <w:noWrap w:val="0"/>
            <w:vAlign w:val="center"/>
          </w:tcPr>
          <w:p w14:paraId="59470BB9">
            <w:pPr>
              <w:widowControl/>
              <w:spacing w:before="62" w:beforeLines="20" w:after="62" w:afterLines="20"/>
              <w:jc w:val="center"/>
              <w:rPr>
                <w:rFonts w:ascii="宋体" w:hAnsi="Times New Roman" w:eastAsia="楷体_GB2312" w:cs="Times New Roman"/>
                <w:kern w:val="2"/>
                <w:sz w:val="24"/>
                <w:szCs w:val="24"/>
                <w:highlight w:val="none"/>
              </w:rPr>
            </w:pPr>
          </w:p>
        </w:tc>
      </w:tr>
    </w:tbl>
    <w:p w14:paraId="1E69A74B">
      <w:pPr>
        <w:keepNext/>
        <w:keepLines/>
        <w:widowControl w:val="0"/>
        <w:spacing w:before="280" w:after="290" w:line="374" w:lineRule="auto"/>
        <w:jc w:val="both"/>
        <w:outlineLvl w:val="9"/>
        <w:rPr>
          <w:rFonts w:ascii="Arial" w:hAnsi="Arial" w:eastAsia="黑体" w:cs="Times New Roman"/>
          <w:b/>
          <w:bCs/>
          <w:kern w:val="2"/>
          <w:sz w:val="28"/>
          <w:szCs w:val="28"/>
          <w:highlight w:val="none"/>
          <w:lang w:val="en-US" w:eastAsia="zh-CN" w:bidi="ar-SA"/>
        </w:rPr>
      </w:pPr>
      <w:r>
        <w:rPr>
          <w:rFonts w:hint="eastAsia" w:ascii="Arial" w:hAnsi="Arial" w:eastAsia="黑体" w:cs="Times New Roman"/>
          <w:b/>
          <w:bCs/>
          <w:kern w:val="2"/>
          <w:sz w:val="28"/>
          <w:szCs w:val="28"/>
          <w:highlight w:val="none"/>
          <w:lang w:val="en-US" w:eastAsia="zh-CN" w:bidi="ar-SA"/>
        </w:rPr>
        <w:t>注：与投标文件保持一致。</w:t>
      </w:r>
    </w:p>
    <w:p w14:paraId="66471EC8">
      <w:pPr>
        <w:spacing w:line="524" w:lineRule="exact"/>
        <w:rPr>
          <w:rFonts w:hint="eastAsia" w:ascii="仿宋_GB2312" w:hAnsi="Times New Roman" w:eastAsia="仿宋_GB2312" w:cs="Times New Roman"/>
          <w:kern w:val="0"/>
          <w:sz w:val="28"/>
          <w:highlight w:val="none"/>
        </w:rPr>
      </w:pPr>
    </w:p>
    <w:p w14:paraId="2AA8C853">
      <w:pPr>
        <w:adjustRightInd w:val="0"/>
        <w:snapToGrid w:val="0"/>
        <w:spacing w:line="360" w:lineRule="auto"/>
        <w:jc w:val="center"/>
        <w:rPr>
          <w:rFonts w:ascii="宋体" w:hAnsi="Times New Roman" w:eastAsia="楷体_GB2312" w:cs="Times New Roman"/>
          <w:kern w:val="0"/>
          <w:sz w:val="34"/>
          <w:highlight w:val="none"/>
        </w:rPr>
      </w:pPr>
    </w:p>
    <w:p w14:paraId="0AA93629">
      <w:pPr>
        <w:rPr>
          <w:rFonts w:hint="eastAsia" w:ascii="宋体" w:hAnsi="Times New Roman" w:eastAsia="楷体_GB2312" w:cs="Times New Roman"/>
          <w:kern w:val="0"/>
          <w:sz w:val="32"/>
          <w:szCs w:val="32"/>
          <w:highlight w:val="none"/>
        </w:rPr>
      </w:pPr>
      <w:r>
        <w:rPr>
          <w:rFonts w:hint="eastAsia" w:ascii="宋体" w:hAnsi="Times New Roman" w:eastAsia="楷体_GB2312" w:cs="Times New Roman"/>
          <w:kern w:val="0"/>
          <w:sz w:val="32"/>
          <w:szCs w:val="32"/>
          <w:highlight w:val="none"/>
        </w:rPr>
        <w:br w:type="page"/>
      </w:r>
      <w:r>
        <w:rPr>
          <w:rFonts w:ascii="宋体" w:hAnsi="Times New Roman" w:eastAsia="楷体_GB2312" w:cs="Times New Roman"/>
          <w:kern w:val="0"/>
          <w:sz w:val="32"/>
          <w:szCs w:val="32"/>
          <w:highlight w:val="none"/>
        </w:rPr>
        <w:t>附件</w:t>
      </w:r>
      <w:r>
        <w:rPr>
          <w:rFonts w:hint="eastAsia" w:ascii="宋体" w:hAnsi="Times New Roman" w:eastAsia="楷体_GB2312" w:cs="Times New Roman"/>
          <w:kern w:val="0"/>
          <w:sz w:val="32"/>
          <w:szCs w:val="32"/>
          <w:highlight w:val="none"/>
        </w:rPr>
        <w:t>3：</w:t>
      </w:r>
    </w:p>
    <w:p w14:paraId="554721AE">
      <w:pPr>
        <w:jc w:val="center"/>
        <w:rPr>
          <w:rFonts w:hint="eastAsia" w:ascii="宋体" w:hAnsi="宋体" w:eastAsia="楷体_GB2312" w:cs="Times New Roman"/>
          <w:b/>
          <w:snapToGrid w:val="0"/>
          <w:kern w:val="0"/>
          <w:sz w:val="32"/>
          <w:szCs w:val="32"/>
          <w:highlight w:val="none"/>
        </w:rPr>
      </w:pPr>
      <w:r>
        <w:rPr>
          <w:rFonts w:hint="eastAsia" w:ascii="宋体" w:hAnsi="宋体" w:eastAsia="楷体_GB2312" w:cs="Times New Roman"/>
          <w:b/>
          <w:snapToGrid w:val="0"/>
          <w:kern w:val="0"/>
          <w:sz w:val="32"/>
          <w:szCs w:val="32"/>
          <w:highlight w:val="none"/>
        </w:rPr>
        <w:t>监理检测仪器设备清单（和投标文件一致）</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17"/>
        <w:gridCol w:w="1228"/>
        <w:gridCol w:w="708"/>
        <w:gridCol w:w="681"/>
        <w:gridCol w:w="1025"/>
        <w:gridCol w:w="1466"/>
        <w:gridCol w:w="1200"/>
      </w:tblGrid>
      <w:tr w14:paraId="09CF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C214B88">
            <w:pPr>
              <w:spacing w:line="440" w:lineRule="exact"/>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序号</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1AAFEF3">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仪器设备</w:t>
            </w:r>
          </w:p>
          <w:p w14:paraId="0F0BC1F9">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名称</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12C1E1A4">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型号</w:t>
            </w:r>
          </w:p>
          <w:p w14:paraId="5B619A70">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规格</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C910426">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数量</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16D2A167">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国别</w:t>
            </w:r>
          </w:p>
          <w:p w14:paraId="7AE5FD83">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产地</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4128FE4">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制造</w:t>
            </w:r>
          </w:p>
          <w:p w14:paraId="340906C4">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年份</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2AD96F6D">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用途</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500E7F8">
            <w:pPr>
              <w:spacing w:line="440" w:lineRule="exact"/>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备注</w:t>
            </w:r>
          </w:p>
        </w:tc>
      </w:tr>
      <w:tr w14:paraId="2318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1B99D62">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E201565">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C81B106">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73F246F">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2BA4879B">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C677DE2">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72C55B0">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04B8B99">
            <w:pPr>
              <w:spacing w:before="100" w:beforeAutospacing="1"/>
              <w:ind w:left="42" w:leftChars="20"/>
              <w:jc w:val="center"/>
              <w:rPr>
                <w:rFonts w:ascii="宋体" w:hAnsi="宋体" w:eastAsia="楷体_GB2312" w:cs="Times New Roman"/>
                <w:kern w:val="0"/>
                <w:sz w:val="21"/>
                <w:szCs w:val="21"/>
                <w:highlight w:val="none"/>
              </w:rPr>
            </w:pPr>
          </w:p>
        </w:tc>
      </w:tr>
      <w:tr w14:paraId="6284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A4FC086">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BCAC668">
            <w:pPr>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7AC44B8">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A6046C3">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580CB2B2">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B2DE7FC">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3042946A">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CA3351C">
            <w:pPr>
              <w:spacing w:before="100" w:beforeAutospacing="1"/>
              <w:ind w:left="42" w:leftChars="20"/>
              <w:jc w:val="center"/>
              <w:rPr>
                <w:rFonts w:ascii="宋体" w:hAnsi="宋体" w:eastAsia="楷体_GB2312" w:cs="Times New Roman"/>
                <w:kern w:val="0"/>
                <w:sz w:val="21"/>
                <w:szCs w:val="21"/>
                <w:highlight w:val="none"/>
              </w:rPr>
            </w:pPr>
          </w:p>
        </w:tc>
      </w:tr>
      <w:tr w14:paraId="5EA2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0963B324">
            <w:pPr>
              <w:spacing w:before="100" w:beforeAutospacing="1"/>
              <w:ind w:left="42" w:leftChars="20"/>
              <w:jc w:val="center"/>
              <w:rPr>
                <w:rFonts w:hint="eastAsia"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E86F4FA">
            <w:pPr>
              <w:jc w:val="center"/>
              <w:rPr>
                <w:rFonts w:hint="eastAsia"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E2A9F84">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36B186C">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3A0BAC29">
            <w:pPr>
              <w:spacing w:before="100" w:beforeAutospacing="1"/>
              <w:jc w:val="center"/>
              <w:rPr>
                <w:rFonts w:hint="eastAsia"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41B158C">
            <w:pPr>
              <w:spacing w:before="100" w:beforeAutospacing="1"/>
              <w:ind w:left="42" w:leftChars="20"/>
              <w:jc w:val="center"/>
              <w:rPr>
                <w:rFonts w:hint="eastAsia"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B65FB79">
            <w:pPr>
              <w:spacing w:before="100" w:beforeAutospacing="1"/>
              <w:ind w:left="42" w:leftChars="20"/>
              <w:jc w:val="center"/>
              <w:rPr>
                <w:rFonts w:hint="eastAsia"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D49159A">
            <w:pPr>
              <w:spacing w:before="100" w:beforeAutospacing="1"/>
              <w:ind w:left="42" w:leftChars="20"/>
              <w:jc w:val="center"/>
              <w:rPr>
                <w:rFonts w:hint="eastAsia" w:ascii="宋体" w:hAnsi="宋体" w:eastAsia="楷体_GB2312" w:cs="Times New Roman"/>
                <w:kern w:val="0"/>
                <w:sz w:val="21"/>
                <w:szCs w:val="21"/>
                <w:highlight w:val="none"/>
              </w:rPr>
            </w:pPr>
          </w:p>
        </w:tc>
      </w:tr>
      <w:tr w14:paraId="458A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2AFF43E7">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4</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E7A1180">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633A1FA">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F436002">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319AE5EF">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DF0B76C">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64174B1">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FBE9352">
            <w:pPr>
              <w:spacing w:before="100" w:beforeAutospacing="1"/>
              <w:ind w:left="42" w:leftChars="20"/>
              <w:jc w:val="center"/>
              <w:rPr>
                <w:rFonts w:ascii="宋体" w:hAnsi="宋体" w:eastAsia="楷体_GB2312" w:cs="Times New Roman"/>
                <w:kern w:val="0"/>
                <w:sz w:val="21"/>
                <w:szCs w:val="21"/>
                <w:highlight w:val="none"/>
              </w:rPr>
            </w:pPr>
          </w:p>
        </w:tc>
      </w:tr>
      <w:tr w14:paraId="757A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A7B31F0">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5</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807EBDA">
            <w:pPr>
              <w:spacing w:before="100" w:beforeAutospacing="1"/>
              <w:jc w:val="center"/>
              <w:rPr>
                <w:rFonts w:hint="eastAsia"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4C39E14">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77B9F27">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04091D51">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57E97A8">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FB7AE47">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F7F65E4">
            <w:pPr>
              <w:spacing w:before="100" w:beforeAutospacing="1"/>
              <w:ind w:left="42" w:leftChars="20"/>
              <w:jc w:val="center"/>
              <w:rPr>
                <w:rFonts w:ascii="宋体" w:hAnsi="宋体" w:eastAsia="楷体_GB2312" w:cs="Times New Roman"/>
                <w:kern w:val="0"/>
                <w:sz w:val="21"/>
                <w:szCs w:val="21"/>
                <w:highlight w:val="none"/>
              </w:rPr>
            </w:pPr>
          </w:p>
        </w:tc>
      </w:tr>
      <w:tr w14:paraId="354B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7695B00">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6</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AEB3745">
            <w:pPr>
              <w:spacing w:before="100" w:beforeAutospacing="1"/>
              <w:jc w:val="center"/>
              <w:rPr>
                <w:rFonts w:hint="eastAsia" w:ascii="宋体" w:hAnsi="宋体" w:eastAsia="楷体_GB2312" w:cs="宋体"/>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63E035C">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2483CE6">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3FDB806E">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504E7EF">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49976941">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0EEC8E0">
            <w:pPr>
              <w:spacing w:before="100" w:beforeAutospacing="1"/>
              <w:ind w:left="42" w:leftChars="20"/>
              <w:jc w:val="center"/>
              <w:rPr>
                <w:rFonts w:ascii="宋体" w:hAnsi="宋体" w:eastAsia="楷体_GB2312" w:cs="Times New Roman"/>
                <w:kern w:val="0"/>
                <w:sz w:val="21"/>
                <w:szCs w:val="21"/>
                <w:highlight w:val="none"/>
              </w:rPr>
            </w:pPr>
          </w:p>
        </w:tc>
      </w:tr>
      <w:tr w14:paraId="63E1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1D6542B">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7</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E095873">
            <w:pPr>
              <w:spacing w:before="100" w:beforeAutospacing="1"/>
              <w:jc w:val="center"/>
              <w:rPr>
                <w:rFonts w:hint="eastAsia" w:ascii="宋体" w:hAnsi="宋体" w:eastAsia="楷体_GB2312" w:cs="宋体"/>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60AE654">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8E26548">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2BB28889">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D760DF3">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42899A62">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7DD3680">
            <w:pPr>
              <w:spacing w:before="100" w:beforeAutospacing="1"/>
              <w:ind w:left="42" w:leftChars="20"/>
              <w:jc w:val="center"/>
              <w:rPr>
                <w:rFonts w:ascii="宋体" w:hAnsi="宋体" w:eastAsia="楷体_GB2312" w:cs="Times New Roman"/>
                <w:kern w:val="0"/>
                <w:sz w:val="21"/>
                <w:szCs w:val="21"/>
                <w:highlight w:val="none"/>
              </w:rPr>
            </w:pPr>
          </w:p>
        </w:tc>
      </w:tr>
      <w:tr w14:paraId="435C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CE9AC17">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8</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754FC50">
            <w:pPr>
              <w:jc w:val="center"/>
              <w:rPr>
                <w:rFonts w:hint="eastAsia" w:ascii="宋体" w:hAnsi="Times New Roman"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C6706A2">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DB302F6">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E81FE16">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A37CCC9">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FC77841">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6C5B997">
            <w:pPr>
              <w:spacing w:before="100" w:beforeAutospacing="1"/>
              <w:ind w:left="42" w:leftChars="20"/>
              <w:jc w:val="center"/>
              <w:rPr>
                <w:rFonts w:ascii="宋体" w:hAnsi="宋体" w:eastAsia="楷体_GB2312" w:cs="Times New Roman"/>
                <w:kern w:val="0"/>
                <w:sz w:val="21"/>
                <w:szCs w:val="21"/>
                <w:highlight w:val="none"/>
              </w:rPr>
            </w:pPr>
          </w:p>
        </w:tc>
      </w:tr>
      <w:tr w14:paraId="0614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47FD0A91">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9</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76FDB80">
            <w:pPr>
              <w:spacing w:before="100" w:beforeAutospacing="1"/>
              <w:jc w:val="center"/>
              <w:rPr>
                <w:rFonts w:hint="eastAsia" w:ascii="宋体" w:hAnsi="宋体" w:eastAsia="楷体_GB2312" w:cs="宋体"/>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0B8024D">
            <w:pPr>
              <w:spacing w:before="100" w:beforeAutospacing="1"/>
              <w:jc w:val="center"/>
              <w:rPr>
                <w:rFonts w:hint="eastAsia"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6D78D1B">
            <w:pPr>
              <w:spacing w:before="100" w:beforeAutospacing="1"/>
              <w:ind w:left="42" w:leftChars="20"/>
              <w:jc w:val="center"/>
              <w:rPr>
                <w:rFonts w:hint="eastAsia"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2B4D653">
            <w:pPr>
              <w:spacing w:before="100" w:beforeAutospacing="1"/>
              <w:ind w:left="42" w:leftChars="20"/>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BD7E476">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BBD0DDA">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7F131C2">
            <w:pPr>
              <w:spacing w:before="100" w:beforeAutospacing="1"/>
              <w:ind w:left="42" w:leftChars="20"/>
              <w:jc w:val="center"/>
              <w:rPr>
                <w:rFonts w:ascii="宋体" w:hAnsi="宋体" w:eastAsia="楷体_GB2312" w:cs="Times New Roman"/>
                <w:kern w:val="0"/>
                <w:sz w:val="21"/>
                <w:szCs w:val="21"/>
                <w:highlight w:val="none"/>
              </w:rPr>
            </w:pPr>
          </w:p>
        </w:tc>
      </w:tr>
      <w:tr w14:paraId="311D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CC652A4">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10</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B50F294">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1C6417DF">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9BBE0CA">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B816B62">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1CB9CDB">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04E53DAE">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15E5F20">
            <w:pPr>
              <w:spacing w:before="100" w:beforeAutospacing="1"/>
              <w:ind w:left="42" w:leftChars="20"/>
              <w:jc w:val="center"/>
              <w:rPr>
                <w:rFonts w:ascii="宋体" w:hAnsi="宋体" w:eastAsia="楷体_GB2312" w:cs="Times New Roman"/>
                <w:kern w:val="0"/>
                <w:sz w:val="21"/>
                <w:szCs w:val="21"/>
                <w:highlight w:val="none"/>
              </w:rPr>
            </w:pPr>
          </w:p>
        </w:tc>
      </w:tr>
      <w:tr w14:paraId="747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30BE38E">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11</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39C6254">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9FC4780">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963EA53">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090C1629">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1E6BA1A">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06910207">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3845294">
            <w:pPr>
              <w:spacing w:before="100" w:beforeAutospacing="1"/>
              <w:ind w:left="42" w:leftChars="20"/>
              <w:jc w:val="center"/>
              <w:rPr>
                <w:rFonts w:ascii="宋体" w:hAnsi="宋体" w:eastAsia="楷体_GB2312" w:cs="Times New Roman"/>
                <w:kern w:val="0"/>
                <w:sz w:val="21"/>
                <w:szCs w:val="21"/>
                <w:highlight w:val="none"/>
              </w:rPr>
            </w:pPr>
          </w:p>
        </w:tc>
      </w:tr>
      <w:tr w14:paraId="03A6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4C2487D4">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12</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9374CE7">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F2462BA">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C6589E0">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590EED82">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85C9BF6">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264A4A3">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A1B2103">
            <w:pPr>
              <w:spacing w:before="100" w:beforeAutospacing="1"/>
              <w:ind w:left="42" w:leftChars="20"/>
              <w:jc w:val="center"/>
              <w:rPr>
                <w:rFonts w:ascii="宋体" w:hAnsi="宋体" w:eastAsia="楷体_GB2312" w:cs="Times New Roman"/>
                <w:kern w:val="0"/>
                <w:sz w:val="21"/>
                <w:szCs w:val="21"/>
                <w:highlight w:val="none"/>
              </w:rPr>
            </w:pPr>
          </w:p>
        </w:tc>
      </w:tr>
      <w:tr w14:paraId="4F9B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F152E5A">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13</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1A6CFFB">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66BD0D27">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03E4409">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73945F45">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EC0064A">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C593D35">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B98284A">
            <w:pPr>
              <w:spacing w:before="100" w:beforeAutospacing="1"/>
              <w:ind w:left="42" w:leftChars="20"/>
              <w:jc w:val="center"/>
              <w:rPr>
                <w:rFonts w:ascii="宋体" w:hAnsi="宋体" w:eastAsia="楷体_GB2312" w:cs="Times New Roman"/>
                <w:kern w:val="0"/>
                <w:sz w:val="21"/>
                <w:szCs w:val="21"/>
                <w:highlight w:val="none"/>
              </w:rPr>
            </w:pPr>
          </w:p>
        </w:tc>
      </w:tr>
      <w:tr w14:paraId="7980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8E2EEAA">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14</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6408309">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BF0F1BC">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927CE70">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FA4CFE8">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1476A48">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3B2B4197">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7771637">
            <w:pPr>
              <w:spacing w:before="100" w:beforeAutospacing="1"/>
              <w:ind w:left="42" w:leftChars="20"/>
              <w:jc w:val="center"/>
              <w:rPr>
                <w:rFonts w:ascii="宋体" w:hAnsi="宋体" w:eastAsia="楷体_GB2312" w:cs="Times New Roman"/>
                <w:kern w:val="0"/>
                <w:sz w:val="21"/>
                <w:szCs w:val="21"/>
                <w:highlight w:val="none"/>
              </w:rPr>
            </w:pPr>
          </w:p>
        </w:tc>
      </w:tr>
      <w:tr w14:paraId="60BF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F2D8A73">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15</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AAB3F65">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D74931E">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684F440">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3A274ADF">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16A91EE">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3BEC1FC">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4238D60">
            <w:pPr>
              <w:spacing w:before="100" w:beforeAutospacing="1"/>
              <w:ind w:left="42" w:leftChars="20"/>
              <w:jc w:val="center"/>
              <w:rPr>
                <w:rFonts w:ascii="宋体" w:hAnsi="宋体" w:eastAsia="楷体_GB2312" w:cs="Times New Roman"/>
                <w:kern w:val="0"/>
                <w:sz w:val="21"/>
                <w:szCs w:val="21"/>
                <w:highlight w:val="none"/>
              </w:rPr>
            </w:pPr>
          </w:p>
        </w:tc>
      </w:tr>
      <w:tr w14:paraId="70F4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06692653">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16</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9ADF85E">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86D3767">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504F5A6">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799EB115">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08010E9">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3A151375">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2E287AD">
            <w:pPr>
              <w:spacing w:before="100" w:beforeAutospacing="1"/>
              <w:ind w:left="42" w:leftChars="20"/>
              <w:jc w:val="center"/>
              <w:rPr>
                <w:rFonts w:ascii="宋体" w:hAnsi="宋体" w:eastAsia="楷体_GB2312" w:cs="Times New Roman"/>
                <w:kern w:val="0"/>
                <w:sz w:val="21"/>
                <w:szCs w:val="21"/>
                <w:highlight w:val="none"/>
              </w:rPr>
            </w:pPr>
          </w:p>
        </w:tc>
      </w:tr>
      <w:tr w14:paraId="2CFC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30BAD871">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17</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3A54722">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4041905">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6E40832">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50DCBB7B">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3C50EA6">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740914D">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38AC63D">
            <w:pPr>
              <w:spacing w:before="100" w:beforeAutospacing="1"/>
              <w:ind w:left="42" w:leftChars="20"/>
              <w:jc w:val="center"/>
              <w:rPr>
                <w:rFonts w:ascii="宋体" w:hAnsi="宋体" w:eastAsia="楷体_GB2312" w:cs="Times New Roman"/>
                <w:kern w:val="0"/>
                <w:sz w:val="21"/>
                <w:szCs w:val="21"/>
                <w:highlight w:val="none"/>
              </w:rPr>
            </w:pPr>
          </w:p>
        </w:tc>
      </w:tr>
      <w:tr w14:paraId="5055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362C24B4">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18</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F98F620">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0AD1A40">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AF566C9">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4C78C0D">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8610AF0">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0D0E17E6">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E50639C">
            <w:pPr>
              <w:spacing w:before="100" w:beforeAutospacing="1"/>
              <w:ind w:left="42" w:leftChars="20"/>
              <w:jc w:val="center"/>
              <w:rPr>
                <w:rFonts w:ascii="宋体" w:hAnsi="宋体" w:eastAsia="楷体_GB2312" w:cs="Times New Roman"/>
                <w:kern w:val="0"/>
                <w:sz w:val="21"/>
                <w:szCs w:val="21"/>
                <w:highlight w:val="none"/>
              </w:rPr>
            </w:pPr>
          </w:p>
        </w:tc>
      </w:tr>
      <w:tr w14:paraId="3368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D98764D">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19</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F66E1EF">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066EA02">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5E16205">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2A74B535">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5FA3CA1">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2E929BC4">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E531212">
            <w:pPr>
              <w:spacing w:before="100" w:beforeAutospacing="1"/>
              <w:ind w:left="42" w:leftChars="20"/>
              <w:jc w:val="center"/>
              <w:rPr>
                <w:rFonts w:ascii="宋体" w:hAnsi="宋体" w:eastAsia="楷体_GB2312" w:cs="Times New Roman"/>
                <w:kern w:val="0"/>
                <w:sz w:val="21"/>
                <w:szCs w:val="21"/>
                <w:highlight w:val="none"/>
              </w:rPr>
            </w:pPr>
          </w:p>
        </w:tc>
      </w:tr>
      <w:tr w14:paraId="7B79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01E8F618">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20</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C223EA1">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8CE9170">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643B000">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7872C5A7">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2CB8F1E1">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25C72CFC">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AD6AD91">
            <w:pPr>
              <w:spacing w:before="100" w:beforeAutospacing="1"/>
              <w:ind w:left="42" w:leftChars="20"/>
              <w:jc w:val="center"/>
              <w:rPr>
                <w:rFonts w:ascii="宋体" w:hAnsi="宋体" w:eastAsia="楷体_GB2312" w:cs="Times New Roman"/>
                <w:kern w:val="0"/>
                <w:sz w:val="21"/>
                <w:szCs w:val="21"/>
                <w:highlight w:val="none"/>
              </w:rPr>
            </w:pPr>
          </w:p>
        </w:tc>
      </w:tr>
      <w:tr w14:paraId="65D1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2C805635">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21</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765FF9B">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C1C0324">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09584BF">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0D9C3EDF">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F2E90F2">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4803B01D">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EC7D4B8">
            <w:pPr>
              <w:spacing w:before="100" w:beforeAutospacing="1"/>
              <w:ind w:left="42" w:leftChars="20"/>
              <w:jc w:val="center"/>
              <w:rPr>
                <w:rFonts w:ascii="宋体" w:hAnsi="宋体" w:eastAsia="楷体_GB2312" w:cs="Times New Roman"/>
                <w:kern w:val="0"/>
                <w:sz w:val="21"/>
                <w:szCs w:val="21"/>
                <w:highlight w:val="none"/>
              </w:rPr>
            </w:pPr>
          </w:p>
        </w:tc>
      </w:tr>
      <w:tr w14:paraId="05DD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343F2EC">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22</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D279F8A">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4879CE93">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487CFA8">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C8B5608">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85514C1">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C03431C">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A4D9B17">
            <w:pPr>
              <w:spacing w:before="100" w:beforeAutospacing="1"/>
              <w:ind w:left="42" w:leftChars="20"/>
              <w:jc w:val="center"/>
              <w:rPr>
                <w:rFonts w:ascii="宋体" w:hAnsi="宋体" w:eastAsia="楷体_GB2312" w:cs="Times New Roman"/>
                <w:kern w:val="0"/>
                <w:sz w:val="21"/>
                <w:szCs w:val="21"/>
                <w:highlight w:val="none"/>
              </w:rPr>
            </w:pPr>
          </w:p>
        </w:tc>
      </w:tr>
      <w:tr w14:paraId="3420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38DCA74">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23</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925E01E">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86E6671">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050A6D9">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49121B1">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0FCE7CF">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47DB3792">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6698551">
            <w:pPr>
              <w:spacing w:before="100" w:beforeAutospacing="1"/>
              <w:ind w:left="42" w:leftChars="20"/>
              <w:jc w:val="center"/>
              <w:rPr>
                <w:rFonts w:ascii="宋体" w:hAnsi="宋体" w:eastAsia="楷体_GB2312" w:cs="Times New Roman"/>
                <w:kern w:val="0"/>
                <w:sz w:val="21"/>
                <w:szCs w:val="21"/>
                <w:highlight w:val="none"/>
              </w:rPr>
            </w:pPr>
          </w:p>
        </w:tc>
      </w:tr>
      <w:tr w14:paraId="5BF2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2589EB53">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24</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ECB6234">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0053A21">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3108EF1">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4333BFF">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D0F57E3">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D40177D">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8187BD0">
            <w:pPr>
              <w:spacing w:before="100" w:beforeAutospacing="1"/>
              <w:ind w:left="42" w:leftChars="20"/>
              <w:jc w:val="center"/>
              <w:rPr>
                <w:rFonts w:ascii="宋体" w:hAnsi="宋体" w:eastAsia="楷体_GB2312" w:cs="Times New Roman"/>
                <w:kern w:val="0"/>
                <w:sz w:val="21"/>
                <w:szCs w:val="21"/>
                <w:highlight w:val="none"/>
              </w:rPr>
            </w:pPr>
          </w:p>
        </w:tc>
      </w:tr>
      <w:tr w14:paraId="167F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C9EDD2B">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25</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63DB84A">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492FF6C0">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1AFC71C">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0884191">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3AA9109">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2AADCDDB">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441A4EF">
            <w:pPr>
              <w:spacing w:before="100" w:beforeAutospacing="1"/>
              <w:ind w:left="42" w:leftChars="20"/>
              <w:jc w:val="center"/>
              <w:rPr>
                <w:rFonts w:ascii="宋体" w:hAnsi="宋体" w:eastAsia="楷体_GB2312" w:cs="Times New Roman"/>
                <w:kern w:val="0"/>
                <w:sz w:val="21"/>
                <w:szCs w:val="21"/>
                <w:highlight w:val="none"/>
              </w:rPr>
            </w:pPr>
          </w:p>
        </w:tc>
      </w:tr>
      <w:tr w14:paraId="38D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A8EF43B">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26</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B4970B0">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6BF330F6">
            <w:pPr>
              <w:spacing w:before="100" w:beforeAutospacing="1"/>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E08548E">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A1E049B">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8BBDEFC">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317EA11">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607A024">
            <w:pPr>
              <w:spacing w:before="100" w:beforeAutospacing="1"/>
              <w:ind w:left="42" w:leftChars="20"/>
              <w:jc w:val="center"/>
              <w:rPr>
                <w:rFonts w:ascii="宋体" w:hAnsi="宋体" w:eastAsia="楷体_GB2312" w:cs="Times New Roman"/>
                <w:kern w:val="0"/>
                <w:sz w:val="21"/>
                <w:szCs w:val="21"/>
                <w:highlight w:val="none"/>
              </w:rPr>
            </w:pPr>
          </w:p>
        </w:tc>
      </w:tr>
      <w:tr w14:paraId="29E0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013B564">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27</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9C96E1F">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D33DFE6">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8788342">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7C457CDD">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D82BAA1">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717E879">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0719751">
            <w:pPr>
              <w:spacing w:before="100" w:beforeAutospacing="1"/>
              <w:ind w:left="42" w:leftChars="20"/>
              <w:jc w:val="center"/>
              <w:rPr>
                <w:rFonts w:ascii="宋体" w:hAnsi="宋体" w:eastAsia="楷体_GB2312" w:cs="Times New Roman"/>
                <w:kern w:val="0"/>
                <w:sz w:val="21"/>
                <w:szCs w:val="21"/>
                <w:highlight w:val="none"/>
              </w:rPr>
            </w:pPr>
          </w:p>
        </w:tc>
      </w:tr>
      <w:tr w14:paraId="359A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1518068">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28</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59190CF">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68376A1C">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8DCDC24">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3F898F22">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742D0D48">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DB7A711">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A6B3DE5">
            <w:pPr>
              <w:spacing w:before="100" w:beforeAutospacing="1"/>
              <w:ind w:left="42" w:leftChars="20"/>
              <w:jc w:val="center"/>
              <w:rPr>
                <w:rFonts w:ascii="宋体" w:hAnsi="宋体" w:eastAsia="楷体_GB2312" w:cs="Times New Roman"/>
                <w:kern w:val="0"/>
                <w:sz w:val="21"/>
                <w:szCs w:val="21"/>
                <w:highlight w:val="none"/>
              </w:rPr>
            </w:pPr>
          </w:p>
        </w:tc>
      </w:tr>
      <w:tr w14:paraId="59A9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52A13C5">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29</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3693E39">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47312AD">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9B4FCFC">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7FFACD76">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2E2A184">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C3AC0C9">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629FB4A">
            <w:pPr>
              <w:spacing w:before="100" w:beforeAutospacing="1"/>
              <w:ind w:left="42" w:leftChars="20"/>
              <w:jc w:val="center"/>
              <w:rPr>
                <w:rFonts w:ascii="宋体" w:hAnsi="宋体" w:eastAsia="楷体_GB2312" w:cs="Times New Roman"/>
                <w:kern w:val="0"/>
                <w:sz w:val="21"/>
                <w:szCs w:val="21"/>
                <w:highlight w:val="none"/>
              </w:rPr>
            </w:pPr>
          </w:p>
        </w:tc>
      </w:tr>
      <w:tr w14:paraId="5A1E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9B2E89B">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30</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F0AA884">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150B1F7">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8C7912D">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695C5841">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BF1793B">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19C5E45">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3614176">
            <w:pPr>
              <w:spacing w:before="100" w:beforeAutospacing="1"/>
              <w:ind w:left="42" w:leftChars="20"/>
              <w:jc w:val="center"/>
              <w:rPr>
                <w:rFonts w:ascii="宋体" w:hAnsi="宋体" w:eastAsia="楷体_GB2312" w:cs="Times New Roman"/>
                <w:kern w:val="0"/>
                <w:sz w:val="21"/>
                <w:szCs w:val="21"/>
                <w:highlight w:val="none"/>
              </w:rPr>
            </w:pPr>
          </w:p>
        </w:tc>
      </w:tr>
      <w:tr w14:paraId="61D1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4227C03">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31</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4AB568A">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DA237A3">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1D1A701">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F92E8B3">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8C64D22">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C4681D9">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53CC95E">
            <w:pPr>
              <w:spacing w:before="100" w:beforeAutospacing="1"/>
              <w:ind w:left="42" w:leftChars="20"/>
              <w:jc w:val="center"/>
              <w:rPr>
                <w:rFonts w:ascii="宋体" w:hAnsi="宋体" w:eastAsia="楷体_GB2312" w:cs="Times New Roman"/>
                <w:kern w:val="0"/>
                <w:sz w:val="21"/>
                <w:szCs w:val="21"/>
                <w:highlight w:val="none"/>
              </w:rPr>
            </w:pPr>
          </w:p>
        </w:tc>
      </w:tr>
      <w:tr w14:paraId="4010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002C3153">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32</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2CF8CA7">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4C6783B">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4D61761C">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5A644717">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168E6C9">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F3DA2EB">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ED926ED">
            <w:pPr>
              <w:spacing w:before="100" w:beforeAutospacing="1"/>
              <w:ind w:left="42" w:leftChars="20"/>
              <w:jc w:val="center"/>
              <w:rPr>
                <w:rFonts w:ascii="宋体" w:hAnsi="宋体" w:eastAsia="楷体_GB2312" w:cs="Times New Roman"/>
                <w:kern w:val="0"/>
                <w:sz w:val="21"/>
                <w:szCs w:val="21"/>
                <w:highlight w:val="none"/>
              </w:rPr>
            </w:pPr>
          </w:p>
        </w:tc>
      </w:tr>
      <w:tr w14:paraId="66EA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BA21AC8">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33</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4416E10">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60D8A786">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AB8D234">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140E0EF2">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7D49CD0">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14E46254">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953B41E">
            <w:pPr>
              <w:spacing w:before="100" w:beforeAutospacing="1"/>
              <w:ind w:left="42" w:leftChars="20"/>
              <w:jc w:val="center"/>
              <w:rPr>
                <w:rFonts w:ascii="宋体" w:hAnsi="宋体" w:eastAsia="楷体_GB2312" w:cs="Times New Roman"/>
                <w:kern w:val="0"/>
                <w:sz w:val="21"/>
                <w:szCs w:val="21"/>
                <w:highlight w:val="none"/>
              </w:rPr>
            </w:pPr>
          </w:p>
        </w:tc>
      </w:tr>
      <w:tr w14:paraId="4DDD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7756FF6B">
            <w:pPr>
              <w:spacing w:before="100" w:beforeAutospacing="1"/>
              <w:ind w:left="42" w:leftChars="20"/>
              <w:jc w:val="center"/>
              <w:rPr>
                <w:rFonts w:ascii="宋体" w:hAnsi="宋体" w:eastAsia="楷体_GB2312" w:cs="Times New Roman"/>
                <w:kern w:val="0"/>
                <w:sz w:val="21"/>
                <w:szCs w:val="21"/>
                <w:highlight w:val="none"/>
              </w:rPr>
            </w:pPr>
            <w:r>
              <w:rPr>
                <w:rFonts w:hint="eastAsia" w:ascii="宋体" w:hAnsi="宋体" w:eastAsia="楷体_GB2312" w:cs="Times New Roman"/>
                <w:kern w:val="0"/>
                <w:sz w:val="21"/>
                <w:szCs w:val="21"/>
                <w:highlight w:val="none"/>
              </w:rPr>
              <w:t>34</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982C156">
            <w:pPr>
              <w:spacing w:before="100" w:beforeAutospacing="1"/>
              <w:jc w:val="center"/>
              <w:rPr>
                <w:rFonts w:ascii="宋体" w:hAnsi="宋体" w:eastAsia="楷体_GB2312" w:cs="Times New Roman"/>
                <w:kern w:val="0"/>
                <w:sz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16597F46">
            <w:pPr>
              <w:spacing w:before="100" w:beforeAutospacing="1"/>
              <w:ind w:right="52"/>
              <w:jc w:val="center"/>
              <w:rPr>
                <w:rFonts w:ascii="宋体" w:hAnsi="宋体" w:eastAsia="楷体_GB2312" w:cs="Times New Roman"/>
                <w:kern w:val="0"/>
                <w:sz w:val="21"/>
                <w:szCs w:val="21"/>
                <w:highlight w:val="none"/>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14DB65A">
            <w:pPr>
              <w:spacing w:before="100" w:beforeAutospacing="1"/>
              <w:ind w:left="42" w:leftChars="20"/>
              <w:jc w:val="center"/>
              <w:rPr>
                <w:rFonts w:ascii="宋体" w:hAnsi="宋体" w:eastAsia="楷体_GB2312" w:cs="Times New Roman"/>
                <w:kern w:val="0"/>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noWrap w:val="0"/>
            <w:vAlign w:val="center"/>
          </w:tcPr>
          <w:p w14:paraId="41E8F231">
            <w:pPr>
              <w:spacing w:before="100" w:beforeAutospacing="1"/>
              <w:jc w:val="center"/>
              <w:rPr>
                <w:rFonts w:ascii="宋体" w:hAnsi="宋体" w:eastAsia="楷体_GB2312" w:cs="Times New Roman"/>
                <w:kern w:val="0"/>
                <w:sz w:val="21"/>
                <w:szCs w:val="21"/>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999BF55">
            <w:pPr>
              <w:spacing w:before="100" w:beforeAutospacing="1"/>
              <w:ind w:left="42" w:leftChars="20"/>
              <w:jc w:val="center"/>
              <w:rPr>
                <w:rFonts w:ascii="宋体" w:hAnsi="宋体" w:eastAsia="楷体_GB2312" w:cs="Times New Roman"/>
                <w:kern w:val="0"/>
                <w:sz w:val="21"/>
                <w:szCs w:val="21"/>
                <w:highlight w:val="none"/>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5173A269">
            <w:pPr>
              <w:spacing w:before="100" w:beforeAutospacing="1"/>
              <w:ind w:left="42" w:leftChars="20"/>
              <w:jc w:val="center"/>
              <w:rPr>
                <w:rFonts w:ascii="宋体" w:hAnsi="宋体" w:eastAsia="楷体_GB2312" w:cs="Times New Roman"/>
                <w:kern w:val="0"/>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F0315BC">
            <w:pPr>
              <w:spacing w:before="100" w:beforeAutospacing="1"/>
              <w:ind w:left="42" w:leftChars="20"/>
              <w:jc w:val="center"/>
              <w:rPr>
                <w:rFonts w:ascii="宋体" w:hAnsi="宋体" w:eastAsia="楷体_GB2312" w:cs="Times New Roman"/>
                <w:kern w:val="0"/>
                <w:sz w:val="21"/>
                <w:szCs w:val="21"/>
                <w:highlight w:val="none"/>
              </w:rPr>
            </w:pPr>
          </w:p>
        </w:tc>
      </w:tr>
    </w:tbl>
    <w:p w14:paraId="64562D3F">
      <w:pPr>
        <w:jc w:val="center"/>
        <w:rPr>
          <w:rFonts w:ascii="宋体" w:hAnsi="宋体" w:eastAsia="楷体_GB2312" w:cs="Times New Roman"/>
          <w:b/>
          <w:snapToGrid w:val="0"/>
          <w:kern w:val="0"/>
          <w:sz w:val="32"/>
          <w:szCs w:val="32"/>
          <w:highlight w:val="none"/>
        </w:rPr>
      </w:pPr>
    </w:p>
    <w:p w14:paraId="49707C58">
      <w:pPr>
        <w:rPr>
          <w:rFonts w:ascii="黑体" w:hAnsi="黑体" w:eastAsia="黑体" w:cs="仿宋"/>
          <w:kern w:val="0"/>
          <w:sz w:val="32"/>
          <w:szCs w:val="32"/>
          <w:highlight w:val="none"/>
        </w:rPr>
      </w:pPr>
      <w:r>
        <w:rPr>
          <w:rFonts w:ascii="宋体" w:hAnsi="Times New Roman" w:eastAsia="楷体_GB2312" w:cs="Times New Roman"/>
          <w:kern w:val="0"/>
          <w:sz w:val="32"/>
          <w:szCs w:val="32"/>
          <w:highlight w:val="none"/>
        </w:rPr>
        <w:br w:type="page"/>
      </w:r>
      <w:r>
        <w:rPr>
          <w:rFonts w:hint="eastAsia" w:ascii="宋体" w:hAnsi="Times New Roman" w:eastAsia="楷体_GB2312" w:cs="Times New Roman"/>
          <w:kern w:val="0"/>
          <w:sz w:val="32"/>
          <w:szCs w:val="32"/>
          <w:highlight w:val="none"/>
        </w:rPr>
        <w:t>附件4</w:t>
      </w:r>
      <w:r>
        <w:rPr>
          <w:rFonts w:hint="eastAsia" w:ascii="宋体" w:hAnsi="宋体" w:eastAsia="楷体_GB2312" w:cs="宋体"/>
          <w:kern w:val="0"/>
          <w:sz w:val="28"/>
          <w:szCs w:val="28"/>
          <w:highlight w:val="none"/>
        </w:rPr>
        <w:t>履约保函格式</w:t>
      </w:r>
    </w:p>
    <w:p w14:paraId="575F5EC4">
      <w:pPr>
        <w:spacing w:line="320" w:lineRule="exact"/>
        <w:ind w:firstLine="437"/>
        <w:jc w:val="center"/>
        <w:rPr>
          <w:rFonts w:ascii="宋体" w:hAnsi="Times New Roman" w:eastAsia="楷体_GB2312" w:cs="Times New Roman"/>
          <w:kern w:val="0"/>
          <w:sz w:val="32"/>
          <w:szCs w:val="32"/>
          <w:highlight w:val="none"/>
        </w:rPr>
      </w:pPr>
      <w:r>
        <w:rPr>
          <w:rFonts w:hint="eastAsia" w:ascii="宋体" w:hAnsi="宋体" w:eastAsia="楷体_GB2312" w:cs="宋体"/>
          <w:kern w:val="0"/>
          <w:sz w:val="32"/>
          <w:szCs w:val="32"/>
          <w:highlight w:val="none"/>
        </w:rPr>
        <w:t>（独立）履约保函</w:t>
      </w:r>
    </w:p>
    <w:p w14:paraId="5C49FF0C">
      <w:pPr>
        <w:adjustRightInd w:val="0"/>
        <w:snapToGrid w:val="0"/>
        <w:ind w:firstLine="560" w:firstLineChars="200"/>
        <w:jc w:val="right"/>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保函编号：</w:t>
      </w:r>
    </w:p>
    <w:p w14:paraId="5A6D0F08">
      <w:pPr>
        <w:adjustRightInd w:val="0"/>
        <w:snapToGrid w:val="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致：广东省代建项目管理局</w:t>
      </w:r>
    </w:p>
    <w:p w14:paraId="232D5DB3">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鉴于</w:t>
      </w:r>
      <w:r>
        <w:rPr>
          <w:rFonts w:hint="eastAsia" w:ascii="宋体" w:hAnsi="宋体" w:eastAsia="楷体_GB2312" w:cs="宋体"/>
          <w:kern w:val="0"/>
          <w:sz w:val="28"/>
          <w:szCs w:val="28"/>
          <w:highlight w:val="none"/>
          <w:u w:val="single"/>
        </w:rPr>
        <w:t>****</w:t>
      </w:r>
      <w:r>
        <w:rPr>
          <w:rFonts w:hint="eastAsia" w:ascii="宋体" w:hAnsi="宋体" w:eastAsia="楷体_GB2312" w:cs="宋体"/>
          <w:kern w:val="0"/>
          <w:sz w:val="28"/>
          <w:szCs w:val="28"/>
          <w:highlight w:val="none"/>
        </w:rPr>
        <w:t>（下称“委托人”）在贵单位的</w:t>
      </w:r>
      <w:r>
        <w:rPr>
          <w:rFonts w:hint="eastAsia" w:ascii="宋体" w:hAnsi="宋体" w:eastAsia="楷体_GB2312" w:cs="宋体"/>
          <w:kern w:val="0"/>
          <w:sz w:val="28"/>
          <w:szCs w:val="28"/>
          <w:highlight w:val="none"/>
          <w:u w:val="single"/>
        </w:rPr>
        <w:t>*****</w:t>
      </w:r>
      <w:r>
        <w:rPr>
          <w:rFonts w:hint="eastAsia" w:ascii="宋体" w:hAnsi="宋体" w:eastAsia="楷体_GB2312" w:cs="宋体"/>
          <w:kern w:val="0"/>
          <w:sz w:val="28"/>
          <w:szCs w:val="28"/>
          <w:highlight w:val="none"/>
        </w:rPr>
        <w:t>项目中标，我行同意为委托人出具履约保函，为委托人履行</w:t>
      </w:r>
      <w:r>
        <w:rPr>
          <w:rFonts w:hint="eastAsia" w:ascii="宋体" w:hAnsi="宋体" w:eastAsia="楷体_GB2312" w:cs="宋体"/>
          <w:kern w:val="0"/>
          <w:sz w:val="28"/>
          <w:szCs w:val="28"/>
          <w:highlight w:val="none"/>
          <w:u w:val="single"/>
        </w:rPr>
        <w:t>****</w:t>
      </w:r>
      <w:r>
        <w:rPr>
          <w:rFonts w:hint="eastAsia" w:ascii="宋体" w:hAnsi="宋体" w:eastAsia="楷体_GB2312" w:cs="宋体"/>
          <w:kern w:val="0"/>
          <w:sz w:val="28"/>
          <w:szCs w:val="28"/>
          <w:highlight w:val="none"/>
        </w:rPr>
        <w:t>合同（以下称“合同”）担保，以使你方得到履约保函的保障。</w:t>
      </w:r>
    </w:p>
    <w:p w14:paraId="08C0702F">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一、本保函为见索即付保函。我行保证在收到贵单位于保函担保期间内送达的依本保函约定的索赔文件后，在</w:t>
      </w:r>
      <w:r>
        <w:rPr>
          <w:rFonts w:ascii="宋体" w:hAnsi="宋体" w:eastAsia="楷体_GB2312" w:cs="宋体"/>
          <w:kern w:val="0"/>
          <w:sz w:val="28"/>
          <w:szCs w:val="28"/>
          <w:highlight w:val="none"/>
        </w:rPr>
        <w:t xml:space="preserve"> 7 </w:t>
      </w:r>
      <w:r>
        <w:rPr>
          <w:rFonts w:hint="eastAsia" w:ascii="宋体" w:hAnsi="宋体" w:eastAsia="楷体_GB2312" w:cs="宋体"/>
          <w:kern w:val="0"/>
          <w:sz w:val="28"/>
          <w:szCs w:val="28"/>
          <w:highlight w:val="none"/>
        </w:rPr>
        <w:t>个工作日内无条件和不可改变地向贵单位支付金额最高不超过人民币（币种）</w:t>
      </w:r>
      <w:r>
        <w:rPr>
          <w:rFonts w:hint="eastAsia" w:ascii="宋体" w:hAnsi="宋体" w:eastAsia="楷体_GB2312" w:cs="宋体"/>
          <w:kern w:val="0"/>
          <w:sz w:val="28"/>
          <w:szCs w:val="28"/>
          <w:highlight w:val="none"/>
          <w:u w:val="single"/>
        </w:rPr>
        <w:t>****</w:t>
      </w:r>
      <w:r>
        <w:rPr>
          <w:rFonts w:hint="eastAsia" w:ascii="宋体" w:hAnsi="宋体" w:eastAsia="楷体_GB2312" w:cs="宋体"/>
          <w:kern w:val="0"/>
          <w:sz w:val="28"/>
          <w:szCs w:val="28"/>
          <w:highlight w:val="none"/>
        </w:rPr>
        <w:t>元（大写）的履约担保金（索赔可分次索赔，累计金额不超过最高金额），并放弃向你方提出任何异议和追索的权利。</w:t>
      </w:r>
    </w:p>
    <w:p w14:paraId="215AC95B">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二、贵单位的索赔文件应符合下述条件：</w:t>
      </w:r>
    </w:p>
    <w:p w14:paraId="732D6195">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（一）贵单位法定代表人或其授权代表签字并加盖单位公章；</w:t>
      </w:r>
    </w:p>
    <w:p w14:paraId="2F861DEC">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（二）在保函担保期间内送达我行；</w:t>
      </w:r>
    </w:p>
    <w:p w14:paraId="23D3BAAC">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（三）明确的索赔金额（不得超过本保函第一条所列之限额）；</w:t>
      </w:r>
    </w:p>
    <w:p w14:paraId="1DCD36D5">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（四）贵单位出具的委托人违约事项说明。</w:t>
      </w:r>
    </w:p>
    <w:p w14:paraId="5871D019">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三、本保函担保期间为 年 月 日至 年 月 日，除非你方提前终止或解除本保函，本保函于下述任一事项发生之时立即失效，我行在本保函项下的担保义务即刻解除：</w:t>
      </w:r>
    </w:p>
    <w:p w14:paraId="79045773">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（一）本保函担保期间届满；</w:t>
      </w:r>
    </w:p>
    <w:p w14:paraId="53DD57F5">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（二）委托人履行了合同项下全部义务；</w:t>
      </w:r>
    </w:p>
    <w:p w14:paraId="55A0A547">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（三）我行担保的义务履行完毕。</w:t>
      </w:r>
    </w:p>
    <w:p w14:paraId="145C5E70">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14:paraId="60C014FA">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五、保函失效后请将本保函退回我行注销。无论正本最终退回与否，不影响本保函依上述约定自动失效。</w:t>
      </w:r>
    </w:p>
    <w:p w14:paraId="6C51975E">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六、本保函项下的所有权利和义务受中华人民共和国法律管辖和制约，我行在保函项下做出的付款承诺决不反悔。</w:t>
      </w:r>
    </w:p>
    <w:p w14:paraId="5E89E548">
      <w:pPr>
        <w:adjustRightInd w:val="0"/>
        <w:snapToGrid w:val="0"/>
        <w:spacing w:line="320" w:lineRule="exact"/>
        <w:ind w:firstLine="560" w:firstLineChars="200"/>
        <w:rPr>
          <w:rFonts w:ascii="宋体" w:hAnsi="Times New Roman" w:eastAsia="楷体_GB2312" w:cs="Times New Roman"/>
          <w:kern w:val="0"/>
          <w:sz w:val="28"/>
          <w:szCs w:val="28"/>
          <w:highlight w:val="none"/>
        </w:rPr>
      </w:pPr>
    </w:p>
    <w:p w14:paraId="43D72870">
      <w:pPr>
        <w:adjustRightInd w:val="0"/>
        <w:snapToGrid w:val="0"/>
        <w:ind w:firstLine="560" w:firstLineChars="200"/>
        <w:rPr>
          <w:rFonts w:ascii="仿宋" w:hAnsi="仿宋" w:eastAsia="仿宋" w:cs="Times New Roman"/>
          <w:kern w:val="0"/>
          <w:sz w:val="28"/>
          <w:szCs w:val="28"/>
          <w:highlight w:val="none"/>
        </w:rPr>
      </w:pPr>
      <w:r>
        <w:rPr>
          <w:rFonts w:hint="eastAsia" w:ascii="宋体" w:hAnsi="宋体" w:eastAsia="楷体_GB2312" w:cs="宋体"/>
          <w:kern w:val="0"/>
          <w:sz w:val="28"/>
          <w:szCs w:val="28"/>
          <w:highlight w:val="none"/>
        </w:rPr>
        <w:t xml:space="preserve">担保银行（公章）：              </w:t>
      </w:r>
      <w:r>
        <w:rPr>
          <w:rFonts w:ascii="宋体" w:hAnsi="宋体" w:eastAsia="楷体_GB2312" w:cs="宋体"/>
          <w:kern w:val="0"/>
          <w:sz w:val="28"/>
          <w:szCs w:val="28"/>
          <w:highlight w:val="none"/>
        </w:rPr>
        <w:t>负责</w:t>
      </w:r>
      <w:r>
        <w:rPr>
          <w:rFonts w:hint="eastAsia" w:ascii="宋体" w:hAnsi="宋体" w:eastAsia="楷体_GB2312" w:cs="宋体"/>
          <w:kern w:val="0"/>
          <w:sz w:val="28"/>
          <w:szCs w:val="28"/>
          <w:highlight w:val="none"/>
        </w:rPr>
        <w:t>人（签章）：</w:t>
      </w:r>
    </w:p>
    <w:p w14:paraId="0CA138B3">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单位地址：                     传真：</w:t>
      </w:r>
      <w:r>
        <w:rPr>
          <w:rFonts w:ascii="宋体" w:hAnsi="宋体" w:eastAsia="楷体_GB2312" w:cs="宋体"/>
          <w:kern w:val="0"/>
          <w:sz w:val="28"/>
          <w:szCs w:val="28"/>
          <w:highlight w:val="none"/>
        </w:rPr>
        <w:t xml:space="preserve"> </w:t>
      </w:r>
    </w:p>
    <w:p w14:paraId="71CC6F4B">
      <w:pPr>
        <w:adjustRightInd w:val="0"/>
        <w:snapToGrid w:val="0"/>
        <w:ind w:firstLine="560" w:firstLineChars="200"/>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联系人：                       联系电话</w:t>
      </w:r>
      <w:r>
        <w:rPr>
          <w:rFonts w:hint="eastAsia" w:hAnsi="宋体" w:cs="宋体"/>
          <w:sz w:val="28"/>
          <w:szCs w:val="28"/>
          <w:highlight w:val="none"/>
          <w:lang w:eastAsia="zh-CN"/>
        </w:rPr>
        <w:t>（</w:t>
      </w:r>
      <w:r>
        <w:rPr>
          <w:rFonts w:hint="eastAsia" w:hAnsi="宋体" w:cs="宋体"/>
          <w:sz w:val="28"/>
          <w:szCs w:val="28"/>
          <w:highlight w:val="none"/>
          <w:lang w:val="en-US" w:eastAsia="zh-CN"/>
        </w:rPr>
        <w:t>座机</w:t>
      </w:r>
      <w:r>
        <w:rPr>
          <w:rFonts w:hint="eastAsia" w:hAnsi="宋体" w:cs="宋体"/>
          <w:sz w:val="28"/>
          <w:szCs w:val="28"/>
          <w:highlight w:val="none"/>
          <w:lang w:eastAsia="zh-CN"/>
        </w:rPr>
        <w:t>）</w:t>
      </w:r>
      <w:r>
        <w:rPr>
          <w:rFonts w:hint="eastAsia" w:ascii="宋体" w:hAnsi="宋体" w:eastAsia="楷体_GB2312" w:cs="宋体"/>
          <w:kern w:val="0"/>
          <w:sz w:val="28"/>
          <w:szCs w:val="28"/>
          <w:highlight w:val="none"/>
        </w:rPr>
        <w:t>：</w:t>
      </w:r>
    </w:p>
    <w:p w14:paraId="69BED777">
      <w:pPr>
        <w:adjustRightInd w:val="0"/>
        <w:snapToGrid w:val="0"/>
        <w:ind w:firstLine="560" w:firstLineChars="200"/>
        <w:rPr>
          <w:rFonts w:hint="default" w:hAnsi="宋体" w:eastAsia="楷体_GB2312" w:cs="宋体"/>
          <w:sz w:val="28"/>
          <w:szCs w:val="28"/>
          <w:highlight w:val="none"/>
          <w:lang w:val="en-US" w:eastAsia="zh-CN"/>
        </w:rPr>
      </w:pPr>
      <w:r>
        <w:rPr>
          <w:rFonts w:hint="eastAsia" w:hAnsi="宋体" w:cs="宋体"/>
          <w:sz w:val="28"/>
          <w:szCs w:val="28"/>
          <w:highlight w:val="none"/>
          <w:lang w:val="en-US" w:eastAsia="zh-CN"/>
        </w:rPr>
        <w:t>经办人联系电话（手机）：</w:t>
      </w:r>
    </w:p>
    <w:p w14:paraId="5D3419B8">
      <w:pPr>
        <w:adjustRightInd w:val="0"/>
        <w:snapToGrid w:val="0"/>
        <w:ind w:firstLine="560" w:firstLineChars="200"/>
        <w:rPr>
          <w:rFonts w:hint="eastAsia" w:ascii="宋体" w:hAnsi="宋体" w:eastAsia="楷体_GB2312" w:cs="宋体"/>
          <w:kern w:val="0"/>
          <w:sz w:val="28"/>
          <w:szCs w:val="28"/>
          <w:highlight w:val="none"/>
        </w:rPr>
      </w:pPr>
      <w:r>
        <w:rPr>
          <w:rFonts w:hint="eastAsia" w:ascii="宋体" w:hAnsi="宋体" w:eastAsia="楷体_GB2312" w:cs="宋体"/>
          <w:kern w:val="0"/>
          <w:sz w:val="28"/>
          <w:szCs w:val="28"/>
          <w:highlight w:val="none"/>
        </w:rPr>
        <w:t>开立日期：     年     月    日</w:t>
      </w:r>
    </w:p>
    <w:p w14:paraId="40ED0600">
      <w:pPr>
        <w:adjustRightInd w:val="0"/>
        <w:snapToGrid w:val="0"/>
        <w:spacing w:line="560" w:lineRule="exact"/>
        <w:rPr>
          <w:rFonts w:ascii="华文中宋" w:hAnsi="华文中宋" w:eastAsia="华文中宋" w:cs="华文中宋"/>
          <w:kern w:val="0"/>
          <w:sz w:val="44"/>
          <w:szCs w:val="44"/>
          <w:highlight w:val="none"/>
        </w:rPr>
      </w:pPr>
      <w:r>
        <w:rPr>
          <w:rFonts w:hint="eastAsia" w:ascii="宋体" w:hAnsi="宋体" w:eastAsia="楷体_GB2312" w:cs="宋体"/>
          <w:kern w:val="0"/>
          <w:sz w:val="28"/>
          <w:szCs w:val="28"/>
          <w:highlight w:val="none"/>
        </w:rPr>
        <w:br w:type="page"/>
      </w:r>
      <w:r>
        <w:rPr>
          <w:rFonts w:hint="eastAsia" w:ascii="宋体" w:hAnsi="Times New Roman" w:eastAsia="楷体_GB2312" w:cs="Times New Roman"/>
          <w:kern w:val="0"/>
          <w:sz w:val="32"/>
          <w:szCs w:val="32"/>
          <w:highlight w:val="none"/>
        </w:rPr>
        <w:t>附件5</w:t>
      </w:r>
    </w:p>
    <w:p w14:paraId="7D96CA59">
      <w:pPr>
        <w:adjustRightInd w:val="0"/>
        <w:spacing w:line="560" w:lineRule="atLeast"/>
        <w:jc w:val="center"/>
        <w:rPr>
          <w:rFonts w:ascii="华文中宋" w:hAnsi="华文中宋" w:eastAsia="华文中宋" w:cs="华文中宋"/>
          <w:kern w:val="0"/>
          <w:sz w:val="44"/>
          <w:szCs w:val="44"/>
          <w:highlight w:val="none"/>
        </w:rPr>
      </w:pPr>
      <w:r>
        <w:rPr>
          <w:rFonts w:hint="eastAsia" w:ascii="华文中宋" w:hAnsi="华文中宋" w:eastAsia="华文中宋" w:cs="华文中宋"/>
          <w:kern w:val="0"/>
          <w:sz w:val="44"/>
          <w:szCs w:val="44"/>
          <w:highlight w:val="none"/>
          <w:lang w:val="zh-CN"/>
        </w:rPr>
        <w:t>省属直接管理代建项目监理单位履约</w:t>
      </w:r>
    </w:p>
    <w:p w14:paraId="1C888FAE">
      <w:pPr>
        <w:adjustRightInd w:val="0"/>
        <w:spacing w:line="560" w:lineRule="atLeast"/>
        <w:jc w:val="center"/>
        <w:rPr>
          <w:rFonts w:ascii="华文中宋" w:hAnsi="华文中宋" w:eastAsia="华文中宋" w:cs="华文中宋"/>
          <w:kern w:val="0"/>
          <w:sz w:val="44"/>
          <w:szCs w:val="44"/>
          <w:highlight w:val="none"/>
        </w:rPr>
      </w:pPr>
      <w:r>
        <w:rPr>
          <w:rFonts w:hint="eastAsia" w:ascii="华文中宋" w:hAnsi="华文中宋" w:eastAsia="华文中宋" w:cs="华文中宋"/>
          <w:kern w:val="0"/>
          <w:sz w:val="44"/>
          <w:szCs w:val="44"/>
          <w:highlight w:val="none"/>
          <w:lang w:val="zh-CN"/>
        </w:rPr>
        <w:t>评价细则</w:t>
      </w:r>
      <w:r>
        <w:rPr>
          <w:rFonts w:hint="eastAsia" w:ascii="华文中宋" w:hAnsi="华文中宋" w:eastAsia="华文中宋" w:cs="华文中宋"/>
          <w:bCs/>
          <w:kern w:val="0"/>
          <w:sz w:val="44"/>
          <w:szCs w:val="44"/>
          <w:highlight w:val="none"/>
        </w:rPr>
        <w:t>（试行）</w:t>
      </w:r>
    </w:p>
    <w:p w14:paraId="09A96C89">
      <w:pPr>
        <w:adjustRightInd w:val="0"/>
        <w:spacing w:line="560" w:lineRule="atLeast"/>
        <w:rPr>
          <w:rFonts w:ascii="黑体" w:hAnsi="黑体" w:eastAsia="黑体" w:cs="Times New Roman"/>
          <w:kern w:val="0"/>
          <w:sz w:val="32"/>
          <w:szCs w:val="32"/>
          <w:highlight w:val="none"/>
        </w:rPr>
      </w:pPr>
    </w:p>
    <w:p w14:paraId="2C042CF9">
      <w:pPr>
        <w:adjustRightInd w:val="0"/>
        <w:spacing w:line="560" w:lineRule="atLeast"/>
        <w:jc w:val="center"/>
        <w:rPr>
          <w:rFonts w:ascii="黑体" w:hAnsi="黑体" w:eastAsia="黑体" w:cs="黑体"/>
          <w:b/>
          <w:kern w:val="0"/>
          <w:sz w:val="32"/>
          <w:szCs w:val="32"/>
          <w:highlight w:val="none"/>
        </w:rPr>
      </w:pPr>
      <w:r>
        <w:rPr>
          <w:rFonts w:hint="eastAsia" w:ascii="黑体" w:hAnsi="黑体" w:eastAsia="黑体" w:cs="黑体"/>
          <w:b/>
          <w:kern w:val="0"/>
          <w:sz w:val="32"/>
          <w:szCs w:val="32"/>
          <w:highlight w:val="none"/>
          <w:lang w:val="zh-CN"/>
        </w:rPr>
        <w:t>第一章　总　则</w:t>
      </w:r>
    </w:p>
    <w:p w14:paraId="43E25436">
      <w:pPr>
        <w:adjustRightInd w:val="0"/>
        <w:spacing w:line="560" w:lineRule="atLeast"/>
        <w:rPr>
          <w:rFonts w:ascii="仿宋" w:hAnsi="仿宋" w:eastAsia="仿宋" w:cs="Times New Roman"/>
          <w:kern w:val="0"/>
          <w:sz w:val="32"/>
          <w:szCs w:val="32"/>
          <w:highlight w:val="none"/>
        </w:rPr>
      </w:pPr>
    </w:p>
    <w:p w14:paraId="5B3D34F2">
      <w:pPr>
        <w:adjustRightInd w:val="0"/>
        <w:spacing w:line="560" w:lineRule="atLeast"/>
        <w:ind w:firstLine="630"/>
        <w:rPr>
          <w:rFonts w:ascii="仿宋" w:hAnsi="仿宋" w:eastAsia="仿宋" w:cs="Times New Roman"/>
          <w:bCs/>
          <w:kern w:val="0"/>
          <w:sz w:val="32"/>
          <w:szCs w:val="32"/>
          <w:highlight w:val="none"/>
        </w:rPr>
      </w:pPr>
      <w:r>
        <w:rPr>
          <w:rFonts w:hint="eastAsia" w:ascii="仿宋" w:hAnsi="仿宋" w:eastAsia="仿宋" w:cs="宋体"/>
          <w:b/>
          <w:bCs/>
          <w:kern w:val="0"/>
          <w:sz w:val="32"/>
          <w:szCs w:val="32"/>
          <w:highlight w:val="none"/>
          <w:lang w:val="zh-CN"/>
        </w:rPr>
        <w:t>第一条</w:t>
      </w:r>
      <w:r>
        <w:rPr>
          <w:rFonts w:ascii="仿宋" w:hAnsi="仿宋" w:eastAsia="仿宋" w:cs="Times New Roman"/>
          <w:kern w:val="0"/>
          <w:sz w:val="32"/>
          <w:szCs w:val="32"/>
          <w:highlight w:val="none"/>
        </w:rPr>
        <w:t xml:space="preserve">  </w:t>
      </w:r>
      <w:r>
        <w:rPr>
          <w:rFonts w:hint="eastAsia" w:ascii="仿宋" w:hAnsi="仿宋" w:eastAsia="仿宋" w:cs="宋体"/>
          <w:kern w:val="0"/>
          <w:sz w:val="32"/>
          <w:szCs w:val="32"/>
          <w:highlight w:val="none"/>
          <w:lang w:val="zh-CN"/>
        </w:rPr>
        <w:t>为</w:t>
      </w:r>
      <w:r>
        <w:rPr>
          <w:rFonts w:hint="eastAsia" w:ascii="仿宋" w:hAnsi="仿宋" w:eastAsia="仿宋" w:cs="宋体"/>
          <w:kern w:val="0"/>
          <w:sz w:val="32"/>
          <w:szCs w:val="32"/>
          <w:highlight w:val="none"/>
        </w:rPr>
        <w:t>进一步增强工程建设项目参建单位的合同意识，维护建设市场秩序，推进省属代建项目工程建设征信体系建设</w:t>
      </w:r>
      <w:r>
        <w:rPr>
          <w:rFonts w:hint="eastAsia" w:ascii="仿宋" w:hAnsi="仿宋" w:eastAsia="仿宋" w:cs="宋体"/>
          <w:kern w:val="0"/>
          <w:sz w:val="32"/>
          <w:szCs w:val="32"/>
          <w:highlight w:val="none"/>
          <w:lang w:val="zh-CN"/>
        </w:rPr>
        <w:t>，根据《建筑法》、《建设工程质量管理条例》、《建设工程监理规范》等相关法律法规、规范和《</w:t>
      </w:r>
      <w:r>
        <w:rPr>
          <w:rFonts w:hint="eastAsia" w:ascii="仿宋" w:hAnsi="仿宋" w:eastAsia="仿宋" w:cs="宋体"/>
          <w:bCs/>
          <w:kern w:val="0"/>
          <w:sz w:val="32"/>
          <w:szCs w:val="32"/>
          <w:highlight w:val="none"/>
        </w:rPr>
        <w:t>省代建局直接管理项目合同履约评价管理办法（试行）》</w:t>
      </w:r>
      <w:r>
        <w:rPr>
          <w:rFonts w:hint="eastAsia" w:ascii="仿宋" w:hAnsi="仿宋" w:eastAsia="仿宋" w:cs="宋体"/>
          <w:kern w:val="0"/>
          <w:sz w:val="32"/>
          <w:szCs w:val="32"/>
          <w:highlight w:val="none"/>
          <w:lang w:val="zh-CN"/>
        </w:rPr>
        <w:t>制定本细则。</w:t>
      </w:r>
    </w:p>
    <w:p w14:paraId="70DB103C">
      <w:pPr>
        <w:adjustRightInd w:val="0"/>
        <w:spacing w:line="560" w:lineRule="atLeast"/>
        <w:ind w:firstLine="630"/>
        <w:rPr>
          <w:rFonts w:ascii="仿宋" w:hAnsi="仿宋" w:eastAsia="仿宋" w:cs="??_GB2312"/>
          <w:kern w:val="0"/>
          <w:sz w:val="32"/>
          <w:szCs w:val="32"/>
          <w:highlight w:val="none"/>
        </w:rPr>
      </w:pPr>
      <w:r>
        <w:rPr>
          <w:rFonts w:hint="eastAsia" w:ascii="仿宋" w:hAnsi="仿宋" w:eastAsia="仿宋" w:cs="宋体"/>
          <w:b/>
          <w:bCs/>
          <w:kern w:val="0"/>
          <w:sz w:val="32"/>
          <w:szCs w:val="32"/>
          <w:highlight w:val="none"/>
          <w:lang w:val="zh-CN"/>
        </w:rPr>
        <w:t>第二条</w:t>
      </w:r>
      <w:r>
        <w:rPr>
          <w:rFonts w:ascii="仿宋" w:hAnsi="仿宋" w:eastAsia="仿宋" w:cs="Times New Roman"/>
          <w:kern w:val="0"/>
          <w:sz w:val="32"/>
          <w:szCs w:val="32"/>
          <w:highlight w:val="none"/>
        </w:rPr>
        <w:t xml:space="preserve">  </w:t>
      </w:r>
      <w:r>
        <w:rPr>
          <w:rFonts w:hint="eastAsia" w:ascii="仿宋" w:hAnsi="仿宋" w:eastAsia="仿宋" w:cs="宋体"/>
          <w:kern w:val="0"/>
          <w:sz w:val="32"/>
          <w:szCs w:val="32"/>
          <w:highlight w:val="none"/>
          <w:lang w:val="zh-CN"/>
        </w:rPr>
        <w:t>本细则所称省属代建项目，是指由省代建项目管理局（以下简称省代建局）直接管理的项目，直接管理模式下，省代建局代表出资人和使用单位</w:t>
      </w:r>
      <w:r>
        <w:rPr>
          <w:rFonts w:ascii="仿宋" w:hAnsi="仿宋" w:eastAsia="仿宋" w:cs="??_GB2312"/>
          <w:kern w:val="0"/>
          <w:sz w:val="32"/>
          <w:szCs w:val="32"/>
          <w:highlight w:val="none"/>
        </w:rPr>
        <w:t>,</w:t>
      </w:r>
      <w:r>
        <w:rPr>
          <w:rFonts w:hint="eastAsia" w:ascii="仿宋" w:hAnsi="仿宋" w:eastAsia="仿宋" w:cs="宋体"/>
          <w:kern w:val="0"/>
          <w:sz w:val="32"/>
          <w:szCs w:val="32"/>
          <w:highlight w:val="none"/>
          <w:lang w:val="zh-CN"/>
        </w:rPr>
        <w:t>履行项目建设单位职责。</w:t>
      </w:r>
    </w:p>
    <w:p w14:paraId="4931D680">
      <w:pPr>
        <w:adjustRightInd w:val="0"/>
        <w:spacing w:line="560" w:lineRule="atLeast"/>
        <w:ind w:firstLine="630"/>
        <w:rPr>
          <w:rFonts w:ascii="仿宋" w:hAnsi="仿宋" w:eastAsia="仿宋" w:cs="Times New Roman"/>
          <w:kern w:val="0"/>
          <w:sz w:val="32"/>
          <w:szCs w:val="32"/>
          <w:highlight w:val="none"/>
        </w:rPr>
      </w:pPr>
      <w:r>
        <w:rPr>
          <w:rFonts w:hint="eastAsia" w:ascii="仿宋" w:hAnsi="仿宋" w:eastAsia="仿宋" w:cs="宋体"/>
          <w:b/>
          <w:bCs/>
          <w:kern w:val="0"/>
          <w:sz w:val="32"/>
          <w:szCs w:val="32"/>
          <w:highlight w:val="none"/>
          <w:lang w:val="zh-CN"/>
        </w:rPr>
        <w:t>第三条</w:t>
      </w:r>
      <w:r>
        <w:rPr>
          <w:rFonts w:ascii="仿宋" w:hAnsi="仿宋" w:eastAsia="仿宋" w:cs="??_GB2312"/>
          <w:b/>
          <w:bCs/>
          <w:kern w:val="0"/>
          <w:sz w:val="32"/>
          <w:szCs w:val="32"/>
          <w:highlight w:val="none"/>
        </w:rPr>
        <w:t xml:space="preserve">  </w:t>
      </w:r>
      <w:r>
        <w:rPr>
          <w:rFonts w:hint="eastAsia" w:ascii="仿宋" w:hAnsi="仿宋" w:eastAsia="仿宋" w:cs="宋体"/>
          <w:kern w:val="0"/>
          <w:sz w:val="32"/>
          <w:szCs w:val="32"/>
          <w:highlight w:val="none"/>
          <w:lang w:val="zh-CN"/>
        </w:rPr>
        <w:t>评价的依据：</w:t>
      </w:r>
      <w:r>
        <w:rPr>
          <w:rFonts w:hint="eastAsia" w:ascii="仿宋" w:hAnsi="仿宋" w:eastAsia="仿宋" w:cs="宋体"/>
          <w:kern w:val="0"/>
          <w:sz w:val="32"/>
          <w:szCs w:val="32"/>
          <w:highlight w:val="none"/>
        </w:rPr>
        <w:t xml:space="preserve">(1)委托监理协议书;(2)监理中标通知书;(3)监理投标书及其附件；(4)委托监理合同专用条款;(5) 委托监理合同通用条款;(6)工程标准、规范及有关技术文件。 </w:t>
      </w:r>
    </w:p>
    <w:p w14:paraId="745A09EB">
      <w:pPr>
        <w:adjustRightInd w:val="0"/>
        <w:spacing w:line="560" w:lineRule="atLeast"/>
        <w:ind w:firstLine="630"/>
        <w:rPr>
          <w:rFonts w:ascii="仿宋" w:hAnsi="仿宋" w:eastAsia="仿宋" w:cs="仿宋"/>
          <w:kern w:val="0"/>
          <w:sz w:val="32"/>
          <w:szCs w:val="32"/>
          <w:highlight w:val="none"/>
        </w:rPr>
      </w:pPr>
      <w:r>
        <w:rPr>
          <w:rFonts w:hint="eastAsia" w:ascii="仿宋" w:hAnsi="仿宋" w:eastAsia="仿宋" w:cs="宋体"/>
          <w:b/>
          <w:bCs/>
          <w:kern w:val="0"/>
          <w:sz w:val="32"/>
          <w:szCs w:val="32"/>
          <w:highlight w:val="none"/>
        </w:rPr>
        <w:t>第四条</w:t>
      </w:r>
      <w:r>
        <w:rPr>
          <w:rFonts w:ascii="仿宋" w:hAnsi="仿宋" w:eastAsia="仿宋" w:cs="宋体"/>
          <w:b/>
          <w:bCs/>
          <w:kern w:val="0"/>
          <w:sz w:val="32"/>
          <w:szCs w:val="32"/>
          <w:highlight w:val="none"/>
        </w:rPr>
        <w:t xml:space="preserve">  </w:t>
      </w:r>
      <w:r>
        <w:rPr>
          <w:rFonts w:hint="eastAsia" w:ascii="仿宋" w:hAnsi="仿宋" w:eastAsia="仿宋" w:cs="宋体"/>
          <w:kern w:val="0"/>
          <w:sz w:val="32"/>
          <w:szCs w:val="32"/>
          <w:highlight w:val="none"/>
        </w:rPr>
        <w:t>监理单位履约评价实行周期评价，</w:t>
      </w:r>
      <w:r>
        <w:rPr>
          <w:rFonts w:hint="eastAsia" w:ascii="仿宋" w:hAnsi="仿宋" w:eastAsia="仿宋" w:cs="仿宋"/>
          <w:kern w:val="0"/>
          <w:sz w:val="32"/>
          <w:szCs w:val="32"/>
          <w:highlight w:val="none"/>
        </w:rPr>
        <w:t>周期划分为季度履约评价、年度履约评价、最终履约评价。</w:t>
      </w:r>
    </w:p>
    <w:p w14:paraId="0E545F92">
      <w:pPr>
        <w:adjustRightInd w:val="0"/>
        <w:spacing w:line="560" w:lineRule="atLeast"/>
        <w:ind w:firstLine="630"/>
        <w:rPr>
          <w:rFonts w:ascii="仿宋" w:hAnsi="仿宋" w:eastAsia="仿宋" w:cs="仿宋"/>
          <w:kern w:val="0"/>
          <w:sz w:val="32"/>
          <w:szCs w:val="32"/>
          <w:highlight w:val="none"/>
        </w:rPr>
      </w:pPr>
      <w:r>
        <w:rPr>
          <w:rFonts w:hint="eastAsia" w:ascii="仿宋" w:hAnsi="仿宋" w:eastAsia="仿宋" w:cs="仿宋"/>
          <w:kern w:val="0"/>
          <w:sz w:val="32"/>
          <w:szCs w:val="32"/>
          <w:highlight w:val="none"/>
        </w:rPr>
        <w:t>监理单位季度履约评价结果构成：省代建局项目组评价分值+专家组或第三方季度检查分值。省代建局项目组评价分值由项目组长综合项目组成员意见评定，专家组或第三方季度检查分值由省代建局委托专家组或第三方评估单位的季度质量安全检查时评定。</w:t>
      </w:r>
    </w:p>
    <w:p w14:paraId="0DAAA392">
      <w:pPr>
        <w:adjustRightInd w:val="0"/>
        <w:spacing w:line="560" w:lineRule="atLeast"/>
        <w:ind w:firstLine="630"/>
        <w:rPr>
          <w:rFonts w:ascii="仿宋" w:hAnsi="仿宋" w:eastAsia="仿宋" w:cs="黑体"/>
          <w:kern w:val="0"/>
          <w:sz w:val="32"/>
          <w:szCs w:val="32"/>
          <w:highlight w:val="none"/>
        </w:rPr>
      </w:pPr>
    </w:p>
    <w:p w14:paraId="7507FA8B">
      <w:pPr>
        <w:adjustRightInd w:val="0"/>
        <w:spacing w:line="560" w:lineRule="atLeast"/>
        <w:ind w:firstLine="630"/>
        <w:jc w:val="center"/>
        <w:rPr>
          <w:rFonts w:ascii="黑体" w:hAnsi="黑体" w:eastAsia="黑体" w:cs="黑体"/>
          <w:b/>
          <w:kern w:val="0"/>
          <w:sz w:val="32"/>
          <w:szCs w:val="32"/>
          <w:highlight w:val="none"/>
        </w:rPr>
      </w:pPr>
      <w:r>
        <w:rPr>
          <w:rFonts w:hint="eastAsia" w:ascii="黑体" w:hAnsi="黑体" w:eastAsia="黑体" w:cs="黑体"/>
          <w:b/>
          <w:kern w:val="0"/>
          <w:sz w:val="32"/>
          <w:szCs w:val="32"/>
          <w:highlight w:val="none"/>
          <w:lang w:val="zh-CN"/>
        </w:rPr>
        <w:t>第二章　履约评价体系内容</w:t>
      </w:r>
    </w:p>
    <w:p w14:paraId="0F350542">
      <w:pPr>
        <w:adjustRightInd w:val="0"/>
        <w:spacing w:line="560" w:lineRule="atLeast"/>
        <w:rPr>
          <w:rFonts w:ascii="仿宋" w:hAnsi="仿宋" w:eastAsia="仿宋" w:cs="??_GB2312"/>
          <w:kern w:val="0"/>
          <w:sz w:val="32"/>
          <w:szCs w:val="32"/>
          <w:highlight w:val="none"/>
        </w:rPr>
      </w:pPr>
    </w:p>
    <w:p w14:paraId="5D1F303B">
      <w:pPr>
        <w:adjustRightInd w:val="0"/>
        <w:spacing w:line="560" w:lineRule="atLeast"/>
        <w:ind w:firstLine="630"/>
        <w:rPr>
          <w:rFonts w:ascii="仿宋" w:hAnsi="仿宋" w:eastAsia="仿宋" w:cs="Times New Roman"/>
          <w:kern w:val="0"/>
          <w:sz w:val="32"/>
          <w:szCs w:val="32"/>
          <w:highlight w:val="none"/>
        </w:rPr>
      </w:pPr>
      <w:r>
        <w:rPr>
          <w:rFonts w:hint="eastAsia" w:ascii="仿宋" w:hAnsi="仿宋" w:eastAsia="仿宋" w:cs="宋体"/>
          <w:b/>
          <w:bCs/>
          <w:kern w:val="0"/>
          <w:sz w:val="32"/>
          <w:szCs w:val="32"/>
          <w:highlight w:val="none"/>
          <w:lang w:val="zh-CN"/>
        </w:rPr>
        <w:t>第五条</w:t>
      </w:r>
      <w:r>
        <w:rPr>
          <w:rFonts w:ascii="仿宋" w:hAnsi="仿宋" w:eastAsia="仿宋" w:cs="??_GB2312"/>
          <w:kern w:val="0"/>
          <w:sz w:val="32"/>
          <w:szCs w:val="32"/>
          <w:highlight w:val="none"/>
        </w:rPr>
        <w:t xml:space="preserve">  </w:t>
      </w:r>
      <w:r>
        <w:rPr>
          <w:rFonts w:hint="eastAsia" w:ascii="仿宋" w:hAnsi="仿宋" w:eastAsia="仿宋" w:cs="??_GB2312"/>
          <w:kern w:val="0"/>
          <w:sz w:val="32"/>
          <w:szCs w:val="32"/>
          <w:highlight w:val="none"/>
        </w:rPr>
        <w:t>履约</w:t>
      </w:r>
      <w:r>
        <w:rPr>
          <w:rFonts w:hint="eastAsia" w:ascii="仿宋" w:hAnsi="仿宋" w:eastAsia="仿宋" w:cs="宋体"/>
          <w:bCs/>
          <w:kern w:val="0"/>
          <w:sz w:val="32"/>
          <w:szCs w:val="32"/>
          <w:highlight w:val="none"/>
        </w:rPr>
        <w:t>评价体系包含三部分内容。</w:t>
      </w:r>
    </w:p>
    <w:p w14:paraId="7F26E162">
      <w:pPr>
        <w:adjustRightInd w:val="0"/>
        <w:spacing w:line="560" w:lineRule="atLeast"/>
        <w:ind w:firstLine="640"/>
        <w:rPr>
          <w:rFonts w:ascii="仿宋" w:hAnsi="仿宋" w:eastAsia="仿宋" w:cs="??_GB2312"/>
          <w:kern w:val="0"/>
          <w:sz w:val="32"/>
          <w:szCs w:val="32"/>
          <w:highlight w:val="none"/>
        </w:rPr>
      </w:pPr>
      <w:r>
        <w:rPr>
          <w:rFonts w:hint="eastAsia" w:ascii="仿宋" w:hAnsi="仿宋" w:eastAsia="仿宋" w:cs="宋体"/>
          <w:kern w:val="0"/>
          <w:sz w:val="32"/>
          <w:szCs w:val="32"/>
          <w:highlight w:val="none"/>
          <w:lang w:val="zh-CN"/>
        </w:rPr>
        <w:t>（一）</w:t>
      </w:r>
      <w:r>
        <w:rPr>
          <w:rFonts w:hint="eastAsia" w:ascii="仿宋" w:hAnsi="仿宋" w:eastAsia="仿宋" w:cs="宋体"/>
          <w:bCs/>
          <w:kern w:val="0"/>
          <w:sz w:val="32"/>
          <w:szCs w:val="32"/>
          <w:highlight w:val="none"/>
        </w:rPr>
        <w:t>人员配备部分，包括三个评分项，分值18分</w:t>
      </w:r>
      <w:r>
        <w:rPr>
          <w:rFonts w:hint="eastAsia" w:ascii="仿宋" w:hAnsi="仿宋" w:eastAsia="仿宋" w:cs="宋体"/>
          <w:kern w:val="0"/>
          <w:sz w:val="32"/>
          <w:szCs w:val="32"/>
          <w:highlight w:val="none"/>
          <w:lang w:val="zh-CN"/>
        </w:rPr>
        <w:t>：</w:t>
      </w:r>
      <w:r>
        <w:rPr>
          <w:rFonts w:hint="eastAsia" w:ascii="仿宋" w:hAnsi="仿宋" w:eastAsia="仿宋" w:cs="宋体"/>
          <w:kern w:val="0"/>
          <w:sz w:val="32"/>
          <w:szCs w:val="32"/>
          <w:highlight w:val="none"/>
        </w:rPr>
        <w:t>1.</w:t>
      </w:r>
      <w:r>
        <w:rPr>
          <w:rFonts w:hint="eastAsia" w:ascii="宋体" w:hAnsi="Times New Roman" w:eastAsia="楷体_GB2312" w:cs="Times New Roman"/>
          <w:kern w:val="0"/>
          <w:sz w:val="34"/>
          <w:highlight w:val="none"/>
        </w:rPr>
        <w:t xml:space="preserve"> </w:t>
      </w:r>
      <w:r>
        <w:rPr>
          <w:rFonts w:hint="eastAsia" w:ascii="仿宋" w:hAnsi="仿宋" w:eastAsia="仿宋" w:cs="宋体"/>
          <w:kern w:val="0"/>
          <w:sz w:val="32"/>
          <w:szCs w:val="32"/>
          <w:highlight w:val="none"/>
        </w:rPr>
        <w:t>人员数量要求; 2.专业配置要求; 3.项目总监要求。</w:t>
      </w:r>
    </w:p>
    <w:p w14:paraId="51D5F747">
      <w:pPr>
        <w:adjustRightInd w:val="0"/>
        <w:spacing w:line="560" w:lineRule="atLeast"/>
        <w:ind w:firstLine="640"/>
        <w:rPr>
          <w:rFonts w:ascii="仿宋" w:hAnsi="仿宋" w:eastAsia="仿宋" w:cs="Times New Roman"/>
          <w:kern w:val="0"/>
          <w:sz w:val="32"/>
          <w:szCs w:val="32"/>
          <w:highlight w:val="none"/>
        </w:rPr>
      </w:pPr>
      <w:r>
        <w:rPr>
          <w:rFonts w:hint="eastAsia" w:ascii="仿宋" w:hAnsi="仿宋" w:eastAsia="仿宋" w:cs="宋体"/>
          <w:kern w:val="0"/>
          <w:sz w:val="32"/>
          <w:szCs w:val="32"/>
          <w:highlight w:val="none"/>
          <w:lang w:val="zh-CN"/>
        </w:rPr>
        <w:t>（二）履约质量部分，</w:t>
      </w:r>
      <w:r>
        <w:rPr>
          <w:rFonts w:hint="eastAsia" w:ascii="仿宋" w:hAnsi="仿宋" w:eastAsia="仿宋" w:cs="宋体"/>
          <w:bCs/>
          <w:kern w:val="0"/>
          <w:sz w:val="32"/>
          <w:szCs w:val="32"/>
          <w:highlight w:val="none"/>
        </w:rPr>
        <w:t>包括九个评分项，分值70分</w:t>
      </w:r>
      <w:r>
        <w:rPr>
          <w:rFonts w:hint="eastAsia" w:ascii="仿宋" w:hAnsi="仿宋" w:eastAsia="仿宋" w:cs="宋体"/>
          <w:kern w:val="0"/>
          <w:sz w:val="32"/>
          <w:szCs w:val="32"/>
          <w:highlight w:val="none"/>
          <w:lang w:val="zh-CN"/>
        </w:rPr>
        <w:t>：</w:t>
      </w:r>
      <w:r>
        <w:rPr>
          <w:rFonts w:hint="eastAsia" w:ascii="仿宋" w:hAnsi="仿宋" w:eastAsia="仿宋" w:cs="宋体"/>
          <w:kern w:val="0"/>
          <w:sz w:val="32"/>
          <w:szCs w:val="32"/>
          <w:highlight w:val="none"/>
        </w:rPr>
        <w:t xml:space="preserve"> 1.</w:t>
      </w:r>
      <w:r>
        <w:rPr>
          <w:rFonts w:hint="eastAsia" w:ascii="仿宋" w:hAnsi="仿宋" w:eastAsia="仿宋" w:cs="宋体"/>
          <w:kern w:val="0"/>
          <w:sz w:val="32"/>
          <w:szCs w:val="32"/>
          <w:highlight w:val="none"/>
          <w:lang w:val="zh-CN"/>
        </w:rPr>
        <w:t>施工准备阶段监理；</w:t>
      </w:r>
      <w:r>
        <w:rPr>
          <w:rFonts w:hint="eastAsia" w:ascii="仿宋" w:hAnsi="仿宋" w:eastAsia="仿宋" w:cs="宋体"/>
          <w:kern w:val="0"/>
          <w:sz w:val="32"/>
          <w:szCs w:val="32"/>
          <w:highlight w:val="none"/>
        </w:rPr>
        <w:t xml:space="preserve"> 2.</w:t>
      </w:r>
      <w:r>
        <w:rPr>
          <w:rFonts w:hint="eastAsia" w:ascii="仿宋" w:hAnsi="仿宋" w:eastAsia="仿宋" w:cs="宋体"/>
          <w:kern w:val="0"/>
          <w:sz w:val="32"/>
          <w:szCs w:val="32"/>
          <w:highlight w:val="none"/>
          <w:lang w:val="zh-CN"/>
        </w:rPr>
        <w:t>工程质量控制；</w:t>
      </w:r>
      <w:r>
        <w:rPr>
          <w:rFonts w:hint="eastAsia" w:ascii="仿宋" w:hAnsi="仿宋" w:eastAsia="仿宋" w:cs="宋体"/>
          <w:kern w:val="0"/>
          <w:sz w:val="32"/>
          <w:szCs w:val="32"/>
          <w:highlight w:val="none"/>
        </w:rPr>
        <w:t>3.</w:t>
      </w:r>
      <w:r>
        <w:rPr>
          <w:rFonts w:hint="eastAsia" w:ascii="仿宋" w:hAnsi="仿宋" w:eastAsia="仿宋" w:cs="宋体"/>
          <w:kern w:val="0"/>
          <w:sz w:val="32"/>
          <w:szCs w:val="32"/>
          <w:highlight w:val="none"/>
          <w:lang w:val="zh-CN"/>
        </w:rPr>
        <w:t>工程投资控制；</w:t>
      </w:r>
      <w:r>
        <w:rPr>
          <w:rFonts w:hint="eastAsia" w:ascii="仿宋" w:hAnsi="仿宋" w:eastAsia="仿宋" w:cs="宋体"/>
          <w:kern w:val="0"/>
          <w:sz w:val="32"/>
          <w:szCs w:val="32"/>
          <w:highlight w:val="none"/>
        </w:rPr>
        <w:t>4.</w:t>
      </w:r>
      <w:r>
        <w:rPr>
          <w:rFonts w:hint="eastAsia" w:ascii="仿宋" w:hAnsi="仿宋" w:eastAsia="仿宋" w:cs="宋体"/>
          <w:kern w:val="0"/>
          <w:sz w:val="32"/>
          <w:szCs w:val="32"/>
          <w:highlight w:val="none"/>
          <w:lang w:val="zh-CN"/>
        </w:rPr>
        <w:t>工程变更、工程签证、工程结算价审核；</w:t>
      </w:r>
      <w:r>
        <w:rPr>
          <w:rFonts w:hint="eastAsia" w:ascii="仿宋" w:hAnsi="仿宋" w:eastAsia="仿宋" w:cs="宋体"/>
          <w:kern w:val="0"/>
          <w:sz w:val="32"/>
          <w:szCs w:val="32"/>
          <w:highlight w:val="none"/>
        </w:rPr>
        <w:t>5.</w:t>
      </w:r>
      <w:r>
        <w:rPr>
          <w:rFonts w:hint="eastAsia" w:ascii="仿宋" w:hAnsi="仿宋" w:eastAsia="仿宋" w:cs="宋体"/>
          <w:kern w:val="0"/>
          <w:sz w:val="32"/>
          <w:szCs w:val="32"/>
          <w:highlight w:val="none"/>
          <w:lang w:val="zh-CN"/>
        </w:rPr>
        <w:t>进度控制；</w:t>
      </w:r>
      <w:r>
        <w:rPr>
          <w:rFonts w:hint="eastAsia" w:ascii="仿宋" w:hAnsi="仿宋" w:eastAsia="仿宋" w:cs="宋体"/>
          <w:kern w:val="0"/>
          <w:sz w:val="32"/>
          <w:szCs w:val="32"/>
          <w:highlight w:val="none"/>
        </w:rPr>
        <w:t xml:space="preserve"> 6.</w:t>
      </w:r>
      <w:r>
        <w:rPr>
          <w:rFonts w:hint="eastAsia" w:ascii="仿宋" w:hAnsi="仿宋" w:eastAsia="仿宋" w:cs="宋体"/>
          <w:kern w:val="0"/>
          <w:sz w:val="32"/>
          <w:szCs w:val="32"/>
          <w:highlight w:val="none"/>
          <w:lang w:val="zh-CN"/>
        </w:rPr>
        <w:t>合同管理；</w:t>
      </w:r>
      <w:r>
        <w:rPr>
          <w:rFonts w:hint="eastAsia" w:ascii="仿宋" w:hAnsi="仿宋" w:eastAsia="仿宋" w:cs="宋体"/>
          <w:kern w:val="0"/>
          <w:sz w:val="32"/>
          <w:szCs w:val="32"/>
          <w:highlight w:val="none"/>
        </w:rPr>
        <w:t xml:space="preserve"> 7.</w:t>
      </w:r>
      <w:r>
        <w:rPr>
          <w:rFonts w:hint="eastAsia" w:ascii="仿宋" w:hAnsi="仿宋" w:eastAsia="仿宋" w:cs="宋体"/>
          <w:kern w:val="0"/>
          <w:sz w:val="32"/>
          <w:szCs w:val="32"/>
          <w:highlight w:val="none"/>
          <w:lang w:val="zh-CN"/>
        </w:rPr>
        <w:t>资料管理；</w:t>
      </w:r>
      <w:r>
        <w:rPr>
          <w:rFonts w:hint="eastAsia" w:ascii="仿宋" w:hAnsi="仿宋" w:eastAsia="仿宋" w:cs="宋体"/>
          <w:kern w:val="0"/>
          <w:sz w:val="32"/>
          <w:szCs w:val="32"/>
          <w:highlight w:val="none"/>
        </w:rPr>
        <w:t xml:space="preserve"> 8.</w:t>
      </w:r>
      <w:r>
        <w:rPr>
          <w:rFonts w:hint="eastAsia" w:ascii="仿宋" w:hAnsi="仿宋" w:eastAsia="仿宋" w:cs="宋体"/>
          <w:kern w:val="0"/>
          <w:sz w:val="32"/>
          <w:szCs w:val="32"/>
          <w:highlight w:val="none"/>
          <w:lang w:val="zh-CN"/>
        </w:rPr>
        <w:t>协调配合情况；</w:t>
      </w:r>
      <w:r>
        <w:rPr>
          <w:rFonts w:hint="eastAsia" w:ascii="仿宋" w:hAnsi="仿宋" w:eastAsia="仿宋" w:cs="宋体"/>
          <w:kern w:val="0"/>
          <w:sz w:val="32"/>
          <w:szCs w:val="32"/>
          <w:highlight w:val="none"/>
        </w:rPr>
        <w:t xml:space="preserve"> 9.</w:t>
      </w:r>
      <w:r>
        <w:rPr>
          <w:rFonts w:hint="eastAsia" w:ascii="仿宋" w:hAnsi="仿宋" w:eastAsia="仿宋" w:cs="宋体"/>
          <w:kern w:val="0"/>
          <w:sz w:val="32"/>
          <w:szCs w:val="32"/>
          <w:highlight w:val="none"/>
          <w:lang w:val="zh-CN"/>
        </w:rPr>
        <w:t>安全管理。</w:t>
      </w:r>
    </w:p>
    <w:p w14:paraId="018D81F8">
      <w:pPr>
        <w:adjustRightInd w:val="0"/>
        <w:spacing w:line="560" w:lineRule="atLeast"/>
        <w:ind w:firstLine="640"/>
        <w:rPr>
          <w:rFonts w:ascii="仿宋" w:hAnsi="仿宋" w:eastAsia="仿宋" w:cs="Times New Roman"/>
          <w:bCs/>
          <w:kern w:val="0"/>
          <w:sz w:val="32"/>
          <w:szCs w:val="32"/>
          <w:highlight w:val="none"/>
        </w:rPr>
      </w:pPr>
      <w:r>
        <w:rPr>
          <w:rFonts w:hint="eastAsia" w:ascii="仿宋" w:hAnsi="仿宋" w:eastAsia="仿宋" w:cs="宋体"/>
          <w:kern w:val="0"/>
          <w:sz w:val="32"/>
          <w:szCs w:val="32"/>
          <w:highlight w:val="none"/>
          <w:lang w:val="zh-CN"/>
        </w:rPr>
        <w:t>（三）</w:t>
      </w:r>
      <w:r>
        <w:rPr>
          <w:rFonts w:hint="eastAsia" w:ascii="仿宋" w:hAnsi="仿宋" w:eastAsia="仿宋" w:cs="宋体"/>
          <w:bCs/>
          <w:kern w:val="0"/>
          <w:sz w:val="32"/>
          <w:szCs w:val="32"/>
          <w:highlight w:val="none"/>
        </w:rPr>
        <w:t>诚信和职业道德部分，包括两个评分项，分值12分</w:t>
      </w:r>
      <w:r>
        <w:rPr>
          <w:rFonts w:hint="eastAsia" w:ascii="仿宋" w:hAnsi="仿宋" w:eastAsia="仿宋" w:cs="宋体"/>
          <w:kern w:val="0"/>
          <w:sz w:val="32"/>
          <w:szCs w:val="32"/>
          <w:highlight w:val="none"/>
          <w:lang w:val="zh-CN"/>
        </w:rPr>
        <w:t>：</w:t>
      </w:r>
      <w:r>
        <w:rPr>
          <w:rFonts w:hint="eastAsia" w:ascii="仿宋" w:hAnsi="仿宋" w:eastAsia="仿宋" w:cs="宋体"/>
          <w:kern w:val="0"/>
          <w:sz w:val="32"/>
          <w:szCs w:val="32"/>
          <w:highlight w:val="none"/>
        </w:rPr>
        <w:t xml:space="preserve"> 1.</w:t>
      </w:r>
      <w:r>
        <w:rPr>
          <w:rFonts w:hint="eastAsia" w:ascii="仿宋" w:hAnsi="仿宋" w:eastAsia="仿宋" w:cs="宋体"/>
          <w:bCs/>
          <w:kern w:val="0"/>
          <w:sz w:val="32"/>
          <w:szCs w:val="32"/>
          <w:highlight w:val="none"/>
        </w:rPr>
        <w:t>廉洁自律</w:t>
      </w:r>
      <w:r>
        <w:rPr>
          <w:rFonts w:hint="eastAsia" w:ascii="仿宋" w:hAnsi="仿宋" w:eastAsia="仿宋" w:cs="宋体"/>
          <w:kern w:val="0"/>
          <w:sz w:val="32"/>
          <w:szCs w:val="32"/>
          <w:highlight w:val="none"/>
        </w:rPr>
        <w:t>; 2.</w:t>
      </w:r>
      <w:r>
        <w:rPr>
          <w:rFonts w:hint="eastAsia" w:ascii="仿宋" w:hAnsi="仿宋" w:eastAsia="仿宋" w:cs="宋体"/>
          <w:bCs/>
          <w:kern w:val="0"/>
          <w:sz w:val="32"/>
          <w:szCs w:val="32"/>
          <w:highlight w:val="none"/>
        </w:rPr>
        <w:t>诚信</w:t>
      </w:r>
      <w:r>
        <w:rPr>
          <w:rFonts w:hint="eastAsia" w:ascii="仿宋" w:hAnsi="仿宋" w:eastAsia="仿宋" w:cs="宋体"/>
          <w:kern w:val="0"/>
          <w:sz w:val="32"/>
          <w:szCs w:val="32"/>
          <w:highlight w:val="none"/>
        </w:rPr>
        <w:t>。此部分内容建立扣分制度，扣分等级分为15分、30分两挡，根据具体事件严重情形扣分。</w:t>
      </w:r>
    </w:p>
    <w:p w14:paraId="53B1046D">
      <w:pPr>
        <w:adjustRightInd w:val="0"/>
        <w:spacing w:line="560" w:lineRule="atLeast"/>
        <w:jc w:val="center"/>
        <w:rPr>
          <w:rFonts w:ascii="仿宋" w:hAnsi="仿宋" w:eastAsia="仿宋" w:cs="黑体"/>
          <w:kern w:val="0"/>
          <w:sz w:val="32"/>
          <w:szCs w:val="32"/>
          <w:highlight w:val="none"/>
        </w:rPr>
      </w:pPr>
    </w:p>
    <w:p w14:paraId="1632278B">
      <w:pPr>
        <w:adjustRightInd w:val="0"/>
        <w:spacing w:line="560" w:lineRule="atLeast"/>
        <w:jc w:val="center"/>
        <w:rPr>
          <w:rFonts w:ascii="黑体" w:hAnsi="黑体" w:eastAsia="黑体" w:cs="黑体"/>
          <w:b/>
          <w:kern w:val="0"/>
          <w:sz w:val="32"/>
          <w:szCs w:val="32"/>
          <w:highlight w:val="none"/>
        </w:rPr>
      </w:pPr>
      <w:r>
        <w:rPr>
          <w:rFonts w:hint="eastAsia" w:ascii="黑体" w:hAnsi="黑体" w:eastAsia="黑体" w:cs="黑体"/>
          <w:b/>
          <w:kern w:val="0"/>
          <w:sz w:val="32"/>
          <w:szCs w:val="32"/>
          <w:highlight w:val="none"/>
          <w:lang w:val="zh-CN"/>
        </w:rPr>
        <w:t>第三章　附　则</w:t>
      </w:r>
    </w:p>
    <w:p w14:paraId="7D72FBCF">
      <w:pPr>
        <w:adjustRightInd w:val="0"/>
        <w:spacing w:line="560" w:lineRule="atLeast"/>
        <w:jc w:val="center"/>
        <w:rPr>
          <w:rFonts w:ascii="仿宋" w:hAnsi="仿宋" w:eastAsia="仿宋" w:cs="黑体"/>
          <w:kern w:val="0"/>
          <w:sz w:val="32"/>
          <w:szCs w:val="32"/>
          <w:highlight w:val="none"/>
        </w:rPr>
      </w:pPr>
    </w:p>
    <w:p w14:paraId="0A6DBADC">
      <w:pPr>
        <w:adjustRightInd w:val="0"/>
        <w:spacing w:line="560" w:lineRule="atLeast"/>
        <w:ind w:firstLine="630"/>
        <w:rPr>
          <w:rFonts w:ascii="仿宋" w:hAnsi="仿宋" w:eastAsia="仿宋" w:cs="??_GB2312"/>
          <w:kern w:val="0"/>
          <w:sz w:val="32"/>
          <w:szCs w:val="32"/>
          <w:highlight w:val="none"/>
        </w:rPr>
      </w:pPr>
      <w:r>
        <w:rPr>
          <w:rFonts w:hint="eastAsia" w:ascii="仿宋" w:hAnsi="仿宋" w:eastAsia="仿宋" w:cs="宋体"/>
          <w:b/>
          <w:bCs/>
          <w:kern w:val="0"/>
          <w:sz w:val="32"/>
          <w:szCs w:val="32"/>
          <w:highlight w:val="none"/>
          <w:lang w:val="zh-CN"/>
        </w:rPr>
        <w:t>第六条</w:t>
      </w:r>
      <w:r>
        <w:rPr>
          <w:rFonts w:ascii="仿宋" w:hAnsi="仿宋" w:eastAsia="仿宋" w:cs="??_GB2312"/>
          <w:kern w:val="0"/>
          <w:sz w:val="32"/>
          <w:szCs w:val="32"/>
          <w:highlight w:val="none"/>
        </w:rPr>
        <w:t xml:space="preserve">  </w:t>
      </w:r>
      <w:r>
        <w:rPr>
          <w:rFonts w:hint="eastAsia" w:ascii="仿宋" w:hAnsi="仿宋" w:eastAsia="仿宋" w:cs="宋体"/>
          <w:kern w:val="0"/>
          <w:sz w:val="32"/>
          <w:szCs w:val="32"/>
          <w:highlight w:val="none"/>
          <w:lang w:val="zh-CN"/>
        </w:rPr>
        <w:t>本细则由省代建局负责解释。</w:t>
      </w:r>
    </w:p>
    <w:p w14:paraId="43971294">
      <w:pPr>
        <w:adjustRightInd w:val="0"/>
        <w:spacing w:line="560" w:lineRule="atLeast"/>
        <w:ind w:firstLine="630"/>
        <w:rPr>
          <w:rFonts w:ascii="仿宋" w:hAnsi="仿宋" w:eastAsia="仿宋" w:cs="Times New Roman"/>
          <w:kern w:val="0"/>
          <w:sz w:val="32"/>
          <w:szCs w:val="32"/>
          <w:highlight w:val="none"/>
        </w:rPr>
      </w:pPr>
      <w:r>
        <w:rPr>
          <w:rFonts w:hint="eastAsia" w:ascii="仿宋" w:hAnsi="仿宋" w:eastAsia="仿宋" w:cs="宋体"/>
          <w:b/>
          <w:bCs/>
          <w:kern w:val="0"/>
          <w:sz w:val="32"/>
          <w:szCs w:val="32"/>
          <w:highlight w:val="none"/>
          <w:lang w:val="zh-CN"/>
        </w:rPr>
        <w:t>第七条</w:t>
      </w:r>
      <w:r>
        <w:rPr>
          <w:rFonts w:ascii="仿宋" w:hAnsi="仿宋" w:eastAsia="仿宋" w:cs="??_GB2312"/>
          <w:kern w:val="0"/>
          <w:sz w:val="32"/>
          <w:szCs w:val="32"/>
          <w:highlight w:val="none"/>
        </w:rPr>
        <w:t xml:space="preserve">  </w:t>
      </w:r>
      <w:r>
        <w:rPr>
          <w:rFonts w:hint="eastAsia" w:ascii="仿宋" w:hAnsi="仿宋" w:eastAsia="仿宋" w:cs="宋体"/>
          <w:kern w:val="0"/>
          <w:sz w:val="32"/>
          <w:szCs w:val="32"/>
          <w:highlight w:val="none"/>
          <w:lang w:val="zh-CN"/>
        </w:rPr>
        <w:t>本细则自公布之日起实施，并以合同附件形式纳入新签订的省属代建项目监理合同。</w:t>
      </w:r>
    </w:p>
    <w:p w14:paraId="096B65A5">
      <w:pPr>
        <w:adjustRightInd w:val="0"/>
        <w:spacing w:line="560" w:lineRule="atLeast"/>
        <w:ind w:firstLine="630"/>
        <w:rPr>
          <w:rFonts w:ascii="仿宋" w:hAnsi="仿宋" w:eastAsia="仿宋" w:cs="Times New Roman"/>
          <w:kern w:val="0"/>
          <w:sz w:val="32"/>
          <w:szCs w:val="32"/>
          <w:highlight w:val="none"/>
        </w:rPr>
      </w:pPr>
    </w:p>
    <w:p w14:paraId="1396208D">
      <w:pPr>
        <w:adjustRightInd w:val="0"/>
        <w:spacing w:line="560" w:lineRule="atLeast"/>
        <w:rPr>
          <w:rFonts w:ascii="仿宋" w:hAnsi="仿宋" w:eastAsia="仿宋" w:cs="Times New Roman"/>
          <w:kern w:val="0"/>
          <w:sz w:val="32"/>
          <w:szCs w:val="32"/>
          <w:highlight w:val="none"/>
        </w:rPr>
      </w:pPr>
    </w:p>
    <w:tbl>
      <w:tblPr>
        <w:tblStyle w:val="49"/>
        <w:tblW w:w="0" w:type="auto"/>
        <w:jc w:val="center"/>
        <w:tblLayout w:type="fixed"/>
        <w:tblCellMar>
          <w:top w:w="0" w:type="dxa"/>
          <w:left w:w="108" w:type="dxa"/>
          <w:bottom w:w="0" w:type="dxa"/>
          <w:right w:w="108" w:type="dxa"/>
        </w:tblCellMar>
      </w:tblPr>
      <w:tblGrid>
        <w:gridCol w:w="437"/>
        <w:gridCol w:w="915"/>
        <w:gridCol w:w="576"/>
        <w:gridCol w:w="7655"/>
        <w:gridCol w:w="645"/>
      </w:tblGrid>
      <w:tr w14:paraId="5257A215">
        <w:tblPrEx>
          <w:tblCellMar>
            <w:top w:w="0" w:type="dxa"/>
            <w:left w:w="108" w:type="dxa"/>
            <w:bottom w:w="0" w:type="dxa"/>
            <w:right w:w="108" w:type="dxa"/>
          </w:tblCellMar>
        </w:tblPrEx>
        <w:trPr>
          <w:trHeight w:val="840" w:hRule="atLeast"/>
          <w:jc w:val="center"/>
        </w:trPr>
        <w:tc>
          <w:tcPr>
            <w:tcW w:w="10228" w:type="dxa"/>
            <w:gridSpan w:val="5"/>
            <w:noWrap/>
            <w:vAlign w:val="center"/>
          </w:tcPr>
          <w:p w14:paraId="5EE2E135">
            <w:pPr>
              <w:widowControl w:val="0"/>
              <w:ind w:firstLine="0"/>
              <w:jc w:val="both"/>
              <w:rPr>
                <w:rFonts w:hint="eastAsia" w:ascii="Times New Roman" w:hAnsi="Times New Roman" w:eastAsia="楷体_GB2312" w:cs="Times New Roman"/>
                <w:sz w:val="34"/>
                <w:szCs w:val="20"/>
                <w:highlight w:val="none"/>
                <w:lang w:val="en-US" w:eastAsia="zh-CN" w:bidi="ar-SA"/>
              </w:rPr>
            </w:pPr>
          </w:p>
          <w:p w14:paraId="0EF3C65E">
            <w:pPr>
              <w:widowControl/>
              <w:jc w:val="center"/>
              <w:rPr>
                <w:rFonts w:ascii="宋体" w:hAnsi="Times New Roman" w:eastAsia="楷体_GB2312" w:cs="Times New Roman"/>
                <w:kern w:val="0"/>
                <w:sz w:val="28"/>
                <w:szCs w:val="28"/>
                <w:highlight w:val="none"/>
              </w:rPr>
            </w:pPr>
            <w:r>
              <w:rPr>
                <w:rFonts w:hint="eastAsia" w:ascii="宋体" w:hAnsi="宋体" w:eastAsia="楷体_GB2312" w:cs="宋体"/>
                <w:kern w:val="0"/>
                <w:sz w:val="28"/>
                <w:szCs w:val="28"/>
                <w:highlight w:val="none"/>
              </w:rPr>
              <w:t>监理单位履约评价细则</w:t>
            </w:r>
          </w:p>
        </w:tc>
      </w:tr>
      <w:tr w14:paraId="5593176F">
        <w:tblPrEx>
          <w:tblCellMar>
            <w:top w:w="0" w:type="dxa"/>
            <w:left w:w="108" w:type="dxa"/>
            <w:bottom w:w="0" w:type="dxa"/>
            <w:right w:w="108" w:type="dxa"/>
          </w:tblCellMar>
        </w:tblPrEx>
        <w:trPr>
          <w:trHeight w:val="510" w:hRule="atLeast"/>
          <w:jc w:val="center"/>
        </w:trPr>
        <w:tc>
          <w:tcPr>
            <w:tcW w:w="437" w:type="dxa"/>
            <w:tcBorders>
              <w:top w:val="single" w:color="auto" w:sz="8" w:space="0"/>
              <w:left w:val="single" w:color="auto" w:sz="8" w:space="0"/>
              <w:bottom w:val="nil"/>
              <w:right w:val="single" w:color="auto" w:sz="4" w:space="0"/>
            </w:tcBorders>
            <w:noWrap w:val="0"/>
            <w:vAlign w:val="center"/>
          </w:tcPr>
          <w:p w14:paraId="556D180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序号</w:t>
            </w:r>
          </w:p>
        </w:tc>
        <w:tc>
          <w:tcPr>
            <w:tcW w:w="915" w:type="dxa"/>
            <w:tcBorders>
              <w:top w:val="single" w:color="auto" w:sz="8" w:space="0"/>
              <w:left w:val="nil"/>
              <w:bottom w:val="single" w:color="auto" w:sz="4" w:space="0"/>
              <w:right w:val="single" w:color="auto" w:sz="4" w:space="0"/>
            </w:tcBorders>
            <w:noWrap w:val="0"/>
            <w:vAlign w:val="center"/>
          </w:tcPr>
          <w:p w14:paraId="0BA0171B">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分 项 内 容</w:t>
            </w:r>
          </w:p>
        </w:tc>
        <w:tc>
          <w:tcPr>
            <w:tcW w:w="576" w:type="dxa"/>
            <w:tcBorders>
              <w:top w:val="single" w:color="auto" w:sz="8" w:space="0"/>
              <w:left w:val="nil"/>
              <w:bottom w:val="single" w:color="auto" w:sz="4" w:space="0"/>
              <w:right w:val="single" w:color="auto" w:sz="4" w:space="0"/>
            </w:tcBorders>
            <w:noWrap w:val="0"/>
            <w:vAlign w:val="center"/>
          </w:tcPr>
          <w:p w14:paraId="777FA1A4">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满分分值</w:t>
            </w:r>
          </w:p>
        </w:tc>
        <w:tc>
          <w:tcPr>
            <w:tcW w:w="7655" w:type="dxa"/>
            <w:tcBorders>
              <w:top w:val="single" w:color="auto" w:sz="8" w:space="0"/>
              <w:left w:val="nil"/>
              <w:bottom w:val="single" w:color="auto" w:sz="4" w:space="0"/>
              <w:right w:val="single" w:color="auto" w:sz="4" w:space="0"/>
            </w:tcBorders>
            <w:noWrap w:val="0"/>
            <w:vAlign w:val="center"/>
          </w:tcPr>
          <w:p w14:paraId="7C63B3A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评     价     标     准</w:t>
            </w:r>
          </w:p>
        </w:tc>
        <w:tc>
          <w:tcPr>
            <w:tcW w:w="645" w:type="dxa"/>
            <w:tcBorders>
              <w:top w:val="single" w:color="auto" w:sz="4" w:space="0"/>
              <w:left w:val="nil"/>
              <w:bottom w:val="single" w:color="auto" w:sz="4" w:space="0"/>
              <w:right w:val="single" w:color="auto" w:sz="4" w:space="0"/>
            </w:tcBorders>
            <w:noWrap/>
            <w:vAlign w:val="center"/>
          </w:tcPr>
          <w:p w14:paraId="526830D5">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得分</w:t>
            </w:r>
          </w:p>
        </w:tc>
      </w:tr>
      <w:tr w14:paraId="1BAE937D">
        <w:tblPrEx>
          <w:tblCellMar>
            <w:top w:w="0" w:type="dxa"/>
            <w:left w:w="108" w:type="dxa"/>
            <w:bottom w:w="0" w:type="dxa"/>
            <w:right w:w="108" w:type="dxa"/>
          </w:tblCellMar>
        </w:tblPrEx>
        <w:trPr>
          <w:trHeight w:val="630" w:hRule="atLeast"/>
          <w:jc w:val="center"/>
        </w:trPr>
        <w:tc>
          <w:tcPr>
            <w:tcW w:w="437" w:type="dxa"/>
            <w:tcBorders>
              <w:top w:val="single" w:color="auto" w:sz="4" w:space="0"/>
              <w:left w:val="single" w:color="auto" w:sz="8" w:space="0"/>
              <w:bottom w:val="single" w:color="auto" w:sz="4" w:space="0"/>
              <w:right w:val="single" w:color="auto" w:sz="4" w:space="0"/>
            </w:tcBorders>
            <w:noWrap/>
            <w:vAlign w:val="center"/>
          </w:tcPr>
          <w:p w14:paraId="5038B216">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一</w:t>
            </w:r>
          </w:p>
        </w:tc>
        <w:tc>
          <w:tcPr>
            <w:tcW w:w="915" w:type="dxa"/>
            <w:tcBorders>
              <w:top w:val="nil"/>
              <w:left w:val="nil"/>
              <w:bottom w:val="single" w:color="auto" w:sz="4" w:space="0"/>
              <w:right w:val="single" w:color="auto" w:sz="4" w:space="0"/>
            </w:tcBorders>
            <w:noWrap w:val="0"/>
            <w:vAlign w:val="center"/>
          </w:tcPr>
          <w:p w14:paraId="614696D2">
            <w:pPr>
              <w:widowControl/>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人员</w:t>
            </w:r>
          </w:p>
          <w:p w14:paraId="10012A84">
            <w:pPr>
              <w:widowControl/>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配备</w:t>
            </w:r>
          </w:p>
        </w:tc>
        <w:tc>
          <w:tcPr>
            <w:tcW w:w="576" w:type="dxa"/>
            <w:tcBorders>
              <w:top w:val="nil"/>
              <w:left w:val="nil"/>
              <w:bottom w:val="single" w:color="auto" w:sz="4" w:space="0"/>
              <w:right w:val="single" w:color="auto" w:sz="4" w:space="0"/>
            </w:tcBorders>
            <w:noWrap/>
            <w:vAlign w:val="center"/>
          </w:tcPr>
          <w:p w14:paraId="3EDB84D0">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18</w:t>
            </w:r>
          </w:p>
        </w:tc>
        <w:tc>
          <w:tcPr>
            <w:tcW w:w="7655" w:type="dxa"/>
            <w:tcBorders>
              <w:top w:val="nil"/>
              <w:left w:val="nil"/>
              <w:bottom w:val="single" w:color="auto" w:sz="4" w:space="0"/>
              <w:right w:val="single" w:color="auto" w:sz="4" w:space="0"/>
            </w:tcBorders>
            <w:noWrap w:val="0"/>
            <w:vAlign w:val="center"/>
          </w:tcPr>
          <w:p w14:paraId="37D4EAC3">
            <w:pPr>
              <w:widowControl/>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c>
          <w:tcPr>
            <w:tcW w:w="645" w:type="dxa"/>
            <w:tcBorders>
              <w:top w:val="nil"/>
              <w:left w:val="nil"/>
              <w:bottom w:val="single" w:color="auto" w:sz="4" w:space="0"/>
              <w:right w:val="single" w:color="auto" w:sz="4" w:space="0"/>
            </w:tcBorders>
            <w:noWrap/>
            <w:vAlign w:val="center"/>
          </w:tcPr>
          <w:p w14:paraId="3E71D9BA">
            <w:pPr>
              <w:widowControl/>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r>
      <w:tr w14:paraId="29466215">
        <w:tblPrEx>
          <w:tblCellMar>
            <w:top w:w="0" w:type="dxa"/>
            <w:left w:w="108" w:type="dxa"/>
            <w:bottom w:w="0" w:type="dxa"/>
            <w:right w:w="108" w:type="dxa"/>
          </w:tblCellMar>
        </w:tblPrEx>
        <w:trPr>
          <w:trHeight w:val="1380" w:hRule="atLeast"/>
          <w:jc w:val="center"/>
        </w:trPr>
        <w:tc>
          <w:tcPr>
            <w:tcW w:w="437" w:type="dxa"/>
            <w:tcBorders>
              <w:top w:val="nil"/>
              <w:left w:val="single" w:color="auto" w:sz="8" w:space="0"/>
              <w:bottom w:val="single" w:color="auto" w:sz="4" w:space="0"/>
              <w:right w:val="single" w:color="auto" w:sz="4" w:space="0"/>
            </w:tcBorders>
            <w:noWrap/>
            <w:vAlign w:val="center"/>
          </w:tcPr>
          <w:p w14:paraId="1CDD0C40">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w:t>
            </w:r>
          </w:p>
        </w:tc>
        <w:tc>
          <w:tcPr>
            <w:tcW w:w="915" w:type="dxa"/>
            <w:tcBorders>
              <w:top w:val="nil"/>
              <w:left w:val="nil"/>
              <w:bottom w:val="single" w:color="auto" w:sz="4" w:space="0"/>
              <w:right w:val="single" w:color="auto" w:sz="4" w:space="0"/>
            </w:tcBorders>
            <w:noWrap w:val="0"/>
            <w:vAlign w:val="center"/>
          </w:tcPr>
          <w:p w14:paraId="0C44F3CE">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人员</w:t>
            </w:r>
          </w:p>
          <w:p w14:paraId="4169B081">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数量</w:t>
            </w:r>
          </w:p>
          <w:p w14:paraId="7C46511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要求</w:t>
            </w:r>
          </w:p>
        </w:tc>
        <w:tc>
          <w:tcPr>
            <w:tcW w:w="576" w:type="dxa"/>
            <w:tcBorders>
              <w:top w:val="nil"/>
              <w:left w:val="nil"/>
              <w:bottom w:val="single" w:color="auto" w:sz="4" w:space="0"/>
              <w:right w:val="single" w:color="auto" w:sz="4" w:space="0"/>
            </w:tcBorders>
            <w:noWrap/>
            <w:vAlign w:val="center"/>
          </w:tcPr>
          <w:p w14:paraId="3ECF5639">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4</w:t>
            </w:r>
          </w:p>
        </w:tc>
        <w:tc>
          <w:tcPr>
            <w:tcW w:w="7655" w:type="dxa"/>
            <w:tcBorders>
              <w:top w:val="nil"/>
              <w:left w:val="nil"/>
              <w:bottom w:val="single" w:color="auto" w:sz="4" w:space="0"/>
              <w:right w:val="single" w:color="auto" w:sz="4" w:space="0"/>
            </w:tcBorders>
            <w:noWrap w:val="0"/>
            <w:vAlign w:val="center"/>
          </w:tcPr>
          <w:p w14:paraId="7412D8BE">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4 分：配备监理人员的数量满足合同及监理工作的实际要求并能及时到位，项目部主要负责人与投标文件保持一致；                                                                                                      合格 2 分：配备监理人员的数量基本满足合同及监理工作的实际要求并能到位，人员调整得到建设单位的认可；                                                                        不合格 0 分：配备监理人员的数量不满足合同及监理工作的实际要求。</w:t>
            </w:r>
          </w:p>
        </w:tc>
        <w:tc>
          <w:tcPr>
            <w:tcW w:w="645" w:type="dxa"/>
            <w:tcBorders>
              <w:top w:val="nil"/>
              <w:left w:val="nil"/>
              <w:bottom w:val="single" w:color="auto" w:sz="4" w:space="0"/>
              <w:right w:val="single" w:color="auto" w:sz="4" w:space="0"/>
            </w:tcBorders>
            <w:noWrap/>
            <w:vAlign w:val="center"/>
          </w:tcPr>
          <w:p w14:paraId="3245D881">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67589D5B">
        <w:tblPrEx>
          <w:tblCellMar>
            <w:top w:w="0" w:type="dxa"/>
            <w:left w:w="108" w:type="dxa"/>
            <w:bottom w:w="0" w:type="dxa"/>
            <w:right w:w="108" w:type="dxa"/>
          </w:tblCellMar>
        </w:tblPrEx>
        <w:trPr>
          <w:trHeight w:val="945" w:hRule="atLeast"/>
          <w:jc w:val="center"/>
        </w:trPr>
        <w:tc>
          <w:tcPr>
            <w:tcW w:w="437" w:type="dxa"/>
            <w:tcBorders>
              <w:top w:val="nil"/>
              <w:left w:val="single" w:color="auto" w:sz="8" w:space="0"/>
              <w:bottom w:val="single" w:color="auto" w:sz="4" w:space="0"/>
              <w:right w:val="single" w:color="auto" w:sz="4" w:space="0"/>
            </w:tcBorders>
            <w:noWrap/>
            <w:vAlign w:val="center"/>
          </w:tcPr>
          <w:p w14:paraId="7BB352FE">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2</w:t>
            </w:r>
          </w:p>
        </w:tc>
        <w:tc>
          <w:tcPr>
            <w:tcW w:w="915" w:type="dxa"/>
            <w:tcBorders>
              <w:top w:val="nil"/>
              <w:left w:val="nil"/>
              <w:bottom w:val="single" w:color="auto" w:sz="4" w:space="0"/>
              <w:right w:val="single" w:color="auto" w:sz="4" w:space="0"/>
            </w:tcBorders>
            <w:noWrap w:val="0"/>
            <w:vAlign w:val="center"/>
          </w:tcPr>
          <w:p w14:paraId="22932CB3">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专业</w:t>
            </w:r>
          </w:p>
          <w:p w14:paraId="175831B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配置</w:t>
            </w:r>
          </w:p>
          <w:p w14:paraId="4F08E40B">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要求</w:t>
            </w:r>
          </w:p>
        </w:tc>
        <w:tc>
          <w:tcPr>
            <w:tcW w:w="576" w:type="dxa"/>
            <w:tcBorders>
              <w:top w:val="nil"/>
              <w:left w:val="nil"/>
              <w:bottom w:val="single" w:color="auto" w:sz="4" w:space="0"/>
              <w:right w:val="single" w:color="auto" w:sz="4" w:space="0"/>
            </w:tcBorders>
            <w:noWrap/>
            <w:vAlign w:val="center"/>
          </w:tcPr>
          <w:p w14:paraId="3A61811A">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5DA04F86">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6 分：配备的监理人员的专业满足监理合同要求，各专业人员保持稳定并与投标文件保持一致；</w:t>
            </w:r>
          </w:p>
          <w:p w14:paraId="76C56D85">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合格 4 分：配备的监理人员的专业基本满足监理合同要求，各专业人员保持基本稳定并与投标文件保持基本一致；                                                                                                                                                                                                              不合格 0 分：配备的监理人员专业不满足监理合同要求，各专业人员调换频繁且与投标文件保持一致。</w:t>
            </w:r>
          </w:p>
        </w:tc>
        <w:tc>
          <w:tcPr>
            <w:tcW w:w="645" w:type="dxa"/>
            <w:tcBorders>
              <w:top w:val="nil"/>
              <w:left w:val="nil"/>
              <w:bottom w:val="single" w:color="auto" w:sz="4" w:space="0"/>
              <w:right w:val="single" w:color="auto" w:sz="4" w:space="0"/>
            </w:tcBorders>
            <w:noWrap/>
            <w:vAlign w:val="center"/>
          </w:tcPr>
          <w:p w14:paraId="40E64108">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37080D82">
        <w:tblPrEx>
          <w:tblCellMar>
            <w:top w:w="0" w:type="dxa"/>
            <w:left w:w="108" w:type="dxa"/>
            <w:bottom w:w="0" w:type="dxa"/>
            <w:right w:w="108" w:type="dxa"/>
          </w:tblCellMar>
        </w:tblPrEx>
        <w:trPr>
          <w:trHeight w:val="1345" w:hRule="atLeast"/>
          <w:jc w:val="center"/>
        </w:trPr>
        <w:tc>
          <w:tcPr>
            <w:tcW w:w="437" w:type="dxa"/>
            <w:tcBorders>
              <w:top w:val="nil"/>
              <w:left w:val="single" w:color="auto" w:sz="8" w:space="0"/>
              <w:bottom w:val="single" w:color="auto" w:sz="4" w:space="0"/>
              <w:right w:val="single" w:color="auto" w:sz="4" w:space="0"/>
            </w:tcBorders>
            <w:noWrap/>
            <w:vAlign w:val="center"/>
          </w:tcPr>
          <w:p w14:paraId="57E454A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3</w:t>
            </w:r>
          </w:p>
        </w:tc>
        <w:tc>
          <w:tcPr>
            <w:tcW w:w="915" w:type="dxa"/>
            <w:tcBorders>
              <w:top w:val="nil"/>
              <w:left w:val="nil"/>
              <w:bottom w:val="single" w:color="auto" w:sz="4" w:space="0"/>
              <w:right w:val="single" w:color="auto" w:sz="4" w:space="0"/>
            </w:tcBorders>
            <w:noWrap w:val="0"/>
            <w:vAlign w:val="center"/>
          </w:tcPr>
          <w:p w14:paraId="4EE2AE6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项目</w:t>
            </w:r>
          </w:p>
          <w:p w14:paraId="65CB81FF">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总监</w:t>
            </w:r>
          </w:p>
          <w:p w14:paraId="54B85D26">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要求</w:t>
            </w:r>
          </w:p>
        </w:tc>
        <w:tc>
          <w:tcPr>
            <w:tcW w:w="576" w:type="dxa"/>
            <w:tcBorders>
              <w:top w:val="nil"/>
              <w:left w:val="nil"/>
              <w:bottom w:val="single" w:color="auto" w:sz="4" w:space="0"/>
              <w:right w:val="single" w:color="auto" w:sz="4" w:space="0"/>
            </w:tcBorders>
            <w:noWrap/>
            <w:vAlign w:val="center"/>
          </w:tcPr>
          <w:p w14:paraId="707130A1">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8</w:t>
            </w:r>
          </w:p>
        </w:tc>
        <w:tc>
          <w:tcPr>
            <w:tcW w:w="7655" w:type="dxa"/>
            <w:tcBorders>
              <w:top w:val="nil"/>
              <w:left w:val="nil"/>
              <w:bottom w:val="single" w:color="auto" w:sz="4" w:space="0"/>
              <w:right w:val="single" w:color="auto" w:sz="4" w:space="0"/>
            </w:tcBorders>
            <w:noWrap w:val="0"/>
            <w:vAlign w:val="center"/>
          </w:tcPr>
          <w:p w14:paraId="6EC5634B">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8 分：项目总监常驻现场且该总监具有高度责任心、良好的组织协调能力和专业的业务水平；</w:t>
            </w:r>
          </w:p>
          <w:p w14:paraId="01EE5754">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 5 分：项目总监基本常驻现场且该总监具有责任心、具有一定组织协调能力和专业的业务水平；                                                              </w:t>
            </w:r>
          </w:p>
          <w:p w14:paraId="31FC1629">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分：项目总监未常驻现场或该总监无责任心、组织协调能力和专业的业务水平差。</w:t>
            </w:r>
          </w:p>
        </w:tc>
        <w:tc>
          <w:tcPr>
            <w:tcW w:w="645" w:type="dxa"/>
            <w:tcBorders>
              <w:top w:val="nil"/>
              <w:left w:val="nil"/>
              <w:bottom w:val="single" w:color="auto" w:sz="4" w:space="0"/>
              <w:right w:val="single" w:color="auto" w:sz="4" w:space="0"/>
            </w:tcBorders>
            <w:noWrap/>
            <w:vAlign w:val="center"/>
          </w:tcPr>
          <w:p w14:paraId="5B0AEBE4">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438897C7">
        <w:tblPrEx>
          <w:tblCellMar>
            <w:top w:w="0" w:type="dxa"/>
            <w:left w:w="108" w:type="dxa"/>
            <w:bottom w:w="0" w:type="dxa"/>
            <w:right w:w="108" w:type="dxa"/>
          </w:tblCellMar>
        </w:tblPrEx>
        <w:trPr>
          <w:trHeight w:val="738" w:hRule="atLeast"/>
          <w:jc w:val="center"/>
        </w:trPr>
        <w:tc>
          <w:tcPr>
            <w:tcW w:w="437" w:type="dxa"/>
            <w:tcBorders>
              <w:top w:val="nil"/>
              <w:left w:val="single" w:color="auto" w:sz="8" w:space="0"/>
              <w:bottom w:val="single" w:color="auto" w:sz="4" w:space="0"/>
              <w:right w:val="single" w:color="auto" w:sz="4" w:space="0"/>
            </w:tcBorders>
            <w:noWrap/>
            <w:vAlign w:val="center"/>
          </w:tcPr>
          <w:p w14:paraId="6CCDCB9F">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二</w:t>
            </w:r>
          </w:p>
        </w:tc>
        <w:tc>
          <w:tcPr>
            <w:tcW w:w="915" w:type="dxa"/>
            <w:tcBorders>
              <w:top w:val="nil"/>
              <w:left w:val="nil"/>
              <w:bottom w:val="single" w:color="auto" w:sz="4" w:space="0"/>
              <w:right w:val="single" w:color="auto" w:sz="4" w:space="0"/>
            </w:tcBorders>
            <w:noWrap w:val="0"/>
            <w:vAlign w:val="center"/>
          </w:tcPr>
          <w:p w14:paraId="068CE3D4">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履约</w:t>
            </w:r>
          </w:p>
          <w:p w14:paraId="2E1010BC">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质量</w:t>
            </w:r>
          </w:p>
        </w:tc>
        <w:tc>
          <w:tcPr>
            <w:tcW w:w="576" w:type="dxa"/>
            <w:tcBorders>
              <w:top w:val="nil"/>
              <w:left w:val="nil"/>
              <w:bottom w:val="single" w:color="auto" w:sz="4" w:space="0"/>
              <w:right w:val="single" w:color="auto" w:sz="4" w:space="0"/>
            </w:tcBorders>
            <w:noWrap/>
            <w:vAlign w:val="center"/>
          </w:tcPr>
          <w:p w14:paraId="35B0DB42">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70</w:t>
            </w:r>
          </w:p>
        </w:tc>
        <w:tc>
          <w:tcPr>
            <w:tcW w:w="7655" w:type="dxa"/>
            <w:tcBorders>
              <w:top w:val="nil"/>
              <w:left w:val="nil"/>
              <w:bottom w:val="single" w:color="auto" w:sz="4" w:space="0"/>
              <w:right w:val="single" w:color="auto" w:sz="4" w:space="0"/>
            </w:tcBorders>
            <w:noWrap w:val="0"/>
            <w:vAlign w:val="center"/>
          </w:tcPr>
          <w:p w14:paraId="4252DE61">
            <w:pPr>
              <w:widowControl/>
              <w:jc w:val="left"/>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c>
          <w:tcPr>
            <w:tcW w:w="645" w:type="dxa"/>
            <w:tcBorders>
              <w:top w:val="nil"/>
              <w:left w:val="nil"/>
              <w:bottom w:val="single" w:color="auto" w:sz="4" w:space="0"/>
              <w:right w:val="single" w:color="auto" w:sz="4" w:space="0"/>
            </w:tcBorders>
            <w:noWrap/>
            <w:vAlign w:val="center"/>
          </w:tcPr>
          <w:p w14:paraId="189612A1">
            <w:pPr>
              <w:widowControl/>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r>
      <w:tr w14:paraId="70EF7FC5">
        <w:tblPrEx>
          <w:tblCellMar>
            <w:top w:w="0" w:type="dxa"/>
            <w:left w:w="108" w:type="dxa"/>
            <w:bottom w:w="0" w:type="dxa"/>
            <w:right w:w="108" w:type="dxa"/>
          </w:tblCellMar>
        </w:tblPrEx>
        <w:trPr>
          <w:trHeight w:val="922" w:hRule="atLeast"/>
          <w:jc w:val="center"/>
        </w:trPr>
        <w:tc>
          <w:tcPr>
            <w:tcW w:w="437" w:type="dxa"/>
            <w:tcBorders>
              <w:top w:val="nil"/>
              <w:left w:val="single" w:color="auto" w:sz="8" w:space="0"/>
              <w:bottom w:val="single" w:color="auto" w:sz="4" w:space="0"/>
              <w:right w:val="single" w:color="auto" w:sz="4" w:space="0"/>
            </w:tcBorders>
            <w:noWrap/>
            <w:vAlign w:val="center"/>
          </w:tcPr>
          <w:p w14:paraId="36F65EC4">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4</w:t>
            </w:r>
          </w:p>
        </w:tc>
        <w:tc>
          <w:tcPr>
            <w:tcW w:w="915" w:type="dxa"/>
            <w:tcBorders>
              <w:top w:val="nil"/>
              <w:left w:val="nil"/>
              <w:bottom w:val="single" w:color="auto" w:sz="4" w:space="0"/>
              <w:right w:val="single" w:color="auto" w:sz="4" w:space="0"/>
            </w:tcBorders>
            <w:noWrap w:val="0"/>
            <w:vAlign w:val="center"/>
          </w:tcPr>
          <w:p w14:paraId="69A94533">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施工准备阶段监理</w:t>
            </w:r>
          </w:p>
        </w:tc>
        <w:tc>
          <w:tcPr>
            <w:tcW w:w="576" w:type="dxa"/>
            <w:tcBorders>
              <w:top w:val="nil"/>
              <w:left w:val="nil"/>
              <w:bottom w:val="single" w:color="auto" w:sz="4" w:space="0"/>
              <w:right w:val="single" w:color="auto" w:sz="4" w:space="0"/>
            </w:tcBorders>
            <w:noWrap/>
            <w:vAlign w:val="center"/>
          </w:tcPr>
          <w:p w14:paraId="71FD940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1A437C75">
            <w:pPr>
              <w:widowControl/>
              <w:jc w:val="left"/>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良好6分：能够认真主动地完成监理合同约定的施工准备阶段各项监理工作；                   合格4分：能够完成监理合同约定的施工准备阶段各项监理工作；                           不合格0分：不能够完成监理合同约定的施工准备阶段各项监理工作。</w:t>
            </w:r>
          </w:p>
        </w:tc>
        <w:tc>
          <w:tcPr>
            <w:tcW w:w="645" w:type="dxa"/>
            <w:tcBorders>
              <w:top w:val="nil"/>
              <w:left w:val="nil"/>
              <w:bottom w:val="single" w:color="auto" w:sz="4" w:space="0"/>
              <w:right w:val="single" w:color="auto" w:sz="4" w:space="0"/>
            </w:tcBorders>
            <w:noWrap/>
            <w:vAlign w:val="center"/>
          </w:tcPr>
          <w:p w14:paraId="0005C470">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02FAB5D9">
        <w:tblPrEx>
          <w:tblCellMar>
            <w:top w:w="0" w:type="dxa"/>
            <w:left w:w="108" w:type="dxa"/>
            <w:bottom w:w="0" w:type="dxa"/>
            <w:right w:w="108" w:type="dxa"/>
          </w:tblCellMar>
        </w:tblPrEx>
        <w:trPr>
          <w:trHeight w:val="2356" w:hRule="atLeast"/>
          <w:jc w:val="center"/>
        </w:trPr>
        <w:tc>
          <w:tcPr>
            <w:tcW w:w="437" w:type="dxa"/>
            <w:tcBorders>
              <w:top w:val="nil"/>
              <w:left w:val="single" w:color="auto" w:sz="8" w:space="0"/>
              <w:bottom w:val="single" w:color="auto" w:sz="4" w:space="0"/>
              <w:right w:val="single" w:color="auto" w:sz="4" w:space="0"/>
            </w:tcBorders>
            <w:noWrap/>
            <w:vAlign w:val="center"/>
          </w:tcPr>
          <w:p w14:paraId="7AEF37F1">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5</w:t>
            </w:r>
          </w:p>
        </w:tc>
        <w:tc>
          <w:tcPr>
            <w:tcW w:w="915" w:type="dxa"/>
            <w:tcBorders>
              <w:top w:val="nil"/>
              <w:left w:val="nil"/>
              <w:bottom w:val="single" w:color="auto" w:sz="4" w:space="0"/>
              <w:right w:val="single" w:color="auto" w:sz="4" w:space="0"/>
            </w:tcBorders>
            <w:noWrap w:val="0"/>
            <w:vAlign w:val="center"/>
          </w:tcPr>
          <w:p w14:paraId="4EE63B0E">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安全</w:t>
            </w:r>
          </w:p>
          <w:p w14:paraId="0E3917FF">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管理</w:t>
            </w:r>
          </w:p>
        </w:tc>
        <w:tc>
          <w:tcPr>
            <w:tcW w:w="576" w:type="dxa"/>
            <w:tcBorders>
              <w:top w:val="nil"/>
              <w:left w:val="nil"/>
              <w:bottom w:val="single" w:color="auto" w:sz="4" w:space="0"/>
              <w:right w:val="single" w:color="auto" w:sz="4" w:space="0"/>
            </w:tcBorders>
            <w:noWrap/>
            <w:vAlign w:val="center"/>
          </w:tcPr>
          <w:p w14:paraId="4F51347F">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10</w:t>
            </w:r>
          </w:p>
        </w:tc>
        <w:tc>
          <w:tcPr>
            <w:tcW w:w="7655" w:type="dxa"/>
            <w:tcBorders>
              <w:top w:val="nil"/>
              <w:left w:val="nil"/>
              <w:bottom w:val="single" w:color="auto" w:sz="4" w:space="0"/>
              <w:right w:val="single" w:color="auto" w:sz="4" w:space="0"/>
            </w:tcBorders>
            <w:noWrap w:val="0"/>
            <w:vAlign w:val="center"/>
          </w:tcPr>
          <w:p w14:paraId="3286FB39">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 8 分：能够严格地依照有关法律、法规对工程安全实施监理并承担监理责任；对危险性较大分部分项工程，编制安全监理方法和控制要点；能监督施工企业按照施工组织设计中的安全技术措施和安全专项施工方案组织施工，及时制止违规施工作业；                                                    </w:t>
            </w:r>
          </w:p>
          <w:p w14:paraId="7A3EF403">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 5 分：基本能够依照有关法律、法规对工程安全实施监理并承担监理责任；对危险性较大分部分项工程，编制安全监理方法和控制要点；基本能监督施工企业按照施工组织设计中的安全技术措施和安全专项施工方案组织施工，制止违规施工作业；                                                                                                       </w:t>
            </w:r>
          </w:p>
          <w:p w14:paraId="37D72D1E">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不合格 0 分：不能够依照有关法律、法规对工程安全实施监理并承担监理责任；对危险性较大分部分项工程，未编制安全监理方法和控制要点；未能监督施工企业按照施工组织设计中的安全技术措施和安全专项施工方案组织施工，未及时制止违规施工作业。                           </w:t>
            </w:r>
          </w:p>
        </w:tc>
        <w:tc>
          <w:tcPr>
            <w:tcW w:w="645" w:type="dxa"/>
            <w:tcBorders>
              <w:top w:val="nil"/>
              <w:left w:val="nil"/>
              <w:bottom w:val="single" w:color="auto" w:sz="4" w:space="0"/>
              <w:right w:val="single" w:color="auto" w:sz="4" w:space="0"/>
            </w:tcBorders>
            <w:noWrap/>
            <w:vAlign w:val="center"/>
          </w:tcPr>
          <w:p w14:paraId="6110AE0A">
            <w:pPr>
              <w:widowControl/>
              <w:rPr>
                <w:rFonts w:ascii="宋体" w:hAnsi="Times New Roman" w:eastAsia="楷体_GB2312" w:cs="Times New Roman"/>
                <w:kern w:val="0"/>
                <w:sz w:val="18"/>
                <w:szCs w:val="18"/>
                <w:highlight w:val="none"/>
              </w:rPr>
            </w:pPr>
          </w:p>
        </w:tc>
      </w:tr>
      <w:tr w14:paraId="09D8F202">
        <w:tblPrEx>
          <w:tblCellMar>
            <w:top w:w="0" w:type="dxa"/>
            <w:left w:w="108" w:type="dxa"/>
            <w:bottom w:w="0" w:type="dxa"/>
            <w:right w:w="108" w:type="dxa"/>
          </w:tblCellMar>
        </w:tblPrEx>
        <w:trPr>
          <w:trHeight w:val="2277" w:hRule="atLeast"/>
          <w:jc w:val="center"/>
        </w:trPr>
        <w:tc>
          <w:tcPr>
            <w:tcW w:w="437" w:type="dxa"/>
            <w:tcBorders>
              <w:top w:val="nil"/>
              <w:left w:val="single" w:color="auto" w:sz="8" w:space="0"/>
              <w:bottom w:val="single" w:color="auto" w:sz="4" w:space="0"/>
              <w:right w:val="single" w:color="auto" w:sz="4" w:space="0"/>
            </w:tcBorders>
            <w:noWrap/>
            <w:vAlign w:val="center"/>
          </w:tcPr>
          <w:p w14:paraId="281D391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915" w:type="dxa"/>
            <w:tcBorders>
              <w:top w:val="nil"/>
              <w:left w:val="nil"/>
              <w:bottom w:val="single" w:color="auto" w:sz="4" w:space="0"/>
              <w:right w:val="single" w:color="auto" w:sz="4" w:space="0"/>
            </w:tcBorders>
            <w:noWrap w:val="0"/>
            <w:vAlign w:val="center"/>
          </w:tcPr>
          <w:p w14:paraId="38B7B7E6">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工程</w:t>
            </w:r>
          </w:p>
          <w:p w14:paraId="04FFEE3E">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质量</w:t>
            </w:r>
          </w:p>
          <w:p w14:paraId="100842E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控制</w:t>
            </w:r>
          </w:p>
        </w:tc>
        <w:tc>
          <w:tcPr>
            <w:tcW w:w="576" w:type="dxa"/>
            <w:tcBorders>
              <w:top w:val="nil"/>
              <w:left w:val="nil"/>
              <w:bottom w:val="single" w:color="auto" w:sz="4" w:space="0"/>
              <w:right w:val="single" w:color="auto" w:sz="4" w:space="0"/>
            </w:tcBorders>
            <w:noWrap/>
            <w:vAlign w:val="center"/>
          </w:tcPr>
          <w:p w14:paraId="7A5F29A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12</w:t>
            </w:r>
          </w:p>
        </w:tc>
        <w:tc>
          <w:tcPr>
            <w:tcW w:w="7655" w:type="dxa"/>
            <w:tcBorders>
              <w:top w:val="nil"/>
              <w:left w:val="nil"/>
              <w:bottom w:val="single" w:color="auto" w:sz="4" w:space="0"/>
              <w:right w:val="single" w:color="auto" w:sz="4" w:space="0"/>
            </w:tcBorders>
            <w:noWrap w:val="0"/>
            <w:vAlign w:val="center"/>
          </w:tcPr>
          <w:p w14:paraId="60BCD2CC">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 12 分：工程质量控制工作符合监理合同的要求， 监理工程师能够严格地依照有关法律、法规、技术标准以及设计文件、建设工程施工合同和监理合同，对工程施工质量实施有效监理并对施工质量尽到监理责任；                                                       </w:t>
            </w:r>
          </w:p>
          <w:p w14:paraId="7E582C42">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合格7 分：工程质量控制工作基本符合监理合同的要求， 监理工程师基本能够依照有关法律、法规、技术标准以及设计文件、建设工程施工合同和监理合同，对工程施工质量实施有效监理并对施工质量尽到监理责任；                                                                                                                           </w:t>
            </w:r>
          </w:p>
          <w:p w14:paraId="48C471E3">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分：工程质量控制工作不符合监理合同的要求， 监理工程师不能够依照有关法律、法规、技术标准以及设计文件、建设工程施工合同和监理合同，对工程施工质量实施有效监理，以及未对施工质量尽到监理责任。</w:t>
            </w:r>
          </w:p>
        </w:tc>
        <w:tc>
          <w:tcPr>
            <w:tcW w:w="645" w:type="dxa"/>
            <w:tcBorders>
              <w:top w:val="nil"/>
              <w:left w:val="nil"/>
              <w:bottom w:val="single" w:color="auto" w:sz="4" w:space="0"/>
              <w:right w:val="single" w:color="auto" w:sz="4" w:space="0"/>
            </w:tcBorders>
            <w:noWrap/>
            <w:vAlign w:val="center"/>
          </w:tcPr>
          <w:p w14:paraId="1542436D">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2C70F7D2">
        <w:tblPrEx>
          <w:tblCellMar>
            <w:top w:w="0" w:type="dxa"/>
            <w:left w:w="108" w:type="dxa"/>
            <w:bottom w:w="0" w:type="dxa"/>
            <w:right w:w="108" w:type="dxa"/>
          </w:tblCellMar>
        </w:tblPrEx>
        <w:trPr>
          <w:trHeight w:val="1350" w:hRule="atLeast"/>
          <w:jc w:val="center"/>
        </w:trPr>
        <w:tc>
          <w:tcPr>
            <w:tcW w:w="437" w:type="dxa"/>
            <w:tcBorders>
              <w:top w:val="nil"/>
              <w:left w:val="single" w:color="auto" w:sz="8" w:space="0"/>
              <w:bottom w:val="single" w:color="auto" w:sz="4" w:space="0"/>
              <w:right w:val="single" w:color="auto" w:sz="4" w:space="0"/>
            </w:tcBorders>
            <w:noWrap/>
            <w:vAlign w:val="center"/>
          </w:tcPr>
          <w:p w14:paraId="1F4109B6">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7</w:t>
            </w:r>
          </w:p>
        </w:tc>
        <w:tc>
          <w:tcPr>
            <w:tcW w:w="915" w:type="dxa"/>
            <w:tcBorders>
              <w:top w:val="nil"/>
              <w:left w:val="nil"/>
              <w:bottom w:val="single" w:color="auto" w:sz="4" w:space="0"/>
              <w:right w:val="single" w:color="auto" w:sz="4" w:space="0"/>
            </w:tcBorders>
            <w:noWrap w:val="0"/>
            <w:vAlign w:val="center"/>
          </w:tcPr>
          <w:p w14:paraId="092BEB9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工程</w:t>
            </w:r>
          </w:p>
          <w:p w14:paraId="67EFF570">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投资</w:t>
            </w:r>
          </w:p>
          <w:p w14:paraId="5282E543">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控制</w:t>
            </w:r>
          </w:p>
        </w:tc>
        <w:tc>
          <w:tcPr>
            <w:tcW w:w="576" w:type="dxa"/>
            <w:tcBorders>
              <w:top w:val="nil"/>
              <w:left w:val="nil"/>
              <w:bottom w:val="single" w:color="auto" w:sz="4" w:space="0"/>
              <w:right w:val="single" w:color="auto" w:sz="4" w:space="0"/>
            </w:tcBorders>
            <w:noWrap/>
            <w:vAlign w:val="center"/>
          </w:tcPr>
          <w:p w14:paraId="11C3A2D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39E9C3EF">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6 分：能够认真及时地完成施工过程的工程计量、工程进度款支付审查、工程变更和签证的规范管理工作；</w:t>
            </w:r>
          </w:p>
          <w:p w14:paraId="520E20EE">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合格4分：基本能够完成施工过程的工程计量、工程进度款支付审查、工程变更和签证的规范管理工作；                        </w:t>
            </w:r>
          </w:p>
          <w:p w14:paraId="0B3DA024">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分：不能够完成施工过程的工程计量、工程进度款支付审查、工程变更和签证的规范管理工作。</w:t>
            </w:r>
          </w:p>
        </w:tc>
        <w:tc>
          <w:tcPr>
            <w:tcW w:w="645" w:type="dxa"/>
            <w:tcBorders>
              <w:top w:val="nil"/>
              <w:left w:val="nil"/>
              <w:bottom w:val="single" w:color="auto" w:sz="4" w:space="0"/>
              <w:right w:val="single" w:color="auto" w:sz="4" w:space="0"/>
            </w:tcBorders>
            <w:noWrap/>
            <w:vAlign w:val="center"/>
          </w:tcPr>
          <w:p w14:paraId="2127FD47">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3448918A">
        <w:tblPrEx>
          <w:tblCellMar>
            <w:top w:w="0" w:type="dxa"/>
            <w:left w:w="108" w:type="dxa"/>
            <w:bottom w:w="0" w:type="dxa"/>
            <w:right w:w="108" w:type="dxa"/>
          </w:tblCellMar>
        </w:tblPrEx>
        <w:trPr>
          <w:trHeight w:val="1611" w:hRule="atLeast"/>
          <w:jc w:val="center"/>
        </w:trPr>
        <w:tc>
          <w:tcPr>
            <w:tcW w:w="437" w:type="dxa"/>
            <w:tcBorders>
              <w:top w:val="nil"/>
              <w:left w:val="single" w:color="auto" w:sz="8" w:space="0"/>
              <w:bottom w:val="single" w:color="auto" w:sz="4" w:space="0"/>
              <w:right w:val="single" w:color="auto" w:sz="4" w:space="0"/>
            </w:tcBorders>
            <w:noWrap/>
            <w:vAlign w:val="center"/>
          </w:tcPr>
          <w:p w14:paraId="71F34BE6">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8</w:t>
            </w:r>
          </w:p>
        </w:tc>
        <w:tc>
          <w:tcPr>
            <w:tcW w:w="915" w:type="dxa"/>
            <w:tcBorders>
              <w:top w:val="nil"/>
              <w:left w:val="nil"/>
              <w:bottom w:val="single" w:color="auto" w:sz="4" w:space="0"/>
              <w:right w:val="single" w:color="auto" w:sz="4" w:space="0"/>
            </w:tcBorders>
            <w:noWrap w:val="0"/>
            <w:vAlign w:val="center"/>
          </w:tcPr>
          <w:p w14:paraId="41F8D00A">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工程变更、工程签证、工程结算价审核</w:t>
            </w:r>
          </w:p>
        </w:tc>
        <w:tc>
          <w:tcPr>
            <w:tcW w:w="576" w:type="dxa"/>
            <w:tcBorders>
              <w:top w:val="nil"/>
              <w:left w:val="nil"/>
              <w:bottom w:val="single" w:color="auto" w:sz="4" w:space="0"/>
              <w:right w:val="single" w:color="auto" w:sz="4" w:space="0"/>
            </w:tcBorders>
            <w:noWrap/>
            <w:vAlign w:val="center"/>
          </w:tcPr>
          <w:p w14:paraId="4C6956C2">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00D357DA">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6 分：能够准确详细地按照监理合同要求审核工程变更、工程签证、工程结算价款，工程结算审核价与最终审定价误差率小于5%（不含5%）                                                                                                                                                                   合格4分：基本能够准确详细地按照监理合同要求审核工程变更、工程签证、工程结算价款，工程结算审核价与最终审定价误差率在 5%--10%之间（不含10%）；                                                                                    不合格 0 分：不能够按照监理合同要求审核工程变更、工程签证、工程结算价款，工程结算审核价与最终审定价误差率在10%以上（含10%）。</w:t>
            </w:r>
          </w:p>
        </w:tc>
        <w:tc>
          <w:tcPr>
            <w:tcW w:w="645" w:type="dxa"/>
            <w:tcBorders>
              <w:top w:val="nil"/>
              <w:left w:val="nil"/>
              <w:bottom w:val="single" w:color="auto" w:sz="4" w:space="0"/>
              <w:right w:val="single" w:color="auto" w:sz="4" w:space="0"/>
            </w:tcBorders>
            <w:noWrap/>
            <w:vAlign w:val="center"/>
          </w:tcPr>
          <w:p w14:paraId="2776B29E">
            <w:pPr>
              <w:widowControl/>
              <w:rPr>
                <w:rFonts w:ascii="宋体" w:hAnsi="Times New Roman" w:eastAsia="楷体_GB2312" w:cs="Times New Roman"/>
                <w:kern w:val="0"/>
                <w:sz w:val="18"/>
                <w:szCs w:val="18"/>
                <w:highlight w:val="none"/>
              </w:rPr>
            </w:pPr>
          </w:p>
        </w:tc>
      </w:tr>
      <w:tr w14:paraId="454CF8CE">
        <w:tblPrEx>
          <w:tblCellMar>
            <w:top w:w="0" w:type="dxa"/>
            <w:left w:w="108" w:type="dxa"/>
            <w:bottom w:w="0" w:type="dxa"/>
            <w:right w:w="108" w:type="dxa"/>
          </w:tblCellMar>
        </w:tblPrEx>
        <w:trPr>
          <w:trHeight w:val="1550" w:hRule="atLeast"/>
          <w:jc w:val="center"/>
        </w:trPr>
        <w:tc>
          <w:tcPr>
            <w:tcW w:w="437" w:type="dxa"/>
            <w:tcBorders>
              <w:top w:val="nil"/>
              <w:left w:val="single" w:color="auto" w:sz="8" w:space="0"/>
              <w:bottom w:val="single" w:color="auto" w:sz="4" w:space="0"/>
              <w:right w:val="single" w:color="auto" w:sz="4" w:space="0"/>
            </w:tcBorders>
            <w:noWrap/>
            <w:vAlign w:val="center"/>
          </w:tcPr>
          <w:p w14:paraId="2FDA5105">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9</w:t>
            </w:r>
          </w:p>
        </w:tc>
        <w:tc>
          <w:tcPr>
            <w:tcW w:w="915" w:type="dxa"/>
            <w:tcBorders>
              <w:top w:val="nil"/>
              <w:left w:val="nil"/>
              <w:bottom w:val="single" w:color="auto" w:sz="4" w:space="0"/>
              <w:right w:val="single" w:color="auto" w:sz="4" w:space="0"/>
            </w:tcBorders>
            <w:noWrap w:val="0"/>
            <w:vAlign w:val="center"/>
          </w:tcPr>
          <w:p w14:paraId="5B649B2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进度</w:t>
            </w:r>
          </w:p>
          <w:p w14:paraId="7D4586C5">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控制</w:t>
            </w:r>
          </w:p>
        </w:tc>
        <w:tc>
          <w:tcPr>
            <w:tcW w:w="576" w:type="dxa"/>
            <w:tcBorders>
              <w:top w:val="nil"/>
              <w:left w:val="nil"/>
              <w:bottom w:val="single" w:color="auto" w:sz="4" w:space="0"/>
              <w:right w:val="single" w:color="auto" w:sz="4" w:space="0"/>
            </w:tcBorders>
            <w:noWrap/>
            <w:vAlign w:val="center"/>
          </w:tcPr>
          <w:p w14:paraId="3BC5659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12</w:t>
            </w:r>
          </w:p>
        </w:tc>
        <w:tc>
          <w:tcPr>
            <w:tcW w:w="7655" w:type="dxa"/>
            <w:tcBorders>
              <w:top w:val="nil"/>
              <w:left w:val="nil"/>
              <w:bottom w:val="single" w:color="auto" w:sz="4" w:space="0"/>
              <w:right w:val="single" w:color="auto" w:sz="4" w:space="0"/>
            </w:tcBorders>
            <w:noWrap w:val="0"/>
            <w:vAlign w:val="center"/>
          </w:tcPr>
          <w:p w14:paraId="4FCEF714">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 12 分：能够认真主动做好项目进度控制工作，实际进度未滞后计划进度且没有因监理工程师的责任造成工期延误；   </w:t>
            </w:r>
          </w:p>
          <w:p w14:paraId="42D5C595">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 7 分：基本能够认真主动做好项目进度控制工作，实际进度基本符合计划进度或没有因监理工程师的责任造成工期延误；                      </w:t>
            </w:r>
          </w:p>
          <w:p w14:paraId="39C44323">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分：不能够认真主动做好项目进度控制工作，实际进度滞后计划进度或因监理工程师的责任造成工期延误。</w:t>
            </w:r>
          </w:p>
        </w:tc>
        <w:tc>
          <w:tcPr>
            <w:tcW w:w="645" w:type="dxa"/>
            <w:tcBorders>
              <w:top w:val="nil"/>
              <w:left w:val="nil"/>
              <w:bottom w:val="single" w:color="auto" w:sz="4" w:space="0"/>
              <w:right w:val="single" w:color="auto" w:sz="4" w:space="0"/>
            </w:tcBorders>
            <w:noWrap/>
            <w:vAlign w:val="center"/>
          </w:tcPr>
          <w:p w14:paraId="75D4FE43">
            <w:pPr>
              <w:widowControl/>
              <w:rPr>
                <w:rFonts w:ascii="宋体" w:hAnsi="Times New Roman" w:eastAsia="楷体_GB2312" w:cs="Times New Roman"/>
                <w:kern w:val="0"/>
                <w:sz w:val="18"/>
                <w:szCs w:val="18"/>
                <w:highlight w:val="none"/>
              </w:rPr>
            </w:pPr>
          </w:p>
        </w:tc>
      </w:tr>
      <w:tr w14:paraId="4A5E2744">
        <w:tblPrEx>
          <w:tblCellMar>
            <w:top w:w="0" w:type="dxa"/>
            <w:left w:w="108" w:type="dxa"/>
            <w:bottom w:w="0" w:type="dxa"/>
            <w:right w:w="108" w:type="dxa"/>
          </w:tblCellMar>
        </w:tblPrEx>
        <w:trPr>
          <w:trHeight w:val="1569" w:hRule="atLeast"/>
          <w:jc w:val="center"/>
        </w:trPr>
        <w:tc>
          <w:tcPr>
            <w:tcW w:w="437" w:type="dxa"/>
            <w:tcBorders>
              <w:top w:val="nil"/>
              <w:left w:val="single" w:color="auto" w:sz="8" w:space="0"/>
              <w:bottom w:val="single" w:color="auto" w:sz="4" w:space="0"/>
              <w:right w:val="single" w:color="auto" w:sz="4" w:space="0"/>
            </w:tcBorders>
            <w:noWrap/>
            <w:vAlign w:val="center"/>
          </w:tcPr>
          <w:p w14:paraId="7014F685">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10</w:t>
            </w:r>
          </w:p>
        </w:tc>
        <w:tc>
          <w:tcPr>
            <w:tcW w:w="915" w:type="dxa"/>
            <w:tcBorders>
              <w:top w:val="nil"/>
              <w:left w:val="nil"/>
              <w:bottom w:val="single" w:color="auto" w:sz="4" w:space="0"/>
              <w:right w:val="single" w:color="auto" w:sz="4" w:space="0"/>
            </w:tcBorders>
            <w:noWrap w:val="0"/>
            <w:vAlign w:val="center"/>
          </w:tcPr>
          <w:p w14:paraId="6B42697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 合同     管理</w:t>
            </w:r>
          </w:p>
        </w:tc>
        <w:tc>
          <w:tcPr>
            <w:tcW w:w="576" w:type="dxa"/>
            <w:tcBorders>
              <w:top w:val="nil"/>
              <w:left w:val="nil"/>
              <w:bottom w:val="single" w:color="auto" w:sz="4" w:space="0"/>
              <w:right w:val="single" w:color="auto" w:sz="4" w:space="0"/>
            </w:tcBorders>
            <w:noWrap/>
            <w:vAlign w:val="center"/>
          </w:tcPr>
          <w:p w14:paraId="50F64172">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33805867">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 6 分：能够及时公正地按照施工合同、监理合同及监理规范的要求执行工程变更、工程延期、费用索赔、分包转让、争端仲裁和确认承包人违约等有关合同管理的工作内容；</w:t>
            </w:r>
          </w:p>
          <w:p w14:paraId="588DE4C0">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 4分：基本能够按照监理合同及监理规范的要求执行工程变更、工程延期、费用索赔、分包转让、争端仲裁和确认承包人违约等有关合同管理的工作内容；                        </w:t>
            </w:r>
          </w:p>
          <w:p w14:paraId="3BE6E984">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分：不能够按照监理合同及监理规范的要求执行工程变更、工程延期、费用索赔、分包转让、争端仲裁和确认承包人违约等有关合同管理的工作内容。</w:t>
            </w:r>
          </w:p>
        </w:tc>
        <w:tc>
          <w:tcPr>
            <w:tcW w:w="645" w:type="dxa"/>
            <w:tcBorders>
              <w:top w:val="nil"/>
              <w:left w:val="nil"/>
              <w:bottom w:val="single" w:color="auto" w:sz="4" w:space="0"/>
              <w:right w:val="single" w:color="auto" w:sz="4" w:space="0"/>
            </w:tcBorders>
            <w:noWrap/>
            <w:vAlign w:val="center"/>
          </w:tcPr>
          <w:p w14:paraId="23C34055">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791AF4B8">
        <w:tblPrEx>
          <w:tblCellMar>
            <w:top w:w="0" w:type="dxa"/>
            <w:left w:w="108" w:type="dxa"/>
            <w:bottom w:w="0" w:type="dxa"/>
            <w:right w:w="108" w:type="dxa"/>
          </w:tblCellMar>
        </w:tblPrEx>
        <w:trPr>
          <w:trHeight w:val="1536" w:hRule="atLeast"/>
          <w:jc w:val="center"/>
        </w:trPr>
        <w:tc>
          <w:tcPr>
            <w:tcW w:w="437" w:type="dxa"/>
            <w:tcBorders>
              <w:top w:val="nil"/>
              <w:left w:val="single" w:color="auto" w:sz="8" w:space="0"/>
              <w:bottom w:val="single" w:color="auto" w:sz="4" w:space="0"/>
              <w:right w:val="single" w:color="auto" w:sz="4" w:space="0"/>
            </w:tcBorders>
            <w:noWrap/>
            <w:vAlign w:val="center"/>
          </w:tcPr>
          <w:p w14:paraId="5DED9DA2">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11</w:t>
            </w:r>
          </w:p>
        </w:tc>
        <w:tc>
          <w:tcPr>
            <w:tcW w:w="915" w:type="dxa"/>
            <w:tcBorders>
              <w:top w:val="nil"/>
              <w:left w:val="nil"/>
              <w:bottom w:val="single" w:color="auto" w:sz="4" w:space="0"/>
              <w:right w:val="single" w:color="auto" w:sz="4" w:space="0"/>
            </w:tcBorders>
            <w:noWrap w:val="0"/>
            <w:vAlign w:val="center"/>
          </w:tcPr>
          <w:p w14:paraId="28EF03AB">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资料</w:t>
            </w:r>
          </w:p>
          <w:p w14:paraId="5E60D9D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管理</w:t>
            </w:r>
          </w:p>
        </w:tc>
        <w:tc>
          <w:tcPr>
            <w:tcW w:w="576" w:type="dxa"/>
            <w:tcBorders>
              <w:top w:val="nil"/>
              <w:left w:val="nil"/>
              <w:bottom w:val="single" w:color="auto" w:sz="4" w:space="0"/>
              <w:right w:val="single" w:color="auto" w:sz="4" w:space="0"/>
            </w:tcBorders>
            <w:noWrap/>
            <w:vAlign w:val="center"/>
          </w:tcPr>
          <w:p w14:paraId="6FD5FA0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421DB1A6">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良好6分：能够认真及时地按照监理合同要求做好监理方案、监理记录、监理月报和各类工程档案资料的编制、审核、管理工作；</w:t>
            </w:r>
          </w:p>
          <w:p w14:paraId="5DCF2B9B">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合格 4分：基本能够认真及时地按照监理合同要求做好监理方案、监理记录、监理月报和各类工程档案资料的编制、审核、管理工作；</w:t>
            </w:r>
          </w:p>
          <w:p w14:paraId="20DC4428">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分：不能够认真及时地按照监理合同要求做好监理方案、监理记录、监理月报和各类工程档案资料的编制、审核、管理工作。</w:t>
            </w:r>
          </w:p>
        </w:tc>
        <w:tc>
          <w:tcPr>
            <w:tcW w:w="645" w:type="dxa"/>
            <w:tcBorders>
              <w:top w:val="nil"/>
              <w:left w:val="nil"/>
              <w:bottom w:val="single" w:color="auto" w:sz="4" w:space="0"/>
              <w:right w:val="single" w:color="auto" w:sz="4" w:space="0"/>
            </w:tcBorders>
            <w:noWrap/>
            <w:vAlign w:val="center"/>
          </w:tcPr>
          <w:p w14:paraId="60F99D22">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3CA53ABE">
        <w:tblPrEx>
          <w:tblCellMar>
            <w:top w:w="0" w:type="dxa"/>
            <w:left w:w="108" w:type="dxa"/>
            <w:bottom w:w="0" w:type="dxa"/>
            <w:right w:w="108" w:type="dxa"/>
          </w:tblCellMar>
        </w:tblPrEx>
        <w:trPr>
          <w:trHeight w:val="1544" w:hRule="atLeast"/>
          <w:jc w:val="center"/>
        </w:trPr>
        <w:tc>
          <w:tcPr>
            <w:tcW w:w="437" w:type="dxa"/>
            <w:tcBorders>
              <w:top w:val="nil"/>
              <w:left w:val="single" w:color="auto" w:sz="8" w:space="0"/>
              <w:bottom w:val="single" w:color="auto" w:sz="4" w:space="0"/>
              <w:right w:val="single" w:color="auto" w:sz="4" w:space="0"/>
            </w:tcBorders>
            <w:noWrap/>
            <w:vAlign w:val="center"/>
          </w:tcPr>
          <w:p w14:paraId="2BE58CFA">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12</w:t>
            </w:r>
          </w:p>
        </w:tc>
        <w:tc>
          <w:tcPr>
            <w:tcW w:w="915" w:type="dxa"/>
            <w:tcBorders>
              <w:top w:val="nil"/>
              <w:left w:val="nil"/>
              <w:bottom w:val="single" w:color="auto" w:sz="4" w:space="0"/>
              <w:right w:val="single" w:color="auto" w:sz="4" w:space="0"/>
            </w:tcBorders>
            <w:noWrap w:val="0"/>
            <w:vAlign w:val="center"/>
          </w:tcPr>
          <w:p w14:paraId="57CB5AE0">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协调</w:t>
            </w:r>
          </w:p>
          <w:p w14:paraId="67435E4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配合</w:t>
            </w:r>
          </w:p>
          <w:p w14:paraId="2E196464">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情况</w:t>
            </w:r>
          </w:p>
        </w:tc>
        <w:tc>
          <w:tcPr>
            <w:tcW w:w="576" w:type="dxa"/>
            <w:tcBorders>
              <w:top w:val="nil"/>
              <w:left w:val="nil"/>
              <w:bottom w:val="single" w:color="auto" w:sz="4" w:space="0"/>
              <w:right w:val="single" w:color="auto" w:sz="4" w:space="0"/>
            </w:tcBorders>
            <w:noWrap/>
            <w:vAlign w:val="center"/>
          </w:tcPr>
          <w:p w14:paraId="2948C0D1">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41C029A2">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 8分：能够认真主动地配合建设单位工作、协调项目内外各相关部门和单位，依法合规的推动项目建设工作；                                                                                                                     </w:t>
            </w:r>
          </w:p>
          <w:p w14:paraId="0D14F247">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合格5分：基本能够认真主动地配合建设单位工作、协调项目内外各相关部门和单位，依法合规的推动项目建设工作；                                                                                                        </w:t>
            </w:r>
          </w:p>
          <w:p w14:paraId="3E5C92F6">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不合格 0 分：不能够能够认真主动地配合建设单位工作、协调项目内外各相关部门和单位，依法合规的推动项目建设工作。 </w:t>
            </w:r>
          </w:p>
        </w:tc>
        <w:tc>
          <w:tcPr>
            <w:tcW w:w="645" w:type="dxa"/>
            <w:tcBorders>
              <w:top w:val="nil"/>
              <w:left w:val="nil"/>
              <w:bottom w:val="single" w:color="auto" w:sz="4" w:space="0"/>
              <w:right w:val="single" w:color="auto" w:sz="4" w:space="0"/>
            </w:tcBorders>
            <w:noWrap/>
            <w:vAlign w:val="center"/>
          </w:tcPr>
          <w:p w14:paraId="4D4B359A">
            <w:pPr>
              <w:widowControl/>
              <w:rPr>
                <w:rFonts w:ascii="宋体" w:hAnsi="Times New Roman" w:eastAsia="楷体_GB2312" w:cs="Times New Roman"/>
                <w:kern w:val="0"/>
                <w:sz w:val="18"/>
                <w:szCs w:val="18"/>
                <w:highlight w:val="none"/>
              </w:rPr>
            </w:pPr>
          </w:p>
        </w:tc>
      </w:tr>
      <w:tr w14:paraId="5652EE84">
        <w:tblPrEx>
          <w:tblCellMar>
            <w:top w:w="0" w:type="dxa"/>
            <w:left w:w="108" w:type="dxa"/>
            <w:bottom w:w="0" w:type="dxa"/>
            <w:right w:w="108" w:type="dxa"/>
          </w:tblCellMar>
        </w:tblPrEx>
        <w:trPr>
          <w:trHeight w:val="943" w:hRule="atLeast"/>
          <w:jc w:val="center"/>
        </w:trPr>
        <w:tc>
          <w:tcPr>
            <w:tcW w:w="437" w:type="dxa"/>
            <w:tcBorders>
              <w:top w:val="nil"/>
              <w:left w:val="single" w:color="auto" w:sz="8" w:space="0"/>
              <w:bottom w:val="single" w:color="auto" w:sz="4" w:space="0"/>
              <w:right w:val="single" w:color="auto" w:sz="4" w:space="0"/>
            </w:tcBorders>
            <w:noWrap/>
            <w:vAlign w:val="center"/>
          </w:tcPr>
          <w:p w14:paraId="42134026">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三</w:t>
            </w:r>
          </w:p>
        </w:tc>
        <w:tc>
          <w:tcPr>
            <w:tcW w:w="915" w:type="dxa"/>
            <w:tcBorders>
              <w:top w:val="nil"/>
              <w:left w:val="nil"/>
              <w:bottom w:val="single" w:color="auto" w:sz="4" w:space="0"/>
              <w:right w:val="single" w:color="auto" w:sz="4" w:space="0"/>
            </w:tcBorders>
            <w:noWrap w:val="0"/>
            <w:vAlign w:val="center"/>
          </w:tcPr>
          <w:p w14:paraId="556E5E6A">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诚信和职业</w:t>
            </w:r>
          </w:p>
          <w:p w14:paraId="2E73C69D">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道德</w:t>
            </w:r>
          </w:p>
        </w:tc>
        <w:tc>
          <w:tcPr>
            <w:tcW w:w="576" w:type="dxa"/>
            <w:tcBorders>
              <w:top w:val="nil"/>
              <w:left w:val="nil"/>
              <w:bottom w:val="single" w:color="auto" w:sz="4" w:space="0"/>
              <w:right w:val="single" w:color="auto" w:sz="4" w:space="0"/>
            </w:tcBorders>
            <w:noWrap/>
            <w:vAlign w:val="center"/>
          </w:tcPr>
          <w:p w14:paraId="3D9538D6">
            <w:pPr>
              <w:widowControl/>
              <w:jc w:val="center"/>
              <w:rPr>
                <w:rFonts w:ascii="黑体" w:hAnsi="Times New Roman" w:eastAsia="黑体" w:cs="Times New Roman"/>
                <w:b/>
                <w:bCs/>
                <w:kern w:val="0"/>
                <w:sz w:val="34"/>
                <w:highlight w:val="none"/>
              </w:rPr>
            </w:pPr>
            <w:r>
              <w:rPr>
                <w:rFonts w:hint="eastAsia" w:ascii="黑体" w:hAnsi="宋体" w:eastAsia="黑体" w:cs="宋体"/>
                <w:b/>
                <w:bCs/>
                <w:kern w:val="0"/>
                <w:sz w:val="22"/>
                <w:highlight w:val="none"/>
              </w:rPr>
              <w:t>12</w:t>
            </w:r>
          </w:p>
        </w:tc>
        <w:tc>
          <w:tcPr>
            <w:tcW w:w="7655" w:type="dxa"/>
            <w:tcBorders>
              <w:top w:val="nil"/>
              <w:left w:val="nil"/>
              <w:bottom w:val="single" w:color="auto" w:sz="4" w:space="0"/>
              <w:right w:val="single" w:color="auto" w:sz="4" w:space="0"/>
            </w:tcBorders>
            <w:noWrap w:val="0"/>
            <w:vAlign w:val="center"/>
          </w:tcPr>
          <w:p w14:paraId="37A6E0D2">
            <w:pPr>
              <w:widowControl/>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c>
          <w:tcPr>
            <w:tcW w:w="645" w:type="dxa"/>
            <w:tcBorders>
              <w:top w:val="nil"/>
              <w:left w:val="nil"/>
              <w:bottom w:val="single" w:color="auto" w:sz="4" w:space="0"/>
              <w:right w:val="single" w:color="auto" w:sz="4" w:space="0"/>
            </w:tcBorders>
            <w:noWrap/>
            <w:vAlign w:val="center"/>
          </w:tcPr>
          <w:p w14:paraId="0AF8F75C">
            <w:pPr>
              <w:widowControl/>
              <w:rPr>
                <w:rFonts w:ascii="黑体" w:hAnsi="Times New Roman" w:eastAsia="黑体" w:cs="Times New Roman"/>
                <w:b/>
                <w:bCs/>
                <w:kern w:val="0"/>
                <w:sz w:val="24"/>
                <w:szCs w:val="24"/>
                <w:highlight w:val="none"/>
              </w:rPr>
            </w:pPr>
            <w:r>
              <w:rPr>
                <w:rFonts w:hint="eastAsia" w:ascii="黑体" w:hAnsi="宋体" w:eastAsia="黑体" w:cs="宋体"/>
                <w:b/>
                <w:bCs/>
                <w:kern w:val="0"/>
                <w:sz w:val="24"/>
                <w:szCs w:val="24"/>
                <w:highlight w:val="none"/>
              </w:rPr>
              <w:t>　</w:t>
            </w:r>
          </w:p>
        </w:tc>
      </w:tr>
      <w:tr w14:paraId="19AF27F1">
        <w:tblPrEx>
          <w:tblCellMar>
            <w:top w:w="0" w:type="dxa"/>
            <w:left w:w="108" w:type="dxa"/>
            <w:bottom w:w="0" w:type="dxa"/>
            <w:right w:w="108" w:type="dxa"/>
          </w:tblCellMar>
        </w:tblPrEx>
        <w:trPr>
          <w:trHeight w:val="675" w:hRule="atLeast"/>
          <w:jc w:val="center"/>
        </w:trPr>
        <w:tc>
          <w:tcPr>
            <w:tcW w:w="437" w:type="dxa"/>
            <w:tcBorders>
              <w:top w:val="nil"/>
              <w:left w:val="single" w:color="auto" w:sz="8" w:space="0"/>
              <w:bottom w:val="single" w:color="auto" w:sz="4" w:space="0"/>
              <w:right w:val="single" w:color="auto" w:sz="4" w:space="0"/>
            </w:tcBorders>
            <w:noWrap/>
            <w:vAlign w:val="center"/>
          </w:tcPr>
          <w:p w14:paraId="46AC1AF2">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13</w:t>
            </w:r>
          </w:p>
        </w:tc>
        <w:tc>
          <w:tcPr>
            <w:tcW w:w="915" w:type="dxa"/>
            <w:tcBorders>
              <w:top w:val="nil"/>
              <w:left w:val="nil"/>
              <w:bottom w:val="single" w:color="auto" w:sz="4" w:space="0"/>
              <w:right w:val="single" w:color="auto" w:sz="4" w:space="0"/>
            </w:tcBorders>
            <w:noWrap w:val="0"/>
            <w:vAlign w:val="center"/>
          </w:tcPr>
          <w:p w14:paraId="5CA024E2">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廉洁</w:t>
            </w:r>
          </w:p>
          <w:p w14:paraId="6B8116CD">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自律</w:t>
            </w:r>
          </w:p>
        </w:tc>
        <w:tc>
          <w:tcPr>
            <w:tcW w:w="576" w:type="dxa"/>
            <w:tcBorders>
              <w:top w:val="nil"/>
              <w:left w:val="nil"/>
              <w:bottom w:val="single" w:color="auto" w:sz="4" w:space="0"/>
              <w:right w:val="single" w:color="auto" w:sz="4" w:space="0"/>
            </w:tcBorders>
            <w:noWrap/>
            <w:vAlign w:val="center"/>
          </w:tcPr>
          <w:p w14:paraId="049CD491">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48128343">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 6分：严格遵守工程建设廉洁协议书，不存在接受参建单位各种形式贿赂的现象；                                                                                                                                                                                            </w:t>
            </w:r>
          </w:p>
          <w:p w14:paraId="2C55C508">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分：未能遵守工程建设廉洁协议书，存在接受参建单位各种形式贿赂的现象。</w:t>
            </w:r>
          </w:p>
        </w:tc>
        <w:tc>
          <w:tcPr>
            <w:tcW w:w="645" w:type="dxa"/>
            <w:tcBorders>
              <w:top w:val="nil"/>
              <w:left w:val="nil"/>
              <w:bottom w:val="single" w:color="auto" w:sz="4" w:space="0"/>
              <w:right w:val="single" w:color="auto" w:sz="4" w:space="0"/>
            </w:tcBorders>
            <w:noWrap/>
            <w:vAlign w:val="center"/>
          </w:tcPr>
          <w:p w14:paraId="4E9E2660">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43817F41">
        <w:tblPrEx>
          <w:tblCellMar>
            <w:top w:w="0" w:type="dxa"/>
            <w:left w:w="108" w:type="dxa"/>
            <w:bottom w:w="0" w:type="dxa"/>
            <w:right w:w="108" w:type="dxa"/>
          </w:tblCellMar>
        </w:tblPrEx>
        <w:trPr>
          <w:trHeight w:val="1080" w:hRule="atLeast"/>
          <w:jc w:val="center"/>
        </w:trPr>
        <w:tc>
          <w:tcPr>
            <w:tcW w:w="437" w:type="dxa"/>
            <w:tcBorders>
              <w:top w:val="nil"/>
              <w:left w:val="single" w:color="auto" w:sz="8" w:space="0"/>
              <w:bottom w:val="single" w:color="auto" w:sz="4" w:space="0"/>
              <w:right w:val="single" w:color="auto" w:sz="4" w:space="0"/>
            </w:tcBorders>
            <w:noWrap/>
            <w:vAlign w:val="center"/>
          </w:tcPr>
          <w:p w14:paraId="5CD6E5EB">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14</w:t>
            </w:r>
          </w:p>
        </w:tc>
        <w:tc>
          <w:tcPr>
            <w:tcW w:w="915" w:type="dxa"/>
            <w:tcBorders>
              <w:top w:val="nil"/>
              <w:left w:val="nil"/>
              <w:bottom w:val="single" w:color="auto" w:sz="4" w:space="0"/>
              <w:right w:val="single" w:color="auto" w:sz="4" w:space="0"/>
            </w:tcBorders>
            <w:noWrap w:val="0"/>
            <w:vAlign w:val="center"/>
          </w:tcPr>
          <w:p w14:paraId="494572C8">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诚信</w:t>
            </w:r>
          </w:p>
        </w:tc>
        <w:tc>
          <w:tcPr>
            <w:tcW w:w="576" w:type="dxa"/>
            <w:tcBorders>
              <w:top w:val="nil"/>
              <w:left w:val="nil"/>
              <w:bottom w:val="single" w:color="auto" w:sz="4" w:space="0"/>
              <w:right w:val="single" w:color="auto" w:sz="4" w:space="0"/>
            </w:tcBorders>
            <w:noWrap/>
            <w:vAlign w:val="center"/>
          </w:tcPr>
          <w:p w14:paraId="1664C419">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6</w:t>
            </w:r>
          </w:p>
        </w:tc>
        <w:tc>
          <w:tcPr>
            <w:tcW w:w="7655" w:type="dxa"/>
            <w:tcBorders>
              <w:top w:val="nil"/>
              <w:left w:val="nil"/>
              <w:bottom w:val="single" w:color="auto" w:sz="4" w:space="0"/>
              <w:right w:val="single" w:color="auto" w:sz="4" w:space="0"/>
            </w:tcBorders>
            <w:noWrap w:val="0"/>
            <w:vAlign w:val="center"/>
          </w:tcPr>
          <w:p w14:paraId="0A570F4F">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良好6 分：无串通施工、设计等参建单位弄虚作假的现象；在没有得到相应许可的情况下，不泄露保密的文件资料和信息；                                                                                     </w:t>
            </w:r>
          </w:p>
          <w:p w14:paraId="02629779">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不合格 0 分：存在串通施工、设计等参建单位弄虚作假的现象；在没有得到相应许可的情况下，泄露保密的文件资料和信息。</w:t>
            </w:r>
          </w:p>
        </w:tc>
        <w:tc>
          <w:tcPr>
            <w:tcW w:w="645" w:type="dxa"/>
            <w:tcBorders>
              <w:top w:val="nil"/>
              <w:left w:val="nil"/>
              <w:bottom w:val="single" w:color="auto" w:sz="4" w:space="0"/>
              <w:right w:val="single" w:color="auto" w:sz="4" w:space="0"/>
            </w:tcBorders>
            <w:noWrap/>
            <w:vAlign w:val="center"/>
          </w:tcPr>
          <w:p w14:paraId="3D3156AA">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r w14:paraId="12EFA9DE">
        <w:tblPrEx>
          <w:tblCellMar>
            <w:top w:w="0" w:type="dxa"/>
            <w:left w:w="108" w:type="dxa"/>
            <w:bottom w:w="0" w:type="dxa"/>
            <w:right w:w="108" w:type="dxa"/>
          </w:tblCellMar>
        </w:tblPrEx>
        <w:trPr>
          <w:trHeight w:val="508" w:hRule="atLeast"/>
          <w:jc w:val="center"/>
        </w:trPr>
        <w:tc>
          <w:tcPr>
            <w:tcW w:w="437" w:type="dxa"/>
            <w:tcBorders>
              <w:top w:val="nil"/>
              <w:left w:val="single" w:color="auto" w:sz="8" w:space="0"/>
              <w:bottom w:val="single" w:color="auto" w:sz="8" w:space="0"/>
              <w:right w:val="single" w:color="auto" w:sz="4" w:space="0"/>
            </w:tcBorders>
            <w:noWrap/>
            <w:vAlign w:val="center"/>
          </w:tcPr>
          <w:p w14:paraId="46A6AE07">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xml:space="preserve">  </w:t>
            </w:r>
          </w:p>
        </w:tc>
        <w:tc>
          <w:tcPr>
            <w:tcW w:w="915" w:type="dxa"/>
            <w:tcBorders>
              <w:top w:val="nil"/>
              <w:left w:val="nil"/>
              <w:bottom w:val="single" w:color="auto" w:sz="8" w:space="0"/>
              <w:right w:val="single" w:color="auto" w:sz="4" w:space="0"/>
            </w:tcBorders>
            <w:noWrap w:val="0"/>
            <w:vAlign w:val="center"/>
          </w:tcPr>
          <w:p w14:paraId="0FF45E94">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合计</w:t>
            </w:r>
          </w:p>
        </w:tc>
        <w:tc>
          <w:tcPr>
            <w:tcW w:w="576" w:type="dxa"/>
            <w:tcBorders>
              <w:top w:val="nil"/>
              <w:left w:val="nil"/>
              <w:bottom w:val="single" w:color="auto" w:sz="8" w:space="0"/>
              <w:right w:val="single" w:color="auto" w:sz="4" w:space="0"/>
            </w:tcBorders>
            <w:noWrap/>
            <w:vAlign w:val="center"/>
          </w:tcPr>
          <w:p w14:paraId="1C4D3E75">
            <w:pPr>
              <w:widowControl/>
              <w:jc w:val="center"/>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100</w:t>
            </w:r>
          </w:p>
        </w:tc>
        <w:tc>
          <w:tcPr>
            <w:tcW w:w="7655" w:type="dxa"/>
            <w:tcBorders>
              <w:top w:val="nil"/>
              <w:left w:val="nil"/>
              <w:bottom w:val="single" w:color="auto" w:sz="8" w:space="0"/>
              <w:right w:val="single" w:color="auto" w:sz="4" w:space="0"/>
            </w:tcBorders>
            <w:noWrap w:val="0"/>
            <w:vAlign w:val="center"/>
          </w:tcPr>
          <w:p w14:paraId="6BBF6CDD">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c>
          <w:tcPr>
            <w:tcW w:w="645" w:type="dxa"/>
            <w:tcBorders>
              <w:top w:val="nil"/>
              <w:left w:val="nil"/>
              <w:bottom w:val="single" w:color="auto" w:sz="4" w:space="0"/>
              <w:right w:val="single" w:color="auto" w:sz="4" w:space="0"/>
            </w:tcBorders>
            <w:noWrap/>
            <w:vAlign w:val="center"/>
          </w:tcPr>
          <w:p w14:paraId="3DD5E9D2">
            <w:pPr>
              <w:widowControl/>
              <w:rPr>
                <w:rFonts w:ascii="宋体" w:hAnsi="Times New Roman" w:eastAsia="楷体_GB2312" w:cs="Times New Roman"/>
                <w:kern w:val="0"/>
                <w:sz w:val="18"/>
                <w:szCs w:val="18"/>
                <w:highlight w:val="none"/>
              </w:rPr>
            </w:pPr>
            <w:r>
              <w:rPr>
                <w:rFonts w:hint="eastAsia" w:ascii="宋体" w:hAnsi="宋体" w:eastAsia="楷体_GB2312" w:cs="宋体"/>
                <w:kern w:val="0"/>
                <w:sz w:val="18"/>
                <w:szCs w:val="18"/>
                <w:highlight w:val="none"/>
              </w:rPr>
              <w:t>　</w:t>
            </w:r>
          </w:p>
        </w:tc>
      </w:tr>
    </w:tbl>
    <w:p w14:paraId="1DB66393">
      <w:pPr>
        <w:jc w:val="center"/>
        <w:rPr>
          <w:rFonts w:ascii="宋体" w:hAnsi="Times New Roman" w:eastAsia="楷体_GB2312" w:cs="Times New Roman"/>
          <w:kern w:val="0"/>
          <w:sz w:val="34"/>
          <w:highlight w:val="none"/>
        </w:rPr>
      </w:pPr>
      <w:r>
        <w:rPr>
          <w:rFonts w:hint="eastAsia" w:ascii="仿宋" w:hAnsi="仿宋" w:eastAsia="仿宋" w:cs="Times New Roman"/>
          <w:kern w:val="0"/>
          <w:sz w:val="18"/>
          <w:szCs w:val="18"/>
          <w:highlight w:val="none"/>
        </w:rPr>
        <w:t>备注：评分第13和第14项建立扣分制度，扣分等级分为15分、30分两挡，根据具体事件严重情形扣。</w:t>
      </w:r>
    </w:p>
    <w:p w14:paraId="654DF6B3">
      <w:pPr>
        <w:widowControl w:val="0"/>
        <w:ind w:firstLine="420"/>
        <w:jc w:val="both"/>
        <w:rPr>
          <w:rFonts w:hint="eastAsia" w:ascii="Times New Roman" w:hAnsi="Times New Roman" w:eastAsia="楷体_GB2312" w:cs="Times New Roman"/>
          <w:sz w:val="34"/>
          <w:szCs w:val="20"/>
          <w:highlight w:val="none"/>
          <w:lang w:val="en-US" w:eastAsia="zh-CN" w:bidi="ar-SA"/>
        </w:rPr>
      </w:pPr>
      <w:r>
        <w:rPr>
          <w:rFonts w:hint="eastAsia" w:ascii="Times New Roman" w:hAnsi="Times New Roman" w:eastAsia="楷体_GB2312" w:cs="Times New Roman"/>
          <w:sz w:val="34"/>
          <w:szCs w:val="20"/>
          <w:highlight w:val="none"/>
          <w:lang w:val="en-US" w:eastAsia="zh-CN" w:bidi="ar-SA"/>
        </w:rPr>
        <w:br w:type="page"/>
      </w:r>
      <w:r>
        <w:rPr>
          <w:rFonts w:hint="eastAsia" w:ascii="Times New Roman" w:hAnsi="Times New Roman" w:eastAsia="楷体_GB2312" w:cs="Times New Roman"/>
          <w:sz w:val="34"/>
          <w:szCs w:val="20"/>
          <w:highlight w:val="none"/>
          <w:lang w:val="en-US" w:eastAsia="zh-CN" w:bidi="ar-SA"/>
        </w:rPr>
        <w:t>附件6</w:t>
      </w:r>
    </w:p>
    <w:p w14:paraId="5B5E3544">
      <w:pPr>
        <w:jc w:val="center"/>
        <w:rPr>
          <w:rFonts w:ascii="宋体" w:hAnsi="Times New Roman" w:eastAsia="楷体_GB2312" w:cs="Times New Roman"/>
          <w:kern w:val="0"/>
          <w:sz w:val="44"/>
          <w:szCs w:val="44"/>
          <w:highlight w:val="none"/>
        </w:rPr>
      </w:pPr>
      <w:r>
        <w:rPr>
          <w:rFonts w:hint="eastAsia" w:ascii="宋体" w:hAnsi="Times New Roman" w:eastAsia="楷体_GB2312" w:cs="Times New Roman"/>
          <w:kern w:val="0"/>
          <w:sz w:val="44"/>
          <w:szCs w:val="44"/>
          <w:highlight w:val="none"/>
        </w:rPr>
        <w:t>VR 设备技术要求</w:t>
      </w:r>
    </w:p>
    <w:p w14:paraId="71904CAF">
      <w:pPr>
        <w:rPr>
          <w:rFonts w:ascii="宋体" w:hAnsi="Times New Roman" w:eastAsia="楷体_GB2312" w:cs="Times New Roman"/>
          <w:kern w:val="0"/>
          <w:sz w:val="28"/>
          <w:szCs w:val="28"/>
          <w:highlight w:val="none"/>
        </w:rPr>
      </w:pPr>
    </w:p>
    <w:p w14:paraId="7A43ED93">
      <w:pPr>
        <w:ind w:firstLine="560"/>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VR拍摄，作为一种创新的影像技术，利用虚拟现实技术，通过特殊的摄像设备记录360度全景视频和音频，使用户能够身临其境地参与到所拍摄的场景中。</w:t>
      </w:r>
    </w:p>
    <w:p w14:paraId="00AEAC46">
      <w:pPr>
        <w:ind w:firstLine="560"/>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VR全景拍摄设备是拍摄VR照片的主要设备，本文对拍摄所使用的相关设备和参数做出了明确的要求。</w:t>
      </w:r>
    </w:p>
    <w:p w14:paraId="0705B4A8">
      <w:pPr>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一、相机及周边设备要求</w:t>
      </w:r>
    </w:p>
    <w:p w14:paraId="008FF2AD">
      <w:pPr>
        <w:ind w:firstLine="560" w:firstLineChars="200"/>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VR全景照片一般由多张照片组成，其拍摄设备需由专业VR全景拍摄相机、VR全景相机三脚架和VR全景云台三部分组成。</w:t>
      </w:r>
    </w:p>
    <w:p w14:paraId="1FB8E8DA">
      <w:pPr>
        <w:ind w:firstLine="560" w:firstLineChars="200"/>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其中专业VR全景拍摄相机，需由具备鱼眼镜头的可拍摄360度照片的相机组成；VR全景相机三脚架可以让拍摄相机稳定的工作，拍摄出稳定优质的画面；全景云台可以让相机准确定位所要拍摄的角度。以上设备的具体参数要求如下表所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300"/>
        <w:gridCol w:w="4067"/>
        <w:gridCol w:w="1272"/>
      </w:tblGrid>
      <w:tr w14:paraId="4D6C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noWrap w:val="0"/>
            <w:vAlign w:val="top"/>
          </w:tcPr>
          <w:p w14:paraId="7006E2C3">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序号</w:t>
            </w:r>
          </w:p>
        </w:tc>
        <w:tc>
          <w:tcPr>
            <w:tcW w:w="2300" w:type="dxa"/>
            <w:noWrap w:val="0"/>
            <w:vAlign w:val="top"/>
          </w:tcPr>
          <w:p w14:paraId="1E2E5043">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名称</w:t>
            </w:r>
          </w:p>
        </w:tc>
        <w:tc>
          <w:tcPr>
            <w:tcW w:w="4067" w:type="dxa"/>
            <w:noWrap w:val="0"/>
            <w:vAlign w:val="top"/>
          </w:tcPr>
          <w:p w14:paraId="35BBC0F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要求</w:t>
            </w:r>
          </w:p>
        </w:tc>
        <w:tc>
          <w:tcPr>
            <w:tcW w:w="1272" w:type="dxa"/>
            <w:noWrap w:val="0"/>
            <w:vAlign w:val="top"/>
          </w:tcPr>
          <w:p w14:paraId="2B0BE921">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数量</w:t>
            </w:r>
          </w:p>
        </w:tc>
      </w:tr>
      <w:tr w14:paraId="4E38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noWrap w:val="0"/>
            <w:vAlign w:val="top"/>
          </w:tcPr>
          <w:p w14:paraId="783398C9">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w:t>
            </w:r>
          </w:p>
        </w:tc>
        <w:tc>
          <w:tcPr>
            <w:tcW w:w="2300" w:type="dxa"/>
            <w:noWrap w:val="0"/>
            <w:vAlign w:val="top"/>
          </w:tcPr>
          <w:p w14:paraId="3D3A6BE8">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360度全景相机</w:t>
            </w:r>
          </w:p>
        </w:tc>
        <w:tc>
          <w:tcPr>
            <w:tcW w:w="4067" w:type="dxa"/>
            <w:noWrap w:val="0"/>
            <w:vAlign w:val="top"/>
          </w:tcPr>
          <w:p w14:paraId="45D358A5">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支持360拍摄全景相机</w:t>
            </w:r>
          </w:p>
        </w:tc>
        <w:tc>
          <w:tcPr>
            <w:tcW w:w="1272" w:type="dxa"/>
            <w:noWrap w:val="0"/>
            <w:vAlign w:val="top"/>
          </w:tcPr>
          <w:p w14:paraId="4999217F">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w:t>
            </w:r>
          </w:p>
        </w:tc>
      </w:tr>
      <w:tr w14:paraId="5777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noWrap w:val="0"/>
            <w:vAlign w:val="top"/>
          </w:tcPr>
          <w:p w14:paraId="77FA8C2F">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2</w:t>
            </w:r>
          </w:p>
        </w:tc>
        <w:tc>
          <w:tcPr>
            <w:tcW w:w="2300" w:type="dxa"/>
            <w:noWrap w:val="0"/>
            <w:vAlign w:val="top"/>
          </w:tcPr>
          <w:p w14:paraId="560D79F2">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三脚架</w:t>
            </w:r>
          </w:p>
        </w:tc>
        <w:tc>
          <w:tcPr>
            <w:tcW w:w="4067" w:type="dxa"/>
            <w:noWrap w:val="0"/>
            <w:vAlign w:val="top"/>
          </w:tcPr>
          <w:p w14:paraId="5E13AF2E">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VR拍摄专用三脚架</w:t>
            </w:r>
          </w:p>
        </w:tc>
        <w:tc>
          <w:tcPr>
            <w:tcW w:w="1272" w:type="dxa"/>
            <w:noWrap w:val="0"/>
            <w:vAlign w:val="top"/>
          </w:tcPr>
          <w:p w14:paraId="2763C37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w:t>
            </w:r>
          </w:p>
        </w:tc>
      </w:tr>
      <w:tr w14:paraId="7AFC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noWrap w:val="0"/>
            <w:vAlign w:val="top"/>
          </w:tcPr>
          <w:p w14:paraId="60EE4D3E">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3</w:t>
            </w:r>
          </w:p>
        </w:tc>
        <w:tc>
          <w:tcPr>
            <w:tcW w:w="2300" w:type="dxa"/>
            <w:noWrap w:val="0"/>
            <w:vAlign w:val="top"/>
          </w:tcPr>
          <w:p w14:paraId="561A068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云台</w:t>
            </w:r>
          </w:p>
        </w:tc>
        <w:tc>
          <w:tcPr>
            <w:tcW w:w="4067" w:type="dxa"/>
            <w:noWrap w:val="0"/>
            <w:vAlign w:val="top"/>
          </w:tcPr>
          <w:p w14:paraId="5D3B3273">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支持VR拍摄专用多轴全景云台</w:t>
            </w:r>
          </w:p>
        </w:tc>
        <w:tc>
          <w:tcPr>
            <w:tcW w:w="1272" w:type="dxa"/>
            <w:noWrap w:val="0"/>
            <w:vAlign w:val="top"/>
          </w:tcPr>
          <w:p w14:paraId="0C74A2AC">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w:t>
            </w:r>
          </w:p>
        </w:tc>
      </w:tr>
    </w:tbl>
    <w:p w14:paraId="2157A224">
      <w:pPr>
        <w:jc w:val="center"/>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表一：相机及周边设备要求</w:t>
      </w:r>
    </w:p>
    <w:p w14:paraId="01D0869D">
      <w:pPr>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二、相机参数要求</w:t>
      </w:r>
    </w:p>
    <w:p w14:paraId="42E1E21D">
      <w:pPr>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 xml:space="preserve">    VR全景相机因为其需要拍摄角度的特殊性，所以对拍摄设备有较高的要求。具体参数要求如下表所示：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342"/>
        <w:gridCol w:w="5223"/>
      </w:tblGrid>
      <w:tr w14:paraId="06E2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5A038AC4">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序号</w:t>
            </w:r>
          </w:p>
        </w:tc>
        <w:tc>
          <w:tcPr>
            <w:tcW w:w="2342" w:type="dxa"/>
            <w:noWrap w:val="0"/>
            <w:vAlign w:val="top"/>
          </w:tcPr>
          <w:p w14:paraId="43E545AB">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参数名称</w:t>
            </w:r>
          </w:p>
        </w:tc>
        <w:tc>
          <w:tcPr>
            <w:tcW w:w="5223" w:type="dxa"/>
            <w:noWrap w:val="0"/>
            <w:vAlign w:val="top"/>
          </w:tcPr>
          <w:p w14:paraId="298E20F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参数</w:t>
            </w:r>
          </w:p>
        </w:tc>
      </w:tr>
      <w:tr w14:paraId="23CB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1CCEBAE7">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w:t>
            </w:r>
          </w:p>
        </w:tc>
        <w:tc>
          <w:tcPr>
            <w:tcW w:w="2342" w:type="dxa"/>
            <w:noWrap w:val="0"/>
            <w:vAlign w:val="top"/>
          </w:tcPr>
          <w:p w14:paraId="766BDCA1">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镜头</w:t>
            </w:r>
          </w:p>
        </w:tc>
        <w:tc>
          <w:tcPr>
            <w:tcW w:w="5223" w:type="dxa"/>
            <w:noWrap w:val="0"/>
            <w:vAlign w:val="top"/>
          </w:tcPr>
          <w:p w14:paraId="77FF283B">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鱼眼镜头</w:t>
            </w:r>
          </w:p>
        </w:tc>
      </w:tr>
      <w:tr w14:paraId="68E6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011538A4">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2</w:t>
            </w:r>
          </w:p>
        </w:tc>
        <w:tc>
          <w:tcPr>
            <w:tcW w:w="2342" w:type="dxa"/>
            <w:noWrap w:val="0"/>
            <w:vAlign w:val="top"/>
          </w:tcPr>
          <w:p w14:paraId="6303374F">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镜头光圈</w:t>
            </w:r>
          </w:p>
        </w:tc>
        <w:tc>
          <w:tcPr>
            <w:tcW w:w="5223" w:type="dxa"/>
            <w:noWrap w:val="0"/>
            <w:vAlign w:val="top"/>
          </w:tcPr>
          <w:p w14:paraId="6B013546">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F2.0或以上</w:t>
            </w:r>
          </w:p>
        </w:tc>
      </w:tr>
      <w:tr w14:paraId="492F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2D08F5C4">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3</w:t>
            </w:r>
          </w:p>
        </w:tc>
        <w:tc>
          <w:tcPr>
            <w:tcW w:w="2342" w:type="dxa"/>
            <w:noWrap w:val="0"/>
            <w:vAlign w:val="top"/>
          </w:tcPr>
          <w:p w14:paraId="729D011F">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相片格式</w:t>
            </w:r>
          </w:p>
        </w:tc>
        <w:tc>
          <w:tcPr>
            <w:tcW w:w="5223" w:type="dxa"/>
            <w:noWrap w:val="0"/>
            <w:vAlign w:val="top"/>
          </w:tcPr>
          <w:p w14:paraId="5605AB91">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支持jpeg/jpg</w:t>
            </w:r>
          </w:p>
        </w:tc>
      </w:tr>
      <w:tr w14:paraId="36B6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56C445B1">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4</w:t>
            </w:r>
          </w:p>
        </w:tc>
        <w:tc>
          <w:tcPr>
            <w:tcW w:w="2342" w:type="dxa"/>
            <w:noWrap w:val="0"/>
            <w:vAlign w:val="top"/>
          </w:tcPr>
          <w:p w14:paraId="2242DE0D">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画质</w:t>
            </w:r>
          </w:p>
        </w:tc>
        <w:tc>
          <w:tcPr>
            <w:tcW w:w="5223" w:type="dxa"/>
            <w:noWrap w:val="0"/>
            <w:vAlign w:val="top"/>
          </w:tcPr>
          <w:p w14:paraId="49DA71E2">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4k以上画质</w:t>
            </w:r>
          </w:p>
        </w:tc>
      </w:tr>
      <w:tr w14:paraId="0A79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1674C3F1">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5</w:t>
            </w:r>
          </w:p>
        </w:tc>
        <w:tc>
          <w:tcPr>
            <w:tcW w:w="2342" w:type="dxa"/>
            <w:noWrap w:val="0"/>
            <w:vAlign w:val="top"/>
          </w:tcPr>
          <w:p w14:paraId="5D32C2BB">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存储介质</w:t>
            </w:r>
          </w:p>
        </w:tc>
        <w:tc>
          <w:tcPr>
            <w:tcW w:w="5223" w:type="dxa"/>
            <w:noWrap w:val="0"/>
            <w:vAlign w:val="top"/>
          </w:tcPr>
          <w:p w14:paraId="2782CD5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1.相机本身自带存储8G及以上</w:t>
            </w:r>
          </w:p>
          <w:p w14:paraId="505237B2">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2.支持TF(MicroSD)卡</w:t>
            </w:r>
          </w:p>
          <w:p w14:paraId="0009FF17">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3.接口支持USB或TYPE-C</w:t>
            </w:r>
          </w:p>
        </w:tc>
      </w:tr>
      <w:tr w14:paraId="5DD2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73440D04">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6</w:t>
            </w:r>
          </w:p>
        </w:tc>
        <w:tc>
          <w:tcPr>
            <w:tcW w:w="2342" w:type="dxa"/>
            <w:noWrap w:val="0"/>
            <w:vAlign w:val="top"/>
          </w:tcPr>
          <w:p w14:paraId="668E2C32">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多平台支持</w:t>
            </w:r>
          </w:p>
        </w:tc>
        <w:tc>
          <w:tcPr>
            <w:tcW w:w="5223" w:type="dxa"/>
            <w:noWrap w:val="0"/>
            <w:vAlign w:val="top"/>
          </w:tcPr>
          <w:p w14:paraId="2AA7364B">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1.支持APP实时编辑，多平台使用</w:t>
            </w:r>
          </w:p>
          <w:p w14:paraId="03AF3A8C">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2.APP支持安装到iOS/Android/HarmonyOS</w:t>
            </w:r>
          </w:p>
        </w:tc>
      </w:tr>
      <w:tr w14:paraId="0D05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0D074612">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7</w:t>
            </w:r>
          </w:p>
        </w:tc>
        <w:tc>
          <w:tcPr>
            <w:tcW w:w="2342" w:type="dxa"/>
            <w:noWrap w:val="0"/>
            <w:vAlign w:val="top"/>
          </w:tcPr>
          <w:p w14:paraId="348AD3AF">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分辨率</w:t>
            </w:r>
          </w:p>
        </w:tc>
        <w:tc>
          <w:tcPr>
            <w:tcW w:w="5223" w:type="dxa"/>
            <w:noWrap w:val="0"/>
            <w:vAlign w:val="top"/>
          </w:tcPr>
          <w:p w14:paraId="40125BE8">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支持1080P及以上</w:t>
            </w:r>
          </w:p>
        </w:tc>
      </w:tr>
      <w:tr w14:paraId="6F4A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noWrap w:val="0"/>
            <w:vAlign w:val="top"/>
          </w:tcPr>
          <w:p w14:paraId="5B2B93BA">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8</w:t>
            </w:r>
          </w:p>
        </w:tc>
        <w:tc>
          <w:tcPr>
            <w:tcW w:w="2342" w:type="dxa"/>
            <w:noWrap w:val="0"/>
            <w:vAlign w:val="top"/>
          </w:tcPr>
          <w:p w14:paraId="3DD70878">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工作温度</w:t>
            </w:r>
          </w:p>
        </w:tc>
        <w:tc>
          <w:tcPr>
            <w:tcW w:w="5223" w:type="dxa"/>
            <w:noWrap w:val="0"/>
            <w:vAlign w:val="top"/>
          </w:tcPr>
          <w:p w14:paraId="008A46EB">
            <w:pPr>
              <w:spacing w:before="120" w:after="60"/>
              <w:jc w:val="center"/>
              <w:rPr>
                <w:rFonts w:ascii="宋体" w:hAnsi="Arial" w:eastAsia="楷体_GB2312" w:cs="Times New Roman"/>
                <w:b/>
                <w:kern w:val="2"/>
                <w:sz w:val="28"/>
                <w:szCs w:val="28"/>
                <w:highlight w:val="none"/>
              </w:rPr>
            </w:pPr>
            <w:r>
              <w:rPr>
                <w:rFonts w:hint="eastAsia" w:ascii="宋体" w:hAnsi="Arial" w:eastAsia="楷体_GB2312" w:cs="Times New Roman"/>
                <w:b/>
                <w:kern w:val="2"/>
                <w:sz w:val="28"/>
                <w:szCs w:val="28"/>
                <w:highlight w:val="none"/>
              </w:rPr>
              <w:t>-10℃~45℃</w:t>
            </w:r>
          </w:p>
        </w:tc>
      </w:tr>
    </w:tbl>
    <w:p w14:paraId="103A40F8">
      <w:pPr>
        <w:jc w:val="center"/>
        <w:rPr>
          <w:rFonts w:ascii="宋体" w:hAnsi="Times New Roman" w:eastAsia="楷体_GB2312" w:cs="Times New Roman"/>
          <w:kern w:val="0"/>
          <w:sz w:val="28"/>
          <w:szCs w:val="28"/>
          <w:highlight w:val="none"/>
        </w:rPr>
      </w:pPr>
      <w:r>
        <w:rPr>
          <w:rFonts w:hint="eastAsia" w:ascii="宋体" w:hAnsi="Times New Roman" w:eastAsia="楷体_GB2312" w:cs="Times New Roman"/>
          <w:kern w:val="0"/>
          <w:sz w:val="28"/>
          <w:szCs w:val="28"/>
          <w:highlight w:val="none"/>
        </w:rPr>
        <w:t>表二：相机参数要求</w:t>
      </w:r>
    </w:p>
    <w:p w14:paraId="72A82083">
      <w:pPr>
        <w:pStyle w:val="45"/>
        <w:outlineLvl w:val="9"/>
        <w:rPr>
          <w:highlight w:val="none"/>
        </w:rPr>
      </w:pPr>
      <w:r>
        <w:rPr>
          <w:b/>
          <w:bCs/>
          <w:spacing w:val="6"/>
          <w:sz w:val="28"/>
          <w:highlight w:val="none"/>
        </w:rPr>
        <w:br w:type="page"/>
      </w:r>
    </w:p>
    <w:p w14:paraId="006A89EB">
      <w:pPr>
        <w:rPr>
          <w:rFonts w:ascii="隶书" w:eastAsia="隶书"/>
          <w:b/>
          <w:i/>
          <w:spacing w:val="40"/>
          <w:sz w:val="84"/>
          <w:szCs w:val="84"/>
          <w:highlight w:val="none"/>
        </w:rPr>
      </w:pPr>
    </w:p>
    <w:p w14:paraId="4FC9B999">
      <w:pPr>
        <w:pStyle w:val="45"/>
        <w:rPr>
          <w:spacing w:val="10"/>
          <w:sz w:val="72"/>
          <w:highlight w:val="none"/>
        </w:rPr>
      </w:pPr>
      <w:bookmarkStart w:id="108" w:name="_Toc454627387"/>
      <w:bookmarkStart w:id="109" w:name="_Toc5750"/>
      <w:r>
        <w:rPr>
          <w:rFonts w:hint="eastAsia"/>
          <w:highlight w:val="none"/>
        </w:rPr>
        <w:t xml:space="preserve">第五章 </w:t>
      </w:r>
      <w:r>
        <w:rPr>
          <w:rFonts w:hint="eastAsia"/>
          <w:spacing w:val="10"/>
          <w:highlight w:val="none"/>
        </w:rPr>
        <w:t>投标文件格式</w:t>
      </w:r>
      <w:bookmarkEnd w:id="108"/>
      <w:bookmarkEnd w:id="109"/>
    </w:p>
    <w:p w14:paraId="3C729A26">
      <w:pPr>
        <w:jc w:val="center"/>
        <w:rPr>
          <w:rFonts w:ascii="宋体" w:hAnsi="宋体"/>
          <w:b/>
          <w:spacing w:val="10"/>
          <w:sz w:val="84"/>
          <w:szCs w:val="84"/>
          <w:highlight w:val="none"/>
        </w:rPr>
      </w:pPr>
      <w:r>
        <w:rPr>
          <w:rFonts w:hint="eastAsia" w:ascii="宋体" w:hAnsi="宋体"/>
          <w:b/>
          <w:bCs/>
          <w:spacing w:val="-6"/>
          <w:sz w:val="22"/>
          <w:szCs w:val="22"/>
          <w:highlight w:val="none"/>
        </w:rPr>
        <w:t>【适用于两阶段</w:t>
      </w:r>
      <w:r>
        <w:rPr>
          <w:rFonts w:hint="eastAsia" w:ascii="宋体" w:hAnsi="宋体" w:cs="宋体"/>
          <w:b/>
          <w:spacing w:val="-4"/>
          <w:kern w:val="0"/>
          <w:sz w:val="22"/>
          <w:szCs w:val="22"/>
          <w:highlight w:val="none"/>
        </w:rPr>
        <w:t>评标法</w:t>
      </w:r>
      <w:r>
        <w:rPr>
          <w:rFonts w:hint="eastAsia" w:ascii="宋体" w:hAnsi="宋体"/>
          <w:b/>
          <w:bCs/>
          <w:spacing w:val="-6"/>
          <w:sz w:val="22"/>
          <w:szCs w:val="22"/>
          <w:highlight w:val="none"/>
        </w:rPr>
        <w:t>】</w:t>
      </w:r>
    </w:p>
    <w:p w14:paraId="23504CB4">
      <w:pPr>
        <w:jc w:val="center"/>
        <w:rPr>
          <w:rFonts w:ascii="隶书" w:eastAsia="隶书"/>
          <w:b/>
          <w:i/>
          <w:spacing w:val="10"/>
          <w:sz w:val="72"/>
          <w:szCs w:val="84"/>
          <w:highlight w:val="none"/>
        </w:rPr>
      </w:pPr>
    </w:p>
    <w:p w14:paraId="0476D6C3">
      <w:pPr>
        <w:jc w:val="center"/>
        <w:rPr>
          <w:b/>
          <w:spacing w:val="6"/>
          <w:sz w:val="44"/>
          <w:highlight w:val="none"/>
        </w:rPr>
      </w:pPr>
      <w:r>
        <w:rPr>
          <w:b/>
          <w:spacing w:val="6"/>
          <w:sz w:val="44"/>
          <w:highlight w:val="none"/>
        </w:rPr>
        <w:br w:type="page"/>
      </w:r>
    </w:p>
    <w:p w14:paraId="152E2A82">
      <w:pPr>
        <w:jc w:val="center"/>
        <w:rPr>
          <w:b/>
          <w:spacing w:val="6"/>
          <w:sz w:val="44"/>
          <w:highlight w:val="none"/>
        </w:rPr>
      </w:pPr>
    </w:p>
    <w:p w14:paraId="716E5950">
      <w:pPr>
        <w:spacing w:beforeLines="50" w:line="800" w:lineRule="exact"/>
        <w:jc w:val="center"/>
        <w:rPr>
          <w:rFonts w:ascii="宋体" w:hAnsi="宋体"/>
          <w:sz w:val="52"/>
          <w:szCs w:val="52"/>
          <w:highlight w:val="none"/>
        </w:rPr>
      </w:pPr>
      <w:bookmarkStart w:id="110" w:name="_Toc139453228"/>
      <w:bookmarkStart w:id="111" w:name="_Toc139451013"/>
      <w:bookmarkStart w:id="112" w:name="_Toc222740172"/>
      <w:bookmarkStart w:id="113" w:name="_Toc196474992"/>
      <w:bookmarkStart w:id="114" w:name="_Toc139433270"/>
      <w:bookmarkStart w:id="115" w:name="_Toc139435631"/>
      <w:bookmarkStart w:id="116" w:name="_Toc139237034"/>
      <w:bookmarkStart w:id="117" w:name="_Toc139431627"/>
    </w:p>
    <w:p w14:paraId="69B42B58">
      <w:pPr>
        <w:spacing w:beforeLines="50" w:line="800" w:lineRule="exact"/>
        <w:jc w:val="center"/>
        <w:rPr>
          <w:rFonts w:hint="default" w:ascii="宋体" w:hAnsi="宋体"/>
          <w:b w:val="0"/>
          <w:color w:val="auto"/>
          <w:spacing w:val="0"/>
          <w:sz w:val="52"/>
          <w:szCs w:val="52"/>
          <w:highlight w:val="none"/>
        </w:rPr>
      </w:pPr>
      <w:r>
        <w:rPr>
          <w:rFonts w:hint="default" w:ascii="宋体" w:hAnsi="宋体"/>
          <w:b w:val="0"/>
          <w:color w:val="auto"/>
          <w:spacing w:val="0"/>
          <w:sz w:val="52"/>
          <w:szCs w:val="52"/>
          <w:highlight w:val="none"/>
        </w:rPr>
        <w:t>广东石油化工学院西城校区图书馆工程</w:t>
      </w:r>
    </w:p>
    <w:p w14:paraId="46CA23FF">
      <w:pPr>
        <w:spacing w:beforeLines="50" w:line="800" w:lineRule="exact"/>
        <w:jc w:val="center"/>
        <w:rPr>
          <w:rFonts w:hint="default" w:ascii="宋体" w:hAnsi="宋体" w:eastAsia="宋体"/>
          <w:b w:val="0"/>
          <w:color w:val="auto"/>
          <w:spacing w:val="0"/>
          <w:sz w:val="52"/>
          <w:szCs w:val="52"/>
          <w:highlight w:val="none"/>
          <w:lang w:eastAsia="zh-CN"/>
        </w:rPr>
      </w:pPr>
      <w:r>
        <w:rPr>
          <w:rFonts w:hint="default" w:ascii="宋体" w:hAnsi="宋体"/>
          <w:b w:val="0"/>
          <w:color w:val="auto"/>
          <w:spacing w:val="0"/>
          <w:sz w:val="52"/>
          <w:szCs w:val="52"/>
          <w:highlight w:val="none"/>
        </w:rPr>
        <w:t>项目施工</w:t>
      </w:r>
      <w:r>
        <w:rPr>
          <w:rFonts w:hint="default" w:ascii="宋体" w:hAnsi="宋体"/>
          <w:b w:val="0"/>
          <w:color w:val="auto"/>
          <w:spacing w:val="0"/>
          <w:sz w:val="52"/>
          <w:szCs w:val="52"/>
          <w:highlight w:val="none"/>
          <w:lang w:val="en-US" w:eastAsia="zh-CN"/>
        </w:rPr>
        <w:t>监理</w:t>
      </w:r>
    </w:p>
    <w:p w14:paraId="458841A3">
      <w:pPr>
        <w:spacing w:beforeLines="50" w:line="800" w:lineRule="exact"/>
        <w:jc w:val="center"/>
        <w:rPr>
          <w:rFonts w:ascii="宋体" w:hAnsi="宋体"/>
          <w:b w:val="0"/>
          <w:sz w:val="52"/>
          <w:szCs w:val="52"/>
          <w:highlight w:val="none"/>
        </w:rPr>
      </w:pPr>
      <w:r>
        <w:rPr>
          <w:rFonts w:hint="eastAsia" w:ascii="宋体" w:hAnsi="宋体"/>
          <w:sz w:val="52"/>
          <w:szCs w:val="52"/>
          <w:highlight w:val="none"/>
        </w:rPr>
        <w:t>投标文件</w:t>
      </w:r>
    </w:p>
    <w:p w14:paraId="64A4890D">
      <w:pPr>
        <w:spacing w:line="700" w:lineRule="exact"/>
        <w:jc w:val="center"/>
        <w:rPr>
          <w:rFonts w:ascii="宋体" w:hAnsi="宋体"/>
          <w:b/>
          <w:sz w:val="48"/>
          <w:szCs w:val="48"/>
          <w:highlight w:val="none"/>
        </w:rPr>
      </w:pPr>
    </w:p>
    <w:p w14:paraId="7DFDA752">
      <w:pPr>
        <w:spacing w:line="700" w:lineRule="exact"/>
        <w:jc w:val="center"/>
        <w:rPr>
          <w:rFonts w:ascii="宋体" w:hAnsi="宋体"/>
          <w:b/>
          <w:sz w:val="48"/>
          <w:szCs w:val="48"/>
          <w:highlight w:val="none"/>
        </w:rPr>
      </w:pPr>
    </w:p>
    <w:p w14:paraId="57AA1585">
      <w:pPr>
        <w:spacing w:line="700" w:lineRule="exact"/>
        <w:jc w:val="center"/>
        <w:rPr>
          <w:rFonts w:ascii="宋体" w:hAnsi="宋体"/>
          <w:sz w:val="48"/>
          <w:szCs w:val="48"/>
          <w:highlight w:val="none"/>
        </w:rPr>
      </w:pPr>
      <w:r>
        <w:rPr>
          <w:rFonts w:hint="eastAsia" w:ascii="宋体" w:hAnsi="宋体"/>
          <w:b/>
          <w:sz w:val="48"/>
          <w:szCs w:val="48"/>
          <w:highlight w:val="none"/>
        </w:rPr>
        <w:t>（</w:t>
      </w:r>
      <w:r>
        <w:rPr>
          <w:rFonts w:hint="eastAsia" w:ascii="宋体" w:hAnsi="宋体"/>
          <w:sz w:val="52"/>
          <w:szCs w:val="52"/>
          <w:highlight w:val="none"/>
        </w:rPr>
        <w:t>第一册</w:t>
      </w:r>
      <w:r>
        <w:rPr>
          <w:rFonts w:hint="eastAsia" w:ascii="宋体" w:hAnsi="宋体"/>
          <w:b/>
          <w:sz w:val="48"/>
          <w:szCs w:val="48"/>
          <w:highlight w:val="none"/>
        </w:rPr>
        <w:t>）</w:t>
      </w:r>
    </w:p>
    <w:p w14:paraId="743901C8">
      <w:pPr>
        <w:spacing w:beforeLines="50" w:line="460" w:lineRule="exact"/>
        <w:rPr>
          <w:rFonts w:ascii="宋体" w:hAnsi="宋体"/>
          <w:sz w:val="30"/>
          <w:szCs w:val="30"/>
          <w:highlight w:val="none"/>
        </w:rPr>
      </w:pPr>
    </w:p>
    <w:p w14:paraId="731EDD1A">
      <w:pPr>
        <w:spacing w:beforeLines="50" w:line="460" w:lineRule="exact"/>
        <w:rPr>
          <w:rFonts w:ascii="宋体" w:hAnsi="宋体"/>
          <w:sz w:val="30"/>
          <w:szCs w:val="30"/>
          <w:highlight w:val="none"/>
        </w:rPr>
      </w:pPr>
    </w:p>
    <w:p w14:paraId="25958A06">
      <w:pPr>
        <w:spacing w:beforeLines="50" w:line="800" w:lineRule="exact"/>
        <w:jc w:val="center"/>
        <w:rPr>
          <w:rFonts w:ascii="宋体" w:hAnsi="宋体"/>
          <w:sz w:val="52"/>
          <w:szCs w:val="52"/>
          <w:highlight w:val="none"/>
        </w:rPr>
      </w:pPr>
      <w:r>
        <w:rPr>
          <w:rFonts w:hint="eastAsia" w:ascii="宋体" w:hAnsi="宋体"/>
          <w:sz w:val="52"/>
          <w:szCs w:val="52"/>
          <w:highlight w:val="none"/>
        </w:rPr>
        <w:t>商务投标文件</w:t>
      </w:r>
    </w:p>
    <w:p w14:paraId="4B8529C2">
      <w:pPr>
        <w:spacing w:line="360" w:lineRule="auto"/>
        <w:rPr>
          <w:rFonts w:ascii="宋体" w:hAnsi="宋体"/>
          <w:b/>
          <w:spacing w:val="160"/>
          <w:sz w:val="72"/>
          <w:szCs w:val="72"/>
          <w:highlight w:val="none"/>
        </w:rPr>
      </w:pPr>
    </w:p>
    <w:p w14:paraId="56D12F7A">
      <w:pPr>
        <w:spacing w:line="360" w:lineRule="auto"/>
        <w:jc w:val="center"/>
        <w:rPr>
          <w:rFonts w:ascii="宋体" w:hAnsi="宋体"/>
          <w:spacing w:val="6"/>
          <w:sz w:val="28"/>
          <w:highlight w:val="none"/>
        </w:rPr>
      </w:pPr>
      <w:r>
        <w:rPr>
          <w:rFonts w:hint="eastAsia" w:ascii="宋体" w:hAnsi="宋体"/>
          <w:spacing w:val="6"/>
          <w:sz w:val="48"/>
          <w:szCs w:val="48"/>
          <w:highlight w:val="none"/>
        </w:rPr>
        <w:t>（正本）/（副本）</w:t>
      </w:r>
    </w:p>
    <w:p w14:paraId="1A2AB8AA">
      <w:pPr>
        <w:spacing w:line="360" w:lineRule="auto"/>
        <w:rPr>
          <w:rFonts w:ascii="宋体" w:hAnsi="宋体"/>
          <w:spacing w:val="6"/>
          <w:sz w:val="28"/>
          <w:highlight w:val="none"/>
        </w:rPr>
      </w:pPr>
    </w:p>
    <w:p w14:paraId="1DEFC64C">
      <w:pPr>
        <w:spacing w:line="480" w:lineRule="auto"/>
        <w:ind w:firstLine="1132" w:firstLineChars="363"/>
        <w:rPr>
          <w:rFonts w:ascii="宋体" w:hAnsi="宋体"/>
          <w:spacing w:val="6"/>
          <w:sz w:val="30"/>
          <w:szCs w:val="30"/>
          <w:highlight w:val="none"/>
        </w:rPr>
      </w:pPr>
      <w:r>
        <w:rPr>
          <w:rFonts w:hint="eastAsia" w:ascii="宋体" w:hAnsi="宋体"/>
          <w:spacing w:val="6"/>
          <w:sz w:val="30"/>
          <w:szCs w:val="30"/>
          <w:highlight w:val="none"/>
        </w:rPr>
        <w:t>项目名称：</w:t>
      </w:r>
    </w:p>
    <w:p w14:paraId="2C37E5A9">
      <w:pPr>
        <w:spacing w:line="480" w:lineRule="auto"/>
        <w:ind w:firstLine="1132" w:firstLineChars="363"/>
        <w:rPr>
          <w:rFonts w:ascii="宋体" w:hAnsi="宋体"/>
          <w:spacing w:val="6"/>
          <w:sz w:val="30"/>
          <w:szCs w:val="30"/>
          <w:highlight w:val="none"/>
        </w:rPr>
      </w:pPr>
      <w:r>
        <w:rPr>
          <w:rFonts w:hint="eastAsia" w:ascii="宋体" w:hAnsi="宋体"/>
          <w:spacing w:val="6"/>
          <w:sz w:val="30"/>
          <w:szCs w:val="30"/>
          <w:highlight w:val="none"/>
        </w:rPr>
        <w:t>投 标 人：</w:t>
      </w:r>
      <w:r>
        <w:rPr>
          <w:rFonts w:hint="eastAsia" w:ascii="宋体" w:hAnsi="宋体"/>
          <w:spacing w:val="6"/>
          <w:sz w:val="30"/>
          <w:szCs w:val="30"/>
          <w:highlight w:val="none"/>
          <w:u w:val="single"/>
        </w:rPr>
        <w:t xml:space="preserve">                        （盖</w:t>
      </w:r>
      <w:r>
        <w:rPr>
          <w:rFonts w:hint="eastAsia" w:ascii="宋体" w:hAnsi="宋体"/>
          <w:spacing w:val="6"/>
          <w:sz w:val="30"/>
          <w:szCs w:val="30"/>
          <w:highlight w:val="none"/>
          <w:u w:val="single"/>
          <w:lang w:val="en-US" w:eastAsia="zh-CN"/>
        </w:rPr>
        <w:t>单位</w:t>
      </w:r>
      <w:r>
        <w:rPr>
          <w:rFonts w:hint="eastAsia" w:ascii="宋体" w:hAnsi="宋体"/>
          <w:spacing w:val="6"/>
          <w:sz w:val="30"/>
          <w:szCs w:val="30"/>
          <w:highlight w:val="none"/>
          <w:u w:val="single"/>
        </w:rPr>
        <w:t>章）</w:t>
      </w:r>
    </w:p>
    <w:p w14:paraId="46CBEDA6">
      <w:pPr>
        <w:spacing w:line="480" w:lineRule="auto"/>
        <w:ind w:firstLine="1089" w:firstLineChars="363"/>
        <w:rPr>
          <w:rFonts w:ascii="宋体" w:hAnsi="宋体"/>
          <w:spacing w:val="6"/>
          <w:sz w:val="30"/>
          <w:szCs w:val="30"/>
          <w:highlight w:val="none"/>
        </w:rPr>
      </w:pPr>
      <w:r>
        <w:rPr>
          <w:rFonts w:hint="eastAsia" w:ascii="宋体" w:hAnsi="宋体"/>
          <w:sz w:val="30"/>
          <w:szCs w:val="30"/>
          <w:highlight w:val="none"/>
        </w:rPr>
        <w:t>法定代表人或其委托代理人</w:t>
      </w:r>
      <w:r>
        <w:rPr>
          <w:rFonts w:hint="eastAsia" w:ascii="宋体" w:hAnsi="宋体"/>
          <w:spacing w:val="6"/>
          <w:sz w:val="30"/>
          <w:szCs w:val="30"/>
          <w:highlight w:val="none"/>
        </w:rPr>
        <w:t>：</w:t>
      </w:r>
      <w:r>
        <w:rPr>
          <w:rFonts w:hint="eastAsia" w:ascii="宋体" w:hAnsi="宋体"/>
          <w:spacing w:val="6"/>
          <w:sz w:val="30"/>
          <w:szCs w:val="30"/>
          <w:highlight w:val="none"/>
          <w:u w:val="single"/>
        </w:rPr>
        <w:t xml:space="preserve">          （签字）</w:t>
      </w:r>
    </w:p>
    <w:p w14:paraId="665FAFA1">
      <w:pPr>
        <w:tabs>
          <w:tab w:val="left" w:pos="0"/>
          <w:tab w:val="left" w:pos="1155"/>
          <w:tab w:val="left" w:pos="1470"/>
        </w:tabs>
        <w:spacing w:line="480" w:lineRule="exact"/>
        <w:ind w:firstLine="1132" w:firstLineChars="363"/>
        <w:rPr>
          <w:rFonts w:hint="eastAsia" w:ascii="宋体" w:hAnsi="宋体"/>
          <w:spacing w:val="6"/>
          <w:sz w:val="30"/>
          <w:szCs w:val="30"/>
          <w:highlight w:val="none"/>
        </w:rPr>
      </w:pPr>
      <w:r>
        <w:rPr>
          <w:rFonts w:hint="eastAsia" w:ascii="宋体" w:hAnsi="宋体"/>
          <w:spacing w:val="6"/>
          <w:sz w:val="30"/>
          <w:szCs w:val="30"/>
          <w:highlight w:val="none"/>
        </w:rPr>
        <w:t>日    期：</w:t>
      </w:r>
      <w:r>
        <w:rPr>
          <w:rFonts w:hint="eastAsia" w:ascii="宋体" w:hAnsi="宋体"/>
          <w:sz w:val="28"/>
          <w:szCs w:val="21"/>
          <w:highlight w:val="none"/>
          <w:u w:val="single"/>
        </w:rPr>
        <w:t xml:space="preserve">     </w:t>
      </w:r>
      <w:r>
        <w:rPr>
          <w:sz w:val="28"/>
          <w:szCs w:val="28"/>
          <w:highlight w:val="none"/>
        </w:rPr>
        <w:t>年</w:t>
      </w:r>
      <w:r>
        <w:rPr>
          <w:rFonts w:hint="eastAsia" w:ascii="宋体" w:hAnsi="宋体"/>
          <w:sz w:val="28"/>
          <w:szCs w:val="21"/>
          <w:highlight w:val="none"/>
          <w:u w:val="single"/>
        </w:rPr>
        <w:t xml:space="preserve">     </w:t>
      </w:r>
      <w:r>
        <w:rPr>
          <w:sz w:val="28"/>
          <w:szCs w:val="28"/>
          <w:highlight w:val="none"/>
        </w:rPr>
        <w:t>月</w:t>
      </w:r>
      <w:r>
        <w:rPr>
          <w:rFonts w:hint="eastAsia" w:ascii="宋体" w:hAnsi="宋体"/>
          <w:sz w:val="28"/>
          <w:szCs w:val="21"/>
          <w:highlight w:val="none"/>
          <w:u w:val="single"/>
        </w:rPr>
        <w:t xml:space="preserve">     </w:t>
      </w:r>
      <w:r>
        <w:rPr>
          <w:sz w:val="28"/>
          <w:szCs w:val="28"/>
          <w:highlight w:val="none"/>
        </w:rPr>
        <w:t>日</w:t>
      </w:r>
    </w:p>
    <w:p w14:paraId="70CFF772">
      <w:pPr>
        <w:tabs>
          <w:tab w:val="left" w:pos="0"/>
          <w:tab w:val="left" w:pos="1155"/>
          <w:tab w:val="left" w:pos="1470"/>
        </w:tabs>
        <w:spacing w:line="480" w:lineRule="exact"/>
        <w:ind w:firstLine="1132" w:firstLineChars="363"/>
        <w:rPr>
          <w:rFonts w:ascii="宋体" w:hAnsi="宋体"/>
          <w:sz w:val="30"/>
          <w:szCs w:val="30"/>
          <w:highlight w:val="none"/>
        </w:rPr>
      </w:pPr>
      <w:r>
        <w:rPr>
          <w:rFonts w:hint="eastAsia" w:ascii="宋体" w:hAnsi="宋体"/>
          <w:spacing w:val="6"/>
          <w:sz w:val="30"/>
          <w:szCs w:val="30"/>
          <w:highlight w:val="none"/>
        </w:rPr>
        <w:br w:type="page"/>
      </w:r>
    </w:p>
    <w:p w14:paraId="379460DB">
      <w:pPr>
        <w:spacing w:line="360" w:lineRule="auto"/>
        <w:jc w:val="center"/>
        <w:rPr>
          <w:rFonts w:ascii="宋体" w:hAnsi="宋体"/>
          <w:b/>
          <w:sz w:val="32"/>
          <w:szCs w:val="32"/>
          <w:highlight w:val="none"/>
        </w:rPr>
      </w:pPr>
    </w:p>
    <w:p w14:paraId="6750CDD9">
      <w:pPr>
        <w:spacing w:line="700" w:lineRule="exact"/>
        <w:jc w:val="center"/>
        <w:rPr>
          <w:rFonts w:ascii="宋体" w:hAnsi="宋体"/>
          <w:sz w:val="24"/>
          <w:highlight w:val="none"/>
        </w:rPr>
      </w:pPr>
    </w:p>
    <w:p w14:paraId="00D41B17">
      <w:pPr>
        <w:spacing w:line="700" w:lineRule="exact"/>
        <w:jc w:val="center"/>
        <w:rPr>
          <w:rFonts w:ascii="宋体" w:hAnsi="宋体"/>
          <w:sz w:val="24"/>
          <w:highlight w:val="none"/>
        </w:rPr>
      </w:pPr>
    </w:p>
    <w:p w14:paraId="65C09EEA">
      <w:pPr>
        <w:spacing w:line="700" w:lineRule="exact"/>
        <w:jc w:val="center"/>
        <w:rPr>
          <w:rFonts w:ascii="宋体" w:hAnsi="宋体"/>
          <w:sz w:val="24"/>
          <w:highlight w:val="none"/>
        </w:rPr>
      </w:pPr>
    </w:p>
    <w:bookmarkEnd w:id="110"/>
    <w:bookmarkEnd w:id="111"/>
    <w:bookmarkEnd w:id="112"/>
    <w:bookmarkEnd w:id="113"/>
    <w:bookmarkEnd w:id="114"/>
    <w:bookmarkEnd w:id="115"/>
    <w:bookmarkEnd w:id="116"/>
    <w:bookmarkEnd w:id="117"/>
    <w:p w14:paraId="250FAD1B">
      <w:pPr>
        <w:spacing w:line="600" w:lineRule="exact"/>
        <w:jc w:val="center"/>
        <w:rPr>
          <w:b/>
          <w:bCs/>
          <w:spacing w:val="4"/>
          <w:sz w:val="30"/>
          <w:szCs w:val="30"/>
          <w:highlight w:val="none"/>
        </w:rPr>
      </w:pPr>
      <w:bookmarkStart w:id="118" w:name="_Toc222740177"/>
      <w:bookmarkStart w:id="119" w:name="_Toc139451018"/>
      <w:bookmarkStart w:id="120" w:name="_Toc139453233"/>
    </w:p>
    <w:p w14:paraId="3411B1EC">
      <w:pPr>
        <w:spacing w:line="600" w:lineRule="exact"/>
        <w:jc w:val="center"/>
        <w:rPr>
          <w:b/>
          <w:bCs/>
          <w:spacing w:val="4"/>
          <w:sz w:val="30"/>
          <w:szCs w:val="30"/>
          <w:highlight w:val="none"/>
        </w:rPr>
      </w:pPr>
      <w:r>
        <w:rPr>
          <w:rFonts w:hint="eastAsia"/>
          <w:b/>
          <w:bCs/>
          <w:spacing w:val="4"/>
          <w:sz w:val="30"/>
          <w:szCs w:val="30"/>
          <w:highlight w:val="none"/>
        </w:rPr>
        <w:t>目录</w:t>
      </w:r>
    </w:p>
    <w:p w14:paraId="3B7C81D9">
      <w:pPr>
        <w:spacing w:line="600" w:lineRule="exact"/>
        <w:jc w:val="center"/>
        <w:outlineLvl w:val="9"/>
        <w:rPr>
          <w:rFonts w:hint="eastAsia"/>
          <w:b/>
          <w:bCs/>
          <w:spacing w:val="4"/>
          <w:sz w:val="30"/>
          <w:szCs w:val="30"/>
          <w:highlight w:val="none"/>
        </w:rPr>
      </w:pPr>
      <w:r>
        <w:rPr>
          <w:rFonts w:hint="eastAsia"/>
          <w:b/>
          <w:bCs/>
          <w:spacing w:val="4"/>
          <w:sz w:val="30"/>
          <w:szCs w:val="30"/>
          <w:highlight w:val="none"/>
        </w:rPr>
        <w:t>（自行编制）</w:t>
      </w:r>
    </w:p>
    <w:p w14:paraId="740A6FD8">
      <w:pPr>
        <w:spacing w:line="600" w:lineRule="exact"/>
        <w:jc w:val="center"/>
        <w:outlineLvl w:val="1"/>
        <w:rPr>
          <w:rFonts w:hint="eastAsia" w:eastAsia="宋体"/>
          <w:b/>
          <w:bCs/>
          <w:spacing w:val="4"/>
          <w:sz w:val="30"/>
          <w:szCs w:val="30"/>
          <w:highlight w:val="none"/>
          <w:lang w:eastAsia="zh-CN"/>
        </w:rPr>
      </w:pPr>
      <w:r>
        <w:rPr>
          <w:b/>
          <w:bCs/>
          <w:spacing w:val="4"/>
          <w:sz w:val="30"/>
          <w:szCs w:val="30"/>
          <w:highlight w:val="none"/>
        </w:rPr>
        <w:br w:type="page"/>
      </w:r>
      <w:r>
        <w:rPr>
          <w:rFonts w:hint="eastAsia"/>
          <w:b/>
          <w:bCs/>
          <w:spacing w:val="4"/>
          <w:sz w:val="30"/>
          <w:szCs w:val="30"/>
          <w:highlight w:val="none"/>
        </w:rPr>
        <w:t>一、投标</w:t>
      </w:r>
      <w:r>
        <w:rPr>
          <w:rFonts w:hint="eastAsia"/>
          <w:b/>
          <w:bCs/>
          <w:spacing w:val="4"/>
          <w:sz w:val="30"/>
          <w:szCs w:val="30"/>
          <w:highlight w:val="none"/>
          <w:lang w:val="en-US" w:eastAsia="zh-CN"/>
        </w:rPr>
        <w:t>承诺书</w:t>
      </w:r>
    </w:p>
    <w:p w14:paraId="0FE263D2">
      <w:pPr>
        <w:spacing w:line="400" w:lineRule="exact"/>
        <w:rPr>
          <w:rFonts w:ascii="宋体" w:hAnsi="宋体"/>
          <w:spacing w:val="4"/>
          <w:sz w:val="24"/>
          <w:szCs w:val="24"/>
          <w:highlight w:val="none"/>
        </w:rPr>
      </w:pPr>
      <w:r>
        <w:rPr>
          <w:rFonts w:hint="eastAsia" w:ascii="宋体" w:hAnsi="宋体"/>
          <w:sz w:val="24"/>
          <w:highlight w:val="none"/>
        </w:rPr>
        <w:t>致：</w:t>
      </w:r>
      <w:r>
        <w:rPr>
          <w:rFonts w:hint="eastAsia"/>
          <w:sz w:val="24"/>
          <w:highlight w:val="none"/>
          <w:u w:val="single"/>
        </w:rPr>
        <w:t>（招标人名称）</w:t>
      </w:r>
    </w:p>
    <w:p w14:paraId="3B7651F8">
      <w:pPr>
        <w:spacing w:beforeLines="50" w:line="420" w:lineRule="exact"/>
        <w:ind w:firstLine="480" w:firstLineChars="200"/>
        <w:rPr>
          <w:rFonts w:ascii="宋体" w:hAnsi="宋体"/>
          <w:sz w:val="24"/>
          <w:szCs w:val="24"/>
          <w:highlight w:val="none"/>
        </w:rPr>
      </w:pPr>
      <w:r>
        <w:rPr>
          <w:rFonts w:hint="eastAsia" w:ascii="宋体" w:hAnsi="宋体"/>
          <w:sz w:val="24"/>
          <w:szCs w:val="24"/>
          <w:highlight w:val="none"/>
        </w:rPr>
        <w:t>1、</w:t>
      </w:r>
      <w:r>
        <w:rPr>
          <w:rFonts w:hint="eastAsia" w:ascii="宋体" w:hAnsi="宋体"/>
          <w:spacing w:val="-2"/>
          <w:sz w:val="24"/>
          <w:szCs w:val="24"/>
          <w:highlight w:val="none"/>
        </w:rPr>
        <w:t>我方在研究了项目监理服务招标文件及考察现场后，我们按照招标文件的要求编制了该项目建设工程监理投标文件并愿意遵守招标文件的要求，承担并完成该施工监理服务。同时理解此费用已包含投标人完成该工程监理服务范围内的所有费用。</w:t>
      </w:r>
    </w:p>
    <w:p w14:paraId="2D77ECDC">
      <w:pPr>
        <w:spacing w:line="420" w:lineRule="exact"/>
        <w:ind w:firstLine="480" w:firstLineChars="200"/>
        <w:rPr>
          <w:rFonts w:ascii="宋体" w:hAnsi="宋体"/>
          <w:sz w:val="24"/>
          <w:szCs w:val="24"/>
          <w:highlight w:val="none"/>
        </w:rPr>
      </w:pPr>
      <w:r>
        <w:rPr>
          <w:rFonts w:hint="eastAsia" w:ascii="宋体" w:hAnsi="宋体"/>
          <w:sz w:val="24"/>
          <w:szCs w:val="24"/>
          <w:highlight w:val="none"/>
        </w:rPr>
        <w:t>总监理工程师：</w:t>
      </w:r>
      <w:r>
        <w:rPr>
          <w:rFonts w:hint="eastAsia" w:ascii="宋体" w:hAnsi="宋体"/>
          <w:sz w:val="24"/>
          <w:szCs w:val="24"/>
          <w:highlight w:val="none"/>
          <w:u w:val="single"/>
        </w:rPr>
        <w:t xml:space="preserve">   姓名       </w:t>
      </w:r>
      <w:r>
        <w:rPr>
          <w:rFonts w:hint="eastAsia" w:ascii="宋体" w:hAnsi="宋体"/>
          <w:sz w:val="24"/>
          <w:szCs w:val="24"/>
          <w:highlight w:val="none"/>
        </w:rPr>
        <w:t>，证书号码：</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 xml:space="preserve">。 </w:t>
      </w:r>
    </w:p>
    <w:p w14:paraId="032A5324">
      <w:pPr>
        <w:numPr>
          <w:ilvl w:val="0"/>
          <w:numId w:val="0"/>
        </w:numPr>
        <w:spacing w:line="420" w:lineRule="exact"/>
        <w:ind w:firstLine="472" w:firstLineChars="200"/>
        <w:rPr>
          <w:rFonts w:hint="eastAsia" w:ascii="宋体" w:hAnsi="宋体"/>
          <w:spacing w:val="-2"/>
          <w:sz w:val="24"/>
          <w:szCs w:val="24"/>
          <w:highlight w:val="none"/>
        </w:rPr>
      </w:pPr>
      <w:r>
        <w:rPr>
          <w:rFonts w:hint="eastAsia" w:ascii="宋体" w:hAnsi="宋体" w:eastAsia="宋体" w:cs="Times New Roman"/>
          <w:spacing w:val="-2"/>
          <w:kern w:val="2"/>
          <w:sz w:val="24"/>
          <w:szCs w:val="24"/>
          <w:highlight w:val="none"/>
          <w:lang w:val="en-US" w:eastAsia="zh-CN" w:bidi="ar-SA"/>
        </w:rPr>
        <w:t>2、</w:t>
      </w:r>
      <w:r>
        <w:rPr>
          <w:rFonts w:hint="eastAsia" w:ascii="宋体" w:hAnsi="宋体"/>
          <w:spacing w:val="-2"/>
          <w:sz w:val="24"/>
          <w:szCs w:val="24"/>
          <w:highlight w:val="none"/>
        </w:rPr>
        <w:t>我公司承诺完全响应招标文件确定的监理承包范围、监理工作服务期</w:t>
      </w:r>
      <w:r>
        <w:rPr>
          <w:rFonts w:hint="eastAsia" w:ascii="宋体" w:hAnsi="宋体"/>
          <w:spacing w:val="-2"/>
          <w:sz w:val="24"/>
          <w:szCs w:val="24"/>
          <w:highlight w:val="none"/>
          <w:lang w:eastAsia="zh-CN"/>
        </w:rPr>
        <w:t>、</w:t>
      </w:r>
      <w:r>
        <w:rPr>
          <w:rFonts w:ascii="宋体" w:hAnsi="宋体"/>
          <w:spacing w:val="-2"/>
          <w:sz w:val="24"/>
          <w:szCs w:val="24"/>
          <w:highlight w:val="none"/>
        </w:rPr>
        <w:t>监理</w:t>
      </w:r>
      <w:r>
        <w:rPr>
          <w:rFonts w:hint="eastAsia" w:ascii="宋体" w:hAnsi="宋体"/>
          <w:spacing w:val="-2"/>
          <w:sz w:val="24"/>
          <w:szCs w:val="24"/>
          <w:highlight w:val="none"/>
        </w:rPr>
        <w:t>质量</w:t>
      </w:r>
      <w:r>
        <w:rPr>
          <w:rFonts w:ascii="宋体" w:hAnsi="宋体"/>
          <w:spacing w:val="-2"/>
          <w:sz w:val="24"/>
          <w:szCs w:val="24"/>
          <w:highlight w:val="none"/>
        </w:rPr>
        <w:t>要求</w:t>
      </w:r>
      <w:r>
        <w:rPr>
          <w:rFonts w:hint="eastAsia" w:ascii="宋体" w:hAnsi="宋体"/>
          <w:spacing w:val="-2"/>
          <w:sz w:val="24"/>
          <w:szCs w:val="24"/>
          <w:highlight w:val="none"/>
          <w:lang w:val="en-US" w:eastAsia="zh-CN"/>
        </w:rPr>
        <w:t>、监理技术标准和要求</w:t>
      </w:r>
      <w:r>
        <w:rPr>
          <w:rFonts w:hint="eastAsia" w:ascii="宋体" w:hAnsi="宋体"/>
          <w:spacing w:val="-2"/>
          <w:sz w:val="24"/>
          <w:szCs w:val="24"/>
          <w:highlight w:val="none"/>
        </w:rPr>
        <w:t>。</w:t>
      </w:r>
    </w:p>
    <w:p w14:paraId="48ABC1FF">
      <w:pPr>
        <w:numPr>
          <w:ilvl w:val="0"/>
          <w:numId w:val="0"/>
        </w:numPr>
        <w:spacing w:line="420" w:lineRule="exact"/>
        <w:ind w:firstLine="472" w:firstLineChars="200"/>
        <w:rPr>
          <w:rFonts w:hint="eastAsia" w:ascii="宋体" w:hAnsi="宋体"/>
          <w:spacing w:val="-2"/>
          <w:sz w:val="24"/>
          <w:szCs w:val="24"/>
          <w:highlight w:val="none"/>
        </w:rPr>
      </w:pPr>
      <w:r>
        <w:rPr>
          <w:rFonts w:hint="eastAsia" w:ascii="宋体" w:hAnsi="宋体" w:eastAsia="宋体" w:cs="Times New Roman"/>
          <w:spacing w:val="-2"/>
          <w:kern w:val="2"/>
          <w:sz w:val="24"/>
          <w:szCs w:val="24"/>
          <w:highlight w:val="none"/>
          <w:lang w:val="en-US" w:eastAsia="zh-CN" w:bidi="ar-SA"/>
        </w:rPr>
        <w:t>3、</w:t>
      </w:r>
      <w:r>
        <w:rPr>
          <w:rFonts w:hint="eastAsia" w:ascii="宋体" w:hAnsi="宋体"/>
          <w:sz w:val="24"/>
          <w:szCs w:val="24"/>
          <w:highlight w:val="none"/>
        </w:rPr>
        <w:t>我公司承诺</w:t>
      </w:r>
      <w:r>
        <w:rPr>
          <w:rFonts w:ascii="宋体" w:hAnsi="宋体"/>
          <w:sz w:val="24"/>
          <w:szCs w:val="24"/>
          <w:highlight w:val="none"/>
        </w:rPr>
        <w:t>本</w:t>
      </w:r>
      <w:r>
        <w:rPr>
          <w:rFonts w:hint="eastAsia" w:ascii="宋体" w:hAnsi="宋体"/>
          <w:sz w:val="24"/>
          <w:szCs w:val="24"/>
          <w:highlight w:val="none"/>
        </w:rPr>
        <w:t>投标文件和</w:t>
      </w:r>
      <w:r>
        <w:rPr>
          <w:rFonts w:ascii="宋体" w:hAnsi="宋体"/>
          <w:sz w:val="24"/>
          <w:szCs w:val="24"/>
          <w:highlight w:val="none"/>
        </w:rPr>
        <w:t>中标通知书将成为合同文件</w:t>
      </w:r>
      <w:r>
        <w:rPr>
          <w:rFonts w:hint="eastAsia" w:ascii="宋体" w:hAnsi="宋体"/>
          <w:sz w:val="24"/>
          <w:szCs w:val="24"/>
          <w:highlight w:val="none"/>
        </w:rPr>
        <w:t>的组成部分。</w:t>
      </w:r>
    </w:p>
    <w:p w14:paraId="19165E82">
      <w:pPr>
        <w:spacing w:line="420" w:lineRule="exact"/>
        <w:ind w:firstLine="480" w:firstLineChars="200"/>
        <w:rPr>
          <w:rFonts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、我方同意从递交投标文件截止之日起</w:t>
      </w:r>
      <w:r>
        <w:rPr>
          <w:rFonts w:hint="eastAsia" w:ascii="宋体" w:hAnsi="宋体"/>
          <w:sz w:val="24"/>
          <w:szCs w:val="24"/>
          <w:highlight w:val="non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lang w:val="en-US" w:eastAsia="zh-CN"/>
        </w:rPr>
        <w:t xml:space="preserve"> </w:t>
      </w:r>
      <w:r>
        <w:rPr>
          <w:rFonts w:hint="eastAsia" w:ascii="宋体" w:hAnsi="宋体"/>
          <w:sz w:val="24"/>
          <w:szCs w:val="24"/>
          <w:highlight w:val="none"/>
        </w:rPr>
        <w:t>天内保持投标文件有效，在此有效期内我们将严格遵守投标文件的承诺，在此期限届满之前，本投标文件始终对我方具有约束力，并可随时被接受中标。</w:t>
      </w:r>
    </w:p>
    <w:p w14:paraId="468C6886">
      <w:pPr>
        <w:spacing w:line="420" w:lineRule="exact"/>
        <w:ind w:firstLine="480" w:firstLineChars="200"/>
        <w:rPr>
          <w:rFonts w:ascii="宋体" w:hAnsi="宋体"/>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、除投标文件所提交的资料外，我方同意随时接受贵方的检查、询问，并根据评标的需要补充贵方要求提交的资料。</w:t>
      </w:r>
    </w:p>
    <w:p w14:paraId="304FC4AB">
      <w:pPr>
        <w:spacing w:line="420" w:lineRule="exact"/>
        <w:ind w:firstLine="480" w:firstLineChars="200"/>
        <w:rPr>
          <w:rFonts w:ascii="宋体" w:hAnsi="宋体"/>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一旦中标，我公司保证按照招标文件的要求和与招标人签订的委托监理合同，成立本工程的监理项目部，按投标文件拟定的总监理工程师和专业监理人员进驻施工现场实施监理合同，保证按招标文件规定的期限内完成本工程的监理工作。</w:t>
      </w:r>
    </w:p>
    <w:p w14:paraId="7AA0605A">
      <w:pPr>
        <w:spacing w:line="420" w:lineRule="exact"/>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7</w:t>
      </w:r>
      <w:r>
        <w:rPr>
          <w:rFonts w:hint="eastAsia" w:ascii="宋体" w:hAnsi="宋体"/>
          <w:sz w:val="24"/>
          <w:szCs w:val="24"/>
          <w:highlight w:val="none"/>
        </w:rPr>
        <w:t>、如果我公司中标后没有正当理由而拒绝签订合同或没有按招标文件规定的期限内开始本工程的监理工作，我们愿意补偿贵方因该工程工作延误造成的经济损失，并追究有关法律责任。</w:t>
      </w:r>
    </w:p>
    <w:p w14:paraId="35935642">
      <w:pPr>
        <w:spacing w:line="420" w:lineRule="exact"/>
        <w:ind w:firstLine="480" w:firstLineChars="200"/>
        <w:rPr>
          <w:rFonts w:hint="eastAsia" w:ascii="宋体" w:hAnsi="宋体" w:eastAsia="宋体"/>
          <w:sz w:val="24"/>
          <w:szCs w:val="24"/>
          <w:highlight w:val="none"/>
          <w:lang w:val="en-US" w:eastAsia="zh-CN"/>
        </w:rPr>
      </w:pPr>
      <w:r>
        <w:rPr>
          <w:rFonts w:hint="eastAsia" w:ascii="宋体" w:hAnsi="宋体"/>
          <w:sz w:val="24"/>
          <w:szCs w:val="24"/>
          <w:highlight w:val="none"/>
          <w:lang w:val="en-US" w:eastAsia="zh-CN"/>
        </w:rPr>
        <w:t>8、</w:t>
      </w:r>
      <w:r>
        <w:rPr>
          <w:rFonts w:ascii="宋体" w:hAnsi="宋体"/>
          <w:sz w:val="24"/>
          <w:szCs w:val="24"/>
          <w:highlight w:val="none"/>
        </w:rPr>
        <w:t>我</w:t>
      </w:r>
      <w:r>
        <w:rPr>
          <w:rFonts w:hint="eastAsia" w:ascii="宋体" w:hAnsi="宋体"/>
          <w:sz w:val="24"/>
          <w:szCs w:val="24"/>
          <w:highlight w:val="none"/>
        </w:rPr>
        <w:t>单位郑重承诺：保证按照《中华人民共和国招标投标法》及其《实施条例》的规定参加投标，所提供的一切材料都是真实、有效、合法的，不让任何单位和个人挂靠，不参与围标和串标，不进行恶意异议和投诉，若有违反上述承诺内容的行为，愿意承担法律责任。</w:t>
      </w:r>
    </w:p>
    <w:p w14:paraId="38BAA4D5">
      <w:pPr>
        <w:spacing w:line="500" w:lineRule="exact"/>
        <w:rPr>
          <w:rFonts w:ascii="宋体" w:hAnsi="宋体"/>
          <w:spacing w:val="4"/>
          <w:sz w:val="24"/>
          <w:szCs w:val="24"/>
          <w:highlight w:val="none"/>
        </w:rPr>
      </w:pPr>
      <w:r>
        <w:rPr>
          <w:rFonts w:hint="eastAsia" w:ascii="宋体" w:hAnsi="宋体"/>
          <w:spacing w:val="4"/>
          <w:sz w:val="24"/>
          <w:szCs w:val="24"/>
          <w:highlight w:val="none"/>
        </w:rPr>
        <w:t>投标人：（盖</w:t>
      </w:r>
      <w:r>
        <w:rPr>
          <w:rFonts w:hint="eastAsia" w:ascii="宋体" w:hAnsi="宋体"/>
          <w:spacing w:val="4"/>
          <w:sz w:val="24"/>
          <w:szCs w:val="24"/>
          <w:highlight w:val="none"/>
          <w:lang w:val="en-US" w:eastAsia="zh-CN"/>
        </w:rPr>
        <w:t>单位</w:t>
      </w:r>
      <w:r>
        <w:rPr>
          <w:rFonts w:hint="eastAsia" w:ascii="宋体" w:hAnsi="宋体"/>
          <w:spacing w:val="4"/>
          <w:sz w:val="24"/>
          <w:szCs w:val="24"/>
          <w:highlight w:val="none"/>
        </w:rPr>
        <w:t>章）                  法定代表人：</w:t>
      </w:r>
      <w:r>
        <w:rPr>
          <w:rFonts w:hint="eastAsia" w:ascii="宋体" w:hAnsi="宋体"/>
          <w:spacing w:val="4"/>
          <w:sz w:val="24"/>
          <w:szCs w:val="24"/>
          <w:highlight w:val="none"/>
          <w:u w:val="single"/>
        </w:rPr>
        <w:t xml:space="preserve">      （签字）</w:t>
      </w:r>
    </w:p>
    <w:p w14:paraId="4B5B128A">
      <w:pPr>
        <w:spacing w:line="500" w:lineRule="exact"/>
        <w:rPr>
          <w:rFonts w:ascii="宋体" w:hAnsi="宋体"/>
          <w:spacing w:val="4"/>
          <w:sz w:val="24"/>
          <w:szCs w:val="24"/>
          <w:highlight w:val="none"/>
        </w:rPr>
      </w:pPr>
      <w:r>
        <w:rPr>
          <w:rFonts w:hint="eastAsia" w:ascii="宋体" w:hAnsi="宋体"/>
          <w:spacing w:val="4"/>
          <w:sz w:val="24"/>
          <w:szCs w:val="24"/>
          <w:highlight w:val="none"/>
        </w:rPr>
        <w:t>地址：                           邮政编码：</w:t>
      </w:r>
    </w:p>
    <w:p w14:paraId="749342DB">
      <w:pPr>
        <w:spacing w:line="500" w:lineRule="exact"/>
        <w:rPr>
          <w:rFonts w:ascii="宋体" w:hAnsi="宋体"/>
          <w:spacing w:val="4"/>
          <w:sz w:val="24"/>
          <w:szCs w:val="24"/>
          <w:highlight w:val="none"/>
        </w:rPr>
      </w:pPr>
      <w:r>
        <w:rPr>
          <w:rFonts w:hint="eastAsia" w:ascii="宋体" w:hAnsi="宋体"/>
          <w:spacing w:val="4"/>
          <w:sz w:val="24"/>
          <w:szCs w:val="24"/>
          <w:highlight w:val="none"/>
        </w:rPr>
        <w:t>电话：</w:t>
      </w:r>
    </w:p>
    <w:p w14:paraId="2396EAA3">
      <w:pPr>
        <w:pStyle w:val="28"/>
        <w:spacing w:line="500" w:lineRule="exact"/>
        <w:rPr>
          <w:rFonts w:ascii="宋体" w:hAnsi="宋体"/>
          <w:spacing w:val="4"/>
          <w:szCs w:val="24"/>
          <w:highlight w:val="none"/>
        </w:rPr>
      </w:pPr>
      <w:r>
        <w:rPr>
          <w:rFonts w:hint="eastAsia" w:ascii="宋体" w:hAnsi="宋体"/>
          <w:spacing w:val="4"/>
          <w:szCs w:val="24"/>
          <w:highlight w:val="none"/>
        </w:rPr>
        <w:t xml:space="preserve">开户银行名称：                   </w:t>
      </w:r>
      <w:r>
        <w:rPr>
          <w:rFonts w:hint="eastAsia" w:ascii="宋体" w:hAnsi="宋体"/>
          <w:szCs w:val="24"/>
          <w:highlight w:val="none"/>
        </w:rPr>
        <w:t>银行账号：</w:t>
      </w:r>
    </w:p>
    <w:p w14:paraId="2B0989F3">
      <w:pPr>
        <w:spacing w:line="500" w:lineRule="exact"/>
        <w:rPr>
          <w:rFonts w:ascii="宋体" w:hAnsi="宋体"/>
          <w:sz w:val="24"/>
          <w:szCs w:val="24"/>
          <w:highlight w:val="none"/>
        </w:rPr>
      </w:pPr>
      <w:r>
        <w:rPr>
          <w:rFonts w:hint="eastAsia" w:ascii="宋体" w:hAnsi="宋体"/>
          <w:sz w:val="24"/>
          <w:szCs w:val="24"/>
          <w:highlight w:val="none"/>
        </w:rPr>
        <w:t>开户地址：</w:t>
      </w:r>
    </w:p>
    <w:p w14:paraId="52A5C318">
      <w:pPr>
        <w:spacing w:line="500" w:lineRule="exact"/>
        <w:rPr>
          <w:rFonts w:ascii="宋体" w:hAnsi="宋体"/>
          <w:spacing w:val="4"/>
          <w:sz w:val="24"/>
          <w:szCs w:val="24"/>
          <w:highlight w:val="none"/>
        </w:rPr>
      </w:pPr>
      <w:r>
        <w:rPr>
          <w:rFonts w:hint="eastAsia" w:ascii="宋体" w:hAnsi="宋体"/>
          <w:spacing w:val="4"/>
          <w:sz w:val="24"/>
          <w:szCs w:val="24"/>
          <w:highlight w:val="none"/>
        </w:rPr>
        <w:t>日期：</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50996251">
      <w:pPr>
        <w:spacing w:beforeLines="100" w:afterLines="50" w:line="620" w:lineRule="exact"/>
        <w:jc w:val="center"/>
        <w:outlineLvl w:val="1"/>
        <w:rPr>
          <w:b/>
          <w:spacing w:val="6"/>
          <w:sz w:val="32"/>
          <w:highlight w:val="none"/>
        </w:rPr>
      </w:pPr>
      <w:r>
        <w:rPr>
          <w:b/>
          <w:spacing w:val="6"/>
          <w:sz w:val="32"/>
          <w:highlight w:val="none"/>
        </w:rPr>
        <w:br w:type="page"/>
      </w:r>
      <w:r>
        <w:rPr>
          <w:rFonts w:hint="eastAsia"/>
          <w:b/>
          <w:spacing w:val="6"/>
          <w:sz w:val="32"/>
          <w:highlight w:val="none"/>
        </w:rPr>
        <w:t>二、法定代表人身份证明书</w:t>
      </w:r>
    </w:p>
    <w:p w14:paraId="298D4A1F">
      <w:pPr>
        <w:spacing w:line="400" w:lineRule="exact"/>
        <w:jc w:val="center"/>
        <w:rPr>
          <w:b/>
          <w:spacing w:val="6"/>
          <w:sz w:val="32"/>
          <w:highlight w:val="none"/>
        </w:rPr>
      </w:pPr>
    </w:p>
    <w:p w14:paraId="70E2906D">
      <w:pPr>
        <w:spacing w:line="560" w:lineRule="exact"/>
        <w:ind w:firstLine="540" w:firstLineChars="225"/>
        <w:rPr>
          <w:rFonts w:ascii="宋体" w:hAnsi="宋体"/>
          <w:sz w:val="24"/>
          <w:highlight w:val="none"/>
        </w:rPr>
      </w:pPr>
      <w:r>
        <w:rPr>
          <w:rFonts w:hint="eastAsia" w:ascii="宋体" w:hAnsi="宋体"/>
          <w:sz w:val="24"/>
          <w:highlight w:val="none"/>
        </w:rPr>
        <w:t>投 标 人：</w:t>
      </w:r>
    </w:p>
    <w:p w14:paraId="271152A2">
      <w:pPr>
        <w:spacing w:line="560" w:lineRule="exact"/>
        <w:ind w:firstLine="540" w:firstLineChars="225"/>
        <w:rPr>
          <w:rFonts w:ascii="宋体" w:hAnsi="宋体"/>
          <w:sz w:val="24"/>
          <w:highlight w:val="none"/>
        </w:rPr>
      </w:pPr>
      <w:r>
        <w:rPr>
          <w:rFonts w:hint="eastAsia" w:ascii="宋体" w:hAnsi="宋体"/>
          <w:sz w:val="24"/>
          <w:highlight w:val="none"/>
        </w:rPr>
        <w:t>单位性质：</w:t>
      </w:r>
    </w:p>
    <w:p w14:paraId="778F9469">
      <w:pPr>
        <w:spacing w:line="560" w:lineRule="exact"/>
        <w:ind w:firstLine="540" w:firstLineChars="225"/>
        <w:rPr>
          <w:rFonts w:ascii="宋体" w:hAnsi="宋体"/>
          <w:sz w:val="24"/>
          <w:highlight w:val="none"/>
        </w:rPr>
      </w:pPr>
      <w:r>
        <w:rPr>
          <w:rFonts w:hint="eastAsia" w:ascii="宋体" w:hAnsi="宋体"/>
          <w:sz w:val="24"/>
          <w:highlight w:val="none"/>
        </w:rPr>
        <w:t>地    址：</w:t>
      </w:r>
    </w:p>
    <w:p w14:paraId="62E7C2B8">
      <w:pPr>
        <w:spacing w:line="560" w:lineRule="exact"/>
        <w:ind w:firstLine="540" w:firstLineChars="225"/>
        <w:rPr>
          <w:rFonts w:ascii="宋体" w:hAnsi="宋体"/>
          <w:sz w:val="24"/>
          <w:highlight w:val="none"/>
        </w:rPr>
      </w:pPr>
      <w:r>
        <w:rPr>
          <w:rFonts w:hint="eastAsia" w:ascii="宋体" w:hAnsi="宋体"/>
          <w:sz w:val="24"/>
          <w:highlight w:val="none"/>
        </w:rPr>
        <w:t>成立时间：</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1931FADA">
      <w:pPr>
        <w:spacing w:line="560" w:lineRule="exact"/>
        <w:ind w:firstLine="540" w:firstLineChars="225"/>
        <w:rPr>
          <w:rFonts w:ascii="宋体" w:hAnsi="宋体"/>
          <w:sz w:val="24"/>
          <w:highlight w:val="none"/>
        </w:rPr>
      </w:pPr>
      <w:r>
        <w:rPr>
          <w:rFonts w:hint="eastAsia" w:ascii="宋体" w:hAnsi="宋体"/>
          <w:sz w:val="24"/>
          <w:highlight w:val="none"/>
        </w:rPr>
        <w:t>经营期限：</w:t>
      </w:r>
    </w:p>
    <w:p w14:paraId="27312494">
      <w:pPr>
        <w:spacing w:line="560" w:lineRule="exact"/>
        <w:ind w:firstLine="540" w:firstLineChars="225"/>
        <w:rPr>
          <w:rFonts w:ascii="宋体" w:hAnsi="宋体"/>
          <w:sz w:val="24"/>
          <w:highlight w:val="none"/>
        </w:rPr>
      </w:pPr>
      <w:r>
        <w:rPr>
          <w:rFonts w:hint="eastAsia" w:ascii="宋体" w:hAnsi="宋体"/>
          <w:sz w:val="24"/>
          <w:highlight w:val="none"/>
        </w:rPr>
        <w:t>姓    名：        性别：</w:t>
      </w:r>
    </w:p>
    <w:p w14:paraId="7E17F10F">
      <w:pPr>
        <w:spacing w:line="560" w:lineRule="exact"/>
        <w:ind w:firstLine="540" w:firstLineChars="225"/>
        <w:rPr>
          <w:rFonts w:ascii="宋体" w:hAnsi="宋体"/>
          <w:sz w:val="24"/>
          <w:highlight w:val="none"/>
        </w:rPr>
      </w:pPr>
      <w:r>
        <w:rPr>
          <w:rFonts w:hint="eastAsia" w:ascii="宋体" w:hAnsi="宋体"/>
          <w:sz w:val="24"/>
          <w:highlight w:val="none"/>
        </w:rPr>
        <w:t>年    龄：        职务：</w:t>
      </w:r>
    </w:p>
    <w:p w14:paraId="48519D44">
      <w:pPr>
        <w:spacing w:line="560" w:lineRule="exact"/>
        <w:ind w:firstLine="540" w:firstLineChars="225"/>
        <w:rPr>
          <w:rFonts w:ascii="宋体" w:hAnsi="宋体"/>
          <w:sz w:val="24"/>
          <w:highlight w:val="none"/>
        </w:rPr>
      </w:pPr>
      <w:r>
        <w:rPr>
          <w:rFonts w:hint="eastAsia" w:ascii="宋体" w:hAnsi="宋体"/>
          <w:sz w:val="24"/>
          <w:highlight w:val="none"/>
        </w:rPr>
        <w:t>系（投标人名称）的法定代表人。</w:t>
      </w:r>
    </w:p>
    <w:p w14:paraId="0CF84E51">
      <w:pPr>
        <w:spacing w:line="560" w:lineRule="exact"/>
        <w:ind w:firstLine="540" w:firstLineChars="225"/>
        <w:rPr>
          <w:rFonts w:ascii="宋体" w:hAnsi="宋体"/>
          <w:sz w:val="24"/>
          <w:highlight w:val="none"/>
        </w:rPr>
      </w:pPr>
      <w:r>
        <w:rPr>
          <w:rFonts w:hint="eastAsia" w:ascii="宋体" w:hAnsi="宋体"/>
          <w:sz w:val="24"/>
          <w:highlight w:val="none"/>
        </w:rPr>
        <w:t>特此证明。</w:t>
      </w:r>
    </w:p>
    <w:p w14:paraId="33A2D8ED">
      <w:pPr>
        <w:spacing w:line="500" w:lineRule="exact"/>
        <w:rPr>
          <w:rFonts w:ascii="宋体" w:hAnsi="宋体"/>
          <w:szCs w:val="21"/>
          <w:highlight w:val="none"/>
        </w:rPr>
      </w:pPr>
    </w:p>
    <w:p w14:paraId="680D0F2F">
      <w:pPr>
        <w:spacing w:line="500" w:lineRule="exact"/>
        <w:rPr>
          <w:rFonts w:ascii="宋体" w:hAnsi="宋体"/>
          <w:szCs w:val="21"/>
          <w:highlight w:val="none"/>
        </w:rPr>
      </w:pPr>
    </w:p>
    <w:p w14:paraId="6FEA5C26">
      <w:pPr>
        <w:wordWrap w:val="0"/>
        <w:spacing w:line="560" w:lineRule="exact"/>
        <w:ind w:right="70" w:firstLine="0" w:firstLineChars="0"/>
        <w:jc w:val="right"/>
        <w:rPr>
          <w:rFonts w:ascii="宋体" w:hAnsi="宋体"/>
          <w:sz w:val="24"/>
          <w:highlight w:val="none"/>
        </w:rPr>
      </w:pPr>
      <w:r>
        <w:rPr>
          <w:rFonts w:hint="eastAsia" w:ascii="宋体" w:hAnsi="宋体"/>
          <w:sz w:val="24"/>
          <w:highlight w:val="none"/>
        </w:rPr>
        <w:t>投标人：</w:t>
      </w:r>
      <w:r>
        <w:rPr>
          <w:rFonts w:hint="eastAsia" w:ascii="宋体" w:hAnsi="宋体"/>
          <w:sz w:val="24"/>
          <w:szCs w:val="24"/>
          <w:highlight w:val="none"/>
          <w:u w:val="single"/>
        </w:rPr>
        <w:t xml:space="preserve">          </w:t>
      </w:r>
      <w:r>
        <w:rPr>
          <w:rFonts w:hint="eastAsia" w:ascii="宋体" w:hAnsi="宋体"/>
          <w:sz w:val="24"/>
          <w:highlight w:val="none"/>
        </w:rPr>
        <w:t>（盖单位章）</w:t>
      </w:r>
    </w:p>
    <w:p w14:paraId="5DB5C670">
      <w:pPr>
        <w:keepNext w:val="0"/>
        <w:keepLines w:val="0"/>
        <w:pageBreakBefore w:val="0"/>
        <w:widowControl w:val="0"/>
        <w:kinsoku/>
        <w:wordWrap/>
        <w:overflowPunct/>
        <w:topLinePunct w:val="0"/>
        <w:autoSpaceDE/>
        <w:autoSpaceDN/>
        <w:bidi w:val="0"/>
        <w:adjustRightInd/>
        <w:snapToGrid/>
        <w:spacing w:line="520" w:lineRule="exact"/>
        <w:ind w:left="0" w:leftChars="0"/>
        <w:jc w:val="right"/>
        <w:textAlignment w:val="auto"/>
        <w:rPr>
          <w:rFonts w:ascii="宋体" w:hAnsi="宋体"/>
          <w:sz w:val="24"/>
          <w:szCs w:val="24"/>
          <w:highlight w:val="none"/>
          <w:u w:val="single"/>
        </w:rPr>
      </w:pPr>
      <w:r>
        <w:rPr>
          <w:rFonts w:hint="eastAsia" w:ascii="宋体" w:hAnsi="宋体"/>
          <w:sz w:val="24"/>
          <w:szCs w:val="24"/>
          <w:highlight w:val="none"/>
        </w:rPr>
        <w:t>法定代表人：</w:t>
      </w:r>
      <w:r>
        <w:rPr>
          <w:rFonts w:hint="eastAsia" w:ascii="宋体" w:hAnsi="宋体"/>
          <w:sz w:val="24"/>
          <w:szCs w:val="24"/>
          <w:highlight w:val="none"/>
          <w:u w:val="single"/>
        </w:rPr>
        <w:t xml:space="preserve">          （签</w:t>
      </w:r>
      <w:r>
        <w:rPr>
          <w:rFonts w:hint="eastAsia" w:ascii="宋体" w:hAnsi="宋体"/>
          <w:sz w:val="24"/>
          <w:szCs w:val="24"/>
          <w:highlight w:val="none"/>
          <w:u w:val="single"/>
          <w:lang w:val="en-US" w:eastAsia="zh-CN"/>
        </w:rPr>
        <w:t>字</w:t>
      </w:r>
      <w:r>
        <w:rPr>
          <w:rFonts w:hint="eastAsia" w:ascii="宋体" w:hAnsi="宋体"/>
          <w:sz w:val="24"/>
          <w:szCs w:val="24"/>
          <w:highlight w:val="none"/>
          <w:u w:val="single"/>
        </w:rPr>
        <w:t>）</w:t>
      </w:r>
    </w:p>
    <w:p w14:paraId="4368642B">
      <w:pPr>
        <w:spacing w:line="360" w:lineRule="auto"/>
        <w:ind w:firstLine="0" w:firstLineChars="0"/>
        <w:jc w:val="right"/>
        <w:rPr>
          <w:b/>
          <w:spacing w:val="6"/>
          <w:sz w:val="32"/>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7312A029">
      <w:pPr>
        <w:tabs>
          <w:tab w:val="left" w:pos="0"/>
          <w:tab w:val="left" w:pos="1155"/>
          <w:tab w:val="left" w:pos="1470"/>
        </w:tabs>
        <w:spacing w:line="480" w:lineRule="exact"/>
        <w:rPr>
          <w:rFonts w:ascii="宋体" w:hAnsi="TimesNewRomanPSMT" w:cs="宋体"/>
          <w:kern w:val="0"/>
          <w:sz w:val="24"/>
          <w:highlight w:val="none"/>
        </w:rPr>
      </w:pPr>
    </w:p>
    <w:p w14:paraId="65C48CCD">
      <w:pPr>
        <w:spacing w:line="400" w:lineRule="exact"/>
        <w:rPr>
          <w:szCs w:val="21"/>
          <w:highlight w:val="none"/>
        </w:rPr>
      </w:pPr>
      <w:r>
        <w:rPr>
          <w:szCs w:val="21"/>
          <w:highlight w:val="none"/>
        </w:rPr>
        <w:t>附法定代表人身份证复印件</w:t>
      </w:r>
      <w:r>
        <w:rPr>
          <w:rFonts w:hint="eastAsia"/>
          <w:szCs w:val="21"/>
          <w:highlight w:val="none"/>
        </w:rPr>
        <w:t>（包括正、背面）</w:t>
      </w:r>
    </w:p>
    <w:p w14:paraId="640AD370">
      <w:pPr>
        <w:spacing w:line="400" w:lineRule="exact"/>
        <w:ind w:firstLine="2026"/>
        <w:rPr>
          <w:szCs w:val="21"/>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5"/>
      </w:tblGrid>
      <w:tr w14:paraId="18FA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trPr>
        <w:tc>
          <w:tcPr>
            <w:tcW w:w="4785" w:type="dxa"/>
            <w:vAlign w:val="center"/>
          </w:tcPr>
          <w:p w14:paraId="4118B516">
            <w:pPr>
              <w:ind w:left="420"/>
              <w:jc w:val="center"/>
              <w:rPr>
                <w:szCs w:val="21"/>
                <w:highlight w:val="none"/>
              </w:rPr>
            </w:pPr>
          </w:p>
        </w:tc>
        <w:tc>
          <w:tcPr>
            <w:tcW w:w="4785" w:type="dxa"/>
            <w:vAlign w:val="center"/>
          </w:tcPr>
          <w:p w14:paraId="27251C5D">
            <w:pPr>
              <w:ind w:left="420"/>
              <w:jc w:val="center"/>
              <w:rPr>
                <w:szCs w:val="21"/>
                <w:highlight w:val="none"/>
              </w:rPr>
            </w:pPr>
          </w:p>
        </w:tc>
      </w:tr>
    </w:tbl>
    <w:p w14:paraId="5AA6AE6F">
      <w:pPr>
        <w:spacing w:line="360" w:lineRule="auto"/>
        <w:rPr>
          <w:b/>
          <w:spacing w:val="6"/>
          <w:sz w:val="32"/>
          <w:highlight w:val="none"/>
        </w:rPr>
      </w:pPr>
    </w:p>
    <w:p w14:paraId="6B604763">
      <w:pPr>
        <w:spacing w:line="360" w:lineRule="auto"/>
        <w:jc w:val="center"/>
        <w:outlineLvl w:val="1"/>
        <w:rPr>
          <w:b/>
          <w:spacing w:val="6"/>
          <w:sz w:val="32"/>
          <w:highlight w:val="none"/>
        </w:rPr>
      </w:pPr>
      <w:r>
        <w:rPr>
          <w:b/>
          <w:spacing w:val="6"/>
          <w:sz w:val="32"/>
          <w:highlight w:val="none"/>
        </w:rPr>
        <w:br w:type="page"/>
      </w:r>
      <w:r>
        <w:rPr>
          <w:rFonts w:hint="eastAsia"/>
          <w:b/>
          <w:spacing w:val="6"/>
          <w:sz w:val="32"/>
          <w:highlight w:val="none"/>
        </w:rPr>
        <w:t>三、法人授权委托证明书</w:t>
      </w:r>
    </w:p>
    <w:p w14:paraId="3D339387">
      <w:pPr>
        <w:spacing w:line="300" w:lineRule="exact"/>
        <w:jc w:val="center"/>
        <w:rPr>
          <w:b/>
          <w:spacing w:val="6"/>
          <w:sz w:val="32"/>
          <w:highlight w:val="none"/>
        </w:rPr>
      </w:pPr>
    </w:p>
    <w:p w14:paraId="24792F29">
      <w:pPr>
        <w:spacing w:beforeLines="100" w:line="480" w:lineRule="exact"/>
        <w:ind w:firstLine="480" w:firstLineChars="200"/>
        <w:rPr>
          <w:rFonts w:ascii="宋体" w:hAnsi="宋体"/>
          <w:sz w:val="24"/>
          <w:highlight w:val="none"/>
        </w:rPr>
      </w:pPr>
      <w:r>
        <w:rPr>
          <w:rFonts w:hint="eastAsia" w:ascii="宋体" w:hAnsi="宋体"/>
          <w:sz w:val="24"/>
          <w:highlight w:val="none"/>
        </w:rPr>
        <w:t>本人</w:t>
      </w:r>
      <w:r>
        <w:rPr>
          <w:rFonts w:hint="eastAsia" w:ascii="宋体" w:hAnsi="宋体"/>
          <w:sz w:val="24"/>
          <w:highlight w:val="none"/>
          <w:u w:val="single"/>
        </w:rPr>
        <w:t>（姓名）</w:t>
      </w:r>
      <w:r>
        <w:rPr>
          <w:rFonts w:hint="eastAsia" w:ascii="宋体" w:hAnsi="宋体"/>
          <w:sz w:val="24"/>
          <w:highlight w:val="none"/>
        </w:rPr>
        <w:t>系</w:t>
      </w:r>
      <w:r>
        <w:rPr>
          <w:rFonts w:hint="eastAsia" w:ascii="宋体" w:hAnsi="宋体"/>
          <w:sz w:val="24"/>
          <w:highlight w:val="none"/>
          <w:u w:val="single"/>
        </w:rPr>
        <w:t>（投标人名称）</w:t>
      </w:r>
      <w:r>
        <w:rPr>
          <w:rFonts w:hint="eastAsia" w:ascii="宋体" w:hAnsi="宋体"/>
          <w:sz w:val="24"/>
          <w:highlight w:val="none"/>
        </w:rPr>
        <w:t>的法定代表人，现委托</w:t>
      </w:r>
      <w:r>
        <w:rPr>
          <w:rFonts w:hint="eastAsia" w:ascii="宋体" w:hAnsi="宋体"/>
          <w:sz w:val="24"/>
          <w:highlight w:val="none"/>
          <w:u w:val="single"/>
        </w:rPr>
        <w:t>（姓名）</w:t>
      </w:r>
      <w:r>
        <w:rPr>
          <w:rFonts w:hint="eastAsia" w:ascii="宋体" w:hAnsi="宋体"/>
          <w:sz w:val="24"/>
          <w:highlight w:val="none"/>
        </w:rPr>
        <w:t>为我方代理人。代理人根据授权，以我方名义签署、澄清、说明、补正、递交、撤回、修改</w:t>
      </w:r>
      <w:r>
        <w:rPr>
          <w:rFonts w:hint="eastAsia" w:ascii="宋体" w:hAnsi="宋体"/>
          <w:sz w:val="24"/>
          <w:highlight w:val="none"/>
          <w:u w:val="single"/>
        </w:rPr>
        <w:t>（项目名称）</w:t>
      </w:r>
      <w:r>
        <w:rPr>
          <w:rFonts w:hint="eastAsia" w:ascii="宋体" w:hAnsi="宋体"/>
          <w:sz w:val="24"/>
          <w:highlight w:val="none"/>
        </w:rPr>
        <w:t>投标文件、签订合同和处理有关事宜，其法律后果由我方承担。</w:t>
      </w:r>
    </w:p>
    <w:p w14:paraId="247B44E7">
      <w:pPr>
        <w:spacing w:line="480" w:lineRule="exact"/>
        <w:ind w:firstLine="480" w:firstLineChars="200"/>
        <w:rPr>
          <w:rFonts w:hint="eastAsia" w:ascii="宋体" w:hAnsi="宋体"/>
          <w:sz w:val="24"/>
          <w:highlight w:val="none"/>
          <w:u w:val="single"/>
          <w:lang w:val="en-US" w:eastAsia="zh-CN"/>
        </w:rPr>
      </w:pPr>
      <w:r>
        <w:rPr>
          <w:rFonts w:hint="eastAsia" w:ascii="宋体" w:hAnsi="宋体"/>
          <w:sz w:val="24"/>
          <w:highlight w:val="none"/>
        </w:rPr>
        <w:t>委托期限：</w:t>
      </w:r>
      <w:r>
        <w:rPr>
          <w:rFonts w:hint="eastAsia" w:ascii="宋体" w:hAnsi="宋体"/>
          <w:sz w:val="24"/>
          <w:highlight w:val="none"/>
          <w:u w:val="single"/>
          <w:lang w:eastAsia="zh-CN"/>
        </w:rPr>
        <w:t xml:space="preserve"> </w:t>
      </w:r>
      <w:r>
        <w:rPr>
          <w:rFonts w:hint="eastAsia" w:ascii="宋体" w:hAnsi="宋体"/>
          <w:sz w:val="24"/>
          <w:highlight w:val="none"/>
          <w:u w:val="single"/>
          <w:lang w:val="en-US" w:eastAsia="zh-CN"/>
        </w:rPr>
        <w:t xml:space="preserve">                      </w:t>
      </w:r>
    </w:p>
    <w:p w14:paraId="167DAF79">
      <w:pPr>
        <w:spacing w:line="480" w:lineRule="exact"/>
        <w:ind w:firstLine="480" w:firstLineChars="200"/>
        <w:rPr>
          <w:rFonts w:ascii="宋体" w:hAnsi="宋体"/>
          <w:sz w:val="24"/>
          <w:highlight w:val="none"/>
        </w:rPr>
      </w:pPr>
      <w:r>
        <w:rPr>
          <w:rFonts w:hint="eastAsia" w:ascii="宋体" w:hAnsi="宋体"/>
          <w:sz w:val="24"/>
          <w:highlight w:val="none"/>
        </w:rPr>
        <w:t>代理人无转委托权。</w:t>
      </w:r>
    </w:p>
    <w:p w14:paraId="626B9F30">
      <w:pPr>
        <w:spacing w:line="500" w:lineRule="exact"/>
        <w:rPr>
          <w:rFonts w:ascii="宋体" w:hAnsi="宋体"/>
          <w:sz w:val="24"/>
          <w:highlight w:val="none"/>
        </w:rPr>
      </w:pPr>
    </w:p>
    <w:p w14:paraId="630A5608">
      <w:pPr>
        <w:spacing w:line="400" w:lineRule="exact"/>
        <w:ind w:firstLine="3600" w:firstLineChars="1500"/>
        <w:rPr>
          <w:rFonts w:ascii="宋体" w:hAnsi="宋体"/>
          <w:sz w:val="24"/>
          <w:highlight w:val="none"/>
        </w:rPr>
      </w:pPr>
      <w:r>
        <w:rPr>
          <w:rFonts w:hint="eastAsia" w:ascii="宋体" w:hAnsi="宋体"/>
          <w:sz w:val="24"/>
          <w:highlight w:val="none"/>
        </w:rPr>
        <w:t>投  标  人：</w:t>
      </w:r>
      <w:r>
        <w:rPr>
          <w:rFonts w:hint="eastAsia" w:ascii="宋体" w:hAnsi="宋体"/>
          <w:sz w:val="24"/>
          <w:highlight w:val="none"/>
          <w:u w:val="single"/>
          <w:lang w:val="en-US" w:eastAsia="zh-CN"/>
        </w:rPr>
        <w:t xml:space="preserve">                   </w:t>
      </w:r>
      <w:r>
        <w:rPr>
          <w:rFonts w:hint="eastAsia" w:ascii="宋体" w:hAnsi="宋体"/>
          <w:sz w:val="24"/>
          <w:highlight w:val="none"/>
        </w:rPr>
        <w:t>（盖单位章）</w:t>
      </w:r>
    </w:p>
    <w:p w14:paraId="4C40727E">
      <w:pPr>
        <w:spacing w:line="400" w:lineRule="exact"/>
        <w:ind w:firstLine="3600" w:firstLineChars="1500"/>
        <w:rPr>
          <w:rFonts w:ascii="宋体" w:hAnsi="宋体"/>
          <w:sz w:val="24"/>
          <w:highlight w:val="none"/>
        </w:rPr>
      </w:pPr>
      <w:r>
        <w:rPr>
          <w:rFonts w:hint="eastAsia" w:ascii="宋体" w:hAnsi="宋体"/>
          <w:sz w:val="24"/>
          <w:highlight w:val="none"/>
        </w:rPr>
        <w:t>法定代表人：</w:t>
      </w:r>
      <w:r>
        <w:rPr>
          <w:rFonts w:hint="eastAsia" w:ascii="宋体" w:hAnsi="宋体"/>
          <w:sz w:val="24"/>
          <w:highlight w:val="none"/>
          <w:u w:val="single"/>
          <w:lang w:val="en-US" w:eastAsia="zh-CN"/>
        </w:rPr>
        <w:t xml:space="preserve">                   </w:t>
      </w:r>
      <w:r>
        <w:rPr>
          <w:rFonts w:hint="eastAsia" w:ascii="宋体" w:hAnsi="宋体"/>
          <w:sz w:val="24"/>
          <w:highlight w:val="none"/>
        </w:rPr>
        <w:t>（签字）</w:t>
      </w:r>
    </w:p>
    <w:p w14:paraId="3E1DD7CA">
      <w:pPr>
        <w:spacing w:line="400" w:lineRule="exact"/>
        <w:ind w:firstLine="3600" w:firstLineChars="1500"/>
        <w:rPr>
          <w:rFonts w:ascii="宋体" w:hAnsi="宋体"/>
          <w:sz w:val="24"/>
          <w:highlight w:val="none"/>
          <w:u w:val="single"/>
        </w:rPr>
      </w:pPr>
      <w:r>
        <w:rPr>
          <w:rFonts w:hint="eastAsia" w:ascii="宋体" w:hAnsi="宋体"/>
          <w:sz w:val="24"/>
          <w:highlight w:val="none"/>
        </w:rPr>
        <w:t>身份证号码：</w:t>
      </w:r>
      <w:r>
        <w:rPr>
          <w:rFonts w:hint="eastAsia" w:ascii="宋体" w:hAnsi="宋体"/>
          <w:sz w:val="24"/>
          <w:highlight w:val="none"/>
          <w:u w:val="single"/>
          <w:lang w:val="en-US" w:eastAsia="zh-CN"/>
        </w:rPr>
        <w:t xml:space="preserve">                   </w:t>
      </w:r>
    </w:p>
    <w:p w14:paraId="0F44E913">
      <w:pPr>
        <w:spacing w:line="400" w:lineRule="exact"/>
        <w:ind w:firstLine="3600" w:firstLineChars="1500"/>
        <w:rPr>
          <w:rFonts w:ascii="宋体" w:hAnsi="宋体"/>
          <w:sz w:val="24"/>
          <w:highlight w:val="none"/>
          <w:u w:val="single"/>
        </w:rPr>
      </w:pPr>
    </w:p>
    <w:p w14:paraId="51A69D5B">
      <w:pPr>
        <w:spacing w:line="400" w:lineRule="exact"/>
        <w:ind w:firstLine="3600" w:firstLineChars="1500"/>
        <w:rPr>
          <w:rFonts w:ascii="宋体" w:hAnsi="宋体"/>
          <w:sz w:val="24"/>
          <w:highlight w:val="none"/>
        </w:rPr>
      </w:pPr>
      <w:r>
        <w:rPr>
          <w:rFonts w:hint="eastAsia" w:ascii="宋体" w:hAnsi="宋体"/>
          <w:sz w:val="24"/>
          <w:highlight w:val="none"/>
        </w:rPr>
        <w:t>委托代理人：</w:t>
      </w:r>
      <w:r>
        <w:rPr>
          <w:rFonts w:hint="eastAsia" w:ascii="宋体" w:hAnsi="宋体"/>
          <w:sz w:val="24"/>
          <w:highlight w:val="none"/>
          <w:u w:val="single"/>
          <w:lang w:val="en-US" w:eastAsia="zh-CN"/>
        </w:rPr>
        <w:t xml:space="preserve">                   </w:t>
      </w:r>
      <w:r>
        <w:rPr>
          <w:rFonts w:hint="eastAsia" w:ascii="宋体" w:hAnsi="宋体"/>
          <w:sz w:val="24"/>
          <w:highlight w:val="none"/>
        </w:rPr>
        <w:t>（签字）</w:t>
      </w:r>
    </w:p>
    <w:p w14:paraId="57417978">
      <w:pPr>
        <w:spacing w:line="400" w:lineRule="exact"/>
        <w:ind w:firstLine="3600" w:firstLineChars="1500"/>
        <w:rPr>
          <w:rFonts w:ascii="宋体" w:hAnsi="宋体"/>
          <w:sz w:val="24"/>
          <w:highlight w:val="none"/>
          <w:u w:val="single"/>
        </w:rPr>
      </w:pPr>
      <w:r>
        <w:rPr>
          <w:rFonts w:hint="eastAsia" w:ascii="宋体" w:hAnsi="宋体"/>
          <w:sz w:val="24"/>
          <w:highlight w:val="none"/>
        </w:rPr>
        <w:t>身份证号码：</w:t>
      </w:r>
      <w:r>
        <w:rPr>
          <w:rFonts w:hint="eastAsia" w:ascii="宋体" w:hAnsi="宋体"/>
          <w:sz w:val="24"/>
          <w:highlight w:val="none"/>
          <w:u w:val="single"/>
          <w:lang w:val="en-US" w:eastAsia="zh-CN"/>
        </w:rPr>
        <w:t xml:space="preserve">                   </w:t>
      </w:r>
    </w:p>
    <w:p w14:paraId="792A4D10">
      <w:pPr>
        <w:spacing w:line="400" w:lineRule="exact"/>
        <w:ind w:firstLine="3600" w:firstLineChars="1500"/>
        <w:rPr>
          <w:rFonts w:ascii="宋体" w:hAnsi="宋体"/>
          <w:sz w:val="24"/>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17D26D4E">
      <w:pPr>
        <w:tabs>
          <w:tab w:val="left" w:pos="0"/>
          <w:tab w:val="left" w:pos="1155"/>
          <w:tab w:val="left" w:pos="1470"/>
        </w:tabs>
        <w:spacing w:line="480" w:lineRule="exact"/>
        <w:ind w:left="73" w:leftChars="35" w:firstLine="32" w:firstLineChars="14"/>
        <w:rPr>
          <w:spacing w:val="10"/>
          <w:highlight w:val="none"/>
        </w:rPr>
      </w:pPr>
    </w:p>
    <w:p w14:paraId="22EB7F52">
      <w:pPr>
        <w:spacing w:line="400" w:lineRule="exact"/>
        <w:rPr>
          <w:szCs w:val="21"/>
          <w:highlight w:val="none"/>
        </w:rPr>
      </w:pPr>
      <w:r>
        <w:rPr>
          <w:szCs w:val="21"/>
          <w:highlight w:val="none"/>
        </w:rPr>
        <w:t>附</w:t>
      </w:r>
      <w:r>
        <w:rPr>
          <w:rFonts w:hint="eastAsia"/>
          <w:szCs w:val="21"/>
          <w:highlight w:val="none"/>
        </w:rPr>
        <w:t>委托代理人</w:t>
      </w:r>
      <w:r>
        <w:rPr>
          <w:szCs w:val="21"/>
          <w:highlight w:val="none"/>
        </w:rPr>
        <w:t>身份证复印件</w:t>
      </w:r>
      <w:r>
        <w:rPr>
          <w:rFonts w:hint="eastAsia"/>
          <w:szCs w:val="21"/>
          <w:highlight w:val="none"/>
        </w:rPr>
        <w:t>（包括正、背面）</w:t>
      </w:r>
    </w:p>
    <w:p w14:paraId="2A09C2A2">
      <w:pPr>
        <w:rPr>
          <w:szCs w:val="21"/>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14:paraId="3E7A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4643" w:type="dxa"/>
            <w:vAlign w:val="center"/>
          </w:tcPr>
          <w:p w14:paraId="75B1625A">
            <w:pPr>
              <w:jc w:val="center"/>
              <w:rPr>
                <w:szCs w:val="21"/>
                <w:highlight w:val="none"/>
              </w:rPr>
            </w:pPr>
          </w:p>
        </w:tc>
        <w:tc>
          <w:tcPr>
            <w:tcW w:w="4643" w:type="dxa"/>
            <w:vAlign w:val="center"/>
          </w:tcPr>
          <w:p w14:paraId="1D899BC3">
            <w:pPr>
              <w:jc w:val="center"/>
              <w:rPr>
                <w:szCs w:val="21"/>
                <w:highlight w:val="none"/>
              </w:rPr>
            </w:pPr>
          </w:p>
        </w:tc>
      </w:tr>
    </w:tbl>
    <w:p w14:paraId="1244D363">
      <w:pPr>
        <w:jc w:val="left"/>
        <w:rPr>
          <w:rFonts w:ascii="宋体" w:hAnsi="宋体"/>
          <w:szCs w:val="21"/>
          <w:highlight w:val="none"/>
        </w:rPr>
      </w:pPr>
      <w:r>
        <w:rPr>
          <w:rFonts w:hint="eastAsia" w:ascii="宋体" w:hAnsi="宋体"/>
          <w:szCs w:val="21"/>
          <w:highlight w:val="none"/>
        </w:rPr>
        <w:t>注：1. 如果由投标人的法定代表人签署投标文件并出席开标会的，则不需提交法人授权委托证明书。如果由投标人的委托代理人签署投标文件并出席开标会的，则须附有法定代表人身份证明书。</w:t>
      </w:r>
    </w:p>
    <w:p w14:paraId="766AEDC7">
      <w:pPr>
        <w:ind w:firstLine="420" w:firstLineChars="200"/>
        <w:rPr>
          <w:rFonts w:ascii="宋体" w:hAnsi="宋体"/>
          <w:szCs w:val="21"/>
          <w:highlight w:val="none"/>
        </w:rPr>
      </w:pPr>
      <w:r>
        <w:rPr>
          <w:rFonts w:hint="eastAsia" w:ascii="宋体" w:hAnsi="宋体"/>
          <w:szCs w:val="21"/>
          <w:highlight w:val="none"/>
        </w:rPr>
        <w:t>2. 委托期限可写：自开标之日起至投标有效期满。</w:t>
      </w:r>
    </w:p>
    <w:p w14:paraId="21992F16">
      <w:pPr>
        <w:ind w:firstLine="420" w:firstLineChars="200"/>
        <w:rPr>
          <w:rFonts w:ascii="宋体" w:hAnsi="宋体"/>
          <w:szCs w:val="21"/>
          <w:highlight w:val="none"/>
        </w:rPr>
      </w:pPr>
      <w:r>
        <w:rPr>
          <w:rFonts w:hint="eastAsia" w:ascii="宋体" w:hAnsi="宋体"/>
          <w:szCs w:val="21"/>
          <w:highlight w:val="none"/>
        </w:rPr>
        <w:t>3. 后附授权代理人的至少包含近三个月社保证明（</w:t>
      </w:r>
      <w:r>
        <w:rPr>
          <w:rFonts w:hint="eastAsia" w:ascii="宋体" w:hAnsi="宋体"/>
          <w:szCs w:val="21"/>
          <w:highlight w:val="none"/>
          <w:lang w:eastAsia="zh-CN"/>
        </w:rPr>
        <w:t>2024年12月</w:t>
      </w:r>
      <w:r>
        <w:rPr>
          <w:rFonts w:hint="eastAsia" w:ascii="宋体" w:hAnsi="宋体"/>
          <w:szCs w:val="21"/>
          <w:highlight w:val="none"/>
        </w:rPr>
        <w:t>至</w:t>
      </w:r>
      <w:r>
        <w:rPr>
          <w:rFonts w:hint="eastAsia" w:ascii="宋体" w:hAnsi="宋体"/>
          <w:szCs w:val="21"/>
          <w:highlight w:val="none"/>
          <w:lang w:eastAsia="zh-CN"/>
        </w:rPr>
        <w:t>2025年2月</w:t>
      </w:r>
      <w:r>
        <w:rPr>
          <w:rFonts w:hint="eastAsia" w:ascii="宋体" w:hAnsi="宋体"/>
          <w:szCs w:val="21"/>
          <w:highlight w:val="none"/>
        </w:rPr>
        <w:t>的社保管理机构的证明材料，如社保管理机构的查询机器打印件），</w:t>
      </w:r>
      <w:r>
        <w:rPr>
          <w:rFonts w:hint="eastAsia" w:ascii="宋体" w:hAnsi="宋体"/>
          <w:szCs w:val="21"/>
          <w:highlight w:val="none"/>
          <w:lang w:eastAsia="zh-CN"/>
        </w:rPr>
        <w:t>已退休人员可提供退休证明及返聘合同代替社保证明</w:t>
      </w:r>
      <w:r>
        <w:rPr>
          <w:rFonts w:hint="eastAsia" w:ascii="宋体" w:hAnsi="宋体"/>
          <w:szCs w:val="21"/>
          <w:highlight w:val="none"/>
        </w:rPr>
        <w:t>。</w:t>
      </w:r>
    </w:p>
    <w:p w14:paraId="2FCD32E4">
      <w:pPr>
        <w:jc w:val="center"/>
        <w:outlineLvl w:val="1"/>
        <w:rPr>
          <w:b/>
          <w:spacing w:val="6"/>
          <w:sz w:val="32"/>
          <w:highlight w:val="none"/>
        </w:rPr>
      </w:pPr>
      <w:r>
        <w:rPr>
          <w:rFonts w:ascii="黑体" w:hAnsi="宋体" w:eastAsia="黑体"/>
          <w:szCs w:val="21"/>
          <w:highlight w:val="none"/>
        </w:rPr>
        <w:br w:type="page"/>
      </w:r>
      <w:r>
        <w:rPr>
          <w:rFonts w:hint="eastAsia"/>
          <w:b/>
          <w:spacing w:val="6"/>
          <w:sz w:val="32"/>
          <w:highlight w:val="none"/>
        </w:rPr>
        <w:t>四、投标保证金</w:t>
      </w:r>
    </w:p>
    <w:p w14:paraId="01B6F341">
      <w:pPr>
        <w:ind w:firstLine="3056" w:firstLineChars="917"/>
        <w:rPr>
          <w:b/>
          <w:spacing w:val="6"/>
          <w:sz w:val="32"/>
          <w:highlight w:val="none"/>
        </w:rPr>
      </w:pPr>
    </w:p>
    <w:p w14:paraId="78C18690">
      <w:pPr>
        <w:ind w:firstLine="2200" w:firstLineChars="917"/>
        <w:rPr>
          <w:b/>
          <w:spacing w:val="6"/>
          <w:sz w:val="32"/>
          <w:highlight w:val="none"/>
        </w:rPr>
      </w:pPr>
      <w:r>
        <w:rPr>
          <w:rFonts w:hint="eastAsia" w:ascii="宋体" w:hAnsi="宋体"/>
          <w:sz w:val="24"/>
          <w:szCs w:val="24"/>
          <w:highlight w:val="none"/>
        </w:rPr>
        <w:t>本项目</w:t>
      </w:r>
      <w:r>
        <w:rPr>
          <w:rFonts w:hint="eastAsia" w:ascii="宋体" w:hAnsi="宋体"/>
          <w:kern w:val="2"/>
          <w:sz w:val="24"/>
          <w:szCs w:val="24"/>
          <w:highlight w:val="none"/>
        </w:rPr>
        <w:t>不要求递交投标保证金</w:t>
      </w:r>
      <w:r>
        <w:rPr>
          <w:rFonts w:hint="eastAsia" w:ascii="宋体" w:hAnsi="宋体"/>
          <w:sz w:val="24"/>
          <w:szCs w:val="24"/>
          <w:highlight w:val="none"/>
          <w:lang w:eastAsia="zh-CN"/>
        </w:rPr>
        <w:t>。</w:t>
      </w:r>
    </w:p>
    <w:p w14:paraId="059C0FE8">
      <w:pPr>
        <w:spacing w:line="480" w:lineRule="exact"/>
        <w:ind w:firstLine="524" w:firstLineChars="205"/>
        <w:rPr>
          <w:spacing w:val="8"/>
          <w:sz w:val="24"/>
          <w:highlight w:val="none"/>
        </w:rPr>
      </w:pPr>
    </w:p>
    <w:p w14:paraId="52404361">
      <w:pPr>
        <w:rPr>
          <w:spacing w:val="4"/>
          <w:highlight w:val="none"/>
        </w:rPr>
      </w:pPr>
      <w:r>
        <w:rPr>
          <w:spacing w:val="4"/>
          <w:highlight w:val="none"/>
        </w:rPr>
        <w:br w:type="page"/>
      </w:r>
    </w:p>
    <w:bookmarkEnd w:id="118"/>
    <w:bookmarkEnd w:id="119"/>
    <w:bookmarkEnd w:id="120"/>
    <w:p w14:paraId="1430E609">
      <w:pPr>
        <w:spacing w:line="600" w:lineRule="exact"/>
        <w:jc w:val="center"/>
        <w:outlineLvl w:val="1"/>
        <w:rPr>
          <w:b/>
          <w:bCs/>
          <w:spacing w:val="4"/>
          <w:sz w:val="30"/>
          <w:szCs w:val="30"/>
          <w:highlight w:val="none"/>
        </w:rPr>
      </w:pPr>
      <w:bookmarkStart w:id="121" w:name="_Toc139451019"/>
      <w:bookmarkStart w:id="122" w:name="_Toc139453234"/>
      <w:r>
        <w:rPr>
          <w:rFonts w:hint="eastAsia"/>
          <w:b/>
          <w:sz w:val="32"/>
          <w:highlight w:val="none"/>
          <w:lang w:val="en-US" w:eastAsia="zh-CN"/>
        </w:rPr>
        <w:t>五</w:t>
      </w:r>
      <w:r>
        <w:rPr>
          <w:rFonts w:hint="eastAsia"/>
          <w:b/>
          <w:sz w:val="32"/>
          <w:highlight w:val="none"/>
        </w:rPr>
        <w:t>、资格审查资料</w:t>
      </w:r>
    </w:p>
    <w:bookmarkEnd w:id="121"/>
    <w:bookmarkEnd w:id="122"/>
    <w:p w14:paraId="11939155">
      <w:pPr>
        <w:spacing w:line="600" w:lineRule="exact"/>
        <w:outlineLvl w:val="2"/>
        <w:rPr>
          <w:rFonts w:ascii="宋体" w:hAnsi="宋体"/>
          <w:b/>
          <w:bCs/>
          <w:spacing w:val="4"/>
          <w:sz w:val="24"/>
          <w:szCs w:val="24"/>
          <w:highlight w:val="none"/>
        </w:rPr>
      </w:pPr>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-1：</w:t>
      </w:r>
      <w:r>
        <w:rPr>
          <w:rFonts w:ascii="宋体" w:hAnsi="宋体"/>
          <w:b/>
          <w:bCs/>
          <w:spacing w:val="4"/>
          <w:sz w:val="24"/>
          <w:szCs w:val="24"/>
          <w:highlight w:val="none"/>
        </w:rPr>
        <w:t>投标人</w:t>
      </w:r>
      <w:r>
        <w:rPr>
          <w:rFonts w:hint="eastAsia" w:ascii="宋体" w:hAnsi="宋体"/>
          <w:b/>
          <w:bCs/>
          <w:spacing w:val="4"/>
          <w:sz w:val="24"/>
          <w:szCs w:val="24"/>
          <w:highlight w:val="none"/>
        </w:rPr>
        <w:t>基本</w:t>
      </w:r>
      <w:r>
        <w:rPr>
          <w:rFonts w:ascii="宋体" w:hAnsi="宋体"/>
          <w:b/>
          <w:bCs/>
          <w:spacing w:val="4"/>
          <w:sz w:val="24"/>
          <w:szCs w:val="24"/>
          <w:highlight w:val="none"/>
        </w:rPr>
        <w:t>情况表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7"/>
        <w:gridCol w:w="168"/>
        <w:gridCol w:w="756"/>
        <w:gridCol w:w="272"/>
        <w:gridCol w:w="653"/>
        <w:gridCol w:w="125"/>
        <w:gridCol w:w="435"/>
        <w:gridCol w:w="364"/>
        <w:gridCol w:w="925"/>
        <w:gridCol w:w="251"/>
        <w:gridCol w:w="294"/>
        <w:gridCol w:w="274"/>
        <w:gridCol w:w="107"/>
        <w:gridCol w:w="298"/>
        <w:gridCol w:w="624"/>
        <w:gridCol w:w="378"/>
        <w:gridCol w:w="1363"/>
      </w:tblGrid>
      <w:tr w14:paraId="22F1F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exact"/>
          <w:jc w:val="center"/>
        </w:trPr>
        <w:tc>
          <w:tcPr>
            <w:tcW w:w="2015" w:type="dxa"/>
            <w:gridSpan w:val="2"/>
            <w:noWrap/>
            <w:vAlign w:val="center"/>
          </w:tcPr>
          <w:p w14:paraId="3432C9CA">
            <w:pPr>
              <w:tabs>
                <w:tab w:val="left" w:pos="4680"/>
              </w:tabs>
              <w:jc w:val="center"/>
              <w:rPr>
                <w:rFonts w:ascii="宋体" w:hAnsi="宋体"/>
                <w:sz w:val="24"/>
                <w:szCs w:val="24"/>
                <w:highlight w:val="none"/>
              </w:rPr>
            </w:pPr>
            <w:r>
              <w:rPr>
                <w:rFonts w:ascii="宋体" w:hAnsi="宋体"/>
                <w:sz w:val="24"/>
                <w:szCs w:val="24"/>
                <w:highlight w:val="none"/>
              </w:rPr>
              <w:t>投标人名称</w:t>
            </w:r>
          </w:p>
        </w:tc>
        <w:tc>
          <w:tcPr>
            <w:tcW w:w="7119" w:type="dxa"/>
            <w:gridSpan w:val="15"/>
            <w:noWrap/>
            <w:vAlign w:val="center"/>
          </w:tcPr>
          <w:p w14:paraId="5B594D1B">
            <w:pPr>
              <w:tabs>
                <w:tab w:val="left" w:pos="4680"/>
              </w:tabs>
              <w:jc w:val="center"/>
              <w:rPr>
                <w:rFonts w:ascii="宋体" w:hAnsi="宋体"/>
                <w:sz w:val="24"/>
                <w:szCs w:val="24"/>
                <w:highlight w:val="none"/>
              </w:rPr>
            </w:pPr>
          </w:p>
        </w:tc>
      </w:tr>
      <w:tr w14:paraId="6773C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134" w:type="dxa"/>
            <w:gridSpan w:val="17"/>
            <w:noWrap/>
            <w:vAlign w:val="center"/>
          </w:tcPr>
          <w:p w14:paraId="5171E5CC">
            <w:pPr>
              <w:tabs>
                <w:tab w:val="left" w:pos="4680"/>
              </w:tabs>
              <w:jc w:val="center"/>
              <w:rPr>
                <w:rFonts w:ascii="宋体" w:hAnsi="宋体"/>
                <w:sz w:val="24"/>
                <w:szCs w:val="24"/>
                <w:highlight w:val="none"/>
              </w:rPr>
            </w:pPr>
            <w:r>
              <w:rPr>
                <w:rFonts w:ascii="宋体" w:hAnsi="宋体"/>
                <w:sz w:val="24"/>
                <w:szCs w:val="24"/>
                <w:highlight w:val="none"/>
              </w:rPr>
              <w:t>营业执照</w:t>
            </w:r>
          </w:p>
        </w:tc>
      </w:tr>
      <w:tr w14:paraId="39CD4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360DDB76">
            <w:pPr>
              <w:tabs>
                <w:tab w:val="left" w:pos="4680"/>
              </w:tabs>
              <w:jc w:val="center"/>
              <w:rPr>
                <w:rFonts w:ascii="宋体" w:hAnsi="宋体"/>
                <w:sz w:val="24"/>
                <w:szCs w:val="24"/>
                <w:highlight w:val="none"/>
              </w:rPr>
            </w:pPr>
            <w:r>
              <w:rPr>
                <w:rFonts w:ascii="宋体" w:hAnsi="宋体"/>
                <w:sz w:val="24"/>
                <w:szCs w:val="24"/>
                <w:highlight w:val="none"/>
              </w:rPr>
              <w:t>营业执照编号</w:t>
            </w:r>
          </w:p>
        </w:tc>
        <w:tc>
          <w:tcPr>
            <w:tcW w:w="2605" w:type="dxa"/>
            <w:gridSpan w:val="6"/>
            <w:noWrap/>
            <w:vAlign w:val="center"/>
          </w:tcPr>
          <w:p w14:paraId="16C6B2B4">
            <w:pPr>
              <w:tabs>
                <w:tab w:val="left" w:pos="4680"/>
              </w:tabs>
              <w:jc w:val="center"/>
              <w:rPr>
                <w:rFonts w:ascii="宋体" w:hAnsi="宋体"/>
                <w:sz w:val="24"/>
                <w:szCs w:val="24"/>
                <w:highlight w:val="none"/>
              </w:rPr>
            </w:pPr>
          </w:p>
        </w:tc>
        <w:tc>
          <w:tcPr>
            <w:tcW w:w="1744" w:type="dxa"/>
            <w:gridSpan w:val="4"/>
            <w:noWrap/>
            <w:vAlign w:val="center"/>
          </w:tcPr>
          <w:p w14:paraId="1170698C">
            <w:pPr>
              <w:tabs>
                <w:tab w:val="left" w:pos="4680"/>
              </w:tabs>
              <w:jc w:val="center"/>
              <w:rPr>
                <w:rFonts w:ascii="宋体" w:hAnsi="宋体"/>
                <w:sz w:val="24"/>
                <w:szCs w:val="24"/>
                <w:highlight w:val="none"/>
              </w:rPr>
            </w:pPr>
            <w:r>
              <w:rPr>
                <w:rFonts w:ascii="宋体" w:hAnsi="宋体"/>
                <w:sz w:val="24"/>
                <w:szCs w:val="24"/>
                <w:highlight w:val="none"/>
              </w:rPr>
              <w:t>注册资金</w:t>
            </w:r>
          </w:p>
        </w:tc>
        <w:tc>
          <w:tcPr>
            <w:tcW w:w="2770" w:type="dxa"/>
            <w:gridSpan w:val="5"/>
            <w:noWrap/>
            <w:vAlign w:val="center"/>
          </w:tcPr>
          <w:p w14:paraId="4B13D49A">
            <w:pPr>
              <w:tabs>
                <w:tab w:val="left" w:pos="4680"/>
              </w:tabs>
              <w:jc w:val="center"/>
              <w:rPr>
                <w:rFonts w:ascii="宋体" w:hAnsi="宋体"/>
                <w:sz w:val="24"/>
                <w:szCs w:val="24"/>
                <w:highlight w:val="none"/>
              </w:rPr>
            </w:pPr>
          </w:p>
        </w:tc>
      </w:tr>
      <w:tr w14:paraId="78B29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3BCF0269">
            <w:pPr>
              <w:tabs>
                <w:tab w:val="left" w:pos="4680"/>
              </w:tabs>
              <w:jc w:val="center"/>
              <w:rPr>
                <w:rFonts w:ascii="宋体" w:hAnsi="宋体"/>
                <w:sz w:val="24"/>
                <w:szCs w:val="24"/>
                <w:highlight w:val="none"/>
              </w:rPr>
            </w:pPr>
            <w:r>
              <w:rPr>
                <w:rFonts w:ascii="宋体" w:hAnsi="宋体"/>
                <w:sz w:val="24"/>
                <w:szCs w:val="24"/>
                <w:highlight w:val="none"/>
              </w:rPr>
              <w:t>发照机关</w:t>
            </w:r>
          </w:p>
        </w:tc>
        <w:tc>
          <w:tcPr>
            <w:tcW w:w="2605" w:type="dxa"/>
            <w:gridSpan w:val="6"/>
            <w:noWrap/>
            <w:vAlign w:val="center"/>
          </w:tcPr>
          <w:p w14:paraId="0E1C1FA0">
            <w:pPr>
              <w:tabs>
                <w:tab w:val="left" w:pos="4680"/>
              </w:tabs>
              <w:jc w:val="center"/>
              <w:rPr>
                <w:rFonts w:ascii="宋体" w:hAnsi="宋体"/>
                <w:sz w:val="24"/>
                <w:szCs w:val="24"/>
                <w:highlight w:val="none"/>
              </w:rPr>
            </w:pPr>
          </w:p>
        </w:tc>
        <w:tc>
          <w:tcPr>
            <w:tcW w:w="1744" w:type="dxa"/>
            <w:gridSpan w:val="4"/>
            <w:noWrap/>
            <w:vAlign w:val="center"/>
          </w:tcPr>
          <w:p w14:paraId="0A51AD4F">
            <w:pPr>
              <w:tabs>
                <w:tab w:val="left" w:pos="4680"/>
              </w:tabs>
              <w:jc w:val="center"/>
              <w:rPr>
                <w:rFonts w:ascii="宋体" w:hAnsi="宋体"/>
                <w:sz w:val="24"/>
                <w:szCs w:val="24"/>
                <w:highlight w:val="none"/>
              </w:rPr>
            </w:pPr>
            <w:r>
              <w:rPr>
                <w:rFonts w:ascii="宋体" w:hAnsi="宋体"/>
                <w:sz w:val="24"/>
                <w:szCs w:val="24"/>
                <w:highlight w:val="none"/>
              </w:rPr>
              <w:t>注册地址</w:t>
            </w:r>
          </w:p>
        </w:tc>
        <w:tc>
          <w:tcPr>
            <w:tcW w:w="2770" w:type="dxa"/>
            <w:gridSpan w:val="5"/>
            <w:noWrap/>
            <w:vAlign w:val="center"/>
          </w:tcPr>
          <w:p w14:paraId="772BB613">
            <w:pPr>
              <w:tabs>
                <w:tab w:val="left" w:pos="4680"/>
              </w:tabs>
              <w:jc w:val="center"/>
              <w:rPr>
                <w:rFonts w:ascii="宋体" w:hAnsi="宋体"/>
                <w:sz w:val="24"/>
                <w:szCs w:val="24"/>
                <w:highlight w:val="none"/>
              </w:rPr>
            </w:pPr>
          </w:p>
        </w:tc>
      </w:tr>
      <w:tr w14:paraId="33E2A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0303AB55">
            <w:pPr>
              <w:tabs>
                <w:tab w:val="left" w:pos="4680"/>
              </w:tabs>
              <w:jc w:val="center"/>
              <w:rPr>
                <w:rFonts w:ascii="宋体" w:hAnsi="宋体"/>
                <w:sz w:val="24"/>
                <w:szCs w:val="24"/>
                <w:highlight w:val="none"/>
              </w:rPr>
            </w:pPr>
            <w:r>
              <w:rPr>
                <w:rFonts w:ascii="宋体" w:hAnsi="宋体"/>
                <w:sz w:val="24"/>
                <w:szCs w:val="24"/>
                <w:highlight w:val="none"/>
              </w:rPr>
              <w:t>成立时间</w:t>
            </w:r>
          </w:p>
        </w:tc>
        <w:tc>
          <w:tcPr>
            <w:tcW w:w="2605" w:type="dxa"/>
            <w:gridSpan w:val="6"/>
            <w:noWrap/>
            <w:vAlign w:val="center"/>
          </w:tcPr>
          <w:p w14:paraId="6DF96A29">
            <w:pPr>
              <w:tabs>
                <w:tab w:val="left" w:pos="4680"/>
              </w:tabs>
              <w:jc w:val="center"/>
              <w:rPr>
                <w:rFonts w:ascii="宋体" w:hAnsi="宋体"/>
                <w:sz w:val="24"/>
                <w:szCs w:val="24"/>
                <w:highlight w:val="none"/>
              </w:rPr>
            </w:pPr>
          </w:p>
        </w:tc>
        <w:tc>
          <w:tcPr>
            <w:tcW w:w="1744" w:type="dxa"/>
            <w:gridSpan w:val="4"/>
            <w:noWrap/>
            <w:vAlign w:val="center"/>
          </w:tcPr>
          <w:p w14:paraId="0BF23518">
            <w:pPr>
              <w:tabs>
                <w:tab w:val="left" w:pos="4680"/>
              </w:tabs>
              <w:jc w:val="center"/>
              <w:rPr>
                <w:rFonts w:ascii="宋体" w:hAnsi="宋体"/>
                <w:sz w:val="24"/>
                <w:szCs w:val="24"/>
                <w:highlight w:val="none"/>
              </w:rPr>
            </w:pPr>
            <w:r>
              <w:rPr>
                <w:rFonts w:ascii="宋体" w:hAnsi="宋体"/>
                <w:sz w:val="24"/>
                <w:szCs w:val="24"/>
                <w:highlight w:val="none"/>
              </w:rPr>
              <w:t>企业性质</w:t>
            </w:r>
          </w:p>
        </w:tc>
        <w:tc>
          <w:tcPr>
            <w:tcW w:w="2770" w:type="dxa"/>
            <w:gridSpan w:val="5"/>
            <w:noWrap/>
            <w:vAlign w:val="center"/>
          </w:tcPr>
          <w:p w14:paraId="5FC8B579">
            <w:pPr>
              <w:tabs>
                <w:tab w:val="left" w:pos="4680"/>
              </w:tabs>
              <w:jc w:val="center"/>
              <w:rPr>
                <w:rFonts w:ascii="宋体" w:hAnsi="宋体"/>
                <w:sz w:val="24"/>
                <w:szCs w:val="24"/>
                <w:highlight w:val="none"/>
              </w:rPr>
            </w:pPr>
          </w:p>
        </w:tc>
      </w:tr>
      <w:tr w14:paraId="183F1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5FA526CE">
            <w:pPr>
              <w:tabs>
                <w:tab w:val="left" w:pos="4680"/>
              </w:tabs>
              <w:jc w:val="center"/>
              <w:rPr>
                <w:rFonts w:ascii="宋体" w:hAnsi="宋体"/>
                <w:sz w:val="24"/>
                <w:szCs w:val="24"/>
                <w:highlight w:val="none"/>
              </w:rPr>
            </w:pPr>
            <w:r>
              <w:rPr>
                <w:rFonts w:ascii="宋体" w:hAnsi="宋体"/>
                <w:sz w:val="24"/>
                <w:szCs w:val="24"/>
                <w:highlight w:val="none"/>
              </w:rPr>
              <w:t>经营范围</w:t>
            </w:r>
          </w:p>
        </w:tc>
        <w:tc>
          <w:tcPr>
            <w:tcW w:w="7119" w:type="dxa"/>
            <w:gridSpan w:val="15"/>
            <w:noWrap/>
            <w:vAlign w:val="center"/>
          </w:tcPr>
          <w:p w14:paraId="05DD16A5">
            <w:pPr>
              <w:tabs>
                <w:tab w:val="left" w:pos="4680"/>
              </w:tabs>
              <w:jc w:val="center"/>
              <w:rPr>
                <w:rFonts w:ascii="宋体" w:hAnsi="宋体"/>
                <w:sz w:val="24"/>
                <w:szCs w:val="24"/>
                <w:highlight w:val="none"/>
              </w:rPr>
            </w:pPr>
          </w:p>
        </w:tc>
      </w:tr>
      <w:tr w14:paraId="58812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134" w:type="dxa"/>
            <w:gridSpan w:val="17"/>
            <w:noWrap/>
            <w:vAlign w:val="center"/>
          </w:tcPr>
          <w:p w14:paraId="43EA7A1D">
            <w:pPr>
              <w:tabs>
                <w:tab w:val="left" w:pos="4680"/>
              </w:tabs>
              <w:jc w:val="center"/>
              <w:rPr>
                <w:rFonts w:ascii="宋体" w:hAnsi="宋体"/>
                <w:sz w:val="24"/>
                <w:szCs w:val="24"/>
                <w:highlight w:val="none"/>
              </w:rPr>
            </w:pPr>
            <w:r>
              <w:rPr>
                <w:rFonts w:ascii="宋体" w:hAnsi="宋体"/>
                <w:sz w:val="24"/>
                <w:szCs w:val="24"/>
                <w:highlight w:val="none"/>
              </w:rPr>
              <w:t>企业资质</w:t>
            </w:r>
          </w:p>
        </w:tc>
      </w:tr>
      <w:tr w14:paraId="31F3D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29FED5E8">
            <w:pPr>
              <w:tabs>
                <w:tab w:val="left" w:pos="4680"/>
              </w:tabs>
              <w:jc w:val="center"/>
              <w:rPr>
                <w:rFonts w:ascii="宋体" w:hAnsi="宋体"/>
                <w:sz w:val="24"/>
                <w:szCs w:val="24"/>
                <w:highlight w:val="none"/>
              </w:rPr>
            </w:pPr>
            <w:r>
              <w:rPr>
                <w:rFonts w:ascii="宋体" w:hAnsi="宋体"/>
                <w:sz w:val="24"/>
                <w:szCs w:val="24"/>
                <w:highlight w:val="none"/>
              </w:rPr>
              <w:t>企业资质等级</w:t>
            </w:r>
          </w:p>
        </w:tc>
        <w:tc>
          <w:tcPr>
            <w:tcW w:w="2605" w:type="dxa"/>
            <w:gridSpan w:val="6"/>
            <w:noWrap/>
            <w:vAlign w:val="center"/>
          </w:tcPr>
          <w:p w14:paraId="72D1EFB6">
            <w:pPr>
              <w:tabs>
                <w:tab w:val="left" w:pos="4680"/>
              </w:tabs>
              <w:jc w:val="center"/>
              <w:rPr>
                <w:rFonts w:ascii="宋体" w:hAnsi="宋体"/>
                <w:sz w:val="24"/>
                <w:szCs w:val="24"/>
                <w:highlight w:val="none"/>
              </w:rPr>
            </w:pPr>
          </w:p>
        </w:tc>
        <w:tc>
          <w:tcPr>
            <w:tcW w:w="1744" w:type="dxa"/>
            <w:gridSpan w:val="4"/>
            <w:noWrap/>
            <w:vAlign w:val="center"/>
          </w:tcPr>
          <w:p w14:paraId="56C25403">
            <w:pPr>
              <w:tabs>
                <w:tab w:val="left" w:pos="4680"/>
              </w:tabs>
              <w:jc w:val="center"/>
              <w:rPr>
                <w:rFonts w:ascii="宋体" w:hAnsi="宋体"/>
                <w:sz w:val="24"/>
                <w:szCs w:val="24"/>
                <w:highlight w:val="none"/>
              </w:rPr>
            </w:pPr>
            <w:r>
              <w:rPr>
                <w:rFonts w:ascii="宋体" w:hAnsi="宋体"/>
                <w:sz w:val="24"/>
                <w:szCs w:val="24"/>
                <w:highlight w:val="none"/>
              </w:rPr>
              <w:t>证书编号</w:t>
            </w:r>
          </w:p>
        </w:tc>
        <w:tc>
          <w:tcPr>
            <w:tcW w:w="2770" w:type="dxa"/>
            <w:gridSpan w:val="5"/>
            <w:noWrap/>
            <w:vAlign w:val="center"/>
          </w:tcPr>
          <w:p w14:paraId="7C1273AE">
            <w:pPr>
              <w:tabs>
                <w:tab w:val="left" w:pos="4680"/>
              </w:tabs>
              <w:jc w:val="center"/>
              <w:rPr>
                <w:rFonts w:ascii="宋体" w:hAnsi="宋体"/>
                <w:sz w:val="24"/>
                <w:szCs w:val="24"/>
                <w:highlight w:val="none"/>
              </w:rPr>
            </w:pPr>
          </w:p>
        </w:tc>
      </w:tr>
      <w:tr w14:paraId="14FD0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15" w:type="dxa"/>
            <w:gridSpan w:val="2"/>
            <w:noWrap/>
            <w:vAlign w:val="center"/>
          </w:tcPr>
          <w:p w14:paraId="2186095A">
            <w:pPr>
              <w:tabs>
                <w:tab w:val="left" w:pos="4680"/>
              </w:tabs>
              <w:jc w:val="center"/>
              <w:rPr>
                <w:rFonts w:ascii="宋体" w:hAnsi="宋体"/>
                <w:sz w:val="24"/>
                <w:szCs w:val="24"/>
                <w:highlight w:val="none"/>
              </w:rPr>
            </w:pPr>
            <w:r>
              <w:rPr>
                <w:rFonts w:ascii="宋体" w:hAnsi="宋体"/>
                <w:sz w:val="24"/>
                <w:szCs w:val="24"/>
                <w:highlight w:val="none"/>
              </w:rPr>
              <w:t>发证机关</w:t>
            </w:r>
          </w:p>
        </w:tc>
        <w:tc>
          <w:tcPr>
            <w:tcW w:w="2605" w:type="dxa"/>
            <w:gridSpan w:val="6"/>
            <w:noWrap/>
            <w:vAlign w:val="center"/>
          </w:tcPr>
          <w:p w14:paraId="586A4CDB">
            <w:pPr>
              <w:tabs>
                <w:tab w:val="left" w:pos="4680"/>
              </w:tabs>
              <w:jc w:val="center"/>
              <w:rPr>
                <w:rFonts w:ascii="宋体" w:hAnsi="宋体"/>
                <w:sz w:val="24"/>
                <w:szCs w:val="24"/>
                <w:highlight w:val="none"/>
              </w:rPr>
            </w:pPr>
          </w:p>
        </w:tc>
        <w:tc>
          <w:tcPr>
            <w:tcW w:w="1744" w:type="dxa"/>
            <w:gridSpan w:val="4"/>
            <w:noWrap/>
            <w:vAlign w:val="center"/>
          </w:tcPr>
          <w:p w14:paraId="4B298CBD">
            <w:pPr>
              <w:tabs>
                <w:tab w:val="left" w:pos="4680"/>
              </w:tabs>
              <w:jc w:val="center"/>
              <w:rPr>
                <w:rFonts w:ascii="宋体" w:hAnsi="宋体"/>
                <w:sz w:val="24"/>
                <w:szCs w:val="24"/>
                <w:highlight w:val="none"/>
              </w:rPr>
            </w:pPr>
            <w:r>
              <w:rPr>
                <w:rFonts w:ascii="宋体" w:hAnsi="宋体"/>
                <w:sz w:val="24"/>
                <w:szCs w:val="24"/>
                <w:highlight w:val="none"/>
              </w:rPr>
              <w:t>业务范围</w:t>
            </w:r>
          </w:p>
        </w:tc>
        <w:tc>
          <w:tcPr>
            <w:tcW w:w="2770" w:type="dxa"/>
            <w:gridSpan w:val="5"/>
            <w:noWrap/>
            <w:vAlign w:val="center"/>
          </w:tcPr>
          <w:p w14:paraId="41539137">
            <w:pPr>
              <w:tabs>
                <w:tab w:val="left" w:pos="4680"/>
              </w:tabs>
              <w:jc w:val="center"/>
              <w:rPr>
                <w:rFonts w:ascii="宋体" w:hAnsi="宋体"/>
                <w:sz w:val="24"/>
                <w:szCs w:val="24"/>
                <w:highlight w:val="none"/>
              </w:rPr>
            </w:pPr>
          </w:p>
        </w:tc>
      </w:tr>
      <w:tr w14:paraId="2C2D3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134" w:type="dxa"/>
            <w:gridSpan w:val="17"/>
            <w:noWrap/>
            <w:vAlign w:val="center"/>
          </w:tcPr>
          <w:p w14:paraId="0C6F72AC">
            <w:pPr>
              <w:tabs>
                <w:tab w:val="left" w:pos="4680"/>
              </w:tabs>
              <w:jc w:val="center"/>
              <w:rPr>
                <w:rFonts w:ascii="宋体" w:hAnsi="宋体"/>
                <w:sz w:val="24"/>
                <w:szCs w:val="24"/>
                <w:highlight w:val="none"/>
              </w:rPr>
            </w:pPr>
            <w:r>
              <w:rPr>
                <w:rFonts w:ascii="宋体" w:hAnsi="宋体"/>
                <w:sz w:val="24"/>
                <w:szCs w:val="24"/>
                <w:highlight w:val="none"/>
              </w:rPr>
              <w:t>领导层构成情况</w:t>
            </w:r>
          </w:p>
        </w:tc>
      </w:tr>
      <w:tr w14:paraId="612B9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46892C28">
            <w:pPr>
              <w:tabs>
                <w:tab w:val="left" w:pos="4680"/>
              </w:tabs>
              <w:jc w:val="center"/>
              <w:rPr>
                <w:rFonts w:ascii="宋体" w:hAnsi="宋体"/>
                <w:sz w:val="24"/>
                <w:szCs w:val="24"/>
                <w:highlight w:val="none"/>
              </w:rPr>
            </w:pPr>
          </w:p>
        </w:tc>
        <w:tc>
          <w:tcPr>
            <w:tcW w:w="1849" w:type="dxa"/>
            <w:gridSpan w:val="4"/>
            <w:noWrap/>
            <w:vAlign w:val="center"/>
          </w:tcPr>
          <w:p w14:paraId="6472AA6C">
            <w:pPr>
              <w:tabs>
                <w:tab w:val="left" w:pos="4680"/>
              </w:tabs>
              <w:jc w:val="center"/>
              <w:rPr>
                <w:rFonts w:ascii="宋体" w:hAnsi="宋体"/>
                <w:sz w:val="24"/>
                <w:szCs w:val="24"/>
                <w:highlight w:val="none"/>
              </w:rPr>
            </w:pPr>
            <w:r>
              <w:rPr>
                <w:rFonts w:ascii="宋体" w:hAnsi="宋体"/>
                <w:sz w:val="24"/>
                <w:szCs w:val="24"/>
                <w:highlight w:val="none"/>
              </w:rPr>
              <w:t>姓名</w:t>
            </w:r>
          </w:p>
        </w:tc>
        <w:tc>
          <w:tcPr>
            <w:tcW w:w="1849" w:type="dxa"/>
            <w:gridSpan w:val="4"/>
            <w:noWrap/>
            <w:vAlign w:val="center"/>
          </w:tcPr>
          <w:p w14:paraId="43BFDE6D">
            <w:pPr>
              <w:tabs>
                <w:tab w:val="left" w:pos="4680"/>
              </w:tabs>
              <w:jc w:val="center"/>
              <w:rPr>
                <w:rFonts w:ascii="宋体" w:hAnsi="宋体"/>
                <w:sz w:val="24"/>
                <w:szCs w:val="24"/>
                <w:highlight w:val="none"/>
              </w:rPr>
            </w:pPr>
            <w:r>
              <w:rPr>
                <w:rFonts w:ascii="宋体" w:hAnsi="宋体"/>
                <w:sz w:val="24"/>
                <w:szCs w:val="24"/>
                <w:highlight w:val="none"/>
              </w:rPr>
              <w:t>职务</w:t>
            </w:r>
          </w:p>
        </w:tc>
        <w:tc>
          <w:tcPr>
            <w:tcW w:w="1848" w:type="dxa"/>
            <w:gridSpan w:val="6"/>
            <w:noWrap/>
            <w:vAlign w:val="center"/>
          </w:tcPr>
          <w:p w14:paraId="45639006">
            <w:pPr>
              <w:tabs>
                <w:tab w:val="left" w:pos="4680"/>
              </w:tabs>
              <w:jc w:val="center"/>
              <w:rPr>
                <w:rFonts w:ascii="宋体" w:hAnsi="宋体"/>
                <w:sz w:val="24"/>
                <w:szCs w:val="24"/>
                <w:highlight w:val="none"/>
              </w:rPr>
            </w:pPr>
            <w:r>
              <w:rPr>
                <w:rFonts w:ascii="宋体" w:hAnsi="宋体"/>
                <w:sz w:val="24"/>
                <w:szCs w:val="24"/>
                <w:highlight w:val="none"/>
              </w:rPr>
              <w:t>职称</w:t>
            </w:r>
          </w:p>
        </w:tc>
        <w:tc>
          <w:tcPr>
            <w:tcW w:w="1741" w:type="dxa"/>
            <w:gridSpan w:val="2"/>
            <w:noWrap/>
            <w:vAlign w:val="center"/>
          </w:tcPr>
          <w:p w14:paraId="0C06D0F9">
            <w:pPr>
              <w:tabs>
                <w:tab w:val="left" w:pos="4680"/>
              </w:tabs>
              <w:jc w:val="center"/>
              <w:rPr>
                <w:rFonts w:ascii="宋体" w:hAnsi="宋体"/>
                <w:sz w:val="24"/>
                <w:szCs w:val="24"/>
                <w:highlight w:val="none"/>
              </w:rPr>
            </w:pPr>
            <w:r>
              <w:rPr>
                <w:rFonts w:ascii="宋体" w:hAnsi="宋体"/>
                <w:sz w:val="24"/>
                <w:szCs w:val="24"/>
                <w:highlight w:val="none"/>
              </w:rPr>
              <w:t>联系电话</w:t>
            </w:r>
          </w:p>
        </w:tc>
      </w:tr>
      <w:tr w14:paraId="48FE5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09DA29B2">
            <w:pPr>
              <w:tabs>
                <w:tab w:val="left" w:pos="4680"/>
              </w:tabs>
              <w:jc w:val="center"/>
              <w:rPr>
                <w:rFonts w:ascii="宋体" w:hAnsi="宋体"/>
                <w:sz w:val="24"/>
                <w:szCs w:val="24"/>
                <w:highlight w:val="none"/>
              </w:rPr>
            </w:pPr>
            <w:r>
              <w:rPr>
                <w:rFonts w:ascii="宋体" w:hAnsi="宋体"/>
                <w:sz w:val="24"/>
                <w:szCs w:val="24"/>
                <w:highlight w:val="none"/>
              </w:rPr>
              <w:t>法定代表人</w:t>
            </w:r>
          </w:p>
        </w:tc>
        <w:tc>
          <w:tcPr>
            <w:tcW w:w="1849" w:type="dxa"/>
            <w:gridSpan w:val="4"/>
            <w:noWrap/>
            <w:vAlign w:val="center"/>
          </w:tcPr>
          <w:p w14:paraId="722EA559">
            <w:pPr>
              <w:tabs>
                <w:tab w:val="left" w:pos="4680"/>
              </w:tabs>
              <w:jc w:val="center"/>
              <w:rPr>
                <w:rFonts w:ascii="宋体" w:hAnsi="宋体"/>
                <w:sz w:val="24"/>
                <w:szCs w:val="24"/>
                <w:highlight w:val="none"/>
              </w:rPr>
            </w:pPr>
          </w:p>
        </w:tc>
        <w:tc>
          <w:tcPr>
            <w:tcW w:w="1849" w:type="dxa"/>
            <w:gridSpan w:val="4"/>
            <w:noWrap/>
            <w:vAlign w:val="center"/>
          </w:tcPr>
          <w:p w14:paraId="5BA12869">
            <w:pPr>
              <w:tabs>
                <w:tab w:val="left" w:pos="4680"/>
              </w:tabs>
              <w:jc w:val="center"/>
              <w:rPr>
                <w:rFonts w:ascii="宋体" w:hAnsi="宋体"/>
                <w:sz w:val="24"/>
                <w:szCs w:val="24"/>
                <w:highlight w:val="none"/>
              </w:rPr>
            </w:pPr>
          </w:p>
        </w:tc>
        <w:tc>
          <w:tcPr>
            <w:tcW w:w="1848" w:type="dxa"/>
            <w:gridSpan w:val="6"/>
            <w:noWrap/>
            <w:vAlign w:val="center"/>
          </w:tcPr>
          <w:p w14:paraId="1B7D370E">
            <w:pPr>
              <w:tabs>
                <w:tab w:val="left" w:pos="4680"/>
              </w:tabs>
              <w:jc w:val="center"/>
              <w:rPr>
                <w:rFonts w:ascii="宋体" w:hAnsi="宋体"/>
                <w:sz w:val="24"/>
                <w:szCs w:val="24"/>
                <w:highlight w:val="none"/>
              </w:rPr>
            </w:pPr>
          </w:p>
        </w:tc>
        <w:tc>
          <w:tcPr>
            <w:tcW w:w="1741" w:type="dxa"/>
            <w:gridSpan w:val="2"/>
            <w:noWrap/>
            <w:vAlign w:val="center"/>
          </w:tcPr>
          <w:p w14:paraId="7BFFF570">
            <w:pPr>
              <w:tabs>
                <w:tab w:val="left" w:pos="4680"/>
              </w:tabs>
              <w:jc w:val="center"/>
              <w:rPr>
                <w:rFonts w:ascii="宋体" w:hAnsi="宋体"/>
                <w:sz w:val="24"/>
                <w:szCs w:val="24"/>
                <w:highlight w:val="none"/>
              </w:rPr>
            </w:pPr>
          </w:p>
        </w:tc>
      </w:tr>
      <w:tr w14:paraId="590FE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73D72BBF">
            <w:pPr>
              <w:tabs>
                <w:tab w:val="left" w:pos="4680"/>
              </w:tabs>
              <w:jc w:val="center"/>
              <w:rPr>
                <w:rFonts w:ascii="宋体" w:hAnsi="宋体"/>
                <w:sz w:val="24"/>
                <w:szCs w:val="24"/>
                <w:highlight w:val="none"/>
              </w:rPr>
            </w:pPr>
            <w:r>
              <w:rPr>
                <w:rFonts w:ascii="宋体" w:hAnsi="宋体"/>
                <w:sz w:val="24"/>
                <w:szCs w:val="24"/>
                <w:highlight w:val="none"/>
              </w:rPr>
              <w:t>企业负责人</w:t>
            </w:r>
          </w:p>
        </w:tc>
        <w:tc>
          <w:tcPr>
            <w:tcW w:w="1849" w:type="dxa"/>
            <w:gridSpan w:val="4"/>
            <w:noWrap/>
            <w:vAlign w:val="center"/>
          </w:tcPr>
          <w:p w14:paraId="707C11A3">
            <w:pPr>
              <w:tabs>
                <w:tab w:val="left" w:pos="4680"/>
              </w:tabs>
              <w:jc w:val="center"/>
              <w:rPr>
                <w:rFonts w:ascii="宋体" w:hAnsi="宋体"/>
                <w:sz w:val="24"/>
                <w:szCs w:val="24"/>
                <w:highlight w:val="none"/>
              </w:rPr>
            </w:pPr>
          </w:p>
        </w:tc>
        <w:tc>
          <w:tcPr>
            <w:tcW w:w="1849" w:type="dxa"/>
            <w:gridSpan w:val="4"/>
            <w:noWrap/>
            <w:vAlign w:val="center"/>
          </w:tcPr>
          <w:p w14:paraId="2F6A0D33">
            <w:pPr>
              <w:tabs>
                <w:tab w:val="left" w:pos="4680"/>
              </w:tabs>
              <w:jc w:val="center"/>
              <w:rPr>
                <w:rFonts w:ascii="宋体" w:hAnsi="宋体"/>
                <w:sz w:val="24"/>
                <w:szCs w:val="24"/>
                <w:highlight w:val="none"/>
              </w:rPr>
            </w:pPr>
          </w:p>
        </w:tc>
        <w:tc>
          <w:tcPr>
            <w:tcW w:w="1848" w:type="dxa"/>
            <w:gridSpan w:val="6"/>
            <w:noWrap/>
            <w:vAlign w:val="center"/>
          </w:tcPr>
          <w:p w14:paraId="60C2C74F">
            <w:pPr>
              <w:tabs>
                <w:tab w:val="left" w:pos="4680"/>
              </w:tabs>
              <w:jc w:val="center"/>
              <w:rPr>
                <w:rFonts w:ascii="宋体" w:hAnsi="宋体"/>
                <w:sz w:val="24"/>
                <w:szCs w:val="24"/>
                <w:highlight w:val="none"/>
              </w:rPr>
            </w:pPr>
          </w:p>
        </w:tc>
        <w:tc>
          <w:tcPr>
            <w:tcW w:w="1741" w:type="dxa"/>
            <w:gridSpan w:val="2"/>
            <w:noWrap/>
            <w:vAlign w:val="center"/>
          </w:tcPr>
          <w:p w14:paraId="1AFA5C91">
            <w:pPr>
              <w:tabs>
                <w:tab w:val="left" w:pos="4680"/>
              </w:tabs>
              <w:jc w:val="center"/>
              <w:rPr>
                <w:rFonts w:ascii="宋体" w:hAnsi="宋体"/>
                <w:sz w:val="24"/>
                <w:szCs w:val="24"/>
                <w:highlight w:val="none"/>
              </w:rPr>
            </w:pPr>
          </w:p>
        </w:tc>
      </w:tr>
      <w:tr w14:paraId="17F1D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1D6FB41C">
            <w:pPr>
              <w:tabs>
                <w:tab w:val="left" w:pos="4680"/>
              </w:tabs>
              <w:jc w:val="center"/>
              <w:rPr>
                <w:rFonts w:ascii="宋体" w:hAnsi="宋体"/>
                <w:sz w:val="24"/>
                <w:szCs w:val="24"/>
                <w:highlight w:val="none"/>
              </w:rPr>
            </w:pPr>
            <w:r>
              <w:rPr>
                <w:rFonts w:ascii="宋体" w:hAnsi="宋体"/>
                <w:sz w:val="24"/>
                <w:szCs w:val="24"/>
                <w:highlight w:val="none"/>
              </w:rPr>
              <w:t>技术负责人</w:t>
            </w:r>
          </w:p>
        </w:tc>
        <w:tc>
          <w:tcPr>
            <w:tcW w:w="1849" w:type="dxa"/>
            <w:gridSpan w:val="4"/>
            <w:noWrap/>
            <w:vAlign w:val="center"/>
          </w:tcPr>
          <w:p w14:paraId="06C323AF">
            <w:pPr>
              <w:tabs>
                <w:tab w:val="left" w:pos="4680"/>
              </w:tabs>
              <w:jc w:val="center"/>
              <w:rPr>
                <w:rFonts w:ascii="宋体" w:hAnsi="宋体"/>
                <w:sz w:val="24"/>
                <w:szCs w:val="24"/>
                <w:highlight w:val="none"/>
              </w:rPr>
            </w:pPr>
          </w:p>
        </w:tc>
        <w:tc>
          <w:tcPr>
            <w:tcW w:w="1849" w:type="dxa"/>
            <w:gridSpan w:val="4"/>
            <w:noWrap/>
            <w:vAlign w:val="center"/>
          </w:tcPr>
          <w:p w14:paraId="7A3234C2">
            <w:pPr>
              <w:tabs>
                <w:tab w:val="left" w:pos="4680"/>
              </w:tabs>
              <w:jc w:val="center"/>
              <w:rPr>
                <w:rFonts w:ascii="宋体" w:hAnsi="宋体"/>
                <w:sz w:val="24"/>
                <w:szCs w:val="24"/>
                <w:highlight w:val="none"/>
              </w:rPr>
            </w:pPr>
          </w:p>
        </w:tc>
        <w:tc>
          <w:tcPr>
            <w:tcW w:w="1848" w:type="dxa"/>
            <w:gridSpan w:val="6"/>
            <w:noWrap/>
            <w:vAlign w:val="center"/>
          </w:tcPr>
          <w:p w14:paraId="10586F65">
            <w:pPr>
              <w:tabs>
                <w:tab w:val="left" w:pos="4680"/>
              </w:tabs>
              <w:jc w:val="center"/>
              <w:rPr>
                <w:rFonts w:ascii="宋体" w:hAnsi="宋体"/>
                <w:sz w:val="24"/>
                <w:szCs w:val="24"/>
                <w:highlight w:val="none"/>
              </w:rPr>
            </w:pPr>
          </w:p>
        </w:tc>
        <w:tc>
          <w:tcPr>
            <w:tcW w:w="1741" w:type="dxa"/>
            <w:gridSpan w:val="2"/>
            <w:noWrap/>
            <w:vAlign w:val="center"/>
          </w:tcPr>
          <w:p w14:paraId="6FE75D46">
            <w:pPr>
              <w:tabs>
                <w:tab w:val="left" w:pos="4680"/>
              </w:tabs>
              <w:jc w:val="center"/>
              <w:rPr>
                <w:rFonts w:ascii="宋体" w:hAnsi="宋体"/>
                <w:sz w:val="24"/>
                <w:szCs w:val="24"/>
                <w:highlight w:val="none"/>
              </w:rPr>
            </w:pPr>
          </w:p>
        </w:tc>
      </w:tr>
      <w:tr w14:paraId="65393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40D396D4">
            <w:pPr>
              <w:tabs>
                <w:tab w:val="left" w:pos="4680"/>
              </w:tabs>
              <w:jc w:val="center"/>
              <w:rPr>
                <w:rFonts w:ascii="宋体" w:hAnsi="宋体"/>
                <w:sz w:val="24"/>
                <w:szCs w:val="24"/>
                <w:highlight w:val="none"/>
              </w:rPr>
            </w:pPr>
            <w:r>
              <w:rPr>
                <w:rFonts w:ascii="宋体" w:hAnsi="宋体"/>
                <w:sz w:val="24"/>
                <w:szCs w:val="24"/>
                <w:highlight w:val="none"/>
              </w:rPr>
              <w:t>经济负责人</w:t>
            </w:r>
          </w:p>
        </w:tc>
        <w:tc>
          <w:tcPr>
            <w:tcW w:w="1849" w:type="dxa"/>
            <w:gridSpan w:val="4"/>
            <w:noWrap/>
            <w:vAlign w:val="center"/>
          </w:tcPr>
          <w:p w14:paraId="30BDB7B0">
            <w:pPr>
              <w:tabs>
                <w:tab w:val="left" w:pos="4680"/>
              </w:tabs>
              <w:jc w:val="center"/>
              <w:rPr>
                <w:rFonts w:ascii="宋体" w:hAnsi="宋体"/>
                <w:sz w:val="24"/>
                <w:szCs w:val="24"/>
                <w:highlight w:val="none"/>
              </w:rPr>
            </w:pPr>
          </w:p>
        </w:tc>
        <w:tc>
          <w:tcPr>
            <w:tcW w:w="1849" w:type="dxa"/>
            <w:gridSpan w:val="4"/>
            <w:noWrap/>
            <w:vAlign w:val="center"/>
          </w:tcPr>
          <w:p w14:paraId="5432F125">
            <w:pPr>
              <w:tabs>
                <w:tab w:val="left" w:pos="4680"/>
              </w:tabs>
              <w:jc w:val="center"/>
              <w:rPr>
                <w:rFonts w:ascii="宋体" w:hAnsi="宋体"/>
                <w:sz w:val="24"/>
                <w:szCs w:val="24"/>
                <w:highlight w:val="none"/>
              </w:rPr>
            </w:pPr>
          </w:p>
        </w:tc>
        <w:tc>
          <w:tcPr>
            <w:tcW w:w="1848" w:type="dxa"/>
            <w:gridSpan w:val="6"/>
            <w:noWrap/>
            <w:vAlign w:val="center"/>
          </w:tcPr>
          <w:p w14:paraId="4DA799E7">
            <w:pPr>
              <w:tabs>
                <w:tab w:val="left" w:pos="4680"/>
              </w:tabs>
              <w:jc w:val="center"/>
              <w:rPr>
                <w:rFonts w:ascii="宋体" w:hAnsi="宋体"/>
                <w:sz w:val="24"/>
                <w:szCs w:val="24"/>
                <w:highlight w:val="none"/>
              </w:rPr>
            </w:pPr>
          </w:p>
        </w:tc>
        <w:tc>
          <w:tcPr>
            <w:tcW w:w="1741" w:type="dxa"/>
            <w:gridSpan w:val="2"/>
            <w:noWrap/>
            <w:vAlign w:val="center"/>
          </w:tcPr>
          <w:p w14:paraId="36D13E7C">
            <w:pPr>
              <w:tabs>
                <w:tab w:val="left" w:pos="4680"/>
              </w:tabs>
              <w:jc w:val="center"/>
              <w:rPr>
                <w:rFonts w:ascii="宋体" w:hAnsi="宋体"/>
                <w:sz w:val="24"/>
                <w:szCs w:val="24"/>
                <w:highlight w:val="none"/>
              </w:rPr>
            </w:pPr>
          </w:p>
        </w:tc>
      </w:tr>
      <w:tr w14:paraId="413CBC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5F4ECE70">
            <w:pPr>
              <w:tabs>
                <w:tab w:val="left" w:pos="4680"/>
              </w:tabs>
              <w:jc w:val="center"/>
              <w:rPr>
                <w:rFonts w:ascii="宋体" w:hAnsi="宋体"/>
                <w:sz w:val="24"/>
                <w:szCs w:val="24"/>
                <w:highlight w:val="none"/>
              </w:rPr>
            </w:pPr>
            <w:r>
              <w:rPr>
                <w:rFonts w:ascii="宋体" w:hAnsi="宋体"/>
                <w:sz w:val="24"/>
                <w:szCs w:val="24"/>
                <w:highlight w:val="none"/>
              </w:rPr>
              <w:t>财务负责人</w:t>
            </w:r>
          </w:p>
        </w:tc>
        <w:tc>
          <w:tcPr>
            <w:tcW w:w="1849" w:type="dxa"/>
            <w:gridSpan w:val="4"/>
            <w:noWrap/>
            <w:vAlign w:val="center"/>
          </w:tcPr>
          <w:p w14:paraId="47D4BABE">
            <w:pPr>
              <w:tabs>
                <w:tab w:val="left" w:pos="4680"/>
              </w:tabs>
              <w:jc w:val="center"/>
              <w:rPr>
                <w:rFonts w:ascii="宋体" w:hAnsi="宋体"/>
                <w:sz w:val="24"/>
                <w:szCs w:val="24"/>
                <w:highlight w:val="none"/>
              </w:rPr>
            </w:pPr>
          </w:p>
        </w:tc>
        <w:tc>
          <w:tcPr>
            <w:tcW w:w="1849" w:type="dxa"/>
            <w:gridSpan w:val="4"/>
            <w:noWrap/>
            <w:vAlign w:val="center"/>
          </w:tcPr>
          <w:p w14:paraId="5402F23C">
            <w:pPr>
              <w:tabs>
                <w:tab w:val="left" w:pos="4680"/>
              </w:tabs>
              <w:jc w:val="center"/>
              <w:rPr>
                <w:rFonts w:ascii="宋体" w:hAnsi="宋体"/>
                <w:sz w:val="24"/>
                <w:szCs w:val="24"/>
                <w:highlight w:val="none"/>
              </w:rPr>
            </w:pPr>
          </w:p>
        </w:tc>
        <w:tc>
          <w:tcPr>
            <w:tcW w:w="1848" w:type="dxa"/>
            <w:gridSpan w:val="6"/>
            <w:noWrap/>
            <w:vAlign w:val="center"/>
          </w:tcPr>
          <w:p w14:paraId="28B7FD30">
            <w:pPr>
              <w:tabs>
                <w:tab w:val="left" w:pos="4680"/>
              </w:tabs>
              <w:jc w:val="center"/>
              <w:rPr>
                <w:rFonts w:ascii="宋体" w:hAnsi="宋体"/>
                <w:sz w:val="24"/>
                <w:szCs w:val="24"/>
                <w:highlight w:val="none"/>
              </w:rPr>
            </w:pPr>
          </w:p>
        </w:tc>
        <w:tc>
          <w:tcPr>
            <w:tcW w:w="1741" w:type="dxa"/>
            <w:gridSpan w:val="2"/>
            <w:noWrap/>
            <w:vAlign w:val="center"/>
          </w:tcPr>
          <w:p w14:paraId="70147F79">
            <w:pPr>
              <w:tabs>
                <w:tab w:val="left" w:pos="4680"/>
              </w:tabs>
              <w:jc w:val="center"/>
              <w:rPr>
                <w:rFonts w:ascii="宋体" w:hAnsi="宋体"/>
                <w:sz w:val="24"/>
                <w:szCs w:val="24"/>
                <w:highlight w:val="none"/>
              </w:rPr>
            </w:pPr>
          </w:p>
        </w:tc>
      </w:tr>
      <w:tr w14:paraId="5FAA3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134" w:type="dxa"/>
            <w:gridSpan w:val="17"/>
            <w:noWrap/>
            <w:vAlign w:val="center"/>
          </w:tcPr>
          <w:p w14:paraId="3CA2D675">
            <w:pPr>
              <w:tabs>
                <w:tab w:val="left" w:pos="4680"/>
              </w:tabs>
              <w:jc w:val="center"/>
              <w:rPr>
                <w:rFonts w:ascii="宋体" w:hAnsi="宋体"/>
                <w:sz w:val="24"/>
                <w:szCs w:val="24"/>
                <w:highlight w:val="none"/>
              </w:rPr>
            </w:pPr>
            <w:r>
              <w:rPr>
                <w:rFonts w:ascii="宋体" w:hAnsi="宋体"/>
                <w:sz w:val="24"/>
                <w:szCs w:val="24"/>
                <w:highlight w:val="none"/>
              </w:rPr>
              <w:t>人员职称构成情况</w:t>
            </w:r>
          </w:p>
        </w:tc>
      </w:tr>
      <w:tr w14:paraId="450B2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noWrap/>
            <w:vAlign w:val="center"/>
          </w:tcPr>
          <w:p w14:paraId="6BB68650">
            <w:pPr>
              <w:tabs>
                <w:tab w:val="left" w:pos="4680"/>
              </w:tabs>
              <w:jc w:val="center"/>
              <w:rPr>
                <w:rFonts w:ascii="宋体" w:hAnsi="宋体"/>
                <w:sz w:val="24"/>
                <w:szCs w:val="24"/>
                <w:highlight w:val="none"/>
              </w:rPr>
            </w:pPr>
            <w:r>
              <w:rPr>
                <w:rFonts w:ascii="宋体" w:hAnsi="宋体"/>
                <w:sz w:val="24"/>
                <w:szCs w:val="24"/>
                <w:highlight w:val="none"/>
              </w:rPr>
              <w:t>人员总数</w:t>
            </w:r>
          </w:p>
        </w:tc>
        <w:tc>
          <w:tcPr>
            <w:tcW w:w="1974" w:type="dxa"/>
            <w:gridSpan w:val="5"/>
            <w:noWrap/>
            <w:vAlign w:val="center"/>
          </w:tcPr>
          <w:p w14:paraId="0777F502">
            <w:pPr>
              <w:tabs>
                <w:tab w:val="left" w:pos="4680"/>
              </w:tabs>
              <w:jc w:val="center"/>
              <w:rPr>
                <w:rFonts w:ascii="宋体" w:hAnsi="宋体"/>
                <w:sz w:val="24"/>
                <w:szCs w:val="24"/>
                <w:highlight w:val="none"/>
              </w:rPr>
            </w:pPr>
            <w:r>
              <w:rPr>
                <w:rFonts w:ascii="宋体" w:hAnsi="宋体"/>
                <w:sz w:val="24"/>
                <w:szCs w:val="24"/>
                <w:highlight w:val="none"/>
              </w:rPr>
              <w:t>高级职称</w:t>
            </w:r>
          </w:p>
        </w:tc>
        <w:tc>
          <w:tcPr>
            <w:tcW w:w="1975" w:type="dxa"/>
            <w:gridSpan w:val="4"/>
            <w:noWrap/>
            <w:vAlign w:val="center"/>
          </w:tcPr>
          <w:p w14:paraId="41CDEDE3">
            <w:pPr>
              <w:tabs>
                <w:tab w:val="left" w:pos="4680"/>
              </w:tabs>
              <w:jc w:val="center"/>
              <w:rPr>
                <w:rFonts w:ascii="宋体" w:hAnsi="宋体"/>
                <w:sz w:val="24"/>
                <w:szCs w:val="24"/>
                <w:highlight w:val="none"/>
              </w:rPr>
            </w:pPr>
            <w:r>
              <w:rPr>
                <w:rFonts w:ascii="宋体" w:hAnsi="宋体"/>
                <w:sz w:val="24"/>
                <w:szCs w:val="24"/>
                <w:highlight w:val="none"/>
              </w:rPr>
              <w:t>中级职称</w:t>
            </w:r>
          </w:p>
        </w:tc>
        <w:tc>
          <w:tcPr>
            <w:tcW w:w="1975" w:type="dxa"/>
            <w:gridSpan w:val="6"/>
            <w:noWrap/>
            <w:vAlign w:val="center"/>
          </w:tcPr>
          <w:p w14:paraId="04805A67">
            <w:pPr>
              <w:tabs>
                <w:tab w:val="left" w:pos="4680"/>
              </w:tabs>
              <w:jc w:val="center"/>
              <w:rPr>
                <w:rFonts w:ascii="宋体" w:hAnsi="宋体"/>
                <w:sz w:val="24"/>
                <w:szCs w:val="24"/>
                <w:highlight w:val="none"/>
              </w:rPr>
            </w:pPr>
            <w:r>
              <w:rPr>
                <w:rFonts w:ascii="宋体" w:hAnsi="宋体"/>
                <w:sz w:val="24"/>
                <w:szCs w:val="24"/>
                <w:highlight w:val="none"/>
              </w:rPr>
              <w:t>初级职称</w:t>
            </w:r>
          </w:p>
        </w:tc>
        <w:tc>
          <w:tcPr>
            <w:tcW w:w="1363" w:type="dxa"/>
            <w:noWrap/>
            <w:vAlign w:val="center"/>
          </w:tcPr>
          <w:p w14:paraId="450441A6">
            <w:pPr>
              <w:tabs>
                <w:tab w:val="left" w:pos="4680"/>
              </w:tabs>
              <w:jc w:val="center"/>
              <w:rPr>
                <w:rFonts w:ascii="宋体" w:hAnsi="宋体"/>
                <w:sz w:val="24"/>
                <w:szCs w:val="24"/>
                <w:highlight w:val="none"/>
              </w:rPr>
            </w:pPr>
            <w:r>
              <w:rPr>
                <w:rFonts w:ascii="宋体" w:hAnsi="宋体"/>
                <w:sz w:val="24"/>
                <w:szCs w:val="24"/>
                <w:highlight w:val="none"/>
              </w:rPr>
              <w:t>其他</w:t>
            </w:r>
          </w:p>
        </w:tc>
      </w:tr>
      <w:tr w14:paraId="71884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vMerge w:val="restart"/>
            <w:noWrap/>
            <w:vAlign w:val="center"/>
          </w:tcPr>
          <w:p w14:paraId="68067F2E">
            <w:pPr>
              <w:tabs>
                <w:tab w:val="left" w:pos="4680"/>
              </w:tabs>
              <w:jc w:val="center"/>
              <w:rPr>
                <w:rFonts w:ascii="宋体" w:hAnsi="宋体"/>
                <w:sz w:val="24"/>
                <w:szCs w:val="24"/>
                <w:highlight w:val="none"/>
              </w:rPr>
            </w:pPr>
          </w:p>
        </w:tc>
        <w:tc>
          <w:tcPr>
            <w:tcW w:w="1974" w:type="dxa"/>
            <w:gridSpan w:val="5"/>
            <w:noWrap/>
            <w:vAlign w:val="center"/>
          </w:tcPr>
          <w:p w14:paraId="4250790B">
            <w:pPr>
              <w:tabs>
                <w:tab w:val="left" w:pos="4680"/>
              </w:tabs>
              <w:jc w:val="center"/>
              <w:rPr>
                <w:rFonts w:ascii="宋体" w:hAnsi="宋体"/>
                <w:sz w:val="24"/>
                <w:szCs w:val="24"/>
                <w:highlight w:val="none"/>
              </w:rPr>
            </w:pPr>
          </w:p>
        </w:tc>
        <w:tc>
          <w:tcPr>
            <w:tcW w:w="1975" w:type="dxa"/>
            <w:gridSpan w:val="4"/>
            <w:noWrap/>
            <w:vAlign w:val="center"/>
          </w:tcPr>
          <w:p w14:paraId="79331F32">
            <w:pPr>
              <w:tabs>
                <w:tab w:val="left" w:pos="4680"/>
              </w:tabs>
              <w:jc w:val="center"/>
              <w:rPr>
                <w:rFonts w:ascii="宋体" w:hAnsi="宋体"/>
                <w:sz w:val="24"/>
                <w:szCs w:val="24"/>
                <w:highlight w:val="none"/>
              </w:rPr>
            </w:pPr>
          </w:p>
        </w:tc>
        <w:tc>
          <w:tcPr>
            <w:tcW w:w="1975" w:type="dxa"/>
            <w:gridSpan w:val="6"/>
            <w:noWrap/>
            <w:vAlign w:val="center"/>
          </w:tcPr>
          <w:p w14:paraId="11000D61">
            <w:pPr>
              <w:tabs>
                <w:tab w:val="left" w:pos="4680"/>
              </w:tabs>
              <w:jc w:val="center"/>
              <w:rPr>
                <w:rFonts w:ascii="宋体" w:hAnsi="宋体"/>
                <w:sz w:val="24"/>
                <w:szCs w:val="24"/>
                <w:highlight w:val="none"/>
              </w:rPr>
            </w:pPr>
          </w:p>
        </w:tc>
        <w:tc>
          <w:tcPr>
            <w:tcW w:w="1363" w:type="dxa"/>
            <w:noWrap/>
            <w:vAlign w:val="center"/>
          </w:tcPr>
          <w:p w14:paraId="3E8A901D">
            <w:pPr>
              <w:tabs>
                <w:tab w:val="left" w:pos="4680"/>
              </w:tabs>
              <w:jc w:val="center"/>
              <w:rPr>
                <w:rFonts w:ascii="宋体" w:hAnsi="宋体"/>
                <w:sz w:val="24"/>
                <w:szCs w:val="24"/>
                <w:highlight w:val="none"/>
              </w:rPr>
            </w:pPr>
          </w:p>
        </w:tc>
      </w:tr>
      <w:tr w14:paraId="1F9C8C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vMerge w:val="continue"/>
            <w:noWrap/>
            <w:vAlign w:val="center"/>
          </w:tcPr>
          <w:p w14:paraId="0CC88DEF">
            <w:pPr>
              <w:tabs>
                <w:tab w:val="left" w:pos="4680"/>
              </w:tabs>
              <w:jc w:val="center"/>
              <w:rPr>
                <w:rFonts w:ascii="宋体" w:hAnsi="宋体"/>
                <w:sz w:val="24"/>
                <w:szCs w:val="24"/>
                <w:highlight w:val="none"/>
              </w:rPr>
            </w:pPr>
          </w:p>
        </w:tc>
        <w:tc>
          <w:tcPr>
            <w:tcW w:w="2409" w:type="dxa"/>
            <w:gridSpan w:val="6"/>
            <w:noWrap/>
            <w:vAlign w:val="center"/>
          </w:tcPr>
          <w:p w14:paraId="21DA9AB0">
            <w:pPr>
              <w:tabs>
                <w:tab w:val="left" w:pos="4680"/>
              </w:tabs>
              <w:jc w:val="center"/>
              <w:rPr>
                <w:rFonts w:ascii="宋体" w:hAnsi="宋体"/>
                <w:sz w:val="24"/>
                <w:szCs w:val="24"/>
                <w:highlight w:val="none"/>
              </w:rPr>
            </w:pPr>
            <w:r>
              <w:rPr>
                <w:rFonts w:ascii="宋体" w:hAnsi="宋体"/>
                <w:sz w:val="24"/>
                <w:szCs w:val="24"/>
                <w:highlight w:val="none"/>
              </w:rPr>
              <w:t>管理人员</w:t>
            </w:r>
          </w:p>
        </w:tc>
        <w:tc>
          <w:tcPr>
            <w:tcW w:w="2513" w:type="dxa"/>
            <w:gridSpan w:val="7"/>
            <w:noWrap/>
            <w:vAlign w:val="center"/>
          </w:tcPr>
          <w:p w14:paraId="38F50A54">
            <w:pPr>
              <w:tabs>
                <w:tab w:val="left" w:pos="4680"/>
              </w:tabs>
              <w:jc w:val="center"/>
              <w:rPr>
                <w:rFonts w:ascii="宋体" w:hAnsi="宋体"/>
                <w:sz w:val="24"/>
                <w:szCs w:val="24"/>
                <w:highlight w:val="none"/>
              </w:rPr>
            </w:pPr>
            <w:r>
              <w:rPr>
                <w:rFonts w:ascii="宋体" w:hAnsi="宋体"/>
                <w:sz w:val="24"/>
                <w:szCs w:val="24"/>
                <w:highlight w:val="none"/>
              </w:rPr>
              <w:t>监理人员</w:t>
            </w:r>
          </w:p>
        </w:tc>
        <w:tc>
          <w:tcPr>
            <w:tcW w:w="2365" w:type="dxa"/>
            <w:gridSpan w:val="3"/>
            <w:noWrap/>
            <w:vAlign w:val="center"/>
          </w:tcPr>
          <w:p w14:paraId="4BACC735">
            <w:pPr>
              <w:tabs>
                <w:tab w:val="left" w:pos="4680"/>
              </w:tabs>
              <w:jc w:val="center"/>
              <w:rPr>
                <w:rFonts w:ascii="宋体" w:hAnsi="宋体"/>
                <w:sz w:val="24"/>
                <w:szCs w:val="24"/>
                <w:highlight w:val="none"/>
              </w:rPr>
            </w:pPr>
            <w:r>
              <w:rPr>
                <w:rFonts w:ascii="宋体" w:hAnsi="宋体"/>
                <w:sz w:val="24"/>
                <w:szCs w:val="24"/>
                <w:highlight w:val="none"/>
              </w:rPr>
              <w:t>后勤人员</w:t>
            </w:r>
          </w:p>
        </w:tc>
      </w:tr>
      <w:tr w14:paraId="5F953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7" w:type="dxa"/>
            <w:vMerge w:val="continue"/>
            <w:noWrap/>
            <w:vAlign w:val="center"/>
          </w:tcPr>
          <w:p w14:paraId="0CCC3C1D">
            <w:pPr>
              <w:tabs>
                <w:tab w:val="left" w:pos="4680"/>
              </w:tabs>
              <w:jc w:val="center"/>
              <w:rPr>
                <w:rFonts w:ascii="宋体" w:hAnsi="宋体"/>
                <w:sz w:val="24"/>
                <w:szCs w:val="24"/>
                <w:highlight w:val="none"/>
              </w:rPr>
            </w:pPr>
          </w:p>
        </w:tc>
        <w:tc>
          <w:tcPr>
            <w:tcW w:w="2409" w:type="dxa"/>
            <w:gridSpan w:val="6"/>
            <w:noWrap/>
            <w:vAlign w:val="center"/>
          </w:tcPr>
          <w:p w14:paraId="476ECBB2">
            <w:pPr>
              <w:tabs>
                <w:tab w:val="left" w:pos="4680"/>
              </w:tabs>
              <w:jc w:val="center"/>
              <w:rPr>
                <w:rFonts w:ascii="宋体" w:hAnsi="宋体"/>
                <w:sz w:val="24"/>
                <w:szCs w:val="24"/>
                <w:highlight w:val="none"/>
              </w:rPr>
            </w:pPr>
          </w:p>
        </w:tc>
        <w:tc>
          <w:tcPr>
            <w:tcW w:w="2513" w:type="dxa"/>
            <w:gridSpan w:val="7"/>
            <w:noWrap/>
            <w:vAlign w:val="center"/>
          </w:tcPr>
          <w:p w14:paraId="1B5EBA4F">
            <w:pPr>
              <w:tabs>
                <w:tab w:val="left" w:pos="4680"/>
              </w:tabs>
              <w:jc w:val="center"/>
              <w:rPr>
                <w:rFonts w:ascii="宋体" w:hAnsi="宋体"/>
                <w:sz w:val="24"/>
                <w:szCs w:val="24"/>
                <w:highlight w:val="none"/>
              </w:rPr>
            </w:pPr>
          </w:p>
        </w:tc>
        <w:tc>
          <w:tcPr>
            <w:tcW w:w="2365" w:type="dxa"/>
            <w:gridSpan w:val="3"/>
            <w:noWrap/>
            <w:vAlign w:val="center"/>
          </w:tcPr>
          <w:p w14:paraId="1E964F90">
            <w:pPr>
              <w:tabs>
                <w:tab w:val="left" w:pos="4680"/>
              </w:tabs>
              <w:jc w:val="center"/>
              <w:rPr>
                <w:rFonts w:ascii="宋体" w:hAnsi="宋体"/>
                <w:sz w:val="24"/>
                <w:szCs w:val="24"/>
                <w:highlight w:val="none"/>
              </w:rPr>
            </w:pPr>
          </w:p>
        </w:tc>
      </w:tr>
      <w:tr w14:paraId="47663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1" w:type="dxa"/>
            <w:gridSpan w:val="3"/>
            <w:noWrap/>
            <w:vAlign w:val="center"/>
          </w:tcPr>
          <w:p w14:paraId="7B408CFA">
            <w:pPr>
              <w:tabs>
                <w:tab w:val="left" w:pos="4680"/>
              </w:tabs>
              <w:jc w:val="center"/>
              <w:rPr>
                <w:rFonts w:ascii="宋体" w:hAnsi="宋体"/>
                <w:sz w:val="24"/>
                <w:szCs w:val="24"/>
                <w:highlight w:val="none"/>
              </w:rPr>
            </w:pPr>
            <w:r>
              <w:rPr>
                <w:rFonts w:ascii="宋体" w:hAnsi="宋体"/>
                <w:sz w:val="24"/>
                <w:szCs w:val="24"/>
                <w:highlight w:val="none"/>
              </w:rPr>
              <w:t>45岁以下</w:t>
            </w:r>
          </w:p>
        </w:tc>
        <w:tc>
          <w:tcPr>
            <w:tcW w:w="3700" w:type="dxa"/>
            <w:gridSpan w:val="10"/>
            <w:noWrap/>
            <w:vAlign w:val="center"/>
          </w:tcPr>
          <w:p w14:paraId="7F7175A3">
            <w:pPr>
              <w:tabs>
                <w:tab w:val="left" w:pos="4680"/>
              </w:tabs>
              <w:jc w:val="center"/>
              <w:rPr>
                <w:rFonts w:ascii="宋体" w:hAnsi="宋体"/>
                <w:sz w:val="24"/>
                <w:szCs w:val="24"/>
                <w:highlight w:val="none"/>
              </w:rPr>
            </w:pPr>
            <w:r>
              <w:rPr>
                <w:rFonts w:ascii="宋体" w:hAnsi="宋体"/>
                <w:sz w:val="24"/>
                <w:szCs w:val="24"/>
                <w:highlight w:val="none"/>
              </w:rPr>
              <w:t>45～60岁</w:t>
            </w:r>
          </w:p>
        </w:tc>
        <w:tc>
          <w:tcPr>
            <w:tcW w:w="2663" w:type="dxa"/>
            <w:gridSpan w:val="4"/>
            <w:noWrap/>
            <w:vAlign w:val="center"/>
          </w:tcPr>
          <w:p w14:paraId="5A6DF260">
            <w:pPr>
              <w:tabs>
                <w:tab w:val="left" w:pos="4680"/>
              </w:tabs>
              <w:jc w:val="center"/>
              <w:rPr>
                <w:rFonts w:ascii="宋体" w:hAnsi="宋体"/>
                <w:sz w:val="24"/>
                <w:szCs w:val="24"/>
                <w:highlight w:val="none"/>
              </w:rPr>
            </w:pPr>
            <w:r>
              <w:rPr>
                <w:rFonts w:ascii="宋体" w:hAnsi="宋体"/>
                <w:sz w:val="24"/>
                <w:szCs w:val="24"/>
                <w:highlight w:val="none"/>
              </w:rPr>
              <w:t>60岁以上</w:t>
            </w:r>
          </w:p>
        </w:tc>
      </w:tr>
      <w:tr w14:paraId="64E61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1" w:type="dxa"/>
            <w:gridSpan w:val="3"/>
            <w:noWrap/>
            <w:vAlign w:val="center"/>
          </w:tcPr>
          <w:p w14:paraId="03BDBB3F">
            <w:pPr>
              <w:tabs>
                <w:tab w:val="left" w:pos="4680"/>
              </w:tabs>
              <w:jc w:val="center"/>
              <w:rPr>
                <w:rFonts w:ascii="宋体" w:hAnsi="宋体"/>
                <w:sz w:val="24"/>
                <w:szCs w:val="24"/>
                <w:highlight w:val="none"/>
              </w:rPr>
            </w:pPr>
          </w:p>
        </w:tc>
        <w:tc>
          <w:tcPr>
            <w:tcW w:w="3700" w:type="dxa"/>
            <w:gridSpan w:val="10"/>
            <w:noWrap/>
            <w:vAlign w:val="center"/>
          </w:tcPr>
          <w:p w14:paraId="18A24FDE">
            <w:pPr>
              <w:tabs>
                <w:tab w:val="left" w:pos="4680"/>
              </w:tabs>
              <w:jc w:val="center"/>
              <w:rPr>
                <w:rFonts w:ascii="宋体" w:hAnsi="宋体"/>
                <w:sz w:val="24"/>
                <w:szCs w:val="24"/>
                <w:highlight w:val="none"/>
              </w:rPr>
            </w:pPr>
          </w:p>
        </w:tc>
        <w:tc>
          <w:tcPr>
            <w:tcW w:w="2663" w:type="dxa"/>
            <w:gridSpan w:val="4"/>
            <w:noWrap/>
            <w:vAlign w:val="center"/>
          </w:tcPr>
          <w:p w14:paraId="37A58787">
            <w:pPr>
              <w:tabs>
                <w:tab w:val="left" w:pos="4680"/>
              </w:tabs>
              <w:jc w:val="center"/>
              <w:rPr>
                <w:rFonts w:ascii="宋体" w:hAnsi="宋体"/>
                <w:sz w:val="24"/>
                <w:szCs w:val="24"/>
                <w:highlight w:val="none"/>
              </w:rPr>
            </w:pPr>
          </w:p>
        </w:tc>
      </w:tr>
      <w:tr w14:paraId="15003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134" w:type="dxa"/>
            <w:gridSpan w:val="17"/>
            <w:noWrap/>
            <w:vAlign w:val="center"/>
          </w:tcPr>
          <w:p w14:paraId="2F9ACA3D">
            <w:pPr>
              <w:tabs>
                <w:tab w:val="left" w:pos="4680"/>
              </w:tabs>
              <w:jc w:val="center"/>
              <w:rPr>
                <w:rFonts w:ascii="宋体" w:hAnsi="宋体"/>
                <w:sz w:val="24"/>
                <w:szCs w:val="24"/>
                <w:highlight w:val="none"/>
              </w:rPr>
            </w:pPr>
            <w:r>
              <w:rPr>
                <w:rFonts w:ascii="宋体" w:hAnsi="宋体"/>
                <w:sz w:val="24"/>
                <w:szCs w:val="24"/>
                <w:highlight w:val="none"/>
              </w:rPr>
              <w:t>近年营业额情况（万元）</w:t>
            </w:r>
          </w:p>
        </w:tc>
      </w:tr>
      <w:tr w14:paraId="5A6645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43" w:type="dxa"/>
            <w:gridSpan w:val="4"/>
            <w:noWrap/>
            <w:vAlign w:val="center"/>
          </w:tcPr>
          <w:p w14:paraId="101850DB">
            <w:pPr>
              <w:tabs>
                <w:tab w:val="left" w:pos="4680"/>
              </w:tabs>
              <w:jc w:val="center"/>
              <w:rPr>
                <w:rFonts w:ascii="宋体" w:hAnsi="宋体"/>
                <w:sz w:val="24"/>
                <w:szCs w:val="24"/>
                <w:highlight w:val="none"/>
              </w:rPr>
            </w:pPr>
            <w:r>
              <w:rPr>
                <w:rFonts w:ascii="宋体" w:hAnsi="宋体"/>
                <w:sz w:val="24"/>
                <w:szCs w:val="24"/>
                <w:highlight w:val="none"/>
              </w:rPr>
              <w:t>年</w:t>
            </w:r>
          </w:p>
        </w:tc>
        <w:tc>
          <w:tcPr>
            <w:tcW w:w="3047" w:type="dxa"/>
            <w:gridSpan w:val="7"/>
            <w:noWrap/>
            <w:vAlign w:val="center"/>
          </w:tcPr>
          <w:p w14:paraId="7307E402">
            <w:pPr>
              <w:tabs>
                <w:tab w:val="left" w:pos="4680"/>
              </w:tabs>
              <w:jc w:val="center"/>
              <w:rPr>
                <w:rFonts w:ascii="宋体" w:hAnsi="宋体"/>
                <w:sz w:val="24"/>
                <w:szCs w:val="24"/>
                <w:highlight w:val="none"/>
              </w:rPr>
            </w:pPr>
            <w:r>
              <w:rPr>
                <w:rFonts w:ascii="宋体" w:hAnsi="宋体"/>
                <w:sz w:val="24"/>
                <w:szCs w:val="24"/>
                <w:highlight w:val="none"/>
              </w:rPr>
              <w:t>年</w:t>
            </w:r>
          </w:p>
        </w:tc>
        <w:tc>
          <w:tcPr>
            <w:tcW w:w="3044" w:type="dxa"/>
            <w:gridSpan w:val="6"/>
            <w:noWrap/>
            <w:vAlign w:val="center"/>
          </w:tcPr>
          <w:p w14:paraId="655974CF">
            <w:pPr>
              <w:tabs>
                <w:tab w:val="left" w:pos="4680"/>
              </w:tabs>
              <w:jc w:val="center"/>
              <w:rPr>
                <w:rFonts w:ascii="宋体" w:hAnsi="宋体"/>
                <w:sz w:val="24"/>
                <w:szCs w:val="24"/>
                <w:highlight w:val="none"/>
              </w:rPr>
            </w:pPr>
            <w:r>
              <w:rPr>
                <w:rFonts w:ascii="宋体" w:hAnsi="宋体"/>
                <w:sz w:val="24"/>
                <w:szCs w:val="24"/>
                <w:highlight w:val="none"/>
              </w:rPr>
              <w:t>年</w:t>
            </w:r>
          </w:p>
        </w:tc>
      </w:tr>
      <w:tr w14:paraId="142C0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43" w:type="dxa"/>
            <w:gridSpan w:val="4"/>
            <w:noWrap/>
            <w:vAlign w:val="center"/>
          </w:tcPr>
          <w:p w14:paraId="63AEA68E">
            <w:pPr>
              <w:tabs>
                <w:tab w:val="left" w:pos="4680"/>
              </w:tabs>
              <w:jc w:val="center"/>
              <w:rPr>
                <w:szCs w:val="21"/>
                <w:highlight w:val="none"/>
              </w:rPr>
            </w:pPr>
          </w:p>
        </w:tc>
        <w:tc>
          <w:tcPr>
            <w:tcW w:w="3047" w:type="dxa"/>
            <w:gridSpan w:val="7"/>
            <w:noWrap/>
            <w:vAlign w:val="center"/>
          </w:tcPr>
          <w:p w14:paraId="6AC833BA">
            <w:pPr>
              <w:tabs>
                <w:tab w:val="left" w:pos="4680"/>
              </w:tabs>
              <w:jc w:val="center"/>
              <w:rPr>
                <w:szCs w:val="21"/>
                <w:highlight w:val="none"/>
              </w:rPr>
            </w:pPr>
          </w:p>
        </w:tc>
        <w:tc>
          <w:tcPr>
            <w:tcW w:w="3044" w:type="dxa"/>
            <w:gridSpan w:val="6"/>
            <w:noWrap/>
            <w:vAlign w:val="center"/>
          </w:tcPr>
          <w:p w14:paraId="5911D1BC">
            <w:pPr>
              <w:tabs>
                <w:tab w:val="left" w:pos="4680"/>
              </w:tabs>
              <w:jc w:val="center"/>
              <w:rPr>
                <w:szCs w:val="21"/>
                <w:highlight w:val="none"/>
              </w:rPr>
            </w:pPr>
          </w:p>
        </w:tc>
      </w:tr>
    </w:tbl>
    <w:p w14:paraId="4C3F3D05">
      <w:pPr>
        <w:spacing w:line="280" w:lineRule="exact"/>
        <w:rPr>
          <w:szCs w:val="21"/>
          <w:highlight w:val="none"/>
        </w:rPr>
      </w:pPr>
      <w:r>
        <w:rPr>
          <w:rFonts w:hint="eastAsia"/>
          <w:szCs w:val="21"/>
          <w:highlight w:val="none"/>
        </w:rPr>
        <w:t>注：本表后附：①资质证书副本复印件，②营业执照副本</w:t>
      </w:r>
      <w:r>
        <w:rPr>
          <w:rFonts w:hint="eastAsia"/>
          <w:spacing w:val="4"/>
          <w:szCs w:val="21"/>
          <w:highlight w:val="none"/>
        </w:rPr>
        <w:t>复印件，</w:t>
      </w:r>
      <w:r>
        <w:rPr>
          <w:rFonts w:hint="eastAsia"/>
          <w:szCs w:val="21"/>
          <w:highlight w:val="none"/>
        </w:rPr>
        <w:t>③广东省外企业须在“进粤企业和人员诚信信息登记平台”录入信息并通过数据规范检查显示正常登记的带标志网页打印件。上述所有材料均应加盖投标人单位章。</w:t>
      </w:r>
    </w:p>
    <w:p w14:paraId="3B476010">
      <w:pPr>
        <w:spacing w:line="360" w:lineRule="auto"/>
        <w:outlineLvl w:val="9"/>
        <w:rPr>
          <w:rFonts w:ascii="宋体" w:hAnsi="宋体"/>
          <w:b/>
          <w:bCs/>
          <w:spacing w:val="4"/>
          <w:sz w:val="24"/>
          <w:szCs w:val="24"/>
          <w:highlight w:val="none"/>
        </w:rPr>
      </w:pPr>
    </w:p>
    <w:p w14:paraId="03DF90D4">
      <w:pPr>
        <w:keepNext w:val="0"/>
        <w:keepLines w:val="0"/>
        <w:pageBreakBefore w:val="0"/>
        <w:widowControl w:val="0"/>
        <w:kinsoku/>
        <w:wordWrap/>
        <w:overflowPunct/>
        <w:topLinePunct w:val="0"/>
        <w:autoSpaceDE/>
        <w:autoSpaceDN/>
        <w:bidi w:val="0"/>
        <w:adjustRightInd/>
        <w:snapToGrid/>
        <w:spacing w:line="520" w:lineRule="exact"/>
        <w:ind w:left="4620" w:leftChars="2200"/>
        <w:jc w:val="right"/>
        <w:textAlignment w:val="auto"/>
        <w:rPr>
          <w:rFonts w:ascii="宋体" w:hAnsi="宋体"/>
          <w:sz w:val="24"/>
          <w:szCs w:val="24"/>
          <w:highlight w:val="none"/>
          <w:u w:val="single"/>
        </w:rPr>
      </w:pPr>
      <w:r>
        <w:rPr>
          <w:rFonts w:hint="eastAsia" w:ascii="宋体" w:hAnsi="宋体"/>
          <w:sz w:val="24"/>
          <w:szCs w:val="24"/>
          <w:highlight w:val="none"/>
        </w:rPr>
        <w:t>投标人：</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盖</w:t>
      </w:r>
      <w:r>
        <w:rPr>
          <w:rFonts w:hint="eastAsia" w:ascii="宋体" w:hAnsi="宋体"/>
          <w:sz w:val="24"/>
          <w:szCs w:val="24"/>
          <w:highlight w:val="none"/>
          <w:u w:val="single"/>
          <w:lang w:val="en-US" w:eastAsia="zh-CN"/>
        </w:rPr>
        <w:t>单位</w:t>
      </w:r>
      <w:r>
        <w:rPr>
          <w:rFonts w:hint="eastAsia" w:ascii="宋体" w:hAnsi="宋体"/>
          <w:sz w:val="24"/>
          <w:szCs w:val="24"/>
          <w:highlight w:val="none"/>
          <w:u w:val="single"/>
        </w:rPr>
        <w:t>章）</w:t>
      </w:r>
    </w:p>
    <w:p w14:paraId="1F48B7FE">
      <w:pPr>
        <w:keepNext w:val="0"/>
        <w:keepLines w:val="0"/>
        <w:pageBreakBefore w:val="0"/>
        <w:widowControl w:val="0"/>
        <w:kinsoku/>
        <w:wordWrap/>
        <w:overflowPunct/>
        <w:topLinePunct w:val="0"/>
        <w:autoSpaceDE/>
        <w:autoSpaceDN/>
        <w:bidi w:val="0"/>
        <w:adjustRightInd/>
        <w:snapToGrid/>
        <w:spacing w:line="520" w:lineRule="exact"/>
        <w:ind w:left="0" w:leftChars="0"/>
        <w:jc w:val="right"/>
        <w:textAlignment w:val="auto"/>
        <w:rPr>
          <w:rFonts w:ascii="宋体" w:hAnsi="宋体"/>
          <w:sz w:val="24"/>
          <w:szCs w:val="24"/>
          <w:highlight w:val="none"/>
          <w:u w:val="single"/>
        </w:rPr>
      </w:pPr>
      <w:r>
        <w:rPr>
          <w:rFonts w:hint="eastAsia" w:ascii="宋体" w:hAnsi="宋体"/>
          <w:sz w:val="24"/>
          <w:szCs w:val="24"/>
          <w:highlight w:val="none"/>
        </w:rPr>
        <w:t>法定代表人</w:t>
      </w:r>
      <w:r>
        <w:rPr>
          <w:rFonts w:hint="eastAsia" w:ascii="宋体" w:hAnsi="宋体"/>
          <w:sz w:val="24"/>
          <w:szCs w:val="24"/>
          <w:highlight w:val="none"/>
          <w:lang w:eastAsia="zh-CN"/>
        </w:rPr>
        <w:t>（</w:t>
      </w:r>
      <w:r>
        <w:rPr>
          <w:rFonts w:hint="eastAsia" w:ascii="宋体" w:hAnsi="宋体"/>
          <w:sz w:val="24"/>
          <w:szCs w:val="24"/>
          <w:highlight w:val="none"/>
        </w:rPr>
        <w:t>或其委托代理人</w:t>
      </w:r>
      <w:r>
        <w:rPr>
          <w:rFonts w:hint="eastAsia" w:ascii="宋体" w:hAnsi="宋体"/>
          <w:sz w:val="24"/>
          <w:szCs w:val="24"/>
          <w:highlight w:val="none"/>
          <w:lang w:eastAsia="zh-CN"/>
        </w:rPr>
        <w:t>）</w:t>
      </w:r>
      <w:r>
        <w:rPr>
          <w:rFonts w:hint="eastAsia" w:ascii="宋体" w:hAnsi="宋体"/>
          <w:sz w:val="24"/>
          <w:szCs w:val="24"/>
          <w:highlight w:val="none"/>
        </w:rPr>
        <w:t>：</w:t>
      </w:r>
      <w:r>
        <w:rPr>
          <w:rFonts w:hint="eastAsia" w:ascii="宋体" w:hAnsi="宋体"/>
          <w:sz w:val="24"/>
          <w:szCs w:val="24"/>
          <w:highlight w:val="none"/>
          <w:u w:val="single"/>
        </w:rPr>
        <w:t xml:space="preserve">      （签字）</w:t>
      </w:r>
    </w:p>
    <w:p w14:paraId="0EBCD09C">
      <w:pPr>
        <w:keepNext w:val="0"/>
        <w:keepLines w:val="0"/>
        <w:pageBreakBefore w:val="0"/>
        <w:widowControl w:val="0"/>
        <w:kinsoku/>
        <w:wordWrap/>
        <w:overflowPunct/>
        <w:topLinePunct w:val="0"/>
        <w:autoSpaceDE/>
        <w:autoSpaceDN/>
        <w:bidi w:val="0"/>
        <w:adjustRightInd/>
        <w:snapToGrid/>
        <w:spacing w:line="520" w:lineRule="exact"/>
        <w:ind w:left="4620" w:leftChars="2200"/>
        <w:jc w:val="right"/>
        <w:textAlignment w:val="auto"/>
        <w:outlineLvl w:val="9"/>
        <w:rPr>
          <w:rFonts w:hint="eastAsia" w:ascii="宋体" w:hAnsi="宋体"/>
          <w:sz w:val="24"/>
          <w:szCs w:val="24"/>
          <w:highlight w:val="none"/>
        </w:rPr>
      </w:pPr>
      <w:r>
        <w:rPr>
          <w:rFonts w:hint="eastAsia" w:ascii="宋体" w:hAnsi="宋体"/>
          <w:sz w:val="24"/>
          <w:szCs w:val="24"/>
          <w:highlight w:val="none"/>
        </w:rPr>
        <w:t xml:space="preserve">日期： </w:t>
      </w:r>
      <w:r>
        <w:rPr>
          <w:rFonts w:hint="eastAsia" w:ascii="宋体" w:hAnsi="宋体"/>
          <w:sz w:val="24"/>
          <w:szCs w:val="24"/>
          <w:highlight w:val="none"/>
          <w:lang w:val="en-US" w:eastAsia="zh-CN"/>
        </w:rPr>
        <w:t xml:space="preserve">   </w:t>
      </w:r>
      <w:r>
        <w:rPr>
          <w:rFonts w:hint="eastAsia" w:ascii="宋体" w:hAnsi="宋体"/>
          <w:sz w:val="24"/>
          <w:szCs w:val="24"/>
          <w:highlight w:val="none"/>
        </w:rPr>
        <w:t>年  月</w:t>
      </w:r>
      <w:r>
        <w:rPr>
          <w:rFonts w:hint="eastAsia" w:ascii="宋体" w:hAnsi="宋体"/>
          <w:sz w:val="24"/>
          <w:szCs w:val="24"/>
          <w:highlight w:val="none"/>
          <w:lang w:val="en-US" w:eastAsia="zh-CN"/>
        </w:rPr>
        <w:t xml:space="preserve"> </w:t>
      </w:r>
      <w:r>
        <w:rPr>
          <w:rFonts w:hint="eastAsia" w:ascii="宋体" w:hAnsi="宋体"/>
          <w:sz w:val="24"/>
          <w:szCs w:val="24"/>
          <w:highlight w:val="none"/>
        </w:rPr>
        <w:t xml:space="preserve"> 日</w:t>
      </w:r>
    </w:p>
    <w:p w14:paraId="43F062E7">
      <w:pPr>
        <w:spacing w:line="360" w:lineRule="auto"/>
        <w:outlineLvl w:val="2"/>
        <w:rPr>
          <w:rFonts w:ascii="宋体" w:hAnsi="宋体"/>
          <w:b/>
          <w:bCs/>
          <w:spacing w:val="4"/>
          <w:sz w:val="24"/>
          <w:szCs w:val="24"/>
          <w:highlight w:val="none"/>
        </w:rPr>
      </w:pPr>
      <w:r>
        <w:rPr>
          <w:rFonts w:ascii="宋体" w:hAnsi="宋体"/>
          <w:b/>
          <w:bCs/>
          <w:spacing w:val="4"/>
          <w:sz w:val="24"/>
          <w:szCs w:val="24"/>
          <w:highlight w:val="none"/>
        </w:rPr>
        <w:br w:type="page"/>
      </w:r>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-2：近三年内发生的诉讼及仲裁情况</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96"/>
        <w:gridCol w:w="4820"/>
      </w:tblGrid>
      <w:tr w14:paraId="5F214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352DB22F">
            <w:pPr>
              <w:jc w:val="center"/>
              <w:rPr>
                <w:rFonts w:ascii="宋体" w:hAnsi="宋体"/>
                <w:sz w:val="24"/>
                <w:highlight w:val="none"/>
              </w:rPr>
            </w:pPr>
            <w:r>
              <w:rPr>
                <w:rFonts w:hint="eastAsia" w:ascii="宋体" w:hAnsi="宋体"/>
                <w:sz w:val="24"/>
                <w:highlight w:val="none"/>
              </w:rPr>
              <w:t>项目</w:t>
            </w:r>
          </w:p>
        </w:tc>
        <w:tc>
          <w:tcPr>
            <w:tcW w:w="4820" w:type="dxa"/>
            <w:noWrap/>
            <w:vAlign w:val="center"/>
          </w:tcPr>
          <w:p w14:paraId="52BE71B5">
            <w:pPr>
              <w:jc w:val="center"/>
              <w:rPr>
                <w:rFonts w:ascii="宋体" w:hAnsi="宋体"/>
                <w:sz w:val="24"/>
                <w:highlight w:val="none"/>
              </w:rPr>
            </w:pPr>
            <w:r>
              <w:rPr>
                <w:rFonts w:hint="eastAsia" w:ascii="宋体" w:hAnsi="宋体"/>
                <w:sz w:val="24"/>
                <w:highlight w:val="none"/>
              </w:rPr>
              <w:t>投标人情况说明</w:t>
            </w:r>
          </w:p>
        </w:tc>
      </w:tr>
      <w:tr w14:paraId="54A6C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447DB868">
            <w:pPr>
              <w:jc w:val="center"/>
              <w:rPr>
                <w:rFonts w:ascii="宋体" w:hAnsi="宋体"/>
                <w:sz w:val="24"/>
                <w:highlight w:val="none"/>
              </w:rPr>
            </w:pPr>
          </w:p>
        </w:tc>
        <w:tc>
          <w:tcPr>
            <w:tcW w:w="4820" w:type="dxa"/>
            <w:noWrap/>
            <w:vAlign w:val="center"/>
          </w:tcPr>
          <w:p w14:paraId="3D1EA5BF">
            <w:pPr>
              <w:jc w:val="center"/>
              <w:rPr>
                <w:rFonts w:ascii="宋体" w:hAnsi="宋体"/>
                <w:sz w:val="24"/>
                <w:highlight w:val="none"/>
              </w:rPr>
            </w:pPr>
          </w:p>
        </w:tc>
      </w:tr>
      <w:tr w14:paraId="3BE93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2817EE4F">
            <w:pPr>
              <w:jc w:val="center"/>
              <w:rPr>
                <w:rFonts w:ascii="宋体" w:hAnsi="宋体"/>
                <w:sz w:val="24"/>
                <w:highlight w:val="none"/>
              </w:rPr>
            </w:pPr>
          </w:p>
        </w:tc>
        <w:tc>
          <w:tcPr>
            <w:tcW w:w="4820" w:type="dxa"/>
            <w:noWrap/>
            <w:vAlign w:val="center"/>
          </w:tcPr>
          <w:p w14:paraId="1F4F253B">
            <w:pPr>
              <w:jc w:val="center"/>
              <w:rPr>
                <w:rFonts w:ascii="宋体" w:hAnsi="宋体"/>
                <w:sz w:val="24"/>
                <w:highlight w:val="none"/>
              </w:rPr>
            </w:pPr>
          </w:p>
        </w:tc>
      </w:tr>
      <w:tr w14:paraId="2907B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6BB2D80A">
            <w:pPr>
              <w:jc w:val="center"/>
              <w:rPr>
                <w:rFonts w:ascii="宋体" w:hAnsi="宋体"/>
                <w:sz w:val="24"/>
                <w:highlight w:val="none"/>
              </w:rPr>
            </w:pPr>
          </w:p>
        </w:tc>
        <w:tc>
          <w:tcPr>
            <w:tcW w:w="4820" w:type="dxa"/>
            <w:noWrap/>
            <w:vAlign w:val="center"/>
          </w:tcPr>
          <w:p w14:paraId="31631B04">
            <w:pPr>
              <w:jc w:val="center"/>
              <w:rPr>
                <w:rFonts w:ascii="宋体" w:hAnsi="宋体"/>
                <w:sz w:val="24"/>
                <w:highlight w:val="none"/>
              </w:rPr>
            </w:pPr>
          </w:p>
        </w:tc>
      </w:tr>
      <w:tr w14:paraId="3965B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3CA9562A">
            <w:pPr>
              <w:jc w:val="center"/>
              <w:rPr>
                <w:rFonts w:ascii="宋体" w:hAnsi="宋体"/>
                <w:sz w:val="24"/>
                <w:highlight w:val="none"/>
              </w:rPr>
            </w:pPr>
          </w:p>
        </w:tc>
        <w:tc>
          <w:tcPr>
            <w:tcW w:w="4820" w:type="dxa"/>
            <w:noWrap/>
            <w:vAlign w:val="center"/>
          </w:tcPr>
          <w:p w14:paraId="3DFC7239">
            <w:pPr>
              <w:jc w:val="center"/>
              <w:rPr>
                <w:rFonts w:ascii="宋体" w:hAnsi="宋体"/>
                <w:sz w:val="24"/>
                <w:highlight w:val="none"/>
              </w:rPr>
            </w:pPr>
          </w:p>
        </w:tc>
      </w:tr>
      <w:tr w14:paraId="7DEF5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noWrap/>
            <w:vAlign w:val="center"/>
          </w:tcPr>
          <w:p w14:paraId="21A5373A">
            <w:pPr>
              <w:jc w:val="center"/>
              <w:rPr>
                <w:rFonts w:ascii="宋体" w:hAnsi="宋体"/>
                <w:sz w:val="24"/>
                <w:highlight w:val="none"/>
              </w:rPr>
            </w:pPr>
          </w:p>
        </w:tc>
        <w:tc>
          <w:tcPr>
            <w:tcW w:w="4820" w:type="dxa"/>
            <w:noWrap/>
            <w:vAlign w:val="center"/>
          </w:tcPr>
          <w:p w14:paraId="1F7C63B1">
            <w:pPr>
              <w:jc w:val="center"/>
              <w:rPr>
                <w:rFonts w:ascii="宋体" w:hAnsi="宋体"/>
                <w:sz w:val="24"/>
                <w:highlight w:val="none"/>
              </w:rPr>
            </w:pPr>
          </w:p>
        </w:tc>
      </w:tr>
    </w:tbl>
    <w:p w14:paraId="0FFD5866">
      <w:pPr>
        <w:spacing w:beforeLines="50" w:line="360" w:lineRule="exact"/>
        <w:ind w:firstLine="420" w:firstLineChars="200"/>
        <w:rPr>
          <w:rFonts w:ascii="黑体" w:eastAsia="黑体"/>
          <w:szCs w:val="21"/>
          <w:highlight w:val="none"/>
        </w:rPr>
      </w:pPr>
      <w:r>
        <w:rPr>
          <w:rFonts w:hint="eastAsia" w:ascii="黑体" w:hAnsi="宋体" w:eastAsia="黑体"/>
          <w:szCs w:val="21"/>
          <w:highlight w:val="none"/>
        </w:rPr>
        <w:t>注：1.</w:t>
      </w:r>
      <w:r>
        <w:rPr>
          <w:rFonts w:hint="eastAsia" w:ascii="黑体" w:eastAsia="黑体"/>
          <w:szCs w:val="21"/>
          <w:highlight w:val="none"/>
        </w:rPr>
        <w:t>说明：近三年内发生的诉讼和仲裁情况仅限于投标人败诉的，且与履行施工监理合同有关的案件，不包括调解结案以及未裁决的仲裁或未终审判决的诉讼。投标人必须如实填写，不得隐瞒，否则一经查实，其投标资格审查将</w:t>
      </w:r>
      <w:r>
        <w:rPr>
          <w:rFonts w:hint="eastAsia" w:ascii="黑体" w:hAnsi="宋体" w:eastAsia="黑体" w:cs="宋体"/>
          <w:szCs w:val="21"/>
          <w:highlight w:val="none"/>
        </w:rPr>
        <w:t>不能通过</w:t>
      </w:r>
      <w:r>
        <w:rPr>
          <w:rFonts w:hint="eastAsia" w:ascii="黑体" w:eastAsia="黑体"/>
          <w:szCs w:val="21"/>
          <w:highlight w:val="none"/>
        </w:rPr>
        <w:t>。</w:t>
      </w:r>
    </w:p>
    <w:p w14:paraId="23F53C60">
      <w:pPr>
        <w:spacing w:line="360" w:lineRule="exact"/>
        <w:ind w:firstLine="840" w:firstLineChars="400"/>
        <w:rPr>
          <w:rFonts w:ascii="黑体" w:hAnsi="宋体" w:eastAsia="黑体"/>
          <w:szCs w:val="21"/>
          <w:highlight w:val="none"/>
        </w:rPr>
      </w:pPr>
      <w:r>
        <w:rPr>
          <w:rFonts w:hint="eastAsia" w:ascii="黑体" w:hAnsi="宋体" w:eastAsia="黑体"/>
          <w:szCs w:val="21"/>
          <w:highlight w:val="none"/>
        </w:rPr>
        <w:t>2.本表后应附法院或仲裁机构做出的判决、裁决等有关法律文书复印件。</w:t>
      </w:r>
    </w:p>
    <w:p w14:paraId="20C8075C">
      <w:pPr>
        <w:spacing w:line="360" w:lineRule="exact"/>
        <w:ind w:firstLine="840" w:firstLineChars="400"/>
        <w:rPr>
          <w:rFonts w:ascii="黑体" w:hAnsi="宋体" w:eastAsia="黑体" w:cs="宋体"/>
          <w:szCs w:val="21"/>
          <w:highlight w:val="none"/>
        </w:rPr>
      </w:pPr>
      <w:r>
        <w:rPr>
          <w:rFonts w:hint="eastAsia" w:ascii="黑体" w:hAnsi="宋体" w:eastAsia="黑体" w:cs="宋体"/>
          <w:szCs w:val="21"/>
          <w:highlight w:val="none"/>
        </w:rPr>
        <w:t>3.近三年内指：</w:t>
      </w:r>
      <w:r>
        <w:rPr>
          <w:rFonts w:hint="eastAsia" w:ascii="黑体" w:hAnsi="宋体" w:eastAsia="黑体" w:cs="宋体"/>
          <w:szCs w:val="21"/>
          <w:highlight w:val="none"/>
          <w:lang w:eastAsia="zh-CN"/>
        </w:rPr>
        <w:t>2022年1月1日</w:t>
      </w:r>
      <w:r>
        <w:rPr>
          <w:rFonts w:hint="eastAsia" w:ascii="黑体" w:hAnsi="宋体" w:eastAsia="黑体" w:cs="宋体"/>
          <w:szCs w:val="21"/>
          <w:highlight w:val="none"/>
        </w:rPr>
        <w:t>至投标截止日止。</w:t>
      </w:r>
    </w:p>
    <w:p w14:paraId="6C26F7AF">
      <w:pPr>
        <w:spacing w:line="360" w:lineRule="exact"/>
        <w:ind w:firstLine="840" w:firstLineChars="400"/>
        <w:rPr>
          <w:rFonts w:ascii="黑体" w:hAnsi="宋体" w:eastAsia="黑体"/>
          <w:szCs w:val="21"/>
          <w:highlight w:val="none"/>
        </w:rPr>
      </w:pPr>
    </w:p>
    <w:p w14:paraId="4693F839">
      <w:pPr>
        <w:spacing w:line="360" w:lineRule="auto"/>
        <w:ind w:firstLine="840" w:firstLineChars="400"/>
        <w:rPr>
          <w:rFonts w:ascii="黑体" w:hAnsi="宋体" w:eastAsia="黑体" w:cs="宋体"/>
          <w:szCs w:val="21"/>
          <w:highlight w:val="none"/>
        </w:rPr>
      </w:pPr>
    </w:p>
    <w:p w14:paraId="35BD6DDA">
      <w:pPr>
        <w:spacing w:line="360" w:lineRule="auto"/>
        <w:jc w:val="center"/>
        <w:rPr>
          <w:b/>
          <w:sz w:val="32"/>
          <w:highlight w:val="none"/>
        </w:rPr>
      </w:pPr>
    </w:p>
    <w:p w14:paraId="4217426E">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8"/>
          <w:highlight w:val="none"/>
          <w:lang w:val="en-US" w:eastAsia="zh-CN"/>
        </w:rPr>
        <w:t xml:space="preserve">              </w:t>
      </w:r>
      <w:r>
        <w:rPr>
          <w:rFonts w:hint="eastAsia" w:ascii="宋体" w:hAnsi="宋体"/>
          <w:sz w:val="24"/>
          <w:highlight w:val="none"/>
          <w:u w:val="single"/>
        </w:rPr>
        <w:t>（盖</w:t>
      </w:r>
      <w:r>
        <w:rPr>
          <w:rFonts w:hint="eastAsia" w:ascii="宋体" w:hAnsi="宋体"/>
          <w:sz w:val="24"/>
          <w:highlight w:val="none"/>
          <w:u w:val="single"/>
          <w:lang w:val="en-US" w:eastAsia="zh-CN"/>
        </w:rPr>
        <w:t>单位</w:t>
      </w:r>
      <w:r>
        <w:rPr>
          <w:rFonts w:hint="eastAsia" w:ascii="宋体" w:hAnsi="宋体"/>
          <w:sz w:val="24"/>
          <w:highlight w:val="none"/>
          <w:u w:val="single"/>
        </w:rPr>
        <w:t>章）</w:t>
      </w:r>
    </w:p>
    <w:p w14:paraId="1596CC51">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14:paraId="37E5B9F3">
      <w:pPr>
        <w:spacing w:line="520" w:lineRule="exact"/>
        <w:ind w:firstLine="3240" w:firstLineChars="1350"/>
        <w:jc w:val="left"/>
        <w:rPr>
          <w:rFonts w:ascii="宋体" w:hAnsi="宋体"/>
          <w:sz w:val="24"/>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5EC6D355">
      <w:pPr>
        <w:spacing w:line="360" w:lineRule="auto"/>
        <w:outlineLvl w:val="2"/>
        <w:rPr>
          <w:rFonts w:ascii="宋体" w:hAnsi="宋体"/>
          <w:b/>
          <w:bCs/>
          <w:spacing w:val="4"/>
          <w:sz w:val="24"/>
          <w:szCs w:val="24"/>
          <w:highlight w:val="none"/>
        </w:rPr>
      </w:pPr>
      <w:r>
        <w:rPr>
          <w:rFonts w:ascii="宋体" w:hAnsi="宋体"/>
          <w:b/>
          <w:bCs/>
          <w:spacing w:val="4"/>
          <w:sz w:val="24"/>
          <w:szCs w:val="24"/>
          <w:highlight w:val="none"/>
        </w:rPr>
        <w:br w:type="page"/>
      </w:r>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-3：企业其他信誉情况表</w:t>
      </w:r>
    </w:p>
    <w:p w14:paraId="59D4ACB8">
      <w:pPr>
        <w:spacing w:line="340" w:lineRule="exact"/>
        <w:ind w:firstLine="420" w:firstLineChars="150"/>
        <w:rPr>
          <w:rFonts w:ascii="宋体" w:hAnsi="宋体"/>
          <w:sz w:val="28"/>
          <w:szCs w:val="28"/>
          <w:highlight w:val="none"/>
        </w:rPr>
      </w:pPr>
    </w:p>
    <w:tbl>
      <w:tblPr>
        <w:tblStyle w:val="4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90"/>
        <w:gridCol w:w="5565"/>
      </w:tblGrid>
      <w:tr w14:paraId="54355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90" w:type="dxa"/>
            <w:vAlign w:val="center"/>
          </w:tcPr>
          <w:p w14:paraId="67A0D379">
            <w:pPr>
              <w:spacing w:line="440" w:lineRule="exact"/>
              <w:jc w:val="center"/>
              <w:rPr>
                <w:rFonts w:cs="Tahoma"/>
                <w:sz w:val="24"/>
                <w:highlight w:val="none"/>
              </w:rPr>
            </w:pPr>
            <w:r>
              <w:rPr>
                <w:rFonts w:hint="eastAsia" w:hAnsi="宋体"/>
                <w:sz w:val="24"/>
                <w:highlight w:val="none"/>
              </w:rPr>
              <w:t>信誉内容</w:t>
            </w:r>
          </w:p>
        </w:tc>
        <w:tc>
          <w:tcPr>
            <w:tcW w:w="5565" w:type="dxa"/>
            <w:vAlign w:val="center"/>
          </w:tcPr>
          <w:p w14:paraId="3EC5775E">
            <w:pPr>
              <w:spacing w:line="400" w:lineRule="exact"/>
              <w:jc w:val="center"/>
              <w:rPr>
                <w:rFonts w:cs="Tahoma"/>
                <w:sz w:val="24"/>
                <w:highlight w:val="none"/>
              </w:rPr>
            </w:pPr>
            <w:r>
              <w:rPr>
                <w:rFonts w:hint="eastAsia" w:cs="Tahoma"/>
                <w:sz w:val="24"/>
                <w:highlight w:val="none"/>
              </w:rPr>
              <w:t>投标人陈述具体情况</w:t>
            </w:r>
          </w:p>
          <w:p w14:paraId="60E7BE8B">
            <w:pPr>
              <w:spacing w:line="400" w:lineRule="exact"/>
              <w:jc w:val="center"/>
              <w:rPr>
                <w:rFonts w:cs="Tahoma"/>
                <w:sz w:val="24"/>
                <w:highlight w:val="none"/>
              </w:rPr>
            </w:pPr>
            <w:r>
              <w:rPr>
                <w:rFonts w:hint="eastAsia" w:cs="Tahoma"/>
                <w:sz w:val="24"/>
                <w:highlight w:val="none"/>
              </w:rPr>
              <w:t>（由投标人填写）</w:t>
            </w:r>
          </w:p>
        </w:tc>
      </w:tr>
      <w:tr w14:paraId="5B3B6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9" w:hRule="atLeast"/>
        </w:trPr>
        <w:tc>
          <w:tcPr>
            <w:tcW w:w="3990" w:type="dxa"/>
            <w:vAlign w:val="center"/>
          </w:tcPr>
          <w:p w14:paraId="2FD9BCC2">
            <w:pPr>
              <w:autoSpaceDE w:val="0"/>
              <w:autoSpaceDN w:val="0"/>
              <w:adjustRightInd w:val="0"/>
              <w:spacing w:line="400" w:lineRule="exact"/>
              <w:ind w:firstLine="480" w:firstLineChars="200"/>
              <w:rPr>
                <w:rFonts w:ascii="宋体" w:hAnsi="宋体"/>
                <w:sz w:val="24"/>
                <w:szCs w:val="24"/>
                <w:highlight w:val="none"/>
              </w:rPr>
            </w:pPr>
            <w:r>
              <w:rPr>
                <w:rFonts w:hint="eastAsia" w:ascii="宋体" w:hAnsi="宋体"/>
                <w:sz w:val="24"/>
                <w:szCs w:val="24"/>
                <w:highlight w:val="none"/>
              </w:rPr>
              <w:t>1、投标人在最近三年内（</w:t>
            </w:r>
            <w:r>
              <w:rPr>
                <w:rFonts w:hint="eastAsia"/>
                <w:sz w:val="24"/>
                <w:szCs w:val="24"/>
                <w:highlight w:val="none"/>
                <w:lang w:eastAsia="zh-CN"/>
              </w:rPr>
              <w:t>2022年1月1日</w:t>
            </w:r>
            <w:r>
              <w:rPr>
                <w:rFonts w:hint="eastAsia"/>
                <w:sz w:val="24"/>
                <w:szCs w:val="24"/>
                <w:highlight w:val="none"/>
              </w:rPr>
              <w:t>至投标截止日止</w:t>
            </w:r>
            <w:r>
              <w:rPr>
                <w:rFonts w:hint="eastAsia" w:ascii="宋体" w:hAnsi="宋体"/>
                <w:sz w:val="24"/>
                <w:szCs w:val="24"/>
                <w:highlight w:val="none"/>
              </w:rPr>
              <w:t>）没有存在骗取中标或严重违约被解除合同或被建设行政主管部门通报且在限制投标期内。</w:t>
            </w:r>
          </w:p>
          <w:p w14:paraId="3A640EA3">
            <w:pPr>
              <w:autoSpaceDE w:val="0"/>
              <w:autoSpaceDN w:val="0"/>
              <w:adjustRightInd w:val="0"/>
              <w:spacing w:line="400" w:lineRule="exact"/>
              <w:ind w:firstLine="480" w:firstLineChars="200"/>
              <w:rPr>
                <w:highlight w:val="none"/>
              </w:rPr>
            </w:pPr>
            <w:r>
              <w:rPr>
                <w:rFonts w:hint="eastAsia" w:ascii="宋体" w:hAnsi="宋体"/>
                <w:sz w:val="24"/>
                <w:szCs w:val="24"/>
                <w:highlight w:val="none"/>
              </w:rPr>
              <w:t>2、</w:t>
            </w:r>
            <w:r>
              <w:rPr>
                <w:rFonts w:hint="eastAsia" w:ascii="宋体" w:hAnsi="宋体" w:cs="宋体"/>
                <w:bCs/>
                <w:spacing w:val="10"/>
                <w:sz w:val="24"/>
                <w:szCs w:val="22"/>
                <w:highlight w:val="none"/>
              </w:rPr>
              <w:t>投标人没有</w:t>
            </w:r>
            <w:r>
              <w:rPr>
                <w:rFonts w:hint="eastAsia" w:ascii="宋体" w:hAnsi="宋体"/>
                <w:sz w:val="24"/>
                <w:szCs w:val="24"/>
                <w:highlight w:val="none"/>
              </w:rPr>
              <w:t>被</w:t>
            </w:r>
            <w:r>
              <w:rPr>
                <w:rFonts w:hint="eastAsia" w:ascii="宋体" w:hAnsi="宋体" w:cs="宋体"/>
                <w:bCs/>
                <w:spacing w:val="10"/>
                <w:sz w:val="24"/>
                <w:szCs w:val="22"/>
                <w:highlight w:val="none"/>
              </w:rPr>
              <w:t>人民法院列为失信被执行人</w:t>
            </w:r>
            <w:r>
              <w:rPr>
                <w:rFonts w:hint="eastAsia" w:ascii="宋体" w:hAnsi="宋体"/>
                <w:sz w:val="24"/>
                <w:szCs w:val="24"/>
                <w:highlight w:val="none"/>
              </w:rPr>
              <w:t>。</w:t>
            </w:r>
          </w:p>
          <w:p w14:paraId="3786CDE1">
            <w:pPr>
              <w:spacing w:line="520" w:lineRule="exact"/>
              <w:ind w:firstLine="3240" w:firstLineChars="1350"/>
              <w:jc w:val="left"/>
              <w:rPr>
                <w:rFonts w:ascii="宋体" w:hAnsi="宋体" w:cs="宋体"/>
                <w:kern w:val="0"/>
                <w:sz w:val="24"/>
                <w:szCs w:val="24"/>
                <w:highlight w:val="none"/>
              </w:rPr>
            </w:pPr>
          </w:p>
        </w:tc>
        <w:tc>
          <w:tcPr>
            <w:tcW w:w="5565" w:type="dxa"/>
            <w:vAlign w:val="center"/>
          </w:tcPr>
          <w:p w14:paraId="6D936D0E">
            <w:pPr>
              <w:spacing w:line="440" w:lineRule="exact"/>
              <w:jc w:val="center"/>
              <w:rPr>
                <w:rFonts w:cs="Tahoma"/>
                <w:spacing w:val="-20"/>
                <w:sz w:val="24"/>
                <w:highlight w:val="none"/>
              </w:rPr>
            </w:pPr>
          </w:p>
        </w:tc>
      </w:tr>
    </w:tbl>
    <w:p w14:paraId="214D75D1">
      <w:pPr>
        <w:autoSpaceDE w:val="0"/>
        <w:autoSpaceDN w:val="0"/>
        <w:adjustRightInd w:val="0"/>
        <w:spacing w:line="360" w:lineRule="atLeast"/>
        <w:rPr>
          <w:rFonts w:ascii="宋体" w:hAnsi="宋体"/>
          <w:szCs w:val="21"/>
          <w:highlight w:val="none"/>
        </w:rPr>
      </w:pPr>
      <w:r>
        <w:rPr>
          <w:sz w:val="22"/>
          <w:szCs w:val="22"/>
          <w:highlight w:val="none"/>
        </w:rPr>
        <w:t>注</w:t>
      </w:r>
      <w:r>
        <w:rPr>
          <w:rFonts w:hint="eastAsia"/>
          <w:sz w:val="22"/>
          <w:szCs w:val="22"/>
          <w:highlight w:val="none"/>
        </w:rPr>
        <w:t>：</w:t>
      </w:r>
      <w:r>
        <w:rPr>
          <w:sz w:val="22"/>
          <w:szCs w:val="22"/>
          <w:highlight w:val="none"/>
        </w:rPr>
        <w:t>附</w:t>
      </w:r>
      <w:r>
        <w:rPr>
          <w:rFonts w:hint="eastAsia"/>
          <w:sz w:val="22"/>
          <w:szCs w:val="22"/>
          <w:highlight w:val="none"/>
        </w:rPr>
        <w:t>“信用中国”网站（</w:t>
      </w:r>
      <w:r>
        <w:rPr>
          <w:highlight w:val="none"/>
        </w:rPr>
        <w:fldChar w:fldCharType="begin"/>
      </w:r>
      <w:r>
        <w:rPr>
          <w:highlight w:val="none"/>
        </w:rPr>
        <w:instrText xml:space="preserve"> HYPERLINK "http://www.creditchina.gov.cn" </w:instrText>
      </w:r>
      <w:r>
        <w:rPr>
          <w:highlight w:val="none"/>
        </w:rPr>
        <w:fldChar w:fldCharType="separate"/>
      </w:r>
      <w:r>
        <w:rPr>
          <w:rFonts w:hint="eastAsia"/>
          <w:sz w:val="22"/>
          <w:szCs w:val="22"/>
          <w:highlight w:val="none"/>
        </w:rPr>
        <w:t>www.creditchina.gov.cn</w:t>
      </w:r>
      <w:r>
        <w:rPr>
          <w:rFonts w:hint="eastAsia"/>
          <w:sz w:val="22"/>
          <w:szCs w:val="22"/>
          <w:highlight w:val="none"/>
        </w:rPr>
        <w:fldChar w:fldCharType="end"/>
      </w:r>
      <w:r>
        <w:rPr>
          <w:rFonts w:hint="eastAsia"/>
          <w:sz w:val="22"/>
          <w:szCs w:val="22"/>
          <w:highlight w:val="none"/>
        </w:rPr>
        <w:t>)的投标人网页信息查询截图。</w:t>
      </w:r>
    </w:p>
    <w:p w14:paraId="244C890A">
      <w:pPr>
        <w:spacing w:line="440" w:lineRule="exact"/>
        <w:ind w:firstLine="3700" w:firstLineChars="1542"/>
        <w:rPr>
          <w:rFonts w:ascii="宋体" w:hAnsi="宋体" w:cs="Tahoma"/>
          <w:sz w:val="24"/>
          <w:highlight w:val="none"/>
        </w:rPr>
      </w:pPr>
    </w:p>
    <w:p w14:paraId="32848336">
      <w:pPr>
        <w:spacing w:line="440" w:lineRule="exact"/>
        <w:rPr>
          <w:rFonts w:ascii="宋体" w:hAnsi="宋体" w:cs="Tahoma"/>
          <w:sz w:val="24"/>
          <w:highlight w:val="none"/>
        </w:rPr>
      </w:pPr>
    </w:p>
    <w:p w14:paraId="3802ED85">
      <w:pPr>
        <w:spacing w:line="440" w:lineRule="exact"/>
        <w:ind w:firstLine="3700" w:firstLineChars="1542"/>
        <w:rPr>
          <w:rFonts w:ascii="宋体" w:hAnsi="宋体" w:cs="Tahoma"/>
          <w:sz w:val="24"/>
          <w:highlight w:val="none"/>
        </w:rPr>
      </w:pPr>
    </w:p>
    <w:p w14:paraId="54FF4244">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w:t>
      </w:r>
      <w:r>
        <w:rPr>
          <w:rFonts w:hint="eastAsia" w:ascii="宋体" w:hAnsi="宋体"/>
          <w:sz w:val="24"/>
          <w:highlight w:val="none"/>
          <w:u w:val="single"/>
          <w:lang w:val="en-US" w:eastAsia="zh-CN"/>
        </w:rPr>
        <w:t>单位</w:t>
      </w:r>
      <w:r>
        <w:rPr>
          <w:rFonts w:hint="eastAsia" w:ascii="宋体" w:hAnsi="宋体"/>
          <w:sz w:val="24"/>
          <w:highlight w:val="none"/>
          <w:u w:val="single"/>
        </w:rPr>
        <w:t>章）</w:t>
      </w:r>
    </w:p>
    <w:p w14:paraId="17C04C42">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14:paraId="13978DD4">
      <w:pPr>
        <w:spacing w:line="520" w:lineRule="exact"/>
        <w:ind w:firstLine="3240" w:firstLineChars="1350"/>
        <w:jc w:val="left"/>
        <w:rPr>
          <w:rFonts w:ascii="宋体" w:hAnsi="宋体"/>
          <w:sz w:val="24"/>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0FF4115C">
      <w:pPr>
        <w:spacing w:line="600" w:lineRule="exact"/>
        <w:outlineLvl w:val="2"/>
        <w:rPr>
          <w:b/>
          <w:bCs/>
          <w:sz w:val="32"/>
          <w:szCs w:val="32"/>
          <w:highlight w:val="none"/>
        </w:rPr>
      </w:pPr>
      <w:bookmarkStart w:id="123" w:name="_Toc17821434"/>
      <w:bookmarkStart w:id="124" w:name="_Toc309630475"/>
      <w:bookmarkStart w:id="125" w:name="_Toc308388802"/>
      <w:bookmarkStart w:id="126" w:name="_Toc308507910"/>
      <w:bookmarkStart w:id="127" w:name="_Toc454626805"/>
      <w:bookmarkStart w:id="128" w:name="_Toc17821071"/>
      <w:bookmarkStart w:id="129" w:name="_Toc308507831"/>
      <w:bookmarkStart w:id="130" w:name="_Toc17565"/>
      <w:bookmarkStart w:id="131" w:name="_Toc454627388"/>
      <w:bookmarkStart w:id="132" w:name="_Toc308597026"/>
      <w:r>
        <w:rPr>
          <w:rFonts w:hint="eastAsia" w:ascii="宋体" w:hAnsi="宋体"/>
          <w:b/>
          <w:bCs/>
          <w:spacing w:val="4"/>
          <w:sz w:val="24"/>
          <w:szCs w:val="24"/>
          <w:highlight w:val="none"/>
        </w:rPr>
        <w:br w:type="page"/>
      </w:r>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-4：</w:t>
      </w:r>
      <w:r>
        <w:rPr>
          <w:rFonts w:ascii="宋体" w:hAnsi="宋体"/>
          <w:b/>
          <w:bCs/>
          <w:spacing w:val="4"/>
          <w:sz w:val="24"/>
          <w:szCs w:val="24"/>
          <w:highlight w:val="none"/>
        </w:rPr>
        <w:t>拟</w:t>
      </w:r>
      <w:r>
        <w:rPr>
          <w:rFonts w:hint="eastAsia" w:ascii="宋体" w:hAnsi="宋体"/>
          <w:b/>
          <w:bCs/>
          <w:spacing w:val="4"/>
          <w:sz w:val="24"/>
          <w:szCs w:val="24"/>
          <w:highlight w:val="none"/>
        </w:rPr>
        <w:t>委派本项目</w:t>
      </w:r>
      <w:r>
        <w:rPr>
          <w:rFonts w:ascii="宋体" w:hAnsi="宋体"/>
          <w:b/>
          <w:bCs/>
          <w:spacing w:val="4"/>
          <w:sz w:val="24"/>
          <w:szCs w:val="24"/>
          <w:highlight w:val="none"/>
        </w:rPr>
        <w:t>监理人员情况汇总表</w:t>
      </w:r>
      <w:bookmarkEnd w:id="123"/>
      <w:bookmarkEnd w:id="124"/>
      <w:bookmarkEnd w:id="125"/>
      <w:bookmarkEnd w:id="126"/>
      <w:bookmarkEnd w:id="127"/>
      <w:bookmarkEnd w:id="128"/>
      <w:bookmarkEnd w:id="129"/>
      <w:bookmarkEnd w:id="130"/>
      <w:bookmarkEnd w:id="131"/>
      <w:bookmarkEnd w:id="132"/>
    </w:p>
    <w:p w14:paraId="62FF7049">
      <w:pPr>
        <w:spacing w:line="200" w:lineRule="exact"/>
        <w:ind w:firstLine="161" w:firstLineChars="50"/>
        <w:jc w:val="center"/>
        <w:rPr>
          <w:rFonts w:ascii="宋体" w:hAnsi="宋体"/>
          <w:b/>
          <w:sz w:val="32"/>
          <w:szCs w:val="32"/>
          <w:highlight w:val="none"/>
        </w:rPr>
      </w:pPr>
    </w:p>
    <w:tbl>
      <w:tblPr>
        <w:tblStyle w:val="4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33"/>
        <w:gridCol w:w="628"/>
        <w:gridCol w:w="375"/>
        <w:gridCol w:w="375"/>
        <w:gridCol w:w="376"/>
        <w:gridCol w:w="375"/>
        <w:gridCol w:w="376"/>
        <w:gridCol w:w="522"/>
        <w:gridCol w:w="522"/>
        <w:gridCol w:w="522"/>
        <w:gridCol w:w="519"/>
        <w:gridCol w:w="525"/>
        <w:gridCol w:w="522"/>
        <w:gridCol w:w="522"/>
        <w:gridCol w:w="919"/>
        <w:gridCol w:w="621"/>
        <w:gridCol w:w="681"/>
        <w:gridCol w:w="880"/>
      </w:tblGrid>
      <w:tr w14:paraId="600F54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33" w:type="dxa"/>
            <w:vMerge w:val="restart"/>
            <w:noWrap/>
            <w:vAlign w:val="center"/>
          </w:tcPr>
          <w:p w14:paraId="4D6CC3AF">
            <w:pPr>
              <w:jc w:val="center"/>
              <w:rPr>
                <w:szCs w:val="21"/>
                <w:highlight w:val="none"/>
              </w:rPr>
            </w:pPr>
            <w:r>
              <w:rPr>
                <w:rFonts w:hint="eastAsia"/>
                <w:szCs w:val="21"/>
                <w:highlight w:val="none"/>
              </w:rPr>
              <w:t>序号</w:t>
            </w:r>
          </w:p>
        </w:tc>
        <w:tc>
          <w:tcPr>
            <w:tcW w:w="628" w:type="dxa"/>
            <w:vMerge w:val="restart"/>
            <w:noWrap/>
            <w:vAlign w:val="center"/>
          </w:tcPr>
          <w:p w14:paraId="5976EA1F">
            <w:pPr>
              <w:spacing w:line="320" w:lineRule="exact"/>
              <w:jc w:val="center"/>
              <w:rPr>
                <w:szCs w:val="21"/>
                <w:highlight w:val="none"/>
              </w:rPr>
            </w:pPr>
            <w:r>
              <w:rPr>
                <w:rFonts w:hint="eastAsia"/>
                <w:szCs w:val="21"/>
                <w:highlight w:val="none"/>
              </w:rPr>
              <w:t>监理职务</w:t>
            </w:r>
          </w:p>
        </w:tc>
        <w:tc>
          <w:tcPr>
            <w:tcW w:w="375" w:type="dxa"/>
            <w:vMerge w:val="restart"/>
            <w:noWrap/>
            <w:vAlign w:val="center"/>
          </w:tcPr>
          <w:p w14:paraId="5F42F4D7">
            <w:pPr>
              <w:spacing w:line="240" w:lineRule="exact"/>
              <w:jc w:val="center"/>
              <w:rPr>
                <w:szCs w:val="21"/>
                <w:highlight w:val="none"/>
              </w:rPr>
            </w:pPr>
            <w:r>
              <w:rPr>
                <w:rFonts w:hint="eastAsia"/>
                <w:szCs w:val="21"/>
                <w:highlight w:val="none"/>
              </w:rPr>
              <w:t>姓名</w:t>
            </w:r>
          </w:p>
        </w:tc>
        <w:tc>
          <w:tcPr>
            <w:tcW w:w="375" w:type="dxa"/>
            <w:vMerge w:val="restart"/>
            <w:noWrap/>
            <w:vAlign w:val="center"/>
          </w:tcPr>
          <w:p w14:paraId="3BC847F3">
            <w:pPr>
              <w:spacing w:line="240" w:lineRule="exact"/>
              <w:jc w:val="center"/>
              <w:rPr>
                <w:szCs w:val="21"/>
                <w:highlight w:val="none"/>
              </w:rPr>
            </w:pPr>
            <w:r>
              <w:rPr>
                <w:rFonts w:hint="eastAsia"/>
                <w:szCs w:val="21"/>
                <w:highlight w:val="none"/>
              </w:rPr>
              <w:t>性别</w:t>
            </w:r>
          </w:p>
        </w:tc>
        <w:tc>
          <w:tcPr>
            <w:tcW w:w="376" w:type="dxa"/>
            <w:vMerge w:val="restart"/>
            <w:noWrap/>
            <w:vAlign w:val="center"/>
          </w:tcPr>
          <w:p w14:paraId="056A3BF9">
            <w:pPr>
              <w:spacing w:line="240" w:lineRule="exact"/>
              <w:jc w:val="center"/>
              <w:rPr>
                <w:szCs w:val="21"/>
                <w:highlight w:val="none"/>
              </w:rPr>
            </w:pPr>
            <w:r>
              <w:rPr>
                <w:rFonts w:hint="eastAsia"/>
                <w:szCs w:val="21"/>
                <w:highlight w:val="none"/>
              </w:rPr>
              <w:t>年龄</w:t>
            </w:r>
          </w:p>
        </w:tc>
        <w:tc>
          <w:tcPr>
            <w:tcW w:w="375" w:type="dxa"/>
            <w:vMerge w:val="restart"/>
            <w:noWrap/>
            <w:vAlign w:val="center"/>
          </w:tcPr>
          <w:p w14:paraId="27CD0D00">
            <w:pPr>
              <w:spacing w:line="240" w:lineRule="exact"/>
              <w:jc w:val="center"/>
              <w:rPr>
                <w:szCs w:val="21"/>
                <w:highlight w:val="none"/>
              </w:rPr>
            </w:pPr>
            <w:r>
              <w:rPr>
                <w:rFonts w:hint="eastAsia"/>
                <w:szCs w:val="21"/>
                <w:highlight w:val="none"/>
              </w:rPr>
              <w:t>学历</w:t>
            </w:r>
          </w:p>
        </w:tc>
        <w:tc>
          <w:tcPr>
            <w:tcW w:w="376" w:type="dxa"/>
            <w:vMerge w:val="restart"/>
            <w:noWrap/>
            <w:vAlign w:val="center"/>
          </w:tcPr>
          <w:p w14:paraId="1D6FAAA7">
            <w:pPr>
              <w:spacing w:line="240" w:lineRule="exact"/>
              <w:jc w:val="center"/>
              <w:rPr>
                <w:szCs w:val="21"/>
                <w:highlight w:val="none"/>
              </w:rPr>
            </w:pPr>
            <w:r>
              <w:rPr>
                <w:rFonts w:hint="eastAsia"/>
                <w:szCs w:val="21"/>
                <w:highlight w:val="none"/>
              </w:rPr>
              <w:t>专业</w:t>
            </w:r>
          </w:p>
        </w:tc>
        <w:tc>
          <w:tcPr>
            <w:tcW w:w="2085" w:type="dxa"/>
            <w:gridSpan w:val="4"/>
            <w:noWrap/>
            <w:vAlign w:val="center"/>
          </w:tcPr>
          <w:p w14:paraId="77D2AC30">
            <w:pPr>
              <w:jc w:val="center"/>
              <w:rPr>
                <w:szCs w:val="21"/>
                <w:highlight w:val="none"/>
              </w:rPr>
            </w:pPr>
            <w:r>
              <w:rPr>
                <w:rFonts w:hint="eastAsia"/>
                <w:szCs w:val="21"/>
                <w:highlight w:val="none"/>
              </w:rPr>
              <w:t>工作年限</w:t>
            </w:r>
          </w:p>
        </w:tc>
        <w:tc>
          <w:tcPr>
            <w:tcW w:w="1569" w:type="dxa"/>
            <w:gridSpan w:val="3"/>
            <w:noWrap/>
            <w:vAlign w:val="center"/>
          </w:tcPr>
          <w:p w14:paraId="6977FAB4">
            <w:pPr>
              <w:jc w:val="center"/>
              <w:rPr>
                <w:szCs w:val="21"/>
                <w:highlight w:val="none"/>
              </w:rPr>
            </w:pPr>
            <w:r>
              <w:rPr>
                <w:rFonts w:hint="eastAsia"/>
                <w:szCs w:val="21"/>
                <w:highlight w:val="none"/>
              </w:rPr>
              <w:t>专业技术职称</w:t>
            </w:r>
          </w:p>
        </w:tc>
        <w:tc>
          <w:tcPr>
            <w:tcW w:w="1540" w:type="dxa"/>
            <w:gridSpan w:val="2"/>
            <w:noWrap/>
            <w:vAlign w:val="center"/>
          </w:tcPr>
          <w:p w14:paraId="00C7EB1C">
            <w:pPr>
              <w:spacing w:line="320" w:lineRule="exact"/>
              <w:jc w:val="center"/>
              <w:rPr>
                <w:szCs w:val="21"/>
                <w:highlight w:val="none"/>
              </w:rPr>
            </w:pPr>
            <w:r>
              <w:rPr>
                <w:rFonts w:hint="eastAsia"/>
                <w:szCs w:val="21"/>
                <w:highlight w:val="none"/>
              </w:rPr>
              <w:t>监理工程师</w:t>
            </w:r>
          </w:p>
          <w:p w14:paraId="0CCFDF32">
            <w:pPr>
              <w:spacing w:line="320" w:lineRule="exact"/>
              <w:jc w:val="center"/>
              <w:rPr>
                <w:szCs w:val="21"/>
                <w:highlight w:val="none"/>
              </w:rPr>
            </w:pPr>
            <w:r>
              <w:rPr>
                <w:rFonts w:hint="eastAsia"/>
                <w:szCs w:val="21"/>
                <w:highlight w:val="none"/>
              </w:rPr>
              <w:t>或培训证书</w:t>
            </w:r>
          </w:p>
        </w:tc>
        <w:tc>
          <w:tcPr>
            <w:tcW w:w="681" w:type="dxa"/>
            <w:vMerge w:val="restart"/>
            <w:noWrap/>
            <w:vAlign w:val="center"/>
          </w:tcPr>
          <w:p w14:paraId="50FC5E53">
            <w:pPr>
              <w:spacing w:line="360" w:lineRule="exact"/>
              <w:jc w:val="center"/>
              <w:rPr>
                <w:szCs w:val="21"/>
                <w:highlight w:val="none"/>
              </w:rPr>
            </w:pPr>
            <w:r>
              <w:rPr>
                <w:rFonts w:hint="eastAsia"/>
                <w:szCs w:val="21"/>
                <w:highlight w:val="none"/>
              </w:rPr>
              <w:t>身份证号码</w:t>
            </w:r>
          </w:p>
        </w:tc>
        <w:tc>
          <w:tcPr>
            <w:tcW w:w="880" w:type="dxa"/>
            <w:vMerge w:val="restart"/>
            <w:noWrap/>
            <w:vAlign w:val="center"/>
          </w:tcPr>
          <w:p w14:paraId="7C30F235">
            <w:pPr>
              <w:spacing w:line="340" w:lineRule="exact"/>
              <w:jc w:val="center"/>
              <w:rPr>
                <w:szCs w:val="21"/>
                <w:highlight w:val="none"/>
              </w:rPr>
            </w:pPr>
            <w:r>
              <w:rPr>
                <w:rFonts w:hint="eastAsia"/>
                <w:szCs w:val="21"/>
                <w:highlight w:val="none"/>
              </w:rPr>
              <w:t>岗位</w:t>
            </w:r>
          </w:p>
          <w:p w14:paraId="04B381AA">
            <w:pPr>
              <w:spacing w:line="340" w:lineRule="exact"/>
              <w:jc w:val="center"/>
              <w:rPr>
                <w:szCs w:val="21"/>
                <w:highlight w:val="none"/>
                <w:vertAlign w:val="superscript"/>
              </w:rPr>
            </w:pPr>
            <w:r>
              <w:rPr>
                <w:rFonts w:hint="eastAsia"/>
                <w:szCs w:val="21"/>
                <w:highlight w:val="none"/>
              </w:rPr>
              <w:t>登记单位及状态</w:t>
            </w:r>
          </w:p>
        </w:tc>
      </w:tr>
      <w:tr w14:paraId="4891FA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433" w:type="dxa"/>
            <w:vMerge w:val="continue"/>
            <w:noWrap/>
            <w:vAlign w:val="center"/>
          </w:tcPr>
          <w:p w14:paraId="5FEED37E">
            <w:pPr>
              <w:jc w:val="center"/>
              <w:rPr>
                <w:szCs w:val="21"/>
                <w:highlight w:val="none"/>
              </w:rPr>
            </w:pPr>
          </w:p>
        </w:tc>
        <w:tc>
          <w:tcPr>
            <w:tcW w:w="628" w:type="dxa"/>
            <w:vMerge w:val="continue"/>
            <w:noWrap/>
            <w:vAlign w:val="center"/>
          </w:tcPr>
          <w:p w14:paraId="5C33D9D0">
            <w:pPr>
              <w:jc w:val="center"/>
              <w:rPr>
                <w:szCs w:val="21"/>
                <w:highlight w:val="none"/>
              </w:rPr>
            </w:pPr>
          </w:p>
        </w:tc>
        <w:tc>
          <w:tcPr>
            <w:tcW w:w="375" w:type="dxa"/>
            <w:vMerge w:val="continue"/>
            <w:noWrap/>
            <w:vAlign w:val="center"/>
          </w:tcPr>
          <w:p w14:paraId="0F4F1744">
            <w:pPr>
              <w:spacing w:line="240" w:lineRule="exact"/>
              <w:jc w:val="center"/>
              <w:rPr>
                <w:szCs w:val="21"/>
                <w:highlight w:val="none"/>
              </w:rPr>
            </w:pPr>
          </w:p>
        </w:tc>
        <w:tc>
          <w:tcPr>
            <w:tcW w:w="375" w:type="dxa"/>
            <w:vMerge w:val="continue"/>
            <w:noWrap/>
            <w:vAlign w:val="center"/>
          </w:tcPr>
          <w:p w14:paraId="1D0D46E3">
            <w:pPr>
              <w:spacing w:line="240" w:lineRule="exact"/>
              <w:jc w:val="center"/>
              <w:rPr>
                <w:szCs w:val="21"/>
                <w:highlight w:val="none"/>
              </w:rPr>
            </w:pPr>
          </w:p>
        </w:tc>
        <w:tc>
          <w:tcPr>
            <w:tcW w:w="376" w:type="dxa"/>
            <w:vMerge w:val="continue"/>
            <w:noWrap/>
            <w:vAlign w:val="center"/>
          </w:tcPr>
          <w:p w14:paraId="72E0D869">
            <w:pPr>
              <w:spacing w:line="240" w:lineRule="exact"/>
              <w:jc w:val="center"/>
              <w:rPr>
                <w:szCs w:val="21"/>
                <w:highlight w:val="none"/>
              </w:rPr>
            </w:pPr>
          </w:p>
        </w:tc>
        <w:tc>
          <w:tcPr>
            <w:tcW w:w="375" w:type="dxa"/>
            <w:vMerge w:val="continue"/>
            <w:noWrap/>
            <w:vAlign w:val="center"/>
          </w:tcPr>
          <w:p w14:paraId="1934BB92">
            <w:pPr>
              <w:spacing w:line="240" w:lineRule="exact"/>
              <w:jc w:val="center"/>
              <w:rPr>
                <w:szCs w:val="21"/>
                <w:highlight w:val="none"/>
              </w:rPr>
            </w:pPr>
          </w:p>
        </w:tc>
        <w:tc>
          <w:tcPr>
            <w:tcW w:w="376" w:type="dxa"/>
            <w:vMerge w:val="continue"/>
            <w:noWrap/>
            <w:vAlign w:val="center"/>
          </w:tcPr>
          <w:p w14:paraId="39EBC6D5">
            <w:pPr>
              <w:spacing w:line="240" w:lineRule="exact"/>
              <w:jc w:val="center"/>
              <w:rPr>
                <w:szCs w:val="21"/>
                <w:highlight w:val="none"/>
              </w:rPr>
            </w:pPr>
          </w:p>
        </w:tc>
        <w:tc>
          <w:tcPr>
            <w:tcW w:w="522" w:type="dxa"/>
            <w:noWrap/>
            <w:vAlign w:val="center"/>
          </w:tcPr>
          <w:p w14:paraId="1B7AE3D8">
            <w:pPr>
              <w:jc w:val="center"/>
              <w:rPr>
                <w:szCs w:val="21"/>
                <w:highlight w:val="none"/>
              </w:rPr>
            </w:pPr>
            <w:r>
              <w:rPr>
                <w:rFonts w:hint="eastAsia"/>
                <w:szCs w:val="21"/>
                <w:highlight w:val="none"/>
              </w:rPr>
              <w:t>设计</w:t>
            </w:r>
          </w:p>
        </w:tc>
        <w:tc>
          <w:tcPr>
            <w:tcW w:w="522" w:type="dxa"/>
            <w:noWrap/>
            <w:vAlign w:val="center"/>
          </w:tcPr>
          <w:p w14:paraId="5098FB9C">
            <w:pPr>
              <w:jc w:val="center"/>
              <w:rPr>
                <w:szCs w:val="21"/>
                <w:highlight w:val="none"/>
              </w:rPr>
            </w:pPr>
            <w:r>
              <w:rPr>
                <w:rFonts w:hint="eastAsia"/>
                <w:szCs w:val="21"/>
                <w:highlight w:val="none"/>
              </w:rPr>
              <w:t>施工</w:t>
            </w:r>
          </w:p>
        </w:tc>
        <w:tc>
          <w:tcPr>
            <w:tcW w:w="522" w:type="dxa"/>
            <w:noWrap/>
            <w:vAlign w:val="center"/>
          </w:tcPr>
          <w:p w14:paraId="485B13F7">
            <w:pPr>
              <w:jc w:val="center"/>
              <w:rPr>
                <w:szCs w:val="21"/>
                <w:highlight w:val="none"/>
              </w:rPr>
            </w:pPr>
            <w:r>
              <w:rPr>
                <w:rFonts w:hint="eastAsia"/>
                <w:szCs w:val="21"/>
                <w:highlight w:val="none"/>
              </w:rPr>
              <w:t>管理</w:t>
            </w:r>
          </w:p>
        </w:tc>
        <w:tc>
          <w:tcPr>
            <w:tcW w:w="519" w:type="dxa"/>
            <w:noWrap/>
            <w:vAlign w:val="center"/>
          </w:tcPr>
          <w:p w14:paraId="4A7B9FA3">
            <w:pPr>
              <w:jc w:val="center"/>
              <w:rPr>
                <w:szCs w:val="21"/>
                <w:highlight w:val="none"/>
              </w:rPr>
            </w:pPr>
            <w:r>
              <w:rPr>
                <w:rFonts w:hint="eastAsia"/>
                <w:szCs w:val="21"/>
                <w:highlight w:val="none"/>
              </w:rPr>
              <w:t>监理</w:t>
            </w:r>
          </w:p>
        </w:tc>
        <w:tc>
          <w:tcPr>
            <w:tcW w:w="525" w:type="dxa"/>
            <w:noWrap/>
            <w:vAlign w:val="center"/>
          </w:tcPr>
          <w:p w14:paraId="3272C49C">
            <w:pPr>
              <w:jc w:val="center"/>
              <w:rPr>
                <w:szCs w:val="21"/>
                <w:highlight w:val="none"/>
              </w:rPr>
            </w:pPr>
            <w:r>
              <w:rPr>
                <w:rFonts w:hint="eastAsia"/>
                <w:szCs w:val="21"/>
                <w:highlight w:val="none"/>
              </w:rPr>
              <w:t>初级</w:t>
            </w:r>
          </w:p>
        </w:tc>
        <w:tc>
          <w:tcPr>
            <w:tcW w:w="522" w:type="dxa"/>
            <w:noWrap/>
            <w:vAlign w:val="center"/>
          </w:tcPr>
          <w:p w14:paraId="74FD2A4A">
            <w:pPr>
              <w:jc w:val="center"/>
              <w:rPr>
                <w:szCs w:val="21"/>
                <w:highlight w:val="none"/>
              </w:rPr>
            </w:pPr>
            <w:r>
              <w:rPr>
                <w:rFonts w:hint="eastAsia"/>
                <w:szCs w:val="21"/>
                <w:highlight w:val="none"/>
              </w:rPr>
              <w:t>中级</w:t>
            </w:r>
          </w:p>
        </w:tc>
        <w:tc>
          <w:tcPr>
            <w:tcW w:w="522" w:type="dxa"/>
            <w:noWrap/>
            <w:vAlign w:val="center"/>
          </w:tcPr>
          <w:p w14:paraId="7CE30158">
            <w:pPr>
              <w:jc w:val="center"/>
              <w:rPr>
                <w:szCs w:val="21"/>
                <w:highlight w:val="none"/>
              </w:rPr>
            </w:pPr>
            <w:r>
              <w:rPr>
                <w:rFonts w:hint="eastAsia"/>
                <w:szCs w:val="21"/>
                <w:highlight w:val="none"/>
              </w:rPr>
              <w:t>高级</w:t>
            </w:r>
          </w:p>
        </w:tc>
        <w:tc>
          <w:tcPr>
            <w:tcW w:w="919" w:type="dxa"/>
            <w:noWrap/>
            <w:vAlign w:val="center"/>
          </w:tcPr>
          <w:p w14:paraId="22AD90D5">
            <w:pPr>
              <w:jc w:val="center"/>
              <w:rPr>
                <w:szCs w:val="21"/>
                <w:highlight w:val="none"/>
              </w:rPr>
            </w:pPr>
            <w:r>
              <w:rPr>
                <w:rFonts w:hint="eastAsia"/>
                <w:szCs w:val="21"/>
                <w:highlight w:val="none"/>
              </w:rPr>
              <w:t>证书名称</w:t>
            </w:r>
          </w:p>
        </w:tc>
        <w:tc>
          <w:tcPr>
            <w:tcW w:w="621" w:type="dxa"/>
            <w:noWrap/>
            <w:vAlign w:val="center"/>
          </w:tcPr>
          <w:p w14:paraId="2B7735D3">
            <w:pPr>
              <w:jc w:val="center"/>
              <w:rPr>
                <w:szCs w:val="21"/>
                <w:highlight w:val="none"/>
              </w:rPr>
            </w:pPr>
            <w:r>
              <w:rPr>
                <w:rFonts w:hint="eastAsia"/>
                <w:szCs w:val="21"/>
                <w:highlight w:val="none"/>
              </w:rPr>
              <w:t>编号</w:t>
            </w:r>
          </w:p>
        </w:tc>
        <w:tc>
          <w:tcPr>
            <w:tcW w:w="681" w:type="dxa"/>
            <w:vMerge w:val="continue"/>
            <w:noWrap/>
            <w:vAlign w:val="center"/>
          </w:tcPr>
          <w:p w14:paraId="1EE54F19">
            <w:pPr>
              <w:jc w:val="center"/>
              <w:rPr>
                <w:szCs w:val="21"/>
                <w:highlight w:val="none"/>
              </w:rPr>
            </w:pPr>
          </w:p>
        </w:tc>
        <w:tc>
          <w:tcPr>
            <w:tcW w:w="880" w:type="dxa"/>
            <w:vMerge w:val="continue"/>
            <w:noWrap/>
            <w:vAlign w:val="center"/>
          </w:tcPr>
          <w:p w14:paraId="1CC48AE1">
            <w:pPr>
              <w:jc w:val="center"/>
              <w:rPr>
                <w:szCs w:val="21"/>
                <w:highlight w:val="none"/>
              </w:rPr>
            </w:pPr>
          </w:p>
        </w:tc>
      </w:tr>
      <w:tr w14:paraId="092642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4A507406">
            <w:pPr>
              <w:jc w:val="center"/>
              <w:rPr>
                <w:rFonts w:ascii="宋体" w:hAnsi="宋体" w:cs="宋体"/>
                <w:szCs w:val="21"/>
                <w:highlight w:val="none"/>
              </w:rPr>
            </w:pPr>
            <w:r>
              <w:rPr>
                <w:rFonts w:hint="eastAsia"/>
                <w:szCs w:val="21"/>
                <w:highlight w:val="none"/>
              </w:rPr>
              <w:t>1</w:t>
            </w:r>
          </w:p>
        </w:tc>
        <w:tc>
          <w:tcPr>
            <w:tcW w:w="628" w:type="dxa"/>
            <w:noWrap/>
            <w:vAlign w:val="center"/>
          </w:tcPr>
          <w:p w14:paraId="398CF1E8">
            <w:pPr>
              <w:jc w:val="center"/>
              <w:rPr>
                <w:szCs w:val="21"/>
                <w:highlight w:val="none"/>
              </w:rPr>
            </w:pPr>
          </w:p>
        </w:tc>
        <w:tc>
          <w:tcPr>
            <w:tcW w:w="375" w:type="dxa"/>
            <w:noWrap/>
            <w:vAlign w:val="center"/>
          </w:tcPr>
          <w:p w14:paraId="35A8DAFC">
            <w:pPr>
              <w:spacing w:line="240" w:lineRule="exact"/>
              <w:jc w:val="center"/>
              <w:rPr>
                <w:szCs w:val="21"/>
                <w:highlight w:val="none"/>
              </w:rPr>
            </w:pPr>
          </w:p>
        </w:tc>
        <w:tc>
          <w:tcPr>
            <w:tcW w:w="375" w:type="dxa"/>
            <w:noWrap/>
            <w:vAlign w:val="center"/>
          </w:tcPr>
          <w:p w14:paraId="7775B2AB">
            <w:pPr>
              <w:spacing w:line="240" w:lineRule="exact"/>
              <w:jc w:val="center"/>
              <w:rPr>
                <w:szCs w:val="21"/>
                <w:highlight w:val="none"/>
              </w:rPr>
            </w:pPr>
          </w:p>
        </w:tc>
        <w:tc>
          <w:tcPr>
            <w:tcW w:w="376" w:type="dxa"/>
            <w:noWrap/>
            <w:vAlign w:val="center"/>
          </w:tcPr>
          <w:p w14:paraId="128A0408">
            <w:pPr>
              <w:spacing w:line="240" w:lineRule="exact"/>
              <w:jc w:val="center"/>
              <w:rPr>
                <w:szCs w:val="21"/>
                <w:highlight w:val="none"/>
              </w:rPr>
            </w:pPr>
          </w:p>
        </w:tc>
        <w:tc>
          <w:tcPr>
            <w:tcW w:w="375" w:type="dxa"/>
            <w:noWrap/>
            <w:vAlign w:val="center"/>
          </w:tcPr>
          <w:p w14:paraId="238A718F">
            <w:pPr>
              <w:spacing w:line="240" w:lineRule="exact"/>
              <w:jc w:val="center"/>
              <w:rPr>
                <w:szCs w:val="21"/>
                <w:highlight w:val="none"/>
              </w:rPr>
            </w:pPr>
          </w:p>
        </w:tc>
        <w:tc>
          <w:tcPr>
            <w:tcW w:w="376" w:type="dxa"/>
            <w:noWrap/>
            <w:vAlign w:val="center"/>
          </w:tcPr>
          <w:p w14:paraId="75F7A6B6">
            <w:pPr>
              <w:spacing w:line="240" w:lineRule="exact"/>
              <w:jc w:val="center"/>
              <w:rPr>
                <w:szCs w:val="21"/>
                <w:highlight w:val="none"/>
              </w:rPr>
            </w:pPr>
          </w:p>
        </w:tc>
        <w:tc>
          <w:tcPr>
            <w:tcW w:w="522" w:type="dxa"/>
            <w:noWrap/>
            <w:vAlign w:val="center"/>
          </w:tcPr>
          <w:p w14:paraId="07463C29">
            <w:pPr>
              <w:jc w:val="center"/>
              <w:rPr>
                <w:szCs w:val="21"/>
                <w:highlight w:val="none"/>
              </w:rPr>
            </w:pPr>
          </w:p>
        </w:tc>
        <w:tc>
          <w:tcPr>
            <w:tcW w:w="522" w:type="dxa"/>
            <w:noWrap/>
            <w:vAlign w:val="center"/>
          </w:tcPr>
          <w:p w14:paraId="53F0BCCA">
            <w:pPr>
              <w:jc w:val="center"/>
              <w:rPr>
                <w:szCs w:val="21"/>
                <w:highlight w:val="none"/>
              </w:rPr>
            </w:pPr>
          </w:p>
        </w:tc>
        <w:tc>
          <w:tcPr>
            <w:tcW w:w="522" w:type="dxa"/>
            <w:noWrap/>
            <w:vAlign w:val="center"/>
          </w:tcPr>
          <w:p w14:paraId="1D3F50E9">
            <w:pPr>
              <w:jc w:val="center"/>
              <w:rPr>
                <w:szCs w:val="21"/>
                <w:highlight w:val="none"/>
              </w:rPr>
            </w:pPr>
          </w:p>
        </w:tc>
        <w:tc>
          <w:tcPr>
            <w:tcW w:w="519" w:type="dxa"/>
            <w:noWrap/>
            <w:vAlign w:val="center"/>
          </w:tcPr>
          <w:p w14:paraId="499E5D9F">
            <w:pPr>
              <w:jc w:val="center"/>
              <w:rPr>
                <w:szCs w:val="21"/>
                <w:highlight w:val="none"/>
              </w:rPr>
            </w:pPr>
          </w:p>
        </w:tc>
        <w:tc>
          <w:tcPr>
            <w:tcW w:w="525" w:type="dxa"/>
            <w:noWrap/>
            <w:vAlign w:val="center"/>
          </w:tcPr>
          <w:p w14:paraId="7B04AA12">
            <w:pPr>
              <w:jc w:val="center"/>
              <w:rPr>
                <w:szCs w:val="21"/>
                <w:highlight w:val="none"/>
              </w:rPr>
            </w:pPr>
          </w:p>
        </w:tc>
        <w:tc>
          <w:tcPr>
            <w:tcW w:w="522" w:type="dxa"/>
            <w:noWrap/>
            <w:vAlign w:val="center"/>
          </w:tcPr>
          <w:p w14:paraId="5CE94FCE">
            <w:pPr>
              <w:jc w:val="center"/>
              <w:rPr>
                <w:szCs w:val="21"/>
                <w:highlight w:val="none"/>
              </w:rPr>
            </w:pPr>
          </w:p>
        </w:tc>
        <w:tc>
          <w:tcPr>
            <w:tcW w:w="522" w:type="dxa"/>
            <w:noWrap/>
            <w:vAlign w:val="center"/>
          </w:tcPr>
          <w:p w14:paraId="305DA75C">
            <w:pPr>
              <w:jc w:val="center"/>
              <w:rPr>
                <w:szCs w:val="21"/>
                <w:highlight w:val="none"/>
              </w:rPr>
            </w:pPr>
          </w:p>
        </w:tc>
        <w:tc>
          <w:tcPr>
            <w:tcW w:w="919" w:type="dxa"/>
            <w:noWrap/>
            <w:vAlign w:val="center"/>
          </w:tcPr>
          <w:p w14:paraId="6DDA1F13">
            <w:pPr>
              <w:jc w:val="center"/>
              <w:rPr>
                <w:szCs w:val="21"/>
                <w:highlight w:val="none"/>
              </w:rPr>
            </w:pPr>
          </w:p>
        </w:tc>
        <w:tc>
          <w:tcPr>
            <w:tcW w:w="621" w:type="dxa"/>
            <w:noWrap/>
            <w:vAlign w:val="center"/>
          </w:tcPr>
          <w:p w14:paraId="080815FB">
            <w:pPr>
              <w:jc w:val="center"/>
              <w:rPr>
                <w:szCs w:val="21"/>
                <w:highlight w:val="none"/>
              </w:rPr>
            </w:pPr>
          </w:p>
        </w:tc>
        <w:tc>
          <w:tcPr>
            <w:tcW w:w="681" w:type="dxa"/>
            <w:noWrap/>
            <w:vAlign w:val="center"/>
          </w:tcPr>
          <w:p w14:paraId="2F350C80">
            <w:pPr>
              <w:jc w:val="center"/>
              <w:rPr>
                <w:szCs w:val="21"/>
                <w:highlight w:val="none"/>
              </w:rPr>
            </w:pPr>
          </w:p>
        </w:tc>
        <w:tc>
          <w:tcPr>
            <w:tcW w:w="880" w:type="dxa"/>
            <w:noWrap/>
            <w:vAlign w:val="center"/>
          </w:tcPr>
          <w:p w14:paraId="002D768C">
            <w:pPr>
              <w:jc w:val="center"/>
              <w:rPr>
                <w:szCs w:val="21"/>
                <w:highlight w:val="none"/>
              </w:rPr>
            </w:pPr>
          </w:p>
        </w:tc>
      </w:tr>
      <w:tr w14:paraId="31B56C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2636C964">
            <w:pPr>
              <w:jc w:val="center"/>
              <w:rPr>
                <w:rFonts w:ascii="宋体" w:hAnsi="宋体" w:cs="宋体"/>
                <w:szCs w:val="21"/>
                <w:highlight w:val="none"/>
              </w:rPr>
            </w:pPr>
            <w:r>
              <w:rPr>
                <w:rFonts w:hint="eastAsia"/>
                <w:szCs w:val="21"/>
                <w:highlight w:val="none"/>
              </w:rPr>
              <w:t>2</w:t>
            </w:r>
          </w:p>
        </w:tc>
        <w:tc>
          <w:tcPr>
            <w:tcW w:w="628" w:type="dxa"/>
            <w:noWrap/>
            <w:vAlign w:val="center"/>
          </w:tcPr>
          <w:p w14:paraId="30C6F047">
            <w:pPr>
              <w:jc w:val="center"/>
              <w:rPr>
                <w:szCs w:val="21"/>
                <w:highlight w:val="none"/>
              </w:rPr>
            </w:pPr>
          </w:p>
        </w:tc>
        <w:tc>
          <w:tcPr>
            <w:tcW w:w="375" w:type="dxa"/>
            <w:noWrap/>
            <w:vAlign w:val="center"/>
          </w:tcPr>
          <w:p w14:paraId="5AAD00B2">
            <w:pPr>
              <w:spacing w:line="240" w:lineRule="exact"/>
              <w:jc w:val="center"/>
              <w:rPr>
                <w:szCs w:val="21"/>
                <w:highlight w:val="none"/>
              </w:rPr>
            </w:pPr>
          </w:p>
        </w:tc>
        <w:tc>
          <w:tcPr>
            <w:tcW w:w="375" w:type="dxa"/>
            <w:noWrap/>
            <w:vAlign w:val="center"/>
          </w:tcPr>
          <w:p w14:paraId="1DD87F23">
            <w:pPr>
              <w:spacing w:line="240" w:lineRule="exact"/>
              <w:jc w:val="center"/>
              <w:rPr>
                <w:szCs w:val="21"/>
                <w:highlight w:val="none"/>
              </w:rPr>
            </w:pPr>
          </w:p>
        </w:tc>
        <w:tc>
          <w:tcPr>
            <w:tcW w:w="376" w:type="dxa"/>
            <w:noWrap/>
            <w:vAlign w:val="center"/>
          </w:tcPr>
          <w:p w14:paraId="4046488D">
            <w:pPr>
              <w:spacing w:line="240" w:lineRule="exact"/>
              <w:jc w:val="center"/>
              <w:rPr>
                <w:szCs w:val="21"/>
                <w:highlight w:val="none"/>
              </w:rPr>
            </w:pPr>
          </w:p>
        </w:tc>
        <w:tc>
          <w:tcPr>
            <w:tcW w:w="375" w:type="dxa"/>
            <w:noWrap/>
            <w:vAlign w:val="center"/>
          </w:tcPr>
          <w:p w14:paraId="030EDE06">
            <w:pPr>
              <w:spacing w:line="240" w:lineRule="exact"/>
              <w:jc w:val="center"/>
              <w:rPr>
                <w:szCs w:val="21"/>
                <w:highlight w:val="none"/>
              </w:rPr>
            </w:pPr>
          </w:p>
        </w:tc>
        <w:tc>
          <w:tcPr>
            <w:tcW w:w="376" w:type="dxa"/>
            <w:noWrap/>
            <w:vAlign w:val="center"/>
          </w:tcPr>
          <w:p w14:paraId="712E668C">
            <w:pPr>
              <w:spacing w:line="240" w:lineRule="exact"/>
              <w:jc w:val="center"/>
              <w:rPr>
                <w:szCs w:val="21"/>
                <w:highlight w:val="none"/>
              </w:rPr>
            </w:pPr>
          </w:p>
        </w:tc>
        <w:tc>
          <w:tcPr>
            <w:tcW w:w="522" w:type="dxa"/>
            <w:noWrap/>
            <w:vAlign w:val="center"/>
          </w:tcPr>
          <w:p w14:paraId="677BEAC9">
            <w:pPr>
              <w:jc w:val="center"/>
              <w:rPr>
                <w:szCs w:val="21"/>
                <w:highlight w:val="none"/>
              </w:rPr>
            </w:pPr>
          </w:p>
        </w:tc>
        <w:tc>
          <w:tcPr>
            <w:tcW w:w="522" w:type="dxa"/>
            <w:noWrap/>
            <w:vAlign w:val="center"/>
          </w:tcPr>
          <w:p w14:paraId="3F21190B">
            <w:pPr>
              <w:jc w:val="center"/>
              <w:rPr>
                <w:szCs w:val="21"/>
                <w:highlight w:val="none"/>
              </w:rPr>
            </w:pPr>
          </w:p>
        </w:tc>
        <w:tc>
          <w:tcPr>
            <w:tcW w:w="522" w:type="dxa"/>
            <w:noWrap/>
            <w:vAlign w:val="center"/>
          </w:tcPr>
          <w:p w14:paraId="4BBF2025">
            <w:pPr>
              <w:jc w:val="center"/>
              <w:rPr>
                <w:szCs w:val="21"/>
                <w:highlight w:val="none"/>
              </w:rPr>
            </w:pPr>
          </w:p>
        </w:tc>
        <w:tc>
          <w:tcPr>
            <w:tcW w:w="519" w:type="dxa"/>
            <w:noWrap/>
            <w:vAlign w:val="center"/>
          </w:tcPr>
          <w:p w14:paraId="2624B2F0">
            <w:pPr>
              <w:jc w:val="center"/>
              <w:rPr>
                <w:szCs w:val="21"/>
                <w:highlight w:val="none"/>
              </w:rPr>
            </w:pPr>
          </w:p>
        </w:tc>
        <w:tc>
          <w:tcPr>
            <w:tcW w:w="525" w:type="dxa"/>
            <w:noWrap/>
            <w:vAlign w:val="center"/>
          </w:tcPr>
          <w:p w14:paraId="036AC1E0">
            <w:pPr>
              <w:jc w:val="center"/>
              <w:rPr>
                <w:szCs w:val="21"/>
                <w:highlight w:val="none"/>
              </w:rPr>
            </w:pPr>
          </w:p>
        </w:tc>
        <w:tc>
          <w:tcPr>
            <w:tcW w:w="522" w:type="dxa"/>
            <w:noWrap/>
            <w:vAlign w:val="center"/>
          </w:tcPr>
          <w:p w14:paraId="21408F37">
            <w:pPr>
              <w:jc w:val="center"/>
              <w:rPr>
                <w:szCs w:val="21"/>
                <w:highlight w:val="none"/>
              </w:rPr>
            </w:pPr>
          </w:p>
        </w:tc>
        <w:tc>
          <w:tcPr>
            <w:tcW w:w="522" w:type="dxa"/>
            <w:noWrap/>
            <w:vAlign w:val="center"/>
          </w:tcPr>
          <w:p w14:paraId="5BF64F3D">
            <w:pPr>
              <w:jc w:val="center"/>
              <w:rPr>
                <w:szCs w:val="21"/>
                <w:highlight w:val="none"/>
              </w:rPr>
            </w:pPr>
          </w:p>
        </w:tc>
        <w:tc>
          <w:tcPr>
            <w:tcW w:w="919" w:type="dxa"/>
            <w:noWrap/>
            <w:vAlign w:val="center"/>
          </w:tcPr>
          <w:p w14:paraId="235AECE1">
            <w:pPr>
              <w:jc w:val="center"/>
              <w:rPr>
                <w:szCs w:val="21"/>
                <w:highlight w:val="none"/>
              </w:rPr>
            </w:pPr>
          </w:p>
        </w:tc>
        <w:tc>
          <w:tcPr>
            <w:tcW w:w="621" w:type="dxa"/>
            <w:noWrap/>
            <w:vAlign w:val="center"/>
          </w:tcPr>
          <w:p w14:paraId="04AAE3EE">
            <w:pPr>
              <w:jc w:val="center"/>
              <w:rPr>
                <w:szCs w:val="21"/>
                <w:highlight w:val="none"/>
              </w:rPr>
            </w:pPr>
          </w:p>
        </w:tc>
        <w:tc>
          <w:tcPr>
            <w:tcW w:w="681" w:type="dxa"/>
            <w:noWrap/>
            <w:vAlign w:val="center"/>
          </w:tcPr>
          <w:p w14:paraId="4118401D">
            <w:pPr>
              <w:jc w:val="center"/>
              <w:rPr>
                <w:szCs w:val="21"/>
                <w:highlight w:val="none"/>
              </w:rPr>
            </w:pPr>
          </w:p>
        </w:tc>
        <w:tc>
          <w:tcPr>
            <w:tcW w:w="880" w:type="dxa"/>
            <w:noWrap/>
            <w:vAlign w:val="center"/>
          </w:tcPr>
          <w:p w14:paraId="329A485B">
            <w:pPr>
              <w:jc w:val="center"/>
              <w:rPr>
                <w:szCs w:val="21"/>
                <w:highlight w:val="none"/>
              </w:rPr>
            </w:pPr>
          </w:p>
        </w:tc>
      </w:tr>
      <w:tr w14:paraId="0B3CA0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1089D01A">
            <w:pPr>
              <w:jc w:val="center"/>
              <w:rPr>
                <w:rFonts w:ascii="宋体" w:hAnsi="宋体" w:cs="宋体"/>
                <w:szCs w:val="21"/>
                <w:highlight w:val="none"/>
              </w:rPr>
            </w:pPr>
            <w:r>
              <w:rPr>
                <w:rFonts w:hint="eastAsia"/>
                <w:szCs w:val="21"/>
                <w:highlight w:val="none"/>
              </w:rPr>
              <w:t>3</w:t>
            </w:r>
          </w:p>
        </w:tc>
        <w:tc>
          <w:tcPr>
            <w:tcW w:w="628" w:type="dxa"/>
            <w:noWrap/>
            <w:vAlign w:val="center"/>
          </w:tcPr>
          <w:p w14:paraId="2B1F437E">
            <w:pPr>
              <w:jc w:val="center"/>
              <w:rPr>
                <w:szCs w:val="21"/>
                <w:highlight w:val="none"/>
              </w:rPr>
            </w:pPr>
          </w:p>
        </w:tc>
        <w:tc>
          <w:tcPr>
            <w:tcW w:w="375" w:type="dxa"/>
            <w:noWrap/>
            <w:vAlign w:val="center"/>
          </w:tcPr>
          <w:p w14:paraId="24D18DE7">
            <w:pPr>
              <w:spacing w:line="240" w:lineRule="exact"/>
              <w:jc w:val="center"/>
              <w:rPr>
                <w:szCs w:val="21"/>
                <w:highlight w:val="none"/>
              </w:rPr>
            </w:pPr>
          </w:p>
        </w:tc>
        <w:tc>
          <w:tcPr>
            <w:tcW w:w="375" w:type="dxa"/>
            <w:noWrap/>
            <w:vAlign w:val="center"/>
          </w:tcPr>
          <w:p w14:paraId="3B04E356">
            <w:pPr>
              <w:spacing w:line="240" w:lineRule="exact"/>
              <w:jc w:val="center"/>
              <w:rPr>
                <w:szCs w:val="21"/>
                <w:highlight w:val="none"/>
              </w:rPr>
            </w:pPr>
          </w:p>
        </w:tc>
        <w:tc>
          <w:tcPr>
            <w:tcW w:w="376" w:type="dxa"/>
            <w:noWrap/>
            <w:vAlign w:val="center"/>
          </w:tcPr>
          <w:p w14:paraId="41471FBA">
            <w:pPr>
              <w:spacing w:line="240" w:lineRule="exact"/>
              <w:jc w:val="center"/>
              <w:rPr>
                <w:szCs w:val="21"/>
                <w:highlight w:val="none"/>
              </w:rPr>
            </w:pPr>
          </w:p>
        </w:tc>
        <w:tc>
          <w:tcPr>
            <w:tcW w:w="375" w:type="dxa"/>
            <w:noWrap/>
            <w:vAlign w:val="center"/>
          </w:tcPr>
          <w:p w14:paraId="6F1D937E">
            <w:pPr>
              <w:spacing w:line="240" w:lineRule="exact"/>
              <w:jc w:val="center"/>
              <w:rPr>
                <w:szCs w:val="21"/>
                <w:highlight w:val="none"/>
              </w:rPr>
            </w:pPr>
          </w:p>
        </w:tc>
        <w:tc>
          <w:tcPr>
            <w:tcW w:w="376" w:type="dxa"/>
            <w:noWrap/>
            <w:vAlign w:val="center"/>
          </w:tcPr>
          <w:p w14:paraId="23ED0293">
            <w:pPr>
              <w:spacing w:line="240" w:lineRule="exact"/>
              <w:jc w:val="center"/>
              <w:rPr>
                <w:szCs w:val="21"/>
                <w:highlight w:val="none"/>
              </w:rPr>
            </w:pPr>
          </w:p>
        </w:tc>
        <w:tc>
          <w:tcPr>
            <w:tcW w:w="522" w:type="dxa"/>
            <w:noWrap/>
            <w:vAlign w:val="center"/>
          </w:tcPr>
          <w:p w14:paraId="37272376">
            <w:pPr>
              <w:jc w:val="center"/>
              <w:rPr>
                <w:szCs w:val="21"/>
                <w:highlight w:val="none"/>
              </w:rPr>
            </w:pPr>
          </w:p>
        </w:tc>
        <w:tc>
          <w:tcPr>
            <w:tcW w:w="522" w:type="dxa"/>
            <w:noWrap/>
            <w:vAlign w:val="center"/>
          </w:tcPr>
          <w:p w14:paraId="01F28B43">
            <w:pPr>
              <w:jc w:val="center"/>
              <w:rPr>
                <w:szCs w:val="21"/>
                <w:highlight w:val="none"/>
              </w:rPr>
            </w:pPr>
          </w:p>
        </w:tc>
        <w:tc>
          <w:tcPr>
            <w:tcW w:w="522" w:type="dxa"/>
            <w:noWrap/>
            <w:vAlign w:val="center"/>
          </w:tcPr>
          <w:p w14:paraId="4DC8B6AA">
            <w:pPr>
              <w:jc w:val="center"/>
              <w:rPr>
                <w:szCs w:val="21"/>
                <w:highlight w:val="none"/>
              </w:rPr>
            </w:pPr>
          </w:p>
        </w:tc>
        <w:tc>
          <w:tcPr>
            <w:tcW w:w="519" w:type="dxa"/>
            <w:noWrap/>
            <w:vAlign w:val="center"/>
          </w:tcPr>
          <w:p w14:paraId="258D563F">
            <w:pPr>
              <w:jc w:val="center"/>
              <w:rPr>
                <w:szCs w:val="21"/>
                <w:highlight w:val="none"/>
              </w:rPr>
            </w:pPr>
          </w:p>
        </w:tc>
        <w:tc>
          <w:tcPr>
            <w:tcW w:w="525" w:type="dxa"/>
            <w:noWrap/>
            <w:vAlign w:val="center"/>
          </w:tcPr>
          <w:p w14:paraId="13344AD1">
            <w:pPr>
              <w:jc w:val="center"/>
              <w:rPr>
                <w:szCs w:val="21"/>
                <w:highlight w:val="none"/>
              </w:rPr>
            </w:pPr>
          </w:p>
        </w:tc>
        <w:tc>
          <w:tcPr>
            <w:tcW w:w="522" w:type="dxa"/>
            <w:noWrap/>
            <w:vAlign w:val="center"/>
          </w:tcPr>
          <w:p w14:paraId="258F6A99">
            <w:pPr>
              <w:jc w:val="center"/>
              <w:rPr>
                <w:szCs w:val="21"/>
                <w:highlight w:val="none"/>
              </w:rPr>
            </w:pPr>
          </w:p>
        </w:tc>
        <w:tc>
          <w:tcPr>
            <w:tcW w:w="522" w:type="dxa"/>
            <w:noWrap/>
            <w:vAlign w:val="center"/>
          </w:tcPr>
          <w:p w14:paraId="5AD5930A">
            <w:pPr>
              <w:jc w:val="center"/>
              <w:rPr>
                <w:szCs w:val="21"/>
                <w:highlight w:val="none"/>
              </w:rPr>
            </w:pPr>
          </w:p>
        </w:tc>
        <w:tc>
          <w:tcPr>
            <w:tcW w:w="919" w:type="dxa"/>
            <w:noWrap/>
            <w:vAlign w:val="center"/>
          </w:tcPr>
          <w:p w14:paraId="53F9F6ED">
            <w:pPr>
              <w:jc w:val="center"/>
              <w:rPr>
                <w:szCs w:val="21"/>
                <w:highlight w:val="none"/>
              </w:rPr>
            </w:pPr>
          </w:p>
        </w:tc>
        <w:tc>
          <w:tcPr>
            <w:tcW w:w="621" w:type="dxa"/>
            <w:noWrap/>
            <w:vAlign w:val="center"/>
          </w:tcPr>
          <w:p w14:paraId="611DF0D4">
            <w:pPr>
              <w:jc w:val="center"/>
              <w:rPr>
                <w:szCs w:val="21"/>
                <w:highlight w:val="none"/>
              </w:rPr>
            </w:pPr>
          </w:p>
        </w:tc>
        <w:tc>
          <w:tcPr>
            <w:tcW w:w="681" w:type="dxa"/>
            <w:noWrap/>
            <w:vAlign w:val="center"/>
          </w:tcPr>
          <w:p w14:paraId="405E7000">
            <w:pPr>
              <w:jc w:val="center"/>
              <w:rPr>
                <w:szCs w:val="21"/>
                <w:highlight w:val="none"/>
              </w:rPr>
            </w:pPr>
          </w:p>
        </w:tc>
        <w:tc>
          <w:tcPr>
            <w:tcW w:w="880" w:type="dxa"/>
            <w:noWrap/>
            <w:vAlign w:val="center"/>
          </w:tcPr>
          <w:p w14:paraId="49DCE05A">
            <w:pPr>
              <w:jc w:val="center"/>
              <w:rPr>
                <w:szCs w:val="21"/>
                <w:highlight w:val="none"/>
              </w:rPr>
            </w:pPr>
          </w:p>
        </w:tc>
      </w:tr>
      <w:tr w14:paraId="4493A7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0097D6D3">
            <w:pPr>
              <w:jc w:val="center"/>
              <w:rPr>
                <w:rFonts w:ascii="宋体" w:hAnsi="宋体" w:cs="宋体"/>
                <w:szCs w:val="21"/>
                <w:highlight w:val="none"/>
              </w:rPr>
            </w:pPr>
            <w:r>
              <w:rPr>
                <w:rFonts w:hint="eastAsia"/>
                <w:szCs w:val="21"/>
                <w:highlight w:val="none"/>
              </w:rPr>
              <w:t>4</w:t>
            </w:r>
          </w:p>
        </w:tc>
        <w:tc>
          <w:tcPr>
            <w:tcW w:w="628" w:type="dxa"/>
            <w:noWrap/>
            <w:vAlign w:val="center"/>
          </w:tcPr>
          <w:p w14:paraId="335F9DDF">
            <w:pPr>
              <w:jc w:val="center"/>
              <w:rPr>
                <w:szCs w:val="21"/>
                <w:highlight w:val="none"/>
              </w:rPr>
            </w:pPr>
          </w:p>
        </w:tc>
        <w:tc>
          <w:tcPr>
            <w:tcW w:w="375" w:type="dxa"/>
            <w:noWrap/>
            <w:vAlign w:val="center"/>
          </w:tcPr>
          <w:p w14:paraId="66F25B29">
            <w:pPr>
              <w:spacing w:line="240" w:lineRule="exact"/>
              <w:jc w:val="center"/>
              <w:rPr>
                <w:szCs w:val="21"/>
                <w:highlight w:val="none"/>
              </w:rPr>
            </w:pPr>
          </w:p>
        </w:tc>
        <w:tc>
          <w:tcPr>
            <w:tcW w:w="375" w:type="dxa"/>
            <w:noWrap/>
            <w:vAlign w:val="center"/>
          </w:tcPr>
          <w:p w14:paraId="22D16A4F">
            <w:pPr>
              <w:spacing w:line="240" w:lineRule="exact"/>
              <w:jc w:val="center"/>
              <w:rPr>
                <w:szCs w:val="21"/>
                <w:highlight w:val="none"/>
              </w:rPr>
            </w:pPr>
          </w:p>
        </w:tc>
        <w:tc>
          <w:tcPr>
            <w:tcW w:w="376" w:type="dxa"/>
            <w:noWrap/>
            <w:vAlign w:val="center"/>
          </w:tcPr>
          <w:p w14:paraId="5CAD2BD6">
            <w:pPr>
              <w:spacing w:line="240" w:lineRule="exact"/>
              <w:jc w:val="center"/>
              <w:rPr>
                <w:szCs w:val="21"/>
                <w:highlight w:val="none"/>
              </w:rPr>
            </w:pPr>
          </w:p>
        </w:tc>
        <w:tc>
          <w:tcPr>
            <w:tcW w:w="375" w:type="dxa"/>
            <w:noWrap/>
            <w:vAlign w:val="center"/>
          </w:tcPr>
          <w:p w14:paraId="6BBE9616">
            <w:pPr>
              <w:spacing w:line="240" w:lineRule="exact"/>
              <w:jc w:val="center"/>
              <w:rPr>
                <w:szCs w:val="21"/>
                <w:highlight w:val="none"/>
              </w:rPr>
            </w:pPr>
          </w:p>
        </w:tc>
        <w:tc>
          <w:tcPr>
            <w:tcW w:w="376" w:type="dxa"/>
            <w:noWrap/>
            <w:vAlign w:val="center"/>
          </w:tcPr>
          <w:p w14:paraId="7DCEE649">
            <w:pPr>
              <w:spacing w:line="240" w:lineRule="exact"/>
              <w:jc w:val="center"/>
              <w:rPr>
                <w:szCs w:val="21"/>
                <w:highlight w:val="none"/>
              </w:rPr>
            </w:pPr>
          </w:p>
        </w:tc>
        <w:tc>
          <w:tcPr>
            <w:tcW w:w="522" w:type="dxa"/>
            <w:noWrap/>
            <w:vAlign w:val="center"/>
          </w:tcPr>
          <w:p w14:paraId="09565040">
            <w:pPr>
              <w:jc w:val="center"/>
              <w:rPr>
                <w:szCs w:val="21"/>
                <w:highlight w:val="none"/>
              </w:rPr>
            </w:pPr>
          </w:p>
        </w:tc>
        <w:tc>
          <w:tcPr>
            <w:tcW w:w="522" w:type="dxa"/>
            <w:noWrap/>
            <w:vAlign w:val="center"/>
          </w:tcPr>
          <w:p w14:paraId="0743534B">
            <w:pPr>
              <w:jc w:val="center"/>
              <w:rPr>
                <w:szCs w:val="21"/>
                <w:highlight w:val="none"/>
              </w:rPr>
            </w:pPr>
          </w:p>
        </w:tc>
        <w:tc>
          <w:tcPr>
            <w:tcW w:w="522" w:type="dxa"/>
            <w:noWrap/>
            <w:vAlign w:val="center"/>
          </w:tcPr>
          <w:p w14:paraId="7B4F3E1F">
            <w:pPr>
              <w:jc w:val="center"/>
              <w:rPr>
                <w:szCs w:val="21"/>
                <w:highlight w:val="none"/>
              </w:rPr>
            </w:pPr>
          </w:p>
        </w:tc>
        <w:tc>
          <w:tcPr>
            <w:tcW w:w="519" w:type="dxa"/>
            <w:noWrap/>
            <w:vAlign w:val="center"/>
          </w:tcPr>
          <w:p w14:paraId="0993B79C">
            <w:pPr>
              <w:jc w:val="center"/>
              <w:rPr>
                <w:szCs w:val="21"/>
                <w:highlight w:val="none"/>
              </w:rPr>
            </w:pPr>
          </w:p>
        </w:tc>
        <w:tc>
          <w:tcPr>
            <w:tcW w:w="525" w:type="dxa"/>
            <w:noWrap/>
            <w:vAlign w:val="center"/>
          </w:tcPr>
          <w:p w14:paraId="142F920E">
            <w:pPr>
              <w:jc w:val="center"/>
              <w:rPr>
                <w:szCs w:val="21"/>
                <w:highlight w:val="none"/>
              </w:rPr>
            </w:pPr>
          </w:p>
        </w:tc>
        <w:tc>
          <w:tcPr>
            <w:tcW w:w="522" w:type="dxa"/>
            <w:noWrap/>
            <w:vAlign w:val="center"/>
          </w:tcPr>
          <w:p w14:paraId="0C5C8EF2">
            <w:pPr>
              <w:jc w:val="center"/>
              <w:rPr>
                <w:szCs w:val="21"/>
                <w:highlight w:val="none"/>
              </w:rPr>
            </w:pPr>
          </w:p>
        </w:tc>
        <w:tc>
          <w:tcPr>
            <w:tcW w:w="522" w:type="dxa"/>
            <w:noWrap/>
            <w:vAlign w:val="center"/>
          </w:tcPr>
          <w:p w14:paraId="0E21E812">
            <w:pPr>
              <w:jc w:val="center"/>
              <w:rPr>
                <w:szCs w:val="21"/>
                <w:highlight w:val="none"/>
              </w:rPr>
            </w:pPr>
          </w:p>
        </w:tc>
        <w:tc>
          <w:tcPr>
            <w:tcW w:w="919" w:type="dxa"/>
            <w:noWrap/>
            <w:vAlign w:val="center"/>
          </w:tcPr>
          <w:p w14:paraId="0E44941C">
            <w:pPr>
              <w:jc w:val="center"/>
              <w:rPr>
                <w:szCs w:val="21"/>
                <w:highlight w:val="none"/>
              </w:rPr>
            </w:pPr>
          </w:p>
        </w:tc>
        <w:tc>
          <w:tcPr>
            <w:tcW w:w="621" w:type="dxa"/>
            <w:noWrap/>
            <w:vAlign w:val="center"/>
          </w:tcPr>
          <w:p w14:paraId="42A5733D">
            <w:pPr>
              <w:jc w:val="center"/>
              <w:rPr>
                <w:szCs w:val="21"/>
                <w:highlight w:val="none"/>
              </w:rPr>
            </w:pPr>
          </w:p>
        </w:tc>
        <w:tc>
          <w:tcPr>
            <w:tcW w:w="681" w:type="dxa"/>
            <w:noWrap/>
            <w:vAlign w:val="center"/>
          </w:tcPr>
          <w:p w14:paraId="0BB62A8F">
            <w:pPr>
              <w:jc w:val="center"/>
              <w:rPr>
                <w:szCs w:val="21"/>
                <w:highlight w:val="none"/>
              </w:rPr>
            </w:pPr>
          </w:p>
        </w:tc>
        <w:tc>
          <w:tcPr>
            <w:tcW w:w="880" w:type="dxa"/>
            <w:noWrap/>
            <w:vAlign w:val="center"/>
          </w:tcPr>
          <w:p w14:paraId="1D8D14F9">
            <w:pPr>
              <w:jc w:val="center"/>
              <w:rPr>
                <w:szCs w:val="21"/>
                <w:highlight w:val="none"/>
              </w:rPr>
            </w:pPr>
          </w:p>
        </w:tc>
      </w:tr>
      <w:tr w14:paraId="652918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02BD9F2E">
            <w:pPr>
              <w:jc w:val="center"/>
              <w:rPr>
                <w:rFonts w:ascii="宋体" w:hAnsi="宋体" w:cs="宋体"/>
                <w:szCs w:val="21"/>
                <w:highlight w:val="none"/>
              </w:rPr>
            </w:pPr>
            <w:r>
              <w:rPr>
                <w:rFonts w:hint="eastAsia"/>
                <w:szCs w:val="21"/>
                <w:highlight w:val="none"/>
              </w:rPr>
              <w:t>5</w:t>
            </w:r>
          </w:p>
        </w:tc>
        <w:tc>
          <w:tcPr>
            <w:tcW w:w="628" w:type="dxa"/>
            <w:noWrap/>
            <w:vAlign w:val="center"/>
          </w:tcPr>
          <w:p w14:paraId="108CB757">
            <w:pPr>
              <w:jc w:val="center"/>
              <w:rPr>
                <w:szCs w:val="21"/>
                <w:highlight w:val="none"/>
              </w:rPr>
            </w:pPr>
          </w:p>
        </w:tc>
        <w:tc>
          <w:tcPr>
            <w:tcW w:w="375" w:type="dxa"/>
            <w:noWrap/>
            <w:vAlign w:val="center"/>
          </w:tcPr>
          <w:p w14:paraId="3F1A5B20">
            <w:pPr>
              <w:spacing w:line="240" w:lineRule="exact"/>
              <w:jc w:val="center"/>
              <w:rPr>
                <w:szCs w:val="21"/>
                <w:highlight w:val="none"/>
              </w:rPr>
            </w:pPr>
          </w:p>
        </w:tc>
        <w:tc>
          <w:tcPr>
            <w:tcW w:w="375" w:type="dxa"/>
            <w:noWrap/>
            <w:vAlign w:val="center"/>
          </w:tcPr>
          <w:p w14:paraId="78DE2529">
            <w:pPr>
              <w:spacing w:line="240" w:lineRule="exact"/>
              <w:jc w:val="center"/>
              <w:rPr>
                <w:szCs w:val="21"/>
                <w:highlight w:val="none"/>
              </w:rPr>
            </w:pPr>
          </w:p>
        </w:tc>
        <w:tc>
          <w:tcPr>
            <w:tcW w:w="376" w:type="dxa"/>
            <w:noWrap/>
            <w:vAlign w:val="center"/>
          </w:tcPr>
          <w:p w14:paraId="2121E969">
            <w:pPr>
              <w:spacing w:line="240" w:lineRule="exact"/>
              <w:jc w:val="center"/>
              <w:rPr>
                <w:szCs w:val="21"/>
                <w:highlight w:val="none"/>
              </w:rPr>
            </w:pPr>
          </w:p>
        </w:tc>
        <w:tc>
          <w:tcPr>
            <w:tcW w:w="375" w:type="dxa"/>
            <w:noWrap/>
            <w:vAlign w:val="center"/>
          </w:tcPr>
          <w:p w14:paraId="7EBDAD48">
            <w:pPr>
              <w:spacing w:line="240" w:lineRule="exact"/>
              <w:jc w:val="center"/>
              <w:rPr>
                <w:szCs w:val="21"/>
                <w:highlight w:val="none"/>
              </w:rPr>
            </w:pPr>
          </w:p>
        </w:tc>
        <w:tc>
          <w:tcPr>
            <w:tcW w:w="376" w:type="dxa"/>
            <w:noWrap/>
            <w:vAlign w:val="center"/>
          </w:tcPr>
          <w:p w14:paraId="2690DEA9">
            <w:pPr>
              <w:spacing w:line="240" w:lineRule="exact"/>
              <w:jc w:val="center"/>
              <w:rPr>
                <w:szCs w:val="21"/>
                <w:highlight w:val="none"/>
              </w:rPr>
            </w:pPr>
          </w:p>
        </w:tc>
        <w:tc>
          <w:tcPr>
            <w:tcW w:w="522" w:type="dxa"/>
            <w:noWrap/>
            <w:vAlign w:val="center"/>
          </w:tcPr>
          <w:p w14:paraId="5C3554A2">
            <w:pPr>
              <w:jc w:val="center"/>
              <w:rPr>
                <w:szCs w:val="21"/>
                <w:highlight w:val="none"/>
              </w:rPr>
            </w:pPr>
          </w:p>
        </w:tc>
        <w:tc>
          <w:tcPr>
            <w:tcW w:w="522" w:type="dxa"/>
            <w:noWrap/>
            <w:vAlign w:val="center"/>
          </w:tcPr>
          <w:p w14:paraId="38F84ACA">
            <w:pPr>
              <w:jc w:val="center"/>
              <w:rPr>
                <w:szCs w:val="21"/>
                <w:highlight w:val="none"/>
              </w:rPr>
            </w:pPr>
          </w:p>
        </w:tc>
        <w:tc>
          <w:tcPr>
            <w:tcW w:w="522" w:type="dxa"/>
            <w:noWrap/>
            <w:vAlign w:val="center"/>
          </w:tcPr>
          <w:p w14:paraId="30E0FCBB">
            <w:pPr>
              <w:jc w:val="center"/>
              <w:rPr>
                <w:szCs w:val="21"/>
                <w:highlight w:val="none"/>
              </w:rPr>
            </w:pPr>
          </w:p>
        </w:tc>
        <w:tc>
          <w:tcPr>
            <w:tcW w:w="519" w:type="dxa"/>
            <w:noWrap/>
            <w:vAlign w:val="center"/>
          </w:tcPr>
          <w:p w14:paraId="18541F89">
            <w:pPr>
              <w:jc w:val="center"/>
              <w:rPr>
                <w:szCs w:val="21"/>
                <w:highlight w:val="none"/>
              </w:rPr>
            </w:pPr>
          </w:p>
        </w:tc>
        <w:tc>
          <w:tcPr>
            <w:tcW w:w="525" w:type="dxa"/>
            <w:noWrap/>
            <w:vAlign w:val="center"/>
          </w:tcPr>
          <w:p w14:paraId="5BE40EE0">
            <w:pPr>
              <w:jc w:val="center"/>
              <w:rPr>
                <w:szCs w:val="21"/>
                <w:highlight w:val="none"/>
              </w:rPr>
            </w:pPr>
          </w:p>
        </w:tc>
        <w:tc>
          <w:tcPr>
            <w:tcW w:w="522" w:type="dxa"/>
            <w:noWrap/>
            <w:vAlign w:val="center"/>
          </w:tcPr>
          <w:p w14:paraId="59430919">
            <w:pPr>
              <w:jc w:val="center"/>
              <w:rPr>
                <w:szCs w:val="21"/>
                <w:highlight w:val="none"/>
              </w:rPr>
            </w:pPr>
          </w:p>
        </w:tc>
        <w:tc>
          <w:tcPr>
            <w:tcW w:w="522" w:type="dxa"/>
            <w:noWrap/>
            <w:vAlign w:val="center"/>
          </w:tcPr>
          <w:p w14:paraId="2B012FB2">
            <w:pPr>
              <w:jc w:val="center"/>
              <w:rPr>
                <w:szCs w:val="21"/>
                <w:highlight w:val="none"/>
              </w:rPr>
            </w:pPr>
          </w:p>
        </w:tc>
        <w:tc>
          <w:tcPr>
            <w:tcW w:w="919" w:type="dxa"/>
            <w:noWrap/>
            <w:vAlign w:val="center"/>
          </w:tcPr>
          <w:p w14:paraId="18DE4426">
            <w:pPr>
              <w:jc w:val="center"/>
              <w:rPr>
                <w:szCs w:val="21"/>
                <w:highlight w:val="none"/>
              </w:rPr>
            </w:pPr>
          </w:p>
        </w:tc>
        <w:tc>
          <w:tcPr>
            <w:tcW w:w="621" w:type="dxa"/>
            <w:noWrap/>
            <w:vAlign w:val="center"/>
          </w:tcPr>
          <w:p w14:paraId="62D52503">
            <w:pPr>
              <w:jc w:val="center"/>
              <w:rPr>
                <w:szCs w:val="21"/>
                <w:highlight w:val="none"/>
              </w:rPr>
            </w:pPr>
          </w:p>
        </w:tc>
        <w:tc>
          <w:tcPr>
            <w:tcW w:w="681" w:type="dxa"/>
            <w:noWrap/>
            <w:vAlign w:val="center"/>
          </w:tcPr>
          <w:p w14:paraId="5E004897">
            <w:pPr>
              <w:jc w:val="center"/>
              <w:rPr>
                <w:szCs w:val="21"/>
                <w:highlight w:val="none"/>
              </w:rPr>
            </w:pPr>
          </w:p>
        </w:tc>
        <w:tc>
          <w:tcPr>
            <w:tcW w:w="880" w:type="dxa"/>
            <w:noWrap/>
            <w:vAlign w:val="center"/>
          </w:tcPr>
          <w:p w14:paraId="1DB3CAC3">
            <w:pPr>
              <w:jc w:val="center"/>
              <w:rPr>
                <w:szCs w:val="21"/>
                <w:highlight w:val="none"/>
              </w:rPr>
            </w:pPr>
          </w:p>
        </w:tc>
      </w:tr>
      <w:tr w14:paraId="1C0C84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23FC2889">
            <w:pPr>
              <w:jc w:val="center"/>
              <w:rPr>
                <w:rFonts w:ascii="宋体" w:hAnsi="宋体" w:cs="宋体"/>
                <w:szCs w:val="21"/>
                <w:highlight w:val="none"/>
              </w:rPr>
            </w:pPr>
            <w:r>
              <w:rPr>
                <w:rFonts w:hint="eastAsia"/>
                <w:szCs w:val="21"/>
                <w:highlight w:val="none"/>
              </w:rPr>
              <w:t>6</w:t>
            </w:r>
          </w:p>
        </w:tc>
        <w:tc>
          <w:tcPr>
            <w:tcW w:w="628" w:type="dxa"/>
            <w:noWrap/>
            <w:vAlign w:val="center"/>
          </w:tcPr>
          <w:p w14:paraId="7F13ACF9">
            <w:pPr>
              <w:jc w:val="center"/>
              <w:rPr>
                <w:szCs w:val="21"/>
                <w:highlight w:val="none"/>
              </w:rPr>
            </w:pPr>
          </w:p>
        </w:tc>
        <w:tc>
          <w:tcPr>
            <w:tcW w:w="375" w:type="dxa"/>
            <w:noWrap/>
            <w:vAlign w:val="center"/>
          </w:tcPr>
          <w:p w14:paraId="39D6AA6E">
            <w:pPr>
              <w:spacing w:line="240" w:lineRule="exact"/>
              <w:jc w:val="center"/>
              <w:rPr>
                <w:szCs w:val="21"/>
                <w:highlight w:val="none"/>
              </w:rPr>
            </w:pPr>
          </w:p>
        </w:tc>
        <w:tc>
          <w:tcPr>
            <w:tcW w:w="375" w:type="dxa"/>
            <w:noWrap/>
            <w:vAlign w:val="center"/>
          </w:tcPr>
          <w:p w14:paraId="2D099D40">
            <w:pPr>
              <w:spacing w:line="240" w:lineRule="exact"/>
              <w:jc w:val="center"/>
              <w:rPr>
                <w:szCs w:val="21"/>
                <w:highlight w:val="none"/>
              </w:rPr>
            </w:pPr>
          </w:p>
        </w:tc>
        <w:tc>
          <w:tcPr>
            <w:tcW w:w="376" w:type="dxa"/>
            <w:noWrap/>
            <w:vAlign w:val="center"/>
          </w:tcPr>
          <w:p w14:paraId="13FE9D00">
            <w:pPr>
              <w:spacing w:line="240" w:lineRule="exact"/>
              <w:jc w:val="center"/>
              <w:rPr>
                <w:szCs w:val="21"/>
                <w:highlight w:val="none"/>
              </w:rPr>
            </w:pPr>
          </w:p>
        </w:tc>
        <w:tc>
          <w:tcPr>
            <w:tcW w:w="375" w:type="dxa"/>
            <w:noWrap/>
            <w:vAlign w:val="center"/>
          </w:tcPr>
          <w:p w14:paraId="433E6B55">
            <w:pPr>
              <w:spacing w:line="240" w:lineRule="exact"/>
              <w:jc w:val="center"/>
              <w:rPr>
                <w:szCs w:val="21"/>
                <w:highlight w:val="none"/>
              </w:rPr>
            </w:pPr>
          </w:p>
        </w:tc>
        <w:tc>
          <w:tcPr>
            <w:tcW w:w="376" w:type="dxa"/>
            <w:noWrap/>
            <w:vAlign w:val="center"/>
          </w:tcPr>
          <w:p w14:paraId="655C8620">
            <w:pPr>
              <w:spacing w:line="240" w:lineRule="exact"/>
              <w:jc w:val="center"/>
              <w:rPr>
                <w:szCs w:val="21"/>
                <w:highlight w:val="none"/>
              </w:rPr>
            </w:pPr>
          </w:p>
        </w:tc>
        <w:tc>
          <w:tcPr>
            <w:tcW w:w="522" w:type="dxa"/>
            <w:noWrap/>
            <w:vAlign w:val="center"/>
          </w:tcPr>
          <w:p w14:paraId="661671B7">
            <w:pPr>
              <w:jc w:val="center"/>
              <w:rPr>
                <w:szCs w:val="21"/>
                <w:highlight w:val="none"/>
              </w:rPr>
            </w:pPr>
          </w:p>
        </w:tc>
        <w:tc>
          <w:tcPr>
            <w:tcW w:w="522" w:type="dxa"/>
            <w:noWrap/>
            <w:vAlign w:val="center"/>
          </w:tcPr>
          <w:p w14:paraId="34926B4C">
            <w:pPr>
              <w:jc w:val="center"/>
              <w:rPr>
                <w:szCs w:val="21"/>
                <w:highlight w:val="none"/>
              </w:rPr>
            </w:pPr>
          </w:p>
        </w:tc>
        <w:tc>
          <w:tcPr>
            <w:tcW w:w="522" w:type="dxa"/>
            <w:noWrap/>
            <w:vAlign w:val="center"/>
          </w:tcPr>
          <w:p w14:paraId="55EB3344">
            <w:pPr>
              <w:jc w:val="center"/>
              <w:rPr>
                <w:szCs w:val="21"/>
                <w:highlight w:val="none"/>
              </w:rPr>
            </w:pPr>
          </w:p>
        </w:tc>
        <w:tc>
          <w:tcPr>
            <w:tcW w:w="519" w:type="dxa"/>
            <w:noWrap/>
            <w:vAlign w:val="center"/>
          </w:tcPr>
          <w:p w14:paraId="7291E0A9">
            <w:pPr>
              <w:jc w:val="center"/>
              <w:rPr>
                <w:szCs w:val="21"/>
                <w:highlight w:val="none"/>
              </w:rPr>
            </w:pPr>
          </w:p>
        </w:tc>
        <w:tc>
          <w:tcPr>
            <w:tcW w:w="525" w:type="dxa"/>
            <w:noWrap/>
            <w:vAlign w:val="center"/>
          </w:tcPr>
          <w:p w14:paraId="1660D9AA">
            <w:pPr>
              <w:jc w:val="center"/>
              <w:rPr>
                <w:szCs w:val="21"/>
                <w:highlight w:val="none"/>
              </w:rPr>
            </w:pPr>
          </w:p>
        </w:tc>
        <w:tc>
          <w:tcPr>
            <w:tcW w:w="522" w:type="dxa"/>
            <w:noWrap/>
            <w:vAlign w:val="center"/>
          </w:tcPr>
          <w:p w14:paraId="4B326D8A">
            <w:pPr>
              <w:jc w:val="center"/>
              <w:rPr>
                <w:szCs w:val="21"/>
                <w:highlight w:val="none"/>
              </w:rPr>
            </w:pPr>
          </w:p>
        </w:tc>
        <w:tc>
          <w:tcPr>
            <w:tcW w:w="522" w:type="dxa"/>
            <w:noWrap/>
            <w:vAlign w:val="center"/>
          </w:tcPr>
          <w:p w14:paraId="39DF622B">
            <w:pPr>
              <w:jc w:val="center"/>
              <w:rPr>
                <w:szCs w:val="21"/>
                <w:highlight w:val="none"/>
              </w:rPr>
            </w:pPr>
          </w:p>
        </w:tc>
        <w:tc>
          <w:tcPr>
            <w:tcW w:w="919" w:type="dxa"/>
            <w:noWrap/>
            <w:vAlign w:val="center"/>
          </w:tcPr>
          <w:p w14:paraId="78120A20">
            <w:pPr>
              <w:jc w:val="center"/>
              <w:rPr>
                <w:szCs w:val="21"/>
                <w:highlight w:val="none"/>
              </w:rPr>
            </w:pPr>
          </w:p>
        </w:tc>
        <w:tc>
          <w:tcPr>
            <w:tcW w:w="621" w:type="dxa"/>
            <w:noWrap/>
            <w:vAlign w:val="center"/>
          </w:tcPr>
          <w:p w14:paraId="1545B58C">
            <w:pPr>
              <w:jc w:val="center"/>
              <w:rPr>
                <w:szCs w:val="21"/>
                <w:highlight w:val="none"/>
              </w:rPr>
            </w:pPr>
          </w:p>
        </w:tc>
        <w:tc>
          <w:tcPr>
            <w:tcW w:w="681" w:type="dxa"/>
            <w:noWrap/>
            <w:vAlign w:val="center"/>
          </w:tcPr>
          <w:p w14:paraId="5BD21487">
            <w:pPr>
              <w:jc w:val="center"/>
              <w:rPr>
                <w:szCs w:val="21"/>
                <w:highlight w:val="none"/>
              </w:rPr>
            </w:pPr>
          </w:p>
        </w:tc>
        <w:tc>
          <w:tcPr>
            <w:tcW w:w="880" w:type="dxa"/>
            <w:noWrap/>
            <w:vAlign w:val="center"/>
          </w:tcPr>
          <w:p w14:paraId="491C47B1">
            <w:pPr>
              <w:jc w:val="center"/>
              <w:rPr>
                <w:szCs w:val="21"/>
                <w:highlight w:val="none"/>
              </w:rPr>
            </w:pPr>
          </w:p>
        </w:tc>
      </w:tr>
      <w:tr w14:paraId="4EFB79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3DDC7139">
            <w:pPr>
              <w:jc w:val="center"/>
              <w:rPr>
                <w:rFonts w:ascii="宋体" w:hAnsi="宋体" w:cs="宋体"/>
                <w:szCs w:val="21"/>
                <w:highlight w:val="none"/>
              </w:rPr>
            </w:pPr>
            <w:r>
              <w:rPr>
                <w:rFonts w:hint="eastAsia"/>
                <w:szCs w:val="21"/>
                <w:highlight w:val="none"/>
              </w:rPr>
              <w:t>7</w:t>
            </w:r>
          </w:p>
        </w:tc>
        <w:tc>
          <w:tcPr>
            <w:tcW w:w="628" w:type="dxa"/>
            <w:noWrap/>
            <w:vAlign w:val="center"/>
          </w:tcPr>
          <w:p w14:paraId="79BF65FD">
            <w:pPr>
              <w:jc w:val="center"/>
              <w:rPr>
                <w:szCs w:val="21"/>
                <w:highlight w:val="none"/>
              </w:rPr>
            </w:pPr>
          </w:p>
        </w:tc>
        <w:tc>
          <w:tcPr>
            <w:tcW w:w="375" w:type="dxa"/>
            <w:noWrap/>
            <w:vAlign w:val="center"/>
          </w:tcPr>
          <w:p w14:paraId="1DCDB47B">
            <w:pPr>
              <w:spacing w:line="240" w:lineRule="exact"/>
              <w:jc w:val="center"/>
              <w:rPr>
                <w:szCs w:val="21"/>
                <w:highlight w:val="none"/>
              </w:rPr>
            </w:pPr>
          </w:p>
        </w:tc>
        <w:tc>
          <w:tcPr>
            <w:tcW w:w="375" w:type="dxa"/>
            <w:noWrap/>
            <w:vAlign w:val="center"/>
          </w:tcPr>
          <w:p w14:paraId="2BACED98">
            <w:pPr>
              <w:spacing w:line="240" w:lineRule="exact"/>
              <w:jc w:val="center"/>
              <w:rPr>
                <w:szCs w:val="21"/>
                <w:highlight w:val="none"/>
              </w:rPr>
            </w:pPr>
          </w:p>
        </w:tc>
        <w:tc>
          <w:tcPr>
            <w:tcW w:w="376" w:type="dxa"/>
            <w:noWrap/>
            <w:vAlign w:val="center"/>
          </w:tcPr>
          <w:p w14:paraId="4E6F5AF7">
            <w:pPr>
              <w:spacing w:line="240" w:lineRule="exact"/>
              <w:jc w:val="center"/>
              <w:rPr>
                <w:szCs w:val="21"/>
                <w:highlight w:val="none"/>
              </w:rPr>
            </w:pPr>
          </w:p>
        </w:tc>
        <w:tc>
          <w:tcPr>
            <w:tcW w:w="375" w:type="dxa"/>
            <w:noWrap/>
            <w:vAlign w:val="center"/>
          </w:tcPr>
          <w:p w14:paraId="79C3DE3C">
            <w:pPr>
              <w:spacing w:line="240" w:lineRule="exact"/>
              <w:jc w:val="center"/>
              <w:rPr>
                <w:szCs w:val="21"/>
                <w:highlight w:val="none"/>
              </w:rPr>
            </w:pPr>
          </w:p>
        </w:tc>
        <w:tc>
          <w:tcPr>
            <w:tcW w:w="376" w:type="dxa"/>
            <w:noWrap/>
            <w:vAlign w:val="center"/>
          </w:tcPr>
          <w:p w14:paraId="13084DFF">
            <w:pPr>
              <w:spacing w:line="240" w:lineRule="exact"/>
              <w:jc w:val="center"/>
              <w:rPr>
                <w:szCs w:val="21"/>
                <w:highlight w:val="none"/>
              </w:rPr>
            </w:pPr>
          </w:p>
        </w:tc>
        <w:tc>
          <w:tcPr>
            <w:tcW w:w="522" w:type="dxa"/>
            <w:noWrap/>
            <w:vAlign w:val="center"/>
          </w:tcPr>
          <w:p w14:paraId="2793E595">
            <w:pPr>
              <w:jc w:val="center"/>
              <w:rPr>
                <w:szCs w:val="21"/>
                <w:highlight w:val="none"/>
              </w:rPr>
            </w:pPr>
          </w:p>
        </w:tc>
        <w:tc>
          <w:tcPr>
            <w:tcW w:w="522" w:type="dxa"/>
            <w:noWrap/>
            <w:vAlign w:val="center"/>
          </w:tcPr>
          <w:p w14:paraId="6855BA83">
            <w:pPr>
              <w:jc w:val="center"/>
              <w:rPr>
                <w:szCs w:val="21"/>
                <w:highlight w:val="none"/>
              </w:rPr>
            </w:pPr>
          </w:p>
        </w:tc>
        <w:tc>
          <w:tcPr>
            <w:tcW w:w="522" w:type="dxa"/>
            <w:noWrap/>
            <w:vAlign w:val="center"/>
          </w:tcPr>
          <w:p w14:paraId="5E3BF748">
            <w:pPr>
              <w:jc w:val="center"/>
              <w:rPr>
                <w:szCs w:val="21"/>
                <w:highlight w:val="none"/>
              </w:rPr>
            </w:pPr>
          </w:p>
        </w:tc>
        <w:tc>
          <w:tcPr>
            <w:tcW w:w="519" w:type="dxa"/>
            <w:noWrap/>
            <w:vAlign w:val="center"/>
          </w:tcPr>
          <w:p w14:paraId="76024276">
            <w:pPr>
              <w:jc w:val="center"/>
              <w:rPr>
                <w:szCs w:val="21"/>
                <w:highlight w:val="none"/>
              </w:rPr>
            </w:pPr>
          </w:p>
        </w:tc>
        <w:tc>
          <w:tcPr>
            <w:tcW w:w="525" w:type="dxa"/>
            <w:noWrap/>
            <w:vAlign w:val="center"/>
          </w:tcPr>
          <w:p w14:paraId="471AFE35">
            <w:pPr>
              <w:jc w:val="center"/>
              <w:rPr>
                <w:szCs w:val="21"/>
                <w:highlight w:val="none"/>
              </w:rPr>
            </w:pPr>
          </w:p>
        </w:tc>
        <w:tc>
          <w:tcPr>
            <w:tcW w:w="522" w:type="dxa"/>
            <w:noWrap/>
            <w:vAlign w:val="center"/>
          </w:tcPr>
          <w:p w14:paraId="3096C23B">
            <w:pPr>
              <w:jc w:val="center"/>
              <w:rPr>
                <w:szCs w:val="21"/>
                <w:highlight w:val="none"/>
              </w:rPr>
            </w:pPr>
          </w:p>
        </w:tc>
        <w:tc>
          <w:tcPr>
            <w:tcW w:w="522" w:type="dxa"/>
            <w:noWrap/>
            <w:vAlign w:val="center"/>
          </w:tcPr>
          <w:p w14:paraId="3C9F8A6D">
            <w:pPr>
              <w:jc w:val="center"/>
              <w:rPr>
                <w:szCs w:val="21"/>
                <w:highlight w:val="none"/>
              </w:rPr>
            </w:pPr>
          </w:p>
        </w:tc>
        <w:tc>
          <w:tcPr>
            <w:tcW w:w="919" w:type="dxa"/>
            <w:noWrap/>
            <w:vAlign w:val="center"/>
          </w:tcPr>
          <w:p w14:paraId="30402880">
            <w:pPr>
              <w:jc w:val="center"/>
              <w:rPr>
                <w:szCs w:val="21"/>
                <w:highlight w:val="none"/>
              </w:rPr>
            </w:pPr>
          </w:p>
        </w:tc>
        <w:tc>
          <w:tcPr>
            <w:tcW w:w="621" w:type="dxa"/>
            <w:noWrap/>
            <w:vAlign w:val="center"/>
          </w:tcPr>
          <w:p w14:paraId="650947D6">
            <w:pPr>
              <w:jc w:val="center"/>
              <w:rPr>
                <w:szCs w:val="21"/>
                <w:highlight w:val="none"/>
              </w:rPr>
            </w:pPr>
          </w:p>
        </w:tc>
        <w:tc>
          <w:tcPr>
            <w:tcW w:w="681" w:type="dxa"/>
            <w:noWrap/>
            <w:vAlign w:val="center"/>
          </w:tcPr>
          <w:p w14:paraId="139B6620">
            <w:pPr>
              <w:jc w:val="center"/>
              <w:rPr>
                <w:szCs w:val="21"/>
                <w:highlight w:val="none"/>
              </w:rPr>
            </w:pPr>
          </w:p>
        </w:tc>
        <w:tc>
          <w:tcPr>
            <w:tcW w:w="880" w:type="dxa"/>
            <w:noWrap/>
            <w:vAlign w:val="center"/>
          </w:tcPr>
          <w:p w14:paraId="6CD5374E">
            <w:pPr>
              <w:jc w:val="center"/>
              <w:rPr>
                <w:szCs w:val="21"/>
                <w:highlight w:val="none"/>
              </w:rPr>
            </w:pPr>
          </w:p>
        </w:tc>
      </w:tr>
      <w:tr w14:paraId="531FCD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7A947AEA">
            <w:pPr>
              <w:jc w:val="center"/>
              <w:rPr>
                <w:rFonts w:ascii="宋体" w:hAnsi="宋体" w:cs="宋体"/>
                <w:szCs w:val="21"/>
                <w:highlight w:val="none"/>
              </w:rPr>
            </w:pPr>
            <w:r>
              <w:rPr>
                <w:rFonts w:hint="eastAsia"/>
                <w:szCs w:val="21"/>
                <w:highlight w:val="none"/>
              </w:rPr>
              <w:t>8</w:t>
            </w:r>
          </w:p>
        </w:tc>
        <w:tc>
          <w:tcPr>
            <w:tcW w:w="628" w:type="dxa"/>
            <w:noWrap/>
            <w:vAlign w:val="center"/>
          </w:tcPr>
          <w:p w14:paraId="5274D4EC">
            <w:pPr>
              <w:jc w:val="center"/>
              <w:rPr>
                <w:szCs w:val="21"/>
                <w:highlight w:val="none"/>
              </w:rPr>
            </w:pPr>
          </w:p>
        </w:tc>
        <w:tc>
          <w:tcPr>
            <w:tcW w:w="375" w:type="dxa"/>
            <w:noWrap/>
            <w:vAlign w:val="center"/>
          </w:tcPr>
          <w:p w14:paraId="249DF5D8">
            <w:pPr>
              <w:spacing w:line="240" w:lineRule="exact"/>
              <w:jc w:val="center"/>
              <w:rPr>
                <w:szCs w:val="21"/>
                <w:highlight w:val="none"/>
              </w:rPr>
            </w:pPr>
          </w:p>
        </w:tc>
        <w:tc>
          <w:tcPr>
            <w:tcW w:w="375" w:type="dxa"/>
            <w:noWrap/>
            <w:vAlign w:val="center"/>
          </w:tcPr>
          <w:p w14:paraId="6161FF58">
            <w:pPr>
              <w:spacing w:line="240" w:lineRule="exact"/>
              <w:jc w:val="center"/>
              <w:rPr>
                <w:szCs w:val="21"/>
                <w:highlight w:val="none"/>
              </w:rPr>
            </w:pPr>
          </w:p>
        </w:tc>
        <w:tc>
          <w:tcPr>
            <w:tcW w:w="376" w:type="dxa"/>
            <w:noWrap/>
            <w:vAlign w:val="center"/>
          </w:tcPr>
          <w:p w14:paraId="07683B24">
            <w:pPr>
              <w:spacing w:line="240" w:lineRule="exact"/>
              <w:jc w:val="center"/>
              <w:rPr>
                <w:szCs w:val="21"/>
                <w:highlight w:val="none"/>
              </w:rPr>
            </w:pPr>
          </w:p>
        </w:tc>
        <w:tc>
          <w:tcPr>
            <w:tcW w:w="375" w:type="dxa"/>
            <w:noWrap/>
            <w:vAlign w:val="center"/>
          </w:tcPr>
          <w:p w14:paraId="1995A688">
            <w:pPr>
              <w:spacing w:line="240" w:lineRule="exact"/>
              <w:jc w:val="center"/>
              <w:rPr>
                <w:szCs w:val="21"/>
                <w:highlight w:val="none"/>
              </w:rPr>
            </w:pPr>
          </w:p>
        </w:tc>
        <w:tc>
          <w:tcPr>
            <w:tcW w:w="376" w:type="dxa"/>
            <w:noWrap/>
            <w:vAlign w:val="center"/>
          </w:tcPr>
          <w:p w14:paraId="115D3624">
            <w:pPr>
              <w:spacing w:line="240" w:lineRule="exact"/>
              <w:jc w:val="center"/>
              <w:rPr>
                <w:szCs w:val="21"/>
                <w:highlight w:val="none"/>
              </w:rPr>
            </w:pPr>
          </w:p>
        </w:tc>
        <w:tc>
          <w:tcPr>
            <w:tcW w:w="522" w:type="dxa"/>
            <w:noWrap/>
            <w:vAlign w:val="center"/>
          </w:tcPr>
          <w:p w14:paraId="5FC2BC3F">
            <w:pPr>
              <w:jc w:val="center"/>
              <w:rPr>
                <w:szCs w:val="21"/>
                <w:highlight w:val="none"/>
              </w:rPr>
            </w:pPr>
          </w:p>
        </w:tc>
        <w:tc>
          <w:tcPr>
            <w:tcW w:w="522" w:type="dxa"/>
            <w:noWrap/>
            <w:vAlign w:val="center"/>
          </w:tcPr>
          <w:p w14:paraId="6B3D7BEE">
            <w:pPr>
              <w:jc w:val="center"/>
              <w:rPr>
                <w:szCs w:val="21"/>
                <w:highlight w:val="none"/>
              </w:rPr>
            </w:pPr>
          </w:p>
        </w:tc>
        <w:tc>
          <w:tcPr>
            <w:tcW w:w="522" w:type="dxa"/>
            <w:noWrap/>
            <w:vAlign w:val="center"/>
          </w:tcPr>
          <w:p w14:paraId="31E104C3">
            <w:pPr>
              <w:jc w:val="center"/>
              <w:rPr>
                <w:szCs w:val="21"/>
                <w:highlight w:val="none"/>
              </w:rPr>
            </w:pPr>
          </w:p>
        </w:tc>
        <w:tc>
          <w:tcPr>
            <w:tcW w:w="519" w:type="dxa"/>
            <w:noWrap/>
            <w:vAlign w:val="center"/>
          </w:tcPr>
          <w:p w14:paraId="194342C9">
            <w:pPr>
              <w:jc w:val="center"/>
              <w:rPr>
                <w:szCs w:val="21"/>
                <w:highlight w:val="none"/>
              </w:rPr>
            </w:pPr>
          </w:p>
        </w:tc>
        <w:tc>
          <w:tcPr>
            <w:tcW w:w="525" w:type="dxa"/>
            <w:noWrap/>
            <w:vAlign w:val="center"/>
          </w:tcPr>
          <w:p w14:paraId="4C15706E">
            <w:pPr>
              <w:jc w:val="center"/>
              <w:rPr>
                <w:szCs w:val="21"/>
                <w:highlight w:val="none"/>
              </w:rPr>
            </w:pPr>
          </w:p>
        </w:tc>
        <w:tc>
          <w:tcPr>
            <w:tcW w:w="522" w:type="dxa"/>
            <w:noWrap/>
            <w:vAlign w:val="center"/>
          </w:tcPr>
          <w:p w14:paraId="65386D37">
            <w:pPr>
              <w:jc w:val="center"/>
              <w:rPr>
                <w:szCs w:val="21"/>
                <w:highlight w:val="none"/>
              </w:rPr>
            </w:pPr>
          </w:p>
        </w:tc>
        <w:tc>
          <w:tcPr>
            <w:tcW w:w="522" w:type="dxa"/>
            <w:noWrap/>
            <w:vAlign w:val="center"/>
          </w:tcPr>
          <w:p w14:paraId="1A5DD776">
            <w:pPr>
              <w:jc w:val="center"/>
              <w:rPr>
                <w:szCs w:val="21"/>
                <w:highlight w:val="none"/>
              </w:rPr>
            </w:pPr>
          </w:p>
        </w:tc>
        <w:tc>
          <w:tcPr>
            <w:tcW w:w="919" w:type="dxa"/>
            <w:noWrap/>
            <w:vAlign w:val="center"/>
          </w:tcPr>
          <w:p w14:paraId="39C22F5E">
            <w:pPr>
              <w:jc w:val="center"/>
              <w:rPr>
                <w:szCs w:val="21"/>
                <w:highlight w:val="none"/>
              </w:rPr>
            </w:pPr>
          </w:p>
        </w:tc>
        <w:tc>
          <w:tcPr>
            <w:tcW w:w="621" w:type="dxa"/>
            <w:noWrap/>
            <w:vAlign w:val="center"/>
          </w:tcPr>
          <w:p w14:paraId="3C53BCEA">
            <w:pPr>
              <w:jc w:val="center"/>
              <w:rPr>
                <w:szCs w:val="21"/>
                <w:highlight w:val="none"/>
              </w:rPr>
            </w:pPr>
          </w:p>
        </w:tc>
        <w:tc>
          <w:tcPr>
            <w:tcW w:w="681" w:type="dxa"/>
            <w:noWrap/>
            <w:vAlign w:val="center"/>
          </w:tcPr>
          <w:p w14:paraId="24B5F0DF">
            <w:pPr>
              <w:jc w:val="center"/>
              <w:rPr>
                <w:szCs w:val="21"/>
                <w:highlight w:val="none"/>
              </w:rPr>
            </w:pPr>
          </w:p>
        </w:tc>
        <w:tc>
          <w:tcPr>
            <w:tcW w:w="880" w:type="dxa"/>
            <w:noWrap/>
            <w:vAlign w:val="center"/>
          </w:tcPr>
          <w:p w14:paraId="14BD9B5B">
            <w:pPr>
              <w:jc w:val="center"/>
              <w:rPr>
                <w:szCs w:val="21"/>
                <w:highlight w:val="none"/>
              </w:rPr>
            </w:pPr>
          </w:p>
        </w:tc>
      </w:tr>
      <w:tr w14:paraId="49915B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23ECFA3F">
            <w:pPr>
              <w:jc w:val="center"/>
              <w:rPr>
                <w:rFonts w:ascii="宋体" w:hAnsi="宋体" w:cs="宋体"/>
                <w:szCs w:val="21"/>
                <w:highlight w:val="none"/>
              </w:rPr>
            </w:pPr>
            <w:r>
              <w:rPr>
                <w:rFonts w:hint="eastAsia"/>
                <w:szCs w:val="21"/>
                <w:highlight w:val="none"/>
              </w:rPr>
              <w:t>9</w:t>
            </w:r>
          </w:p>
        </w:tc>
        <w:tc>
          <w:tcPr>
            <w:tcW w:w="628" w:type="dxa"/>
            <w:noWrap/>
            <w:vAlign w:val="center"/>
          </w:tcPr>
          <w:p w14:paraId="2ABFE8AD">
            <w:pPr>
              <w:jc w:val="center"/>
              <w:rPr>
                <w:szCs w:val="21"/>
                <w:highlight w:val="none"/>
              </w:rPr>
            </w:pPr>
          </w:p>
        </w:tc>
        <w:tc>
          <w:tcPr>
            <w:tcW w:w="375" w:type="dxa"/>
            <w:noWrap/>
            <w:vAlign w:val="center"/>
          </w:tcPr>
          <w:p w14:paraId="51CF53A0">
            <w:pPr>
              <w:spacing w:line="240" w:lineRule="exact"/>
              <w:jc w:val="center"/>
              <w:rPr>
                <w:szCs w:val="21"/>
                <w:highlight w:val="none"/>
              </w:rPr>
            </w:pPr>
          </w:p>
        </w:tc>
        <w:tc>
          <w:tcPr>
            <w:tcW w:w="375" w:type="dxa"/>
            <w:noWrap/>
            <w:vAlign w:val="center"/>
          </w:tcPr>
          <w:p w14:paraId="1D724949">
            <w:pPr>
              <w:spacing w:line="240" w:lineRule="exact"/>
              <w:jc w:val="center"/>
              <w:rPr>
                <w:szCs w:val="21"/>
                <w:highlight w:val="none"/>
              </w:rPr>
            </w:pPr>
          </w:p>
        </w:tc>
        <w:tc>
          <w:tcPr>
            <w:tcW w:w="376" w:type="dxa"/>
            <w:noWrap/>
            <w:vAlign w:val="center"/>
          </w:tcPr>
          <w:p w14:paraId="0B06FA00">
            <w:pPr>
              <w:spacing w:line="240" w:lineRule="exact"/>
              <w:jc w:val="center"/>
              <w:rPr>
                <w:szCs w:val="21"/>
                <w:highlight w:val="none"/>
              </w:rPr>
            </w:pPr>
          </w:p>
        </w:tc>
        <w:tc>
          <w:tcPr>
            <w:tcW w:w="375" w:type="dxa"/>
            <w:noWrap/>
            <w:vAlign w:val="center"/>
          </w:tcPr>
          <w:p w14:paraId="7E307B7F">
            <w:pPr>
              <w:spacing w:line="240" w:lineRule="exact"/>
              <w:jc w:val="center"/>
              <w:rPr>
                <w:szCs w:val="21"/>
                <w:highlight w:val="none"/>
              </w:rPr>
            </w:pPr>
          </w:p>
        </w:tc>
        <w:tc>
          <w:tcPr>
            <w:tcW w:w="376" w:type="dxa"/>
            <w:noWrap/>
            <w:vAlign w:val="center"/>
          </w:tcPr>
          <w:p w14:paraId="06CADEA3">
            <w:pPr>
              <w:spacing w:line="240" w:lineRule="exact"/>
              <w:jc w:val="center"/>
              <w:rPr>
                <w:szCs w:val="21"/>
                <w:highlight w:val="none"/>
              </w:rPr>
            </w:pPr>
          </w:p>
        </w:tc>
        <w:tc>
          <w:tcPr>
            <w:tcW w:w="522" w:type="dxa"/>
            <w:noWrap/>
            <w:vAlign w:val="center"/>
          </w:tcPr>
          <w:p w14:paraId="31ED902C">
            <w:pPr>
              <w:jc w:val="center"/>
              <w:rPr>
                <w:szCs w:val="21"/>
                <w:highlight w:val="none"/>
              </w:rPr>
            </w:pPr>
          </w:p>
        </w:tc>
        <w:tc>
          <w:tcPr>
            <w:tcW w:w="522" w:type="dxa"/>
            <w:noWrap/>
            <w:vAlign w:val="center"/>
          </w:tcPr>
          <w:p w14:paraId="37EA903B">
            <w:pPr>
              <w:jc w:val="center"/>
              <w:rPr>
                <w:szCs w:val="21"/>
                <w:highlight w:val="none"/>
              </w:rPr>
            </w:pPr>
          </w:p>
        </w:tc>
        <w:tc>
          <w:tcPr>
            <w:tcW w:w="522" w:type="dxa"/>
            <w:noWrap/>
            <w:vAlign w:val="center"/>
          </w:tcPr>
          <w:p w14:paraId="38AFCF3F">
            <w:pPr>
              <w:jc w:val="center"/>
              <w:rPr>
                <w:szCs w:val="21"/>
                <w:highlight w:val="none"/>
              </w:rPr>
            </w:pPr>
          </w:p>
        </w:tc>
        <w:tc>
          <w:tcPr>
            <w:tcW w:w="519" w:type="dxa"/>
            <w:noWrap/>
            <w:vAlign w:val="center"/>
          </w:tcPr>
          <w:p w14:paraId="6039D164">
            <w:pPr>
              <w:jc w:val="center"/>
              <w:rPr>
                <w:szCs w:val="21"/>
                <w:highlight w:val="none"/>
              </w:rPr>
            </w:pPr>
          </w:p>
        </w:tc>
        <w:tc>
          <w:tcPr>
            <w:tcW w:w="525" w:type="dxa"/>
            <w:noWrap/>
            <w:vAlign w:val="center"/>
          </w:tcPr>
          <w:p w14:paraId="39E5A71A">
            <w:pPr>
              <w:jc w:val="center"/>
              <w:rPr>
                <w:szCs w:val="21"/>
                <w:highlight w:val="none"/>
              </w:rPr>
            </w:pPr>
          </w:p>
        </w:tc>
        <w:tc>
          <w:tcPr>
            <w:tcW w:w="522" w:type="dxa"/>
            <w:noWrap/>
            <w:vAlign w:val="center"/>
          </w:tcPr>
          <w:p w14:paraId="2B603385">
            <w:pPr>
              <w:jc w:val="center"/>
              <w:rPr>
                <w:szCs w:val="21"/>
                <w:highlight w:val="none"/>
              </w:rPr>
            </w:pPr>
          </w:p>
        </w:tc>
        <w:tc>
          <w:tcPr>
            <w:tcW w:w="522" w:type="dxa"/>
            <w:noWrap/>
            <w:vAlign w:val="center"/>
          </w:tcPr>
          <w:p w14:paraId="5D453998">
            <w:pPr>
              <w:jc w:val="center"/>
              <w:rPr>
                <w:szCs w:val="21"/>
                <w:highlight w:val="none"/>
              </w:rPr>
            </w:pPr>
          </w:p>
        </w:tc>
        <w:tc>
          <w:tcPr>
            <w:tcW w:w="919" w:type="dxa"/>
            <w:noWrap/>
            <w:vAlign w:val="center"/>
          </w:tcPr>
          <w:p w14:paraId="58D7C32E">
            <w:pPr>
              <w:jc w:val="center"/>
              <w:rPr>
                <w:szCs w:val="21"/>
                <w:highlight w:val="none"/>
              </w:rPr>
            </w:pPr>
          </w:p>
        </w:tc>
        <w:tc>
          <w:tcPr>
            <w:tcW w:w="621" w:type="dxa"/>
            <w:noWrap/>
            <w:vAlign w:val="center"/>
          </w:tcPr>
          <w:p w14:paraId="170D6FD6">
            <w:pPr>
              <w:jc w:val="center"/>
              <w:rPr>
                <w:szCs w:val="21"/>
                <w:highlight w:val="none"/>
              </w:rPr>
            </w:pPr>
          </w:p>
        </w:tc>
        <w:tc>
          <w:tcPr>
            <w:tcW w:w="681" w:type="dxa"/>
            <w:noWrap/>
            <w:vAlign w:val="center"/>
          </w:tcPr>
          <w:p w14:paraId="7BC2BD6C">
            <w:pPr>
              <w:jc w:val="center"/>
              <w:rPr>
                <w:szCs w:val="21"/>
                <w:highlight w:val="none"/>
              </w:rPr>
            </w:pPr>
          </w:p>
        </w:tc>
        <w:tc>
          <w:tcPr>
            <w:tcW w:w="880" w:type="dxa"/>
            <w:noWrap/>
            <w:vAlign w:val="center"/>
          </w:tcPr>
          <w:p w14:paraId="3770C854">
            <w:pPr>
              <w:jc w:val="center"/>
              <w:rPr>
                <w:szCs w:val="21"/>
                <w:highlight w:val="none"/>
              </w:rPr>
            </w:pPr>
          </w:p>
        </w:tc>
      </w:tr>
      <w:tr w14:paraId="192CD8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70BF45B9">
            <w:pPr>
              <w:jc w:val="center"/>
              <w:rPr>
                <w:rFonts w:ascii="宋体" w:hAnsi="宋体" w:cs="宋体"/>
                <w:szCs w:val="21"/>
                <w:highlight w:val="none"/>
              </w:rPr>
            </w:pPr>
            <w:r>
              <w:rPr>
                <w:rFonts w:hint="eastAsia"/>
                <w:szCs w:val="21"/>
                <w:highlight w:val="none"/>
              </w:rPr>
              <w:t>10</w:t>
            </w:r>
          </w:p>
        </w:tc>
        <w:tc>
          <w:tcPr>
            <w:tcW w:w="628" w:type="dxa"/>
            <w:noWrap/>
            <w:vAlign w:val="center"/>
          </w:tcPr>
          <w:p w14:paraId="55453204">
            <w:pPr>
              <w:jc w:val="center"/>
              <w:rPr>
                <w:szCs w:val="21"/>
                <w:highlight w:val="none"/>
              </w:rPr>
            </w:pPr>
          </w:p>
        </w:tc>
        <w:tc>
          <w:tcPr>
            <w:tcW w:w="375" w:type="dxa"/>
            <w:noWrap/>
            <w:vAlign w:val="center"/>
          </w:tcPr>
          <w:p w14:paraId="6A2D5F27">
            <w:pPr>
              <w:spacing w:line="240" w:lineRule="exact"/>
              <w:jc w:val="center"/>
              <w:rPr>
                <w:szCs w:val="21"/>
                <w:highlight w:val="none"/>
              </w:rPr>
            </w:pPr>
          </w:p>
        </w:tc>
        <w:tc>
          <w:tcPr>
            <w:tcW w:w="375" w:type="dxa"/>
            <w:noWrap/>
            <w:vAlign w:val="center"/>
          </w:tcPr>
          <w:p w14:paraId="7E541B49">
            <w:pPr>
              <w:spacing w:line="240" w:lineRule="exact"/>
              <w:jc w:val="center"/>
              <w:rPr>
                <w:szCs w:val="21"/>
                <w:highlight w:val="none"/>
              </w:rPr>
            </w:pPr>
          </w:p>
        </w:tc>
        <w:tc>
          <w:tcPr>
            <w:tcW w:w="376" w:type="dxa"/>
            <w:noWrap/>
            <w:vAlign w:val="center"/>
          </w:tcPr>
          <w:p w14:paraId="2E6610A7">
            <w:pPr>
              <w:spacing w:line="240" w:lineRule="exact"/>
              <w:jc w:val="center"/>
              <w:rPr>
                <w:szCs w:val="21"/>
                <w:highlight w:val="none"/>
              </w:rPr>
            </w:pPr>
          </w:p>
        </w:tc>
        <w:tc>
          <w:tcPr>
            <w:tcW w:w="375" w:type="dxa"/>
            <w:noWrap/>
            <w:vAlign w:val="center"/>
          </w:tcPr>
          <w:p w14:paraId="6EC6EBDC">
            <w:pPr>
              <w:spacing w:line="240" w:lineRule="exact"/>
              <w:jc w:val="center"/>
              <w:rPr>
                <w:szCs w:val="21"/>
                <w:highlight w:val="none"/>
              </w:rPr>
            </w:pPr>
          </w:p>
        </w:tc>
        <w:tc>
          <w:tcPr>
            <w:tcW w:w="376" w:type="dxa"/>
            <w:noWrap/>
            <w:vAlign w:val="center"/>
          </w:tcPr>
          <w:p w14:paraId="1D9289CF">
            <w:pPr>
              <w:spacing w:line="240" w:lineRule="exact"/>
              <w:jc w:val="center"/>
              <w:rPr>
                <w:szCs w:val="21"/>
                <w:highlight w:val="none"/>
              </w:rPr>
            </w:pPr>
          </w:p>
        </w:tc>
        <w:tc>
          <w:tcPr>
            <w:tcW w:w="522" w:type="dxa"/>
            <w:noWrap/>
            <w:vAlign w:val="center"/>
          </w:tcPr>
          <w:p w14:paraId="68593D09">
            <w:pPr>
              <w:jc w:val="center"/>
              <w:rPr>
                <w:szCs w:val="21"/>
                <w:highlight w:val="none"/>
              </w:rPr>
            </w:pPr>
          </w:p>
        </w:tc>
        <w:tc>
          <w:tcPr>
            <w:tcW w:w="522" w:type="dxa"/>
            <w:noWrap/>
            <w:vAlign w:val="center"/>
          </w:tcPr>
          <w:p w14:paraId="0658734E">
            <w:pPr>
              <w:jc w:val="center"/>
              <w:rPr>
                <w:szCs w:val="21"/>
                <w:highlight w:val="none"/>
              </w:rPr>
            </w:pPr>
          </w:p>
        </w:tc>
        <w:tc>
          <w:tcPr>
            <w:tcW w:w="522" w:type="dxa"/>
            <w:noWrap/>
            <w:vAlign w:val="center"/>
          </w:tcPr>
          <w:p w14:paraId="6A87564A">
            <w:pPr>
              <w:jc w:val="center"/>
              <w:rPr>
                <w:szCs w:val="21"/>
                <w:highlight w:val="none"/>
              </w:rPr>
            </w:pPr>
          </w:p>
        </w:tc>
        <w:tc>
          <w:tcPr>
            <w:tcW w:w="519" w:type="dxa"/>
            <w:noWrap/>
            <w:vAlign w:val="center"/>
          </w:tcPr>
          <w:p w14:paraId="076D8068">
            <w:pPr>
              <w:jc w:val="center"/>
              <w:rPr>
                <w:szCs w:val="21"/>
                <w:highlight w:val="none"/>
              </w:rPr>
            </w:pPr>
          </w:p>
        </w:tc>
        <w:tc>
          <w:tcPr>
            <w:tcW w:w="525" w:type="dxa"/>
            <w:noWrap/>
            <w:vAlign w:val="center"/>
          </w:tcPr>
          <w:p w14:paraId="3F5E0415">
            <w:pPr>
              <w:jc w:val="center"/>
              <w:rPr>
                <w:szCs w:val="21"/>
                <w:highlight w:val="none"/>
              </w:rPr>
            </w:pPr>
          </w:p>
        </w:tc>
        <w:tc>
          <w:tcPr>
            <w:tcW w:w="522" w:type="dxa"/>
            <w:noWrap/>
            <w:vAlign w:val="center"/>
          </w:tcPr>
          <w:p w14:paraId="4C8A7ED4">
            <w:pPr>
              <w:jc w:val="center"/>
              <w:rPr>
                <w:szCs w:val="21"/>
                <w:highlight w:val="none"/>
              </w:rPr>
            </w:pPr>
          </w:p>
        </w:tc>
        <w:tc>
          <w:tcPr>
            <w:tcW w:w="522" w:type="dxa"/>
            <w:noWrap/>
            <w:vAlign w:val="center"/>
          </w:tcPr>
          <w:p w14:paraId="6FBA2A83">
            <w:pPr>
              <w:jc w:val="center"/>
              <w:rPr>
                <w:szCs w:val="21"/>
                <w:highlight w:val="none"/>
              </w:rPr>
            </w:pPr>
          </w:p>
        </w:tc>
        <w:tc>
          <w:tcPr>
            <w:tcW w:w="919" w:type="dxa"/>
            <w:noWrap/>
            <w:vAlign w:val="center"/>
          </w:tcPr>
          <w:p w14:paraId="1AF395F0">
            <w:pPr>
              <w:jc w:val="center"/>
              <w:rPr>
                <w:szCs w:val="21"/>
                <w:highlight w:val="none"/>
              </w:rPr>
            </w:pPr>
          </w:p>
        </w:tc>
        <w:tc>
          <w:tcPr>
            <w:tcW w:w="621" w:type="dxa"/>
            <w:noWrap/>
            <w:vAlign w:val="center"/>
          </w:tcPr>
          <w:p w14:paraId="104DD48E">
            <w:pPr>
              <w:jc w:val="center"/>
              <w:rPr>
                <w:szCs w:val="21"/>
                <w:highlight w:val="none"/>
              </w:rPr>
            </w:pPr>
          </w:p>
        </w:tc>
        <w:tc>
          <w:tcPr>
            <w:tcW w:w="681" w:type="dxa"/>
            <w:noWrap/>
            <w:vAlign w:val="center"/>
          </w:tcPr>
          <w:p w14:paraId="5540D8E2">
            <w:pPr>
              <w:jc w:val="center"/>
              <w:rPr>
                <w:szCs w:val="21"/>
                <w:highlight w:val="none"/>
              </w:rPr>
            </w:pPr>
          </w:p>
        </w:tc>
        <w:tc>
          <w:tcPr>
            <w:tcW w:w="880" w:type="dxa"/>
            <w:noWrap/>
            <w:vAlign w:val="center"/>
          </w:tcPr>
          <w:p w14:paraId="26161B9A">
            <w:pPr>
              <w:jc w:val="center"/>
              <w:rPr>
                <w:szCs w:val="21"/>
                <w:highlight w:val="none"/>
              </w:rPr>
            </w:pPr>
          </w:p>
        </w:tc>
      </w:tr>
      <w:tr w14:paraId="538186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33" w:type="dxa"/>
            <w:noWrap/>
            <w:vAlign w:val="center"/>
          </w:tcPr>
          <w:p w14:paraId="4B5A3D41">
            <w:pPr>
              <w:jc w:val="center"/>
              <w:rPr>
                <w:rFonts w:ascii="宋体" w:hAnsi="宋体" w:cs="宋体"/>
                <w:szCs w:val="21"/>
                <w:highlight w:val="none"/>
              </w:rPr>
            </w:pPr>
            <w:r>
              <w:rPr>
                <w:rFonts w:ascii="宋体" w:hAnsi="宋体" w:cs="宋体"/>
                <w:szCs w:val="21"/>
                <w:highlight w:val="none"/>
              </w:rPr>
              <w:t>…</w:t>
            </w:r>
          </w:p>
        </w:tc>
        <w:tc>
          <w:tcPr>
            <w:tcW w:w="628" w:type="dxa"/>
            <w:noWrap/>
            <w:vAlign w:val="center"/>
          </w:tcPr>
          <w:p w14:paraId="2CB2A98F">
            <w:pPr>
              <w:jc w:val="center"/>
              <w:rPr>
                <w:szCs w:val="21"/>
                <w:highlight w:val="none"/>
              </w:rPr>
            </w:pPr>
          </w:p>
        </w:tc>
        <w:tc>
          <w:tcPr>
            <w:tcW w:w="375" w:type="dxa"/>
            <w:noWrap/>
            <w:vAlign w:val="center"/>
          </w:tcPr>
          <w:p w14:paraId="6D1DCAC0">
            <w:pPr>
              <w:spacing w:line="240" w:lineRule="exact"/>
              <w:jc w:val="center"/>
              <w:rPr>
                <w:szCs w:val="21"/>
                <w:highlight w:val="none"/>
              </w:rPr>
            </w:pPr>
          </w:p>
        </w:tc>
        <w:tc>
          <w:tcPr>
            <w:tcW w:w="375" w:type="dxa"/>
            <w:noWrap/>
            <w:vAlign w:val="center"/>
          </w:tcPr>
          <w:p w14:paraId="4E2466C3">
            <w:pPr>
              <w:spacing w:line="240" w:lineRule="exact"/>
              <w:jc w:val="center"/>
              <w:rPr>
                <w:szCs w:val="21"/>
                <w:highlight w:val="none"/>
              </w:rPr>
            </w:pPr>
          </w:p>
        </w:tc>
        <w:tc>
          <w:tcPr>
            <w:tcW w:w="376" w:type="dxa"/>
            <w:noWrap/>
            <w:vAlign w:val="center"/>
          </w:tcPr>
          <w:p w14:paraId="12EF0F52">
            <w:pPr>
              <w:spacing w:line="240" w:lineRule="exact"/>
              <w:jc w:val="center"/>
              <w:rPr>
                <w:szCs w:val="21"/>
                <w:highlight w:val="none"/>
              </w:rPr>
            </w:pPr>
          </w:p>
        </w:tc>
        <w:tc>
          <w:tcPr>
            <w:tcW w:w="375" w:type="dxa"/>
            <w:noWrap/>
            <w:vAlign w:val="center"/>
          </w:tcPr>
          <w:p w14:paraId="0B798B52">
            <w:pPr>
              <w:spacing w:line="240" w:lineRule="exact"/>
              <w:jc w:val="center"/>
              <w:rPr>
                <w:szCs w:val="21"/>
                <w:highlight w:val="none"/>
              </w:rPr>
            </w:pPr>
          </w:p>
        </w:tc>
        <w:tc>
          <w:tcPr>
            <w:tcW w:w="376" w:type="dxa"/>
            <w:noWrap/>
            <w:vAlign w:val="center"/>
          </w:tcPr>
          <w:p w14:paraId="61F308E5">
            <w:pPr>
              <w:spacing w:line="240" w:lineRule="exact"/>
              <w:jc w:val="center"/>
              <w:rPr>
                <w:szCs w:val="21"/>
                <w:highlight w:val="none"/>
              </w:rPr>
            </w:pPr>
          </w:p>
        </w:tc>
        <w:tc>
          <w:tcPr>
            <w:tcW w:w="522" w:type="dxa"/>
            <w:noWrap/>
            <w:vAlign w:val="center"/>
          </w:tcPr>
          <w:p w14:paraId="4BF5201A">
            <w:pPr>
              <w:jc w:val="center"/>
              <w:rPr>
                <w:szCs w:val="21"/>
                <w:highlight w:val="none"/>
              </w:rPr>
            </w:pPr>
          </w:p>
        </w:tc>
        <w:tc>
          <w:tcPr>
            <w:tcW w:w="522" w:type="dxa"/>
            <w:noWrap/>
            <w:vAlign w:val="center"/>
          </w:tcPr>
          <w:p w14:paraId="15A1EAB0">
            <w:pPr>
              <w:jc w:val="center"/>
              <w:rPr>
                <w:szCs w:val="21"/>
                <w:highlight w:val="none"/>
              </w:rPr>
            </w:pPr>
          </w:p>
        </w:tc>
        <w:tc>
          <w:tcPr>
            <w:tcW w:w="522" w:type="dxa"/>
            <w:noWrap/>
            <w:vAlign w:val="center"/>
          </w:tcPr>
          <w:p w14:paraId="21FC4285">
            <w:pPr>
              <w:jc w:val="center"/>
              <w:rPr>
                <w:szCs w:val="21"/>
                <w:highlight w:val="none"/>
              </w:rPr>
            </w:pPr>
          </w:p>
        </w:tc>
        <w:tc>
          <w:tcPr>
            <w:tcW w:w="519" w:type="dxa"/>
            <w:noWrap/>
            <w:vAlign w:val="center"/>
          </w:tcPr>
          <w:p w14:paraId="5225CFE4">
            <w:pPr>
              <w:jc w:val="center"/>
              <w:rPr>
                <w:szCs w:val="21"/>
                <w:highlight w:val="none"/>
              </w:rPr>
            </w:pPr>
          </w:p>
        </w:tc>
        <w:tc>
          <w:tcPr>
            <w:tcW w:w="525" w:type="dxa"/>
            <w:noWrap/>
            <w:vAlign w:val="center"/>
          </w:tcPr>
          <w:p w14:paraId="72C4227A">
            <w:pPr>
              <w:jc w:val="center"/>
              <w:rPr>
                <w:szCs w:val="21"/>
                <w:highlight w:val="none"/>
              </w:rPr>
            </w:pPr>
          </w:p>
        </w:tc>
        <w:tc>
          <w:tcPr>
            <w:tcW w:w="522" w:type="dxa"/>
            <w:noWrap/>
            <w:vAlign w:val="center"/>
          </w:tcPr>
          <w:p w14:paraId="3FFE2B67">
            <w:pPr>
              <w:jc w:val="center"/>
              <w:rPr>
                <w:szCs w:val="21"/>
                <w:highlight w:val="none"/>
              </w:rPr>
            </w:pPr>
          </w:p>
        </w:tc>
        <w:tc>
          <w:tcPr>
            <w:tcW w:w="522" w:type="dxa"/>
            <w:noWrap/>
            <w:vAlign w:val="center"/>
          </w:tcPr>
          <w:p w14:paraId="03E55CA0">
            <w:pPr>
              <w:jc w:val="center"/>
              <w:rPr>
                <w:szCs w:val="21"/>
                <w:highlight w:val="none"/>
              </w:rPr>
            </w:pPr>
          </w:p>
        </w:tc>
        <w:tc>
          <w:tcPr>
            <w:tcW w:w="919" w:type="dxa"/>
            <w:noWrap/>
            <w:vAlign w:val="center"/>
          </w:tcPr>
          <w:p w14:paraId="6D202CA3">
            <w:pPr>
              <w:jc w:val="center"/>
              <w:rPr>
                <w:szCs w:val="21"/>
                <w:highlight w:val="none"/>
              </w:rPr>
            </w:pPr>
          </w:p>
        </w:tc>
        <w:tc>
          <w:tcPr>
            <w:tcW w:w="621" w:type="dxa"/>
            <w:noWrap/>
            <w:vAlign w:val="center"/>
          </w:tcPr>
          <w:p w14:paraId="06899074">
            <w:pPr>
              <w:jc w:val="center"/>
              <w:rPr>
                <w:szCs w:val="21"/>
                <w:highlight w:val="none"/>
              </w:rPr>
            </w:pPr>
          </w:p>
        </w:tc>
        <w:tc>
          <w:tcPr>
            <w:tcW w:w="681" w:type="dxa"/>
            <w:noWrap/>
            <w:vAlign w:val="center"/>
          </w:tcPr>
          <w:p w14:paraId="05E0D50F">
            <w:pPr>
              <w:jc w:val="center"/>
              <w:rPr>
                <w:szCs w:val="21"/>
                <w:highlight w:val="none"/>
              </w:rPr>
            </w:pPr>
          </w:p>
        </w:tc>
        <w:tc>
          <w:tcPr>
            <w:tcW w:w="880" w:type="dxa"/>
            <w:noWrap/>
            <w:vAlign w:val="center"/>
          </w:tcPr>
          <w:p w14:paraId="27B945F4">
            <w:pPr>
              <w:jc w:val="center"/>
              <w:rPr>
                <w:szCs w:val="21"/>
                <w:highlight w:val="none"/>
              </w:rPr>
            </w:pPr>
          </w:p>
        </w:tc>
      </w:tr>
    </w:tbl>
    <w:p w14:paraId="062712F6">
      <w:pPr>
        <w:spacing w:line="240" w:lineRule="exact"/>
        <w:rPr>
          <w:rFonts w:ascii="宋体" w:hAnsi="宋体"/>
          <w:sz w:val="24"/>
          <w:highlight w:val="none"/>
        </w:rPr>
      </w:pPr>
    </w:p>
    <w:p w14:paraId="242ADBDA">
      <w:pPr>
        <w:spacing w:line="340" w:lineRule="exact"/>
        <w:ind w:firstLine="420" w:firstLineChars="200"/>
        <w:rPr>
          <w:rFonts w:hint="eastAsia" w:ascii="宋体" w:hAnsi="宋体" w:eastAsia="宋体" w:cs="Times New Roman"/>
          <w:szCs w:val="21"/>
          <w:highlight w:val="none"/>
        </w:rPr>
      </w:pPr>
      <w:r>
        <w:rPr>
          <w:rFonts w:hint="eastAsia" w:ascii="宋体" w:hAnsi="宋体"/>
          <w:szCs w:val="21"/>
          <w:highlight w:val="none"/>
        </w:rPr>
        <w:t>注</w:t>
      </w:r>
      <w:r>
        <w:rPr>
          <w:rFonts w:hint="eastAsia" w:ascii="宋体" w:hAnsi="宋体" w:eastAsia="宋体" w:cs="Times New Roman"/>
          <w:szCs w:val="21"/>
          <w:highlight w:val="none"/>
        </w:rPr>
        <w:t>：</w:t>
      </w:r>
      <w:r>
        <w:rPr>
          <w:rFonts w:hint="eastAsia" w:ascii="宋体" w:hAnsi="宋体" w:eastAsia="宋体" w:cs="Times New Roman"/>
          <w:spacing w:val="0"/>
          <w:szCs w:val="21"/>
          <w:highlight w:val="none"/>
        </w:rPr>
        <w:t>1</w:t>
      </w:r>
      <w:r>
        <w:rPr>
          <w:rFonts w:hint="eastAsia" w:ascii="宋体" w:hAnsi="宋体" w:eastAsia="宋体" w:cs="Times New Roman"/>
          <w:szCs w:val="21"/>
          <w:highlight w:val="none"/>
        </w:rPr>
        <w:t>.岗位登记单位及状态指拟派本项目的监理工程师资格证书目前是否在投标人处登记；</w:t>
      </w:r>
    </w:p>
    <w:p w14:paraId="1C585283">
      <w:pPr>
        <w:spacing w:line="340" w:lineRule="exact"/>
        <w:ind w:firstLine="525" w:firstLineChars="250"/>
        <w:rPr>
          <w:rFonts w:ascii="宋体" w:hAnsi="宋体"/>
          <w:szCs w:val="21"/>
          <w:highlight w:val="none"/>
        </w:rPr>
      </w:pPr>
      <w:r>
        <w:rPr>
          <w:rFonts w:hint="eastAsia" w:ascii="宋体" w:hAnsi="宋体" w:eastAsia="宋体" w:cs="Times New Roman"/>
          <w:spacing w:val="0"/>
          <w:szCs w:val="21"/>
          <w:highlight w:val="none"/>
        </w:rPr>
        <w:t>2</w:t>
      </w:r>
      <w:r>
        <w:rPr>
          <w:rFonts w:hint="eastAsia" w:ascii="宋体" w:hAnsi="宋体" w:eastAsia="宋体" w:cs="Times New Roman"/>
          <w:szCs w:val="21"/>
          <w:highlight w:val="none"/>
        </w:rPr>
        <w:t>.</w:t>
      </w:r>
      <w:r>
        <w:rPr>
          <w:rFonts w:hint="eastAsia" w:ascii="宋体" w:hAnsi="宋体"/>
          <w:szCs w:val="21"/>
          <w:highlight w:val="none"/>
        </w:rPr>
        <w:t>本表要求填报资格审查条件中最低人员要求的所有监理人员名单，须在本项目专职，不可在其它项目兼职。</w:t>
      </w:r>
    </w:p>
    <w:p w14:paraId="34626E2F">
      <w:pPr>
        <w:spacing w:line="340" w:lineRule="exact"/>
        <w:ind w:firstLine="420" w:firstLineChars="200"/>
        <w:jc w:val="both"/>
        <w:rPr>
          <w:rFonts w:hint="eastAsia" w:ascii="宋体" w:hAnsi="宋体" w:eastAsia="宋体" w:cs="Times New Roman"/>
          <w:szCs w:val="21"/>
          <w:highlight w:val="none"/>
        </w:rPr>
      </w:pPr>
    </w:p>
    <w:p w14:paraId="4740FD2A">
      <w:pPr>
        <w:spacing w:line="340" w:lineRule="exact"/>
        <w:ind w:firstLine="109" w:firstLineChars="50"/>
        <w:rPr>
          <w:spacing w:val="4"/>
          <w:szCs w:val="21"/>
          <w:highlight w:val="none"/>
        </w:rPr>
      </w:pPr>
    </w:p>
    <w:p w14:paraId="109A7B13">
      <w:pPr>
        <w:spacing w:line="340" w:lineRule="exact"/>
        <w:ind w:firstLine="109" w:firstLineChars="50"/>
        <w:rPr>
          <w:spacing w:val="4"/>
          <w:szCs w:val="21"/>
          <w:highlight w:val="none"/>
        </w:rPr>
      </w:pPr>
    </w:p>
    <w:p w14:paraId="11B98BD3">
      <w:pPr>
        <w:spacing w:line="340" w:lineRule="exact"/>
        <w:ind w:firstLine="109" w:firstLineChars="50"/>
        <w:rPr>
          <w:spacing w:val="4"/>
          <w:szCs w:val="21"/>
          <w:highlight w:val="none"/>
        </w:rPr>
      </w:pPr>
    </w:p>
    <w:p w14:paraId="0CF9C8FE">
      <w:pPr>
        <w:spacing w:line="480" w:lineRule="exact"/>
        <w:ind w:firstLine="3580" w:firstLineChars="1492"/>
        <w:jc w:val="right"/>
        <w:rPr>
          <w:sz w:val="24"/>
          <w:highlight w:val="none"/>
        </w:rPr>
      </w:pPr>
      <w:r>
        <w:rPr>
          <w:rFonts w:hint="eastAsia"/>
          <w:sz w:val="24"/>
          <w:highlight w:val="none"/>
        </w:rPr>
        <w:t>投 标 人</w:t>
      </w:r>
      <w:r>
        <w:rPr>
          <w:rFonts w:hint="eastAsia" w:ascii="宋体" w:hAnsi="宋体"/>
          <w:sz w:val="24"/>
          <w:highlight w:val="none"/>
        </w:rPr>
        <w:t>：</w:t>
      </w:r>
      <w:r>
        <w:rPr>
          <w:rFonts w:hint="eastAsia" w:ascii="宋体" w:hAnsi="宋体"/>
          <w:sz w:val="24"/>
          <w:highlight w:val="none"/>
          <w:u w:val="single"/>
        </w:rPr>
        <w:t xml:space="preserve">           </w:t>
      </w:r>
      <w:r>
        <w:rPr>
          <w:rFonts w:hint="eastAsia"/>
          <w:sz w:val="24"/>
          <w:highlight w:val="none"/>
        </w:rPr>
        <w:t xml:space="preserve"> (盖</w:t>
      </w:r>
      <w:r>
        <w:rPr>
          <w:rFonts w:hint="eastAsia"/>
          <w:sz w:val="24"/>
          <w:highlight w:val="none"/>
          <w:lang w:val="en-US" w:eastAsia="zh-CN"/>
        </w:rPr>
        <w:t>单位</w:t>
      </w:r>
      <w:r>
        <w:rPr>
          <w:rFonts w:hint="eastAsia"/>
          <w:sz w:val="24"/>
          <w:highlight w:val="none"/>
        </w:rPr>
        <w:t>章)</w:t>
      </w:r>
    </w:p>
    <w:p w14:paraId="17BBA56F">
      <w:pPr>
        <w:spacing w:line="480" w:lineRule="exact"/>
        <w:jc w:val="right"/>
        <w:rPr>
          <w:rFonts w:ascii="宋体" w:hAnsi="宋体"/>
          <w:sz w:val="24"/>
          <w:highlight w:val="none"/>
          <w:u w:val="single"/>
        </w:rPr>
      </w:pPr>
      <w:r>
        <w:rPr>
          <w:rFonts w:hint="eastAsia" w:ascii="宋体" w:hAnsi="宋体"/>
          <w:sz w:val="24"/>
          <w:highlight w:val="none"/>
        </w:rPr>
        <w:t>法定代表人（或其委托代理人）：</w:t>
      </w:r>
      <w:r>
        <w:rPr>
          <w:rFonts w:hint="eastAsia" w:ascii="宋体" w:hAnsi="宋体"/>
          <w:sz w:val="24"/>
          <w:highlight w:val="none"/>
          <w:u w:val="single"/>
        </w:rPr>
        <w:t xml:space="preserve">           （签字）</w:t>
      </w:r>
    </w:p>
    <w:p w14:paraId="0C484164">
      <w:pPr>
        <w:autoSpaceDE w:val="0"/>
        <w:autoSpaceDN w:val="0"/>
        <w:adjustRightInd w:val="0"/>
        <w:spacing w:line="480" w:lineRule="exact"/>
        <w:jc w:val="right"/>
        <w:rPr>
          <w:b/>
          <w:sz w:val="32"/>
          <w:szCs w:val="32"/>
          <w:highlight w:val="none"/>
        </w:rPr>
      </w:pPr>
      <w:r>
        <w:rPr>
          <w:sz w:val="24"/>
          <w:szCs w:val="24"/>
          <w:highlight w:val="none"/>
        </w:rPr>
        <w:t>日期：</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6C3DC38B">
      <w:pPr>
        <w:spacing w:line="360" w:lineRule="auto"/>
        <w:rPr>
          <w:rFonts w:ascii="宋体" w:hAnsi="宋体"/>
          <w:sz w:val="24"/>
          <w:highlight w:val="none"/>
        </w:rPr>
      </w:pPr>
    </w:p>
    <w:p w14:paraId="7DD88A55">
      <w:pPr>
        <w:spacing w:line="360" w:lineRule="auto"/>
        <w:rPr>
          <w:rFonts w:ascii="宋体" w:hAnsi="宋体"/>
          <w:sz w:val="24"/>
          <w:highlight w:val="none"/>
        </w:rPr>
        <w:sectPr>
          <w:headerReference r:id="rId16" w:type="default"/>
          <w:pgSz w:w="11906" w:h="16838"/>
          <w:pgMar w:top="1418" w:right="1134" w:bottom="1418" w:left="1418" w:header="851" w:footer="737" w:gutter="0"/>
          <w:pgNumType w:fmt="decimal"/>
          <w:cols w:space="720" w:num="1"/>
          <w:docGrid w:type="lines" w:linePitch="312" w:charSpace="0"/>
        </w:sectPr>
      </w:pPr>
    </w:p>
    <w:p w14:paraId="3BA85312">
      <w:pPr>
        <w:spacing w:line="600" w:lineRule="exact"/>
        <w:outlineLvl w:val="2"/>
        <w:rPr>
          <w:b/>
          <w:bCs/>
          <w:sz w:val="32"/>
          <w:szCs w:val="32"/>
          <w:highlight w:val="none"/>
        </w:rPr>
      </w:pPr>
      <w:bookmarkStart w:id="133" w:name="_Toc454627389"/>
      <w:bookmarkStart w:id="134" w:name="_Toc308507911"/>
      <w:bookmarkStart w:id="135" w:name="_Toc309630476"/>
      <w:bookmarkStart w:id="136" w:name="_Toc308507832"/>
      <w:bookmarkStart w:id="137" w:name="_Toc454626806"/>
      <w:bookmarkStart w:id="138" w:name="_Toc17821072"/>
      <w:bookmarkStart w:id="139" w:name="_Toc308388803"/>
      <w:bookmarkStart w:id="140" w:name="_Toc308597027"/>
      <w:bookmarkStart w:id="141" w:name="_Toc10515"/>
      <w:bookmarkStart w:id="142" w:name="_Toc17821435"/>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w:t>
      </w:r>
      <w:r>
        <w:rPr>
          <w:rFonts w:ascii="宋体" w:hAnsi="宋体"/>
          <w:b/>
          <w:bCs/>
          <w:spacing w:val="4"/>
          <w:sz w:val="24"/>
          <w:szCs w:val="24"/>
          <w:highlight w:val="none"/>
        </w:rPr>
        <w:t>拟</w:t>
      </w:r>
      <w:r>
        <w:rPr>
          <w:rFonts w:hint="eastAsia" w:ascii="宋体" w:hAnsi="宋体"/>
          <w:b/>
          <w:bCs/>
          <w:spacing w:val="4"/>
          <w:sz w:val="24"/>
          <w:szCs w:val="24"/>
          <w:highlight w:val="none"/>
        </w:rPr>
        <w:t>委派本项目总</w:t>
      </w:r>
      <w:r>
        <w:rPr>
          <w:rFonts w:ascii="宋体" w:hAnsi="宋体"/>
          <w:b/>
          <w:bCs/>
          <w:spacing w:val="4"/>
          <w:sz w:val="24"/>
          <w:szCs w:val="24"/>
          <w:highlight w:val="none"/>
        </w:rPr>
        <w:t>监理</w:t>
      </w:r>
      <w:r>
        <w:rPr>
          <w:rFonts w:hint="eastAsia" w:ascii="宋体" w:hAnsi="宋体"/>
          <w:b/>
          <w:bCs/>
          <w:spacing w:val="4"/>
          <w:sz w:val="24"/>
          <w:szCs w:val="24"/>
          <w:highlight w:val="none"/>
        </w:rPr>
        <w:t>工程师</w:t>
      </w:r>
      <w:r>
        <w:rPr>
          <w:rFonts w:ascii="宋体" w:hAnsi="宋体"/>
          <w:b/>
          <w:bCs/>
          <w:spacing w:val="4"/>
          <w:sz w:val="24"/>
          <w:szCs w:val="24"/>
          <w:highlight w:val="none"/>
        </w:rPr>
        <w:t>工作简历表</w:t>
      </w:r>
      <w:bookmarkEnd w:id="133"/>
      <w:bookmarkEnd w:id="134"/>
      <w:bookmarkEnd w:id="135"/>
      <w:bookmarkEnd w:id="136"/>
      <w:bookmarkEnd w:id="137"/>
      <w:bookmarkEnd w:id="138"/>
      <w:bookmarkEnd w:id="139"/>
      <w:bookmarkEnd w:id="140"/>
      <w:bookmarkEnd w:id="141"/>
      <w:bookmarkEnd w:id="142"/>
    </w:p>
    <w:tbl>
      <w:tblPr>
        <w:tblStyle w:val="4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7"/>
        <w:gridCol w:w="514"/>
        <w:gridCol w:w="803"/>
        <w:gridCol w:w="717"/>
        <w:gridCol w:w="601"/>
        <w:gridCol w:w="919"/>
        <w:gridCol w:w="1037"/>
        <w:gridCol w:w="484"/>
        <w:gridCol w:w="821"/>
        <w:gridCol w:w="699"/>
        <w:gridCol w:w="1523"/>
      </w:tblGrid>
      <w:tr w14:paraId="3EC1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7BA05B7D">
            <w:pPr>
              <w:tabs>
                <w:tab w:val="left" w:pos="4680"/>
              </w:tabs>
              <w:jc w:val="center"/>
              <w:rPr>
                <w:rFonts w:ascii="宋体" w:hAnsi="宋体"/>
                <w:sz w:val="24"/>
                <w:szCs w:val="24"/>
                <w:highlight w:val="none"/>
              </w:rPr>
            </w:pPr>
            <w:r>
              <w:rPr>
                <w:rFonts w:ascii="宋体" w:hAnsi="宋体"/>
                <w:sz w:val="24"/>
                <w:szCs w:val="24"/>
                <w:highlight w:val="none"/>
              </w:rPr>
              <w:t>姓名</w:t>
            </w: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6EE03D29">
            <w:pPr>
              <w:tabs>
                <w:tab w:val="left" w:pos="4680"/>
              </w:tabs>
              <w:jc w:val="center"/>
              <w:rPr>
                <w:rFonts w:ascii="宋体" w:hAnsi="宋体"/>
                <w:sz w:val="24"/>
                <w:szCs w:val="24"/>
                <w:highlight w:val="none"/>
              </w:rPr>
            </w:pP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2D8CE55E">
            <w:pPr>
              <w:tabs>
                <w:tab w:val="left" w:pos="4680"/>
              </w:tabs>
              <w:jc w:val="center"/>
              <w:rPr>
                <w:rFonts w:ascii="宋体" w:hAnsi="宋体"/>
                <w:sz w:val="24"/>
                <w:szCs w:val="24"/>
                <w:highlight w:val="none"/>
              </w:rPr>
            </w:pPr>
            <w:r>
              <w:rPr>
                <w:rFonts w:ascii="宋体" w:hAnsi="宋体"/>
                <w:sz w:val="24"/>
                <w:szCs w:val="24"/>
                <w:highlight w:val="none"/>
              </w:rPr>
              <w:t>性别</w:t>
            </w: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15B10FBE">
            <w:pPr>
              <w:tabs>
                <w:tab w:val="left" w:pos="4680"/>
              </w:tabs>
              <w:jc w:val="center"/>
              <w:rPr>
                <w:rFonts w:ascii="宋体" w:hAnsi="宋体"/>
                <w:sz w:val="24"/>
                <w:szCs w:val="24"/>
                <w:highlight w:val="none"/>
              </w:rPr>
            </w:pP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53643419">
            <w:pPr>
              <w:tabs>
                <w:tab w:val="left" w:pos="4680"/>
              </w:tabs>
              <w:jc w:val="center"/>
              <w:rPr>
                <w:rFonts w:ascii="宋体" w:hAnsi="宋体"/>
                <w:sz w:val="24"/>
                <w:szCs w:val="24"/>
                <w:highlight w:val="none"/>
              </w:rPr>
            </w:pPr>
            <w:r>
              <w:rPr>
                <w:rFonts w:ascii="宋体" w:hAnsi="宋体"/>
                <w:sz w:val="24"/>
                <w:szCs w:val="24"/>
                <w:highlight w:val="none"/>
              </w:rPr>
              <w:t>年龄</w:t>
            </w:r>
          </w:p>
        </w:tc>
        <w:tc>
          <w:tcPr>
            <w:tcW w:w="1523" w:type="dxa"/>
            <w:tcBorders>
              <w:top w:val="single" w:color="auto" w:sz="12" w:space="0"/>
              <w:left w:val="single" w:color="auto" w:sz="6" w:space="0"/>
              <w:bottom w:val="single" w:color="auto" w:sz="6" w:space="0"/>
              <w:right w:val="single" w:color="auto" w:sz="12" w:space="0"/>
            </w:tcBorders>
            <w:vAlign w:val="center"/>
          </w:tcPr>
          <w:p w14:paraId="2D510227">
            <w:pPr>
              <w:tabs>
                <w:tab w:val="left" w:pos="4680"/>
              </w:tabs>
              <w:jc w:val="center"/>
              <w:rPr>
                <w:rFonts w:ascii="宋体" w:hAnsi="宋体"/>
                <w:sz w:val="24"/>
                <w:szCs w:val="24"/>
                <w:highlight w:val="none"/>
              </w:rPr>
            </w:pPr>
          </w:p>
        </w:tc>
      </w:tr>
      <w:tr w14:paraId="2F99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4482E24D">
            <w:pPr>
              <w:tabs>
                <w:tab w:val="left" w:pos="4680"/>
              </w:tabs>
              <w:jc w:val="center"/>
              <w:rPr>
                <w:rFonts w:ascii="宋体" w:hAnsi="宋体"/>
                <w:sz w:val="24"/>
                <w:szCs w:val="24"/>
                <w:highlight w:val="none"/>
              </w:rPr>
            </w:pPr>
            <w:r>
              <w:rPr>
                <w:rFonts w:ascii="宋体" w:hAnsi="宋体"/>
                <w:sz w:val="24"/>
                <w:szCs w:val="24"/>
                <w:highlight w:val="none"/>
              </w:rPr>
              <w:t>职称</w:t>
            </w:r>
          </w:p>
        </w:tc>
        <w:tc>
          <w:tcPr>
            <w:tcW w:w="3040" w:type="dxa"/>
            <w:gridSpan w:val="4"/>
            <w:tcBorders>
              <w:top w:val="single" w:color="auto" w:sz="12" w:space="0"/>
              <w:left w:val="single" w:color="auto" w:sz="6" w:space="0"/>
              <w:bottom w:val="single" w:color="auto" w:sz="6" w:space="0"/>
              <w:right w:val="single" w:color="auto" w:sz="6" w:space="0"/>
            </w:tcBorders>
            <w:vAlign w:val="center"/>
          </w:tcPr>
          <w:p w14:paraId="38E5C8F0">
            <w:pPr>
              <w:tabs>
                <w:tab w:val="left" w:pos="4680"/>
              </w:tabs>
              <w:jc w:val="center"/>
              <w:rPr>
                <w:rFonts w:ascii="宋体" w:hAnsi="宋体"/>
                <w:sz w:val="24"/>
                <w:szCs w:val="24"/>
                <w:highlight w:val="none"/>
              </w:rPr>
            </w:pP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6D8211D1">
            <w:pPr>
              <w:tabs>
                <w:tab w:val="left" w:pos="4680"/>
              </w:tabs>
              <w:jc w:val="center"/>
              <w:rPr>
                <w:rFonts w:ascii="宋体" w:hAnsi="宋体"/>
                <w:sz w:val="24"/>
                <w:szCs w:val="24"/>
                <w:highlight w:val="none"/>
              </w:rPr>
            </w:pPr>
            <w:r>
              <w:rPr>
                <w:rFonts w:hint="eastAsia" w:ascii="宋体" w:hAnsi="宋体"/>
                <w:sz w:val="24"/>
                <w:szCs w:val="24"/>
                <w:highlight w:val="none"/>
                <w:lang w:eastAsia="zh-CN"/>
              </w:rPr>
              <w:t>专业</w:t>
            </w:r>
          </w:p>
        </w:tc>
        <w:tc>
          <w:tcPr>
            <w:tcW w:w="3043" w:type="dxa"/>
            <w:gridSpan w:val="3"/>
            <w:tcBorders>
              <w:top w:val="single" w:color="auto" w:sz="12" w:space="0"/>
              <w:left w:val="single" w:color="auto" w:sz="6" w:space="0"/>
              <w:bottom w:val="single" w:color="auto" w:sz="6" w:space="0"/>
              <w:right w:val="single" w:color="auto" w:sz="12" w:space="0"/>
            </w:tcBorders>
            <w:vAlign w:val="center"/>
          </w:tcPr>
          <w:p w14:paraId="0D8D8971">
            <w:pPr>
              <w:tabs>
                <w:tab w:val="left" w:pos="4680"/>
              </w:tabs>
              <w:jc w:val="center"/>
              <w:rPr>
                <w:rFonts w:ascii="宋体" w:hAnsi="宋体"/>
                <w:sz w:val="24"/>
                <w:szCs w:val="24"/>
                <w:highlight w:val="none"/>
              </w:rPr>
            </w:pPr>
          </w:p>
        </w:tc>
      </w:tr>
      <w:tr w14:paraId="5CC4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44033364">
            <w:pPr>
              <w:spacing w:line="300" w:lineRule="exact"/>
              <w:jc w:val="center"/>
              <w:rPr>
                <w:rFonts w:ascii="宋体" w:hAnsi="宋体"/>
                <w:sz w:val="24"/>
                <w:szCs w:val="24"/>
                <w:highlight w:val="none"/>
              </w:rPr>
            </w:pPr>
            <w:r>
              <w:rPr>
                <w:rFonts w:hint="eastAsia" w:ascii="宋体" w:hAnsi="宋体"/>
                <w:sz w:val="24"/>
                <w:szCs w:val="24"/>
                <w:highlight w:val="none"/>
              </w:rPr>
              <w:t>监理工程师</w:t>
            </w:r>
          </w:p>
          <w:p w14:paraId="2CE8D3DF">
            <w:pPr>
              <w:tabs>
                <w:tab w:val="left" w:pos="4680"/>
              </w:tabs>
              <w:jc w:val="center"/>
              <w:rPr>
                <w:rFonts w:ascii="宋体" w:hAnsi="宋体"/>
                <w:sz w:val="24"/>
                <w:szCs w:val="24"/>
                <w:highlight w:val="none"/>
              </w:rPr>
            </w:pPr>
            <w:r>
              <w:rPr>
                <w:rFonts w:hint="eastAsia" w:ascii="宋体" w:hAnsi="宋体"/>
                <w:sz w:val="24"/>
                <w:szCs w:val="24"/>
                <w:highlight w:val="none"/>
              </w:rPr>
              <w:t>或培训证书</w:t>
            </w:r>
          </w:p>
        </w:tc>
        <w:tc>
          <w:tcPr>
            <w:tcW w:w="3040" w:type="dxa"/>
            <w:gridSpan w:val="4"/>
            <w:tcBorders>
              <w:top w:val="single" w:color="auto" w:sz="12" w:space="0"/>
              <w:left w:val="single" w:color="auto" w:sz="6" w:space="0"/>
              <w:bottom w:val="single" w:color="auto" w:sz="6" w:space="0"/>
              <w:right w:val="single" w:color="auto" w:sz="6" w:space="0"/>
            </w:tcBorders>
            <w:vAlign w:val="center"/>
          </w:tcPr>
          <w:p w14:paraId="6F7CEF79">
            <w:pPr>
              <w:tabs>
                <w:tab w:val="left" w:pos="4680"/>
              </w:tabs>
              <w:jc w:val="center"/>
              <w:rPr>
                <w:rFonts w:ascii="宋体" w:hAnsi="宋体"/>
                <w:sz w:val="24"/>
                <w:szCs w:val="24"/>
                <w:highlight w:val="none"/>
              </w:rPr>
            </w:pP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5FAC75C7">
            <w:pPr>
              <w:tabs>
                <w:tab w:val="left" w:pos="4680"/>
              </w:tabs>
              <w:jc w:val="center"/>
              <w:rPr>
                <w:rFonts w:hint="eastAsia" w:ascii="宋体" w:hAnsi="宋体"/>
                <w:sz w:val="24"/>
                <w:szCs w:val="24"/>
                <w:highlight w:val="none"/>
                <w:lang w:eastAsia="zh-CN"/>
              </w:rPr>
            </w:pPr>
            <w:r>
              <w:rPr>
                <w:rFonts w:ascii="宋体" w:hAnsi="宋体"/>
                <w:sz w:val="24"/>
                <w:szCs w:val="24"/>
                <w:highlight w:val="none"/>
              </w:rPr>
              <w:t>证书编号</w:t>
            </w:r>
          </w:p>
        </w:tc>
        <w:tc>
          <w:tcPr>
            <w:tcW w:w="3043" w:type="dxa"/>
            <w:gridSpan w:val="3"/>
            <w:tcBorders>
              <w:top w:val="single" w:color="auto" w:sz="12" w:space="0"/>
              <w:left w:val="single" w:color="auto" w:sz="6" w:space="0"/>
              <w:bottom w:val="single" w:color="auto" w:sz="6" w:space="0"/>
              <w:right w:val="single" w:color="auto" w:sz="12" w:space="0"/>
            </w:tcBorders>
            <w:vAlign w:val="center"/>
          </w:tcPr>
          <w:p w14:paraId="19DE3486">
            <w:pPr>
              <w:tabs>
                <w:tab w:val="left" w:pos="4680"/>
              </w:tabs>
              <w:jc w:val="center"/>
              <w:rPr>
                <w:rFonts w:ascii="宋体" w:hAnsi="宋体"/>
                <w:sz w:val="24"/>
                <w:szCs w:val="24"/>
                <w:highlight w:val="none"/>
              </w:rPr>
            </w:pPr>
          </w:p>
        </w:tc>
      </w:tr>
      <w:tr w14:paraId="7E4C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8" w:hRule="exact"/>
          <w:jc w:val="center"/>
        </w:trPr>
        <w:tc>
          <w:tcPr>
            <w:tcW w:w="1831" w:type="dxa"/>
            <w:gridSpan w:val="2"/>
            <w:tcBorders>
              <w:top w:val="single" w:color="auto" w:sz="6" w:space="0"/>
              <w:left w:val="single" w:color="auto" w:sz="12" w:space="0"/>
              <w:bottom w:val="single" w:color="auto" w:sz="6" w:space="0"/>
              <w:right w:val="single" w:color="auto" w:sz="6" w:space="0"/>
            </w:tcBorders>
            <w:vAlign w:val="center"/>
          </w:tcPr>
          <w:p w14:paraId="131C5B2F">
            <w:pPr>
              <w:tabs>
                <w:tab w:val="left" w:pos="4680"/>
              </w:tabs>
              <w:spacing w:line="300" w:lineRule="exact"/>
              <w:jc w:val="center"/>
              <w:rPr>
                <w:rFonts w:ascii="宋体" w:hAnsi="宋体"/>
                <w:sz w:val="24"/>
                <w:szCs w:val="24"/>
                <w:highlight w:val="none"/>
              </w:rPr>
            </w:pPr>
            <w:r>
              <w:rPr>
                <w:rFonts w:ascii="宋体" w:hAnsi="宋体"/>
                <w:sz w:val="24"/>
                <w:szCs w:val="24"/>
                <w:highlight w:val="none"/>
              </w:rPr>
              <w:t>本</w:t>
            </w:r>
            <w:r>
              <w:rPr>
                <w:rFonts w:hint="eastAsia" w:ascii="宋体" w:hAnsi="宋体"/>
                <w:sz w:val="24"/>
                <w:szCs w:val="24"/>
                <w:highlight w:val="none"/>
              </w:rPr>
              <w:t>项目</w:t>
            </w:r>
            <w:r>
              <w:rPr>
                <w:rFonts w:ascii="宋体" w:hAnsi="宋体"/>
                <w:sz w:val="24"/>
                <w:szCs w:val="24"/>
                <w:highlight w:val="none"/>
              </w:rPr>
              <w:t>拟</w:t>
            </w:r>
          </w:p>
          <w:p w14:paraId="48ED396B">
            <w:pPr>
              <w:tabs>
                <w:tab w:val="left" w:pos="4680"/>
              </w:tabs>
              <w:spacing w:line="300" w:lineRule="exact"/>
              <w:jc w:val="center"/>
              <w:rPr>
                <w:rFonts w:ascii="宋体" w:hAnsi="宋体"/>
                <w:sz w:val="24"/>
                <w:szCs w:val="24"/>
                <w:highlight w:val="none"/>
              </w:rPr>
            </w:pPr>
            <w:r>
              <w:rPr>
                <w:rFonts w:ascii="宋体" w:hAnsi="宋体"/>
                <w:sz w:val="24"/>
                <w:szCs w:val="24"/>
                <w:highlight w:val="none"/>
              </w:rPr>
              <w:t>出任职务</w:t>
            </w: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0811E1D2">
            <w:pPr>
              <w:tabs>
                <w:tab w:val="left" w:pos="4680"/>
              </w:tabs>
              <w:jc w:val="center"/>
              <w:rPr>
                <w:rFonts w:ascii="宋体" w:hAnsi="宋体"/>
                <w:sz w:val="24"/>
                <w:szCs w:val="24"/>
                <w:highlight w:val="none"/>
              </w:rPr>
            </w:pPr>
            <w:r>
              <w:rPr>
                <w:rFonts w:hint="eastAsia" w:ascii="宋体" w:hAnsi="宋体"/>
                <w:sz w:val="24"/>
                <w:szCs w:val="24"/>
                <w:highlight w:val="none"/>
              </w:rPr>
              <w:t>总监理工程师</w:t>
            </w: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49EC2E3E">
            <w:pPr>
              <w:tabs>
                <w:tab w:val="left" w:pos="4680"/>
              </w:tabs>
              <w:jc w:val="center"/>
              <w:rPr>
                <w:rFonts w:ascii="宋体" w:hAnsi="宋体"/>
                <w:sz w:val="24"/>
                <w:szCs w:val="24"/>
                <w:highlight w:val="none"/>
              </w:rPr>
            </w:pPr>
            <w:r>
              <w:rPr>
                <w:rFonts w:ascii="宋体" w:hAnsi="宋体"/>
                <w:sz w:val="24"/>
                <w:szCs w:val="24"/>
                <w:highlight w:val="none"/>
              </w:rPr>
              <w:t>工作年限</w:t>
            </w:r>
          </w:p>
        </w:tc>
        <w:tc>
          <w:tcPr>
            <w:tcW w:w="1521" w:type="dxa"/>
            <w:gridSpan w:val="2"/>
            <w:tcBorders>
              <w:top w:val="single" w:color="auto" w:sz="6" w:space="0"/>
              <w:left w:val="single" w:color="auto" w:sz="6" w:space="0"/>
              <w:bottom w:val="single" w:color="auto" w:sz="6" w:space="0"/>
              <w:right w:val="single" w:color="auto" w:sz="6" w:space="0"/>
            </w:tcBorders>
            <w:vAlign w:val="center"/>
          </w:tcPr>
          <w:p w14:paraId="65EFDA2D">
            <w:pPr>
              <w:tabs>
                <w:tab w:val="left" w:pos="4680"/>
              </w:tabs>
              <w:jc w:val="center"/>
              <w:rPr>
                <w:rFonts w:ascii="宋体" w:hAnsi="宋体"/>
                <w:sz w:val="24"/>
                <w:szCs w:val="24"/>
                <w:highlight w:val="none"/>
              </w:rPr>
            </w:pP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13934693">
            <w:pPr>
              <w:tabs>
                <w:tab w:val="left" w:pos="4680"/>
              </w:tabs>
              <w:jc w:val="center"/>
              <w:rPr>
                <w:rFonts w:ascii="宋体" w:hAnsi="宋体"/>
                <w:sz w:val="24"/>
                <w:szCs w:val="24"/>
                <w:highlight w:val="none"/>
              </w:rPr>
            </w:pPr>
            <w:r>
              <w:rPr>
                <w:rFonts w:ascii="宋体" w:hAnsi="宋体"/>
                <w:sz w:val="24"/>
                <w:szCs w:val="24"/>
                <w:highlight w:val="none"/>
              </w:rPr>
              <w:t>专业工作年限</w:t>
            </w:r>
          </w:p>
        </w:tc>
        <w:tc>
          <w:tcPr>
            <w:tcW w:w="1523" w:type="dxa"/>
            <w:tcBorders>
              <w:top w:val="single" w:color="auto" w:sz="6" w:space="0"/>
              <w:left w:val="single" w:color="auto" w:sz="6" w:space="0"/>
              <w:bottom w:val="single" w:color="auto" w:sz="6" w:space="0"/>
              <w:right w:val="single" w:color="auto" w:sz="12" w:space="0"/>
            </w:tcBorders>
            <w:vAlign w:val="center"/>
          </w:tcPr>
          <w:p w14:paraId="5F0AB70C">
            <w:pPr>
              <w:tabs>
                <w:tab w:val="left" w:pos="4680"/>
              </w:tabs>
              <w:jc w:val="center"/>
              <w:rPr>
                <w:rFonts w:ascii="宋体" w:hAnsi="宋体"/>
                <w:sz w:val="24"/>
                <w:szCs w:val="24"/>
                <w:highlight w:val="none"/>
              </w:rPr>
            </w:pPr>
          </w:p>
        </w:tc>
      </w:tr>
      <w:tr w14:paraId="5793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exact"/>
          <w:jc w:val="center"/>
        </w:trPr>
        <w:tc>
          <w:tcPr>
            <w:tcW w:w="9435" w:type="dxa"/>
            <w:gridSpan w:val="11"/>
            <w:tcBorders>
              <w:top w:val="single" w:color="auto" w:sz="6" w:space="0"/>
              <w:left w:val="single" w:color="auto" w:sz="12" w:space="0"/>
              <w:bottom w:val="single" w:color="auto" w:sz="6" w:space="0"/>
              <w:right w:val="single" w:color="auto" w:sz="12" w:space="0"/>
            </w:tcBorders>
            <w:vAlign w:val="center"/>
          </w:tcPr>
          <w:p w14:paraId="10545831">
            <w:pPr>
              <w:tabs>
                <w:tab w:val="left" w:pos="4680"/>
              </w:tabs>
              <w:jc w:val="center"/>
              <w:rPr>
                <w:rFonts w:hint="eastAsia" w:ascii="宋体" w:hAnsi="宋体" w:eastAsia="宋体"/>
                <w:sz w:val="24"/>
                <w:szCs w:val="24"/>
                <w:highlight w:val="none"/>
                <w:lang w:eastAsia="zh-CN"/>
              </w:rPr>
            </w:pPr>
            <w:r>
              <w:rPr>
                <w:rFonts w:ascii="宋体" w:hAnsi="宋体"/>
                <w:sz w:val="24"/>
                <w:szCs w:val="24"/>
                <w:highlight w:val="none"/>
              </w:rPr>
              <w:t>目前在监</w:t>
            </w:r>
            <w:r>
              <w:rPr>
                <w:rFonts w:hint="eastAsia" w:ascii="宋体" w:hAnsi="宋体"/>
                <w:sz w:val="24"/>
                <w:szCs w:val="24"/>
                <w:highlight w:val="none"/>
              </w:rPr>
              <w:t>工程</w:t>
            </w:r>
            <w:r>
              <w:rPr>
                <w:rFonts w:hint="eastAsia" w:ascii="宋体" w:hAnsi="宋体"/>
                <w:sz w:val="24"/>
                <w:szCs w:val="24"/>
                <w:highlight w:val="none"/>
                <w:lang w:eastAsia="zh-CN"/>
              </w:rPr>
              <w:t>情况</w:t>
            </w:r>
          </w:p>
        </w:tc>
      </w:tr>
      <w:tr w14:paraId="45E9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exact"/>
          <w:jc w:val="center"/>
        </w:trPr>
        <w:tc>
          <w:tcPr>
            <w:tcW w:w="1317" w:type="dxa"/>
            <w:tcBorders>
              <w:top w:val="single" w:color="auto" w:sz="6" w:space="0"/>
              <w:left w:val="single" w:color="auto" w:sz="12" w:space="0"/>
              <w:bottom w:val="single" w:color="auto" w:sz="6" w:space="0"/>
              <w:right w:val="single" w:color="auto" w:sz="6" w:space="0"/>
            </w:tcBorders>
            <w:vAlign w:val="center"/>
          </w:tcPr>
          <w:p w14:paraId="2710D3C2">
            <w:pPr>
              <w:tabs>
                <w:tab w:val="left" w:pos="4680"/>
              </w:tabs>
              <w:jc w:val="center"/>
              <w:rPr>
                <w:rFonts w:ascii="宋体" w:hAnsi="宋体"/>
                <w:sz w:val="24"/>
                <w:szCs w:val="24"/>
                <w:highlight w:val="none"/>
              </w:rPr>
            </w:pPr>
            <w:r>
              <w:rPr>
                <w:rFonts w:hint="eastAsia" w:ascii="宋体" w:hAnsi="宋体"/>
                <w:sz w:val="24"/>
                <w:szCs w:val="24"/>
                <w:highlight w:val="none"/>
              </w:rPr>
              <w:t>年月</w:t>
            </w:r>
          </w:p>
        </w:tc>
        <w:tc>
          <w:tcPr>
            <w:tcW w:w="1317" w:type="dxa"/>
            <w:gridSpan w:val="2"/>
            <w:tcBorders>
              <w:top w:val="single" w:color="auto" w:sz="6" w:space="0"/>
              <w:left w:val="single" w:color="auto" w:sz="6" w:space="0"/>
              <w:bottom w:val="single" w:color="auto" w:sz="6" w:space="0"/>
              <w:right w:val="single" w:color="auto" w:sz="6" w:space="0"/>
            </w:tcBorders>
            <w:vAlign w:val="center"/>
          </w:tcPr>
          <w:p w14:paraId="05A91E91">
            <w:pPr>
              <w:tabs>
                <w:tab w:val="left" w:pos="4680"/>
              </w:tabs>
              <w:jc w:val="center"/>
              <w:rPr>
                <w:rFonts w:ascii="宋体" w:hAnsi="宋体"/>
                <w:sz w:val="24"/>
                <w:szCs w:val="24"/>
                <w:highlight w:val="none"/>
              </w:rPr>
            </w:pPr>
            <w:r>
              <w:rPr>
                <w:rFonts w:hint="eastAsia" w:ascii="宋体" w:hAnsi="宋体"/>
                <w:sz w:val="24"/>
                <w:szCs w:val="24"/>
                <w:highlight w:val="none"/>
              </w:rPr>
              <w:t>单位</w:t>
            </w:r>
          </w:p>
        </w:tc>
        <w:tc>
          <w:tcPr>
            <w:tcW w:w="1318" w:type="dxa"/>
            <w:gridSpan w:val="2"/>
            <w:tcBorders>
              <w:top w:val="single" w:color="auto" w:sz="6" w:space="0"/>
              <w:left w:val="single" w:color="auto" w:sz="6" w:space="0"/>
              <w:bottom w:val="single" w:color="auto" w:sz="6" w:space="0"/>
              <w:right w:val="single" w:color="auto" w:sz="6" w:space="0"/>
            </w:tcBorders>
            <w:vAlign w:val="center"/>
          </w:tcPr>
          <w:p w14:paraId="761BF481">
            <w:pPr>
              <w:tabs>
                <w:tab w:val="left" w:pos="4680"/>
              </w:tabs>
              <w:jc w:val="center"/>
              <w:rPr>
                <w:rFonts w:ascii="宋体" w:hAnsi="宋体"/>
                <w:sz w:val="24"/>
                <w:szCs w:val="24"/>
                <w:highlight w:val="none"/>
              </w:rPr>
            </w:pPr>
            <w:r>
              <w:rPr>
                <w:rFonts w:hint="eastAsia" w:ascii="宋体" w:hAnsi="宋体"/>
                <w:sz w:val="24"/>
                <w:szCs w:val="24"/>
                <w:highlight w:val="none"/>
              </w:rPr>
              <w:t>工程名称</w:t>
            </w:r>
          </w:p>
        </w:tc>
        <w:tc>
          <w:tcPr>
            <w:tcW w:w="1956" w:type="dxa"/>
            <w:gridSpan w:val="2"/>
            <w:tcBorders>
              <w:top w:val="single" w:color="auto" w:sz="6" w:space="0"/>
              <w:left w:val="single" w:color="auto" w:sz="6" w:space="0"/>
              <w:bottom w:val="single" w:color="auto" w:sz="6" w:space="0"/>
              <w:right w:val="single" w:color="auto" w:sz="6" w:space="0"/>
            </w:tcBorders>
            <w:vAlign w:val="center"/>
          </w:tcPr>
          <w:p w14:paraId="03F3D72F">
            <w:pPr>
              <w:tabs>
                <w:tab w:val="left" w:pos="4680"/>
              </w:tabs>
              <w:jc w:val="center"/>
              <w:rPr>
                <w:rFonts w:hint="eastAsia" w:ascii="宋体" w:hAnsi="宋体" w:eastAsia="宋体"/>
                <w:sz w:val="24"/>
                <w:szCs w:val="24"/>
                <w:highlight w:val="none"/>
                <w:lang w:eastAsia="zh-CN"/>
              </w:rPr>
            </w:pPr>
            <w:r>
              <w:rPr>
                <w:rFonts w:hint="eastAsia" w:ascii="宋体" w:hAnsi="宋体"/>
                <w:sz w:val="24"/>
                <w:szCs w:val="24"/>
                <w:highlight w:val="none"/>
              </w:rPr>
              <w:t>在工程中担任</w:t>
            </w:r>
            <w:r>
              <w:rPr>
                <w:rFonts w:hint="eastAsia" w:ascii="宋体" w:hAnsi="宋体"/>
                <w:sz w:val="24"/>
                <w:szCs w:val="24"/>
                <w:highlight w:val="none"/>
                <w:lang w:eastAsia="zh-CN"/>
              </w:rPr>
              <w:t>职务</w:t>
            </w:r>
          </w:p>
        </w:tc>
        <w:tc>
          <w:tcPr>
            <w:tcW w:w="1305" w:type="dxa"/>
            <w:gridSpan w:val="2"/>
            <w:tcBorders>
              <w:top w:val="single" w:color="auto" w:sz="6" w:space="0"/>
              <w:left w:val="single" w:color="auto" w:sz="6" w:space="0"/>
              <w:bottom w:val="single" w:color="auto" w:sz="6" w:space="0"/>
              <w:right w:val="single" w:color="auto" w:sz="4" w:space="0"/>
            </w:tcBorders>
            <w:vAlign w:val="center"/>
          </w:tcPr>
          <w:p w14:paraId="0961A794">
            <w:pPr>
              <w:tabs>
                <w:tab w:val="left" w:pos="4680"/>
              </w:tabs>
              <w:jc w:val="center"/>
              <w:rPr>
                <w:rFonts w:ascii="宋体" w:hAnsi="宋体"/>
                <w:sz w:val="24"/>
                <w:szCs w:val="24"/>
                <w:highlight w:val="none"/>
              </w:rPr>
            </w:pPr>
            <w:r>
              <w:rPr>
                <w:rFonts w:ascii="宋体" w:hAnsi="宋体"/>
                <w:sz w:val="24"/>
                <w:szCs w:val="24"/>
                <w:highlight w:val="none"/>
              </w:rPr>
              <w:t>主要工作</w:t>
            </w:r>
          </w:p>
        </w:tc>
        <w:tc>
          <w:tcPr>
            <w:tcW w:w="2222" w:type="dxa"/>
            <w:gridSpan w:val="2"/>
            <w:tcBorders>
              <w:top w:val="single" w:color="auto" w:sz="6" w:space="0"/>
              <w:left w:val="single" w:color="auto" w:sz="4" w:space="0"/>
              <w:bottom w:val="single" w:color="auto" w:sz="6" w:space="0"/>
              <w:right w:val="single" w:color="auto" w:sz="12" w:space="0"/>
            </w:tcBorders>
            <w:vAlign w:val="center"/>
          </w:tcPr>
          <w:p w14:paraId="375A302E">
            <w:pPr>
              <w:tabs>
                <w:tab w:val="left" w:pos="4680"/>
              </w:tabs>
              <w:jc w:val="center"/>
              <w:rPr>
                <w:rFonts w:ascii="宋体" w:hAnsi="宋体"/>
                <w:sz w:val="24"/>
                <w:szCs w:val="24"/>
                <w:highlight w:val="none"/>
              </w:rPr>
            </w:pPr>
            <w:r>
              <w:rPr>
                <w:rFonts w:ascii="宋体" w:hAnsi="宋体"/>
                <w:sz w:val="24"/>
                <w:szCs w:val="24"/>
                <w:highlight w:val="none"/>
              </w:rPr>
              <w:t>在监</w:t>
            </w:r>
            <w:r>
              <w:rPr>
                <w:rFonts w:hint="eastAsia" w:ascii="宋体" w:hAnsi="宋体"/>
                <w:sz w:val="24"/>
                <w:szCs w:val="24"/>
                <w:highlight w:val="none"/>
              </w:rPr>
              <w:t>工程</w:t>
            </w:r>
            <w:r>
              <w:rPr>
                <w:rFonts w:ascii="宋体" w:hAnsi="宋体"/>
                <w:sz w:val="24"/>
                <w:szCs w:val="24"/>
                <w:highlight w:val="none"/>
              </w:rPr>
              <w:t>开、竣工时间</w:t>
            </w:r>
          </w:p>
        </w:tc>
      </w:tr>
      <w:tr w14:paraId="5960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2" w:hRule="exact"/>
          <w:jc w:val="center"/>
        </w:trPr>
        <w:tc>
          <w:tcPr>
            <w:tcW w:w="1317" w:type="dxa"/>
            <w:tcBorders>
              <w:top w:val="single" w:color="auto" w:sz="6" w:space="0"/>
              <w:left w:val="single" w:color="auto" w:sz="12" w:space="0"/>
              <w:bottom w:val="single" w:color="auto" w:sz="6" w:space="0"/>
              <w:right w:val="single" w:color="auto" w:sz="6" w:space="0"/>
            </w:tcBorders>
            <w:vAlign w:val="center"/>
          </w:tcPr>
          <w:p w14:paraId="712C5401">
            <w:pPr>
              <w:tabs>
                <w:tab w:val="left" w:pos="4680"/>
              </w:tabs>
              <w:jc w:val="center"/>
              <w:rPr>
                <w:rFonts w:ascii="宋体" w:hAnsi="宋体"/>
                <w:sz w:val="24"/>
                <w:szCs w:val="24"/>
                <w:highlight w:val="none"/>
              </w:rPr>
            </w:pPr>
          </w:p>
          <w:p w14:paraId="0B99FE9B">
            <w:pPr>
              <w:tabs>
                <w:tab w:val="left" w:pos="4680"/>
              </w:tabs>
              <w:jc w:val="center"/>
              <w:rPr>
                <w:rFonts w:ascii="宋体" w:hAnsi="宋体"/>
                <w:sz w:val="24"/>
                <w:szCs w:val="24"/>
                <w:highlight w:val="none"/>
              </w:rPr>
            </w:pPr>
          </w:p>
          <w:p w14:paraId="49864864">
            <w:pPr>
              <w:tabs>
                <w:tab w:val="left" w:pos="4680"/>
              </w:tabs>
              <w:jc w:val="center"/>
              <w:rPr>
                <w:rFonts w:ascii="宋体" w:hAnsi="宋体"/>
                <w:sz w:val="24"/>
                <w:szCs w:val="24"/>
                <w:highlight w:val="none"/>
              </w:rPr>
            </w:pPr>
          </w:p>
          <w:p w14:paraId="6E94FB3D">
            <w:pPr>
              <w:tabs>
                <w:tab w:val="left" w:pos="4680"/>
              </w:tabs>
              <w:jc w:val="center"/>
              <w:rPr>
                <w:rFonts w:ascii="宋体" w:hAnsi="宋体"/>
                <w:sz w:val="24"/>
                <w:szCs w:val="24"/>
                <w:highlight w:val="none"/>
              </w:rPr>
            </w:pPr>
          </w:p>
          <w:p w14:paraId="1F398D59">
            <w:pPr>
              <w:tabs>
                <w:tab w:val="left" w:pos="4680"/>
              </w:tabs>
              <w:jc w:val="center"/>
              <w:rPr>
                <w:rFonts w:ascii="宋体" w:hAnsi="宋体"/>
                <w:sz w:val="24"/>
                <w:szCs w:val="24"/>
                <w:highlight w:val="none"/>
              </w:rPr>
            </w:pPr>
          </w:p>
          <w:p w14:paraId="5BCA23CC">
            <w:pPr>
              <w:tabs>
                <w:tab w:val="left" w:pos="4680"/>
              </w:tabs>
              <w:rPr>
                <w:rFonts w:ascii="宋体" w:hAnsi="宋体"/>
                <w:sz w:val="24"/>
                <w:szCs w:val="24"/>
                <w:highlight w:val="none"/>
              </w:rPr>
            </w:pPr>
          </w:p>
          <w:p w14:paraId="5F0FBAAF">
            <w:pPr>
              <w:tabs>
                <w:tab w:val="left" w:pos="4680"/>
              </w:tabs>
              <w:jc w:val="center"/>
              <w:rPr>
                <w:rFonts w:ascii="宋体" w:hAnsi="宋体"/>
                <w:sz w:val="24"/>
                <w:szCs w:val="24"/>
                <w:highlight w:val="none"/>
              </w:rPr>
            </w:pPr>
          </w:p>
          <w:p w14:paraId="4497D1B5">
            <w:pPr>
              <w:tabs>
                <w:tab w:val="left" w:pos="4680"/>
              </w:tabs>
              <w:jc w:val="center"/>
              <w:rPr>
                <w:rFonts w:ascii="宋体" w:hAnsi="宋体"/>
                <w:sz w:val="24"/>
                <w:szCs w:val="24"/>
                <w:highlight w:val="none"/>
              </w:rPr>
            </w:pPr>
          </w:p>
          <w:p w14:paraId="1FA56A12">
            <w:pPr>
              <w:tabs>
                <w:tab w:val="left" w:pos="4680"/>
              </w:tabs>
              <w:jc w:val="center"/>
              <w:rPr>
                <w:rFonts w:ascii="宋体" w:hAnsi="宋体"/>
                <w:sz w:val="24"/>
                <w:szCs w:val="24"/>
                <w:highlight w:val="none"/>
              </w:rPr>
            </w:pPr>
          </w:p>
          <w:p w14:paraId="70361A5B">
            <w:pPr>
              <w:tabs>
                <w:tab w:val="left" w:pos="4680"/>
              </w:tabs>
              <w:jc w:val="center"/>
              <w:rPr>
                <w:rFonts w:ascii="宋体" w:hAnsi="宋体"/>
                <w:sz w:val="24"/>
                <w:szCs w:val="24"/>
                <w:highlight w:val="none"/>
              </w:rPr>
            </w:pPr>
          </w:p>
        </w:tc>
        <w:tc>
          <w:tcPr>
            <w:tcW w:w="1317" w:type="dxa"/>
            <w:gridSpan w:val="2"/>
            <w:tcBorders>
              <w:top w:val="single" w:color="auto" w:sz="6" w:space="0"/>
              <w:left w:val="single" w:color="auto" w:sz="6" w:space="0"/>
              <w:bottom w:val="single" w:color="auto" w:sz="6" w:space="0"/>
              <w:right w:val="single" w:color="auto" w:sz="6" w:space="0"/>
            </w:tcBorders>
            <w:vAlign w:val="center"/>
          </w:tcPr>
          <w:p w14:paraId="1FC75BF3">
            <w:pPr>
              <w:tabs>
                <w:tab w:val="left" w:pos="4680"/>
              </w:tabs>
              <w:jc w:val="center"/>
              <w:rPr>
                <w:rFonts w:ascii="宋体" w:hAnsi="宋体"/>
                <w:sz w:val="24"/>
                <w:szCs w:val="24"/>
                <w:highlight w:val="none"/>
              </w:rPr>
            </w:pPr>
          </w:p>
        </w:tc>
        <w:tc>
          <w:tcPr>
            <w:tcW w:w="1318" w:type="dxa"/>
            <w:gridSpan w:val="2"/>
            <w:tcBorders>
              <w:top w:val="single" w:color="auto" w:sz="6" w:space="0"/>
              <w:left w:val="single" w:color="auto" w:sz="6" w:space="0"/>
              <w:bottom w:val="single" w:color="auto" w:sz="6" w:space="0"/>
              <w:right w:val="single" w:color="auto" w:sz="6" w:space="0"/>
            </w:tcBorders>
            <w:vAlign w:val="center"/>
          </w:tcPr>
          <w:p w14:paraId="39752F5F">
            <w:pPr>
              <w:tabs>
                <w:tab w:val="left" w:pos="4680"/>
              </w:tabs>
              <w:jc w:val="center"/>
              <w:rPr>
                <w:rFonts w:ascii="宋体" w:hAnsi="宋体"/>
                <w:sz w:val="24"/>
                <w:szCs w:val="24"/>
                <w:highlight w:val="none"/>
              </w:rPr>
            </w:pPr>
          </w:p>
        </w:tc>
        <w:tc>
          <w:tcPr>
            <w:tcW w:w="1956" w:type="dxa"/>
            <w:gridSpan w:val="2"/>
            <w:tcBorders>
              <w:top w:val="single" w:color="auto" w:sz="6" w:space="0"/>
              <w:left w:val="single" w:color="auto" w:sz="6" w:space="0"/>
              <w:bottom w:val="single" w:color="auto" w:sz="6" w:space="0"/>
              <w:right w:val="single" w:color="auto" w:sz="6" w:space="0"/>
            </w:tcBorders>
            <w:vAlign w:val="center"/>
          </w:tcPr>
          <w:p w14:paraId="5373E910">
            <w:pPr>
              <w:tabs>
                <w:tab w:val="left" w:pos="4680"/>
              </w:tabs>
              <w:jc w:val="center"/>
              <w:rPr>
                <w:rFonts w:ascii="宋体" w:hAnsi="宋体"/>
                <w:sz w:val="24"/>
                <w:szCs w:val="24"/>
                <w:highlight w:val="none"/>
              </w:rPr>
            </w:pPr>
          </w:p>
        </w:tc>
        <w:tc>
          <w:tcPr>
            <w:tcW w:w="1305" w:type="dxa"/>
            <w:gridSpan w:val="2"/>
            <w:tcBorders>
              <w:top w:val="single" w:color="auto" w:sz="6" w:space="0"/>
              <w:left w:val="single" w:color="auto" w:sz="6" w:space="0"/>
              <w:bottom w:val="single" w:color="auto" w:sz="6" w:space="0"/>
              <w:right w:val="single" w:color="auto" w:sz="4" w:space="0"/>
            </w:tcBorders>
            <w:vAlign w:val="center"/>
          </w:tcPr>
          <w:p w14:paraId="3FBC2C4F">
            <w:pPr>
              <w:tabs>
                <w:tab w:val="left" w:pos="4680"/>
              </w:tabs>
              <w:jc w:val="center"/>
              <w:rPr>
                <w:rFonts w:ascii="宋体" w:hAnsi="宋体"/>
                <w:sz w:val="24"/>
                <w:szCs w:val="24"/>
                <w:highlight w:val="none"/>
              </w:rPr>
            </w:pPr>
          </w:p>
        </w:tc>
        <w:tc>
          <w:tcPr>
            <w:tcW w:w="2222" w:type="dxa"/>
            <w:gridSpan w:val="2"/>
            <w:tcBorders>
              <w:top w:val="single" w:color="auto" w:sz="6" w:space="0"/>
              <w:left w:val="single" w:color="auto" w:sz="4" w:space="0"/>
              <w:bottom w:val="single" w:color="auto" w:sz="6" w:space="0"/>
              <w:right w:val="single" w:color="auto" w:sz="12" w:space="0"/>
            </w:tcBorders>
            <w:vAlign w:val="center"/>
          </w:tcPr>
          <w:p w14:paraId="4F78F789">
            <w:pPr>
              <w:tabs>
                <w:tab w:val="left" w:pos="4680"/>
              </w:tabs>
              <w:jc w:val="center"/>
              <w:rPr>
                <w:rFonts w:ascii="宋体" w:hAnsi="宋体"/>
                <w:sz w:val="24"/>
                <w:szCs w:val="24"/>
                <w:highlight w:val="none"/>
              </w:rPr>
            </w:pPr>
          </w:p>
        </w:tc>
      </w:tr>
      <w:tr w14:paraId="5E8A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exact"/>
          <w:jc w:val="center"/>
        </w:trPr>
        <w:tc>
          <w:tcPr>
            <w:tcW w:w="1831" w:type="dxa"/>
            <w:gridSpan w:val="2"/>
            <w:tcBorders>
              <w:top w:val="single" w:color="auto" w:sz="6" w:space="0"/>
              <w:left w:val="single" w:color="auto" w:sz="12" w:space="0"/>
              <w:bottom w:val="single" w:color="auto" w:sz="12" w:space="0"/>
              <w:right w:val="single" w:color="auto" w:sz="6" w:space="0"/>
            </w:tcBorders>
            <w:vAlign w:val="center"/>
          </w:tcPr>
          <w:p w14:paraId="318DF2FE">
            <w:pPr>
              <w:tabs>
                <w:tab w:val="left" w:pos="4680"/>
              </w:tabs>
              <w:jc w:val="center"/>
              <w:rPr>
                <w:rFonts w:ascii="宋体" w:hAnsi="宋体"/>
                <w:sz w:val="24"/>
                <w:szCs w:val="24"/>
                <w:highlight w:val="none"/>
              </w:rPr>
            </w:pPr>
            <w:r>
              <w:rPr>
                <w:rFonts w:ascii="宋体" w:hAnsi="宋体"/>
                <w:sz w:val="24"/>
                <w:szCs w:val="24"/>
                <w:highlight w:val="none"/>
              </w:rPr>
              <w:t>奖惩情况</w:t>
            </w:r>
          </w:p>
        </w:tc>
        <w:tc>
          <w:tcPr>
            <w:tcW w:w="7604" w:type="dxa"/>
            <w:gridSpan w:val="9"/>
            <w:tcBorders>
              <w:top w:val="single" w:color="auto" w:sz="6" w:space="0"/>
              <w:left w:val="single" w:color="auto" w:sz="6" w:space="0"/>
              <w:bottom w:val="single" w:color="auto" w:sz="12" w:space="0"/>
              <w:right w:val="single" w:color="auto" w:sz="12" w:space="0"/>
            </w:tcBorders>
            <w:vAlign w:val="center"/>
          </w:tcPr>
          <w:p w14:paraId="3E01DEB4">
            <w:pPr>
              <w:tabs>
                <w:tab w:val="left" w:pos="4680"/>
              </w:tabs>
              <w:jc w:val="center"/>
              <w:rPr>
                <w:rFonts w:ascii="宋体" w:hAnsi="宋体"/>
                <w:sz w:val="24"/>
                <w:szCs w:val="24"/>
                <w:highlight w:val="none"/>
              </w:rPr>
            </w:pPr>
          </w:p>
        </w:tc>
      </w:tr>
    </w:tbl>
    <w:p w14:paraId="18EBFF46">
      <w:pPr>
        <w:spacing w:line="520" w:lineRule="exact"/>
        <w:jc w:val="left"/>
        <w:rPr>
          <w:rFonts w:hint="eastAsia" w:ascii="宋体" w:hAnsi="宋体"/>
          <w:sz w:val="22"/>
          <w:szCs w:val="22"/>
          <w:highlight w:val="none"/>
        </w:rPr>
      </w:pPr>
    </w:p>
    <w:p w14:paraId="6934AEE2">
      <w:pPr>
        <w:spacing w:line="520" w:lineRule="exact"/>
        <w:jc w:val="left"/>
        <w:rPr>
          <w:rFonts w:ascii="宋体" w:hAnsi="宋体"/>
          <w:sz w:val="22"/>
          <w:szCs w:val="22"/>
          <w:highlight w:val="none"/>
        </w:rPr>
      </w:pPr>
      <w:r>
        <w:rPr>
          <w:rFonts w:hint="eastAsia" w:ascii="宋体" w:hAnsi="宋体"/>
          <w:sz w:val="22"/>
          <w:szCs w:val="22"/>
          <w:highlight w:val="none"/>
        </w:rPr>
        <w:t xml:space="preserve">注： </w:t>
      </w:r>
      <w:r>
        <w:rPr>
          <w:rFonts w:hint="eastAsia" w:ascii="宋体" w:hAnsi="宋体" w:eastAsia="宋体" w:cs="Times New Roman"/>
          <w:sz w:val="22"/>
          <w:szCs w:val="22"/>
          <w:highlight w:val="none"/>
        </w:rPr>
        <w:t>1.本表后附拟委任总监理工程师的身份证、职称证书（如有）、监理工程师执业资格证书、国家注册监理工程师注册执业证书、近3个月</w:t>
      </w:r>
      <w:r>
        <w:rPr>
          <w:rFonts w:hint="eastAsia" w:ascii="宋体" w:hAnsi="宋体" w:eastAsia="宋体" w:cs="Times New Roman"/>
          <w:sz w:val="22"/>
          <w:szCs w:val="22"/>
          <w:highlight w:val="none"/>
          <w:lang w:eastAsia="zh-CN"/>
        </w:rPr>
        <w:t>（</w:t>
      </w:r>
      <w:r>
        <w:rPr>
          <w:rFonts w:hint="eastAsia" w:ascii="宋体" w:hAnsi="宋体" w:cs="Times New Roman"/>
          <w:sz w:val="22"/>
          <w:szCs w:val="22"/>
          <w:highlight w:val="none"/>
          <w:lang w:eastAsia="zh-CN"/>
        </w:rPr>
        <w:t>2024年12月</w:t>
      </w:r>
      <w:r>
        <w:rPr>
          <w:rFonts w:hint="eastAsia" w:ascii="宋体" w:hAnsi="宋体" w:eastAsia="宋体" w:cs="Times New Roman"/>
          <w:sz w:val="22"/>
          <w:szCs w:val="22"/>
          <w:highlight w:val="none"/>
          <w:lang w:eastAsia="zh-CN"/>
        </w:rPr>
        <w:t>至</w:t>
      </w:r>
      <w:r>
        <w:rPr>
          <w:rFonts w:hint="eastAsia" w:ascii="宋体" w:hAnsi="宋体" w:cs="Times New Roman"/>
          <w:sz w:val="22"/>
          <w:szCs w:val="22"/>
          <w:highlight w:val="none"/>
          <w:lang w:eastAsia="zh-CN"/>
        </w:rPr>
        <w:t>2025年2月</w:t>
      </w:r>
      <w:r>
        <w:rPr>
          <w:rFonts w:hint="eastAsia" w:ascii="宋体" w:hAnsi="宋体" w:eastAsia="宋体" w:cs="Times New Roman"/>
          <w:sz w:val="22"/>
          <w:szCs w:val="22"/>
          <w:highlight w:val="none"/>
          <w:lang w:eastAsia="zh-CN"/>
        </w:rPr>
        <w:t>）</w:t>
      </w:r>
      <w:r>
        <w:rPr>
          <w:rFonts w:hint="eastAsia" w:ascii="宋体" w:hAnsi="宋体" w:eastAsia="宋体" w:cs="Times New Roman"/>
          <w:sz w:val="22"/>
          <w:szCs w:val="22"/>
          <w:highlight w:val="none"/>
        </w:rPr>
        <w:t>的社保管理机构的证明材料（如社保管理机构的查询机器打印件）</w:t>
      </w:r>
      <w:r>
        <w:rPr>
          <w:rFonts w:hint="eastAsia" w:ascii="宋体" w:hAnsi="宋体" w:eastAsia="宋体" w:cs="Times New Roman"/>
          <w:sz w:val="22"/>
          <w:szCs w:val="22"/>
          <w:highlight w:val="none"/>
          <w:lang w:eastAsia="zh-CN"/>
        </w:rPr>
        <w:t>，</w:t>
      </w:r>
      <w:r>
        <w:rPr>
          <w:rFonts w:hint="eastAsia" w:ascii="宋体" w:hAnsi="宋体" w:cs="Times New Roman"/>
          <w:spacing w:val="0"/>
          <w:sz w:val="22"/>
          <w:szCs w:val="22"/>
          <w:highlight w:val="none"/>
          <w:lang w:eastAsia="zh-CN"/>
        </w:rPr>
        <w:t>已退休人员可提供退休证明及返聘合同代替社保证明</w:t>
      </w:r>
      <w:r>
        <w:rPr>
          <w:rFonts w:hint="eastAsia" w:ascii="宋体" w:hAnsi="宋体" w:eastAsia="宋体" w:cs="Times New Roman"/>
          <w:sz w:val="22"/>
          <w:szCs w:val="22"/>
          <w:highlight w:val="none"/>
          <w:lang w:eastAsia="zh-CN"/>
        </w:rPr>
        <w:t>，</w:t>
      </w:r>
      <w:r>
        <w:rPr>
          <w:rFonts w:hint="eastAsia" w:ascii="宋体" w:hAnsi="宋体" w:eastAsia="宋体" w:cs="Times New Roman"/>
          <w:sz w:val="22"/>
          <w:szCs w:val="22"/>
          <w:highlight w:val="none"/>
        </w:rPr>
        <w:t>其他相关证件（如有）的复印件，以上所有复印件加盖投标人公章。</w:t>
      </w:r>
    </w:p>
    <w:p w14:paraId="528B4517">
      <w:pPr>
        <w:spacing w:line="340" w:lineRule="exact"/>
        <w:rPr>
          <w:rFonts w:ascii="宋体" w:hAnsi="宋体"/>
          <w:szCs w:val="21"/>
          <w:highlight w:val="none"/>
        </w:rPr>
      </w:pPr>
      <w:r>
        <w:rPr>
          <w:rFonts w:hint="eastAsia" w:ascii="宋体" w:hAnsi="宋体"/>
          <w:sz w:val="22"/>
          <w:szCs w:val="22"/>
          <w:highlight w:val="none"/>
        </w:rPr>
        <w:t>2.投标人应保证其它所提供资料的真实性，否则一经查出，即取消中标资格。</w:t>
      </w:r>
    </w:p>
    <w:p w14:paraId="1E2569E5">
      <w:pPr>
        <w:spacing w:line="340" w:lineRule="exact"/>
        <w:rPr>
          <w:rFonts w:ascii="宋体" w:hAnsi="宋体"/>
          <w:szCs w:val="21"/>
          <w:highlight w:val="none"/>
        </w:rPr>
      </w:pPr>
    </w:p>
    <w:p w14:paraId="15E22614">
      <w:pPr>
        <w:spacing w:line="480" w:lineRule="exact"/>
        <w:ind w:firstLine="3580" w:firstLineChars="1492"/>
        <w:jc w:val="right"/>
        <w:rPr>
          <w:sz w:val="24"/>
          <w:highlight w:val="none"/>
        </w:rPr>
      </w:pPr>
      <w:r>
        <w:rPr>
          <w:rFonts w:hint="eastAsia"/>
          <w:sz w:val="24"/>
          <w:highlight w:val="none"/>
        </w:rPr>
        <w:t>投 标 人</w:t>
      </w:r>
      <w:r>
        <w:rPr>
          <w:rFonts w:hint="eastAsia" w:ascii="宋体" w:hAnsi="宋体"/>
          <w:sz w:val="24"/>
          <w:highlight w:val="none"/>
        </w:rPr>
        <w:t>：</w:t>
      </w:r>
      <w:r>
        <w:rPr>
          <w:rFonts w:hint="eastAsia" w:ascii="宋体" w:hAnsi="宋体"/>
          <w:sz w:val="24"/>
          <w:highlight w:val="none"/>
          <w:u w:val="single"/>
        </w:rPr>
        <w:t xml:space="preserve">           </w:t>
      </w:r>
      <w:r>
        <w:rPr>
          <w:rFonts w:hint="eastAsia"/>
          <w:sz w:val="24"/>
          <w:highlight w:val="none"/>
        </w:rPr>
        <w:t xml:space="preserve"> (盖</w:t>
      </w:r>
      <w:r>
        <w:rPr>
          <w:rFonts w:hint="eastAsia"/>
          <w:sz w:val="24"/>
          <w:highlight w:val="none"/>
          <w:lang w:val="en-US" w:eastAsia="zh-CN"/>
        </w:rPr>
        <w:t>单位</w:t>
      </w:r>
      <w:r>
        <w:rPr>
          <w:rFonts w:hint="eastAsia"/>
          <w:sz w:val="24"/>
          <w:highlight w:val="none"/>
        </w:rPr>
        <w:t>章)</w:t>
      </w:r>
    </w:p>
    <w:p w14:paraId="75E9C05E">
      <w:pPr>
        <w:spacing w:line="480" w:lineRule="exact"/>
        <w:jc w:val="right"/>
        <w:rPr>
          <w:rFonts w:ascii="宋体" w:hAnsi="宋体"/>
          <w:sz w:val="24"/>
          <w:highlight w:val="none"/>
          <w:u w:val="single"/>
        </w:rPr>
      </w:pPr>
      <w:r>
        <w:rPr>
          <w:rFonts w:hint="eastAsia" w:ascii="宋体" w:hAnsi="宋体"/>
          <w:sz w:val="24"/>
          <w:highlight w:val="none"/>
        </w:rPr>
        <w:t>项目总监理工程师：</w:t>
      </w:r>
      <w:r>
        <w:rPr>
          <w:rFonts w:hint="eastAsia" w:ascii="宋体" w:hAnsi="宋体"/>
          <w:sz w:val="24"/>
          <w:highlight w:val="none"/>
          <w:u w:val="single"/>
        </w:rPr>
        <w:t xml:space="preserve">           （签字）</w:t>
      </w:r>
    </w:p>
    <w:p w14:paraId="799D46D1">
      <w:pPr>
        <w:autoSpaceDE w:val="0"/>
        <w:autoSpaceDN w:val="0"/>
        <w:adjustRightInd w:val="0"/>
        <w:spacing w:line="480" w:lineRule="exact"/>
        <w:jc w:val="right"/>
        <w:rPr>
          <w:b/>
          <w:sz w:val="32"/>
          <w:szCs w:val="32"/>
          <w:highlight w:val="none"/>
        </w:rPr>
      </w:pPr>
      <w:r>
        <w:rPr>
          <w:sz w:val="24"/>
          <w:szCs w:val="24"/>
          <w:highlight w:val="none"/>
        </w:rPr>
        <w:t>日期：</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1563C83D">
      <w:pPr>
        <w:spacing w:line="600" w:lineRule="exact"/>
        <w:outlineLvl w:val="2"/>
        <w:rPr>
          <w:b/>
          <w:bCs/>
          <w:sz w:val="32"/>
          <w:szCs w:val="32"/>
          <w:highlight w:val="none"/>
        </w:rPr>
      </w:pPr>
      <w:r>
        <w:rPr>
          <w:rFonts w:ascii="宋体" w:hAnsi="宋体"/>
          <w:szCs w:val="21"/>
          <w:highlight w:val="none"/>
        </w:rPr>
        <w:br w:type="page"/>
      </w:r>
      <w:bookmarkStart w:id="143" w:name="_Toc454626807"/>
      <w:bookmarkStart w:id="144" w:name="_Toc17821073"/>
      <w:bookmarkStart w:id="145" w:name="_Toc454627390"/>
      <w:bookmarkStart w:id="146" w:name="_Toc17821436"/>
      <w:bookmarkStart w:id="147" w:name="_Toc22945"/>
      <w:r>
        <w:rPr>
          <w:rFonts w:hint="eastAsia" w:ascii="宋体" w:hAnsi="宋体"/>
          <w:b/>
          <w:bCs/>
          <w:spacing w:val="4"/>
          <w:sz w:val="24"/>
          <w:szCs w:val="24"/>
          <w:highlight w:val="none"/>
        </w:rPr>
        <w:t>表</w:t>
      </w:r>
      <w:r>
        <w:rPr>
          <w:rFonts w:hint="eastAsia" w:ascii="宋体" w:hAnsi="宋体"/>
          <w:b/>
          <w:bCs/>
          <w:spacing w:val="4"/>
          <w:sz w:val="24"/>
          <w:szCs w:val="24"/>
          <w:highlight w:val="none"/>
          <w:lang w:val="en-US" w:eastAsia="zh-CN"/>
        </w:rPr>
        <w:t>5</w:t>
      </w:r>
      <w:r>
        <w:rPr>
          <w:rFonts w:hint="eastAsia" w:ascii="宋体" w:hAnsi="宋体"/>
          <w:b/>
          <w:bCs/>
          <w:spacing w:val="4"/>
          <w:sz w:val="24"/>
          <w:szCs w:val="24"/>
          <w:highlight w:val="none"/>
        </w:rPr>
        <w:t>-6：</w:t>
      </w:r>
      <w:r>
        <w:rPr>
          <w:rFonts w:ascii="宋体" w:hAnsi="宋体"/>
          <w:b/>
          <w:bCs/>
          <w:spacing w:val="4"/>
          <w:sz w:val="24"/>
          <w:szCs w:val="24"/>
          <w:highlight w:val="none"/>
        </w:rPr>
        <w:t>拟</w:t>
      </w:r>
      <w:r>
        <w:rPr>
          <w:rFonts w:hint="eastAsia" w:ascii="宋体" w:hAnsi="宋体"/>
          <w:b/>
          <w:bCs/>
          <w:spacing w:val="4"/>
          <w:sz w:val="24"/>
          <w:szCs w:val="24"/>
          <w:highlight w:val="none"/>
        </w:rPr>
        <w:t>委派本项目</w:t>
      </w:r>
      <w:r>
        <w:rPr>
          <w:rFonts w:ascii="宋体" w:hAnsi="宋体"/>
          <w:b/>
          <w:bCs/>
          <w:spacing w:val="4"/>
          <w:sz w:val="24"/>
          <w:szCs w:val="24"/>
          <w:highlight w:val="none"/>
        </w:rPr>
        <w:t>监理人员工作简历表</w:t>
      </w:r>
      <w:bookmarkEnd w:id="143"/>
      <w:bookmarkEnd w:id="144"/>
      <w:bookmarkEnd w:id="145"/>
      <w:bookmarkEnd w:id="146"/>
      <w:bookmarkEnd w:id="147"/>
    </w:p>
    <w:tbl>
      <w:tblPr>
        <w:tblStyle w:val="4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7"/>
        <w:gridCol w:w="514"/>
        <w:gridCol w:w="803"/>
        <w:gridCol w:w="717"/>
        <w:gridCol w:w="601"/>
        <w:gridCol w:w="919"/>
        <w:gridCol w:w="1037"/>
        <w:gridCol w:w="484"/>
        <w:gridCol w:w="821"/>
        <w:gridCol w:w="699"/>
        <w:gridCol w:w="1523"/>
      </w:tblGrid>
      <w:tr w14:paraId="6EED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3C68451D">
            <w:pPr>
              <w:tabs>
                <w:tab w:val="left" w:pos="4680"/>
              </w:tabs>
              <w:jc w:val="center"/>
              <w:rPr>
                <w:rFonts w:ascii="宋体" w:hAnsi="宋体"/>
                <w:sz w:val="24"/>
                <w:szCs w:val="24"/>
                <w:highlight w:val="none"/>
              </w:rPr>
            </w:pPr>
            <w:r>
              <w:rPr>
                <w:rFonts w:ascii="宋体" w:hAnsi="宋体"/>
                <w:sz w:val="24"/>
                <w:szCs w:val="24"/>
                <w:highlight w:val="none"/>
              </w:rPr>
              <w:t>姓名</w:t>
            </w: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3165C0E2">
            <w:pPr>
              <w:tabs>
                <w:tab w:val="left" w:pos="4680"/>
              </w:tabs>
              <w:jc w:val="center"/>
              <w:rPr>
                <w:rFonts w:ascii="宋体" w:hAnsi="宋体"/>
                <w:sz w:val="24"/>
                <w:szCs w:val="24"/>
                <w:highlight w:val="none"/>
              </w:rPr>
            </w:pP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58D761AA">
            <w:pPr>
              <w:tabs>
                <w:tab w:val="left" w:pos="4680"/>
              </w:tabs>
              <w:jc w:val="center"/>
              <w:rPr>
                <w:rFonts w:ascii="宋体" w:hAnsi="宋体"/>
                <w:sz w:val="24"/>
                <w:szCs w:val="24"/>
                <w:highlight w:val="none"/>
              </w:rPr>
            </w:pPr>
            <w:r>
              <w:rPr>
                <w:rFonts w:ascii="宋体" w:hAnsi="宋体"/>
                <w:sz w:val="24"/>
                <w:szCs w:val="24"/>
                <w:highlight w:val="none"/>
              </w:rPr>
              <w:t>性别</w:t>
            </w: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11501ED9">
            <w:pPr>
              <w:tabs>
                <w:tab w:val="left" w:pos="4680"/>
              </w:tabs>
              <w:jc w:val="center"/>
              <w:rPr>
                <w:rFonts w:ascii="宋体" w:hAnsi="宋体"/>
                <w:sz w:val="24"/>
                <w:szCs w:val="24"/>
                <w:highlight w:val="none"/>
              </w:rPr>
            </w:pPr>
          </w:p>
        </w:tc>
        <w:tc>
          <w:tcPr>
            <w:tcW w:w="1520" w:type="dxa"/>
            <w:gridSpan w:val="2"/>
            <w:tcBorders>
              <w:top w:val="single" w:color="auto" w:sz="12" w:space="0"/>
              <w:left w:val="single" w:color="auto" w:sz="6" w:space="0"/>
              <w:bottom w:val="single" w:color="auto" w:sz="6" w:space="0"/>
              <w:right w:val="single" w:color="auto" w:sz="6" w:space="0"/>
            </w:tcBorders>
            <w:vAlign w:val="center"/>
          </w:tcPr>
          <w:p w14:paraId="1665C9E2">
            <w:pPr>
              <w:tabs>
                <w:tab w:val="left" w:pos="4680"/>
              </w:tabs>
              <w:jc w:val="center"/>
              <w:rPr>
                <w:rFonts w:ascii="宋体" w:hAnsi="宋体"/>
                <w:sz w:val="24"/>
                <w:szCs w:val="24"/>
                <w:highlight w:val="none"/>
              </w:rPr>
            </w:pPr>
            <w:r>
              <w:rPr>
                <w:rFonts w:ascii="宋体" w:hAnsi="宋体"/>
                <w:sz w:val="24"/>
                <w:szCs w:val="24"/>
                <w:highlight w:val="none"/>
              </w:rPr>
              <w:t>年龄</w:t>
            </w:r>
          </w:p>
        </w:tc>
        <w:tc>
          <w:tcPr>
            <w:tcW w:w="1523" w:type="dxa"/>
            <w:tcBorders>
              <w:top w:val="single" w:color="auto" w:sz="12" w:space="0"/>
              <w:left w:val="single" w:color="auto" w:sz="6" w:space="0"/>
              <w:bottom w:val="single" w:color="auto" w:sz="6" w:space="0"/>
              <w:right w:val="single" w:color="auto" w:sz="12" w:space="0"/>
            </w:tcBorders>
            <w:vAlign w:val="center"/>
          </w:tcPr>
          <w:p w14:paraId="7E6137CA">
            <w:pPr>
              <w:tabs>
                <w:tab w:val="left" w:pos="4680"/>
              </w:tabs>
              <w:jc w:val="center"/>
              <w:rPr>
                <w:rFonts w:ascii="宋体" w:hAnsi="宋体"/>
                <w:sz w:val="24"/>
                <w:szCs w:val="24"/>
                <w:highlight w:val="none"/>
              </w:rPr>
            </w:pPr>
          </w:p>
        </w:tc>
      </w:tr>
      <w:tr w14:paraId="5DEB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20DF204E">
            <w:pPr>
              <w:tabs>
                <w:tab w:val="left" w:pos="4680"/>
              </w:tabs>
              <w:jc w:val="center"/>
              <w:rPr>
                <w:rFonts w:ascii="宋体" w:hAnsi="宋体"/>
                <w:sz w:val="24"/>
                <w:szCs w:val="24"/>
                <w:highlight w:val="none"/>
              </w:rPr>
            </w:pPr>
            <w:r>
              <w:rPr>
                <w:rFonts w:ascii="宋体" w:hAnsi="宋体"/>
                <w:sz w:val="24"/>
                <w:szCs w:val="24"/>
                <w:highlight w:val="none"/>
              </w:rPr>
              <w:t>职称</w:t>
            </w:r>
          </w:p>
        </w:tc>
        <w:tc>
          <w:tcPr>
            <w:tcW w:w="3040" w:type="dxa"/>
            <w:gridSpan w:val="4"/>
            <w:tcBorders>
              <w:top w:val="single" w:color="auto" w:sz="12" w:space="0"/>
              <w:left w:val="single" w:color="auto" w:sz="6" w:space="0"/>
              <w:bottom w:val="single" w:color="auto" w:sz="6" w:space="0"/>
              <w:right w:val="single" w:color="auto" w:sz="6" w:space="0"/>
            </w:tcBorders>
            <w:vAlign w:val="center"/>
          </w:tcPr>
          <w:p w14:paraId="18F07197">
            <w:pPr>
              <w:tabs>
                <w:tab w:val="left" w:pos="4680"/>
              </w:tabs>
              <w:jc w:val="center"/>
              <w:rPr>
                <w:rFonts w:ascii="宋体" w:hAnsi="宋体"/>
                <w:sz w:val="24"/>
                <w:szCs w:val="24"/>
                <w:highlight w:val="none"/>
              </w:rPr>
            </w:pP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4B8FE07C">
            <w:pPr>
              <w:tabs>
                <w:tab w:val="left" w:pos="4680"/>
              </w:tabs>
              <w:jc w:val="center"/>
              <w:rPr>
                <w:rFonts w:ascii="宋体" w:hAnsi="宋体"/>
                <w:sz w:val="24"/>
                <w:szCs w:val="24"/>
                <w:highlight w:val="none"/>
              </w:rPr>
            </w:pPr>
            <w:r>
              <w:rPr>
                <w:rFonts w:hint="eastAsia" w:ascii="宋体" w:hAnsi="宋体"/>
                <w:sz w:val="24"/>
                <w:szCs w:val="24"/>
                <w:highlight w:val="none"/>
                <w:lang w:eastAsia="zh-CN"/>
              </w:rPr>
              <w:t>专业</w:t>
            </w:r>
          </w:p>
        </w:tc>
        <w:tc>
          <w:tcPr>
            <w:tcW w:w="3043" w:type="dxa"/>
            <w:gridSpan w:val="3"/>
            <w:tcBorders>
              <w:top w:val="single" w:color="auto" w:sz="12" w:space="0"/>
              <w:left w:val="single" w:color="auto" w:sz="6" w:space="0"/>
              <w:bottom w:val="single" w:color="auto" w:sz="6" w:space="0"/>
              <w:right w:val="single" w:color="auto" w:sz="12" w:space="0"/>
            </w:tcBorders>
            <w:vAlign w:val="center"/>
          </w:tcPr>
          <w:p w14:paraId="36218365">
            <w:pPr>
              <w:tabs>
                <w:tab w:val="left" w:pos="4680"/>
              </w:tabs>
              <w:jc w:val="center"/>
              <w:rPr>
                <w:rFonts w:ascii="宋体" w:hAnsi="宋体"/>
                <w:sz w:val="24"/>
                <w:szCs w:val="24"/>
                <w:highlight w:val="none"/>
              </w:rPr>
            </w:pPr>
          </w:p>
        </w:tc>
      </w:tr>
      <w:tr w14:paraId="1A26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exact"/>
          <w:jc w:val="center"/>
        </w:trPr>
        <w:tc>
          <w:tcPr>
            <w:tcW w:w="1831" w:type="dxa"/>
            <w:gridSpan w:val="2"/>
            <w:tcBorders>
              <w:top w:val="single" w:color="auto" w:sz="12" w:space="0"/>
              <w:left w:val="single" w:color="auto" w:sz="12" w:space="0"/>
              <w:bottom w:val="single" w:color="auto" w:sz="6" w:space="0"/>
              <w:right w:val="single" w:color="auto" w:sz="6" w:space="0"/>
            </w:tcBorders>
            <w:vAlign w:val="center"/>
          </w:tcPr>
          <w:p w14:paraId="271DDF05">
            <w:pPr>
              <w:spacing w:line="300" w:lineRule="exact"/>
              <w:jc w:val="center"/>
              <w:rPr>
                <w:rFonts w:ascii="宋体" w:hAnsi="宋体"/>
                <w:sz w:val="24"/>
                <w:szCs w:val="24"/>
                <w:highlight w:val="none"/>
              </w:rPr>
            </w:pPr>
            <w:r>
              <w:rPr>
                <w:rFonts w:hint="eastAsia" w:ascii="宋体" w:hAnsi="宋体"/>
                <w:sz w:val="24"/>
                <w:szCs w:val="24"/>
                <w:highlight w:val="none"/>
              </w:rPr>
              <w:t>监理工程师</w:t>
            </w:r>
          </w:p>
          <w:p w14:paraId="34162595">
            <w:pPr>
              <w:tabs>
                <w:tab w:val="left" w:pos="4680"/>
              </w:tabs>
              <w:jc w:val="center"/>
              <w:rPr>
                <w:rFonts w:ascii="宋体" w:hAnsi="宋体"/>
                <w:sz w:val="24"/>
                <w:szCs w:val="24"/>
                <w:highlight w:val="none"/>
              </w:rPr>
            </w:pPr>
            <w:r>
              <w:rPr>
                <w:rFonts w:hint="eastAsia" w:ascii="宋体" w:hAnsi="宋体"/>
                <w:sz w:val="24"/>
                <w:szCs w:val="24"/>
                <w:highlight w:val="none"/>
              </w:rPr>
              <w:t>或培训证书</w:t>
            </w:r>
          </w:p>
        </w:tc>
        <w:tc>
          <w:tcPr>
            <w:tcW w:w="3040" w:type="dxa"/>
            <w:gridSpan w:val="4"/>
            <w:tcBorders>
              <w:top w:val="single" w:color="auto" w:sz="12" w:space="0"/>
              <w:left w:val="single" w:color="auto" w:sz="6" w:space="0"/>
              <w:bottom w:val="single" w:color="auto" w:sz="6" w:space="0"/>
              <w:right w:val="single" w:color="auto" w:sz="6" w:space="0"/>
            </w:tcBorders>
            <w:vAlign w:val="center"/>
          </w:tcPr>
          <w:p w14:paraId="06ACFF69">
            <w:pPr>
              <w:tabs>
                <w:tab w:val="left" w:pos="4680"/>
              </w:tabs>
              <w:jc w:val="center"/>
              <w:rPr>
                <w:rFonts w:ascii="宋体" w:hAnsi="宋体"/>
                <w:sz w:val="24"/>
                <w:szCs w:val="24"/>
                <w:highlight w:val="none"/>
              </w:rPr>
            </w:pPr>
          </w:p>
        </w:tc>
        <w:tc>
          <w:tcPr>
            <w:tcW w:w="1521" w:type="dxa"/>
            <w:gridSpan w:val="2"/>
            <w:tcBorders>
              <w:top w:val="single" w:color="auto" w:sz="12" w:space="0"/>
              <w:left w:val="single" w:color="auto" w:sz="6" w:space="0"/>
              <w:bottom w:val="single" w:color="auto" w:sz="6" w:space="0"/>
              <w:right w:val="single" w:color="auto" w:sz="6" w:space="0"/>
            </w:tcBorders>
            <w:vAlign w:val="center"/>
          </w:tcPr>
          <w:p w14:paraId="25023CAC">
            <w:pPr>
              <w:tabs>
                <w:tab w:val="left" w:pos="4680"/>
              </w:tabs>
              <w:jc w:val="center"/>
              <w:rPr>
                <w:rFonts w:hint="eastAsia" w:ascii="宋体" w:hAnsi="宋体"/>
                <w:sz w:val="24"/>
                <w:szCs w:val="24"/>
                <w:highlight w:val="none"/>
                <w:lang w:eastAsia="zh-CN"/>
              </w:rPr>
            </w:pPr>
            <w:r>
              <w:rPr>
                <w:rFonts w:ascii="宋体" w:hAnsi="宋体"/>
                <w:sz w:val="24"/>
                <w:szCs w:val="24"/>
                <w:highlight w:val="none"/>
              </w:rPr>
              <w:t>证书编号</w:t>
            </w:r>
          </w:p>
        </w:tc>
        <w:tc>
          <w:tcPr>
            <w:tcW w:w="3043" w:type="dxa"/>
            <w:gridSpan w:val="3"/>
            <w:tcBorders>
              <w:top w:val="single" w:color="auto" w:sz="12" w:space="0"/>
              <w:left w:val="single" w:color="auto" w:sz="6" w:space="0"/>
              <w:bottom w:val="single" w:color="auto" w:sz="6" w:space="0"/>
              <w:right w:val="single" w:color="auto" w:sz="12" w:space="0"/>
            </w:tcBorders>
            <w:vAlign w:val="center"/>
          </w:tcPr>
          <w:p w14:paraId="4F906235">
            <w:pPr>
              <w:tabs>
                <w:tab w:val="left" w:pos="4680"/>
              </w:tabs>
              <w:jc w:val="center"/>
              <w:rPr>
                <w:rFonts w:ascii="宋体" w:hAnsi="宋体"/>
                <w:sz w:val="24"/>
                <w:szCs w:val="24"/>
                <w:highlight w:val="none"/>
              </w:rPr>
            </w:pPr>
          </w:p>
        </w:tc>
      </w:tr>
      <w:tr w14:paraId="0C59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8" w:hRule="exact"/>
          <w:jc w:val="center"/>
        </w:trPr>
        <w:tc>
          <w:tcPr>
            <w:tcW w:w="1831" w:type="dxa"/>
            <w:gridSpan w:val="2"/>
            <w:tcBorders>
              <w:top w:val="single" w:color="auto" w:sz="6" w:space="0"/>
              <w:left w:val="single" w:color="auto" w:sz="12" w:space="0"/>
              <w:bottom w:val="single" w:color="auto" w:sz="6" w:space="0"/>
              <w:right w:val="single" w:color="auto" w:sz="6" w:space="0"/>
            </w:tcBorders>
            <w:vAlign w:val="center"/>
          </w:tcPr>
          <w:p w14:paraId="4ED36C4E">
            <w:pPr>
              <w:tabs>
                <w:tab w:val="left" w:pos="4680"/>
              </w:tabs>
              <w:spacing w:line="300" w:lineRule="exact"/>
              <w:jc w:val="center"/>
              <w:rPr>
                <w:rFonts w:ascii="宋体" w:hAnsi="宋体"/>
                <w:sz w:val="24"/>
                <w:szCs w:val="24"/>
                <w:highlight w:val="none"/>
              </w:rPr>
            </w:pPr>
            <w:r>
              <w:rPr>
                <w:rFonts w:ascii="宋体" w:hAnsi="宋体"/>
                <w:sz w:val="24"/>
                <w:szCs w:val="24"/>
                <w:highlight w:val="none"/>
              </w:rPr>
              <w:t>本</w:t>
            </w:r>
            <w:r>
              <w:rPr>
                <w:rFonts w:hint="eastAsia" w:ascii="宋体" w:hAnsi="宋体"/>
                <w:sz w:val="24"/>
                <w:szCs w:val="24"/>
                <w:highlight w:val="none"/>
              </w:rPr>
              <w:t>项目</w:t>
            </w:r>
            <w:r>
              <w:rPr>
                <w:rFonts w:ascii="宋体" w:hAnsi="宋体"/>
                <w:sz w:val="24"/>
                <w:szCs w:val="24"/>
                <w:highlight w:val="none"/>
              </w:rPr>
              <w:t>拟</w:t>
            </w:r>
          </w:p>
          <w:p w14:paraId="70145296">
            <w:pPr>
              <w:tabs>
                <w:tab w:val="left" w:pos="4680"/>
              </w:tabs>
              <w:spacing w:line="300" w:lineRule="exact"/>
              <w:jc w:val="center"/>
              <w:rPr>
                <w:rFonts w:ascii="宋体" w:hAnsi="宋体"/>
                <w:sz w:val="24"/>
                <w:szCs w:val="24"/>
                <w:highlight w:val="none"/>
              </w:rPr>
            </w:pPr>
            <w:r>
              <w:rPr>
                <w:rFonts w:ascii="宋体" w:hAnsi="宋体"/>
                <w:sz w:val="24"/>
                <w:szCs w:val="24"/>
                <w:highlight w:val="none"/>
              </w:rPr>
              <w:t>出任职务</w:t>
            </w: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53DAF871">
            <w:pPr>
              <w:tabs>
                <w:tab w:val="left" w:pos="4680"/>
              </w:tabs>
              <w:jc w:val="center"/>
              <w:rPr>
                <w:rFonts w:ascii="宋体" w:hAnsi="宋体"/>
                <w:sz w:val="24"/>
                <w:szCs w:val="24"/>
                <w:highlight w:val="none"/>
              </w:rPr>
            </w:pP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4AF9FA99">
            <w:pPr>
              <w:tabs>
                <w:tab w:val="left" w:pos="4680"/>
              </w:tabs>
              <w:jc w:val="center"/>
              <w:rPr>
                <w:rFonts w:ascii="宋体" w:hAnsi="宋体"/>
                <w:sz w:val="24"/>
                <w:szCs w:val="24"/>
                <w:highlight w:val="none"/>
              </w:rPr>
            </w:pPr>
            <w:r>
              <w:rPr>
                <w:rFonts w:ascii="宋体" w:hAnsi="宋体"/>
                <w:sz w:val="24"/>
                <w:szCs w:val="24"/>
                <w:highlight w:val="none"/>
              </w:rPr>
              <w:t>工作年限</w:t>
            </w:r>
          </w:p>
        </w:tc>
        <w:tc>
          <w:tcPr>
            <w:tcW w:w="1521" w:type="dxa"/>
            <w:gridSpan w:val="2"/>
            <w:tcBorders>
              <w:top w:val="single" w:color="auto" w:sz="6" w:space="0"/>
              <w:left w:val="single" w:color="auto" w:sz="6" w:space="0"/>
              <w:bottom w:val="single" w:color="auto" w:sz="6" w:space="0"/>
              <w:right w:val="single" w:color="auto" w:sz="6" w:space="0"/>
            </w:tcBorders>
            <w:vAlign w:val="center"/>
          </w:tcPr>
          <w:p w14:paraId="229D4D4E">
            <w:pPr>
              <w:tabs>
                <w:tab w:val="left" w:pos="4680"/>
              </w:tabs>
              <w:jc w:val="center"/>
              <w:rPr>
                <w:rFonts w:ascii="宋体" w:hAnsi="宋体"/>
                <w:sz w:val="24"/>
                <w:szCs w:val="24"/>
                <w:highlight w:val="none"/>
              </w:rPr>
            </w:pPr>
          </w:p>
        </w:tc>
        <w:tc>
          <w:tcPr>
            <w:tcW w:w="1520" w:type="dxa"/>
            <w:gridSpan w:val="2"/>
            <w:tcBorders>
              <w:top w:val="single" w:color="auto" w:sz="6" w:space="0"/>
              <w:left w:val="single" w:color="auto" w:sz="6" w:space="0"/>
              <w:bottom w:val="single" w:color="auto" w:sz="6" w:space="0"/>
              <w:right w:val="single" w:color="auto" w:sz="6" w:space="0"/>
            </w:tcBorders>
            <w:vAlign w:val="center"/>
          </w:tcPr>
          <w:p w14:paraId="01B48482">
            <w:pPr>
              <w:tabs>
                <w:tab w:val="left" w:pos="4680"/>
              </w:tabs>
              <w:jc w:val="center"/>
              <w:rPr>
                <w:rFonts w:ascii="宋体" w:hAnsi="宋体"/>
                <w:sz w:val="24"/>
                <w:szCs w:val="24"/>
                <w:highlight w:val="none"/>
              </w:rPr>
            </w:pPr>
            <w:r>
              <w:rPr>
                <w:rFonts w:ascii="宋体" w:hAnsi="宋体"/>
                <w:sz w:val="24"/>
                <w:szCs w:val="24"/>
                <w:highlight w:val="none"/>
              </w:rPr>
              <w:t>专业工作年限</w:t>
            </w:r>
          </w:p>
        </w:tc>
        <w:tc>
          <w:tcPr>
            <w:tcW w:w="1523" w:type="dxa"/>
            <w:tcBorders>
              <w:top w:val="single" w:color="auto" w:sz="6" w:space="0"/>
              <w:left w:val="single" w:color="auto" w:sz="6" w:space="0"/>
              <w:bottom w:val="single" w:color="auto" w:sz="6" w:space="0"/>
              <w:right w:val="single" w:color="auto" w:sz="12" w:space="0"/>
            </w:tcBorders>
            <w:vAlign w:val="center"/>
          </w:tcPr>
          <w:p w14:paraId="122E7299">
            <w:pPr>
              <w:tabs>
                <w:tab w:val="left" w:pos="4680"/>
              </w:tabs>
              <w:jc w:val="center"/>
              <w:rPr>
                <w:rFonts w:ascii="宋体" w:hAnsi="宋体"/>
                <w:sz w:val="24"/>
                <w:szCs w:val="24"/>
                <w:highlight w:val="none"/>
              </w:rPr>
            </w:pPr>
          </w:p>
        </w:tc>
      </w:tr>
      <w:tr w14:paraId="5CF2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exact"/>
          <w:jc w:val="center"/>
        </w:trPr>
        <w:tc>
          <w:tcPr>
            <w:tcW w:w="9435" w:type="dxa"/>
            <w:gridSpan w:val="11"/>
            <w:tcBorders>
              <w:top w:val="single" w:color="auto" w:sz="6" w:space="0"/>
              <w:left w:val="single" w:color="auto" w:sz="12" w:space="0"/>
              <w:bottom w:val="single" w:color="auto" w:sz="6" w:space="0"/>
              <w:right w:val="single" w:color="auto" w:sz="12" w:space="0"/>
            </w:tcBorders>
            <w:vAlign w:val="center"/>
          </w:tcPr>
          <w:p w14:paraId="3C9E8978">
            <w:pPr>
              <w:tabs>
                <w:tab w:val="left" w:pos="4680"/>
              </w:tabs>
              <w:jc w:val="center"/>
              <w:rPr>
                <w:rFonts w:hint="eastAsia" w:ascii="宋体" w:hAnsi="宋体" w:eastAsia="宋体"/>
                <w:sz w:val="24"/>
                <w:szCs w:val="24"/>
                <w:highlight w:val="none"/>
                <w:lang w:eastAsia="zh-CN"/>
              </w:rPr>
            </w:pPr>
            <w:r>
              <w:rPr>
                <w:rFonts w:hint="eastAsia" w:ascii="宋体" w:hAnsi="宋体"/>
                <w:sz w:val="24"/>
                <w:szCs w:val="24"/>
                <w:highlight w:val="none"/>
                <w:lang w:eastAsia="zh-CN"/>
              </w:rPr>
              <w:t>监理</w:t>
            </w:r>
            <w:r>
              <w:rPr>
                <w:rFonts w:hint="eastAsia" w:ascii="宋体" w:hAnsi="宋体"/>
                <w:sz w:val="24"/>
                <w:szCs w:val="24"/>
                <w:highlight w:val="none"/>
              </w:rPr>
              <w:t>工程</w:t>
            </w:r>
            <w:r>
              <w:rPr>
                <w:rFonts w:hint="eastAsia" w:ascii="宋体" w:hAnsi="宋体"/>
                <w:sz w:val="24"/>
                <w:szCs w:val="24"/>
                <w:highlight w:val="none"/>
                <w:lang w:eastAsia="zh-CN"/>
              </w:rPr>
              <w:t>情况</w:t>
            </w:r>
          </w:p>
        </w:tc>
      </w:tr>
      <w:tr w14:paraId="208D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exact"/>
          <w:jc w:val="center"/>
        </w:trPr>
        <w:tc>
          <w:tcPr>
            <w:tcW w:w="1317" w:type="dxa"/>
            <w:tcBorders>
              <w:top w:val="single" w:color="auto" w:sz="6" w:space="0"/>
              <w:left w:val="single" w:color="auto" w:sz="12" w:space="0"/>
              <w:bottom w:val="single" w:color="auto" w:sz="6" w:space="0"/>
              <w:right w:val="single" w:color="auto" w:sz="6" w:space="0"/>
            </w:tcBorders>
            <w:vAlign w:val="center"/>
          </w:tcPr>
          <w:p w14:paraId="03C389E7">
            <w:pPr>
              <w:tabs>
                <w:tab w:val="left" w:pos="4680"/>
              </w:tabs>
              <w:jc w:val="center"/>
              <w:rPr>
                <w:rFonts w:ascii="宋体" w:hAnsi="宋体"/>
                <w:sz w:val="24"/>
                <w:szCs w:val="24"/>
                <w:highlight w:val="none"/>
              </w:rPr>
            </w:pPr>
            <w:r>
              <w:rPr>
                <w:rFonts w:hint="eastAsia" w:ascii="宋体" w:hAnsi="宋体"/>
                <w:sz w:val="24"/>
                <w:szCs w:val="24"/>
                <w:highlight w:val="none"/>
              </w:rPr>
              <w:t>年月</w:t>
            </w:r>
          </w:p>
        </w:tc>
        <w:tc>
          <w:tcPr>
            <w:tcW w:w="1317" w:type="dxa"/>
            <w:gridSpan w:val="2"/>
            <w:tcBorders>
              <w:top w:val="single" w:color="auto" w:sz="6" w:space="0"/>
              <w:left w:val="single" w:color="auto" w:sz="6" w:space="0"/>
              <w:bottom w:val="single" w:color="auto" w:sz="6" w:space="0"/>
              <w:right w:val="single" w:color="auto" w:sz="6" w:space="0"/>
            </w:tcBorders>
            <w:vAlign w:val="center"/>
          </w:tcPr>
          <w:p w14:paraId="7AB476C5">
            <w:pPr>
              <w:tabs>
                <w:tab w:val="left" w:pos="4680"/>
              </w:tabs>
              <w:jc w:val="center"/>
              <w:rPr>
                <w:rFonts w:ascii="宋体" w:hAnsi="宋体"/>
                <w:sz w:val="24"/>
                <w:szCs w:val="24"/>
                <w:highlight w:val="none"/>
              </w:rPr>
            </w:pPr>
            <w:r>
              <w:rPr>
                <w:rFonts w:hint="eastAsia" w:ascii="宋体" w:hAnsi="宋体"/>
                <w:sz w:val="24"/>
                <w:szCs w:val="24"/>
                <w:highlight w:val="none"/>
              </w:rPr>
              <w:t>单位</w:t>
            </w:r>
          </w:p>
        </w:tc>
        <w:tc>
          <w:tcPr>
            <w:tcW w:w="1318" w:type="dxa"/>
            <w:gridSpan w:val="2"/>
            <w:tcBorders>
              <w:top w:val="single" w:color="auto" w:sz="6" w:space="0"/>
              <w:left w:val="single" w:color="auto" w:sz="6" w:space="0"/>
              <w:bottom w:val="single" w:color="auto" w:sz="6" w:space="0"/>
              <w:right w:val="single" w:color="auto" w:sz="6" w:space="0"/>
            </w:tcBorders>
            <w:vAlign w:val="center"/>
          </w:tcPr>
          <w:p w14:paraId="791891AE">
            <w:pPr>
              <w:tabs>
                <w:tab w:val="left" w:pos="4680"/>
              </w:tabs>
              <w:jc w:val="center"/>
              <w:rPr>
                <w:rFonts w:ascii="宋体" w:hAnsi="宋体"/>
                <w:sz w:val="24"/>
                <w:szCs w:val="24"/>
                <w:highlight w:val="none"/>
              </w:rPr>
            </w:pPr>
            <w:r>
              <w:rPr>
                <w:rFonts w:hint="eastAsia" w:ascii="宋体" w:hAnsi="宋体"/>
                <w:sz w:val="24"/>
                <w:szCs w:val="24"/>
                <w:highlight w:val="none"/>
              </w:rPr>
              <w:t>工程名称</w:t>
            </w:r>
          </w:p>
        </w:tc>
        <w:tc>
          <w:tcPr>
            <w:tcW w:w="1956" w:type="dxa"/>
            <w:gridSpan w:val="2"/>
            <w:tcBorders>
              <w:top w:val="single" w:color="auto" w:sz="6" w:space="0"/>
              <w:left w:val="single" w:color="auto" w:sz="6" w:space="0"/>
              <w:bottom w:val="single" w:color="auto" w:sz="6" w:space="0"/>
              <w:right w:val="single" w:color="auto" w:sz="6" w:space="0"/>
            </w:tcBorders>
            <w:vAlign w:val="center"/>
          </w:tcPr>
          <w:p w14:paraId="1D26F7BD">
            <w:pPr>
              <w:tabs>
                <w:tab w:val="left" w:pos="4680"/>
              </w:tabs>
              <w:jc w:val="center"/>
              <w:rPr>
                <w:rFonts w:hint="eastAsia" w:ascii="宋体" w:hAnsi="宋体" w:eastAsia="宋体"/>
                <w:sz w:val="24"/>
                <w:szCs w:val="24"/>
                <w:highlight w:val="none"/>
                <w:lang w:eastAsia="zh-CN"/>
              </w:rPr>
            </w:pPr>
            <w:r>
              <w:rPr>
                <w:rFonts w:hint="eastAsia" w:ascii="宋体" w:hAnsi="宋体"/>
                <w:sz w:val="24"/>
                <w:szCs w:val="24"/>
                <w:highlight w:val="none"/>
              </w:rPr>
              <w:t>在工程中担任</w:t>
            </w:r>
            <w:r>
              <w:rPr>
                <w:rFonts w:hint="eastAsia" w:ascii="宋体" w:hAnsi="宋体"/>
                <w:sz w:val="24"/>
                <w:szCs w:val="24"/>
                <w:highlight w:val="none"/>
                <w:lang w:eastAsia="zh-CN"/>
              </w:rPr>
              <w:t>职务</w:t>
            </w:r>
          </w:p>
        </w:tc>
        <w:tc>
          <w:tcPr>
            <w:tcW w:w="1305" w:type="dxa"/>
            <w:gridSpan w:val="2"/>
            <w:tcBorders>
              <w:top w:val="single" w:color="auto" w:sz="6" w:space="0"/>
              <w:left w:val="single" w:color="auto" w:sz="6" w:space="0"/>
              <w:bottom w:val="single" w:color="auto" w:sz="6" w:space="0"/>
              <w:right w:val="single" w:color="auto" w:sz="4" w:space="0"/>
            </w:tcBorders>
            <w:vAlign w:val="center"/>
          </w:tcPr>
          <w:p w14:paraId="0E6A0C63">
            <w:pPr>
              <w:tabs>
                <w:tab w:val="left" w:pos="4680"/>
              </w:tabs>
              <w:jc w:val="center"/>
              <w:rPr>
                <w:rFonts w:ascii="宋体" w:hAnsi="宋体"/>
                <w:sz w:val="24"/>
                <w:szCs w:val="24"/>
                <w:highlight w:val="none"/>
              </w:rPr>
            </w:pPr>
            <w:r>
              <w:rPr>
                <w:rFonts w:ascii="宋体" w:hAnsi="宋体"/>
                <w:sz w:val="24"/>
                <w:szCs w:val="24"/>
                <w:highlight w:val="none"/>
              </w:rPr>
              <w:t>主要工作</w:t>
            </w:r>
          </w:p>
        </w:tc>
        <w:tc>
          <w:tcPr>
            <w:tcW w:w="2222" w:type="dxa"/>
            <w:gridSpan w:val="2"/>
            <w:tcBorders>
              <w:top w:val="single" w:color="auto" w:sz="6" w:space="0"/>
              <w:left w:val="single" w:color="auto" w:sz="4" w:space="0"/>
              <w:bottom w:val="single" w:color="auto" w:sz="6" w:space="0"/>
              <w:right w:val="single" w:color="auto" w:sz="12" w:space="0"/>
            </w:tcBorders>
            <w:vAlign w:val="center"/>
          </w:tcPr>
          <w:p w14:paraId="0CEA516E">
            <w:pPr>
              <w:tabs>
                <w:tab w:val="left" w:pos="4680"/>
              </w:tabs>
              <w:jc w:val="center"/>
              <w:rPr>
                <w:rFonts w:ascii="宋体" w:hAnsi="宋体"/>
                <w:sz w:val="24"/>
                <w:szCs w:val="24"/>
                <w:highlight w:val="none"/>
              </w:rPr>
            </w:pPr>
            <w:r>
              <w:rPr>
                <w:rFonts w:ascii="宋体" w:hAnsi="宋体"/>
                <w:sz w:val="24"/>
                <w:szCs w:val="24"/>
                <w:highlight w:val="none"/>
              </w:rPr>
              <w:t>监</w:t>
            </w:r>
            <w:r>
              <w:rPr>
                <w:rFonts w:hint="eastAsia" w:ascii="宋体" w:hAnsi="宋体"/>
                <w:sz w:val="24"/>
                <w:szCs w:val="24"/>
                <w:highlight w:val="none"/>
                <w:lang w:eastAsia="zh-CN"/>
              </w:rPr>
              <w:t>理</w:t>
            </w:r>
            <w:r>
              <w:rPr>
                <w:rFonts w:hint="eastAsia" w:ascii="宋体" w:hAnsi="宋体"/>
                <w:sz w:val="24"/>
                <w:szCs w:val="24"/>
                <w:highlight w:val="none"/>
              </w:rPr>
              <w:t>工程</w:t>
            </w:r>
            <w:r>
              <w:rPr>
                <w:rFonts w:ascii="宋体" w:hAnsi="宋体"/>
                <w:sz w:val="24"/>
                <w:szCs w:val="24"/>
                <w:highlight w:val="none"/>
              </w:rPr>
              <w:t>开、竣工时间</w:t>
            </w:r>
          </w:p>
        </w:tc>
      </w:tr>
      <w:tr w14:paraId="660B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2" w:hRule="exact"/>
          <w:jc w:val="center"/>
        </w:trPr>
        <w:tc>
          <w:tcPr>
            <w:tcW w:w="1317" w:type="dxa"/>
            <w:tcBorders>
              <w:top w:val="single" w:color="auto" w:sz="6" w:space="0"/>
              <w:left w:val="single" w:color="auto" w:sz="12" w:space="0"/>
              <w:bottom w:val="single" w:color="auto" w:sz="6" w:space="0"/>
              <w:right w:val="single" w:color="auto" w:sz="6" w:space="0"/>
            </w:tcBorders>
            <w:vAlign w:val="center"/>
          </w:tcPr>
          <w:p w14:paraId="1B307F27">
            <w:pPr>
              <w:tabs>
                <w:tab w:val="left" w:pos="4680"/>
              </w:tabs>
              <w:jc w:val="center"/>
              <w:rPr>
                <w:rFonts w:ascii="宋体" w:hAnsi="宋体"/>
                <w:sz w:val="24"/>
                <w:szCs w:val="24"/>
                <w:highlight w:val="none"/>
              </w:rPr>
            </w:pPr>
          </w:p>
          <w:p w14:paraId="05610E25">
            <w:pPr>
              <w:tabs>
                <w:tab w:val="left" w:pos="4680"/>
              </w:tabs>
              <w:jc w:val="center"/>
              <w:rPr>
                <w:rFonts w:ascii="宋体" w:hAnsi="宋体"/>
                <w:sz w:val="24"/>
                <w:szCs w:val="24"/>
                <w:highlight w:val="none"/>
              </w:rPr>
            </w:pPr>
          </w:p>
          <w:p w14:paraId="4D938226">
            <w:pPr>
              <w:tabs>
                <w:tab w:val="left" w:pos="4680"/>
              </w:tabs>
              <w:jc w:val="center"/>
              <w:rPr>
                <w:rFonts w:ascii="宋体" w:hAnsi="宋体"/>
                <w:sz w:val="24"/>
                <w:szCs w:val="24"/>
                <w:highlight w:val="none"/>
              </w:rPr>
            </w:pPr>
          </w:p>
          <w:p w14:paraId="1BF5978B">
            <w:pPr>
              <w:tabs>
                <w:tab w:val="left" w:pos="4680"/>
              </w:tabs>
              <w:jc w:val="center"/>
              <w:rPr>
                <w:rFonts w:ascii="宋体" w:hAnsi="宋体"/>
                <w:sz w:val="24"/>
                <w:szCs w:val="24"/>
                <w:highlight w:val="none"/>
              </w:rPr>
            </w:pPr>
          </w:p>
          <w:p w14:paraId="3F549600">
            <w:pPr>
              <w:tabs>
                <w:tab w:val="left" w:pos="4680"/>
              </w:tabs>
              <w:jc w:val="center"/>
              <w:rPr>
                <w:rFonts w:ascii="宋体" w:hAnsi="宋体"/>
                <w:sz w:val="24"/>
                <w:szCs w:val="24"/>
                <w:highlight w:val="none"/>
              </w:rPr>
            </w:pPr>
          </w:p>
          <w:p w14:paraId="37E401E5">
            <w:pPr>
              <w:tabs>
                <w:tab w:val="left" w:pos="4680"/>
              </w:tabs>
              <w:rPr>
                <w:rFonts w:ascii="宋体" w:hAnsi="宋体"/>
                <w:sz w:val="24"/>
                <w:szCs w:val="24"/>
                <w:highlight w:val="none"/>
              </w:rPr>
            </w:pPr>
          </w:p>
          <w:p w14:paraId="18EAF11C">
            <w:pPr>
              <w:tabs>
                <w:tab w:val="left" w:pos="4680"/>
              </w:tabs>
              <w:jc w:val="center"/>
              <w:rPr>
                <w:rFonts w:ascii="宋体" w:hAnsi="宋体"/>
                <w:sz w:val="24"/>
                <w:szCs w:val="24"/>
                <w:highlight w:val="none"/>
              </w:rPr>
            </w:pPr>
          </w:p>
          <w:p w14:paraId="61F1A213">
            <w:pPr>
              <w:tabs>
                <w:tab w:val="left" w:pos="4680"/>
              </w:tabs>
              <w:jc w:val="center"/>
              <w:rPr>
                <w:rFonts w:ascii="宋体" w:hAnsi="宋体"/>
                <w:sz w:val="24"/>
                <w:szCs w:val="24"/>
                <w:highlight w:val="none"/>
              </w:rPr>
            </w:pPr>
          </w:p>
          <w:p w14:paraId="5A9F9ECE">
            <w:pPr>
              <w:tabs>
                <w:tab w:val="left" w:pos="4680"/>
              </w:tabs>
              <w:jc w:val="center"/>
              <w:rPr>
                <w:rFonts w:ascii="宋体" w:hAnsi="宋体"/>
                <w:sz w:val="24"/>
                <w:szCs w:val="24"/>
                <w:highlight w:val="none"/>
              </w:rPr>
            </w:pPr>
          </w:p>
          <w:p w14:paraId="602B2956">
            <w:pPr>
              <w:tabs>
                <w:tab w:val="left" w:pos="4680"/>
              </w:tabs>
              <w:jc w:val="center"/>
              <w:rPr>
                <w:rFonts w:ascii="宋体" w:hAnsi="宋体"/>
                <w:sz w:val="24"/>
                <w:szCs w:val="24"/>
                <w:highlight w:val="none"/>
              </w:rPr>
            </w:pPr>
          </w:p>
        </w:tc>
        <w:tc>
          <w:tcPr>
            <w:tcW w:w="1317" w:type="dxa"/>
            <w:gridSpan w:val="2"/>
            <w:tcBorders>
              <w:top w:val="single" w:color="auto" w:sz="6" w:space="0"/>
              <w:left w:val="single" w:color="auto" w:sz="6" w:space="0"/>
              <w:bottom w:val="single" w:color="auto" w:sz="6" w:space="0"/>
              <w:right w:val="single" w:color="auto" w:sz="6" w:space="0"/>
            </w:tcBorders>
            <w:vAlign w:val="center"/>
          </w:tcPr>
          <w:p w14:paraId="3593B85D">
            <w:pPr>
              <w:tabs>
                <w:tab w:val="left" w:pos="4680"/>
              </w:tabs>
              <w:jc w:val="center"/>
              <w:rPr>
                <w:rFonts w:ascii="宋体" w:hAnsi="宋体"/>
                <w:sz w:val="24"/>
                <w:szCs w:val="24"/>
                <w:highlight w:val="none"/>
              </w:rPr>
            </w:pPr>
          </w:p>
        </w:tc>
        <w:tc>
          <w:tcPr>
            <w:tcW w:w="1318" w:type="dxa"/>
            <w:gridSpan w:val="2"/>
            <w:tcBorders>
              <w:top w:val="single" w:color="auto" w:sz="6" w:space="0"/>
              <w:left w:val="single" w:color="auto" w:sz="6" w:space="0"/>
              <w:bottom w:val="single" w:color="auto" w:sz="6" w:space="0"/>
              <w:right w:val="single" w:color="auto" w:sz="6" w:space="0"/>
            </w:tcBorders>
            <w:vAlign w:val="center"/>
          </w:tcPr>
          <w:p w14:paraId="454A2B17">
            <w:pPr>
              <w:tabs>
                <w:tab w:val="left" w:pos="4680"/>
              </w:tabs>
              <w:jc w:val="center"/>
              <w:rPr>
                <w:rFonts w:ascii="宋体" w:hAnsi="宋体"/>
                <w:sz w:val="24"/>
                <w:szCs w:val="24"/>
                <w:highlight w:val="none"/>
              </w:rPr>
            </w:pPr>
          </w:p>
        </w:tc>
        <w:tc>
          <w:tcPr>
            <w:tcW w:w="1956" w:type="dxa"/>
            <w:gridSpan w:val="2"/>
            <w:tcBorders>
              <w:top w:val="single" w:color="auto" w:sz="6" w:space="0"/>
              <w:left w:val="single" w:color="auto" w:sz="6" w:space="0"/>
              <w:bottom w:val="single" w:color="auto" w:sz="6" w:space="0"/>
              <w:right w:val="single" w:color="auto" w:sz="6" w:space="0"/>
            </w:tcBorders>
            <w:vAlign w:val="center"/>
          </w:tcPr>
          <w:p w14:paraId="4632C6AC">
            <w:pPr>
              <w:tabs>
                <w:tab w:val="left" w:pos="4680"/>
              </w:tabs>
              <w:jc w:val="center"/>
              <w:rPr>
                <w:rFonts w:ascii="宋体" w:hAnsi="宋体"/>
                <w:sz w:val="24"/>
                <w:szCs w:val="24"/>
                <w:highlight w:val="none"/>
              </w:rPr>
            </w:pPr>
          </w:p>
        </w:tc>
        <w:tc>
          <w:tcPr>
            <w:tcW w:w="1305" w:type="dxa"/>
            <w:gridSpan w:val="2"/>
            <w:tcBorders>
              <w:top w:val="single" w:color="auto" w:sz="6" w:space="0"/>
              <w:left w:val="single" w:color="auto" w:sz="6" w:space="0"/>
              <w:bottom w:val="single" w:color="auto" w:sz="6" w:space="0"/>
              <w:right w:val="single" w:color="auto" w:sz="4" w:space="0"/>
            </w:tcBorders>
            <w:vAlign w:val="center"/>
          </w:tcPr>
          <w:p w14:paraId="7DE2615C">
            <w:pPr>
              <w:tabs>
                <w:tab w:val="left" w:pos="4680"/>
              </w:tabs>
              <w:jc w:val="center"/>
              <w:rPr>
                <w:rFonts w:ascii="宋体" w:hAnsi="宋体"/>
                <w:sz w:val="24"/>
                <w:szCs w:val="24"/>
                <w:highlight w:val="none"/>
              </w:rPr>
            </w:pPr>
          </w:p>
        </w:tc>
        <w:tc>
          <w:tcPr>
            <w:tcW w:w="2222" w:type="dxa"/>
            <w:gridSpan w:val="2"/>
            <w:tcBorders>
              <w:top w:val="single" w:color="auto" w:sz="6" w:space="0"/>
              <w:left w:val="single" w:color="auto" w:sz="4" w:space="0"/>
              <w:bottom w:val="single" w:color="auto" w:sz="6" w:space="0"/>
              <w:right w:val="single" w:color="auto" w:sz="12" w:space="0"/>
            </w:tcBorders>
            <w:vAlign w:val="center"/>
          </w:tcPr>
          <w:p w14:paraId="75530DA4">
            <w:pPr>
              <w:tabs>
                <w:tab w:val="left" w:pos="4680"/>
              </w:tabs>
              <w:jc w:val="center"/>
              <w:rPr>
                <w:rFonts w:ascii="宋体" w:hAnsi="宋体"/>
                <w:sz w:val="24"/>
                <w:szCs w:val="24"/>
                <w:highlight w:val="none"/>
              </w:rPr>
            </w:pPr>
          </w:p>
        </w:tc>
      </w:tr>
      <w:tr w14:paraId="6450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exact"/>
          <w:jc w:val="center"/>
        </w:trPr>
        <w:tc>
          <w:tcPr>
            <w:tcW w:w="1831" w:type="dxa"/>
            <w:gridSpan w:val="2"/>
            <w:tcBorders>
              <w:top w:val="single" w:color="auto" w:sz="6" w:space="0"/>
              <w:left w:val="single" w:color="auto" w:sz="12" w:space="0"/>
              <w:bottom w:val="single" w:color="auto" w:sz="12" w:space="0"/>
              <w:right w:val="single" w:color="auto" w:sz="6" w:space="0"/>
            </w:tcBorders>
            <w:vAlign w:val="center"/>
          </w:tcPr>
          <w:p w14:paraId="2AD909E0">
            <w:pPr>
              <w:tabs>
                <w:tab w:val="left" w:pos="4680"/>
              </w:tabs>
              <w:jc w:val="center"/>
              <w:rPr>
                <w:rFonts w:ascii="宋体" w:hAnsi="宋体"/>
                <w:sz w:val="24"/>
                <w:szCs w:val="24"/>
                <w:highlight w:val="none"/>
              </w:rPr>
            </w:pPr>
            <w:r>
              <w:rPr>
                <w:rFonts w:ascii="宋体" w:hAnsi="宋体"/>
                <w:sz w:val="24"/>
                <w:szCs w:val="24"/>
                <w:highlight w:val="none"/>
              </w:rPr>
              <w:t>奖惩情况</w:t>
            </w:r>
          </w:p>
        </w:tc>
        <w:tc>
          <w:tcPr>
            <w:tcW w:w="7604" w:type="dxa"/>
            <w:gridSpan w:val="9"/>
            <w:tcBorders>
              <w:top w:val="single" w:color="auto" w:sz="6" w:space="0"/>
              <w:left w:val="single" w:color="auto" w:sz="6" w:space="0"/>
              <w:bottom w:val="single" w:color="auto" w:sz="12" w:space="0"/>
              <w:right w:val="single" w:color="auto" w:sz="12" w:space="0"/>
            </w:tcBorders>
            <w:vAlign w:val="center"/>
          </w:tcPr>
          <w:p w14:paraId="36BCD6FE">
            <w:pPr>
              <w:tabs>
                <w:tab w:val="left" w:pos="4680"/>
              </w:tabs>
              <w:jc w:val="center"/>
              <w:rPr>
                <w:rFonts w:ascii="宋体" w:hAnsi="宋体"/>
                <w:sz w:val="24"/>
                <w:szCs w:val="24"/>
                <w:highlight w:val="none"/>
              </w:rPr>
            </w:pPr>
          </w:p>
        </w:tc>
      </w:tr>
    </w:tbl>
    <w:p w14:paraId="50754CAC">
      <w:pPr>
        <w:jc w:val="left"/>
        <w:rPr>
          <w:rFonts w:hint="eastAsia" w:ascii="宋体" w:hAnsi="宋体"/>
          <w:sz w:val="22"/>
          <w:szCs w:val="22"/>
          <w:highlight w:val="none"/>
        </w:rPr>
      </w:pPr>
    </w:p>
    <w:p w14:paraId="084D528F">
      <w:pPr>
        <w:jc w:val="left"/>
        <w:rPr>
          <w:rFonts w:ascii="宋体" w:hAnsi="宋体"/>
          <w:sz w:val="22"/>
          <w:szCs w:val="22"/>
          <w:highlight w:val="none"/>
        </w:rPr>
      </w:pPr>
      <w:r>
        <w:rPr>
          <w:rFonts w:hint="eastAsia" w:ascii="宋体" w:hAnsi="宋体"/>
          <w:sz w:val="22"/>
          <w:szCs w:val="22"/>
          <w:highlight w:val="none"/>
        </w:rPr>
        <w:t>注：</w:t>
      </w:r>
      <w:r>
        <w:rPr>
          <w:rFonts w:ascii="宋体" w:hAnsi="宋体"/>
          <w:sz w:val="22"/>
          <w:szCs w:val="22"/>
          <w:highlight w:val="none"/>
        </w:rPr>
        <w:t>1.投标人拟派本项目监理人员（</w:t>
      </w:r>
      <w:r>
        <w:rPr>
          <w:rFonts w:hint="eastAsia" w:ascii="宋体" w:hAnsi="宋体"/>
          <w:sz w:val="22"/>
          <w:szCs w:val="22"/>
          <w:highlight w:val="none"/>
        </w:rPr>
        <w:t>除总监理工程师外</w:t>
      </w:r>
      <w:r>
        <w:rPr>
          <w:rFonts w:ascii="宋体" w:hAnsi="宋体"/>
          <w:sz w:val="22"/>
          <w:szCs w:val="22"/>
          <w:highlight w:val="none"/>
        </w:rPr>
        <w:t>）均须填写本表，并将人员的身份证</w:t>
      </w:r>
      <w:r>
        <w:rPr>
          <w:rFonts w:hint="eastAsia" w:ascii="宋体" w:hAnsi="宋体"/>
          <w:sz w:val="22"/>
          <w:szCs w:val="22"/>
          <w:highlight w:val="none"/>
        </w:rPr>
        <w:t>、</w:t>
      </w:r>
      <w:r>
        <w:rPr>
          <w:rFonts w:ascii="宋体" w:hAnsi="宋体"/>
          <w:sz w:val="22"/>
          <w:szCs w:val="22"/>
          <w:highlight w:val="none"/>
        </w:rPr>
        <w:t>职称</w:t>
      </w:r>
      <w:r>
        <w:rPr>
          <w:rFonts w:hint="eastAsia" w:ascii="宋体" w:hAnsi="宋体"/>
          <w:sz w:val="22"/>
          <w:szCs w:val="22"/>
          <w:highlight w:val="none"/>
        </w:rPr>
        <w:t>证</w:t>
      </w:r>
      <w:r>
        <w:rPr>
          <w:rFonts w:ascii="宋体" w:hAnsi="宋体"/>
          <w:sz w:val="22"/>
          <w:szCs w:val="22"/>
          <w:highlight w:val="none"/>
        </w:rPr>
        <w:t>书</w:t>
      </w:r>
      <w:r>
        <w:rPr>
          <w:rFonts w:hint="eastAsia" w:ascii="宋体" w:hAnsi="宋体"/>
          <w:sz w:val="22"/>
          <w:szCs w:val="22"/>
          <w:highlight w:val="none"/>
        </w:rPr>
        <w:t>（如有）</w:t>
      </w:r>
      <w:r>
        <w:rPr>
          <w:rFonts w:ascii="宋体" w:hAnsi="宋体"/>
          <w:sz w:val="22"/>
          <w:szCs w:val="22"/>
          <w:highlight w:val="none"/>
        </w:rPr>
        <w:t>、</w:t>
      </w:r>
      <w:r>
        <w:rPr>
          <w:rFonts w:hint="eastAsia" w:ascii="宋体" w:hAnsi="宋体"/>
          <w:sz w:val="22"/>
          <w:szCs w:val="22"/>
          <w:highlight w:val="none"/>
        </w:rPr>
        <w:t>国家注册监理工程师注册执业证书</w:t>
      </w:r>
      <w:r>
        <w:rPr>
          <w:rFonts w:ascii="宋体" w:hAnsi="宋体"/>
          <w:sz w:val="22"/>
          <w:szCs w:val="22"/>
          <w:highlight w:val="none"/>
        </w:rPr>
        <w:t>或专业监理工程师或监理员证书</w:t>
      </w:r>
      <w:r>
        <w:rPr>
          <w:rFonts w:hint="eastAsia" w:ascii="宋体" w:hAnsi="宋体"/>
          <w:sz w:val="22"/>
          <w:szCs w:val="22"/>
          <w:highlight w:val="none"/>
          <w:lang w:eastAsia="zh-CN"/>
        </w:rPr>
        <w:t>、</w:t>
      </w:r>
      <w:r>
        <w:rPr>
          <w:rFonts w:hint="eastAsia" w:ascii="宋体" w:hAnsi="宋体" w:eastAsia="宋体" w:cs="Times New Roman"/>
          <w:sz w:val="22"/>
          <w:szCs w:val="22"/>
          <w:highlight w:val="none"/>
        </w:rPr>
        <w:t>近3个月</w:t>
      </w:r>
      <w:r>
        <w:rPr>
          <w:rFonts w:hint="eastAsia" w:ascii="宋体" w:hAnsi="宋体" w:eastAsia="宋体" w:cs="Times New Roman"/>
          <w:sz w:val="22"/>
          <w:szCs w:val="22"/>
          <w:highlight w:val="none"/>
          <w:lang w:eastAsia="zh-CN"/>
        </w:rPr>
        <w:t>（</w:t>
      </w:r>
      <w:r>
        <w:rPr>
          <w:rFonts w:hint="eastAsia" w:ascii="宋体" w:hAnsi="宋体" w:cs="Times New Roman"/>
          <w:sz w:val="22"/>
          <w:szCs w:val="22"/>
          <w:highlight w:val="none"/>
          <w:lang w:eastAsia="zh-CN"/>
        </w:rPr>
        <w:t>2024年12月</w:t>
      </w:r>
      <w:r>
        <w:rPr>
          <w:rFonts w:hint="eastAsia" w:ascii="宋体" w:hAnsi="宋体" w:eastAsia="宋体" w:cs="Times New Roman"/>
          <w:sz w:val="22"/>
          <w:szCs w:val="22"/>
          <w:highlight w:val="none"/>
          <w:lang w:eastAsia="zh-CN"/>
        </w:rPr>
        <w:t>至</w:t>
      </w:r>
      <w:r>
        <w:rPr>
          <w:rFonts w:hint="eastAsia" w:ascii="宋体" w:hAnsi="宋体" w:cs="Times New Roman"/>
          <w:sz w:val="22"/>
          <w:szCs w:val="22"/>
          <w:highlight w:val="none"/>
          <w:lang w:eastAsia="zh-CN"/>
        </w:rPr>
        <w:t>2025年2月</w:t>
      </w:r>
      <w:r>
        <w:rPr>
          <w:rFonts w:hint="eastAsia" w:ascii="宋体" w:hAnsi="宋体" w:eastAsia="宋体" w:cs="Times New Roman"/>
          <w:sz w:val="22"/>
          <w:szCs w:val="22"/>
          <w:highlight w:val="none"/>
          <w:lang w:eastAsia="zh-CN"/>
        </w:rPr>
        <w:t>）</w:t>
      </w:r>
      <w:r>
        <w:rPr>
          <w:rFonts w:hint="eastAsia" w:ascii="宋体" w:hAnsi="宋体" w:eastAsia="宋体" w:cs="Times New Roman"/>
          <w:sz w:val="22"/>
          <w:szCs w:val="22"/>
          <w:highlight w:val="none"/>
        </w:rPr>
        <w:t>的社保管理机构的证明材料（如社保管理机构的查询机器打印件）</w:t>
      </w:r>
      <w:r>
        <w:rPr>
          <w:rFonts w:hint="eastAsia" w:ascii="宋体" w:hAnsi="宋体" w:eastAsia="宋体" w:cs="Times New Roman"/>
          <w:sz w:val="22"/>
          <w:szCs w:val="22"/>
          <w:highlight w:val="none"/>
          <w:lang w:eastAsia="zh-CN"/>
        </w:rPr>
        <w:t>，</w:t>
      </w:r>
      <w:r>
        <w:rPr>
          <w:rFonts w:hint="eastAsia" w:ascii="宋体" w:hAnsi="宋体" w:cs="Times New Roman"/>
          <w:spacing w:val="0"/>
          <w:sz w:val="22"/>
          <w:szCs w:val="22"/>
          <w:highlight w:val="none"/>
          <w:lang w:eastAsia="zh-CN"/>
        </w:rPr>
        <w:t>已退休人员可提供退休证明及返聘合同代替社保证明</w:t>
      </w:r>
      <w:r>
        <w:rPr>
          <w:rFonts w:hint="eastAsia" w:ascii="宋体" w:hAnsi="宋体" w:eastAsia="宋体" w:cs="Times New Roman"/>
          <w:sz w:val="22"/>
          <w:szCs w:val="22"/>
          <w:highlight w:val="none"/>
          <w:lang w:eastAsia="zh-CN"/>
        </w:rPr>
        <w:t>，</w:t>
      </w:r>
      <w:r>
        <w:rPr>
          <w:rFonts w:hint="eastAsia" w:ascii="宋体" w:hAnsi="宋体"/>
          <w:sz w:val="22"/>
          <w:szCs w:val="22"/>
          <w:highlight w:val="none"/>
        </w:rPr>
        <w:t>其它</w:t>
      </w:r>
      <w:r>
        <w:rPr>
          <w:rFonts w:ascii="宋体" w:hAnsi="宋体"/>
          <w:sz w:val="22"/>
          <w:szCs w:val="22"/>
          <w:highlight w:val="none"/>
        </w:rPr>
        <w:t>证书（如果有）复印件附于本表后</w:t>
      </w:r>
      <w:r>
        <w:rPr>
          <w:rFonts w:hint="eastAsia" w:ascii="宋体" w:hAnsi="宋体"/>
          <w:sz w:val="22"/>
          <w:szCs w:val="22"/>
          <w:highlight w:val="none"/>
        </w:rPr>
        <w:t>，以上所有复印件加盖投标人公章。</w:t>
      </w:r>
    </w:p>
    <w:p w14:paraId="586F829C">
      <w:pPr>
        <w:jc w:val="left"/>
        <w:rPr>
          <w:rFonts w:ascii="宋体" w:hAnsi="宋体"/>
          <w:sz w:val="22"/>
          <w:szCs w:val="22"/>
          <w:highlight w:val="none"/>
        </w:rPr>
      </w:pPr>
      <w:r>
        <w:rPr>
          <w:rFonts w:hint="eastAsia" w:ascii="宋体" w:hAnsi="宋体"/>
          <w:sz w:val="22"/>
          <w:szCs w:val="22"/>
          <w:highlight w:val="none"/>
        </w:rPr>
        <w:t>2.投标人根据评标办法的规定，如有相关加分项目必须提供相关的证明材料复印件，原件备查，否则不予计分。</w:t>
      </w:r>
    </w:p>
    <w:p w14:paraId="71C5701E">
      <w:pPr>
        <w:jc w:val="left"/>
        <w:rPr>
          <w:rFonts w:ascii="宋体" w:hAnsi="宋体"/>
          <w:szCs w:val="21"/>
          <w:highlight w:val="none"/>
        </w:rPr>
      </w:pPr>
      <w:r>
        <w:rPr>
          <w:rFonts w:hint="eastAsia" w:ascii="宋体" w:hAnsi="宋体"/>
          <w:sz w:val="22"/>
          <w:szCs w:val="22"/>
          <w:highlight w:val="none"/>
        </w:rPr>
        <w:t>3</w:t>
      </w:r>
      <w:r>
        <w:rPr>
          <w:rFonts w:ascii="宋体" w:hAnsi="宋体"/>
          <w:sz w:val="22"/>
          <w:szCs w:val="22"/>
          <w:highlight w:val="none"/>
        </w:rPr>
        <w:t>.</w:t>
      </w:r>
      <w:r>
        <w:rPr>
          <w:rFonts w:hint="eastAsia" w:ascii="宋体" w:hAnsi="宋体"/>
          <w:sz w:val="22"/>
          <w:szCs w:val="22"/>
          <w:highlight w:val="none"/>
        </w:rPr>
        <w:t xml:space="preserve"> 投标人应保证其它所提供资料的真实性，否则一经查出，即取消中标资格。</w:t>
      </w:r>
    </w:p>
    <w:p w14:paraId="5947DDBD">
      <w:pPr>
        <w:jc w:val="center"/>
        <w:rPr>
          <w:rFonts w:ascii="宋体" w:hAnsi="宋体"/>
          <w:b/>
          <w:szCs w:val="21"/>
          <w:highlight w:val="none"/>
        </w:rPr>
      </w:pPr>
    </w:p>
    <w:p w14:paraId="455698B7">
      <w:pPr>
        <w:keepNext w:val="0"/>
        <w:keepLines w:val="0"/>
        <w:pageBreakBefore w:val="0"/>
        <w:widowControl w:val="0"/>
        <w:kinsoku/>
        <w:wordWrap/>
        <w:overflowPunct/>
        <w:topLinePunct w:val="0"/>
        <w:autoSpaceDE/>
        <w:autoSpaceDN/>
        <w:bidi w:val="0"/>
        <w:adjustRightInd/>
        <w:snapToGrid/>
        <w:spacing w:line="360" w:lineRule="auto"/>
        <w:ind w:left="0" w:leftChars="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盖</w:t>
      </w:r>
      <w:r>
        <w:rPr>
          <w:rFonts w:hint="eastAsia" w:ascii="宋体" w:hAnsi="宋体" w:eastAsia="宋体" w:cs="宋体"/>
          <w:sz w:val="24"/>
          <w:szCs w:val="24"/>
          <w:highlight w:val="none"/>
          <w:u w:val="single"/>
          <w:lang w:val="en-US" w:eastAsia="zh-CN"/>
        </w:rPr>
        <w:t>单位</w:t>
      </w:r>
      <w:r>
        <w:rPr>
          <w:rFonts w:hint="eastAsia" w:ascii="宋体" w:hAnsi="宋体" w:eastAsia="宋体" w:cs="宋体"/>
          <w:sz w:val="24"/>
          <w:szCs w:val="24"/>
          <w:highlight w:val="none"/>
          <w:u w:val="single"/>
        </w:rPr>
        <w:t>章</w:t>
      </w:r>
      <w:r>
        <w:rPr>
          <w:rFonts w:hint="eastAsia" w:ascii="宋体" w:hAnsi="宋体" w:cs="宋体"/>
          <w:sz w:val="24"/>
          <w:szCs w:val="24"/>
          <w:highlight w:val="none"/>
          <w:u w:val="single"/>
          <w:lang w:eastAsia="zh-CN"/>
        </w:rPr>
        <w:t>）</w:t>
      </w:r>
    </w:p>
    <w:p w14:paraId="47BD12BE">
      <w:pPr>
        <w:keepNext w:val="0"/>
        <w:keepLines w:val="0"/>
        <w:pageBreakBefore w:val="0"/>
        <w:widowControl w:val="0"/>
        <w:kinsoku/>
        <w:wordWrap/>
        <w:overflowPunct/>
        <w:topLinePunct w:val="0"/>
        <w:autoSpaceDE/>
        <w:autoSpaceDN/>
        <w:bidi w:val="0"/>
        <w:adjustRightInd/>
        <w:snapToGrid/>
        <w:spacing w:line="360" w:lineRule="auto"/>
        <w:ind w:left="0" w:leftChars="0"/>
        <w:jc w:val="right"/>
        <w:textAlignment w:val="auto"/>
        <w:rPr>
          <w:rFonts w:hint="eastAsia" w:ascii="宋体" w:hAnsi="宋体" w:eastAsia="宋体" w:cs="宋体"/>
          <w:sz w:val="24"/>
          <w:szCs w:val="24"/>
          <w:highlight w:val="none"/>
          <w:u w:val="single"/>
        </w:rPr>
      </w:pPr>
      <w:r>
        <w:rPr>
          <w:rFonts w:hint="eastAsia" w:ascii="宋体" w:hAnsi="宋体" w:cs="宋体"/>
          <w:sz w:val="24"/>
          <w:szCs w:val="24"/>
          <w:highlight w:val="none"/>
          <w:lang w:eastAsia="zh-CN"/>
        </w:rPr>
        <w:t>法定代表人或其委托代理人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（签字）</w:t>
      </w:r>
    </w:p>
    <w:p w14:paraId="14E69DAA">
      <w:pPr>
        <w:spacing w:line="360" w:lineRule="auto"/>
        <w:ind w:firstLine="4560" w:firstLineChars="1900"/>
        <w:jc w:val="right"/>
        <w:rPr>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p>
    <w:p w14:paraId="76401FE6">
      <w:pPr>
        <w:jc w:val="center"/>
        <w:outlineLvl w:val="9"/>
        <w:rPr>
          <w:rFonts w:ascii="宋体" w:hAnsi="宋体"/>
          <w:szCs w:val="21"/>
          <w:highlight w:val="none"/>
        </w:rPr>
      </w:pPr>
    </w:p>
    <w:p w14:paraId="31811978">
      <w:pPr>
        <w:jc w:val="center"/>
        <w:outlineLvl w:val="1"/>
        <w:rPr>
          <w:b/>
          <w:spacing w:val="10"/>
          <w:sz w:val="32"/>
          <w:highlight w:val="none"/>
        </w:rPr>
      </w:pPr>
      <w:r>
        <w:rPr>
          <w:rFonts w:ascii="宋体" w:hAnsi="宋体"/>
          <w:szCs w:val="21"/>
          <w:highlight w:val="none"/>
        </w:rPr>
        <w:br w:type="page"/>
      </w:r>
      <w:r>
        <w:rPr>
          <w:rFonts w:hint="eastAsia"/>
          <w:b/>
          <w:spacing w:val="10"/>
          <w:sz w:val="32"/>
          <w:highlight w:val="none"/>
          <w:lang w:val="en-US" w:eastAsia="zh-CN"/>
        </w:rPr>
        <w:t>六</w:t>
      </w:r>
      <w:r>
        <w:rPr>
          <w:rFonts w:hint="eastAsia"/>
          <w:b/>
          <w:spacing w:val="10"/>
          <w:sz w:val="32"/>
          <w:highlight w:val="none"/>
        </w:rPr>
        <w:t>、企业信誉及荣誉证明材料</w:t>
      </w:r>
    </w:p>
    <w:p w14:paraId="030E6C72">
      <w:pPr>
        <w:autoSpaceDE w:val="0"/>
        <w:autoSpaceDN w:val="0"/>
        <w:adjustRightInd w:val="0"/>
        <w:spacing w:line="360" w:lineRule="exact"/>
        <w:outlineLvl w:val="9"/>
        <w:rPr>
          <w:rFonts w:ascii="仿宋_GB2312" w:eastAsia="仿宋_GB2312"/>
          <w:b/>
          <w:bCs/>
          <w:sz w:val="32"/>
          <w:szCs w:val="32"/>
          <w:highlight w:val="none"/>
        </w:rPr>
      </w:pPr>
    </w:p>
    <w:tbl>
      <w:tblPr>
        <w:tblStyle w:val="4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0"/>
        <w:gridCol w:w="3045"/>
        <w:gridCol w:w="3045"/>
      </w:tblGrid>
      <w:tr w14:paraId="019A1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10" w:hRule="atLeast"/>
        </w:trPr>
        <w:tc>
          <w:tcPr>
            <w:tcW w:w="2940" w:type="dxa"/>
            <w:noWrap/>
            <w:vAlign w:val="center"/>
          </w:tcPr>
          <w:p w14:paraId="3F460C8A">
            <w:pPr>
              <w:autoSpaceDE w:val="0"/>
              <w:autoSpaceDN w:val="0"/>
              <w:adjustRightInd w:val="0"/>
              <w:jc w:val="center"/>
              <w:rPr>
                <w:rFonts w:ascii="宋体" w:hAnsi="宋体"/>
                <w:sz w:val="24"/>
                <w:highlight w:val="none"/>
              </w:rPr>
            </w:pPr>
            <w:r>
              <w:rPr>
                <w:rFonts w:hint="eastAsia" w:ascii="宋体" w:hAnsi="宋体" w:cs="仿宋_GB2312"/>
                <w:sz w:val="24"/>
                <w:highlight w:val="none"/>
                <w:lang w:val="zh-CN"/>
              </w:rPr>
              <w:t>信誉及荣誉内容</w:t>
            </w:r>
          </w:p>
        </w:tc>
        <w:tc>
          <w:tcPr>
            <w:tcW w:w="3045" w:type="dxa"/>
            <w:noWrap/>
            <w:vAlign w:val="center"/>
          </w:tcPr>
          <w:p w14:paraId="4AFFD632">
            <w:pPr>
              <w:autoSpaceDE w:val="0"/>
              <w:autoSpaceDN w:val="0"/>
              <w:adjustRightInd w:val="0"/>
              <w:jc w:val="center"/>
              <w:rPr>
                <w:rFonts w:ascii="宋体" w:hAnsi="宋体"/>
                <w:sz w:val="24"/>
                <w:szCs w:val="24"/>
                <w:highlight w:val="none"/>
              </w:rPr>
            </w:pPr>
            <w:r>
              <w:rPr>
                <w:rFonts w:hint="eastAsia"/>
                <w:spacing w:val="10"/>
                <w:sz w:val="24"/>
                <w:szCs w:val="24"/>
                <w:highlight w:val="none"/>
              </w:rPr>
              <w:t>证明材料</w:t>
            </w:r>
          </w:p>
        </w:tc>
        <w:tc>
          <w:tcPr>
            <w:tcW w:w="3045" w:type="dxa"/>
            <w:noWrap/>
            <w:vAlign w:val="center"/>
          </w:tcPr>
          <w:p w14:paraId="55042861">
            <w:pPr>
              <w:autoSpaceDE w:val="0"/>
              <w:autoSpaceDN w:val="0"/>
              <w:adjustRightInd w:val="0"/>
              <w:spacing w:line="380" w:lineRule="exact"/>
              <w:ind w:left="278" w:hanging="278"/>
              <w:jc w:val="center"/>
              <w:rPr>
                <w:rFonts w:ascii="宋体" w:hAnsi="宋体" w:cs="仿宋_GB2312"/>
                <w:sz w:val="24"/>
                <w:highlight w:val="none"/>
                <w:lang w:val="zh-CN"/>
              </w:rPr>
            </w:pPr>
            <w:r>
              <w:rPr>
                <w:rFonts w:hint="eastAsia" w:ascii="宋体" w:hAnsi="宋体" w:cs="仿宋_GB2312"/>
                <w:sz w:val="24"/>
                <w:highlight w:val="none"/>
                <w:lang w:val="zh-CN"/>
              </w:rPr>
              <w:t>投标人具备的</w:t>
            </w:r>
          </w:p>
          <w:p w14:paraId="5D87FE79">
            <w:pPr>
              <w:autoSpaceDE w:val="0"/>
              <w:autoSpaceDN w:val="0"/>
              <w:adjustRightInd w:val="0"/>
              <w:spacing w:line="380" w:lineRule="exact"/>
              <w:ind w:left="278" w:hanging="278"/>
              <w:jc w:val="center"/>
              <w:rPr>
                <w:rFonts w:ascii="宋体" w:hAnsi="宋体"/>
                <w:sz w:val="24"/>
                <w:highlight w:val="none"/>
              </w:rPr>
            </w:pPr>
            <w:r>
              <w:rPr>
                <w:rFonts w:hint="eastAsia" w:ascii="宋体" w:hAnsi="宋体" w:cs="仿宋_GB2312"/>
                <w:sz w:val="24"/>
                <w:highlight w:val="none"/>
                <w:lang w:val="zh-CN"/>
              </w:rPr>
              <w:t>条件或说明</w:t>
            </w:r>
          </w:p>
        </w:tc>
      </w:tr>
      <w:tr w14:paraId="7D67E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8" w:hRule="exact"/>
        </w:trPr>
        <w:tc>
          <w:tcPr>
            <w:tcW w:w="2940" w:type="dxa"/>
            <w:noWrap/>
            <w:vAlign w:val="center"/>
          </w:tcPr>
          <w:p w14:paraId="681F64DC">
            <w:pPr>
              <w:autoSpaceDE w:val="0"/>
              <w:autoSpaceDN w:val="0"/>
              <w:adjustRightInd w:val="0"/>
              <w:spacing w:line="440" w:lineRule="exact"/>
              <w:jc w:val="center"/>
              <w:rPr>
                <w:rFonts w:ascii="宋体" w:hAnsi="宋体"/>
                <w:spacing w:val="4"/>
                <w:sz w:val="24"/>
                <w:highlight w:val="none"/>
              </w:rPr>
            </w:pPr>
          </w:p>
        </w:tc>
        <w:tc>
          <w:tcPr>
            <w:tcW w:w="3045" w:type="dxa"/>
            <w:noWrap/>
            <w:vAlign w:val="center"/>
          </w:tcPr>
          <w:p w14:paraId="1A1F09EE">
            <w:pPr>
              <w:autoSpaceDE w:val="0"/>
              <w:autoSpaceDN w:val="0"/>
              <w:adjustRightInd w:val="0"/>
              <w:spacing w:line="440" w:lineRule="exact"/>
              <w:jc w:val="center"/>
              <w:rPr>
                <w:rFonts w:ascii="宋体" w:hAnsi="宋体"/>
                <w:spacing w:val="4"/>
                <w:sz w:val="24"/>
                <w:highlight w:val="none"/>
              </w:rPr>
            </w:pPr>
          </w:p>
        </w:tc>
        <w:tc>
          <w:tcPr>
            <w:tcW w:w="3045" w:type="dxa"/>
            <w:noWrap/>
            <w:vAlign w:val="center"/>
          </w:tcPr>
          <w:p w14:paraId="0A2F67D8">
            <w:pPr>
              <w:autoSpaceDE w:val="0"/>
              <w:autoSpaceDN w:val="0"/>
              <w:adjustRightInd w:val="0"/>
              <w:spacing w:line="380" w:lineRule="exact"/>
              <w:rPr>
                <w:rFonts w:ascii="宋体" w:hAnsi="宋体"/>
                <w:sz w:val="24"/>
                <w:highlight w:val="none"/>
              </w:rPr>
            </w:pPr>
          </w:p>
        </w:tc>
      </w:tr>
      <w:tr w14:paraId="542D2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6" w:hRule="exact"/>
        </w:trPr>
        <w:tc>
          <w:tcPr>
            <w:tcW w:w="2940" w:type="dxa"/>
            <w:noWrap/>
            <w:vAlign w:val="center"/>
          </w:tcPr>
          <w:p w14:paraId="514E1D2C">
            <w:pPr>
              <w:spacing w:line="440" w:lineRule="exact"/>
              <w:jc w:val="center"/>
              <w:rPr>
                <w:rFonts w:ascii="宋体" w:hAnsi="宋体" w:cs="仿宋_GB2312"/>
                <w:sz w:val="24"/>
                <w:highlight w:val="none"/>
                <w:lang w:val="zh-CN"/>
              </w:rPr>
            </w:pPr>
          </w:p>
        </w:tc>
        <w:tc>
          <w:tcPr>
            <w:tcW w:w="3045" w:type="dxa"/>
            <w:noWrap/>
            <w:vAlign w:val="center"/>
          </w:tcPr>
          <w:p w14:paraId="28D2A0D3">
            <w:pPr>
              <w:autoSpaceDE w:val="0"/>
              <w:autoSpaceDN w:val="0"/>
              <w:adjustRightInd w:val="0"/>
              <w:spacing w:line="440" w:lineRule="exact"/>
              <w:jc w:val="center"/>
              <w:rPr>
                <w:rFonts w:ascii="宋体" w:hAnsi="宋体"/>
                <w:spacing w:val="4"/>
                <w:sz w:val="24"/>
                <w:highlight w:val="none"/>
              </w:rPr>
            </w:pPr>
          </w:p>
        </w:tc>
        <w:tc>
          <w:tcPr>
            <w:tcW w:w="3045" w:type="dxa"/>
            <w:noWrap/>
            <w:vAlign w:val="center"/>
          </w:tcPr>
          <w:p w14:paraId="2DC0D56D">
            <w:pPr>
              <w:autoSpaceDE w:val="0"/>
              <w:autoSpaceDN w:val="0"/>
              <w:adjustRightInd w:val="0"/>
              <w:spacing w:line="380" w:lineRule="exact"/>
              <w:rPr>
                <w:rFonts w:ascii="宋体" w:hAnsi="宋体"/>
                <w:sz w:val="24"/>
                <w:highlight w:val="none"/>
              </w:rPr>
            </w:pPr>
          </w:p>
        </w:tc>
      </w:tr>
    </w:tbl>
    <w:p w14:paraId="305B880E">
      <w:pPr>
        <w:spacing w:line="460" w:lineRule="exact"/>
        <w:ind w:firstLine="770" w:firstLineChars="367"/>
        <w:rPr>
          <w:rFonts w:ascii="黑体" w:hAnsi="宋体" w:eastAsia="黑体" w:cs="仿宋_GB2312"/>
          <w:bCs/>
          <w:szCs w:val="21"/>
          <w:highlight w:val="none"/>
        </w:rPr>
      </w:pPr>
      <w:r>
        <w:rPr>
          <w:rFonts w:hint="eastAsia" w:ascii="黑体" w:hAnsi="宋体" w:eastAsia="黑体" w:cs="仿宋_GB2312"/>
          <w:bCs/>
          <w:szCs w:val="21"/>
          <w:highlight w:val="none"/>
        </w:rPr>
        <w:t>注：本表后附与评分有关的企业信誉荣誉证明材料复印件（如果有），均须加盖投标人公章，否则不予计分。</w:t>
      </w:r>
    </w:p>
    <w:p w14:paraId="5ADCAC07">
      <w:pPr>
        <w:spacing w:line="460" w:lineRule="exact"/>
        <w:ind w:firstLine="880" w:firstLineChars="367"/>
        <w:rPr>
          <w:rFonts w:ascii="宋体" w:hAnsi="宋体"/>
          <w:sz w:val="24"/>
          <w:highlight w:val="none"/>
        </w:rPr>
      </w:pPr>
    </w:p>
    <w:p w14:paraId="66201BC6">
      <w:pPr>
        <w:spacing w:line="460" w:lineRule="exact"/>
        <w:ind w:firstLine="880" w:firstLineChars="367"/>
        <w:rPr>
          <w:rFonts w:ascii="宋体" w:hAnsi="宋体"/>
          <w:sz w:val="24"/>
          <w:highlight w:val="none"/>
        </w:rPr>
      </w:pPr>
    </w:p>
    <w:p w14:paraId="48D3F261">
      <w:pPr>
        <w:spacing w:line="460" w:lineRule="exact"/>
        <w:ind w:firstLine="880" w:firstLineChars="367"/>
        <w:rPr>
          <w:rFonts w:ascii="宋体" w:hAnsi="宋体"/>
          <w:sz w:val="24"/>
          <w:highlight w:val="none"/>
        </w:rPr>
      </w:pPr>
    </w:p>
    <w:p w14:paraId="16A5AC95">
      <w:pPr>
        <w:spacing w:line="460" w:lineRule="exact"/>
        <w:ind w:firstLine="880" w:firstLineChars="367"/>
        <w:rPr>
          <w:rFonts w:ascii="宋体" w:hAnsi="宋体"/>
          <w:sz w:val="24"/>
          <w:highlight w:val="none"/>
        </w:rPr>
      </w:pPr>
    </w:p>
    <w:p w14:paraId="2264785A">
      <w:pPr>
        <w:spacing w:line="460" w:lineRule="exact"/>
        <w:ind w:firstLine="880" w:firstLineChars="367"/>
        <w:rPr>
          <w:rFonts w:ascii="宋体" w:hAnsi="宋体"/>
          <w:sz w:val="24"/>
          <w:highlight w:val="none"/>
        </w:rPr>
      </w:pPr>
    </w:p>
    <w:p w14:paraId="02A6476B">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w:t>
      </w:r>
      <w:r>
        <w:rPr>
          <w:rFonts w:hint="eastAsia" w:ascii="宋体" w:hAnsi="宋体"/>
          <w:sz w:val="24"/>
          <w:highlight w:val="none"/>
          <w:u w:val="single"/>
          <w:lang w:val="en-US" w:eastAsia="zh-CN"/>
        </w:rPr>
        <w:t>单位</w:t>
      </w:r>
      <w:r>
        <w:rPr>
          <w:rFonts w:hint="eastAsia" w:ascii="宋体" w:hAnsi="宋体"/>
          <w:sz w:val="24"/>
          <w:highlight w:val="none"/>
          <w:u w:val="single"/>
        </w:rPr>
        <w:t>章）</w:t>
      </w:r>
    </w:p>
    <w:p w14:paraId="4FC11840">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14:paraId="2A9AB856">
      <w:pPr>
        <w:spacing w:line="460" w:lineRule="exact"/>
        <w:ind w:firstLine="3280" w:firstLineChars="1367"/>
        <w:rPr>
          <w:rFonts w:ascii="宋体" w:hAnsi="宋体"/>
          <w:sz w:val="24"/>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4A0DBDE8">
      <w:pPr>
        <w:spacing w:line="360" w:lineRule="auto"/>
        <w:rPr>
          <w:b/>
          <w:sz w:val="24"/>
          <w:szCs w:val="24"/>
          <w:highlight w:val="none"/>
        </w:rPr>
      </w:pPr>
    </w:p>
    <w:p w14:paraId="694D151F">
      <w:pPr>
        <w:spacing w:beforeLines="50"/>
        <w:jc w:val="center"/>
        <w:outlineLvl w:val="1"/>
        <w:rPr>
          <w:b/>
          <w:sz w:val="32"/>
          <w:highlight w:val="none"/>
        </w:rPr>
      </w:pPr>
      <w:r>
        <w:rPr>
          <w:rFonts w:ascii="宋体" w:hAnsi="宋体"/>
          <w:szCs w:val="21"/>
          <w:highlight w:val="none"/>
        </w:rPr>
        <w:br w:type="page"/>
      </w:r>
      <w:r>
        <w:rPr>
          <w:rFonts w:hint="eastAsia"/>
          <w:b/>
          <w:sz w:val="32"/>
          <w:szCs w:val="32"/>
          <w:highlight w:val="none"/>
          <w:lang w:val="en-US" w:eastAsia="zh-CN"/>
        </w:rPr>
        <w:t>七</w:t>
      </w:r>
      <w:r>
        <w:rPr>
          <w:rFonts w:hint="eastAsia"/>
          <w:b/>
          <w:sz w:val="32"/>
          <w:szCs w:val="32"/>
          <w:highlight w:val="none"/>
        </w:rPr>
        <w:t>、</w:t>
      </w:r>
      <w:r>
        <w:rPr>
          <w:rFonts w:hint="eastAsia"/>
          <w:b/>
          <w:sz w:val="32"/>
          <w:highlight w:val="none"/>
        </w:rPr>
        <w:t>近年内曾完成的业绩情况表</w:t>
      </w:r>
    </w:p>
    <w:p w14:paraId="03D637C4">
      <w:pPr>
        <w:jc w:val="center"/>
        <w:rPr>
          <w:b/>
          <w:sz w:val="24"/>
          <w:szCs w:val="24"/>
          <w:highlight w:val="none"/>
        </w:rPr>
      </w:pPr>
    </w:p>
    <w:tbl>
      <w:tblPr>
        <w:tblStyle w:val="4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3"/>
        <w:gridCol w:w="1276"/>
        <w:gridCol w:w="1134"/>
        <w:gridCol w:w="2961"/>
        <w:gridCol w:w="1440"/>
        <w:gridCol w:w="1650"/>
      </w:tblGrid>
      <w:tr w14:paraId="57D3E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8" w:hRule="atLeast"/>
          <w:jc w:val="center"/>
        </w:trPr>
        <w:tc>
          <w:tcPr>
            <w:tcW w:w="683" w:type="dxa"/>
            <w:vMerge w:val="restart"/>
            <w:noWrap/>
            <w:vAlign w:val="center"/>
          </w:tcPr>
          <w:p w14:paraId="37231CC7">
            <w:pPr>
              <w:jc w:val="center"/>
              <w:rPr>
                <w:rFonts w:ascii="宋体" w:hAnsi="宋体"/>
                <w:sz w:val="24"/>
                <w:szCs w:val="24"/>
                <w:highlight w:val="none"/>
              </w:rPr>
            </w:pPr>
            <w:r>
              <w:rPr>
                <w:rFonts w:ascii="宋体" w:hAnsi="宋体"/>
                <w:sz w:val="24"/>
                <w:szCs w:val="24"/>
                <w:highlight w:val="none"/>
              </w:rPr>
              <w:t>1.</w:t>
            </w:r>
          </w:p>
        </w:tc>
        <w:tc>
          <w:tcPr>
            <w:tcW w:w="2410" w:type="dxa"/>
            <w:gridSpan w:val="2"/>
            <w:noWrap/>
            <w:vAlign w:val="center"/>
          </w:tcPr>
          <w:p w14:paraId="61788011">
            <w:pPr>
              <w:jc w:val="center"/>
              <w:rPr>
                <w:rFonts w:ascii="宋体" w:hAnsi="宋体"/>
                <w:position w:val="-6"/>
                <w:sz w:val="24"/>
                <w:szCs w:val="24"/>
                <w:highlight w:val="none"/>
              </w:rPr>
            </w:pPr>
            <w:r>
              <w:rPr>
                <w:rFonts w:hint="eastAsia" w:ascii="宋体" w:hAnsi="宋体"/>
                <w:position w:val="-6"/>
                <w:sz w:val="24"/>
                <w:szCs w:val="24"/>
                <w:highlight w:val="none"/>
              </w:rPr>
              <w:t>工程名称</w:t>
            </w:r>
          </w:p>
        </w:tc>
        <w:tc>
          <w:tcPr>
            <w:tcW w:w="6051" w:type="dxa"/>
            <w:gridSpan w:val="3"/>
            <w:noWrap/>
            <w:vAlign w:val="center"/>
          </w:tcPr>
          <w:p w14:paraId="191BF5C0">
            <w:pPr>
              <w:jc w:val="center"/>
              <w:rPr>
                <w:rFonts w:ascii="宋体" w:hAnsi="宋体"/>
                <w:sz w:val="24"/>
                <w:szCs w:val="24"/>
                <w:highlight w:val="none"/>
              </w:rPr>
            </w:pPr>
          </w:p>
        </w:tc>
      </w:tr>
      <w:tr w14:paraId="5BB19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683" w:type="dxa"/>
            <w:vMerge w:val="continue"/>
            <w:noWrap/>
            <w:vAlign w:val="center"/>
          </w:tcPr>
          <w:p w14:paraId="45A291A3">
            <w:pPr>
              <w:jc w:val="center"/>
              <w:rPr>
                <w:rFonts w:ascii="宋体" w:hAnsi="宋体"/>
                <w:sz w:val="24"/>
                <w:szCs w:val="24"/>
                <w:highlight w:val="none"/>
              </w:rPr>
            </w:pPr>
          </w:p>
        </w:tc>
        <w:tc>
          <w:tcPr>
            <w:tcW w:w="2410" w:type="dxa"/>
            <w:gridSpan w:val="2"/>
            <w:noWrap/>
            <w:vAlign w:val="center"/>
          </w:tcPr>
          <w:p w14:paraId="293AAB9C">
            <w:pPr>
              <w:jc w:val="center"/>
              <w:rPr>
                <w:rFonts w:ascii="宋体" w:hAnsi="宋体"/>
                <w:sz w:val="24"/>
                <w:szCs w:val="24"/>
                <w:highlight w:val="none"/>
              </w:rPr>
            </w:pPr>
            <w:r>
              <w:rPr>
                <w:rFonts w:hint="eastAsia" w:ascii="宋体" w:hAnsi="宋体"/>
                <w:sz w:val="24"/>
                <w:szCs w:val="24"/>
                <w:highlight w:val="none"/>
              </w:rPr>
              <w:t>工程地点</w:t>
            </w:r>
          </w:p>
        </w:tc>
        <w:tc>
          <w:tcPr>
            <w:tcW w:w="6051" w:type="dxa"/>
            <w:gridSpan w:val="3"/>
            <w:noWrap/>
            <w:vAlign w:val="center"/>
          </w:tcPr>
          <w:p w14:paraId="7A130AC6">
            <w:pPr>
              <w:jc w:val="center"/>
              <w:rPr>
                <w:rFonts w:ascii="宋体" w:hAnsi="宋体"/>
                <w:sz w:val="24"/>
                <w:szCs w:val="24"/>
                <w:highlight w:val="none"/>
              </w:rPr>
            </w:pPr>
          </w:p>
        </w:tc>
      </w:tr>
      <w:tr w14:paraId="72D72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683" w:type="dxa"/>
            <w:vMerge w:val="restart"/>
            <w:noWrap/>
            <w:vAlign w:val="center"/>
          </w:tcPr>
          <w:p w14:paraId="7E30201A">
            <w:pPr>
              <w:jc w:val="center"/>
              <w:rPr>
                <w:rFonts w:ascii="宋体" w:hAnsi="宋体"/>
                <w:sz w:val="24"/>
                <w:szCs w:val="24"/>
                <w:highlight w:val="none"/>
              </w:rPr>
            </w:pPr>
            <w:r>
              <w:rPr>
                <w:rFonts w:ascii="宋体" w:hAnsi="宋体"/>
                <w:sz w:val="24"/>
                <w:szCs w:val="24"/>
                <w:highlight w:val="none"/>
              </w:rPr>
              <w:t>2.</w:t>
            </w:r>
          </w:p>
        </w:tc>
        <w:tc>
          <w:tcPr>
            <w:tcW w:w="1276" w:type="dxa"/>
            <w:vMerge w:val="restart"/>
            <w:noWrap/>
            <w:vAlign w:val="center"/>
          </w:tcPr>
          <w:p w14:paraId="1FF5696D">
            <w:pPr>
              <w:jc w:val="center"/>
              <w:rPr>
                <w:rFonts w:ascii="宋体" w:hAnsi="宋体"/>
                <w:sz w:val="24"/>
                <w:szCs w:val="24"/>
                <w:highlight w:val="none"/>
              </w:rPr>
            </w:pPr>
            <w:r>
              <w:rPr>
                <w:rFonts w:hint="eastAsia" w:ascii="宋体" w:hAnsi="宋体"/>
                <w:sz w:val="24"/>
                <w:szCs w:val="24"/>
                <w:highlight w:val="none"/>
              </w:rPr>
              <w:t>建设单位</w:t>
            </w:r>
          </w:p>
        </w:tc>
        <w:tc>
          <w:tcPr>
            <w:tcW w:w="1134" w:type="dxa"/>
            <w:noWrap/>
            <w:vAlign w:val="center"/>
          </w:tcPr>
          <w:p w14:paraId="4656C830">
            <w:pPr>
              <w:jc w:val="center"/>
              <w:rPr>
                <w:rFonts w:ascii="宋体" w:hAnsi="宋体"/>
                <w:sz w:val="24"/>
                <w:szCs w:val="24"/>
                <w:highlight w:val="none"/>
              </w:rPr>
            </w:pPr>
            <w:r>
              <w:rPr>
                <w:rFonts w:hint="eastAsia" w:ascii="宋体" w:hAnsi="宋体"/>
                <w:sz w:val="24"/>
                <w:szCs w:val="24"/>
                <w:highlight w:val="none"/>
              </w:rPr>
              <w:t>名称</w:t>
            </w:r>
          </w:p>
        </w:tc>
        <w:tc>
          <w:tcPr>
            <w:tcW w:w="2961" w:type="dxa"/>
            <w:noWrap/>
            <w:vAlign w:val="center"/>
          </w:tcPr>
          <w:p w14:paraId="7E0BE8B9">
            <w:pPr>
              <w:jc w:val="center"/>
              <w:rPr>
                <w:rFonts w:ascii="宋体" w:hAnsi="宋体"/>
                <w:sz w:val="24"/>
                <w:szCs w:val="24"/>
                <w:highlight w:val="none"/>
              </w:rPr>
            </w:pPr>
          </w:p>
        </w:tc>
        <w:tc>
          <w:tcPr>
            <w:tcW w:w="1440" w:type="dxa"/>
            <w:noWrap/>
            <w:vAlign w:val="center"/>
          </w:tcPr>
          <w:p w14:paraId="17A52D6A">
            <w:pPr>
              <w:jc w:val="center"/>
              <w:rPr>
                <w:rFonts w:ascii="宋体" w:hAnsi="宋体"/>
                <w:sz w:val="24"/>
                <w:szCs w:val="24"/>
                <w:highlight w:val="none"/>
              </w:rPr>
            </w:pPr>
            <w:r>
              <w:rPr>
                <w:rFonts w:hint="eastAsia" w:ascii="宋体" w:hAnsi="宋体"/>
                <w:sz w:val="24"/>
                <w:szCs w:val="24"/>
                <w:highlight w:val="none"/>
              </w:rPr>
              <w:t>联 系 人</w:t>
            </w:r>
          </w:p>
        </w:tc>
        <w:tc>
          <w:tcPr>
            <w:tcW w:w="1650" w:type="dxa"/>
            <w:noWrap/>
            <w:vAlign w:val="center"/>
          </w:tcPr>
          <w:p w14:paraId="513360FE">
            <w:pPr>
              <w:jc w:val="center"/>
              <w:rPr>
                <w:rFonts w:ascii="宋体" w:hAnsi="宋体"/>
                <w:sz w:val="24"/>
                <w:szCs w:val="24"/>
                <w:highlight w:val="none"/>
              </w:rPr>
            </w:pPr>
          </w:p>
        </w:tc>
      </w:tr>
      <w:tr w14:paraId="10D77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683" w:type="dxa"/>
            <w:vMerge w:val="continue"/>
            <w:noWrap/>
            <w:vAlign w:val="center"/>
          </w:tcPr>
          <w:p w14:paraId="1E421025">
            <w:pPr>
              <w:jc w:val="center"/>
              <w:rPr>
                <w:rFonts w:ascii="宋体" w:hAnsi="宋体"/>
                <w:sz w:val="24"/>
                <w:szCs w:val="24"/>
                <w:highlight w:val="none"/>
              </w:rPr>
            </w:pPr>
          </w:p>
        </w:tc>
        <w:tc>
          <w:tcPr>
            <w:tcW w:w="1276" w:type="dxa"/>
            <w:vMerge w:val="continue"/>
            <w:noWrap/>
            <w:vAlign w:val="center"/>
          </w:tcPr>
          <w:p w14:paraId="314B77DE">
            <w:pPr>
              <w:jc w:val="center"/>
              <w:rPr>
                <w:rFonts w:ascii="宋体" w:hAnsi="宋体"/>
                <w:sz w:val="24"/>
                <w:szCs w:val="24"/>
                <w:highlight w:val="none"/>
              </w:rPr>
            </w:pPr>
          </w:p>
        </w:tc>
        <w:tc>
          <w:tcPr>
            <w:tcW w:w="1134" w:type="dxa"/>
            <w:noWrap/>
            <w:vAlign w:val="center"/>
          </w:tcPr>
          <w:p w14:paraId="3A9B8A11">
            <w:pPr>
              <w:jc w:val="center"/>
              <w:rPr>
                <w:rFonts w:ascii="宋体" w:hAnsi="宋体"/>
                <w:sz w:val="24"/>
                <w:szCs w:val="24"/>
                <w:highlight w:val="none"/>
              </w:rPr>
            </w:pPr>
            <w:r>
              <w:rPr>
                <w:rFonts w:hint="eastAsia" w:ascii="宋体" w:hAnsi="宋体"/>
                <w:sz w:val="24"/>
                <w:szCs w:val="24"/>
                <w:highlight w:val="none"/>
              </w:rPr>
              <w:t>地址</w:t>
            </w:r>
          </w:p>
        </w:tc>
        <w:tc>
          <w:tcPr>
            <w:tcW w:w="2961" w:type="dxa"/>
            <w:noWrap/>
            <w:vAlign w:val="center"/>
          </w:tcPr>
          <w:p w14:paraId="303F7F26">
            <w:pPr>
              <w:jc w:val="center"/>
              <w:rPr>
                <w:rFonts w:ascii="宋体" w:hAnsi="宋体"/>
                <w:sz w:val="24"/>
                <w:szCs w:val="24"/>
                <w:highlight w:val="none"/>
              </w:rPr>
            </w:pPr>
          </w:p>
        </w:tc>
        <w:tc>
          <w:tcPr>
            <w:tcW w:w="1440" w:type="dxa"/>
            <w:noWrap/>
            <w:vAlign w:val="center"/>
          </w:tcPr>
          <w:p w14:paraId="20BF3D72">
            <w:pPr>
              <w:jc w:val="center"/>
              <w:rPr>
                <w:rFonts w:ascii="宋体" w:hAnsi="宋体"/>
                <w:sz w:val="24"/>
                <w:szCs w:val="24"/>
                <w:highlight w:val="none"/>
              </w:rPr>
            </w:pPr>
            <w:r>
              <w:rPr>
                <w:rFonts w:hint="eastAsia" w:ascii="宋体" w:hAnsi="宋体"/>
                <w:sz w:val="24"/>
                <w:szCs w:val="24"/>
                <w:highlight w:val="none"/>
              </w:rPr>
              <w:t>联系电话</w:t>
            </w:r>
          </w:p>
        </w:tc>
        <w:tc>
          <w:tcPr>
            <w:tcW w:w="1650" w:type="dxa"/>
            <w:noWrap/>
            <w:vAlign w:val="center"/>
          </w:tcPr>
          <w:p w14:paraId="66CFBAA7">
            <w:pPr>
              <w:jc w:val="center"/>
              <w:rPr>
                <w:rFonts w:ascii="宋体" w:hAnsi="宋体"/>
                <w:sz w:val="24"/>
                <w:szCs w:val="24"/>
                <w:highlight w:val="none"/>
              </w:rPr>
            </w:pPr>
          </w:p>
        </w:tc>
      </w:tr>
      <w:tr w14:paraId="61FAF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1" w:hRule="atLeast"/>
          <w:jc w:val="center"/>
        </w:trPr>
        <w:tc>
          <w:tcPr>
            <w:tcW w:w="683" w:type="dxa"/>
            <w:noWrap/>
            <w:vAlign w:val="center"/>
          </w:tcPr>
          <w:p w14:paraId="160CAC7A">
            <w:pPr>
              <w:jc w:val="center"/>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w:t>
            </w:r>
          </w:p>
        </w:tc>
        <w:tc>
          <w:tcPr>
            <w:tcW w:w="8461" w:type="dxa"/>
            <w:gridSpan w:val="5"/>
            <w:noWrap/>
            <w:vAlign w:val="center"/>
          </w:tcPr>
          <w:p w14:paraId="057E5A27">
            <w:pPr>
              <w:rPr>
                <w:rFonts w:ascii="宋体" w:hAnsi="宋体"/>
                <w:sz w:val="24"/>
                <w:szCs w:val="24"/>
                <w:highlight w:val="none"/>
              </w:rPr>
            </w:pPr>
            <w:r>
              <w:rPr>
                <w:rFonts w:hint="eastAsia" w:ascii="宋体" w:hAnsi="宋体"/>
                <w:sz w:val="24"/>
                <w:szCs w:val="24"/>
                <w:highlight w:val="none"/>
              </w:rPr>
              <w:t>合同身份</w:t>
            </w:r>
            <w:r>
              <w:rPr>
                <w:rFonts w:ascii="宋体" w:hAnsi="宋体"/>
                <w:sz w:val="24"/>
                <w:szCs w:val="24"/>
                <w:highlight w:val="none"/>
              </w:rPr>
              <w:t xml:space="preserve"> (</w:t>
            </w:r>
            <w:r>
              <w:rPr>
                <w:rFonts w:hint="eastAsia" w:ascii="宋体" w:hAnsi="宋体"/>
                <w:sz w:val="24"/>
                <w:szCs w:val="24"/>
                <w:highlight w:val="none"/>
              </w:rPr>
              <w:t>标明其中之一</w:t>
            </w:r>
            <w:r>
              <w:rPr>
                <w:rFonts w:ascii="宋体" w:hAnsi="宋体"/>
                <w:sz w:val="24"/>
                <w:szCs w:val="24"/>
                <w:highlight w:val="none"/>
              </w:rPr>
              <w:t>)</w:t>
            </w:r>
          </w:p>
          <w:p w14:paraId="0D06D80B">
            <w:pPr>
              <w:rPr>
                <w:rFonts w:ascii="宋体" w:hAnsi="宋体"/>
                <w:sz w:val="24"/>
                <w:szCs w:val="24"/>
                <w:highlight w:val="none"/>
              </w:rPr>
            </w:pPr>
            <w:r>
              <w:rPr>
                <w:rFonts w:ascii="宋体" w:hAnsi="宋体"/>
                <w:sz w:val="24"/>
                <w:szCs w:val="24"/>
                <w:highlight w:val="none"/>
              </w:rPr>
              <w:sym w:font="Symbol" w:char="F086"/>
            </w:r>
            <w:r>
              <w:rPr>
                <w:rFonts w:hint="eastAsia" w:ascii="宋体" w:hAnsi="宋体"/>
                <w:sz w:val="24"/>
                <w:szCs w:val="24"/>
                <w:highlight w:val="none"/>
              </w:rPr>
              <w:t xml:space="preserve">  独立承监人</w:t>
            </w:r>
            <w:r>
              <w:rPr>
                <w:rFonts w:ascii="宋体" w:hAnsi="宋体"/>
                <w:sz w:val="24"/>
                <w:szCs w:val="24"/>
                <w:highlight w:val="none"/>
              </w:rPr>
              <w:sym w:font="Symbol" w:char="F086"/>
            </w:r>
            <w:r>
              <w:rPr>
                <w:rFonts w:hint="eastAsia" w:ascii="宋体" w:hAnsi="宋体"/>
                <w:sz w:val="24"/>
                <w:szCs w:val="24"/>
                <w:highlight w:val="none"/>
              </w:rPr>
              <w:t xml:space="preserve">联合体牵头人     </w:t>
            </w:r>
            <w:r>
              <w:rPr>
                <w:rFonts w:ascii="宋体" w:hAnsi="宋体"/>
                <w:sz w:val="24"/>
                <w:szCs w:val="24"/>
                <w:highlight w:val="none"/>
              </w:rPr>
              <w:sym w:font="Symbol" w:char="F086"/>
            </w:r>
            <w:r>
              <w:rPr>
                <w:rFonts w:hint="eastAsia" w:ascii="宋体" w:hAnsi="宋体"/>
                <w:sz w:val="24"/>
                <w:szCs w:val="24"/>
                <w:highlight w:val="none"/>
              </w:rPr>
              <w:t xml:space="preserve">联合体成员      </w:t>
            </w:r>
          </w:p>
        </w:tc>
      </w:tr>
      <w:tr w14:paraId="7A04B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683" w:type="dxa"/>
            <w:noWrap/>
            <w:vAlign w:val="center"/>
          </w:tcPr>
          <w:p w14:paraId="7ED1F193">
            <w:pPr>
              <w:jc w:val="center"/>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w:t>
            </w:r>
          </w:p>
        </w:tc>
        <w:tc>
          <w:tcPr>
            <w:tcW w:w="8461" w:type="dxa"/>
            <w:gridSpan w:val="5"/>
            <w:noWrap/>
            <w:vAlign w:val="center"/>
          </w:tcPr>
          <w:p w14:paraId="593BAD80">
            <w:pPr>
              <w:rPr>
                <w:rFonts w:ascii="宋体" w:hAnsi="宋体"/>
                <w:sz w:val="24"/>
                <w:szCs w:val="24"/>
                <w:highlight w:val="none"/>
              </w:rPr>
            </w:pPr>
            <w:r>
              <w:rPr>
                <w:rFonts w:hint="eastAsia" w:ascii="宋体" w:hAnsi="宋体"/>
                <w:sz w:val="24"/>
                <w:szCs w:val="24"/>
                <w:highlight w:val="none"/>
              </w:rPr>
              <w:t>工程质量等级、获得何种荣誉：</w:t>
            </w:r>
          </w:p>
        </w:tc>
      </w:tr>
      <w:tr w14:paraId="6CEF9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683" w:type="dxa"/>
            <w:noWrap/>
            <w:vAlign w:val="center"/>
          </w:tcPr>
          <w:p w14:paraId="37B1E1BA">
            <w:pPr>
              <w:jc w:val="center"/>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w:t>
            </w:r>
          </w:p>
        </w:tc>
        <w:tc>
          <w:tcPr>
            <w:tcW w:w="8461" w:type="dxa"/>
            <w:gridSpan w:val="5"/>
            <w:noWrap/>
            <w:vAlign w:val="center"/>
          </w:tcPr>
          <w:p w14:paraId="372F8ECA">
            <w:pPr>
              <w:rPr>
                <w:rFonts w:ascii="宋体" w:hAnsi="宋体"/>
                <w:sz w:val="24"/>
                <w:szCs w:val="24"/>
                <w:highlight w:val="none"/>
              </w:rPr>
            </w:pPr>
            <w:r>
              <w:rPr>
                <w:rFonts w:hint="eastAsia" w:ascii="宋体" w:hAnsi="宋体"/>
                <w:sz w:val="24"/>
                <w:szCs w:val="24"/>
                <w:highlight w:val="none"/>
              </w:rPr>
              <w:t>工程开工及竣工时间：</w:t>
            </w:r>
          </w:p>
        </w:tc>
      </w:tr>
      <w:tr w14:paraId="2DE8A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jc w:val="center"/>
        </w:trPr>
        <w:tc>
          <w:tcPr>
            <w:tcW w:w="683" w:type="dxa"/>
            <w:noWrap/>
            <w:vAlign w:val="center"/>
          </w:tcPr>
          <w:p w14:paraId="1B805C12">
            <w:pPr>
              <w:jc w:val="center"/>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p>
        </w:tc>
        <w:tc>
          <w:tcPr>
            <w:tcW w:w="8461" w:type="dxa"/>
            <w:gridSpan w:val="5"/>
            <w:noWrap/>
            <w:vAlign w:val="center"/>
          </w:tcPr>
          <w:p w14:paraId="3F1FD324">
            <w:pPr>
              <w:rPr>
                <w:rFonts w:ascii="宋体" w:hAnsi="宋体"/>
                <w:sz w:val="24"/>
                <w:szCs w:val="24"/>
                <w:highlight w:val="none"/>
              </w:rPr>
            </w:pPr>
            <w:r>
              <w:rPr>
                <w:rFonts w:hint="eastAsia" w:ascii="宋体" w:hAnsi="宋体"/>
                <w:sz w:val="24"/>
                <w:szCs w:val="24"/>
                <w:highlight w:val="none"/>
              </w:rPr>
              <w:t>工程规模和主要工程内容：</w:t>
            </w:r>
          </w:p>
        </w:tc>
      </w:tr>
    </w:tbl>
    <w:p w14:paraId="0CA47850">
      <w:pPr>
        <w:ind w:left="735" w:hanging="735" w:hangingChars="350"/>
        <w:rPr>
          <w:rFonts w:ascii="黑体" w:hAnsi="宋体" w:eastAsia="黑体"/>
          <w:highlight w:val="none"/>
        </w:rPr>
      </w:pPr>
      <w:r>
        <w:rPr>
          <w:rFonts w:hint="eastAsia" w:ascii="黑体" w:hAnsi="宋体" w:eastAsia="黑体"/>
          <w:highlight w:val="none"/>
        </w:rPr>
        <w:t>注：1.每张表格只填写一个项目，并标明序号。</w:t>
      </w:r>
    </w:p>
    <w:p w14:paraId="07B76EA8">
      <w:pPr>
        <w:ind w:firstLine="420" w:firstLineChars="200"/>
        <w:rPr>
          <w:rFonts w:ascii="黑体" w:hAnsi="宋体" w:eastAsia="黑体"/>
          <w:highlight w:val="none"/>
        </w:rPr>
      </w:pPr>
      <w:r>
        <w:rPr>
          <w:rFonts w:hint="eastAsia" w:ascii="黑体" w:hAnsi="宋体" w:eastAsia="黑体"/>
          <w:highlight w:val="none"/>
        </w:rPr>
        <w:t>2.本表只填写与商务评分相关的监理类似业绩，否则留空白表。</w:t>
      </w:r>
    </w:p>
    <w:p w14:paraId="25BD357E">
      <w:pPr>
        <w:ind w:firstLine="420" w:firstLineChars="200"/>
        <w:rPr>
          <w:rFonts w:ascii="宋体" w:hAnsi="宋体"/>
          <w:b/>
          <w:sz w:val="24"/>
          <w:szCs w:val="24"/>
          <w:highlight w:val="none"/>
        </w:rPr>
      </w:pPr>
      <w:r>
        <w:rPr>
          <w:rFonts w:hint="eastAsia" w:ascii="黑体" w:hAnsi="宋体" w:eastAsia="黑体"/>
          <w:highlight w:val="none"/>
        </w:rPr>
        <w:t>3.本表后应附</w:t>
      </w:r>
      <w:r>
        <w:rPr>
          <w:rFonts w:hint="eastAsia" w:ascii="黑体" w:hAnsi="宋体" w:eastAsia="黑体"/>
          <w:szCs w:val="21"/>
          <w:highlight w:val="none"/>
        </w:rPr>
        <w:t>竣工验收报告和获奖证书等关键证明材料复印件</w:t>
      </w:r>
      <w:r>
        <w:rPr>
          <w:rFonts w:hint="eastAsia" w:ascii="黑体" w:hAnsi="宋体" w:eastAsia="黑体"/>
          <w:highlight w:val="none"/>
        </w:rPr>
        <w:t>。</w:t>
      </w:r>
    </w:p>
    <w:p w14:paraId="0D930404">
      <w:pPr>
        <w:ind w:firstLine="420" w:firstLineChars="200"/>
        <w:rPr>
          <w:rFonts w:ascii="黑体" w:hAnsi="宋体" w:eastAsia="黑体"/>
          <w:highlight w:val="none"/>
        </w:rPr>
      </w:pPr>
      <w:r>
        <w:rPr>
          <w:rFonts w:hint="eastAsia" w:ascii="黑体" w:hAnsi="宋体" w:eastAsia="黑体"/>
          <w:highlight w:val="none"/>
        </w:rPr>
        <w:t>4.如近年来，投标人法人机构发生合法变更或重组或法人名称变更时，应提供相关部门的合法批件或其他相关证明材料来证明其所附业绩的继承性。</w:t>
      </w:r>
    </w:p>
    <w:p w14:paraId="1887FC32">
      <w:pPr>
        <w:ind w:firstLine="420" w:firstLineChars="200"/>
        <w:rPr>
          <w:rFonts w:ascii="黑体" w:hAnsi="宋体" w:eastAsia="黑体"/>
          <w:highlight w:val="none"/>
        </w:rPr>
      </w:pPr>
      <w:r>
        <w:rPr>
          <w:rFonts w:hint="eastAsia" w:ascii="黑体" w:hAnsi="宋体" w:eastAsia="黑体"/>
          <w:highlight w:val="none"/>
        </w:rPr>
        <w:t>5.以上资料复印件须</w:t>
      </w:r>
      <w:r>
        <w:rPr>
          <w:rFonts w:hint="eastAsia" w:ascii="黑体" w:hAnsi="宋体" w:eastAsia="黑体"/>
          <w:szCs w:val="21"/>
          <w:highlight w:val="none"/>
        </w:rPr>
        <w:t>加盖单位章。</w:t>
      </w:r>
    </w:p>
    <w:p w14:paraId="12AE6FE1">
      <w:pPr>
        <w:spacing w:line="340" w:lineRule="exact"/>
        <w:ind w:firstLine="420" w:firstLineChars="200"/>
        <w:rPr>
          <w:rFonts w:ascii="黑体" w:hAnsi="宋体" w:eastAsia="黑体"/>
          <w:szCs w:val="21"/>
          <w:highlight w:val="none"/>
        </w:rPr>
      </w:pPr>
    </w:p>
    <w:p w14:paraId="5ADC598D">
      <w:pPr>
        <w:spacing w:line="400" w:lineRule="exact"/>
        <w:ind w:firstLine="420" w:firstLineChars="200"/>
        <w:rPr>
          <w:rFonts w:ascii="黑体" w:hAnsi="宋体" w:eastAsia="黑体"/>
          <w:szCs w:val="21"/>
          <w:highlight w:val="none"/>
        </w:rPr>
      </w:pPr>
    </w:p>
    <w:p w14:paraId="5A0B39F7">
      <w:pPr>
        <w:spacing w:line="380" w:lineRule="exact"/>
        <w:rPr>
          <w:b/>
          <w:sz w:val="28"/>
          <w:szCs w:val="28"/>
          <w:highlight w:val="none"/>
        </w:rPr>
      </w:pPr>
    </w:p>
    <w:p w14:paraId="44E16DF7">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w:t>
      </w:r>
      <w:r>
        <w:rPr>
          <w:rFonts w:hint="eastAsia" w:ascii="宋体" w:hAnsi="宋体"/>
          <w:sz w:val="24"/>
          <w:highlight w:val="none"/>
          <w:u w:val="single"/>
          <w:lang w:val="en-US" w:eastAsia="zh-CN"/>
        </w:rPr>
        <w:t>单位</w:t>
      </w:r>
      <w:r>
        <w:rPr>
          <w:rFonts w:hint="eastAsia" w:ascii="宋体" w:hAnsi="宋体"/>
          <w:sz w:val="24"/>
          <w:highlight w:val="none"/>
          <w:u w:val="single"/>
        </w:rPr>
        <w:t>章）</w:t>
      </w:r>
    </w:p>
    <w:p w14:paraId="69D116B9">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14:paraId="069DEA44">
      <w:pPr>
        <w:spacing w:line="520" w:lineRule="exact"/>
        <w:ind w:firstLine="4320" w:firstLineChars="1800"/>
        <w:rPr>
          <w:rFonts w:ascii="宋体" w:hAnsi="宋体"/>
          <w:sz w:val="24"/>
          <w:highlight w:val="none"/>
        </w:rPr>
      </w:pP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32C58042">
      <w:pPr>
        <w:jc w:val="center"/>
        <w:outlineLvl w:val="1"/>
        <w:rPr>
          <w:b/>
          <w:bCs/>
          <w:spacing w:val="-6"/>
          <w:sz w:val="30"/>
          <w:szCs w:val="30"/>
          <w:highlight w:val="none"/>
          <w:vertAlign w:val="superscript"/>
        </w:rPr>
      </w:pPr>
      <w:r>
        <w:rPr>
          <w:rFonts w:ascii="宋体" w:hAnsi="宋体"/>
          <w:szCs w:val="21"/>
          <w:highlight w:val="none"/>
        </w:rPr>
        <w:br w:type="page"/>
      </w:r>
      <w:bookmarkStart w:id="148" w:name="_Toc308507833"/>
      <w:bookmarkStart w:id="149" w:name="_Toc308388804"/>
      <w:bookmarkStart w:id="150" w:name="_Toc309630477"/>
      <w:bookmarkStart w:id="151" w:name="_Toc308507912"/>
      <w:bookmarkStart w:id="152" w:name="_Toc308597028"/>
      <w:r>
        <w:rPr>
          <w:rFonts w:hint="eastAsia"/>
          <w:b/>
          <w:bCs/>
          <w:spacing w:val="-6"/>
          <w:sz w:val="30"/>
          <w:szCs w:val="30"/>
          <w:highlight w:val="none"/>
          <w:lang w:val="en-US" w:eastAsia="zh-CN"/>
        </w:rPr>
        <w:t>八</w:t>
      </w:r>
      <w:r>
        <w:rPr>
          <w:rFonts w:hint="eastAsia"/>
          <w:b/>
          <w:bCs/>
          <w:spacing w:val="-6"/>
          <w:sz w:val="30"/>
          <w:szCs w:val="30"/>
          <w:highlight w:val="none"/>
        </w:rPr>
        <w:t>、</w:t>
      </w:r>
      <w:r>
        <w:rPr>
          <w:b/>
          <w:bCs/>
          <w:spacing w:val="-6"/>
          <w:sz w:val="30"/>
          <w:szCs w:val="30"/>
          <w:highlight w:val="none"/>
        </w:rPr>
        <w:t>拟</w:t>
      </w:r>
      <w:r>
        <w:rPr>
          <w:rFonts w:hint="eastAsia"/>
          <w:b/>
          <w:bCs/>
          <w:spacing w:val="-6"/>
          <w:sz w:val="30"/>
          <w:szCs w:val="30"/>
          <w:highlight w:val="none"/>
        </w:rPr>
        <w:t>投入</w:t>
      </w:r>
      <w:r>
        <w:rPr>
          <w:b/>
          <w:bCs/>
          <w:spacing w:val="-6"/>
          <w:sz w:val="30"/>
          <w:szCs w:val="30"/>
          <w:highlight w:val="none"/>
        </w:rPr>
        <w:t>的试验、检测</w:t>
      </w:r>
      <w:r>
        <w:rPr>
          <w:rFonts w:hint="eastAsia"/>
          <w:b/>
          <w:bCs/>
          <w:spacing w:val="-6"/>
          <w:sz w:val="30"/>
          <w:szCs w:val="30"/>
          <w:highlight w:val="none"/>
        </w:rPr>
        <w:t>、测量</w:t>
      </w:r>
      <w:r>
        <w:rPr>
          <w:b/>
          <w:bCs/>
          <w:spacing w:val="-6"/>
          <w:sz w:val="30"/>
          <w:szCs w:val="30"/>
          <w:highlight w:val="none"/>
        </w:rPr>
        <w:t>仪器</w:t>
      </w:r>
      <w:r>
        <w:rPr>
          <w:rFonts w:hint="eastAsia"/>
          <w:b/>
          <w:bCs/>
          <w:spacing w:val="-6"/>
          <w:sz w:val="30"/>
          <w:szCs w:val="30"/>
          <w:highlight w:val="none"/>
        </w:rPr>
        <w:t>，</w:t>
      </w:r>
      <w:r>
        <w:rPr>
          <w:b/>
          <w:bCs/>
          <w:spacing w:val="-6"/>
          <w:sz w:val="30"/>
          <w:szCs w:val="30"/>
          <w:highlight w:val="none"/>
        </w:rPr>
        <w:t>办公、生活及交通设施表</w:t>
      </w:r>
      <w:bookmarkEnd w:id="148"/>
      <w:bookmarkEnd w:id="149"/>
      <w:bookmarkEnd w:id="150"/>
      <w:bookmarkEnd w:id="151"/>
      <w:bookmarkEnd w:id="152"/>
    </w:p>
    <w:p w14:paraId="25EBC286">
      <w:pPr>
        <w:spacing w:line="280" w:lineRule="exact"/>
        <w:jc w:val="center"/>
        <w:rPr>
          <w:b/>
          <w:bCs/>
          <w:spacing w:val="4"/>
          <w:sz w:val="32"/>
          <w:szCs w:val="32"/>
          <w:highlight w:val="none"/>
        </w:rPr>
      </w:pP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8"/>
        <w:gridCol w:w="1293"/>
        <w:gridCol w:w="735"/>
        <w:gridCol w:w="1236"/>
        <w:gridCol w:w="749"/>
        <w:gridCol w:w="749"/>
        <w:gridCol w:w="749"/>
        <w:gridCol w:w="750"/>
        <w:gridCol w:w="1076"/>
        <w:gridCol w:w="1199"/>
      </w:tblGrid>
      <w:tr w14:paraId="440D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6" w:hRule="atLeast"/>
          <w:jc w:val="center"/>
        </w:trPr>
        <w:tc>
          <w:tcPr>
            <w:tcW w:w="1058" w:type="dxa"/>
            <w:vMerge w:val="restart"/>
            <w:noWrap/>
            <w:vAlign w:val="center"/>
          </w:tcPr>
          <w:p w14:paraId="32F12B60">
            <w:pPr>
              <w:pStyle w:val="179"/>
              <w:widowControl/>
              <w:autoSpaceDE w:val="0"/>
              <w:autoSpaceDN w:val="0"/>
              <w:adjustRightInd/>
              <w:spacing w:line="340" w:lineRule="exact"/>
              <w:textAlignment w:val="bottom"/>
              <w:rPr>
                <w:kern w:val="2"/>
                <w:szCs w:val="24"/>
                <w:highlight w:val="none"/>
              </w:rPr>
            </w:pPr>
            <w:r>
              <w:rPr>
                <w:kern w:val="2"/>
                <w:szCs w:val="24"/>
                <w:highlight w:val="none"/>
              </w:rPr>
              <w:t>设备</w:t>
            </w:r>
            <w:r>
              <w:rPr>
                <w:rFonts w:hint="eastAsia"/>
                <w:kern w:val="2"/>
                <w:szCs w:val="24"/>
                <w:highlight w:val="none"/>
              </w:rPr>
              <w:t>设施内容</w:t>
            </w:r>
          </w:p>
        </w:tc>
        <w:tc>
          <w:tcPr>
            <w:tcW w:w="1293" w:type="dxa"/>
            <w:vMerge w:val="restart"/>
            <w:noWrap/>
          </w:tcPr>
          <w:p w14:paraId="309A8A38">
            <w:pPr>
              <w:pStyle w:val="179"/>
              <w:widowControl/>
              <w:autoSpaceDE w:val="0"/>
              <w:autoSpaceDN w:val="0"/>
              <w:adjustRightInd/>
              <w:spacing w:line="340" w:lineRule="exact"/>
              <w:textAlignment w:val="bottom"/>
              <w:rPr>
                <w:kern w:val="2"/>
                <w:szCs w:val="24"/>
                <w:highlight w:val="none"/>
              </w:rPr>
            </w:pPr>
            <w:r>
              <w:rPr>
                <w:kern w:val="2"/>
                <w:szCs w:val="24"/>
                <w:highlight w:val="none"/>
              </w:rPr>
              <w:t>仪器、设备</w:t>
            </w:r>
          </w:p>
          <w:p w14:paraId="43871E06">
            <w:pPr>
              <w:pStyle w:val="179"/>
              <w:widowControl/>
              <w:autoSpaceDE w:val="0"/>
              <w:autoSpaceDN w:val="0"/>
              <w:adjustRightInd/>
              <w:spacing w:line="340" w:lineRule="exact"/>
              <w:textAlignment w:val="bottom"/>
              <w:rPr>
                <w:kern w:val="2"/>
                <w:szCs w:val="24"/>
                <w:highlight w:val="none"/>
              </w:rPr>
            </w:pPr>
            <w:r>
              <w:rPr>
                <w:kern w:val="2"/>
                <w:szCs w:val="24"/>
                <w:highlight w:val="none"/>
              </w:rPr>
              <w:t>与设施名称</w:t>
            </w:r>
          </w:p>
        </w:tc>
        <w:tc>
          <w:tcPr>
            <w:tcW w:w="735" w:type="dxa"/>
            <w:vMerge w:val="restart"/>
            <w:noWrap/>
            <w:vAlign w:val="center"/>
          </w:tcPr>
          <w:p w14:paraId="5A9B3FA5">
            <w:pPr>
              <w:pStyle w:val="179"/>
              <w:widowControl/>
              <w:autoSpaceDE w:val="0"/>
              <w:autoSpaceDN w:val="0"/>
              <w:adjustRightInd/>
              <w:spacing w:line="340" w:lineRule="exact"/>
              <w:textAlignment w:val="bottom"/>
              <w:rPr>
                <w:kern w:val="2"/>
                <w:szCs w:val="24"/>
                <w:highlight w:val="none"/>
              </w:rPr>
            </w:pPr>
            <w:r>
              <w:rPr>
                <w:kern w:val="2"/>
                <w:szCs w:val="24"/>
                <w:highlight w:val="none"/>
              </w:rPr>
              <w:t>型号</w:t>
            </w:r>
          </w:p>
          <w:p w14:paraId="4C01A1B3">
            <w:pPr>
              <w:pStyle w:val="179"/>
              <w:widowControl/>
              <w:autoSpaceDE w:val="0"/>
              <w:autoSpaceDN w:val="0"/>
              <w:adjustRightInd/>
              <w:spacing w:line="340" w:lineRule="exact"/>
              <w:textAlignment w:val="bottom"/>
              <w:rPr>
                <w:kern w:val="2"/>
                <w:szCs w:val="24"/>
                <w:highlight w:val="none"/>
              </w:rPr>
            </w:pPr>
            <w:r>
              <w:rPr>
                <w:kern w:val="2"/>
                <w:szCs w:val="24"/>
                <w:highlight w:val="none"/>
              </w:rPr>
              <w:t>产地</w:t>
            </w:r>
          </w:p>
        </w:tc>
        <w:tc>
          <w:tcPr>
            <w:tcW w:w="1236" w:type="dxa"/>
            <w:vMerge w:val="restart"/>
            <w:noWrap/>
            <w:vAlign w:val="center"/>
          </w:tcPr>
          <w:p w14:paraId="75816BAA">
            <w:pPr>
              <w:pStyle w:val="179"/>
              <w:widowControl/>
              <w:autoSpaceDE w:val="0"/>
              <w:autoSpaceDN w:val="0"/>
              <w:adjustRightInd/>
              <w:spacing w:line="340" w:lineRule="exact"/>
              <w:textAlignment w:val="bottom"/>
              <w:rPr>
                <w:kern w:val="2"/>
                <w:szCs w:val="24"/>
                <w:highlight w:val="none"/>
              </w:rPr>
            </w:pPr>
            <w:r>
              <w:rPr>
                <w:kern w:val="2"/>
                <w:szCs w:val="24"/>
                <w:highlight w:val="none"/>
              </w:rPr>
              <w:t>用途、功</w:t>
            </w:r>
          </w:p>
          <w:p w14:paraId="25C41FE9">
            <w:pPr>
              <w:pStyle w:val="179"/>
              <w:widowControl/>
              <w:autoSpaceDE w:val="0"/>
              <w:autoSpaceDN w:val="0"/>
              <w:adjustRightInd/>
              <w:spacing w:line="340" w:lineRule="exact"/>
              <w:textAlignment w:val="bottom"/>
              <w:rPr>
                <w:kern w:val="2"/>
                <w:szCs w:val="24"/>
                <w:highlight w:val="none"/>
              </w:rPr>
            </w:pPr>
            <w:r>
              <w:rPr>
                <w:kern w:val="2"/>
                <w:szCs w:val="24"/>
                <w:highlight w:val="none"/>
              </w:rPr>
              <w:t>能规格</w:t>
            </w:r>
          </w:p>
        </w:tc>
        <w:tc>
          <w:tcPr>
            <w:tcW w:w="2997" w:type="dxa"/>
            <w:gridSpan w:val="4"/>
            <w:noWrap/>
            <w:vAlign w:val="center"/>
          </w:tcPr>
          <w:p w14:paraId="5A7A86A7">
            <w:pPr>
              <w:widowControl/>
              <w:autoSpaceDE w:val="0"/>
              <w:autoSpaceDN w:val="0"/>
              <w:jc w:val="center"/>
              <w:textAlignment w:val="bottom"/>
              <w:rPr>
                <w:highlight w:val="none"/>
              </w:rPr>
            </w:pPr>
            <w:r>
              <w:rPr>
                <w:highlight w:val="none"/>
              </w:rPr>
              <w:t>数量</w:t>
            </w:r>
          </w:p>
        </w:tc>
        <w:tc>
          <w:tcPr>
            <w:tcW w:w="1076" w:type="dxa"/>
            <w:vMerge w:val="restart"/>
            <w:noWrap/>
            <w:vAlign w:val="center"/>
          </w:tcPr>
          <w:p w14:paraId="6E23572D">
            <w:pPr>
              <w:pStyle w:val="179"/>
              <w:widowControl/>
              <w:autoSpaceDE w:val="0"/>
              <w:autoSpaceDN w:val="0"/>
              <w:adjustRightInd/>
              <w:spacing w:line="340" w:lineRule="exact"/>
              <w:textAlignment w:val="bottom"/>
              <w:rPr>
                <w:kern w:val="2"/>
                <w:szCs w:val="24"/>
                <w:highlight w:val="none"/>
              </w:rPr>
            </w:pPr>
            <w:r>
              <w:rPr>
                <w:kern w:val="2"/>
                <w:szCs w:val="24"/>
                <w:highlight w:val="none"/>
              </w:rPr>
              <w:t>设备寿命</w:t>
            </w:r>
          </w:p>
          <w:p w14:paraId="0C3B757D">
            <w:pPr>
              <w:pStyle w:val="179"/>
              <w:widowControl/>
              <w:autoSpaceDE w:val="0"/>
              <w:autoSpaceDN w:val="0"/>
              <w:adjustRightInd/>
              <w:spacing w:line="340" w:lineRule="exact"/>
              <w:textAlignment w:val="bottom"/>
              <w:rPr>
                <w:kern w:val="2"/>
                <w:szCs w:val="24"/>
                <w:highlight w:val="none"/>
              </w:rPr>
            </w:pPr>
            <w:r>
              <w:rPr>
                <w:rFonts w:hint="eastAsia"/>
                <w:kern w:val="2"/>
                <w:szCs w:val="24"/>
                <w:highlight w:val="none"/>
              </w:rPr>
              <w:t>（</w:t>
            </w:r>
            <w:r>
              <w:rPr>
                <w:kern w:val="2"/>
                <w:szCs w:val="24"/>
                <w:highlight w:val="none"/>
              </w:rPr>
              <w:t>年</w:t>
            </w:r>
            <w:r>
              <w:rPr>
                <w:rFonts w:hint="eastAsia"/>
                <w:kern w:val="2"/>
                <w:szCs w:val="24"/>
                <w:highlight w:val="none"/>
              </w:rPr>
              <w:t>）</w:t>
            </w:r>
          </w:p>
        </w:tc>
        <w:tc>
          <w:tcPr>
            <w:tcW w:w="1199" w:type="dxa"/>
            <w:vMerge w:val="restart"/>
            <w:noWrap/>
            <w:vAlign w:val="center"/>
          </w:tcPr>
          <w:p w14:paraId="37698D6B">
            <w:pPr>
              <w:pStyle w:val="179"/>
              <w:widowControl/>
              <w:autoSpaceDE w:val="0"/>
              <w:autoSpaceDN w:val="0"/>
              <w:adjustRightInd/>
              <w:spacing w:line="340" w:lineRule="exact"/>
              <w:textAlignment w:val="bottom"/>
              <w:rPr>
                <w:kern w:val="2"/>
                <w:szCs w:val="24"/>
                <w:highlight w:val="none"/>
              </w:rPr>
            </w:pPr>
            <w:r>
              <w:rPr>
                <w:kern w:val="2"/>
                <w:szCs w:val="24"/>
                <w:highlight w:val="none"/>
              </w:rPr>
              <w:t>已使用</w:t>
            </w:r>
          </w:p>
          <w:p w14:paraId="725DD91E">
            <w:pPr>
              <w:pStyle w:val="179"/>
              <w:widowControl/>
              <w:autoSpaceDE w:val="0"/>
              <w:autoSpaceDN w:val="0"/>
              <w:adjustRightInd/>
              <w:spacing w:line="340" w:lineRule="exact"/>
              <w:textAlignment w:val="bottom"/>
              <w:rPr>
                <w:kern w:val="2"/>
                <w:szCs w:val="24"/>
                <w:highlight w:val="none"/>
              </w:rPr>
            </w:pPr>
            <w:r>
              <w:rPr>
                <w:kern w:val="2"/>
                <w:szCs w:val="24"/>
                <w:highlight w:val="none"/>
              </w:rPr>
              <w:t>年限</w:t>
            </w:r>
            <w:r>
              <w:rPr>
                <w:rFonts w:hint="eastAsia"/>
                <w:kern w:val="2"/>
                <w:szCs w:val="24"/>
                <w:highlight w:val="none"/>
              </w:rPr>
              <w:t>（</w:t>
            </w:r>
            <w:r>
              <w:rPr>
                <w:kern w:val="2"/>
                <w:szCs w:val="24"/>
                <w:highlight w:val="none"/>
              </w:rPr>
              <w:t>年</w:t>
            </w:r>
            <w:r>
              <w:rPr>
                <w:rFonts w:hint="eastAsia"/>
                <w:kern w:val="2"/>
                <w:szCs w:val="24"/>
                <w:highlight w:val="none"/>
              </w:rPr>
              <w:t>）</w:t>
            </w:r>
          </w:p>
        </w:tc>
      </w:tr>
      <w:tr w14:paraId="3C459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6" w:hRule="exact"/>
          <w:jc w:val="center"/>
        </w:trPr>
        <w:tc>
          <w:tcPr>
            <w:tcW w:w="1058" w:type="dxa"/>
            <w:vMerge w:val="continue"/>
            <w:noWrap/>
            <w:vAlign w:val="center"/>
          </w:tcPr>
          <w:p w14:paraId="2084872B">
            <w:pPr>
              <w:widowControl/>
              <w:autoSpaceDE w:val="0"/>
              <w:autoSpaceDN w:val="0"/>
              <w:jc w:val="center"/>
              <w:textAlignment w:val="bottom"/>
              <w:rPr>
                <w:highlight w:val="none"/>
              </w:rPr>
            </w:pPr>
          </w:p>
        </w:tc>
        <w:tc>
          <w:tcPr>
            <w:tcW w:w="1293" w:type="dxa"/>
            <w:vMerge w:val="continue"/>
            <w:noWrap/>
          </w:tcPr>
          <w:p w14:paraId="4C4598FD">
            <w:pPr>
              <w:widowControl/>
              <w:autoSpaceDE w:val="0"/>
              <w:autoSpaceDN w:val="0"/>
              <w:jc w:val="center"/>
              <w:textAlignment w:val="bottom"/>
              <w:rPr>
                <w:highlight w:val="none"/>
              </w:rPr>
            </w:pPr>
          </w:p>
        </w:tc>
        <w:tc>
          <w:tcPr>
            <w:tcW w:w="735" w:type="dxa"/>
            <w:vMerge w:val="continue"/>
            <w:noWrap/>
            <w:vAlign w:val="center"/>
          </w:tcPr>
          <w:p w14:paraId="4AF39871">
            <w:pPr>
              <w:widowControl/>
              <w:autoSpaceDE w:val="0"/>
              <w:autoSpaceDN w:val="0"/>
              <w:jc w:val="center"/>
              <w:textAlignment w:val="bottom"/>
              <w:rPr>
                <w:highlight w:val="none"/>
              </w:rPr>
            </w:pPr>
          </w:p>
        </w:tc>
        <w:tc>
          <w:tcPr>
            <w:tcW w:w="1236" w:type="dxa"/>
            <w:vMerge w:val="continue"/>
            <w:noWrap/>
            <w:vAlign w:val="center"/>
          </w:tcPr>
          <w:p w14:paraId="46DA9B34">
            <w:pPr>
              <w:widowControl/>
              <w:autoSpaceDE w:val="0"/>
              <w:autoSpaceDN w:val="0"/>
              <w:jc w:val="center"/>
              <w:textAlignment w:val="bottom"/>
              <w:rPr>
                <w:highlight w:val="none"/>
              </w:rPr>
            </w:pPr>
          </w:p>
        </w:tc>
        <w:tc>
          <w:tcPr>
            <w:tcW w:w="749" w:type="dxa"/>
            <w:noWrap/>
            <w:vAlign w:val="center"/>
          </w:tcPr>
          <w:p w14:paraId="14FE77E3">
            <w:pPr>
              <w:widowControl/>
              <w:autoSpaceDE w:val="0"/>
              <w:autoSpaceDN w:val="0"/>
              <w:jc w:val="center"/>
              <w:textAlignment w:val="bottom"/>
              <w:rPr>
                <w:highlight w:val="none"/>
              </w:rPr>
            </w:pPr>
            <w:r>
              <w:rPr>
                <w:highlight w:val="none"/>
              </w:rPr>
              <w:t>合计</w:t>
            </w:r>
          </w:p>
        </w:tc>
        <w:tc>
          <w:tcPr>
            <w:tcW w:w="749" w:type="dxa"/>
            <w:noWrap/>
            <w:vAlign w:val="center"/>
          </w:tcPr>
          <w:p w14:paraId="6AD54135">
            <w:pPr>
              <w:widowControl/>
              <w:autoSpaceDE w:val="0"/>
              <w:autoSpaceDN w:val="0"/>
              <w:jc w:val="center"/>
              <w:textAlignment w:val="bottom"/>
              <w:rPr>
                <w:highlight w:val="none"/>
              </w:rPr>
            </w:pPr>
            <w:r>
              <w:rPr>
                <w:highlight w:val="none"/>
              </w:rPr>
              <w:t>自有</w:t>
            </w:r>
          </w:p>
        </w:tc>
        <w:tc>
          <w:tcPr>
            <w:tcW w:w="749" w:type="dxa"/>
            <w:noWrap/>
            <w:vAlign w:val="center"/>
          </w:tcPr>
          <w:p w14:paraId="769DFCEB">
            <w:pPr>
              <w:widowControl/>
              <w:autoSpaceDE w:val="0"/>
              <w:autoSpaceDN w:val="0"/>
              <w:jc w:val="center"/>
              <w:textAlignment w:val="bottom"/>
              <w:rPr>
                <w:highlight w:val="none"/>
              </w:rPr>
            </w:pPr>
            <w:r>
              <w:rPr>
                <w:highlight w:val="none"/>
              </w:rPr>
              <w:t>租赁</w:t>
            </w:r>
          </w:p>
        </w:tc>
        <w:tc>
          <w:tcPr>
            <w:tcW w:w="750" w:type="dxa"/>
            <w:noWrap/>
            <w:vAlign w:val="center"/>
          </w:tcPr>
          <w:p w14:paraId="32883B76">
            <w:pPr>
              <w:widowControl/>
              <w:autoSpaceDE w:val="0"/>
              <w:autoSpaceDN w:val="0"/>
              <w:jc w:val="center"/>
              <w:textAlignment w:val="bottom"/>
              <w:rPr>
                <w:highlight w:val="none"/>
                <w:u w:val="single"/>
              </w:rPr>
            </w:pPr>
            <w:r>
              <w:rPr>
                <w:highlight w:val="none"/>
              </w:rPr>
              <w:t>新购</w:t>
            </w:r>
          </w:p>
        </w:tc>
        <w:tc>
          <w:tcPr>
            <w:tcW w:w="1076" w:type="dxa"/>
            <w:vMerge w:val="continue"/>
            <w:noWrap/>
            <w:vAlign w:val="center"/>
          </w:tcPr>
          <w:p w14:paraId="305C1649">
            <w:pPr>
              <w:widowControl/>
              <w:autoSpaceDE w:val="0"/>
              <w:autoSpaceDN w:val="0"/>
              <w:jc w:val="center"/>
              <w:textAlignment w:val="bottom"/>
              <w:rPr>
                <w:highlight w:val="none"/>
              </w:rPr>
            </w:pPr>
          </w:p>
        </w:tc>
        <w:tc>
          <w:tcPr>
            <w:tcW w:w="1199" w:type="dxa"/>
            <w:vMerge w:val="continue"/>
            <w:noWrap/>
            <w:vAlign w:val="center"/>
          </w:tcPr>
          <w:p w14:paraId="18CF7535">
            <w:pPr>
              <w:widowControl/>
              <w:autoSpaceDE w:val="0"/>
              <w:autoSpaceDN w:val="0"/>
              <w:jc w:val="center"/>
              <w:textAlignment w:val="bottom"/>
              <w:rPr>
                <w:highlight w:val="none"/>
              </w:rPr>
            </w:pPr>
          </w:p>
        </w:tc>
      </w:tr>
      <w:tr w14:paraId="06EC6C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restart"/>
            <w:noWrap/>
            <w:vAlign w:val="center"/>
          </w:tcPr>
          <w:p w14:paraId="24A173FD">
            <w:pPr>
              <w:widowControl/>
              <w:autoSpaceDE w:val="0"/>
              <w:autoSpaceDN w:val="0"/>
              <w:jc w:val="center"/>
              <w:textAlignment w:val="bottom"/>
              <w:rPr>
                <w:highlight w:val="none"/>
              </w:rPr>
            </w:pPr>
            <w:r>
              <w:rPr>
                <w:highlight w:val="none"/>
              </w:rPr>
              <w:t>试验、</w:t>
            </w:r>
          </w:p>
          <w:p w14:paraId="7A7AAE6D">
            <w:pPr>
              <w:widowControl/>
              <w:autoSpaceDE w:val="0"/>
              <w:autoSpaceDN w:val="0"/>
              <w:jc w:val="center"/>
              <w:textAlignment w:val="bottom"/>
              <w:rPr>
                <w:highlight w:val="none"/>
              </w:rPr>
            </w:pPr>
            <w:r>
              <w:rPr>
                <w:highlight w:val="none"/>
              </w:rPr>
              <w:t>检测</w:t>
            </w:r>
            <w:r>
              <w:rPr>
                <w:rFonts w:hint="eastAsia"/>
                <w:highlight w:val="none"/>
              </w:rPr>
              <w:t>、测量</w:t>
            </w:r>
            <w:r>
              <w:rPr>
                <w:highlight w:val="none"/>
              </w:rPr>
              <w:t>仪器</w:t>
            </w:r>
          </w:p>
        </w:tc>
        <w:tc>
          <w:tcPr>
            <w:tcW w:w="1293" w:type="dxa"/>
            <w:noWrap/>
          </w:tcPr>
          <w:p w14:paraId="39DF8D66">
            <w:pPr>
              <w:widowControl/>
              <w:autoSpaceDE w:val="0"/>
              <w:autoSpaceDN w:val="0"/>
              <w:jc w:val="center"/>
              <w:textAlignment w:val="bottom"/>
              <w:rPr>
                <w:highlight w:val="none"/>
              </w:rPr>
            </w:pPr>
          </w:p>
        </w:tc>
        <w:tc>
          <w:tcPr>
            <w:tcW w:w="735" w:type="dxa"/>
            <w:noWrap/>
            <w:vAlign w:val="center"/>
          </w:tcPr>
          <w:p w14:paraId="101C8117">
            <w:pPr>
              <w:widowControl/>
              <w:autoSpaceDE w:val="0"/>
              <w:autoSpaceDN w:val="0"/>
              <w:jc w:val="center"/>
              <w:textAlignment w:val="bottom"/>
              <w:rPr>
                <w:highlight w:val="none"/>
              </w:rPr>
            </w:pPr>
          </w:p>
        </w:tc>
        <w:tc>
          <w:tcPr>
            <w:tcW w:w="1236" w:type="dxa"/>
            <w:noWrap/>
            <w:vAlign w:val="center"/>
          </w:tcPr>
          <w:p w14:paraId="69329F4D">
            <w:pPr>
              <w:widowControl/>
              <w:autoSpaceDE w:val="0"/>
              <w:autoSpaceDN w:val="0"/>
              <w:jc w:val="center"/>
              <w:textAlignment w:val="bottom"/>
              <w:rPr>
                <w:highlight w:val="none"/>
              </w:rPr>
            </w:pPr>
          </w:p>
        </w:tc>
        <w:tc>
          <w:tcPr>
            <w:tcW w:w="749" w:type="dxa"/>
            <w:noWrap/>
            <w:vAlign w:val="center"/>
          </w:tcPr>
          <w:p w14:paraId="0F5B9AC6">
            <w:pPr>
              <w:widowControl/>
              <w:autoSpaceDE w:val="0"/>
              <w:autoSpaceDN w:val="0"/>
              <w:jc w:val="center"/>
              <w:textAlignment w:val="bottom"/>
              <w:rPr>
                <w:highlight w:val="none"/>
              </w:rPr>
            </w:pPr>
          </w:p>
        </w:tc>
        <w:tc>
          <w:tcPr>
            <w:tcW w:w="749" w:type="dxa"/>
            <w:noWrap/>
            <w:vAlign w:val="center"/>
          </w:tcPr>
          <w:p w14:paraId="72098C27">
            <w:pPr>
              <w:widowControl/>
              <w:autoSpaceDE w:val="0"/>
              <w:autoSpaceDN w:val="0"/>
              <w:jc w:val="center"/>
              <w:textAlignment w:val="bottom"/>
              <w:rPr>
                <w:highlight w:val="none"/>
              </w:rPr>
            </w:pPr>
          </w:p>
        </w:tc>
        <w:tc>
          <w:tcPr>
            <w:tcW w:w="749" w:type="dxa"/>
            <w:noWrap/>
            <w:vAlign w:val="center"/>
          </w:tcPr>
          <w:p w14:paraId="6B2ED2D8">
            <w:pPr>
              <w:widowControl/>
              <w:autoSpaceDE w:val="0"/>
              <w:autoSpaceDN w:val="0"/>
              <w:jc w:val="center"/>
              <w:textAlignment w:val="bottom"/>
              <w:rPr>
                <w:highlight w:val="none"/>
              </w:rPr>
            </w:pPr>
          </w:p>
        </w:tc>
        <w:tc>
          <w:tcPr>
            <w:tcW w:w="750" w:type="dxa"/>
            <w:noWrap/>
            <w:vAlign w:val="center"/>
          </w:tcPr>
          <w:p w14:paraId="105A51B6">
            <w:pPr>
              <w:widowControl/>
              <w:autoSpaceDE w:val="0"/>
              <w:autoSpaceDN w:val="0"/>
              <w:jc w:val="center"/>
              <w:textAlignment w:val="bottom"/>
              <w:rPr>
                <w:highlight w:val="none"/>
              </w:rPr>
            </w:pPr>
          </w:p>
        </w:tc>
        <w:tc>
          <w:tcPr>
            <w:tcW w:w="1076" w:type="dxa"/>
            <w:noWrap/>
            <w:vAlign w:val="center"/>
          </w:tcPr>
          <w:p w14:paraId="6382E0CE">
            <w:pPr>
              <w:widowControl/>
              <w:autoSpaceDE w:val="0"/>
              <w:autoSpaceDN w:val="0"/>
              <w:jc w:val="center"/>
              <w:textAlignment w:val="bottom"/>
              <w:rPr>
                <w:highlight w:val="none"/>
              </w:rPr>
            </w:pPr>
          </w:p>
        </w:tc>
        <w:tc>
          <w:tcPr>
            <w:tcW w:w="1199" w:type="dxa"/>
            <w:noWrap/>
            <w:vAlign w:val="center"/>
          </w:tcPr>
          <w:p w14:paraId="4555F92E">
            <w:pPr>
              <w:widowControl/>
              <w:autoSpaceDE w:val="0"/>
              <w:autoSpaceDN w:val="0"/>
              <w:jc w:val="center"/>
              <w:textAlignment w:val="bottom"/>
              <w:rPr>
                <w:highlight w:val="none"/>
              </w:rPr>
            </w:pPr>
          </w:p>
        </w:tc>
      </w:tr>
      <w:tr w14:paraId="18480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6F603E6F">
            <w:pPr>
              <w:widowControl/>
              <w:autoSpaceDE w:val="0"/>
              <w:autoSpaceDN w:val="0"/>
              <w:jc w:val="center"/>
              <w:textAlignment w:val="bottom"/>
              <w:rPr>
                <w:highlight w:val="none"/>
              </w:rPr>
            </w:pPr>
          </w:p>
        </w:tc>
        <w:tc>
          <w:tcPr>
            <w:tcW w:w="1293" w:type="dxa"/>
            <w:noWrap/>
          </w:tcPr>
          <w:p w14:paraId="3A57E925">
            <w:pPr>
              <w:widowControl/>
              <w:autoSpaceDE w:val="0"/>
              <w:autoSpaceDN w:val="0"/>
              <w:jc w:val="center"/>
              <w:textAlignment w:val="bottom"/>
              <w:rPr>
                <w:highlight w:val="none"/>
              </w:rPr>
            </w:pPr>
          </w:p>
        </w:tc>
        <w:tc>
          <w:tcPr>
            <w:tcW w:w="735" w:type="dxa"/>
            <w:noWrap/>
            <w:vAlign w:val="center"/>
          </w:tcPr>
          <w:p w14:paraId="2430A09E">
            <w:pPr>
              <w:widowControl/>
              <w:autoSpaceDE w:val="0"/>
              <w:autoSpaceDN w:val="0"/>
              <w:jc w:val="center"/>
              <w:textAlignment w:val="bottom"/>
              <w:rPr>
                <w:highlight w:val="none"/>
              </w:rPr>
            </w:pPr>
          </w:p>
        </w:tc>
        <w:tc>
          <w:tcPr>
            <w:tcW w:w="1236" w:type="dxa"/>
            <w:noWrap/>
            <w:vAlign w:val="center"/>
          </w:tcPr>
          <w:p w14:paraId="513982E0">
            <w:pPr>
              <w:widowControl/>
              <w:autoSpaceDE w:val="0"/>
              <w:autoSpaceDN w:val="0"/>
              <w:jc w:val="center"/>
              <w:textAlignment w:val="bottom"/>
              <w:rPr>
                <w:highlight w:val="none"/>
              </w:rPr>
            </w:pPr>
          </w:p>
        </w:tc>
        <w:tc>
          <w:tcPr>
            <w:tcW w:w="749" w:type="dxa"/>
            <w:noWrap/>
            <w:vAlign w:val="center"/>
          </w:tcPr>
          <w:p w14:paraId="05EC350F">
            <w:pPr>
              <w:widowControl/>
              <w:autoSpaceDE w:val="0"/>
              <w:autoSpaceDN w:val="0"/>
              <w:jc w:val="center"/>
              <w:textAlignment w:val="bottom"/>
              <w:rPr>
                <w:highlight w:val="none"/>
              </w:rPr>
            </w:pPr>
          </w:p>
        </w:tc>
        <w:tc>
          <w:tcPr>
            <w:tcW w:w="749" w:type="dxa"/>
            <w:noWrap/>
            <w:vAlign w:val="center"/>
          </w:tcPr>
          <w:p w14:paraId="31650873">
            <w:pPr>
              <w:widowControl/>
              <w:autoSpaceDE w:val="0"/>
              <w:autoSpaceDN w:val="0"/>
              <w:jc w:val="center"/>
              <w:textAlignment w:val="bottom"/>
              <w:rPr>
                <w:highlight w:val="none"/>
              </w:rPr>
            </w:pPr>
          </w:p>
        </w:tc>
        <w:tc>
          <w:tcPr>
            <w:tcW w:w="749" w:type="dxa"/>
            <w:noWrap/>
            <w:vAlign w:val="center"/>
          </w:tcPr>
          <w:p w14:paraId="758A559C">
            <w:pPr>
              <w:widowControl/>
              <w:autoSpaceDE w:val="0"/>
              <w:autoSpaceDN w:val="0"/>
              <w:jc w:val="center"/>
              <w:textAlignment w:val="bottom"/>
              <w:rPr>
                <w:highlight w:val="none"/>
              </w:rPr>
            </w:pPr>
          </w:p>
        </w:tc>
        <w:tc>
          <w:tcPr>
            <w:tcW w:w="750" w:type="dxa"/>
            <w:noWrap/>
            <w:vAlign w:val="center"/>
          </w:tcPr>
          <w:p w14:paraId="318927E6">
            <w:pPr>
              <w:widowControl/>
              <w:autoSpaceDE w:val="0"/>
              <w:autoSpaceDN w:val="0"/>
              <w:jc w:val="center"/>
              <w:textAlignment w:val="bottom"/>
              <w:rPr>
                <w:highlight w:val="none"/>
              </w:rPr>
            </w:pPr>
          </w:p>
        </w:tc>
        <w:tc>
          <w:tcPr>
            <w:tcW w:w="1076" w:type="dxa"/>
            <w:noWrap/>
            <w:vAlign w:val="center"/>
          </w:tcPr>
          <w:p w14:paraId="1006A002">
            <w:pPr>
              <w:widowControl/>
              <w:autoSpaceDE w:val="0"/>
              <w:autoSpaceDN w:val="0"/>
              <w:jc w:val="center"/>
              <w:textAlignment w:val="bottom"/>
              <w:rPr>
                <w:highlight w:val="none"/>
              </w:rPr>
            </w:pPr>
          </w:p>
        </w:tc>
        <w:tc>
          <w:tcPr>
            <w:tcW w:w="1199" w:type="dxa"/>
            <w:noWrap/>
            <w:vAlign w:val="center"/>
          </w:tcPr>
          <w:p w14:paraId="2AD9DAFF">
            <w:pPr>
              <w:widowControl/>
              <w:autoSpaceDE w:val="0"/>
              <w:autoSpaceDN w:val="0"/>
              <w:jc w:val="center"/>
              <w:textAlignment w:val="bottom"/>
              <w:rPr>
                <w:highlight w:val="none"/>
              </w:rPr>
            </w:pPr>
          </w:p>
        </w:tc>
      </w:tr>
      <w:tr w14:paraId="00F14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3572F0A9">
            <w:pPr>
              <w:widowControl/>
              <w:autoSpaceDE w:val="0"/>
              <w:autoSpaceDN w:val="0"/>
              <w:jc w:val="center"/>
              <w:textAlignment w:val="bottom"/>
              <w:rPr>
                <w:highlight w:val="none"/>
              </w:rPr>
            </w:pPr>
          </w:p>
        </w:tc>
        <w:tc>
          <w:tcPr>
            <w:tcW w:w="1293" w:type="dxa"/>
            <w:noWrap/>
          </w:tcPr>
          <w:p w14:paraId="3C532C59">
            <w:pPr>
              <w:widowControl/>
              <w:autoSpaceDE w:val="0"/>
              <w:autoSpaceDN w:val="0"/>
              <w:jc w:val="center"/>
              <w:textAlignment w:val="bottom"/>
              <w:rPr>
                <w:highlight w:val="none"/>
              </w:rPr>
            </w:pPr>
          </w:p>
        </w:tc>
        <w:tc>
          <w:tcPr>
            <w:tcW w:w="735" w:type="dxa"/>
            <w:noWrap/>
            <w:vAlign w:val="center"/>
          </w:tcPr>
          <w:p w14:paraId="0BA6D181">
            <w:pPr>
              <w:widowControl/>
              <w:autoSpaceDE w:val="0"/>
              <w:autoSpaceDN w:val="0"/>
              <w:jc w:val="center"/>
              <w:textAlignment w:val="bottom"/>
              <w:rPr>
                <w:highlight w:val="none"/>
              </w:rPr>
            </w:pPr>
          </w:p>
        </w:tc>
        <w:tc>
          <w:tcPr>
            <w:tcW w:w="1236" w:type="dxa"/>
            <w:noWrap/>
            <w:vAlign w:val="center"/>
          </w:tcPr>
          <w:p w14:paraId="10BDB509">
            <w:pPr>
              <w:widowControl/>
              <w:autoSpaceDE w:val="0"/>
              <w:autoSpaceDN w:val="0"/>
              <w:jc w:val="center"/>
              <w:textAlignment w:val="bottom"/>
              <w:rPr>
                <w:highlight w:val="none"/>
              </w:rPr>
            </w:pPr>
          </w:p>
        </w:tc>
        <w:tc>
          <w:tcPr>
            <w:tcW w:w="749" w:type="dxa"/>
            <w:noWrap/>
            <w:vAlign w:val="center"/>
          </w:tcPr>
          <w:p w14:paraId="2EDD2F1E">
            <w:pPr>
              <w:widowControl/>
              <w:autoSpaceDE w:val="0"/>
              <w:autoSpaceDN w:val="0"/>
              <w:jc w:val="center"/>
              <w:textAlignment w:val="bottom"/>
              <w:rPr>
                <w:highlight w:val="none"/>
              </w:rPr>
            </w:pPr>
          </w:p>
        </w:tc>
        <w:tc>
          <w:tcPr>
            <w:tcW w:w="749" w:type="dxa"/>
            <w:noWrap/>
            <w:vAlign w:val="center"/>
          </w:tcPr>
          <w:p w14:paraId="4DDB3CAB">
            <w:pPr>
              <w:widowControl/>
              <w:autoSpaceDE w:val="0"/>
              <w:autoSpaceDN w:val="0"/>
              <w:jc w:val="center"/>
              <w:textAlignment w:val="bottom"/>
              <w:rPr>
                <w:highlight w:val="none"/>
              </w:rPr>
            </w:pPr>
          </w:p>
        </w:tc>
        <w:tc>
          <w:tcPr>
            <w:tcW w:w="749" w:type="dxa"/>
            <w:noWrap/>
            <w:vAlign w:val="center"/>
          </w:tcPr>
          <w:p w14:paraId="12E32DE0">
            <w:pPr>
              <w:widowControl/>
              <w:autoSpaceDE w:val="0"/>
              <w:autoSpaceDN w:val="0"/>
              <w:jc w:val="center"/>
              <w:textAlignment w:val="bottom"/>
              <w:rPr>
                <w:highlight w:val="none"/>
              </w:rPr>
            </w:pPr>
          </w:p>
        </w:tc>
        <w:tc>
          <w:tcPr>
            <w:tcW w:w="750" w:type="dxa"/>
            <w:noWrap/>
            <w:vAlign w:val="center"/>
          </w:tcPr>
          <w:p w14:paraId="175A54BD">
            <w:pPr>
              <w:widowControl/>
              <w:autoSpaceDE w:val="0"/>
              <w:autoSpaceDN w:val="0"/>
              <w:jc w:val="center"/>
              <w:textAlignment w:val="bottom"/>
              <w:rPr>
                <w:highlight w:val="none"/>
              </w:rPr>
            </w:pPr>
          </w:p>
        </w:tc>
        <w:tc>
          <w:tcPr>
            <w:tcW w:w="1076" w:type="dxa"/>
            <w:noWrap/>
            <w:vAlign w:val="center"/>
          </w:tcPr>
          <w:p w14:paraId="42EED3F6">
            <w:pPr>
              <w:widowControl/>
              <w:autoSpaceDE w:val="0"/>
              <w:autoSpaceDN w:val="0"/>
              <w:jc w:val="center"/>
              <w:textAlignment w:val="bottom"/>
              <w:rPr>
                <w:highlight w:val="none"/>
              </w:rPr>
            </w:pPr>
          </w:p>
        </w:tc>
        <w:tc>
          <w:tcPr>
            <w:tcW w:w="1199" w:type="dxa"/>
            <w:noWrap/>
            <w:vAlign w:val="center"/>
          </w:tcPr>
          <w:p w14:paraId="037F267F">
            <w:pPr>
              <w:widowControl/>
              <w:autoSpaceDE w:val="0"/>
              <w:autoSpaceDN w:val="0"/>
              <w:jc w:val="center"/>
              <w:textAlignment w:val="bottom"/>
              <w:rPr>
                <w:highlight w:val="none"/>
              </w:rPr>
            </w:pPr>
          </w:p>
        </w:tc>
      </w:tr>
      <w:tr w14:paraId="7E781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64E5CAA1">
            <w:pPr>
              <w:widowControl/>
              <w:autoSpaceDE w:val="0"/>
              <w:autoSpaceDN w:val="0"/>
              <w:jc w:val="center"/>
              <w:textAlignment w:val="bottom"/>
              <w:rPr>
                <w:highlight w:val="none"/>
              </w:rPr>
            </w:pPr>
          </w:p>
        </w:tc>
        <w:tc>
          <w:tcPr>
            <w:tcW w:w="1293" w:type="dxa"/>
            <w:noWrap/>
          </w:tcPr>
          <w:p w14:paraId="49C49BFD">
            <w:pPr>
              <w:widowControl/>
              <w:autoSpaceDE w:val="0"/>
              <w:autoSpaceDN w:val="0"/>
              <w:jc w:val="center"/>
              <w:textAlignment w:val="bottom"/>
              <w:rPr>
                <w:b/>
                <w:highlight w:val="none"/>
              </w:rPr>
            </w:pPr>
            <w:r>
              <w:rPr>
                <w:b/>
                <w:highlight w:val="none"/>
              </w:rPr>
              <w:t>……</w:t>
            </w:r>
          </w:p>
        </w:tc>
        <w:tc>
          <w:tcPr>
            <w:tcW w:w="735" w:type="dxa"/>
            <w:noWrap/>
            <w:vAlign w:val="center"/>
          </w:tcPr>
          <w:p w14:paraId="33D40BFF">
            <w:pPr>
              <w:widowControl/>
              <w:autoSpaceDE w:val="0"/>
              <w:autoSpaceDN w:val="0"/>
              <w:jc w:val="center"/>
              <w:textAlignment w:val="bottom"/>
              <w:rPr>
                <w:highlight w:val="none"/>
              </w:rPr>
            </w:pPr>
          </w:p>
        </w:tc>
        <w:tc>
          <w:tcPr>
            <w:tcW w:w="1236" w:type="dxa"/>
            <w:noWrap/>
            <w:vAlign w:val="center"/>
          </w:tcPr>
          <w:p w14:paraId="6C9E3BCE">
            <w:pPr>
              <w:widowControl/>
              <w:autoSpaceDE w:val="0"/>
              <w:autoSpaceDN w:val="0"/>
              <w:jc w:val="center"/>
              <w:textAlignment w:val="bottom"/>
              <w:rPr>
                <w:highlight w:val="none"/>
              </w:rPr>
            </w:pPr>
          </w:p>
        </w:tc>
        <w:tc>
          <w:tcPr>
            <w:tcW w:w="749" w:type="dxa"/>
            <w:noWrap/>
            <w:vAlign w:val="center"/>
          </w:tcPr>
          <w:p w14:paraId="64CAC4C5">
            <w:pPr>
              <w:widowControl/>
              <w:autoSpaceDE w:val="0"/>
              <w:autoSpaceDN w:val="0"/>
              <w:jc w:val="center"/>
              <w:textAlignment w:val="bottom"/>
              <w:rPr>
                <w:highlight w:val="none"/>
              </w:rPr>
            </w:pPr>
          </w:p>
        </w:tc>
        <w:tc>
          <w:tcPr>
            <w:tcW w:w="749" w:type="dxa"/>
            <w:noWrap/>
            <w:vAlign w:val="center"/>
          </w:tcPr>
          <w:p w14:paraId="1A57BE00">
            <w:pPr>
              <w:widowControl/>
              <w:autoSpaceDE w:val="0"/>
              <w:autoSpaceDN w:val="0"/>
              <w:jc w:val="center"/>
              <w:textAlignment w:val="bottom"/>
              <w:rPr>
                <w:highlight w:val="none"/>
              </w:rPr>
            </w:pPr>
          </w:p>
        </w:tc>
        <w:tc>
          <w:tcPr>
            <w:tcW w:w="749" w:type="dxa"/>
            <w:noWrap/>
            <w:vAlign w:val="center"/>
          </w:tcPr>
          <w:p w14:paraId="1658820E">
            <w:pPr>
              <w:widowControl/>
              <w:autoSpaceDE w:val="0"/>
              <w:autoSpaceDN w:val="0"/>
              <w:jc w:val="center"/>
              <w:textAlignment w:val="bottom"/>
              <w:rPr>
                <w:highlight w:val="none"/>
              </w:rPr>
            </w:pPr>
          </w:p>
        </w:tc>
        <w:tc>
          <w:tcPr>
            <w:tcW w:w="750" w:type="dxa"/>
            <w:noWrap/>
            <w:vAlign w:val="center"/>
          </w:tcPr>
          <w:p w14:paraId="15FDB3FA">
            <w:pPr>
              <w:widowControl/>
              <w:autoSpaceDE w:val="0"/>
              <w:autoSpaceDN w:val="0"/>
              <w:jc w:val="center"/>
              <w:textAlignment w:val="bottom"/>
              <w:rPr>
                <w:highlight w:val="none"/>
              </w:rPr>
            </w:pPr>
          </w:p>
        </w:tc>
        <w:tc>
          <w:tcPr>
            <w:tcW w:w="1076" w:type="dxa"/>
            <w:noWrap/>
            <w:vAlign w:val="center"/>
          </w:tcPr>
          <w:p w14:paraId="0C9939B3">
            <w:pPr>
              <w:widowControl/>
              <w:autoSpaceDE w:val="0"/>
              <w:autoSpaceDN w:val="0"/>
              <w:jc w:val="center"/>
              <w:textAlignment w:val="bottom"/>
              <w:rPr>
                <w:highlight w:val="none"/>
              </w:rPr>
            </w:pPr>
          </w:p>
        </w:tc>
        <w:tc>
          <w:tcPr>
            <w:tcW w:w="1199" w:type="dxa"/>
            <w:noWrap/>
            <w:vAlign w:val="center"/>
          </w:tcPr>
          <w:p w14:paraId="60F19993">
            <w:pPr>
              <w:widowControl/>
              <w:autoSpaceDE w:val="0"/>
              <w:autoSpaceDN w:val="0"/>
              <w:jc w:val="center"/>
              <w:textAlignment w:val="bottom"/>
              <w:rPr>
                <w:highlight w:val="none"/>
              </w:rPr>
            </w:pPr>
          </w:p>
        </w:tc>
      </w:tr>
      <w:tr w14:paraId="46554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restart"/>
            <w:noWrap/>
            <w:vAlign w:val="center"/>
          </w:tcPr>
          <w:p w14:paraId="6BAE3682">
            <w:pPr>
              <w:widowControl/>
              <w:autoSpaceDE w:val="0"/>
              <w:autoSpaceDN w:val="0"/>
              <w:jc w:val="center"/>
              <w:textAlignment w:val="bottom"/>
              <w:rPr>
                <w:highlight w:val="none"/>
              </w:rPr>
            </w:pPr>
            <w:r>
              <w:rPr>
                <w:highlight w:val="none"/>
              </w:rPr>
              <w:t>办公</w:t>
            </w:r>
          </w:p>
          <w:p w14:paraId="2B3A4BAE">
            <w:pPr>
              <w:widowControl/>
              <w:autoSpaceDE w:val="0"/>
              <w:autoSpaceDN w:val="0"/>
              <w:jc w:val="center"/>
              <w:textAlignment w:val="bottom"/>
              <w:rPr>
                <w:highlight w:val="none"/>
              </w:rPr>
            </w:pPr>
            <w:r>
              <w:rPr>
                <w:highlight w:val="none"/>
              </w:rPr>
              <w:t>设施</w:t>
            </w:r>
          </w:p>
        </w:tc>
        <w:tc>
          <w:tcPr>
            <w:tcW w:w="1293" w:type="dxa"/>
            <w:noWrap/>
          </w:tcPr>
          <w:p w14:paraId="1933EF68">
            <w:pPr>
              <w:widowControl/>
              <w:autoSpaceDE w:val="0"/>
              <w:autoSpaceDN w:val="0"/>
              <w:jc w:val="center"/>
              <w:textAlignment w:val="bottom"/>
              <w:rPr>
                <w:highlight w:val="none"/>
              </w:rPr>
            </w:pPr>
          </w:p>
        </w:tc>
        <w:tc>
          <w:tcPr>
            <w:tcW w:w="735" w:type="dxa"/>
            <w:noWrap/>
            <w:vAlign w:val="center"/>
          </w:tcPr>
          <w:p w14:paraId="6BEF3FCE">
            <w:pPr>
              <w:widowControl/>
              <w:autoSpaceDE w:val="0"/>
              <w:autoSpaceDN w:val="0"/>
              <w:jc w:val="center"/>
              <w:textAlignment w:val="bottom"/>
              <w:rPr>
                <w:highlight w:val="none"/>
              </w:rPr>
            </w:pPr>
          </w:p>
        </w:tc>
        <w:tc>
          <w:tcPr>
            <w:tcW w:w="1236" w:type="dxa"/>
            <w:noWrap/>
            <w:vAlign w:val="center"/>
          </w:tcPr>
          <w:p w14:paraId="7EC9D9AE">
            <w:pPr>
              <w:widowControl/>
              <w:autoSpaceDE w:val="0"/>
              <w:autoSpaceDN w:val="0"/>
              <w:jc w:val="center"/>
              <w:textAlignment w:val="bottom"/>
              <w:rPr>
                <w:highlight w:val="none"/>
              </w:rPr>
            </w:pPr>
          </w:p>
        </w:tc>
        <w:tc>
          <w:tcPr>
            <w:tcW w:w="749" w:type="dxa"/>
            <w:noWrap/>
            <w:vAlign w:val="center"/>
          </w:tcPr>
          <w:p w14:paraId="520B5479">
            <w:pPr>
              <w:widowControl/>
              <w:autoSpaceDE w:val="0"/>
              <w:autoSpaceDN w:val="0"/>
              <w:jc w:val="center"/>
              <w:textAlignment w:val="bottom"/>
              <w:rPr>
                <w:highlight w:val="none"/>
              </w:rPr>
            </w:pPr>
          </w:p>
        </w:tc>
        <w:tc>
          <w:tcPr>
            <w:tcW w:w="749" w:type="dxa"/>
            <w:noWrap/>
            <w:vAlign w:val="center"/>
          </w:tcPr>
          <w:p w14:paraId="72EF41C2">
            <w:pPr>
              <w:widowControl/>
              <w:autoSpaceDE w:val="0"/>
              <w:autoSpaceDN w:val="0"/>
              <w:jc w:val="center"/>
              <w:textAlignment w:val="bottom"/>
              <w:rPr>
                <w:highlight w:val="none"/>
              </w:rPr>
            </w:pPr>
          </w:p>
        </w:tc>
        <w:tc>
          <w:tcPr>
            <w:tcW w:w="749" w:type="dxa"/>
            <w:noWrap/>
            <w:vAlign w:val="center"/>
          </w:tcPr>
          <w:p w14:paraId="2FC987E6">
            <w:pPr>
              <w:widowControl/>
              <w:autoSpaceDE w:val="0"/>
              <w:autoSpaceDN w:val="0"/>
              <w:jc w:val="center"/>
              <w:textAlignment w:val="bottom"/>
              <w:rPr>
                <w:highlight w:val="none"/>
              </w:rPr>
            </w:pPr>
          </w:p>
        </w:tc>
        <w:tc>
          <w:tcPr>
            <w:tcW w:w="750" w:type="dxa"/>
            <w:noWrap/>
            <w:vAlign w:val="center"/>
          </w:tcPr>
          <w:p w14:paraId="6CC2AF26">
            <w:pPr>
              <w:widowControl/>
              <w:autoSpaceDE w:val="0"/>
              <w:autoSpaceDN w:val="0"/>
              <w:jc w:val="center"/>
              <w:textAlignment w:val="bottom"/>
              <w:rPr>
                <w:highlight w:val="none"/>
              </w:rPr>
            </w:pPr>
          </w:p>
        </w:tc>
        <w:tc>
          <w:tcPr>
            <w:tcW w:w="1076" w:type="dxa"/>
            <w:noWrap/>
            <w:vAlign w:val="center"/>
          </w:tcPr>
          <w:p w14:paraId="1135ECD5">
            <w:pPr>
              <w:widowControl/>
              <w:autoSpaceDE w:val="0"/>
              <w:autoSpaceDN w:val="0"/>
              <w:jc w:val="center"/>
              <w:textAlignment w:val="bottom"/>
              <w:rPr>
                <w:highlight w:val="none"/>
              </w:rPr>
            </w:pPr>
          </w:p>
        </w:tc>
        <w:tc>
          <w:tcPr>
            <w:tcW w:w="1199" w:type="dxa"/>
            <w:noWrap/>
            <w:vAlign w:val="center"/>
          </w:tcPr>
          <w:p w14:paraId="377E111A">
            <w:pPr>
              <w:widowControl/>
              <w:autoSpaceDE w:val="0"/>
              <w:autoSpaceDN w:val="0"/>
              <w:jc w:val="center"/>
              <w:textAlignment w:val="bottom"/>
              <w:rPr>
                <w:highlight w:val="none"/>
              </w:rPr>
            </w:pPr>
          </w:p>
        </w:tc>
      </w:tr>
      <w:tr w14:paraId="06EB0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14739E85">
            <w:pPr>
              <w:widowControl/>
              <w:autoSpaceDE w:val="0"/>
              <w:autoSpaceDN w:val="0"/>
              <w:jc w:val="center"/>
              <w:textAlignment w:val="bottom"/>
              <w:rPr>
                <w:highlight w:val="none"/>
              </w:rPr>
            </w:pPr>
          </w:p>
        </w:tc>
        <w:tc>
          <w:tcPr>
            <w:tcW w:w="1293" w:type="dxa"/>
            <w:noWrap/>
          </w:tcPr>
          <w:p w14:paraId="3E279E41">
            <w:pPr>
              <w:widowControl/>
              <w:autoSpaceDE w:val="0"/>
              <w:autoSpaceDN w:val="0"/>
              <w:jc w:val="center"/>
              <w:textAlignment w:val="bottom"/>
              <w:rPr>
                <w:highlight w:val="none"/>
              </w:rPr>
            </w:pPr>
          </w:p>
        </w:tc>
        <w:tc>
          <w:tcPr>
            <w:tcW w:w="735" w:type="dxa"/>
            <w:noWrap/>
            <w:vAlign w:val="center"/>
          </w:tcPr>
          <w:p w14:paraId="74E313A8">
            <w:pPr>
              <w:widowControl/>
              <w:autoSpaceDE w:val="0"/>
              <w:autoSpaceDN w:val="0"/>
              <w:jc w:val="center"/>
              <w:textAlignment w:val="bottom"/>
              <w:rPr>
                <w:highlight w:val="none"/>
              </w:rPr>
            </w:pPr>
          </w:p>
        </w:tc>
        <w:tc>
          <w:tcPr>
            <w:tcW w:w="1236" w:type="dxa"/>
            <w:noWrap/>
            <w:vAlign w:val="center"/>
          </w:tcPr>
          <w:p w14:paraId="30295EB8">
            <w:pPr>
              <w:widowControl/>
              <w:autoSpaceDE w:val="0"/>
              <w:autoSpaceDN w:val="0"/>
              <w:jc w:val="center"/>
              <w:textAlignment w:val="bottom"/>
              <w:rPr>
                <w:highlight w:val="none"/>
              </w:rPr>
            </w:pPr>
          </w:p>
        </w:tc>
        <w:tc>
          <w:tcPr>
            <w:tcW w:w="749" w:type="dxa"/>
            <w:noWrap/>
            <w:vAlign w:val="center"/>
          </w:tcPr>
          <w:p w14:paraId="30E5FC0E">
            <w:pPr>
              <w:widowControl/>
              <w:autoSpaceDE w:val="0"/>
              <w:autoSpaceDN w:val="0"/>
              <w:jc w:val="center"/>
              <w:textAlignment w:val="bottom"/>
              <w:rPr>
                <w:highlight w:val="none"/>
              </w:rPr>
            </w:pPr>
          </w:p>
        </w:tc>
        <w:tc>
          <w:tcPr>
            <w:tcW w:w="749" w:type="dxa"/>
            <w:noWrap/>
            <w:vAlign w:val="center"/>
          </w:tcPr>
          <w:p w14:paraId="7B58CB64">
            <w:pPr>
              <w:widowControl/>
              <w:autoSpaceDE w:val="0"/>
              <w:autoSpaceDN w:val="0"/>
              <w:jc w:val="center"/>
              <w:textAlignment w:val="bottom"/>
              <w:rPr>
                <w:highlight w:val="none"/>
              </w:rPr>
            </w:pPr>
          </w:p>
        </w:tc>
        <w:tc>
          <w:tcPr>
            <w:tcW w:w="749" w:type="dxa"/>
            <w:noWrap/>
            <w:vAlign w:val="center"/>
          </w:tcPr>
          <w:p w14:paraId="3BFFC434">
            <w:pPr>
              <w:widowControl/>
              <w:autoSpaceDE w:val="0"/>
              <w:autoSpaceDN w:val="0"/>
              <w:jc w:val="center"/>
              <w:textAlignment w:val="bottom"/>
              <w:rPr>
                <w:highlight w:val="none"/>
              </w:rPr>
            </w:pPr>
          </w:p>
        </w:tc>
        <w:tc>
          <w:tcPr>
            <w:tcW w:w="750" w:type="dxa"/>
            <w:noWrap/>
            <w:vAlign w:val="center"/>
          </w:tcPr>
          <w:p w14:paraId="394CA0C2">
            <w:pPr>
              <w:widowControl/>
              <w:autoSpaceDE w:val="0"/>
              <w:autoSpaceDN w:val="0"/>
              <w:jc w:val="center"/>
              <w:textAlignment w:val="bottom"/>
              <w:rPr>
                <w:highlight w:val="none"/>
              </w:rPr>
            </w:pPr>
          </w:p>
        </w:tc>
        <w:tc>
          <w:tcPr>
            <w:tcW w:w="1076" w:type="dxa"/>
            <w:noWrap/>
            <w:vAlign w:val="center"/>
          </w:tcPr>
          <w:p w14:paraId="53CA001C">
            <w:pPr>
              <w:widowControl/>
              <w:autoSpaceDE w:val="0"/>
              <w:autoSpaceDN w:val="0"/>
              <w:jc w:val="center"/>
              <w:textAlignment w:val="bottom"/>
              <w:rPr>
                <w:highlight w:val="none"/>
              </w:rPr>
            </w:pPr>
          </w:p>
        </w:tc>
        <w:tc>
          <w:tcPr>
            <w:tcW w:w="1199" w:type="dxa"/>
            <w:noWrap/>
            <w:vAlign w:val="center"/>
          </w:tcPr>
          <w:p w14:paraId="2B8726C0">
            <w:pPr>
              <w:widowControl/>
              <w:autoSpaceDE w:val="0"/>
              <w:autoSpaceDN w:val="0"/>
              <w:jc w:val="center"/>
              <w:textAlignment w:val="bottom"/>
              <w:rPr>
                <w:highlight w:val="none"/>
              </w:rPr>
            </w:pPr>
          </w:p>
        </w:tc>
      </w:tr>
      <w:tr w14:paraId="7B177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75E9B453">
            <w:pPr>
              <w:widowControl/>
              <w:autoSpaceDE w:val="0"/>
              <w:autoSpaceDN w:val="0"/>
              <w:jc w:val="center"/>
              <w:textAlignment w:val="bottom"/>
              <w:rPr>
                <w:highlight w:val="none"/>
              </w:rPr>
            </w:pPr>
          </w:p>
        </w:tc>
        <w:tc>
          <w:tcPr>
            <w:tcW w:w="1293" w:type="dxa"/>
            <w:noWrap/>
          </w:tcPr>
          <w:p w14:paraId="5CAD2D3C">
            <w:pPr>
              <w:widowControl/>
              <w:autoSpaceDE w:val="0"/>
              <w:autoSpaceDN w:val="0"/>
              <w:jc w:val="center"/>
              <w:textAlignment w:val="bottom"/>
              <w:rPr>
                <w:highlight w:val="none"/>
              </w:rPr>
            </w:pPr>
          </w:p>
        </w:tc>
        <w:tc>
          <w:tcPr>
            <w:tcW w:w="735" w:type="dxa"/>
            <w:noWrap/>
            <w:vAlign w:val="center"/>
          </w:tcPr>
          <w:p w14:paraId="7FB2F657">
            <w:pPr>
              <w:widowControl/>
              <w:autoSpaceDE w:val="0"/>
              <w:autoSpaceDN w:val="0"/>
              <w:jc w:val="center"/>
              <w:textAlignment w:val="bottom"/>
              <w:rPr>
                <w:highlight w:val="none"/>
              </w:rPr>
            </w:pPr>
          </w:p>
        </w:tc>
        <w:tc>
          <w:tcPr>
            <w:tcW w:w="1236" w:type="dxa"/>
            <w:noWrap/>
            <w:vAlign w:val="center"/>
          </w:tcPr>
          <w:p w14:paraId="787892B0">
            <w:pPr>
              <w:widowControl/>
              <w:autoSpaceDE w:val="0"/>
              <w:autoSpaceDN w:val="0"/>
              <w:jc w:val="center"/>
              <w:textAlignment w:val="bottom"/>
              <w:rPr>
                <w:highlight w:val="none"/>
              </w:rPr>
            </w:pPr>
          </w:p>
        </w:tc>
        <w:tc>
          <w:tcPr>
            <w:tcW w:w="749" w:type="dxa"/>
            <w:noWrap/>
            <w:vAlign w:val="center"/>
          </w:tcPr>
          <w:p w14:paraId="18C4587C">
            <w:pPr>
              <w:widowControl/>
              <w:autoSpaceDE w:val="0"/>
              <w:autoSpaceDN w:val="0"/>
              <w:jc w:val="center"/>
              <w:textAlignment w:val="bottom"/>
              <w:rPr>
                <w:highlight w:val="none"/>
              </w:rPr>
            </w:pPr>
          </w:p>
        </w:tc>
        <w:tc>
          <w:tcPr>
            <w:tcW w:w="749" w:type="dxa"/>
            <w:noWrap/>
            <w:vAlign w:val="center"/>
          </w:tcPr>
          <w:p w14:paraId="63533EB8">
            <w:pPr>
              <w:widowControl/>
              <w:autoSpaceDE w:val="0"/>
              <w:autoSpaceDN w:val="0"/>
              <w:jc w:val="center"/>
              <w:textAlignment w:val="bottom"/>
              <w:rPr>
                <w:highlight w:val="none"/>
              </w:rPr>
            </w:pPr>
          </w:p>
        </w:tc>
        <w:tc>
          <w:tcPr>
            <w:tcW w:w="749" w:type="dxa"/>
            <w:noWrap/>
            <w:vAlign w:val="center"/>
          </w:tcPr>
          <w:p w14:paraId="0F03C82E">
            <w:pPr>
              <w:widowControl/>
              <w:autoSpaceDE w:val="0"/>
              <w:autoSpaceDN w:val="0"/>
              <w:jc w:val="center"/>
              <w:textAlignment w:val="bottom"/>
              <w:rPr>
                <w:highlight w:val="none"/>
              </w:rPr>
            </w:pPr>
          </w:p>
        </w:tc>
        <w:tc>
          <w:tcPr>
            <w:tcW w:w="750" w:type="dxa"/>
            <w:noWrap/>
            <w:vAlign w:val="center"/>
          </w:tcPr>
          <w:p w14:paraId="243223C3">
            <w:pPr>
              <w:widowControl/>
              <w:autoSpaceDE w:val="0"/>
              <w:autoSpaceDN w:val="0"/>
              <w:jc w:val="center"/>
              <w:textAlignment w:val="bottom"/>
              <w:rPr>
                <w:highlight w:val="none"/>
              </w:rPr>
            </w:pPr>
          </w:p>
        </w:tc>
        <w:tc>
          <w:tcPr>
            <w:tcW w:w="1076" w:type="dxa"/>
            <w:noWrap/>
            <w:vAlign w:val="center"/>
          </w:tcPr>
          <w:p w14:paraId="32FE4EC9">
            <w:pPr>
              <w:widowControl/>
              <w:autoSpaceDE w:val="0"/>
              <w:autoSpaceDN w:val="0"/>
              <w:jc w:val="center"/>
              <w:textAlignment w:val="bottom"/>
              <w:rPr>
                <w:highlight w:val="none"/>
              </w:rPr>
            </w:pPr>
          </w:p>
        </w:tc>
        <w:tc>
          <w:tcPr>
            <w:tcW w:w="1199" w:type="dxa"/>
            <w:noWrap/>
            <w:vAlign w:val="center"/>
          </w:tcPr>
          <w:p w14:paraId="7249EF8D">
            <w:pPr>
              <w:widowControl/>
              <w:autoSpaceDE w:val="0"/>
              <w:autoSpaceDN w:val="0"/>
              <w:jc w:val="center"/>
              <w:textAlignment w:val="bottom"/>
              <w:rPr>
                <w:highlight w:val="none"/>
              </w:rPr>
            </w:pPr>
          </w:p>
        </w:tc>
      </w:tr>
      <w:tr w14:paraId="15CC2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47B898F5">
            <w:pPr>
              <w:widowControl/>
              <w:autoSpaceDE w:val="0"/>
              <w:autoSpaceDN w:val="0"/>
              <w:jc w:val="center"/>
              <w:textAlignment w:val="bottom"/>
              <w:rPr>
                <w:highlight w:val="none"/>
              </w:rPr>
            </w:pPr>
          </w:p>
        </w:tc>
        <w:tc>
          <w:tcPr>
            <w:tcW w:w="1293" w:type="dxa"/>
            <w:noWrap/>
          </w:tcPr>
          <w:p w14:paraId="59764DE7">
            <w:pPr>
              <w:widowControl/>
              <w:autoSpaceDE w:val="0"/>
              <w:autoSpaceDN w:val="0"/>
              <w:jc w:val="center"/>
              <w:textAlignment w:val="bottom"/>
              <w:rPr>
                <w:highlight w:val="none"/>
              </w:rPr>
            </w:pPr>
            <w:r>
              <w:rPr>
                <w:b/>
                <w:highlight w:val="none"/>
              </w:rPr>
              <w:t>……</w:t>
            </w:r>
          </w:p>
        </w:tc>
        <w:tc>
          <w:tcPr>
            <w:tcW w:w="735" w:type="dxa"/>
            <w:noWrap/>
            <w:vAlign w:val="center"/>
          </w:tcPr>
          <w:p w14:paraId="0ED10BF3">
            <w:pPr>
              <w:widowControl/>
              <w:autoSpaceDE w:val="0"/>
              <w:autoSpaceDN w:val="0"/>
              <w:jc w:val="center"/>
              <w:textAlignment w:val="bottom"/>
              <w:rPr>
                <w:highlight w:val="none"/>
              </w:rPr>
            </w:pPr>
          </w:p>
        </w:tc>
        <w:tc>
          <w:tcPr>
            <w:tcW w:w="1236" w:type="dxa"/>
            <w:noWrap/>
            <w:vAlign w:val="center"/>
          </w:tcPr>
          <w:p w14:paraId="2A97B138">
            <w:pPr>
              <w:widowControl/>
              <w:autoSpaceDE w:val="0"/>
              <w:autoSpaceDN w:val="0"/>
              <w:jc w:val="center"/>
              <w:textAlignment w:val="bottom"/>
              <w:rPr>
                <w:highlight w:val="none"/>
              </w:rPr>
            </w:pPr>
          </w:p>
        </w:tc>
        <w:tc>
          <w:tcPr>
            <w:tcW w:w="749" w:type="dxa"/>
            <w:noWrap/>
            <w:vAlign w:val="center"/>
          </w:tcPr>
          <w:p w14:paraId="05AD0329">
            <w:pPr>
              <w:widowControl/>
              <w:autoSpaceDE w:val="0"/>
              <w:autoSpaceDN w:val="0"/>
              <w:jc w:val="center"/>
              <w:textAlignment w:val="bottom"/>
              <w:rPr>
                <w:highlight w:val="none"/>
              </w:rPr>
            </w:pPr>
          </w:p>
        </w:tc>
        <w:tc>
          <w:tcPr>
            <w:tcW w:w="749" w:type="dxa"/>
            <w:noWrap/>
            <w:vAlign w:val="center"/>
          </w:tcPr>
          <w:p w14:paraId="03352C42">
            <w:pPr>
              <w:widowControl/>
              <w:autoSpaceDE w:val="0"/>
              <w:autoSpaceDN w:val="0"/>
              <w:jc w:val="center"/>
              <w:textAlignment w:val="bottom"/>
              <w:rPr>
                <w:highlight w:val="none"/>
              </w:rPr>
            </w:pPr>
          </w:p>
        </w:tc>
        <w:tc>
          <w:tcPr>
            <w:tcW w:w="749" w:type="dxa"/>
            <w:noWrap/>
            <w:vAlign w:val="center"/>
          </w:tcPr>
          <w:p w14:paraId="2B4A6FC8">
            <w:pPr>
              <w:widowControl/>
              <w:autoSpaceDE w:val="0"/>
              <w:autoSpaceDN w:val="0"/>
              <w:jc w:val="center"/>
              <w:textAlignment w:val="bottom"/>
              <w:rPr>
                <w:highlight w:val="none"/>
              </w:rPr>
            </w:pPr>
          </w:p>
        </w:tc>
        <w:tc>
          <w:tcPr>
            <w:tcW w:w="750" w:type="dxa"/>
            <w:noWrap/>
            <w:vAlign w:val="center"/>
          </w:tcPr>
          <w:p w14:paraId="5C6B20A8">
            <w:pPr>
              <w:widowControl/>
              <w:autoSpaceDE w:val="0"/>
              <w:autoSpaceDN w:val="0"/>
              <w:jc w:val="center"/>
              <w:textAlignment w:val="bottom"/>
              <w:rPr>
                <w:highlight w:val="none"/>
              </w:rPr>
            </w:pPr>
          </w:p>
        </w:tc>
        <w:tc>
          <w:tcPr>
            <w:tcW w:w="1076" w:type="dxa"/>
            <w:noWrap/>
            <w:vAlign w:val="center"/>
          </w:tcPr>
          <w:p w14:paraId="2B462DE8">
            <w:pPr>
              <w:widowControl/>
              <w:autoSpaceDE w:val="0"/>
              <w:autoSpaceDN w:val="0"/>
              <w:jc w:val="center"/>
              <w:textAlignment w:val="bottom"/>
              <w:rPr>
                <w:highlight w:val="none"/>
              </w:rPr>
            </w:pPr>
          </w:p>
        </w:tc>
        <w:tc>
          <w:tcPr>
            <w:tcW w:w="1199" w:type="dxa"/>
            <w:noWrap/>
            <w:vAlign w:val="center"/>
          </w:tcPr>
          <w:p w14:paraId="173FEEC6">
            <w:pPr>
              <w:widowControl/>
              <w:autoSpaceDE w:val="0"/>
              <w:autoSpaceDN w:val="0"/>
              <w:jc w:val="center"/>
              <w:textAlignment w:val="bottom"/>
              <w:rPr>
                <w:highlight w:val="none"/>
              </w:rPr>
            </w:pPr>
          </w:p>
        </w:tc>
      </w:tr>
      <w:tr w14:paraId="0F708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restart"/>
            <w:noWrap/>
            <w:vAlign w:val="center"/>
          </w:tcPr>
          <w:p w14:paraId="4E11E79D">
            <w:pPr>
              <w:widowControl/>
              <w:tabs>
                <w:tab w:val="left" w:pos="210"/>
              </w:tabs>
              <w:autoSpaceDE w:val="0"/>
              <w:autoSpaceDN w:val="0"/>
              <w:ind w:left="-2" w:leftChars="-1"/>
              <w:jc w:val="center"/>
              <w:textAlignment w:val="bottom"/>
              <w:rPr>
                <w:highlight w:val="none"/>
              </w:rPr>
            </w:pPr>
            <w:r>
              <w:rPr>
                <w:highlight w:val="none"/>
              </w:rPr>
              <w:t>生活</w:t>
            </w:r>
          </w:p>
          <w:p w14:paraId="0111F2E2">
            <w:pPr>
              <w:widowControl/>
              <w:tabs>
                <w:tab w:val="left" w:pos="210"/>
              </w:tabs>
              <w:autoSpaceDE w:val="0"/>
              <w:autoSpaceDN w:val="0"/>
              <w:ind w:left="-2" w:leftChars="-1"/>
              <w:jc w:val="center"/>
              <w:textAlignment w:val="bottom"/>
              <w:rPr>
                <w:highlight w:val="none"/>
              </w:rPr>
            </w:pPr>
            <w:r>
              <w:rPr>
                <w:highlight w:val="none"/>
              </w:rPr>
              <w:t>设施</w:t>
            </w:r>
          </w:p>
        </w:tc>
        <w:tc>
          <w:tcPr>
            <w:tcW w:w="1293" w:type="dxa"/>
            <w:noWrap/>
          </w:tcPr>
          <w:p w14:paraId="213AC14D">
            <w:pPr>
              <w:widowControl/>
              <w:autoSpaceDE w:val="0"/>
              <w:autoSpaceDN w:val="0"/>
              <w:jc w:val="center"/>
              <w:textAlignment w:val="bottom"/>
              <w:rPr>
                <w:highlight w:val="none"/>
              </w:rPr>
            </w:pPr>
          </w:p>
        </w:tc>
        <w:tc>
          <w:tcPr>
            <w:tcW w:w="735" w:type="dxa"/>
            <w:noWrap/>
            <w:vAlign w:val="center"/>
          </w:tcPr>
          <w:p w14:paraId="316C1F81">
            <w:pPr>
              <w:widowControl/>
              <w:autoSpaceDE w:val="0"/>
              <w:autoSpaceDN w:val="0"/>
              <w:jc w:val="center"/>
              <w:textAlignment w:val="bottom"/>
              <w:rPr>
                <w:highlight w:val="none"/>
              </w:rPr>
            </w:pPr>
          </w:p>
        </w:tc>
        <w:tc>
          <w:tcPr>
            <w:tcW w:w="1236" w:type="dxa"/>
            <w:noWrap/>
            <w:vAlign w:val="center"/>
          </w:tcPr>
          <w:p w14:paraId="4B67C8F5">
            <w:pPr>
              <w:widowControl/>
              <w:autoSpaceDE w:val="0"/>
              <w:autoSpaceDN w:val="0"/>
              <w:jc w:val="center"/>
              <w:textAlignment w:val="bottom"/>
              <w:rPr>
                <w:highlight w:val="none"/>
              </w:rPr>
            </w:pPr>
          </w:p>
        </w:tc>
        <w:tc>
          <w:tcPr>
            <w:tcW w:w="749" w:type="dxa"/>
            <w:noWrap/>
            <w:vAlign w:val="center"/>
          </w:tcPr>
          <w:p w14:paraId="6CBF7B95">
            <w:pPr>
              <w:widowControl/>
              <w:autoSpaceDE w:val="0"/>
              <w:autoSpaceDN w:val="0"/>
              <w:jc w:val="center"/>
              <w:textAlignment w:val="bottom"/>
              <w:rPr>
                <w:highlight w:val="none"/>
              </w:rPr>
            </w:pPr>
          </w:p>
        </w:tc>
        <w:tc>
          <w:tcPr>
            <w:tcW w:w="749" w:type="dxa"/>
            <w:noWrap/>
            <w:vAlign w:val="center"/>
          </w:tcPr>
          <w:p w14:paraId="158207A1">
            <w:pPr>
              <w:widowControl/>
              <w:autoSpaceDE w:val="0"/>
              <w:autoSpaceDN w:val="0"/>
              <w:jc w:val="center"/>
              <w:textAlignment w:val="bottom"/>
              <w:rPr>
                <w:highlight w:val="none"/>
              </w:rPr>
            </w:pPr>
          </w:p>
        </w:tc>
        <w:tc>
          <w:tcPr>
            <w:tcW w:w="749" w:type="dxa"/>
            <w:noWrap/>
            <w:vAlign w:val="center"/>
          </w:tcPr>
          <w:p w14:paraId="19FB1AE3">
            <w:pPr>
              <w:widowControl/>
              <w:autoSpaceDE w:val="0"/>
              <w:autoSpaceDN w:val="0"/>
              <w:jc w:val="center"/>
              <w:textAlignment w:val="bottom"/>
              <w:rPr>
                <w:highlight w:val="none"/>
              </w:rPr>
            </w:pPr>
          </w:p>
        </w:tc>
        <w:tc>
          <w:tcPr>
            <w:tcW w:w="750" w:type="dxa"/>
            <w:noWrap/>
            <w:vAlign w:val="center"/>
          </w:tcPr>
          <w:p w14:paraId="30EA3E5B">
            <w:pPr>
              <w:widowControl/>
              <w:autoSpaceDE w:val="0"/>
              <w:autoSpaceDN w:val="0"/>
              <w:jc w:val="center"/>
              <w:textAlignment w:val="bottom"/>
              <w:rPr>
                <w:highlight w:val="none"/>
              </w:rPr>
            </w:pPr>
          </w:p>
        </w:tc>
        <w:tc>
          <w:tcPr>
            <w:tcW w:w="1076" w:type="dxa"/>
            <w:noWrap/>
            <w:vAlign w:val="center"/>
          </w:tcPr>
          <w:p w14:paraId="4D45B7BC">
            <w:pPr>
              <w:widowControl/>
              <w:autoSpaceDE w:val="0"/>
              <w:autoSpaceDN w:val="0"/>
              <w:jc w:val="center"/>
              <w:textAlignment w:val="bottom"/>
              <w:rPr>
                <w:highlight w:val="none"/>
              </w:rPr>
            </w:pPr>
          </w:p>
        </w:tc>
        <w:tc>
          <w:tcPr>
            <w:tcW w:w="1199" w:type="dxa"/>
            <w:noWrap/>
            <w:vAlign w:val="center"/>
          </w:tcPr>
          <w:p w14:paraId="2EC17252">
            <w:pPr>
              <w:widowControl/>
              <w:autoSpaceDE w:val="0"/>
              <w:autoSpaceDN w:val="0"/>
              <w:jc w:val="center"/>
              <w:textAlignment w:val="bottom"/>
              <w:rPr>
                <w:highlight w:val="none"/>
              </w:rPr>
            </w:pPr>
          </w:p>
        </w:tc>
      </w:tr>
      <w:tr w14:paraId="7081B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70ABAEEA">
            <w:pPr>
              <w:widowControl/>
              <w:tabs>
                <w:tab w:val="left" w:pos="210"/>
              </w:tabs>
              <w:autoSpaceDE w:val="0"/>
              <w:autoSpaceDN w:val="0"/>
              <w:ind w:left="-2" w:leftChars="-1"/>
              <w:jc w:val="center"/>
              <w:textAlignment w:val="bottom"/>
              <w:rPr>
                <w:highlight w:val="none"/>
              </w:rPr>
            </w:pPr>
          </w:p>
        </w:tc>
        <w:tc>
          <w:tcPr>
            <w:tcW w:w="1293" w:type="dxa"/>
            <w:noWrap/>
          </w:tcPr>
          <w:p w14:paraId="17169813">
            <w:pPr>
              <w:widowControl/>
              <w:autoSpaceDE w:val="0"/>
              <w:autoSpaceDN w:val="0"/>
              <w:jc w:val="center"/>
              <w:textAlignment w:val="bottom"/>
              <w:rPr>
                <w:highlight w:val="none"/>
              </w:rPr>
            </w:pPr>
          </w:p>
        </w:tc>
        <w:tc>
          <w:tcPr>
            <w:tcW w:w="735" w:type="dxa"/>
            <w:noWrap/>
            <w:vAlign w:val="center"/>
          </w:tcPr>
          <w:p w14:paraId="18E5BC27">
            <w:pPr>
              <w:widowControl/>
              <w:autoSpaceDE w:val="0"/>
              <w:autoSpaceDN w:val="0"/>
              <w:jc w:val="center"/>
              <w:textAlignment w:val="bottom"/>
              <w:rPr>
                <w:highlight w:val="none"/>
              </w:rPr>
            </w:pPr>
          </w:p>
        </w:tc>
        <w:tc>
          <w:tcPr>
            <w:tcW w:w="1236" w:type="dxa"/>
            <w:noWrap/>
            <w:vAlign w:val="center"/>
          </w:tcPr>
          <w:p w14:paraId="1DF0D601">
            <w:pPr>
              <w:widowControl/>
              <w:autoSpaceDE w:val="0"/>
              <w:autoSpaceDN w:val="0"/>
              <w:jc w:val="center"/>
              <w:textAlignment w:val="bottom"/>
              <w:rPr>
                <w:highlight w:val="none"/>
              </w:rPr>
            </w:pPr>
          </w:p>
        </w:tc>
        <w:tc>
          <w:tcPr>
            <w:tcW w:w="749" w:type="dxa"/>
            <w:noWrap/>
            <w:vAlign w:val="center"/>
          </w:tcPr>
          <w:p w14:paraId="6138F408">
            <w:pPr>
              <w:widowControl/>
              <w:autoSpaceDE w:val="0"/>
              <w:autoSpaceDN w:val="0"/>
              <w:jc w:val="center"/>
              <w:textAlignment w:val="bottom"/>
              <w:rPr>
                <w:highlight w:val="none"/>
              </w:rPr>
            </w:pPr>
          </w:p>
        </w:tc>
        <w:tc>
          <w:tcPr>
            <w:tcW w:w="749" w:type="dxa"/>
            <w:noWrap/>
            <w:vAlign w:val="center"/>
          </w:tcPr>
          <w:p w14:paraId="3F2C7F5C">
            <w:pPr>
              <w:widowControl/>
              <w:autoSpaceDE w:val="0"/>
              <w:autoSpaceDN w:val="0"/>
              <w:jc w:val="center"/>
              <w:textAlignment w:val="bottom"/>
              <w:rPr>
                <w:highlight w:val="none"/>
              </w:rPr>
            </w:pPr>
          </w:p>
        </w:tc>
        <w:tc>
          <w:tcPr>
            <w:tcW w:w="749" w:type="dxa"/>
            <w:noWrap/>
            <w:vAlign w:val="center"/>
          </w:tcPr>
          <w:p w14:paraId="783D9616">
            <w:pPr>
              <w:widowControl/>
              <w:autoSpaceDE w:val="0"/>
              <w:autoSpaceDN w:val="0"/>
              <w:jc w:val="center"/>
              <w:textAlignment w:val="bottom"/>
              <w:rPr>
                <w:highlight w:val="none"/>
              </w:rPr>
            </w:pPr>
          </w:p>
        </w:tc>
        <w:tc>
          <w:tcPr>
            <w:tcW w:w="750" w:type="dxa"/>
            <w:noWrap/>
            <w:vAlign w:val="center"/>
          </w:tcPr>
          <w:p w14:paraId="219E1C2F">
            <w:pPr>
              <w:widowControl/>
              <w:autoSpaceDE w:val="0"/>
              <w:autoSpaceDN w:val="0"/>
              <w:jc w:val="center"/>
              <w:textAlignment w:val="bottom"/>
              <w:rPr>
                <w:highlight w:val="none"/>
              </w:rPr>
            </w:pPr>
          </w:p>
        </w:tc>
        <w:tc>
          <w:tcPr>
            <w:tcW w:w="1076" w:type="dxa"/>
            <w:noWrap/>
            <w:vAlign w:val="center"/>
          </w:tcPr>
          <w:p w14:paraId="61A3C07D">
            <w:pPr>
              <w:widowControl/>
              <w:autoSpaceDE w:val="0"/>
              <w:autoSpaceDN w:val="0"/>
              <w:jc w:val="center"/>
              <w:textAlignment w:val="bottom"/>
              <w:rPr>
                <w:highlight w:val="none"/>
              </w:rPr>
            </w:pPr>
          </w:p>
        </w:tc>
        <w:tc>
          <w:tcPr>
            <w:tcW w:w="1199" w:type="dxa"/>
            <w:noWrap/>
            <w:vAlign w:val="center"/>
          </w:tcPr>
          <w:p w14:paraId="625A8E55">
            <w:pPr>
              <w:widowControl/>
              <w:autoSpaceDE w:val="0"/>
              <w:autoSpaceDN w:val="0"/>
              <w:jc w:val="center"/>
              <w:textAlignment w:val="bottom"/>
              <w:rPr>
                <w:highlight w:val="none"/>
              </w:rPr>
            </w:pPr>
          </w:p>
        </w:tc>
      </w:tr>
      <w:tr w14:paraId="3E1CD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21F04C0E">
            <w:pPr>
              <w:widowControl/>
              <w:tabs>
                <w:tab w:val="left" w:pos="210"/>
              </w:tabs>
              <w:autoSpaceDE w:val="0"/>
              <w:autoSpaceDN w:val="0"/>
              <w:ind w:left="-2" w:leftChars="-1"/>
              <w:jc w:val="center"/>
              <w:textAlignment w:val="bottom"/>
              <w:rPr>
                <w:highlight w:val="none"/>
              </w:rPr>
            </w:pPr>
          </w:p>
        </w:tc>
        <w:tc>
          <w:tcPr>
            <w:tcW w:w="1293" w:type="dxa"/>
            <w:noWrap/>
          </w:tcPr>
          <w:p w14:paraId="5638A06E">
            <w:pPr>
              <w:widowControl/>
              <w:autoSpaceDE w:val="0"/>
              <w:autoSpaceDN w:val="0"/>
              <w:jc w:val="center"/>
              <w:textAlignment w:val="bottom"/>
              <w:rPr>
                <w:highlight w:val="none"/>
              </w:rPr>
            </w:pPr>
          </w:p>
        </w:tc>
        <w:tc>
          <w:tcPr>
            <w:tcW w:w="735" w:type="dxa"/>
            <w:noWrap/>
            <w:vAlign w:val="center"/>
          </w:tcPr>
          <w:p w14:paraId="353A1F49">
            <w:pPr>
              <w:widowControl/>
              <w:autoSpaceDE w:val="0"/>
              <w:autoSpaceDN w:val="0"/>
              <w:jc w:val="center"/>
              <w:textAlignment w:val="bottom"/>
              <w:rPr>
                <w:highlight w:val="none"/>
              </w:rPr>
            </w:pPr>
          </w:p>
        </w:tc>
        <w:tc>
          <w:tcPr>
            <w:tcW w:w="1236" w:type="dxa"/>
            <w:noWrap/>
            <w:vAlign w:val="center"/>
          </w:tcPr>
          <w:p w14:paraId="30F2AE59">
            <w:pPr>
              <w:widowControl/>
              <w:autoSpaceDE w:val="0"/>
              <w:autoSpaceDN w:val="0"/>
              <w:jc w:val="center"/>
              <w:textAlignment w:val="bottom"/>
              <w:rPr>
                <w:highlight w:val="none"/>
              </w:rPr>
            </w:pPr>
          </w:p>
        </w:tc>
        <w:tc>
          <w:tcPr>
            <w:tcW w:w="749" w:type="dxa"/>
            <w:noWrap/>
            <w:vAlign w:val="center"/>
          </w:tcPr>
          <w:p w14:paraId="197485BF">
            <w:pPr>
              <w:widowControl/>
              <w:autoSpaceDE w:val="0"/>
              <w:autoSpaceDN w:val="0"/>
              <w:jc w:val="center"/>
              <w:textAlignment w:val="bottom"/>
              <w:rPr>
                <w:highlight w:val="none"/>
              </w:rPr>
            </w:pPr>
          </w:p>
        </w:tc>
        <w:tc>
          <w:tcPr>
            <w:tcW w:w="749" w:type="dxa"/>
            <w:noWrap/>
            <w:vAlign w:val="center"/>
          </w:tcPr>
          <w:p w14:paraId="4A80F37B">
            <w:pPr>
              <w:widowControl/>
              <w:autoSpaceDE w:val="0"/>
              <w:autoSpaceDN w:val="0"/>
              <w:jc w:val="center"/>
              <w:textAlignment w:val="bottom"/>
              <w:rPr>
                <w:highlight w:val="none"/>
              </w:rPr>
            </w:pPr>
          </w:p>
        </w:tc>
        <w:tc>
          <w:tcPr>
            <w:tcW w:w="749" w:type="dxa"/>
            <w:noWrap/>
            <w:vAlign w:val="center"/>
          </w:tcPr>
          <w:p w14:paraId="200454B6">
            <w:pPr>
              <w:widowControl/>
              <w:autoSpaceDE w:val="0"/>
              <w:autoSpaceDN w:val="0"/>
              <w:jc w:val="center"/>
              <w:textAlignment w:val="bottom"/>
              <w:rPr>
                <w:highlight w:val="none"/>
              </w:rPr>
            </w:pPr>
          </w:p>
        </w:tc>
        <w:tc>
          <w:tcPr>
            <w:tcW w:w="750" w:type="dxa"/>
            <w:noWrap/>
            <w:vAlign w:val="center"/>
          </w:tcPr>
          <w:p w14:paraId="20B9CC58">
            <w:pPr>
              <w:widowControl/>
              <w:autoSpaceDE w:val="0"/>
              <w:autoSpaceDN w:val="0"/>
              <w:jc w:val="center"/>
              <w:textAlignment w:val="bottom"/>
              <w:rPr>
                <w:highlight w:val="none"/>
              </w:rPr>
            </w:pPr>
          </w:p>
        </w:tc>
        <w:tc>
          <w:tcPr>
            <w:tcW w:w="1076" w:type="dxa"/>
            <w:noWrap/>
            <w:vAlign w:val="center"/>
          </w:tcPr>
          <w:p w14:paraId="035DFC50">
            <w:pPr>
              <w:widowControl/>
              <w:autoSpaceDE w:val="0"/>
              <w:autoSpaceDN w:val="0"/>
              <w:jc w:val="center"/>
              <w:textAlignment w:val="bottom"/>
              <w:rPr>
                <w:highlight w:val="none"/>
              </w:rPr>
            </w:pPr>
          </w:p>
        </w:tc>
        <w:tc>
          <w:tcPr>
            <w:tcW w:w="1199" w:type="dxa"/>
            <w:noWrap/>
            <w:vAlign w:val="center"/>
          </w:tcPr>
          <w:p w14:paraId="067109C6">
            <w:pPr>
              <w:widowControl/>
              <w:autoSpaceDE w:val="0"/>
              <w:autoSpaceDN w:val="0"/>
              <w:jc w:val="center"/>
              <w:textAlignment w:val="bottom"/>
              <w:rPr>
                <w:highlight w:val="none"/>
              </w:rPr>
            </w:pPr>
          </w:p>
        </w:tc>
      </w:tr>
      <w:tr w14:paraId="2D8F6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32CD5CDB">
            <w:pPr>
              <w:widowControl/>
              <w:tabs>
                <w:tab w:val="left" w:pos="210"/>
              </w:tabs>
              <w:autoSpaceDE w:val="0"/>
              <w:autoSpaceDN w:val="0"/>
              <w:ind w:left="-2" w:leftChars="-1"/>
              <w:jc w:val="center"/>
              <w:textAlignment w:val="bottom"/>
              <w:rPr>
                <w:highlight w:val="none"/>
              </w:rPr>
            </w:pPr>
          </w:p>
        </w:tc>
        <w:tc>
          <w:tcPr>
            <w:tcW w:w="1293" w:type="dxa"/>
            <w:noWrap/>
          </w:tcPr>
          <w:p w14:paraId="57535C52">
            <w:pPr>
              <w:widowControl/>
              <w:autoSpaceDE w:val="0"/>
              <w:autoSpaceDN w:val="0"/>
              <w:jc w:val="center"/>
              <w:textAlignment w:val="bottom"/>
              <w:rPr>
                <w:highlight w:val="none"/>
              </w:rPr>
            </w:pPr>
            <w:r>
              <w:rPr>
                <w:b/>
                <w:highlight w:val="none"/>
              </w:rPr>
              <w:t>……</w:t>
            </w:r>
          </w:p>
        </w:tc>
        <w:tc>
          <w:tcPr>
            <w:tcW w:w="735" w:type="dxa"/>
            <w:noWrap/>
            <w:vAlign w:val="center"/>
          </w:tcPr>
          <w:p w14:paraId="0610AEF9">
            <w:pPr>
              <w:widowControl/>
              <w:autoSpaceDE w:val="0"/>
              <w:autoSpaceDN w:val="0"/>
              <w:jc w:val="center"/>
              <w:textAlignment w:val="bottom"/>
              <w:rPr>
                <w:highlight w:val="none"/>
              </w:rPr>
            </w:pPr>
          </w:p>
        </w:tc>
        <w:tc>
          <w:tcPr>
            <w:tcW w:w="1236" w:type="dxa"/>
            <w:noWrap/>
            <w:vAlign w:val="center"/>
          </w:tcPr>
          <w:p w14:paraId="0CD1DE32">
            <w:pPr>
              <w:widowControl/>
              <w:autoSpaceDE w:val="0"/>
              <w:autoSpaceDN w:val="0"/>
              <w:jc w:val="center"/>
              <w:textAlignment w:val="bottom"/>
              <w:rPr>
                <w:highlight w:val="none"/>
              </w:rPr>
            </w:pPr>
          </w:p>
        </w:tc>
        <w:tc>
          <w:tcPr>
            <w:tcW w:w="749" w:type="dxa"/>
            <w:noWrap/>
            <w:vAlign w:val="center"/>
          </w:tcPr>
          <w:p w14:paraId="7339DB1D">
            <w:pPr>
              <w:widowControl/>
              <w:autoSpaceDE w:val="0"/>
              <w:autoSpaceDN w:val="0"/>
              <w:jc w:val="center"/>
              <w:textAlignment w:val="bottom"/>
              <w:rPr>
                <w:highlight w:val="none"/>
              </w:rPr>
            </w:pPr>
          </w:p>
        </w:tc>
        <w:tc>
          <w:tcPr>
            <w:tcW w:w="749" w:type="dxa"/>
            <w:noWrap/>
            <w:vAlign w:val="center"/>
          </w:tcPr>
          <w:p w14:paraId="15630612">
            <w:pPr>
              <w:widowControl/>
              <w:autoSpaceDE w:val="0"/>
              <w:autoSpaceDN w:val="0"/>
              <w:jc w:val="center"/>
              <w:textAlignment w:val="bottom"/>
              <w:rPr>
                <w:highlight w:val="none"/>
              </w:rPr>
            </w:pPr>
          </w:p>
        </w:tc>
        <w:tc>
          <w:tcPr>
            <w:tcW w:w="749" w:type="dxa"/>
            <w:noWrap/>
            <w:vAlign w:val="center"/>
          </w:tcPr>
          <w:p w14:paraId="3D01C297">
            <w:pPr>
              <w:widowControl/>
              <w:autoSpaceDE w:val="0"/>
              <w:autoSpaceDN w:val="0"/>
              <w:jc w:val="center"/>
              <w:textAlignment w:val="bottom"/>
              <w:rPr>
                <w:highlight w:val="none"/>
              </w:rPr>
            </w:pPr>
          </w:p>
        </w:tc>
        <w:tc>
          <w:tcPr>
            <w:tcW w:w="750" w:type="dxa"/>
            <w:noWrap/>
            <w:vAlign w:val="center"/>
          </w:tcPr>
          <w:p w14:paraId="3E1D3806">
            <w:pPr>
              <w:widowControl/>
              <w:autoSpaceDE w:val="0"/>
              <w:autoSpaceDN w:val="0"/>
              <w:jc w:val="center"/>
              <w:textAlignment w:val="bottom"/>
              <w:rPr>
                <w:highlight w:val="none"/>
              </w:rPr>
            </w:pPr>
          </w:p>
        </w:tc>
        <w:tc>
          <w:tcPr>
            <w:tcW w:w="1076" w:type="dxa"/>
            <w:noWrap/>
            <w:vAlign w:val="center"/>
          </w:tcPr>
          <w:p w14:paraId="075F419F">
            <w:pPr>
              <w:widowControl/>
              <w:autoSpaceDE w:val="0"/>
              <w:autoSpaceDN w:val="0"/>
              <w:jc w:val="center"/>
              <w:textAlignment w:val="bottom"/>
              <w:rPr>
                <w:highlight w:val="none"/>
              </w:rPr>
            </w:pPr>
          </w:p>
        </w:tc>
        <w:tc>
          <w:tcPr>
            <w:tcW w:w="1199" w:type="dxa"/>
            <w:noWrap/>
            <w:vAlign w:val="center"/>
          </w:tcPr>
          <w:p w14:paraId="323F7E7F">
            <w:pPr>
              <w:widowControl/>
              <w:autoSpaceDE w:val="0"/>
              <w:autoSpaceDN w:val="0"/>
              <w:jc w:val="center"/>
              <w:textAlignment w:val="bottom"/>
              <w:rPr>
                <w:highlight w:val="none"/>
              </w:rPr>
            </w:pPr>
          </w:p>
        </w:tc>
      </w:tr>
      <w:tr w14:paraId="5479F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restart"/>
            <w:noWrap/>
            <w:vAlign w:val="center"/>
          </w:tcPr>
          <w:p w14:paraId="7DD5864F">
            <w:pPr>
              <w:widowControl/>
              <w:autoSpaceDE w:val="0"/>
              <w:autoSpaceDN w:val="0"/>
              <w:jc w:val="center"/>
              <w:textAlignment w:val="bottom"/>
              <w:rPr>
                <w:highlight w:val="none"/>
              </w:rPr>
            </w:pPr>
            <w:r>
              <w:rPr>
                <w:highlight w:val="none"/>
              </w:rPr>
              <w:t>交通</w:t>
            </w:r>
          </w:p>
          <w:p w14:paraId="65F3412B">
            <w:pPr>
              <w:widowControl/>
              <w:autoSpaceDE w:val="0"/>
              <w:autoSpaceDN w:val="0"/>
              <w:jc w:val="center"/>
              <w:textAlignment w:val="bottom"/>
              <w:rPr>
                <w:highlight w:val="none"/>
              </w:rPr>
            </w:pPr>
            <w:r>
              <w:rPr>
                <w:highlight w:val="none"/>
              </w:rPr>
              <w:t>设施</w:t>
            </w:r>
          </w:p>
        </w:tc>
        <w:tc>
          <w:tcPr>
            <w:tcW w:w="1293" w:type="dxa"/>
            <w:noWrap/>
          </w:tcPr>
          <w:p w14:paraId="70EE217E">
            <w:pPr>
              <w:widowControl/>
              <w:autoSpaceDE w:val="0"/>
              <w:autoSpaceDN w:val="0"/>
              <w:jc w:val="center"/>
              <w:textAlignment w:val="bottom"/>
              <w:rPr>
                <w:highlight w:val="none"/>
              </w:rPr>
            </w:pPr>
          </w:p>
        </w:tc>
        <w:tc>
          <w:tcPr>
            <w:tcW w:w="735" w:type="dxa"/>
            <w:noWrap/>
            <w:vAlign w:val="center"/>
          </w:tcPr>
          <w:p w14:paraId="340CCC6E">
            <w:pPr>
              <w:widowControl/>
              <w:autoSpaceDE w:val="0"/>
              <w:autoSpaceDN w:val="0"/>
              <w:jc w:val="center"/>
              <w:textAlignment w:val="bottom"/>
              <w:rPr>
                <w:highlight w:val="none"/>
              </w:rPr>
            </w:pPr>
          </w:p>
        </w:tc>
        <w:tc>
          <w:tcPr>
            <w:tcW w:w="1236" w:type="dxa"/>
            <w:noWrap/>
            <w:vAlign w:val="center"/>
          </w:tcPr>
          <w:p w14:paraId="1C5F93EF">
            <w:pPr>
              <w:widowControl/>
              <w:autoSpaceDE w:val="0"/>
              <w:autoSpaceDN w:val="0"/>
              <w:jc w:val="center"/>
              <w:textAlignment w:val="bottom"/>
              <w:rPr>
                <w:highlight w:val="none"/>
              </w:rPr>
            </w:pPr>
          </w:p>
        </w:tc>
        <w:tc>
          <w:tcPr>
            <w:tcW w:w="749" w:type="dxa"/>
            <w:noWrap/>
            <w:vAlign w:val="center"/>
          </w:tcPr>
          <w:p w14:paraId="5FE14B74">
            <w:pPr>
              <w:widowControl/>
              <w:autoSpaceDE w:val="0"/>
              <w:autoSpaceDN w:val="0"/>
              <w:jc w:val="center"/>
              <w:textAlignment w:val="bottom"/>
              <w:rPr>
                <w:highlight w:val="none"/>
              </w:rPr>
            </w:pPr>
          </w:p>
        </w:tc>
        <w:tc>
          <w:tcPr>
            <w:tcW w:w="749" w:type="dxa"/>
            <w:noWrap/>
            <w:vAlign w:val="center"/>
          </w:tcPr>
          <w:p w14:paraId="48F43EDB">
            <w:pPr>
              <w:widowControl/>
              <w:autoSpaceDE w:val="0"/>
              <w:autoSpaceDN w:val="0"/>
              <w:jc w:val="center"/>
              <w:textAlignment w:val="bottom"/>
              <w:rPr>
                <w:highlight w:val="none"/>
              </w:rPr>
            </w:pPr>
          </w:p>
        </w:tc>
        <w:tc>
          <w:tcPr>
            <w:tcW w:w="749" w:type="dxa"/>
            <w:noWrap/>
            <w:vAlign w:val="center"/>
          </w:tcPr>
          <w:p w14:paraId="5CD2BA71">
            <w:pPr>
              <w:widowControl/>
              <w:autoSpaceDE w:val="0"/>
              <w:autoSpaceDN w:val="0"/>
              <w:jc w:val="center"/>
              <w:textAlignment w:val="bottom"/>
              <w:rPr>
                <w:highlight w:val="none"/>
              </w:rPr>
            </w:pPr>
          </w:p>
        </w:tc>
        <w:tc>
          <w:tcPr>
            <w:tcW w:w="750" w:type="dxa"/>
            <w:noWrap/>
            <w:vAlign w:val="center"/>
          </w:tcPr>
          <w:p w14:paraId="49E598A7">
            <w:pPr>
              <w:widowControl/>
              <w:autoSpaceDE w:val="0"/>
              <w:autoSpaceDN w:val="0"/>
              <w:jc w:val="center"/>
              <w:textAlignment w:val="bottom"/>
              <w:rPr>
                <w:highlight w:val="none"/>
              </w:rPr>
            </w:pPr>
          </w:p>
        </w:tc>
        <w:tc>
          <w:tcPr>
            <w:tcW w:w="1076" w:type="dxa"/>
            <w:noWrap/>
            <w:vAlign w:val="center"/>
          </w:tcPr>
          <w:p w14:paraId="1517ECF8">
            <w:pPr>
              <w:widowControl/>
              <w:autoSpaceDE w:val="0"/>
              <w:autoSpaceDN w:val="0"/>
              <w:jc w:val="center"/>
              <w:textAlignment w:val="bottom"/>
              <w:rPr>
                <w:highlight w:val="none"/>
              </w:rPr>
            </w:pPr>
          </w:p>
        </w:tc>
        <w:tc>
          <w:tcPr>
            <w:tcW w:w="1199" w:type="dxa"/>
            <w:noWrap/>
            <w:vAlign w:val="center"/>
          </w:tcPr>
          <w:p w14:paraId="6C4AFF3F">
            <w:pPr>
              <w:widowControl/>
              <w:autoSpaceDE w:val="0"/>
              <w:autoSpaceDN w:val="0"/>
              <w:jc w:val="center"/>
              <w:textAlignment w:val="bottom"/>
              <w:rPr>
                <w:highlight w:val="none"/>
              </w:rPr>
            </w:pPr>
          </w:p>
        </w:tc>
      </w:tr>
      <w:tr w14:paraId="33824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7A5739BE">
            <w:pPr>
              <w:widowControl/>
              <w:autoSpaceDE w:val="0"/>
              <w:autoSpaceDN w:val="0"/>
              <w:jc w:val="center"/>
              <w:textAlignment w:val="bottom"/>
              <w:rPr>
                <w:highlight w:val="none"/>
              </w:rPr>
            </w:pPr>
          </w:p>
        </w:tc>
        <w:tc>
          <w:tcPr>
            <w:tcW w:w="1293" w:type="dxa"/>
            <w:noWrap/>
          </w:tcPr>
          <w:p w14:paraId="5DA0BA27">
            <w:pPr>
              <w:widowControl/>
              <w:autoSpaceDE w:val="0"/>
              <w:autoSpaceDN w:val="0"/>
              <w:jc w:val="center"/>
              <w:textAlignment w:val="bottom"/>
              <w:rPr>
                <w:highlight w:val="none"/>
              </w:rPr>
            </w:pPr>
          </w:p>
        </w:tc>
        <w:tc>
          <w:tcPr>
            <w:tcW w:w="735" w:type="dxa"/>
            <w:noWrap/>
            <w:vAlign w:val="center"/>
          </w:tcPr>
          <w:p w14:paraId="03187583">
            <w:pPr>
              <w:widowControl/>
              <w:autoSpaceDE w:val="0"/>
              <w:autoSpaceDN w:val="0"/>
              <w:jc w:val="center"/>
              <w:textAlignment w:val="bottom"/>
              <w:rPr>
                <w:highlight w:val="none"/>
              </w:rPr>
            </w:pPr>
          </w:p>
        </w:tc>
        <w:tc>
          <w:tcPr>
            <w:tcW w:w="1236" w:type="dxa"/>
            <w:noWrap/>
            <w:vAlign w:val="center"/>
          </w:tcPr>
          <w:p w14:paraId="6493650C">
            <w:pPr>
              <w:widowControl/>
              <w:autoSpaceDE w:val="0"/>
              <w:autoSpaceDN w:val="0"/>
              <w:jc w:val="center"/>
              <w:textAlignment w:val="bottom"/>
              <w:rPr>
                <w:highlight w:val="none"/>
              </w:rPr>
            </w:pPr>
          </w:p>
        </w:tc>
        <w:tc>
          <w:tcPr>
            <w:tcW w:w="749" w:type="dxa"/>
            <w:noWrap/>
            <w:vAlign w:val="center"/>
          </w:tcPr>
          <w:p w14:paraId="07E3214A">
            <w:pPr>
              <w:widowControl/>
              <w:autoSpaceDE w:val="0"/>
              <w:autoSpaceDN w:val="0"/>
              <w:jc w:val="center"/>
              <w:textAlignment w:val="bottom"/>
              <w:rPr>
                <w:highlight w:val="none"/>
              </w:rPr>
            </w:pPr>
          </w:p>
        </w:tc>
        <w:tc>
          <w:tcPr>
            <w:tcW w:w="749" w:type="dxa"/>
            <w:noWrap/>
            <w:vAlign w:val="center"/>
          </w:tcPr>
          <w:p w14:paraId="6B6A61B0">
            <w:pPr>
              <w:widowControl/>
              <w:autoSpaceDE w:val="0"/>
              <w:autoSpaceDN w:val="0"/>
              <w:jc w:val="center"/>
              <w:textAlignment w:val="bottom"/>
              <w:rPr>
                <w:highlight w:val="none"/>
              </w:rPr>
            </w:pPr>
          </w:p>
        </w:tc>
        <w:tc>
          <w:tcPr>
            <w:tcW w:w="749" w:type="dxa"/>
            <w:noWrap/>
            <w:vAlign w:val="center"/>
          </w:tcPr>
          <w:p w14:paraId="6AF592C3">
            <w:pPr>
              <w:widowControl/>
              <w:autoSpaceDE w:val="0"/>
              <w:autoSpaceDN w:val="0"/>
              <w:jc w:val="center"/>
              <w:textAlignment w:val="bottom"/>
              <w:rPr>
                <w:highlight w:val="none"/>
              </w:rPr>
            </w:pPr>
          </w:p>
        </w:tc>
        <w:tc>
          <w:tcPr>
            <w:tcW w:w="750" w:type="dxa"/>
            <w:noWrap/>
            <w:vAlign w:val="center"/>
          </w:tcPr>
          <w:p w14:paraId="3BFC3969">
            <w:pPr>
              <w:widowControl/>
              <w:autoSpaceDE w:val="0"/>
              <w:autoSpaceDN w:val="0"/>
              <w:jc w:val="center"/>
              <w:textAlignment w:val="bottom"/>
              <w:rPr>
                <w:highlight w:val="none"/>
              </w:rPr>
            </w:pPr>
          </w:p>
        </w:tc>
        <w:tc>
          <w:tcPr>
            <w:tcW w:w="1076" w:type="dxa"/>
            <w:noWrap/>
            <w:vAlign w:val="center"/>
          </w:tcPr>
          <w:p w14:paraId="2A43ED89">
            <w:pPr>
              <w:widowControl/>
              <w:autoSpaceDE w:val="0"/>
              <w:autoSpaceDN w:val="0"/>
              <w:jc w:val="center"/>
              <w:textAlignment w:val="bottom"/>
              <w:rPr>
                <w:highlight w:val="none"/>
              </w:rPr>
            </w:pPr>
          </w:p>
        </w:tc>
        <w:tc>
          <w:tcPr>
            <w:tcW w:w="1199" w:type="dxa"/>
            <w:noWrap/>
            <w:vAlign w:val="center"/>
          </w:tcPr>
          <w:p w14:paraId="7811B2AD">
            <w:pPr>
              <w:widowControl/>
              <w:autoSpaceDE w:val="0"/>
              <w:autoSpaceDN w:val="0"/>
              <w:jc w:val="center"/>
              <w:textAlignment w:val="bottom"/>
              <w:rPr>
                <w:highlight w:val="none"/>
              </w:rPr>
            </w:pPr>
          </w:p>
        </w:tc>
      </w:tr>
      <w:tr w14:paraId="56B15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3129D4C1">
            <w:pPr>
              <w:widowControl/>
              <w:autoSpaceDE w:val="0"/>
              <w:autoSpaceDN w:val="0"/>
              <w:jc w:val="center"/>
              <w:textAlignment w:val="bottom"/>
              <w:rPr>
                <w:highlight w:val="none"/>
              </w:rPr>
            </w:pPr>
          </w:p>
        </w:tc>
        <w:tc>
          <w:tcPr>
            <w:tcW w:w="1293" w:type="dxa"/>
            <w:noWrap/>
          </w:tcPr>
          <w:p w14:paraId="0DD1CFA5">
            <w:pPr>
              <w:widowControl/>
              <w:autoSpaceDE w:val="0"/>
              <w:autoSpaceDN w:val="0"/>
              <w:jc w:val="center"/>
              <w:textAlignment w:val="bottom"/>
              <w:rPr>
                <w:highlight w:val="none"/>
              </w:rPr>
            </w:pPr>
          </w:p>
        </w:tc>
        <w:tc>
          <w:tcPr>
            <w:tcW w:w="735" w:type="dxa"/>
            <w:noWrap/>
            <w:vAlign w:val="center"/>
          </w:tcPr>
          <w:p w14:paraId="09307854">
            <w:pPr>
              <w:widowControl/>
              <w:autoSpaceDE w:val="0"/>
              <w:autoSpaceDN w:val="0"/>
              <w:jc w:val="center"/>
              <w:textAlignment w:val="bottom"/>
              <w:rPr>
                <w:highlight w:val="none"/>
              </w:rPr>
            </w:pPr>
          </w:p>
        </w:tc>
        <w:tc>
          <w:tcPr>
            <w:tcW w:w="1236" w:type="dxa"/>
            <w:noWrap/>
            <w:vAlign w:val="center"/>
          </w:tcPr>
          <w:p w14:paraId="0D6204CD">
            <w:pPr>
              <w:widowControl/>
              <w:autoSpaceDE w:val="0"/>
              <w:autoSpaceDN w:val="0"/>
              <w:jc w:val="center"/>
              <w:textAlignment w:val="bottom"/>
              <w:rPr>
                <w:highlight w:val="none"/>
              </w:rPr>
            </w:pPr>
          </w:p>
        </w:tc>
        <w:tc>
          <w:tcPr>
            <w:tcW w:w="749" w:type="dxa"/>
            <w:noWrap/>
            <w:vAlign w:val="center"/>
          </w:tcPr>
          <w:p w14:paraId="3F52807E">
            <w:pPr>
              <w:widowControl/>
              <w:autoSpaceDE w:val="0"/>
              <w:autoSpaceDN w:val="0"/>
              <w:jc w:val="center"/>
              <w:textAlignment w:val="bottom"/>
              <w:rPr>
                <w:highlight w:val="none"/>
              </w:rPr>
            </w:pPr>
          </w:p>
        </w:tc>
        <w:tc>
          <w:tcPr>
            <w:tcW w:w="749" w:type="dxa"/>
            <w:noWrap/>
            <w:vAlign w:val="center"/>
          </w:tcPr>
          <w:p w14:paraId="31FED8E9">
            <w:pPr>
              <w:widowControl/>
              <w:autoSpaceDE w:val="0"/>
              <w:autoSpaceDN w:val="0"/>
              <w:jc w:val="center"/>
              <w:textAlignment w:val="bottom"/>
              <w:rPr>
                <w:highlight w:val="none"/>
              </w:rPr>
            </w:pPr>
          </w:p>
        </w:tc>
        <w:tc>
          <w:tcPr>
            <w:tcW w:w="749" w:type="dxa"/>
            <w:noWrap/>
            <w:vAlign w:val="center"/>
          </w:tcPr>
          <w:p w14:paraId="017A2053">
            <w:pPr>
              <w:widowControl/>
              <w:autoSpaceDE w:val="0"/>
              <w:autoSpaceDN w:val="0"/>
              <w:jc w:val="center"/>
              <w:textAlignment w:val="bottom"/>
              <w:rPr>
                <w:highlight w:val="none"/>
              </w:rPr>
            </w:pPr>
          </w:p>
        </w:tc>
        <w:tc>
          <w:tcPr>
            <w:tcW w:w="750" w:type="dxa"/>
            <w:noWrap/>
            <w:vAlign w:val="center"/>
          </w:tcPr>
          <w:p w14:paraId="267C8C32">
            <w:pPr>
              <w:widowControl/>
              <w:autoSpaceDE w:val="0"/>
              <w:autoSpaceDN w:val="0"/>
              <w:jc w:val="center"/>
              <w:textAlignment w:val="bottom"/>
              <w:rPr>
                <w:highlight w:val="none"/>
              </w:rPr>
            </w:pPr>
          </w:p>
        </w:tc>
        <w:tc>
          <w:tcPr>
            <w:tcW w:w="1076" w:type="dxa"/>
            <w:noWrap/>
            <w:vAlign w:val="center"/>
          </w:tcPr>
          <w:p w14:paraId="147665BD">
            <w:pPr>
              <w:widowControl/>
              <w:autoSpaceDE w:val="0"/>
              <w:autoSpaceDN w:val="0"/>
              <w:jc w:val="center"/>
              <w:textAlignment w:val="bottom"/>
              <w:rPr>
                <w:highlight w:val="none"/>
              </w:rPr>
            </w:pPr>
          </w:p>
        </w:tc>
        <w:tc>
          <w:tcPr>
            <w:tcW w:w="1199" w:type="dxa"/>
            <w:noWrap/>
            <w:vAlign w:val="center"/>
          </w:tcPr>
          <w:p w14:paraId="05AD28B3">
            <w:pPr>
              <w:widowControl/>
              <w:autoSpaceDE w:val="0"/>
              <w:autoSpaceDN w:val="0"/>
              <w:jc w:val="center"/>
              <w:textAlignment w:val="bottom"/>
              <w:rPr>
                <w:highlight w:val="none"/>
              </w:rPr>
            </w:pPr>
          </w:p>
        </w:tc>
      </w:tr>
      <w:tr w14:paraId="72679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vMerge w:val="continue"/>
            <w:noWrap/>
            <w:vAlign w:val="center"/>
          </w:tcPr>
          <w:p w14:paraId="127F5BF1">
            <w:pPr>
              <w:widowControl/>
              <w:autoSpaceDE w:val="0"/>
              <w:autoSpaceDN w:val="0"/>
              <w:jc w:val="center"/>
              <w:textAlignment w:val="bottom"/>
              <w:rPr>
                <w:highlight w:val="none"/>
              </w:rPr>
            </w:pPr>
          </w:p>
        </w:tc>
        <w:tc>
          <w:tcPr>
            <w:tcW w:w="1293" w:type="dxa"/>
            <w:noWrap/>
          </w:tcPr>
          <w:p w14:paraId="67E9C9B2">
            <w:pPr>
              <w:widowControl/>
              <w:autoSpaceDE w:val="0"/>
              <w:autoSpaceDN w:val="0"/>
              <w:jc w:val="center"/>
              <w:textAlignment w:val="bottom"/>
              <w:rPr>
                <w:highlight w:val="none"/>
              </w:rPr>
            </w:pPr>
            <w:r>
              <w:rPr>
                <w:b/>
                <w:highlight w:val="none"/>
              </w:rPr>
              <w:t>……</w:t>
            </w:r>
          </w:p>
        </w:tc>
        <w:tc>
          <w:tcPr>
            <w:tcW w:w="735" w:type="dxa"/>
            <w:noWrap/>
            <w:vAlign w:val="center"/>
          </w:tcPr>
          <w:p w14:paraId="60C60F3C">
            <w:pPr>
              <w:widowControl/>
              <w:autoSpaceDE w:val="0"/>
              <w:autoSpaceDN w:val="0"/>
              <w:jc w:val="center"/>
              <w:textAlignment w:val="bottom"/>
              <w:rPr>
                <w:highlight w:val="none"/>
              </w:rPr>
            </w:pPr>
          </w:p>
        </w:tc>
        <w:tc>
          <w:tcPr>
            <w:tcW w:w="1236" w:type="dxa"/>
            <w:noWrap/>
            <w:vAlign w:val="center"/>
          </w:tcPr>
          <w:p w14:paraId="2FAADC43">
            <w:pPr>
              <w:widowControl/>
              <w:autoSpaceDE w:val="0"/>
              <w:autoSpaceDN w:val="0"/>
              <w:jc w:val="center"/>
              <w:textAlignment w:val="bottom"/>
              <w:rPr>
                <w:highlight w:val="none"/>
              </w:rPr>
            </w:pPr>
          </w:p>
        </w:tc>
        <w:tc>
          <w:tcPr>
            <w:tcW w:w="749" w:type="dxa"/>
            <w:noWrap/>
            <w:vAlign w:val="center"/>
          </w:tcPr>
          <w:p w14:paraId="23C2A105">
            <w:pPr>
              <w:widowControl/>
              <w:autoSpaceDE w:val="0"/>
              <w:autoSpaceDN w:val="0"/>
              <w:jc w:val="center"/>
              <w:textAlignment w:val="bottom"/>
              <w:rPr>
                <w:highlight w:val="none"/>
              </w:rPr>
            </w:pPr>
          </w:p>
        </w:tc>
        <w:tc>
          <w:tcPr>
            <w:tcW w:w="749" w:type="dxa"/>
            <w:noWrap/>
            <w:vAlign w:val="center"/>
          </w:tcPr>
          <w:p w14:paraId="7F8EFE35">
            <w:pPr>
              <w:widowControl/>
              <w:autoSpaceDE w:val="0"/>
              <w:autoSpaceDN w:val="0"/>
              <w:jc w:val="center"/>
              <w:textAlignment w:val="bottom"/>
              <w:rPr>
                <w:highlight w:val="none"/>
              </w:rPr>
            </w:pPr>
          </w:p>
        </w:tc>
        <w:tc>
          <w:tcPr>
            <w:tcW w:w="749" w:type="dxa"/>
            <w:noWrap/>
            <w:vAlign w:val="center"/>
          </w:tcPr>
          <w:p w14:paraId="3C5F68EE">
            <w:pPr>
              <w:widowControl/>
              <w:autoSpaceDE w:val="0"/>
              <w:autoSpaceDN w:val="0"/>
              <w:jc w:val="center"/>
              <w:textAlignment w:val="bottom"/>
              <w:rPr>
                <w:highlight w:val="none"/>
              </w:rPr>
            </w:pPr>
          </w:p>
        </w:tc>
        <w:tc>
          <w:tcPr>
            <w:tcW w:w="750" w:type="dxa"/>
            <w:noWrap/>
            <w:vAlign w:val="center"/>
          </w:tcPr>
          <w:p w14:paraId="3BF7EFDD">
            <w:pPr>
              <w:widowControl/>
              <w:autoSpaceDE w:val="0"/>
              <w:autoSpaceDN w:val="0"/>
              <w:jc w:val="center"/>
              <w:textAlignment w:val="bottom"/>
              <w:rPr>
                <w:highlight w:val="none"/>
              </w:rPr>
            </w:pPr>
          </w:p>
        </w:tc>
        <w:tc>
          <w:tcPr>
            <w:tcW w:w="1076" w:type="dxa"/>
            <w:noWrap/>
            <w:vAlign w:val="center"/>
          </w:tcPr>
          <w:p w14:paraId="629DECCE">
            <w:pPr>
              <w:widowControl/>
              <w:autoSpaceDE w:val="0"/>
              <w:autoSpaceDN w:val="0"/>
              <w:jc w:val="center"/>
              <w:textAlignment w:val="bottom"/>
              <w:rPr>
                <w:highlight w:val="none"/>
              </w:rPr>
            </w:pPr>
          </w:p>
        </w:tc>
        <w:tc>
          <w:tcPr>
            <w:tcW w:w="1199" w:type="dxa"/>
            <w:noWrap/>
            <w:vAlign w:val="center"/>
          </w:tcPr>
          <w:p w14:paraId="2193EBBA">
            <w:pPr>
              <w:widowControl/>
              <w:autoSpaceDE w:val="0"/>
              <w:autoSpaceDN w:val="0"/>
              <w:jc w:val="center"/>
              <w:textAlignment w:val="bottom"/>
              <w:rPr>
                <w:highlight w:val="none"/>
              </w:rPr>
            </w:pPr>
          </w:p>
        </w:tc>
      </w:tr>
      <w:tr w14:paraId="66D4B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058" w:type="dxa"/>
            <w:noWrap/>
            <w:vAlign w:val="center"/>
          </w:tcPr>
          <w:p w14:paraId="0C1F5ABA">
            <w:pPr>
              <w:widowControl/>
              <w:autoSpaceDE w:val="0"/>
              <w:autoSpaceDN w:val="0"/>
              <w:jc w:val="center"/>
              <w:textAlignment w:val="bottom"/>
              <w:rPr>
                <w:highlight w:val="none"/>
              </w:rPr>
            </w:pPr>
            <w:r>
              <w:rPr>
                <w:rFonts w:hint="eastAsia"/>
                <w:highlight w:val="none"/>
              </w:rPr>
              <w:t>备注</w:t>
            </w:r>
          </w:p>
        </w:tc>
        <w:tc>
          <w:tcPr>
            <w:tcW w:w="8536" w:type="dxa"/>
            <w:gridSpan w:val="9"/>
            <w:noWrap/>
          </w:tcPr>
          <w:p w14:paraId="5C248B51">
            <w:pPr>
              <w:widowControl/>
              <w:autoSpaceDE w:val="0"/>
              <w:autoSpaceDN w:val="0"/>
              <w:jc w:val="center"/>
              <w:textAlignment w:val="bottom"/>
              <w:rPr>
                <w:highlight w:val="none"/>
              </w:rPr>
            </w:pPr>
          </w:p>
        </w:tc>
      </w:tr>
    </w:tbl>
    <w:p w14:paraId="76A60DBF">
      <w:pPr>
        <w:spacing w:line="480" w:lineRule="exact"/>
        <w:ind w:firstLine="420" w:firstLineChars="200"/>
        <w:rPr>
          <w:sz w:val="24"/>
          <w:highlight w:val="none"/>
        </w:rPr>
      </w:pPr>
      <w:r>
        <w:rPr>
          <w:rFonts w:hint="eastAsia"/>
          <w:szCs w:val="21"/>
          <w:highlight w:val="none"/>
        </w:rPr>
        <w:t>注：投标人应根据本工程的实际情况配备所需的试验、检测、测量仪器、办公设备、生活设施、交通设施。</w:t>
      </w:r>
    </w:p>
    <w:p w14:paraId="012D000A">
      <w:pPr>
        <w:spacing w:line="480" w:lineRule="exact"/>
        <w:ind w:firstLine="3580" w:firstLineChars="1492"/>
        <w:rPr>
          <w:sz w:val="24"/>
          <w:highlight w:val="none"/>
        </w:rPr>
      </w:pPr>
    </w:p>
    <w:p w14:paraId="10B98A96">
      <w:pPr>
        <w:spacing w:line="480" w:lineRule="exact"/>
        <w:ind w:firstLine="3463" w:firstLineChars="1443"/>
        <w:jc w:val="right"/>
        <w:rPr>
          <w:sz w:val="24"/>
          <w:highlight w:val="none"/>
        </w:rPr>
      </w:pPr>
      <w:r>
        <w:rPr>
          <w:rFonts w:hint="eastAsia"/>
          <w:sz w:val="24"/>
          <w:highlight w:val="none"/>
        </w:rPr>
        <w:t xml:space="preserve">投 标 人 </w:t>
      </w:r>
      <w:r>
        <w:rPr>
          <w:rFonts w:hint="eastAsia" w:ascii="宋体" w:hAnsi="宋体"/>
          <w:sz w:val="24"/>
          <w:highlight w:val="none"/>
        </w:rPr>
        <w:t>：</w:t>
      </w:r>
      <w:r>
        <w:rPr>
          <w:rFonts w:hint="eastAsia" w:ascii="宋体" w:hAnsi="宋体"/>
          <w:sz w:val="24"/>
          <w:highlight w:val="none"/>
          <w:u w:val="single"/>
        </w:rPr>
        <w:t xml:space="preserve">           </w:t>
      </w:r>
      <w:r>
        <w:rPr>
          <w:rFonts w:hint="eastAsia"/>
          <w:sz w:val="24"/>
          <w:highlight w:val="none"/>
        </w:rPr>
        <w:t>(盖</w:t>
      </w:r>
      <w:r>
        <w:rPr>
          <w:rFonts w:hint="eastAsia"/>
          <w:sz w:val="24"/>
          <w:highlight w:val="none"/>
          <w:lang w:val="en-US" w:eastAsia="zh-CN"/>
        </w:rPr>
        <w:t>单位</w:t>
      </w:r>
      <w:r>
        <w:rPr>
          <w:rFonts w:hint="eastAsia"/>
          <w:sz w:val="24"/>
          <w:highlight w:val="none"/>
        </w:rPr>
        <w:t>章)</w:t>
      </w:r>
    </w:p>
    <w:p w14:paraId="574B1EDC">
      <w:pPr>
        <w:spacing w:line="480" w:lineRule="exact"/>
        <w:jc w:val="right"/>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（签字）</w:t>
      </w:r>
    </w:p>
    <w:p w14:paraId="5D0F3D84">
      <w:pPr>
        <w:autoSpaceDE w:val="0"/>
        <w:autoSpaceDN w:val="0"/>
        <w:adjustRightInd w:val="0"/>
        <w:spacing w:line="480" w:lineRule="exact"/>
        <w:jc w:val="right"/>
        <w:rPr>
          <w:sz w:val="24"/>
          <w:szCs w:val="24"/>
          <w:highlight w:val="none"/>
        </w:rPr>
      </w:pPr>
      <w:r>
        <w:rPr>
          <w:sz w:val="24"/>
          <w:szCs w:val="24"/>
          <w:highlight w:val="none"/>
        </w:rPr>
        <w:t>日期：</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60CD042E">
      <w:pPr>
        <w:autoSpaceDE w:val="0"/>
        <w:autoSpaceDN w:val="0"/>
        <w:adjustRightInd w:val="0"/>
        <w:spacing w:line="700" w:lineRule="exact"/>
        <w:jc w:val="center"/>
        <w:rPr>
          <w:b/>
          <w:sz w:val="32"/>
          <w:szCs w:val="32"/>
          <w:highlight w:val="none"/>
        </w:rPr>
      </w:pPr>
    </w:p>
    <w:p w14:paraId="5356905B">
      <w:pPr>
        <w:jc w:val="center"/>
        <w:outlineLvl w:val="1"/>
        <w:rPr>
          <w:b/>
          <w:sz w:val="32"/>
          <w:szCs w:val="32"/>
          <w:highlight w:val="none"/>
        </w:rPr>
      </w:pPr>
      <w:r>
        <w:rPr>
          <w:rFonts w:hint="eastAsia"/>
          <w:b/>
          <w:sz w:val="30"/>
          <w:szCs w:val="30"/>
          <w:highlight w:val="none"/>
        </w:rPr>
        <w:br w:type="page"/>
      </w:r>
      <w:r>
        <w:rPr>
          <w:rFonts w:hint="eastAsia"/>
          <w:b/>
          <w:sz w:val="30"/>
          <w:szCs w:val="30"/>
          <w:highlight w:val="none"/>
          <w:lang w:val="en-US" w:eastAsia="zh-CN"/>
        </w:rPr>
        <w:t>九</w:t>
      </w:r>
      <w:r>
        <w:rPr>
          <w:rFonts w:hint="eastAsia"/>
          <w:b/>
          <w:sz w:val="30"/>
          <w:szCs w:val="30"/>
          <w:highlight w:val="none"/>
        </w:rPr>
        <w:t>、</w:t>
      </w:r>
      <w:r>
        <w:rPr>
          <w:rFonts w:hint="eastAsia"/>
          <w:b/>
          <w:sz w:val="32"/>
          <w:szCs w:val="32"/>
          <w:highlight w:val="none"/>
        </w:rPr>
        <w:t>投标人声明</w:t>
      </w:r>
    </w:p>
    <w:p w14:paraId="48D9F5F6">
      <w:pPr>
        <w:widowControl/>
        <w:snapToGrid w:val="0"/>
        <w:spacing w:line="440" w:lineRule="exact"/>
        <w:jc w:val="center"/>
        <w:rPr>
          <w:rFonts w:ascii="宋体" w:hAnsi="宋体" w:cs="宋体"/>
          <w:kern w:val="0"/>
          <w:sz w:val="24"/>
          <w:highlight w:val="none"/>
        </w:rPr>
      </w:pPr>
      <w:r>
        <w:rPr>
          <w:rFonts w:ascii="宋体" w:hAnsi="宋体" w:cs="宋体"/>
          <w:kern w:val="0"/>
          <w:sz w:val="24"/>
          <w:highlight w:val="none"/>
        </w:rPr>
        <w:t>关于遵守招标文件和履行</w:t>
      </w:r>
      <w:r>
        <w:rPr>
          <w:rFonts w:hint="eastAsia" w:ascii="宋体" w:hAnsi="宋体" w:cs="宋体"/>
          <w:kern w:val="0"/>
          <w:sz w:val="24"/>
          <w:highlight w:val="none"/>
        </w:rPr>
        <w:t>中标</w:t>
      </w:r>
      <w:r>
        <w:rPr>
          <w:rFonts w:ascii="宋体" w:hAnsi="宋体" w:cs="宋体"/>
          <w:kern w:val="0"/>
          <w:sz w:val="24"/>
          <w:highlight w:val="none"/>
        </w:rPr>
        <w:t>合同的声明</w:t>
      </w:r>
    </w:p>
    <w:p w14:paraId="3F9CE9FE">
      <w:pPr>
        <w:widowControl/>
        <w:snapToGrid w:val="0"/>
        <w:spacing w:line="440" w:lineRule="exact"/>
        <w:jc w:val="left"/>
        <w:rPr>
          <w:rFonts w:ascii="宋体" w:hAnsi="宋体" w:cs="宋体"/>
          <w:kern w:val="0"/>
          <w:sz w:val="24"/>
          <w:highlight w:val="none"/>
        </w:rPr>
      </w:pPr>
      <w:r>
        <w:rPr>
          <w:rFonts w:ascii="宋体" w:hAnsi="宋体" w:cs="宋体"/>
          <w:kern w:val="0"/>
          <w:sz w:val="24"/>
          <w:highlight w:val="none"/>
        </w:rPr>
        <w:t>本招标项目招标人及招标监管机构：</w:t>
      </w:r>
    </w:p>
    <w:p w14:paraId="7201D3FB">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本公司就参加</w:t>
      </w:r>
      <w:r>
        <w:rPr>
          <w:rFonts w:hint="eastAsia" w:ascii="宋体" w:hAnsi="宋体" w:cs="宋体"/>
          <w:kern w:val="0"/>
          <w:sz w:val="24"/>
          <w:highlight w:val="none"/>
          <w:u w:val="single"/>
        </w:rPr>
        <w:t>              </w:t>
      </w:r>
      <w:r>
        <w:rPr>
          <w:rFonts w:hint="eastAsia" w:ascii="宋体" w:hAnsi="宋体" w:cs="宋体"/>
          <w:spacing w:val="15"/>
          <w:kern w:val="0"/>
          <w:sz w:val="24"/>
          <w:highlight w:val="none"/>
        </w:rPr>
        <w:t>的投标工作，作出郑重声明：</w:t>
      </w:r>
    </w:p>
    <w:p w14:paraId="74CBCB5D">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一、保证按照《中华人民共和国招标投标法》</w:t>
      </w:r>
      <w:r>
        <w:rPr>
          <w:rFonts w:hint="default" w:ascii="宋体" w:hAnsi="宋体" w:cs="宋体"/>
          <w:spacing w:val="15"/>
          <w:kern w:val="0"/>
          <w:sz w:val="24"/>
          <w:highlight w:val="none"/>
          <w:lang w:val="en-US"/>
        </w:rPr>
        <w:t>及其</w:t>
      </w:r>
      <w:r>
        <w:rPr>
          <w:rFonts w:hint="eastAsia" w:ascii="宋体" w:hAnsi="宋体" w:cs="宋体"/>
          <w:spacing w:val="15"/>
          <w:kern w:val="0"/>
          <w:sz w:val="24"/>
          <w:highlight w:val="none"/>
        </w:rPr>
        <w:t>实施条例的规定参加投标，所提供的一切材料都是真实、有效、合法的；保证投标文件不与其他投标人的投标文件由同一电子设备编制、打包加密或者上传（以评标报告认定为准）；保证不委托其他单位或个人办理投标事宜（以评标报告认定为准）；保证不让任何单位和个人挂靠；保证不发生围标串标行为；保证不进行恶意异议和投诉。</w:t>
      </w:r>
    </w:p>
    <w:p w14:paraId="04FCB98D">
      <w:pPr>
        <w:widowControl/>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二、若成为本项目的中标人，我公司将严格遵守招标文件和履行中标合同的下列要求：</w:t>
      </w:r>
    </w:p>
    <w:p w14:paraId="564BCA0A">
      <w:pPr>
        <w:widowControl/>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1、订立合同：在招标文件规定的限期内与招标人订立中标合同。</w:t>
      </w:r>
    </w:p>
    <w:p w14:paraId="0799C685">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2、本项目拟派项目总监理工程师，如需同时担任多项建设工程监理合同的总监理工程师时，已取得建设单位书面同意，且担任总监理工程师项目不超过三项。</w:t>
      </w:r>
    </w:p>
    <w:p w14:paraId="74AA63D5">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3、本项目投入的工作人员均为本公司工作人员。</w:t>
      </w:r>
    </w:p>
    <w:p w14:paraId="64CD0BD3">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4、本公司承诺，中标后严格执行安全生产相关管理规定。</w:t>
      </w:r>
    </w:p>
    <w:p w14:paraId="60BF2AD9">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5、在签订合同时不向招标人提出附加条件。</w:t>
      </w:r>
    </w:p>
    <w:p w14:paraId="7C491728">
      <w:pPr>
        <w:widowControl/>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6、按照招标文件要求提交履约保证金。</w:t>
      </w:r>
    </w:p>
    <w:p w14:paraId="1F8F0EC9">
      <w:pPr>
        <w:widowControl/>
        <w:shd w:val="clear" w:color="auto" w:fill="FFFFFF"/>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三、如不能履行上述承诺，本公司愿意承担由此带来的法律后果，并自愿无条件地接受招标人和建设行政主管部门的以下处理：</w:t>
      </w:r>
    </w:p>
    <w:p w14:paraId="3758CEC0">
      <w:pPr>
        <w:widowControl/>
        <w:shd w:val="clear" w:color="auto" w:fill="FFFFFF"/>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1、取消中标资格或者解除合同；</w:t>
      </w:r>
    </w:p>
    <w:p w14:paraId="0E517101">
      <w:pPr>
        <w:widowControl/>
        <w:shd w:val="clear" w:color="auto" w:fill="FFFFFF"/>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2、由招标人没收投标保证金或合同履约保证金；</w:t>
      </w:r>
    </w:p>
    <w:p w14:paraId="3801C6A3">
      <w:pPr>
        <w:widowControl/>
        <w:shd w:val="clear" w:color="auto" w:fill="FFFFFF"/>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3、两年内（或五年内）停止参与茂名市财政资金建设工程的投标；</w:t>
      </w:r>
    </w:p>
    <w:p w14:paraId="53B7E337">
      <w:pPr>
        <w:widowControl/>
        <w:shd w:val="clear" w:color="auto" w:fill="FFFFFF"/>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4、对不良行为予以记录，并进行公告；</w:t>
      </w:r>
    </w:p>
    <w:p w14:paraId="446F0FE1">
      <w:pPr>
        <w:widowControl/>
        <w:shd w:val="clear" w:color="auto" w:fill="FFFFFF"/>
        <w:snapToGrid w:val="0"/>
        <w:spacing w:line="38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5、报茂名市建设行政主管部门备案，并提请上级相关行政主管部门依法进行处罚；</w:t>
      </w:r>
    </w:p>
    <w:p w14:paraId="5B99A273">
      <w:pPr>
        <w:widowControl/>
        <w:shd w:val="clear" w:color="auto" w:fill="FFFFFF"/>
        <w:snapToGrid w:val="0"/>
        <w:spacing w:line="38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6、其他行政处理决定。</w:t>
      </w:r>
    </w:p>
    <w:p w14:paraId="0799F588">
      <w:pPr>
        <w:widowControl/>
        <w:shd w:val="clear" w:color="auto" w:fill="FFFFFF"/>
        <w:snapToGrid w:val="0"/>
        <w:spacing w:line="44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特此声明</w:t>
      </w:r>
      <w:r>
        <w:rPr>
          <w:rFonts w:hint="eastAsia" w:ascii="宋体" w:hAnsi="宋体" w:cs="宋体"/>
          <w:spacing w:val="15"/>
          <w:kern w:val="0"/>
          <w:sz w:val="24"/>
          <w:highlight w:val="none"/>
          <w:lang w:eastAsia="zh-CN"/>
        </w:rPr>
        <w:t>。</w:t>
      </w:r>
    </w:p>
    <w:p w14:paraId="3F32E7AD">
      <w:pPr>
        <w:widowControl/>
        <w:shd w:val="clear" w:color="auto" w:fill="FFFFFF"/>
        <w:snapToGrid w:val="0"/>
        <w:spacing w:line="440" w:lineRule="exact"/>
        <w:ind w:firstLine="540" w:firstLineChars="200"/>
        <w:jc w:val="right"/>
        <w:rPr>
          <w:rFonts w:ascii="宋体" w:hAnsi="宋体" w:cs="宋体"/>
          <w:spacing w:val="15"/>
          <w:kern w:val="0"/>
          <w:sz w:val="24"/>
          <w:highlight w:val="none"/>
        </w:rPr>
      </w:pPr>
      <w:r>
        <w:rPr>
          <w:rFonts w:hint="eastAsia" w:ascii="宋体" w:hAnsi="宋体" w:cs="宋体"/>
          <w:spacing w:val="15"/>
          <w:kern w:val="0"/>
          <w:sz w:val="24"/>
          <w:highlight w:val="none"/>
        </w:rPr>
        <w:t>声明企业</w:t>
      </w:r>
      <w:r>
        <w:rPr>
          <w:rFonts w:hint="eastAsia" w:ascii="宋体" w:hAnsi="宋体" w:cs="宋体"/>
          <w:spacing w:val="15"/>
          <w:kern w:val="0"/>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cs="宋体"/>
          <w:spacing w:val="15"/>
          <w:kern w:val="0"/>
          <w:sz w:val="24"/>
          <w:highlight w:val="none"/>
        </w:rPr>
        <w:t>(</w:t>
      </w:r>
      <w:r>
        <w:rPr>
          <w:rFonts w:hint="eastAsia" w:ascii="宋体" w:hAnsi="宋体" w:cs="宋体"/>
          <w:spacing w:val="15"/>
          <w:kern w:val="0"/>
          <w:sz w:val="24"/>
          <w:highlight w:val="none"/>
          <w:lang w:val="en-US" w:eastAsia="zh-CN"/>
        </w:rPr>
        <w:t>盖单位章</w:t>
      </w:r>
      <w:r>
        <w:rPr>
          <w:rFonts w:ascii="宋体" w:hAnsi="宋体" w:cs="宋体"/>
          <w:spacing w:val="15"/>
          <w:kern w:val="0"/>
          <w:sz w:val="24"/>
          <w:highlight w:val="none"/>
        </w:rPr>
        <w:t>)</w:t>
      </w:r>
    </w:p>
    <w:p w14:paraId="490C47B5">
      <w:pPr>
        <w:spacing w:line="600" w:lineRule="exact"/>
        <w:jc w:val="right"/>
        <w:rPr>
          <w:rFonts w:hint="eastAsia" w:ascii="宋体" w:hAnsi="宋体" w:cs="宋体"/>
          <w:spacing w:val="15"/>
          <w:kern w:val="0"/>
          <w:sz w:val="24"/>
          <w:highlight w:val="none"/>
        </w:rPr>
      </w:pPr>
      <w:r>
        <w:rPr>
          <w:rFonts w:hint="eastAsia" w:ascii="宋体" w:hAnsi="宋体" w:cs="宋体"/>
          <w:spacing w:val="15"/>
          <w:kern w:val="0"/>
          <w:sz w:val="24"/>
          <w:highlight w:val="none"/>
        </w:rPr>
        <w:t>法定代表人：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（签字）</w:t>
      </w:r>
    </w:p>
    <w:p w14:paraId="477D840C">
      <w:pPr>
        <w:widowControl/>
        <w:shd w:val="clear" w:color="auto" w:fill="FFFFFF"/>
        <w:snapToGrid w:val="0"/>
        <w:spacing w:line="440" w:lineRule="exact"/>
        <w:ind w:firstLine="480" w:firstLineChars="200"/>
        <w:jc w:val="right"/>
        <w:rPr>
          <w:rFonts w:ascii="宋体" w:hAnsi="宋体" w:cs="宋体"/>
          <w:spacing w:val="15"/>
          <w:kern w:val="0"/>
          <w:sz w:val="24"/>
          <w:highlight w:val="none"/>
        </w:rPr>
      </w:pPr>
      <w:r>
        <w:rPr>
          <w:sz w:val="24"/>
          <w:szCs w:val="24"/>
          <w:highlight w:val="none"/>
        </w:rPr>
        <w:t>日期：</w:t>
      </w:r>
      <w:r>
        <w:rPr>
          <w:rFonts w:hint="eastAsia" w:ascii="宋体" w:hAnsi="宋体" w:cs="宋体"/>
          <w:spacing w:val="15"/>
          <w:kern w:val="0"/>
          <w:sz w:val="24"/>
          <w:highlight w:val="none"/>
        </w:rPr>
        <w:t>年  月  日</w:t>
      </w:r>
    </w:p>
    <w:p w14:paraId="4E2083C2">
      <w:pPr>
        <w:pStyle w:val="3"/>
        <w:keepNext w:val="0"/>
        <w:keepLines w:val="0"/>
        <w:numPr>
          <w:ilvl w:val="1"/>
          <w:numId w:val="0"/>
        </w:numPr>
        <w:tabs>
          <w:tab w:val="clear" w:pos="576"/>
        </w:tabs>
        <w:ind w:left="0" w:firstLine="0"/>
        <w:jc w:val="center"/>
        <w:rPr>
          <w:rFonts w:hint="eastAsia" w:ascii="Times New Roman" w:hAnsi="Times New Roman" w:eastAsia="宋体" w:cs="Times New Roman"/>
          <w:b/>
          <w:bCs w:val="0"/>
          <w:kern w:val="2"/>
          <w:sz w:val="30"/>
          <w:szCs w:val="30"/>
          <w:highlight w:val="none"/>
        </w:rPr>
      </w:pPr>
      <w:r>
        <w:rPr>
          <w:sz w:val="18"/>
          <w:szCs w:val="18"/>
          <w:highlight w:val="none"/>
        </w:rPr>
        <w:br w:type="page"/>
      </w:r>
      <w:r>
        <w:rPr>
          <w:rFonts w:hint="eastAsia" w:ascii="Times New Roman" w:hAnsi="Times New Roman" w:eastAsia="宋体" w:cs="Times New Roman"/>
          <w:b/>
          <w:bCs w:val="0"/>
          <w:kern w:val="2"/>
          <w:sz w:val="30"/>
          <w:szCs w:val="30"/>
          <w:highlight w:val="none"/>
          <w:lang w:val="en-US" w:eastAsia="zh-CN"/>
        </w:rPr>
        <w:t>十</w:t>
      </w:r>
      <w:r>
        <w:rPr>
          <w:rFonts w:hint="eastAsia" w:ascii="Times New Roman" w:hAnsi="Times New Roman" w:eastAsia="宋体" w:cs="Times New Roman"/>
          <w:b/>
          <w:bCs w:val="0"/>
          <w:kern w:val="2"/>
          <w:sz w:val="30"/>
          <w:szCs w:val="30"/>
          <w:highlight w:val="none"/>
        </w:rPr>
        <w:t>、项目总监理工程师任职承诺书</w:t>
      </w:r>
    </w:p>
    <w:p w14:paraId="6523254F">
      <w:pPr>
        <w:topLinePunct/>
        <w:spacing w:after="240" w:line="360" w:lineRule="auto"/>
        <w:rPr>
          <w:rFonts w:ascii="宋体" w:hAnsi="宋体"/>
          <w:b/>
          <w:snapToGrid w:val="0"/>
          <w:spacing w:val="4"/>
          <w:sz w:val="24"/>
          <w:highlight w:val="none"/>
        </w:rPr>
      </w:pPr>
      <w:r>
        <w:rPr>
          <w:rFonts w:hint="eastAsia" w:ascii="宋体" w:hAnsi="宋体"/>
          <w:b/>
          <w:snapToGrid w:val="0"/>
          <w:spacing w:val="4"/>
          <w:sz w:val="24"/>
          <w:highlight w:val="none"/>
        </w:rPr>
        <w:t>致：</w:t>
      </w:r>
      <w:r>
        <w:rPr>
          <w:rFonts w:hint="eastAsia" w:ascii="宋体" w:hAnsi="宋体" w:cs="宋体"/>
          <w:sz w:val="24"/>
          <w:szCs w:val="24"/>
          <w:highlight w:val="none"/>
          <w:u w:val="single"/>
          <w:lang w:bidi="ar"/>
        </w:rPr>
        <w:t xml:space="preserve">     （招标人名称）       </w:t>
      </w:r>
    </w:p>
    <w:p w14:paraId="05902741">
      <w:pPr>
        <w:topLinePunct/>
        <w:spacing w:line="360" w:lineRule="auto"/>
        <w:ind w:firstLine="496" w:firstLineChars="200"/>
        <w:rPr>
          <w:rFonts w:hint="eastAsia" w:ascii="宋体" w:hAnsi="宋体"/>
          <w:snapToGrid w:val="0"/>
          <w:spacing w:val="4"/>
          <w:sz w:val="24"/>
          <w:highlight w:val="none"/>
        </w:rPr>
      </w:pPr>
      <w:r>
        <w:rPr>
          <w:rFonts w:hint="eastAsia" w:ascii="宋体" w:hAnsi="宋体"/>
          <w:snapToGrid w:val="0"/>
          <w:spacing w:val="4"/>
          <w:sz w:val="24"/>
          <w:highlight w:val="none"/>
        </w:rPr>
        <w:t>一旦我方中标，我方愿意对本项目拟投入的总监理工程师做出如下的任职承诺：</w:t>
      </w:r>
    </w:p>
    <w:p w14:paraId="09607872">
      <w:pPr>
        <w:topLinePunct/>
        <w:spacing w:line="360" w:lineRule="auto"/>
        <w:ind w:firstLine="496" w:firstLineChars="200"/>
        <w:rPr>
          <w:rFonts w:hint="eastAsia" w:ascii="宋体" w:hAnsi="宋体"/>
          <w:snapToGrid w:val="0"/>
          <w:spacing w:val="4"/>
          <w:sz w:val="24"/>
          <w:highlight w:val="none"/>
        </w:rPr>
      </w:pPr>
      <w:r>
        <w:rPr>
          <w:rFonts w:hint="eastAsia" w:ascii="宋体" w:hAnsi="宋体"/>
          <w:snapToGrid w:val="0"/>
          <w:spacing w:val="4"/>
          <w:sz w:val="24"/>
          <w:highlight w:val="none"/>
        </w:rPr>
        <w:t>若我方中标，我方承诺拟投入本项目的总监理工程师在“广东省建筑市场监管公共服务平台” 、“广州公共资源交易平台系统”中未被锁定且在全国范围内没有其他在建项目 (含在其他工程投标报名的项目和中标公示期内的项目)，如有虚假，我方自愿放弃中标资格并承担相应责任。</w:t>
      </w:r>
    </w:p>
    <w:p w14:paraId="2B903793">
      <w:pPr>
        <w:topLinePunct/>
        <w:spacing w:line="360" w:lineRule="auto"/>
        <w:ind w:firstLine="496" w:firstLineChars="200"/>
        <w:rPr>
          <w:rFonts w:hint="eastAsia" w:ascii="宋体" w:hAnsi="宋体"/>
          <w:snapToGrid w:val="0"/>
          <w:spacing w:val="4"/>
          <w:sz w:val="24"/>
          <w:highlight w:val="none"/>
        </w:rPr>
      </w:pPr>
      <w:r>
        <w:rPr>
          <w:rFonts w:hint="eastAsia" w:ascii="宋体" w:hAnsi="宋体"/>
          <w:snapToGrid w:val="0"/>
          <w:spacing w:val="4"/>
          <w:sz w:val="24"/>
          <w:highlight w:val="none"/>
        </w:rPr>
        <w:t>若我方中标，我方承诺，在本项目实施过程中，如发现我方拟投入的总监理工程师存在其他在建项目中任职的情况，我方自愿接受贵局按照监理合同以视同我方违背投标承诺进行违约处罚，列入贵局黑名单，</w:t>
      </w:r>
      <w:r>
        <w:rPr>
          <w:rFonts w:ascii="宋体" w:hAnsi="宋体"/>
          <w:snapToGrid w:val="0"/>
          <w:spacing w:val="4"/>
          <w:sz w:val="24"/>
          <w:highlight w:val="none"/>
        </w:rPr>
        <w:t>并暂停</w:t>
      </w:r>
      <w:r>
        <w:rPr>
          <w:rFonts w:hint="eastAsia" w:ascii="宋体" w:hAnsi="宋体"/>
          <w:snapToGrid w:val="0"/>
          <w:spacing w:val="4"/>
          <w:sz w:val="24"/>
          <w:highlight w:val="none"/>
        </w:rPr>
        <w:t>我方</w:t>
      </w:r>
      <w:r>
        <w:rPr>
          <w:rFonts w:ascii="宋体" w:hAnsi="宋体"/>
          <w:snapToGrid w:val="0"/>
          <w:spacing w:val="4"/>
          <w:sz w:val="24"/>
          <w:highlight w:val="none"/>
        </w:rPr>
        <w:t>参加省属代建项目招投标活动二年</w:t>
      </w:r>
      <w:r>
        <w:rPr>
          <w:rFonts w:hint="eastAsia" w:ascii="宋体" w:hAnsi="宋体"/>
          <w:snapToGrid w:val="0"/>
          <w:spacing w:val="4"/>
          <w:sz w:val="24"/>
          <w:highlight w:val="none"/>
        </w:rPr>
        <w:t>。</w:t>
      </w:r>
    </w:p>
    <w:p w14:paraId="014A70D1">
      <w:pPr>
        <w:topLinePunct/>
        <w:spacing w:line="360" w:lineRule="auto"/>
        <w:ind w:firstLine="496" w:firstLineChars="200"/>
        <w:rPr>
          <w:rFonts w:ascii="宋体" w:hAnsi="宋体"/>
          <w:snapToGrid w:val="0"/>
          <w:spacing w:val="4"/>
          <w:sz w:val="24"/>
          <w:highlight w:val="none"/>
        </w:rPr>
      </w:pPr>
    </w:p>
    <w:p w14:paraId="50F7BCF7">
      <w:pPr>
        <w:topLinePunct/>
        <w:spacing w:line="360" w:lineRule="auto"/>
        <w:ind w:firstLine="496" w:firstLineChars="200"/>
        <w:rPr>
          <w:rFonts w:ascii="宋体" w:hAnsi="宋体"/>
          <w:snapToGrid w:val="0"/>
          <w:spacing w:val="4"/>
          <w:sz w:val="24"/>
          <w:highlight w:val="none"/>
        </w:rPr>
      </w:pPr>
      <w:r>
        <w:rPr>
          <w:rFonts w:hint="eastAsia" w:ascii="宋体" w:hAnsi="宋体"/>
          <w:snapToGrid w:val="0"/>
          <w:spacing w:val="4"/>
          <w:sz w:val="24"/>
          <w:highlight w:val="none"/>
        </w:rPr>
        <w:t>特此承诺。</w:t>
      </w:r>
    </w:p>
    <w:p w14:paraId="15467163">
      <w:pPr>
        <w:topLinePunct/>
        <w:spacing w:line="360" w:lineRule="auto"/>
        <w:ind w:firstLine="496" w:firstLineChars="200"/>
        <w:rPr>
          <w:rFonts w:ascii="宋体" w:hAnsi="宋体"/>
          <w:snapToGrid w:val="0"/>
          <w:spacing w:val="4"/>
          <w:sz w:val="24"/>
          <w:highlight w:val="none"/>
        </w:rPr>
      </w:pPr>
    </w:p>
    <w:p w14:paraId="429DCC7C">
      <w:pPr>
        <w:topLinePunct/>
        <w:spacing w:line="360" w:lineRule="auto"/>
        <w:ind w:firstLine="496" w:firstLineChars="200"/>
        <w:rPr>
          <w:rFonts w:ascii="宋体" w:hAnsi="宋体"/>
          <w:snapToGrid w:val="0"/>
          <w:spacing w:val="4"/>
          <w:sz w:val="24"/>
          <w:highlight w:val="none"/>
        </w:rPr>
      </w:pPr>
      <w:r>
        <w:rPr>
          <w:rFonts w:hint="eastAsia" w:ascii="宋体" w:hAnsi="宋体"/>
          <w:snapToGrid w:val="0"/>
          <w:spacing w:val="4"/>
          <w:sz w:val="24"/>
          <w:highlight w:val="none"/>
        </w:rPr>
        <w:t>投  标  单  位：</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cs="宋体"/>
          <w:spacing w:val="15"/>
          <w:kern w:val="0"/>
          <w:sz w:val="24"/>
          <w:highlight w:val="none"/>
        </w:rPr>
        <w:t>(</w:t>
      </w:r>
      <w:r>
        <w:rPr>
          <w:rFonts w:hint="eastAsia" w:ascii="宋体" w:hAnsi="宋体" w:cs="宋体"/>
          <w:spacing w:val="15"/>
          <w:kern w:val="0"/>
          <w:sz w:val="24"/>
          <w:highlight w:val="none"/>
          <w:lang w:val="en-US" w:eastAsia="zh-CN"/>
        </w:rPr>
        <w:t>盖单位章</w:t>
      </w:r>
      <w:r>
        <w:rPr>
          <w:rFonts w:ascii="宋体" w:hAnsi="宋体" w:cs="宋体"/>
          <w:spacing w:val="15"/>
          <w:kern w:val="0"/>
          <w:sz w:val="24"/>
          <w:highlight w:val="none"/>
        </w:rPr>
        <w:t>)</w:t>
      </w:r>
    </w:p>
    <w:p w14:paraId="5F45FF0A">
      <w:pPr>
        <w:topLinePunct/>
        <w:spacing w:line="360" w:lineRule="auto"/>
        <w:ind w:firstLine="496" w:firstLineChars="200"/>
        <w:rPr>
          <w:rFonts w:ascii="宋体" w:hAnsi="宋体"/>
          <w:snapToGrid w:val="0"/>
          <w:spacing w:val="4"/>
          <w:sz w:val="24"/>
          <w:highlight w:val="none"/>
        </w:rPr>
      </w:pPr>
      <w:r>
        <w:rPr>
          <w:rFonts w:hint="eastAsia" w:ascii="宋体" w:hAnsi="宋体"/>
          <w:snapToGrid w:val="0"/>
          <w:spacing w:val="4"/>
          <w:sz w:val="24"/>
          <w:highlight w:val="none"/>
        </w:rPr>
        <w:t>法定代表人或委托代理人：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（签字）</w:t>
      </w:r>
    </w:p>
    <w:p w14:paraId="234238C8">
      <w:pPr>
        <w:spacing w:line="360" w:lineRule="auto"/>
        <w:rPr>
          <w:rFonts w:ascii="宋体" w:hAnsi="宋体"/>
          <w:snapToGrid w:val="0"/>
          <w:spacing w:val="4"/>
          <w:sz w:val="24"/>
          <w:highlight w:val="none"/>
        </w:rPr>
      </w:pPr>
      <w:r>
        <w:rPr>
          <w:rFonts w:hint="eastAsia" w:ascii="宋体" w:hAnsi="宋体"/>
          <w:snapToGrid w:val="0"/>
          <w:spacing w:val="4"/>
          <w:sz w:val="24"/>
          <w:highlight w:val="none"/>
        </w:rPr>
        <w:t xml:space="preserve">    日     期：     年   月   日</w:t>
      </w:r>
    </w:p>
    <w:p w14:paraId="047A3286">
      <w:pPr>
        <w:spacing w:line="360" w:lineRule="exact"/>
        <w:rPr>
          <w:sz w:val="18"/>
          <w:szCs w:val="18"/>
          <w:highlight w:val="none"/>
        </w:rPr>
      </w:pPr>
    </w:p>
    <w:p w14:paraId="78879932">
      <w:pPr>
        <w:widowControl/>
        <w:tabs>
          <w:tab w:val="left" w:pos="2775"/>
          <w:tab w:val="center" w:pos="5045"/>
        </w:tabs>
        <w:rPr>
          <w:rFonts w:ascii="宋体" w:hAnsi="宋体"/>
          <w:sz w:val="24"/>
          <w:highlight w:val="none"/>
        </w:rPr>
      </w:pPr>
      <w:r>
        <w:rPr>
          <w:sz w:val="18"/>
          <w:szCs w:val="18"/>
          <w:highlight w:val="none"/>
        </w:rPr>
        <w:br w:type="page"/>
      </w:r>
    </w:p>
    <w:p w14:paraId="2C355841">
      <w:pPr>
        <w:spacing w:line="700" w:lineRule="exact"/>
        <w:rPr>
          <w:rFonts w:ascii="宋体" w:hAnsi="宋体"/>
          <w:sz w:val="24"/>
          <w:highlight w:val="none"/>
        </w:rPr>
      </w:pPr>
    </w:p>
    <w:p w14:paraId="4720142D">
      <w:pPr>
        <w:jc w:val="center"/>
        <w:rPr>
          <w:rFonts w:hint="eastAsia" w:ascii="黑体" w:hAnsi="黑体" w:eastAsia="黑体" w:cs="黑体"/>
          <w:b/>
          <w:color w:val="auto"/>
          <w:spacing w:val="20"/>
          <w:sz w:val="48"/>
          <w:szCs w:val="48"/>
          <w:highlight w:val="none"/>
          <w:u w:val="single"/>
        </w:rPr>
      </w:pPr>
      <w:r>
        <w:rPr>
          <w:rFonts w:hint="eastAsia" w:ascii="黑体" w:hAnsi="黑体" w:eastAsia="黑体" w:cs="黑体"/>
          <w:b/>
          <w:color w:val="auto"/>
          <w:spacing w:val="20"/>
          <w:sz w:val="48"/>
          <w:szCs w:val="48"/>
          <w:highlight w:val="none"/>
          <w:u w:val="single"/>
        </w:rPr>
        <w:t>广东石油化工学院西城校区图书馆工程</w:t>
      </w:r>
    </w:p>
    <w:p w14:paraId="2FB1B52F">
      <w:pPr>
        <w:jc w:val="center"/>
        <w:rPr>
          <w:rFonts w:hint="eastAsia" w:ascii="黑体" w:hAnsi="黑体" w:eastAsia="黑体" w:cs="黑体"/>
          <w:b/>
          <w:color w:val="auto"/>
          <w:spacing w:val="20"/>
          <w:sz w:val="48"/>
          <w:szCs w:val="48"/>
          <w:highlight w:val="none"/>
          <w:u w:val="single"/>
          <w:lang w:eastAsia="zh-CN"/>
        </w:rPr>
      </w:pPr>
      <w:r>
        <w:rPr>
          <w:rFonts w:hint="eastAsia" w:ascii="黑体" w:hAnsi="黑体" w:eastAsia="黑体" w:cs="黑体"/>
          <w:b/>
          <w:color w:val="auto"/>
          <w:spacing w:val="20"/>
          <w:sz w:val="48"/>
          <w:szCs w:val="48"/>
          <w:highlight w:val="none"/>
          <w:u w:val="single"/>
        </w:rPr>
        <w:t>项目施工</w:t>
      </w:r>
      <w:r>
        <w:rPr>
          <w:rFonts w:hint="eastAsia" w:ascii="黑体" w:hAnsi="黑体" w:eastAsia="黑体" w:cs="黑体"/>
          <w:b/>
          <w:color w:val="auto"/>
          <w:spacing w:val="20"/>
          <w:sz w:val="48"/>
          <w:szCs w:val="48"/>
          <w:highlight w:val="none"/>
          <w:u w:val="single"/>
          <w:lang w:val="en-US" w:eastAsia="zh-CN"/>
        </w:rPr>
        <w:t>监理</w:t>
      </w:r>
    </w:p>
    <w:p w14:paraId="577973DC">
      <w:pPr>
        <w:spacing w:line="800" w:lineRule="exact"/>
        <w:jc w:val="center"/>
        <w:rPr>
          <w:rFonts w:ascii="宋体" w:hAnsi="宋体"/>
          <w:b/>
          <w:sz w:val="52"/>
          <w:szCs w:val="52"/>
          <w:highlight w:val="none"/>
        </w:rPr>
      </w:pPr>
    </w:p>
    <w:p w14:paraId="4F7FD802">
      <w:pPr>
        <w:spacing w:line="700" w:lineRule="exact"/>
        <w:jc w:val="center"/>
        <w:rPr>
          <w:b/>
          <w:sz w:val="48"/>
          <w:szCs w:val="48"/>
          <w:highlight w:val="none"/>
        </w:rPr>
      </w:pPr>
    </w:p>
    <w:p w14:paraId="020134E3">
      <w:pPr>
        <w:spacing w:line="700" w:lineRule="exact"/>
        <w:jc w:val="center"/>
        <w:rPr>
          <w:b/>
          <w:sz w:val="48"/>
          <w:szCs w:val="48"/>
          <w:highlight w:val="none"/>
        </w:rPr>
      </w:pPr>
    </w:p>
    <w:p w14:paraId="5E5BE908">
      <w:pPr>
        <w:spacing w:line="700" w:lineRule="exact"/>
        <w:jc w:val="center"/>
        <w:rPr>
          <w:b/>
          <w:sz w:val="48"/>
          <w:szCs w:val="48"/>
          <w:highlight w:val="none"/>
        </w:rPr>
      </w:pPr>
    </w:p>
    <w:p w14:paraId="7FF26370">
      <w:pPr>
        <w:spacing w:line="700" w:lineRule="exact"/>
        <w:ind w:firstLine="0" w:firstLineChars="0"/>
        <w:jc w:val="center"/>
        <w:rPr>
          <w:rFonts w:ascii="黑体" w:hAnsi="宋体" w:eastAsia="黑体"/>
          <w:sz w:val="48"/>
          <w:szCs w:val="48"/>
          <w:highlight w:val="none"/>
        </w:rPr>
      </w:pPr>
      <w:r>
        <w:rPr>
          <w:rFonts w:hint="eastAsia" w:ascii="黑体" w:hAnsi="黑体" w:eastAsia="黑体" w:cs="黑体"/>
          <w:b/>
          <w:sz w:val="48"/>
          <w:szCs w:val="48"/>
          <w:highlight w:val="none"/>
        </w:rPr>
        <w:t>（</w:t>
      </w:r>
      <w:r>
        <w:rPr>
          <w:rFonts w:hint="eastAsia" w:ascii="黑体" w:hAnsi="黑体" w:eastAsia="黑体" w:cs="黑体"/>
          <w:sz w:val="48"/>
          <w:szCs w:val="48"/>
          <w:highlight w:val="none"/>
        </w:rPr>
        <w:t>第二册</w:t>
      </w:r>
      <w:r>
        <w:rPr>
          <w:rFonts w:hint="eastAsia" w:ascii="黑体" w:hAnsi="黑体" w:eastAsia="黑体" w:cs="黑体"/>
          <w:b/>
          <w:sz w:val="48"/>
          <w:szCs w:val="48"/>
          <w:highlight w:val="none"/>
        </w:rPr>
        <w:t>）</w:t>
      </w:r>
    </w:p>
    <w:p w14:paraId="5B4C53E5">
      <w:pPr>
        <w:spacing w:beforeLines="50" w:line="460" w:lineRule="exact"/>
        <w:rPr>
          <w:rFonts w:ascii="宋体" w:hAnsi="宋体"/>
          <w:sz w:val="30"/>
          <w:szCs w:val="30"/>
          <w:highlight w:val="none"/>
        </w:rPr>
      </w:pPr>
    </w:p>
    <w:p w14:paraId="35AB2355">
      <w:pPr>
        <w:spacing w:beforeLines="50" w:line="460" w:lineRule="exact"/>
        <w:rPr>
          <w:rFonts w:ascii="宋体" w:hAnsi="宋体"/>
          <w:sz w:val="30"/>
          <w:szCs w:val="30"/>
          <w:highlight w:val="none"/>
        </w:rPr>
      </w:pPr>
    </w:p>
    <w:p w14:paraId="6ACA1628">
      <w:pPr>
        <w:spacing w:beforeLines="50" w:line="800" w:lineRule="exact"/>
        <w:ind w:firstLine="0" w:firstLineChars="0"/>
        <w:jc w:val="center"/>
        <w:rPr>
          <w:rFonts w:ascii="黑体" w:eastAsia="黑体"/>
          <w:sz w:val="52"/>
          <w:szCs w:val="52"/>
          <w:highlight w:val="none"/>
        </w:rPr>
      </w:pPr>
      <w:r>
        <w:rPr>
          <w:rFonts w:hint="eastAsia" w:ascii="黑体" w:eastAsia="黑体"/>
          <w:sz w:val="48"/>
          <w:szCs w:val="48"/>
          <w:highlight w:val="none"/>
        </w:rPr>
        <w:t>技术投标文件</w:t>
      </w:r>
    </w:p>
    <w:p w14:paraId="1AB86F50">
      <w:pPr>
        <w:spacing w:line="360" w:lineRule="auto"/>
        <w:rPr>
          <w:b/>
          <w:spacing w:val="160"/>
          <w:sz w:val="72"/>
          <w:szCs w:val="72"/>
          <w:highlight w:val="none"/>
        </w:rPr>
      </w:pPr>
    </w:p>
    <w:p w14:paraId="5764176E">
      <w:pPr>
        <w:spacing w:line="360" w:lineRule="auto"/>
        <w:ind w:firstLine="0" w:firstLineChars="0"/>
        <w:jc w:val="center"/>
        <w:rPr>
          <w:spacing w:val="6"/>
          <w:sz w:val="48"/>
          <w:szCs w:val="48"/>
          <w:highlight w:val="none"/>
        </w:rPr>
      </w:pPr>
      <w:r>
        <w:rPr>
          <w:rFonts w:hint="eastAsia" w:ascii="黑体" w:hAnsi="宋体" w:eastAsia="黑体"/>
          <w:sz w:val="48"/>
          <w:szCs w:val="48"/>
          <w:highlight w:val="none"/>
        </w:rPr>
        <w:t>（正本）/（副本）</w:t>
      </w:r>
    </w:p>
    <w:p w14:paraId="55E44B7E">
      <w:pPr>
        <w:spacing w:line="360" w:lineRule="auto"/>
        <w:jc w:val="center"/>
        <w:rPr>
          <w:spacing w:val="6"/>
          <w:sz w:val="44"/>
          <w:szCs w:val="44"/>
          <w:highlight w:val="none"/>
        </w:rPr>
      </w:pPr>
    </w:p>
    <w:p w14:paraId="2A8B1438">
      <w:pPr>
        <w:spacing w:line="360" w:lineRule="auto"/>
        <w:rPr>
          <w:spacing w:val="6"/>
          <w:sz w:val="28"/>
          <w:highlight w:val="none"/>
        </w:rPr>
      </w:pPr>
    </w:p>
    <w:p w14:paraId="301B92D7">
      <w:pPr>
        <w:spacing w:line="360" w:lineRule="auto"/>
        <w:rPr>
          <w:spacing w:val="6"/>
          <w:sz w:val="28"/>
          <w:highlight w:val="none"/>
        </w:rPr>
      </w:pPr>
    </w:p>
    <w:p w14:paraId="28358775">
      <w:pPr>
        <w:spacing w:line="360" w:lineRule="auto"/>
        <w:rPr>
          <w:spacing w:val="6"/>
          <w:sz w:val="28"/>
          <w:highlight w:val="none"/>
        </w:rPr>
      </w:pPr>
    </w:p>
    <w:p w14:paraId="51BFFE29">
      <w:pPr>
        <w:tabs>
          <w:tab w:val="left" w:pos="0"/>
          <w:tab w:val="left" w:pos="1155"/>
          <w:tab w:val="left" w:pos="1470"/>
          <w:tab w:val="left" w:pos="2977"/>
        </w:tabs>
        <w:spacing w:line="480" w:lineRule="exact"/>
        <w:ind w:left="0" w:leftChars="0" w:firstLine="0" w:firstLineChars="0"/>
        <w:jc w:val="center"/>
        <w:rPr>
          <w:rFonts w:ascii="宋体" w:hAnsi="宋体"/>
          <w:sz w:val="48"/>
          <w:szCs w:val="48"/>
          <w:highlight w:val="none"/>
        </w:rPr>
      </w:pPr>
      <w:r>
        <w:rPr>
          <w:rFonts w:hint="eastAsia" w:ascii="黑体" w:eastAsia="黑体"/>
          <w:spacing w:val="6"/>
          <w:sz w:val="48"/>
          <w:szCs w:val="48"/>
          <w:highlight w:val="none"/>
        </w:rPr>
        <w:t>日期：</w:t>
      </w:r>
      <w:r>
        <w:rPr>
          <w:rFonts w:hint="eastAsia" w:ascii="黑体" w:eastAsia="黑体"/>
          <w:spacing w:val="6"/>
          <w:sz w:val="48"/>
          <w:szCs w:val="48"/>
          <w:highlight w:val="none"/>
          <w:u w:val="single"/>
        </w:rPr>
        <w:t xml:space="preserve">    </w:t>
      </w:r>
      <w:r>
        <w:rPr>
          <w:rFonts w:hint="eastAsia" w:ascii="黑体" w:eastAsia="黑体"/>
          <w:spacing w:val="6"/>
          <w:sz w:val="48"/>
          <w:szCs w:val="48"/>
          <w:highlight w:val="none"/>
        </w:rPr>
        <w:t>年</w:t>
      </w:r>
      <w:r>
        <w:rPr>
          <w:rFonts w:hint="eastAsia" w:ascii="黑体" w:eastAsia="黑体"/>
          <w:spacing w:val="6"/>
          <w:sz w:val="48"/>
          <w:szCs w:val="48"/>
          <w:highlight w:val="none"/>
          <w:u w:val="single"/>
        </w:rPr>
        <w:t xml:space="preserve">   </w:t>
      </w:r>
      <w:r>
        <w:rPr>
          <w:rFonts w:hint="eastAsia" w:ascii="黑体" w:eastAsia="黑体"/>
          <w:spacing w:val="6"/>
          <w:sz w:val="48"/>
          <w:szCs w:val="48"/>
          <w:highlight w:val="none"/>
        </w:rPr>
        <w:t>月</w:t>
      </w:r>
      <w:r>
        <w:rPr>
          <w:rFonts w:hint="eastAsia" w:ascii="黑体" w:eastAsia="黑体"/>
          <w:spacing w:val="6"/>
          <w:sz w:val="48"/>
          <w:szCs w:val="48"/>
          <w:highlight w:val="none"/>
          <w:u w:val="single"/>
        </w:rPr>
        <w:t xml:space="preserve">   </w:t>
      </w:r>
      <w:r>
        <w:rPr>
          <w:rFonts w:hint="eastAsia" w:ascii="黑体" w:eastAsia="黑体"/>
          <w:spacing w:val="6"/>
          <w:sz w:val="48"/>
          <w:szCs w:val="48"/>
          <w:highlight w:val="none"/>
        </w:rPr>
        <w:t>日</w:t>
      </w:r>
    </w:p>
    <w:p w14:paraId="0CB8AF01">
      <w:pPr>
        <w:spacing w:line="360" w:lineRule="auto"/>
        <w:jc w:val="center"/>
        <w:rPr>
          <w:rFonts w:ascii="宋体" w:hAnsi="宋体"/>
          <w:b/>
          <w:sz w:val="32"/>
          <w:szCs w:val="32"/>
          <w:highlight w:val="none"/>
        </w:rPr>
      </w:pPr>
    </w:p>
    <w:p w14:paraId="0498AF73">
      <w:pPr>
        <w:spacing w:line="360" w:lineRule="exact"/>
        <w:rPr>
          <w:sz w:val="18"/>
          <w:szCs w:val="18"/>
          <w:highlight w:val="none"/>
        </w:rPr>
      </w:pPr>
    </w:p>
    <w:p w14:paraId="6EE9E43F">
      <w:pPr>
        <w:widowControl/>
        <w:autoSpaceDE w:val="0"/>
        <w:autoSpaceDN w:val="0"/>
        <w:adjustRightInd w:val="0"/>
        <w:spacing w:line="360" w:lineRule="auto"/>
        <w:jc w:val="center"/>
        <w:rPr>
          <w:rFonts w:hint="eastAsia" w:ascii="宋体" w:hAnsi="宋体" w:cs="宋体"/>
          <w:kern w:val="0"/>
          <w:sz w:val="24"/>
          <w:szCs w:val="24"/>
          <w:highlight w:val="none"/>
          <w:lang w:bidi="en-US"/>
        </w:rPr>
      </w:pPr>
      <w:r>
        <w:rPr>
          <w:rFonts w:hint="eastAsia" w:ascii="宋体" w:hAnsi="宋体" w:cs="宋体"/>
          <w:kern w:val="0"/>
          <w:sz w:val="24"/>
          <w:szCs w:val="24"/>
          <w:highlight w:val="none"/>
          <w:lang w:bidi="en-US"/>
        </w:rPr>
        <w:t>（根据招标文件要求自行编写）</w:t>
      </w:r>
    </w:p>
    <w:p w14:paraId="52A57A0D">
      <w:pPr>
        <w:widowControl/>
        <w:autoSpaceDE/>
        <w:autoSpaceDN/>
        <w:adjustRightInd/>
        <w:spacing w:line="240" w:lineRule="auto"/>
        <w:jc w:val="left"/>
        <w:rPr>
          <w:rFonts w:hint="eastAsia" w:ascii="宋体" w:hAnsi="宋体" w:cs="宋体"/>
          <w:kern w:val="0"/>
          <w:sz w:val="24"/>
          <w:szCs w:val="24"/>
          <w:highlight w:val="none"/>
          <w:lang w:bidi="en-US"/>
        </w:rPr>
      </w:pPr>
      <w:r>
        <w:rPr>
          <w:rFonts w:hint="eastAsia" w:ascii="宋体" w:hAnsi="宋体" w:cs="宋体"/>
          <w:kern w:val="0"/>
          <w:sz w:val="24"/>
          <w:szCs w:val="24"/>
          <w:highlight w:val="none"/>
          <w:lang w:bidi="en-US"/>
        </w:rPr>
        <w:br w:type="page"/>
      </w:r>
    </w:p>
    <w:p w14:paraId="00FCB9E1">
      <w:pPr>
        <w:widowControl/>
        <w:autoSpaceDE w:val="0"/>
        <w:autoSpaceDN w:val="0"/>
        <w:adjustRightInd w:val="0"/>
        <w:spacing w:line="360" w:lineRule="auto"/>
        <w:jc w:val="center"/>
        <w:rPr>
          <w:rFonts w:hint="eastAsia" w:ascii="宋体" w:hAnsi="宋体" w:cs="宋体"/>
          <w:kern w:val="0"/>
          <w:sz w:val="24"/>
          <w:szCs w:val="24"/>
          <w:highlight w:val="none"/>
          <w:lang w:bidi="en-US"/>
        </w:rPr>
      </w:pPr>
    </w:p>
    <w:p w14:paraId="35552586">
      <w:pPr>
        <w:jc w:val="center"/>
        <w:rPr>
          <w:rFonts w:hint="eastAsia" w:ascii="黑体" w:hAnsi="黑体" w:eastAsia="黑体" w:cs="黑体"/>
          <w:b/>
          <w:color w:val="auto"/>
          <w:spacing w:val="20"/>
          <w:sz w:val="48"/>
          <w:szCs w:val="48"/>
          <w:highlight w:val="none"/>
          <w:u w:val="single"/>
        </w:rPr>
      </w:pPr>
      <w:r>
        <w:rPr>
          <w:rFonts w:hint="eastAsia" w:ascii="黑体" w:hAnsi="黑体" w:eastAsia="黑体" w:cs="黑体"/>
          <w:b/>
          <w:color w:val="auto"/>
          <w:spacing w:val="20"/>
          <w:sz w:val="48"/>
          <w:szCs w:val="48"/>
          <w:highlight w:val="none"/>
          <w:u w:val="single"/>
        </w:rPr>
        <w:t>广东石油化工学院西城校区图书馆工程</w:t>
      </w:r>
    </w:p>
    <w:p w14:paraId="7A8921A3">
      <w:pPr>
        <w:jc w:val="center"/>
        <w:rPr>
          <w:rFonts w:hint="eastAsia" w:ascii="黑体" w:hAnsi="黑体" w:eastAsia="黑体" w:cs="黑体"/>
          <w:b/>
          <w:color w:val="auto"/>
          <w:spacing w:val="20"/>
          <w:sz w:val="48"/>
          <w:szCs w:val="48"/>
          <w:highlight w:val="none"/>
          <w:u w:val="single"/>
          <w:lang w:eastAsia="zh-CN"/>
        </w:rPr>
      </w:pPr>
      <w:r>
        <w:rPr>
          <w:rFonts w:hint="eastAsia" w:ascii="黑体" w:hAnsi="黑体" w:eastAsia="黑体" w:cs="黑体"/>
          <w:b/>
          <w:color w:val="auto"/>
          <w:spacing w:val="20"/>
          <w:sz w:val="48"/>
          <w:szCs w:val="48"/>
          <w:highlight w:val="none"/>
          <w:u w:val="single"/>
        </w:rPr>
        <w:t>项目施工</w:t>
      </w:r>
      <w:r>
        <w:rPr>
          <w:rFonts w:hint="eastAsia" w:ascii="黑体" w:hAnsi="黑体" w:eastAsia="黑体" w:cs="黑体"/>
          <w:b/>
          <w:color w:val="auto"/>
          <w:spacing w:val="20"/>
          <w:sz w:val="48"/>
          <w:szCs w:val="48"/>
          <w:highlight w:val="none"/>
          <w:u w:val="single"/>
          <w:lang w:val="en-US" w:eastAsia="zh-CN"/>
        </w:rPr>
        <w:t>监理</w:t>
      </w:r>
    </w:p>
    <w:p w14:paraId="7F06061E">
      <w:pPr>
        <w:spacing w:line="800" w:lineRule="exact"/>
        <w:jc w:val="center"/>
        <w:rPr>
          <w:rFonts w:ascii="宋体" w:hAnsi="宋体"/>
          <w:b/>
          <w:sz w:val="52"/>
          <w:szCs w:val="52"/>
          <w:highlight w:val="none"/>
        </w:rPr>
      </w:pPr>
    </w:p>
    <w:p w14:paraId="273A5D5A">
      <w:pPr>
        <w:spacing w:line="700" w:lineRule="exact"/>
        <w:jc w:val="center"/>
        <w:rPr>
          <w:b/>
          <w:sz w:val="48"/>
          <w:szCs w:val="48"/>
          <w:highlight w:val="none"/>
        </w:rPr>
      </w:pPr>
      <w:bookmarkStart w:id="153" w:name="_GoBack"/>
      <w:bookmarkEnd w:id="153"/>
    </w:p>
    <w:p w14:paraId="6D33D5F5">
      <w:pPr>
        <w:spacing w:line="700" w:lineRule="exact"/>
        <w:jc w:val="center"/>
        <w:rPr>
          <w:b/>
          <w:sz w:val="48"/>
          <w:szCs w:val="48"/>
          <w:highlight w:val="none"/>
        </w:rPr>
      </w:pPr>
    </w:p>
    <w:p w14:paraId="1329316A">
      <w:pPr>
        <w:spacing w:line="700" w:lineRule="exact"/>
        <w:jc w:val="center"/>
        <w:rPr>
          <w:b/>
          <w:sz w:val="48"/>
          <w:szCs w:val="48"/>
          <w:highlight w:val="none"/>
        </w:rPr>
      </w:pPr>
    </w:p>
    <w:p w14:paraId="7CA36161">
      <w:pPr>
        <w:spacing w:line="700" w:lineRule="exact"/>
        <w:ind w:firstLine="0" w:firstLineChars="0"/>
        <w:jc w:val="center"/>
        <w:rPr>
          <w:rFonts w:ascii="黑体" w:hAnsi="宋体" w:eastAsia="黑体"/>
          <w:sz w:val="48"/>
          <w:szCs w:val="48"/>
          <w:highlight w:val="none"/>
        </w:rPr>
      </w:pPr>
      <w:r>
        <w:rPr>
          <w:rFonts w:hint="eastAsia"/>
          <w:b/>
          <w:sz w:val="52"/>
          <w:szCs w:val="52"/>
          <w:highlight w:val="none"/>
        </w:rPr>
        <w:t>（</w:t>
      </w:r>
      <w:r>
        <w:rPr>
          <w:rFonts w:hint="eastAsia" w:ascii="黑体" w:eastAsia="黑体"/>
          <w:sz w:val="52"/>
          <w:szCs w:val="52"/>
          <w:highlight w:val="none"/>
        </w:rPr>
        <w:t>第</w:t>
      </w:r>
      <w:r>
        <w:rPr>
          <w:rFonts w:hint="eastAsia" w:ascii="黑体" w:eastAsia="黑体"/>
          <w:sz w:val="52"/>
          <w:szCs w:val="52"/>
          <w:highlight w:val="none"/>
          <w:lang w:val="en-US" w:eastAsia="zh-CN"/>
        </w:rPr>
        <w:t>三</w:t>
      </w:r>
      <w:r>
        <w:rPr>
          <w:rFonts w:hint="eastAsia" w:ascii="黑体" w:eastAsia="黑体"/>
          <w:sz w:val="52"/>
          <w:szCs w:val="52"/>
          <w:highlight w:val="none"/>
        </w:rPr>
        <w:t>册</w:t>
      </w:r>
      <w:r>
        <w:rPr>
          <w:rFonts w:hint="eastAsia"/>
          <w:b/>
          <w:sz w:val="52"/>
          <w:szCs w:val="52"/>
          <w:highlight w:val="none"/>
        </w:rPr>
        <w:t>）</w:t>
      </w:r>
    </w:p>
    <w:p w14:paraId="41C492CA">
      <w:pPr>
        <w:spacing w:beforeLines="50" w:line="460" w:lineRule="exact"/>
        <w:jc w:val="center"/>
        <w:rPr>
          <w:rFonts w:ascii="宋体" w:hAnsi="宋体"/>
          <w:sz w:val="30"/>
          <w:szCs w:val="30"/>
          <w:highlight w:val="none"/>
        </w:rPr>
      </w:pPr>
    </w:p>
    <w:p w14:paraId="3735DBDC">
      <w:pPr>
        <w:spacing w:beforeLines="50" w:line="460" w:lineRule="exact"/>
        <w:jc w:val="center"/>
        <w:rPr>
          <w:rFonts w:ascii="宋体" w:hAnsi="宋体"/>
          <w:sz w:val="30"/>
          <w:szCs w:val="30"/>
          <w:highlight w:val="none"/>
        </w:rPr>
      </w:pPr>
    </w:p>
    <w:p w14:paraId="33533659">
      <w:pPr>
        <w:spacing w:beforeLines="50" w:line="800" w:lineRule="exact"/>
        <w:ind w:firstLine="0" w:firstLineChars="0"/>
        <w:jc w:val="center"/>
        <w:rPr>
          <w:rFonts w:ascii="黑体" w:eastAsia="黑体"/>
          <w:sz w:val="52"/>
          <w:szCs w:val="52"/>
          <w:highlight w:val="none"/>
        </w:rPr>
      </w:pPr>
      <w:r>
        <w:rPr>
          <w:rFonts w:hint="eastAsia" w:ascii="黑体" w:hAnsi="黑体" w:eastAsia="黑体" w:cs="黑体"/>
          <w:sz w:val="52"/>
          <w:szCs w:val="52"/>
          <w:highlight w:val="none"/>
        </w:rPr>
        <w:t>经济报价投标文件</w:t>
      </w:r>
    </w:p>
    <w:p w14:paraId="046195C2">
      <w:pPr>
        <w:spacing w:line="360" w:lineRule="auto"/>
        <w:rPr>
          <w:b/>
          <w:spacing w:val="160"/>
          <w:sz w:val="72"/>
          <w:szCs w:val="72"/>
          <w:highlight w:val="none"/>
        </w:rPr>
      </w:pPr>
    </w:p>
    <w:p w14:paraId="00D56B80">
      <w:pPr>
        <w:spacing w:line="360" w:lineRule="auto"/>
        <w:ind w:firstLine="2352" w:firstLineChars="490"/>
        <w:rPr>
          <w:spacing w:val="6"/>
          <w:sz w:val="36"/>
          <w:szCs w:val="36"/>
          <w:highlight w:val="none"/>
        </w:rPr>
      </w:pPr>
      <w:r>
        <w:rPr>
          <w:rFonts w:hint="eastAsia" w:ascii="黑体" w:hAnsi="宋体" w:eastAsia="黑体"/>
          <w:sz w:val="48"/>
          <w:szCs w:val="48"/>
          <w:highlight w:val="none"/>
        </w:rPr>
        <w:t>（正本）/（副本）</w:t>
      </w:r>
    </w:p>
    <w:p w14:paraId="335CC83F">
      <w:pPr>
        <w:widowControl/>
        <w:autoSpaceDE w:val="0"/>
        <w:autoSpaceDN w:val="0"/>
        <w:adjustRightInd w:val="0"/>
        <w:spacing w:line="360" w:lineRule="auto"/>
        <w:jc w:val="center"/>
        <w:rPr>
          <w:rFonts w:hint="eastAsia" w:ascii="宋体" w:hAnsi="宋体" w:cs="宋体"/>
          <w:kern w:val="0"/>
          <w:sz w:val="24"/>
          <w:szCs w:val="24"/>
          <w:highlight w:val="none"/>
          <w:lang w:bidi="en-US"/>
        </w:rPr>
      </w:pPr>
    </w:p>
    <w:p w14:paraId="09CB10EA">
      <w:pPr>
        <w:spacing w:line="480" w:lineRule="auto"/>
        <w:ind w:firstLine="1132" w:firstLineChars="363"/>
        <w:rPr>
          <w:rFonts w:hint="eastAsia" w:ascii="黑体" w:hAnsi="黑体" w:eastAsia="黑体" w:cs="黑体"/>
          <w:spacing w:val="6"/>
          <w:sz w:val="30"/>
          <w:szCs w:val="30"/>
          <w:highlight w:val="none"/>
        </w:rPr>
      </w:pPr>
    </w:p>
    <w:p w14:paraId="38B22655">
      <w:pPr>
        <w:spacing w:line="480" w:lineRule="auto"/>
        <w:ind w:firstLine="1132" w:firstLineChars="363"/>
        <w:rPr>
          <w:rFonts w:ascii="黑体" w:hAnsi="黑体" w:eastAsia="黑体" w:cs="黑体"/>
          <w:spacing w:val="6"/>
          <w:sz w:val="30"/>
          <w:szCs w:val="30"/>
          <w:highlight w:val="none"/>
        </w:rPr>
      </w:pPr>
      <w:r>
        <w:rPr>
          <w:rFonts w:hint="eastAsia" w:ascii="黑体" w:hAnsi="黑体" w:eastAsia="黑体" w:cs="黑体"/>
          <w:spacing w:val="6"/>
          <w:sz w:val="30"/>
          <w:szCs w:val="30"/>
          <w:highlight w:val="none"/>
        </w:rPr>
        <w:t>项目名称：</w:t>
      </w:r>
    </w:p>
    <w:p w14:paraId="0074C468">
      <w:pPr>
        <w:spacing w:line="480" w:lineRule="auto"/>
        <w:ind w:firstLine="1132" w:firstLineChars="363"/>
        <w:rPr>
          <w:rFonts w:ascii="黑体" w:hAnsi="黑体" w:eastAsia="黑体" w:cs="黑体"/>
          <w:spacing w:val="6"/>
          <w:sz w:val="30"/>
          <w:szCs w:val="30"/>
          <w:highlight w:val="none"/>
        </w:rPr>
      </w:pPr>
      <w:r>
        <w:rPr>
          <w:rFonts w:hint="eastAsia" w:ascii="黑体" w:hAnsi="黑体" w:eastAsia="黑体" w:cs="黑体"/>
          <w:spacing w:val="6"/>
          <w:sz w:val="30"/>
          <w:szCs w:val="30"/>
          <w:highlight w:val="none"/>
        </w:rPr>
        <w:t>投 标 人：</w:t>
      </w:r>
      <w:r>
        <w:rPr>
          <w:rFonts w:hint="eastAsia" w:ascii="黑体" w:hAnsi="黑体" w:eastAsia="黑体" w:cs="黑体"/>
          <w:spacing w:val="6"/>
          <w:sz w:val="30"/>
          <w:szCs w:val="30"/>
          <w:highlight w:val="none"/>
          <w:u w:val="single"/>
        </w:rPr>
        <w:t xml:space="preserve">                        （盖</w:t>
      </w:r>
      <w:r>
        <w:rPr>
          <w:rFonts w:hint="eastAsia" w:ascii="黑体" w:hAnsi="黑体" w:eastAsia="黑体" w:cs="黑体"/>
          <w:spacing w:val="6"/>
          <w:sz w:val="30"/>
          <w:szCs w:val="30"/>
          <w:highlight w:val="none"/>
          <w:u w:val="single"/>
          <w:lang w:val="en-US" w:eastAsia="zh-CN"/>
        </w:rPr>
        <w:t>单位</w:t>
      </w:r>
      <w:r>
        <w:rPr>
          <w:rFonts w:hint="eastAsia" w:ascii="黑体" w:hAnsi="黑体" w:eastAsia="黑体" w:cs="黑体"/>
          <w:spacing w:val="6"/>
          <w:sz w:val="30"/>
          <w:szCs w:val="30"/>
          <w:highlight w:val="none"/>
          <w:u w:val="single"/>
        </w:rPr>
        <w:t>章）</w:t>
      </w:r>
    </w:p>
    <w:p w14:paraId="4890EB31">
      <w:pPr>
        <w:spacing w:line="480" w:lineRule="auto"/>
        <w:ind w:firstLine="1089" w:firstLineChars="363"/>
        <w:rPr>
          <w:rFonts w:ascii="黑体" w:hAnsi="黑体" w:eastAsia="黑体" w:cs="黑体"/>
          <w:spacing w:val="6"/>
          <w:sz w:val="30"/>
          <w:szCs w:val="30"/>
          <w:highlight w:val="none"/>
        </w:rPr>
      </w:pPr>
      <w:r>
        <w:rPr>
          <w:rFonts w:hint="eastAsia" w:ascii="黑体" w:hAnsi="黑体" w:eastAsia="黑体" w:cs="黑体"/>
          <w:sz w:val="30"/>
          <w:szCs w:val="30"/>
          <w:highlight w:val="none"/>
        </w:rPr>
        <w:t>法定代表人或其委托代理人</w:t>
      </w:r>
      <w:r>
        <w:rPr>
          <w:rFonts w:hint="eastAsia" w:ascii="黑体" w:hAnsi="黑体" w:eastAsia="黑体" w:cs="黑体"/>
          <w:spacing w:val="6"/>
          <w:sz w:val="30"/>
          <w:szCs w:val="30"/>
          <w:highlight w:val="none"/>
        </w:rPr>
        <w:t>：</w:t>
      </w:r>
      <w:r>
        <w:rPr>
          <w:rFonts w:hint="eastAsia" w:ascii="黑体" w:hAnsi="黑体" w:eastAsia="黑体" w:cs="黑体"/>
          <w:spacing w:val="6"/>
          <w:sz w:val="30"/>
          <w:szCs w:val="30"/>
          <w:highlight w:val="none"/>
          <w:u w:val="single"/>
        </w:rPr>
        <w:t xml:space="preserve">          （签字）</w:t>
      </w:r>
    </w:p>
    <w:p w14:paraId="62779080">
      <w:pPr>
        <w:spacing w:line="360" w:lineRule="auto"/>
        <w:outlineLvl w:val="9"/>
        <w:rPr>
          <w:rFonts w:ascii="黑体" w:hAnsi="黑体" w:eastAsia="黑体" w:cs="黑体"/>
          <w:b/>
          <w:bCs/>
          <w:spacing w:val="4"/>
          <w:sz w:val="30"/>
          <w:szCs w:val="30"/>
          <w:highlight w:val="none"/>
        </w:rPr>
      </w:pPr>
      <w:r>
        <w:rPr>
          <w:rFonts w:hint="eastAsia" w:ascii="黑体" w:hAnsi="黑体" w:eastAsia="黑体" w:cs="黑体"/>
          <w:spacing w:val="6"/>
          <w:sz w:val="30"/>
          <w:szCs w:val="30"/>
          <w:highlight w:val="none"/>
        </w:rPr>
        <w:t xml:space="preserve">       日期： </w:t>
      </w:r>
      <w:r>
        <w:rPr>
          <w:rFonts w:hint="eastAsia" w:ascii="黑体" w:hAnsi="黑体" w:eastAsia="黑体" w:cs="黑体"/>
          <w:spacing w:val="6"/>
          <w:sz w:val="30"/>
          <w:szCs w:val="30"/>
          <w:highlight w:val="none"/>
          <w:lang w:val="en-US" w:eastAsia="zh-CN"/>
        </w:rPr>
        <w:t xml:space="preserve">  </w:t>
      </w:r>
      <w:r>
        <w:rPr>
          <w:rFonts w:hint="eastAsia" w:ascii="黑体" w:hAnsi="黑体" w:eastAsia="黑体" w:cs="黑体"/>
          <w:spacing w:val="6"/>
          <w:sz w:val="30"/>
          <w:szCs w:val="30"/>
          <w:highlight w:val="none"/>
        </w:rPr>
        <w:t>年 月 日</w:t>
      </w:r>
    </w:p>
    <w:p w14:paraId="6E81E15B">
      <w:pPr>
        <w:widowControl/>
        <w:autoSpaceDE/>
        <w:autoSpaceDN/>
        <w:adjustRightInd/>
        <w:spacing w:line="240" w:lineRule="auto"/>
        <w:jc w:val="left"/>
        <w:rPr>
          <w:rFonts w:hint="eastAsia" w:ascii="宋体" w:hAnsi="宋体" w:cs="宋体"/>
          <w:kern w:val="0"/>
          <w:sz w:val="24"/>
          <w:szCs w:val="24"/>
          <w:highlight w:val="none"/>
          <w:lang w:bidi="en-US"/>
        </w:rPr>
      </w:pPr>
      <w:r>
        <w:rPr>
          <w:rFonts w:hint="eastAsia" w:ascii="宋体" w:hAnsi="宋体" w:cs="宋体"/>
          <w:kern w:val="0"/>
          <w:sz w:val="24"/>
          <w:szCs w:val="24"/>
          <w:highlight w:val="none"/>
          <w:lang w:bidi="en-US"/>
        </w:rPr>
        <w:br w:type="page"/>
      </w:r>
    </w:p>
    <w:p w14:paraId="3F6F15C7">
      <w:pPr>
        <w:widowControl/>
        <w:autoSpaceDE w:val="0"/>
        <w:autoSpaceDN w:val="0"/>
        <w:adjustRightInd w:val="0"/>
        <w:spacing w:line="360" w:lineRule="auto"/>
        <w:jc w:val="center"/>
        <w:rPr>
          <w:rFonts w:hint="eastAsia" w:ascii="宋体" w:hAnsi="宋体" w:cs="宋体"/>
          <w:kern w:val="0"/>
          <w:sz w:val="24"/>
          <w:szCs w:val="24"/>
          <w:highlight w:val="none"/>
          <w:lang w:bidi="en-US"/>
        </w:rPr>
      </w:pPr>
    </w:p>
    <w:p w14:paraId="6E30066E">
      <w:pPr>
        <w:spacing w:line="600" w:lineRule="exact"/>
        <w:jc w:val="center"/>
        <w:outlineLvl w:val="1"/>
        <w:rPr>
          <w:b/>
          <w:bCs/>
          <w:spacing w:val="4"/>
          <w:sz w:val="30"/>
          <w:szCs w:val="30"/>
          <w:highlight w:val="none"/>
        </w:rPr>
      </w:pPr>
      <w:r>
        <w:rPr>
          <w:rFonts w:hint="eastAsia"/>
          <w:b/>
          <w:bCs/>
          <w:spacing w:val="4"/>
          <w:sz w:val="30"/>
          <w:szCs w:val="30"/>
          <w:highlight w:val="none"/>
        </w:rPr>
        <w:t>工程监理投标报价书</w:t>
      </w:r>
    </w:p>
    <w:p w14:paraId="26AEB493">
      <w:pPr>
        <w:rPr>
          <w:highlight w:val="none"/>
        </w:rPr>
      </w:pPr>
    </w:p>
    <w:p w14:paraId="45E43BD2">
      <w:pPr>
        <w:rPr>
          <w:rFonts w:ascii="宋体" w:hAnsi="宋体"/>
          <w:sz w:val="24"/>
          <w:szCs w:val="24"/>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2300"/>
        <w:gridCol w:w="5250"/>
      </w:tblGrid>
      <w:tr w14:paraId="3752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903" w:type="dxa"/>
            <w:noWrap/>
            <w:vAlign w:val="center"/>
          </w:tcPr>
          <w:p w14:paraId="73AA35A3">
            <w:pPr>
              <w:jc w:val="center"/>
              <w:rPr>
                <w:rFonts w:ascii="宋体" w:hAnsi="宋体"/>
                <w:sz w:val="24"/>
                <w:szCs w:val="24"/>
                <w:highlight w:val="none"/>
              </w:rPr>
            </w:pPr>
            <w:r>
              <w:rPr>
                <w:rFonts w:hint="eastAsia" w:ascii="宋体" w:hAnsi="宋体"/>
                <w:sz w:val="24"/>
                <w:szCs w:val="24"/>
                <w:highlight w:val="none"/>
              </w:rPr>
              <w:t>工程名称</w:t>
            </w:r>
          </w:p>
        </w:tc>
        <w:tc>
          <w:tcPr>
            <w:tcW w:w="7550" w:type="dxa"/>
            <w:gridSpan w:val="2"/>
            <w:noWrap/>
            <w:vAlign w:val="center"/>
          </w:tcPr>
          <w:p w14:paraId="14B718B6">
            <w:pPr>
              <w:jc w:val="center"/>
              <w:rPr>
                <w:rFonts w:ascii="宋体" w:hAnsi="宋体"/>
                <w:sz w:val="24"/>
                <w:szCs w:val="24"/>
                <w:highlight w:val="none"/>
              </w:rPr>
            </w:pPr>
          </w:p>
        </w:tc>
      </w:tr>
      <w:tr w14:paraId="791F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903" w:type="dxa"/>
            <w:noWrap/>
            <w:vAlign w:val="center"/>
          </w:tcPr>
          <w:p w14:paraId="28B9FB5E">
            <w:pPr>
              <w:jc w:val="center"/>
              <w:rPr>
                <w:rFonts w:ascii="宋体" w:hAnsi="宋体"/>
                <w:sz w:val="24"/>
                <w:szCs w:val="24"/>
                <w:highlight w:val="none"/>
              </w:rPr>
            </w:pPr>
            <w:r>
              <w:rPr>
                <w:rFonts w:hint="eastAsia" w:ascii="宋体" w:hAnsi="宋体"/>
                <w:sz w:val="24"/>
                <w:szCs w:val="24"/>
                <w:highlight w:val="none"/>
              </w:rPr>
              <w:t>招 标 人</w:t>
            </w:r>
          </w:p>
        </w:tc>
        <w:tc>
          <w:tcPr>
            <w:tcW w:w="7550" w:type="dxa"/>
            <w:gridSpan w:val="2"/>
            <w:noWrap/>
            <w:vAlign w:val="center"/>
          </w:tcPr>
          <w:p w14:paraId="3E732E75">
            <w:pPr>
              <w:jc w:val="center"/>
              <w:rPr>
                <w:rFonts w:ascii="宋体" w:hAnsi="宋体"/>
                <w:sz w:val="24"/>
                <w:szCs w:val="24"/>
                <w:highlight w:val="none"/>
              </w:rPr>
            </w:pPr>
          </w:p>
        </w:tc>
      </w:tr>
      <w:tr w14:paraId="67AC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903" w:type="dxa"/>
            <w:noWrap/>
            <w:vAlign w:val="center"/>
          </w:tcPr>
          <w:p w14:paraId="64B37E93">
            <w:pPr>
              <w:jc w:val="center"/>
              <w:rPr>
                <w:rFonts w:ascii="宋体" w:hAnsi="宋体"/>
                <w:sz w:val="24"/>
                <w:szCs w:val="24"/>
                <w:highlight w:val="none"/>
              </w:rPr>
            </w:pPr>
            <w:r>
              <w:rPr>
                <w:rFonts w:hint="eastAsia" w:ascii="宋体" w:hAnsi="宋体"/>
                <w:sz w:val="24"/>
                <w:szCs w:val="24"/>
                <w:highlight w:val="none"/>
              </w:rPr>
              <w:t>投 标 人</w:t>
            </w:r>
          </w:p>
        </w:tc>
        <w:tc>
          <w:tcPr>
            <w:tcW w:w="7550" w:type="dxa"/>
            <w:gridSpan w:val="2"/>
            <w:noWrap/>
            <w:vAlign w:val="center"/>
          </w:tcPr>
          <w:p w14:paraId="2F66C420">
            <w:pPr>
              <w:jc w:val="center"/>
              <w:rPr>
                <w:rFonts w:ascii="宋体" w:hAnsi="宋体"/>
                <w:sz w:val="24"/>
                <w:szCs w:val="24"/>
                <w:highlight w:val="none"/>
              </w:rPr>
            </w:pPr>
          </w:p>
        </w:tc>
      </w:tr>
      <w:tr w14:paraId="3AC6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4203" w:type="dxa"/>
            <w:gridSpan w:val="2"/>
            <w:noWrap/>
            <w:vAlign w:val="center"/>
          </w:tcPr>
          <w:p w14:paraId="500E39FF">
            <w:pPr>
              <w:spacing w:line="500" w:lineRule="exact"/>
              <w:jc w:val="center"/>
              <w:rPr>
                <w:rFonts w:ascii="宋体" w:hAnsi="宋体"/>
                <w:sz w:val="24"/>
                <w:szCs w:val="24"/>
                <w:highlight w:val="none"/>
              </w:rPr>
            </w:pPr>
            <w:r>
              <w:rPr>
                <w:rFonts w:hint="eastAsia" w:ascii="宋体" w:hAnsi="宋体"/>
                <w:sz w:val="24"/>
                <w:szCs w:val="24"/>
                <w:highlight w:val="none"/>
              </w:rPr>
              <w:t>在【</w:t>
            </w:r>
            <w:r>
              <w:rPr>
                <w:rFonts w:hint="eastAsia" w:ascii="宋体" w:hAnsi="宋体"/>
                <w:sz w:val="24"/>
                <w:szCs w:val="24"/>
                <w:highlight w:val="none"/>
                <w:lang w:val="en-US" w:eastAsia="zh-CN"/>
              </w:rPr>
              <w:t>20</w:t>
            </w:r>
            <w:r>
              <w:rPr>
                <w:rFonts w:hint="eastAsia" w:ascii="宋体" w:hAnsi="宋体"/>
                <w:b/>
                <w:spacing w:val="-2"/>
                <w:sz w:val="22"/>
                <w:szCs w:val="22"/>
                <w:highlight w:val="none"/>
              </w:rPr>
              <w:t>%＜下浮率≤</w:t>
            </w:r>
            <w:r>
              <w:rPr>
                <w:rFonts w:hint="eastAsia" w:ascii="宋体" w:hAnsi="宋体"/>
                <w:b/>
                <w:spacing w:val="-2"/>
                <w:sz w:val="22"/>
                <w:szCs w:val="22"/>
                <w:highlight w:val="none"/>
                <w:lang w:val="en-US" w:eastAsia="zh-CN"/>
              </w:rPr>
              <w:t>40</w:t>
            </w:r>
            <w:r>
              <w:rPr>
                <w:rFonts w:hint="eastAsia" w:ascii="宋体" w:hAnsi="宋体"/>
                <w:b/>
                <w:spacing w:val="-2"/>
                <w:sz w:val="22"/>
                <w:szCs w:val="22"/>
                <w:highlight w:val="none"/>
              </w:rPr>
              <w:t>%</w:t>
            </w:r>
            <w:r>
              <w:rPr>
                <w:rFonts w:hint="eastAsia" w:ascii="宋体" w:hAnsi="宋体"/>
                <w:sz w:val="24"/>
                <w:szCs w:val="24"/>
                <w:highlight w:val="none"/>
              </w:rPr>
              <w:t>】内</w:t>
            </w:r>
          </w:p>
          <w:p w14:paraId="7F52C380">
            <w:pPr>
              <w:spacing w:line="500" w:lineRule="exact"/>
              <w:jc w:val="center"/>
              <w:rPr>
                <w:rFonts w:ascii="宋体" w:hAnsi="宋体"/>
                <w:b/>
                <w:bCs/>
                <w:sz w:val="24"/>
                <w:szCs w:val="24"/>
                <w:highlight w:val="none"/>
              </w:rPr>
            </w:pPr>
            <w:r>
              <w:rPr>
                <w:rFonts w:hint="eastAsia" w:ascii="宋体" w:hAnsi="宋体"/>
                <w:b/>
                <w:bCs/>
                <w:sz w:val="24"/>
                <w:szCs w:val="24"/>
                <w:highlight w:val="none"/>
              </w:rPr>
              <w:t>投报监理报价下浮率</w:t>
            </w:r>
          </w:p>
          <w:p w14:paraId="3CEC47EF">
            <w:pPr>
              <w:spacing w:line="500" w:lineRule="exact"/>
              <w:jc w:val="center"/>
              <w:rPr>
                <w:rFonts w:ascii="宋体" w:hAnsi="宋体"/>
                <w:sz w:val="24"/>
                <w:szCs w:val="24"/>
                <w:highlight w:val="none"/>
              </w:rPr>
            </w:pPr>
            <w:r>
              <w:rPr>
                <w:rFonts w:hint="eastAsia" w:ascii="宋体" w:hAnsi="宋体"/>
                <w:sz w:val="24"/>
                <w:szCs w:val="24"/>
                <w:highlight w:val="none"/>
              </w:rPr>
              <w:t>（</w:t>
            </w:r>
            <w:r>
              <w:rPr>
                <w:rFonts w:hint="eastAsia" w:ascii="宋体" w:hAnsi="宋体"/>
                <w:bCs/>
                <w:sz w:val="24"/>
                <w:szCs w:val="24"/>
                <w:highlight w:val="none"/>
              </w:rPr>
              <w:t>百分数保留二位小数</w:t>
            </w:r>
            <w:r>
              <w:rPr>
                <w:rFonts w:hint="eastAsia" w:ascii="宋体" w:hAnsi="宋体"/>
                <w:sz w:val="24"/>
                <w:szCs w:val="24"/>
                <w:highlight w:val="none"/>
              </w:rPr>
              <w:t>）</w:t>
            </w:r>
          </w:p>
        </w:tc>
        <w:tc>
          <w:tcPr>
            <w:tcW w:w="5250" w:type="dxa"/>
            <w:noWrap/>
            <w:vAlign w:val="center"/>
          </w:tcPr>
          <w:p w14:paraId="41DC1DC9">
            <w:pPr>
              <w:ind w:firstLine="480" w:firstLineChars="200"/>
              <w:rPr>
                <w:rFonts w:ascii="宋体" w:hAnsi="宋体"/>
                <w:sz w:val="24"/>
                <w:szCs w:val="24"/>
                <w:highlight w:val="none"/>
              </w:rPr>
            </w:pPr>
            <w:r>
              <w:rPr>
                <w:rFonts w:hint="eastAsia" w:ascii="宋体" w:hAnsi="宋体"/>
                <w:sz w:val="24"/>
                <w:szCs w:val="24"/>
                <w:highlight w:val="none"/>
              </w:rPr>
              <w:t>%</w:t>
            </w:r>
            <w:r>
              <w:rPr>
                <w:rFonts w:hint="eastAsia" w:ascii="Gulim" w:hAnsi="Gulim"/>
                <w:b/>
                <w:bCs/>
                <w:sz w:val="22"/>
                <w:szCs w:val="22"/>
                <w:highlight w:val="none"/>
                <w:u w:val="single"/>
              </w:rPr>
              <w:t>（如：</w:t>
            </w:r>
            <w:r>
              <w:rPr>
                <w:rFonts w:hint="eastAsia" w:ascii="Gulim" w:hAnsi="Gulim"/>
                <w:b/>
                <w:bCs/>
                <w:sz w:val="22"/>
                <w:szCs w:val="22"/>
                <w:highlight w:val="none"/>
                <w:u w:val="single"/>
                <w:lang w:val="en-US" w:eastAsia="zh-CN"/>
              </w:rPr>
              <w:t>XX.XX</w:t>
            </w:r>
            <w:r>
              <w:rPr>
                <w:rFonts w:hint="eastAsia" w:ascii="Gulim" w:hAnsi="Gulim"/>
                <w:b/>
                <w:bCs/>
                <w:sz w:val="22"/>
                <w:szCs w:val="22"/>
                <w:highlight w:val="none"/>
                <w:u w:val="single"/>
              </w:rPr>
              <w:t>%）</w:t>
            </w:r>
          </w:p>
        </w:tc>
      </w:tr>
      <w:tr w14:paraId="3704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4203" w:type="dxa"/>
            <w:gridSpan w:val="2"/>
            <w:noWrap/>
            <w:vAlign w:val="center"/>
          </w:tcPr>
          <w:p w14:paraId="7845D149">
            <w:pPr>
              <w:spacing w:line="500" w:lineRule="exact"/>
              <w:jc w:val="center"/>
              <w:rPr>
                <w:rFonts w:ascii="宋体" w:hAnsi="宋体"/>
                <w:sz w:val="24"/>
                <w:szCs w:val="24"/>
                <w:highlight w:val="none"/>
              </w:rPr>
            </w:pPr>
            <w:r>
              <w:rPr>
                <w:rFonts w:hint="eastAsia" w:ascii="宋体" w:hAnsi="宋体"/>
                <w:sz w:val="24"/>
                <w:szCs w:val="24"/>
                <w:highlight w:val="none"/>
              </w:rPr>
              <w:t>监理费投标报价（元）</w:t>
            </w:r>
          </w:p>
          <w:p w14:paraId="78F02D9B">
            <w:pPr>
              <w:spacing w:line="440" w:lineRule="exact"/>
              <w:jc w:val="center"/>
              <w:rPr>
                <w:rFonts w:ascii="楷体_GB2312" w:hAnsi="宋体" w:eastAsia="楷体_GB2312"/>
                <w:spacing w:val="-6"/>
                <w:sz w:val="24"/>
                <w:szCs w:val="24"/>
                <w:highlight w:val="none"/>
              </w:rPr>
            </w:pPr>
            <w:r>
              <w:rPr>
                <w:rFonts w:hint="eastAsia" w:ascii="楷体_GB2312" w:hAnsi="宋体" w:eastAsia="楷体_GB2312"/>
                <w:spacing w:val="-6"/>
                <w:sz w:val="24"/>
                <w:szCs w:val="24"/>
                <w:highlight w:val="none"/>
              </w:rPr>
              <w:t>（</w:t>
            </w:r>
            <w:r>
              <w:rPr>
                <w:rFonts w:hint="eastAsia" w:ascii="宋体" w:hAnsi="宋体"/>
                <w:spacing w:val="-6"/>
                <w:sz w:val="24"/>
                <w:szCs w:val="24"/>
                <w:highlight w:val="none"/>
              </w:rPr>
              <w:t>暂按</w:t>
            </w:r>
            <w:r>
              <w:rPr>
                <w:rFonts w:hint="eastAsia" w:ascii="宋体" w:hAnsi="宋体" w:cs="宋体"/>
                <w:kern w:val="0"/>
                <w:sz w:val="24"/>
                <w:szCs w:val="24"/>
                <w:highlight w:val="none"/>
              </w:rPr>
              <w:t>监理服务费招标控制价</w:t>
            </w:r>
            <w:r>
              <w:rPr>
                <w:rFonts w:hint="eastAsia" w:ascii="宋体" w:hAnsi="宋体" w:cs="宋体"/>
                <w:kern w:val="0"/>
                <w:sz w:val="24"/>
                <w:szCs w:val="24"/>
                <w:highlight w:val="none"/>
                <w:u w:val="none"/>
                <w:lang w:val="en-US" w:eastAsia="zh-CN"/>
              </w:rPr>
              <w:t xml:space="preserve"> </w:t>
            </w:r>
            <w:r>
              <w:rPr>
                <w:rFonts w:hint="default" w:ascii="宋体" w:hAnsi="宋体" w:cs="宋体"/>
                <w:color w:val="auto"/>
                <w:kern w:val="0"/>
                <w:sz w:val="24"/>
                <w:szCs w:val="24"/>
                <w:highlight w:val="none"/>
              </w:rPr>
              <w:t>297.95</w:t>
            </w:r>
            <w:r>
              <w:rPr>
                <w:rFonts w:hint="eastAsia" w:ascii="宋体" w:hAnsi="宋体" w:cs="宋体"/>
                <w:kern w:val="0"/>
                <w:sz w:val="24"/>
                <w:szCs w:val="24"/>
                <w:highlight w:val="none"/>
                <w:u w:val="none"/>
                <w:lang w:val="en-US" w:eastAsia="zh-CN"/>
              </w:rPr>
              <w:t xml:space="preserve"> </w:t>
            </w:r>
            <w:r>
              <w:rPr>
                <w:rFonts w:hint="eastAsia" w:ascii="宋体" w:hAnsi="宋体"/>
                <w:sz w:val="24"/>
                <w:szCs w:val="24"/>
                <w:highlight w:val="none"/>
              </w:rPr>
              <w:t>万元</w:t>
            </w:r>
            <w:r>
              <w:rPr>
                <w:rFonts w:hint="eastAsia" w:ascii="宋体" w:hAnsi="宋体"/>
                <w:spacing w:val="-6"/>
                <w:sz w:val="24"/>
                <w:szCs w:val="24"/>
                <w:highlight w:val="none"/>
              </w:rPr>
              <w:t>计算）</w:t>
            </w:r>
          </w:p>
        </w:tc>
        <w:tc>
          <w:tcPr>
            <w:tcW w:w="5250" w:type="dxa"/>
            <w:noWrap/>
            <w:vAlign w:val="center"/>
          </w:tcPr>
          <w:p w14:paraId="431A7715">
            <w:pPr>
              <w:spacing w:line="580" w:lineRule="exact"/>
              <w:rPr>
                <w:rFonts w:ascii="宋体" w:hAnsi="宋体"/>
                <w:sz w:val="24"/>
                <w:szCs w:val="24"/>
                <w:highlight w:val="none"/>
                <w:u w:val="single"/>
              </w:rPr>
            </w:pPr>
            <w:r>
              <w:rPr>
                <w:rFonts w:hint="eastAsia" w:ascii="宋体" w:hAnsi="宋体"/>
                <w:sz w:val="24"/>
                <w:szCs w:val="24"/>
                <w:highlight w:val="none"/>
              </w:rPr>
              <w:t>小写：</w:t>
            </w:r>
          </w:p>
          <w:p w14:paraId="62FE24E8">
            <w:pPr>
              <w:spacing w:beforeLines="50" w:line="580" w:lineRule="exact"/>
              <w:rPr>
                <w:rFonts w:ascii="宋体" w:hAnsi="宋体"/>
                <w:sz w:val="24"/>
                <w:szCs w:val="24"/>
                <w:highlight w:val="none"/>
              </w:rPr>
            </w:pPr>
            <w:r>
              <w:rPr>
                <w:rFonts w:hint="eastAsia" w:ascii="宋体" w:hAnsi="宋体"/>
                <w:sz w:val="24"/>
                <w:szCs w:val="24"/>
                <w:highlight w:val="none"/>
              </w:rPr>
              <w:t>大写：</w:t>
            </w:r>
          </w:p>
        </w:tc>
      </w:tr>
    </w:tbl>
    <w:p w14:paraId="5D7FD8DF">
      <w:pPr>
        <w:spacing w:line="500" w:lineRule="exact"/>
        <w:rPr>
          <w:rFonts w:ascii="黑体" w:hAnsi="宋体" w:eastAsia="黑体"/>
          <w:spacing w:val="4"/>
          <w:sz w:val="24"/>
          <w:szCs w:val="24"/>
          <w:highlight w:val="none"/>
        </w:rPr>
      </w:pPr>
      <w:r>
        <w:rPr>
          <w:rFonts w:hint="eastAsia" w:ascii="黑体" w:hAnsi="宋体" w:eastAsia="黑体"/>
          <w:szCs w:val="21"/>
          <w:highlight w:val="none"/>
        </w:rPr>
        <w:t>注：监理费投标报价=监理服务费招标控制价×（1－投标</w:t>
      </w:r>
      <w:r>
        <w:rPr>
          <w:rFonts w:hint="eastAsia" w:ascii="黑体" w:hAnsi="宋体" w:eastAsia="黑体"/>
          <w:szCs w:val="21"/>
          <w:highlight w:val="none"/>
          <w:lang w:val="en-US" w:eastAsia="zh-CN"/>
        </w:rPr>
        <w:t>监理报价</w:t>
      </w:r>
      <w:r>
        <w:rPr>
          <w:rFonts w:hint="eastAsia" w:ascii="黑体" w:hAnsi="宋体" w:eastAsia="黑体"/>
          <w:szCs w:val="21"/>
          <w:highlight w:val="none"/>
        </w:rPr>
        <w:t>下浮率）。</w:t>
      </w:r>
    </w:p>
    <w:p w14:paraId="1F228315">
      <w:pPr>
        <w:spacing w:line="500" w:lineRule="exact"/>
        <w:rPr>
          <w:rFonts w:ascii="宋体" w:hAnsi="宋体"/>
          <w:spacing w:val="4"/>
          <w:sz w:val="24"/>
          <w:szCs w:val="24"/>
          <w:highlight w:val="none"/>
        </w:rPr>
      </w:pPr>
    </w:p>
    <w:p w14:paraId="63635A9F">
      <w:pPr>
        <w:spacing w:line="500" w:lineRule="exact"/>
        <w:rPr>
          <w:rFonts w:ascii="宋体" w:hAnsi="宋体"/>
          <w:spacing w:val="4"/>
          <w:sz w:val="24"/>
          <w:szCs w:val="24"/>
          <w:highlight w:val="none"/>
        </w:rPr>
      </w:pPr>
    </w:p>
    <w:p w14:paraId="67CE6558">
      <w:pPr>
        <w:spacing w:line="600" w:lineRule="exact"/>
        <w:ind w:firstLine="3988" w:firstLineChars="1662"/>
        <w:rPr>
          <w:rFonts w:ascii="宋体" w:hAnsi="宋体"/>
          <w:sz w:val="24"/>
          <w:szCs w:val="24"/>
          <w:highlight w:val="none"/>
        </w:rPr>
      </w:pPr>
      <w:r>
        <w:rPr>
          <w:rFonts w:hint="eastAsia" w:ascii="宋体" w:hAnsi="宋体"/>
          <w:sz w:val="24"/>
          <w:szCs w:val="24"/>
          <w:highlight w:val="none"/>
        </w:rPr>
        <w:t>投标人</w:t>
      </w:r>
      <w:r>
        <w:rPr>
          <w:rFonts w:hint="eastAsia" w:ascii="宋体" w:hAnsi="宋体"/>
          <w:sz w:val="24"/>
          <w:szCs w:val="24"/>
          <w:highlight w:val="none"/>
          <w:lang w:eastAsia="zh-CN"/>
        </w:rPr>
        <w:t>：</w:t>
      </w:r>
      <w:r>
        <w:rPr>
          <w:rFonts w:hint="eastAsia" w:ascii="宋体" w:hAnsi="宋体"/>
          <w:sz w:val="24"/>
          <w:szCs w:val="24"/>
          <w:highlight w:val="none"/>
          <w:u w:val="single"/>
        </w:rPr>
        <w:t xml:space="preserve">           </w:t>
      </w:r>
      <w:r>
        <w:rPr>
          <w:rFonts w:hint="eastAsia" w:ascii="宋体" w:hAnsi="宋体"/>
          <w:sz w:val="24"/>
          <w:szCs w:val="24"/>
          <w:highlight w:val="none"/>
        </w:rPr>
        <w:t>(盖</w:t>
      </w:r>
      <w:r>
        <w:rPr>
          <w:rFonts w:hint="eastAsia" w:ascii="宋体" w:hAnsi="宋体"/>
          <w:sz w:val="24"/>
          <w:szCs w:val="24"/>
          <w:highlight w:val="none"/>
          <w:lang w:val="en-US" w:eastAsia="zh-CN"/>
        </w:rPr>
        <w:t>单位</w:t>
      </w:r>
      <w:r>
        <w:rPr>
          <w:rFonts w:hint="eastAsia" w:ascii="宋体" w:hAnsi="宋体"/>
          <w:sz w:val="24"/>
          <w:szCs w:val="24"/>
          <w:highlight w:val="none"/>
        </w:rPr>
        <w:t>章)：</w:t>
      </w:r>
    </w:p>
    <w:p w14:paraId="6BB3F619">
      <w:pPr>
        <w:spacing w:line="600" w:lineRule="exact"/>
        <w:ind w:firstLine="3988" w:firstLineChars="1662"/>
        <w:rPr>
          <w:rFonts w:ascii="宋体" w:hAnsi="宋体"/>
          <w:sz w:val="24"/>
          <w:szCs w:val="24"/>
          <w:highlight w:val="none"/>
        </w:rPr>
      </w:pPr>
      <w:r>
        <w:rPr>
          <w:rFonts w:hint="eastAsia" w:ascii="宋体" w:hAnsi="宋体"/>
          <w:sz w:val="24"/>
          <w:szCs w:val="24"/>
          <w:highlight w:val="none"/>
        </w:rPr>
        <w:t>法定代表人：</w:t>
      </w:r>
      <w:r>
        <w:rPr>
          <w:rFonts w:hint="eastAsia" w:ascii="宋体" w:hAnsi="宋体"/>
          <w:sz w:val="24"/>
          <w:szCs w:val="24"/>
          <w:highlight w:val="none"/>
          <w:u w:val="single"/>
        </w:rPr>
        <w:t xml:space="preserve">            （签字）</w:t>
      </w:r>
    </w:p>
    <w:p w14:paraId="18279697">
      <w:pPr>
        <w:spacing w:line="600" w:lineRule="exact"/>
        <w:ind w:firstLine="4008" w:firstLineChars="1670"/>
        <w:rPr>
          <w:rFonts w:ascii="宋体" w:hAnsi="宋体"/>
          <w:sz w:val="24"/>
          <w:szCs w:val="24"/>
          <w:highlight w:val="none"/>
        </w:rPr>
      </w:pPr>
      <w:r>
        <w:rPr>
          <w:rFonts w:hint="eastAsia" w:ascii="宋体" w:hAnsi="宋体"/>
          <w:sz w:val="24"/>
          <w:szCs w:val="24"/>
          <w:highlight w:val="none"/>
        </w:rPr>
        <w:t>日    期：</w:t>
      </w:r>
      <w:r>
        <w:rPr>
          <w:rFonts w:hint="eastAsia" w:ascii="宋体" w:hAnsi="宋体"/>
          <w:sz w:val="24"/>
          <w:highlight w:val="none"/>
          <w:u w:val="single"/>
        </w:rPr>
        <w:t xml:space="preserve">     </w:t>
      </w:r>
      <w:r>
        <w:rPr>
          <w:sz w:val="24"/>
          <w:szCs w:val="24"/>
          <w:highlight w:val="none"/>
        </w:rPr>
        <w:t>年</w:t>
      </w:r>
      <w:r>
        <w:rPr>
          <w:rFonts w:hint="eastAsia" w:ascii="宋体" w:hAnsi="宋体"/>
          <w:sz w:val="24"/>
          <w:highlight w:val="none"/>
          <w:u w:val="single"/>
        </w:rPr>
        <w:t xml:space="preserve">     </w:t>
      </w:r>
      <w:r>
        <w:rPr>
          <w:sz w:val="24"/>
          <w:szCs w:val="24"/>
          <w:highlight w:val="none"/>
        </w:rPr>
        <w:t>月</w:t>
      </w:r>
      <w:r>
        <w:rPr>
          <w:rFonts w:hint="eastAsia" w:ascii="宋体" w:hAnsi="宋体"/>
          <w:sz w:val="24"/>
          <w:highlight w:val="none"/>
          <w:u w:val="single"/>
        </w:rPr>
        <w:t xml:space="preserve">     </w:t>
      </w:r>
      <w:r>
        <w:rPr>
          <w:sz w:val="24"/>
          <w:szCs w:val="24"/>
          <w:highlight w:val="none"/>
        </w:rPr>
        <w:t>日</w:t>
      </w:r>
    </w:p>
    <w:p w14:paraId="4A99A3C9">
      <w:pPr>
        <w:pStyle w:val="26"/>
        <w:rPr>
          <w:highlight w:val="none"/>
        </w:rPr>
      </w:pPr>
    </w:p>
    <w:sectPr>
      <w:headerReference r:id="rId17" w:type="default"/>
      <w:footerReference r:id="rId18" w:type="default"/>
      <w:pgSz w:w="11906" w:h="16838"/>
      <w:pgMar w:top="1418" w:right="1134" w:bottom="1418" w:left="1575" w:header="851" w:footer="73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A6CCF5-40E4-4363-9D7C-13954FA9BC5C}"/>
  </w:font>
  <w:font w:name="Arial">
    <w:panose1 w:val="020B0604020202020204"/>
    <w:charset w:val="01"/>
    <w:family w:val="swiss"/>
    <w:pitch w:val="default"/>
    <w:sig w:usb0="E0002EFF" w:usb1="C000785B" w:usb2="00000009" w:usb3="00000000" w:csb0="400001FF" w:csb1="FFFF0000"/>
    <w:embedRegular r:id="rId2" w:fontKey="{814A47A2-7427-46B1-A38C-7882D754968C}"/>
  </w:font>
  <w:font w:name="黑体">
    <w:panose1 w:val="02010609060101010101"/>
    <w:charset w:val="86"/>
    <w:family w:val="auto"/>
    <w:pitch w:val="default"/>
    <w:sig w:usb0="800002BF" w:usb1="38CF7CFA" w:usb2="00000016" w:usb3="00000000" w:csb0="00040001" w:csb1="00000000"/>
    <w:embedRegular r:id="rId3" w:fontKey="{57CFC4FE-32F0-461E-B598-28F49AAD58A2}"/>
  </w:font>
  <w:font w:name="Courier New">
    <w:panose1 w:val="02070309020205020404"/>
    <w:charset w:val="01"/>
    <w:family w:val="modern"/>
    <w:pitch w:val="default"/>
    <w:sig w:usb0="E0002EFF" w:usb1="C0007843" w:usb2="00000009" w:usb3="00000000" w:csb0="400001FF" w:csb1="FFFF0000"/>
    <w:embedRegular r:id="rId4" w:fontKey="{CD5B2FD3-B536-4361-BC4B-3BBAB8FAE97E}"/>
  </w:font>
  <w:font w:name="Symbol">
    <w:panose1 w:val="05050102010706020507"/>
    <w:charset w:val="02"/>
    <w:family w:val="roman"/>
    <w:pitch w:val="default"/>
    <w:sig w:usb0="00000000" w:usb1="00000000" w:usb2="00000000" w:usb3="00000000" w:csb0="80000000" w:csb1="00000000"/>
    <w:embedRegular r:id="rId5" w:fontKey="{F893F8FE-5DFE-488C-B0D2-FA28A4B8A7F9}"/>
  </w:font>
  <w:font w:name="Calibri">
    <w:panose1 w:val="020F0502020204030204"/>
    <w:charset w:val="00"/>
    <w:family w:val="swiss"/>
    <w:pitch w:val="default"/>
    <w:sig w:usb0="E4002EFF" w:usb1="C000247B" w:usb2="00000009" w:usb3="00000000" w:csb0="200001FF" w:csb1="00000000"/>
    <w:embedRegular r:id="rId6" w:fontKey="{9E5B40CF-1EB6-4FD4-8552-3EF13581E364}"/>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7" w:fontKey="{9EDF8BA5-596B-463F-84D4-1B2E0CFDD5AE}"/>
  </w:font>
  <w:font w:name="仿宋_GB2312">
    <w:panose1 w:val="02010609030101010101"/>
    <w:charset w:val="86"/>
    <w:family w:val="modern"/>
    <w:pitch w:val="default"/>
    <w:sig w:usb0="00000001" w:usb1="080E0000" w:usb2="00000000" w:usb3="00000000" w:csb0="00040000" w:csb1="00000000"/>
    <w:embedRegular r:id="rId8" w:fontKey="{8C26C210-D5F7-4BAE-92CC-BA757DB099DE}"/>
  </w:font>
  <w:font w:name="Tahoma">
    <w:panose1 w:val="020B0604030504040204"/>
    <w:charset w:val="00"/>
    <w:family w:val="swiss"/>
    <w:pitch w:val="default"/>
    <w:sig w:usb0="E1002EFF" w:usb1="C000605B" w:usb2="00000029" w:usb3="00000000" w:csb0="200101FF" w:csb1="20280000"/>
    <w:embedRegular r:id="rId9" w:fontKey="{87B420DF-CAA3-4F15-BE9E-ABDF34F2DA58}"/>
  </w:font>
  <w:font w:name="楷体_GB2312">
    <w:panose1 w:val="02010609030101010101"/>
    <w:charset w:val="86"/>
    <w:family w:val="modern"/>
    <w:pitch w:val="default"/>
    <w:sig w:usb0="00000001" w:usb1="080E0000" w:usb2="00000000" w:usb3="00000000" w:csb0="00040000" w:csb1="00000000"/>
    <w:embedRegular r:id="rId10" w:fontKey="{8C1BCD93-3B1E-43B5-80F1-FB731BA5B9ED}"/>
  </w:font>
  <w:font w:name="隶书">
    <w:panose1 w:val="02010509060101010101"/>
    <w:charset w:val="86"/>
    <w:family w:val="modern"/>
    <w:pitch w:val="default"/>
    <w:sig w:usb0="00000001" w:usb1="080E0000" w:usb2="00000000" w:usb3="00000000" w:csb0="00040000" w:csb1="00000000"/>
    <w:embedRegular r:id="rId11" w:fontKey="{7B87A397-BA29-4D5D-925F-F8665C0FDDB2}"/>
  </w:font>
  <w:font w:name="华文中宋">
    <w:panose1 w:val="02010600040101010101"/>
    <w:charset w:val="86"/>
    <w:family w:val="auto"/>
    <w:pitch w:val="default"/>
    <w:sig w:usb0="00000287" w:usb1="080F0000" w:usb2="00000000" w:usb3="00000000" w:csb0="0004009F" w:csb1="DFD70000"/>
    <w:embedRegular r:id="rId12" w:fontKey="{1146B86A-1579-4C8E-899E-95DD8D049025}"/>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13" w:fontKey="{57C3FC43-82F8-4C10-9B17-B32059ADEAE9}"/>
  </w:font>
  <w:font w:name="方正仿宋简体">
    <w:altName w:val="微软雅黑"/>
    <w:panose1 w:val="03000509000000000000"/>
    <w:charset w:val="86"/>
    <w:family w:val="script"/>
    <w:pitch w:val="default"/>
    <w:sig w:usb0="00000000" w:usb1="00000000" w:usb2="00000010" w:usb3="00000000" w:csb0="00040000" w:csb1="00000000"/>
    <w:embedRegular r:id="rId14" w:fontKey="{DDFD28E0-AF89-467D-9762-B8FE597799A2}"/>
  </w:font>
  <w:font w:name="微软雅黑">
    <w:panose1 w:val="020B0503020204020204"/>
    <w:charset w:val="86"/>
    <w:family w:val="auto"/>
    <w:pitch w:val="default"/>
    <w:sig w:usb0="80000287" w:usb1="2ACF3C50" w:usb2="00000016" w:usb3="00000000" w:csb0="0004001F" w:csb1="00000000"/>
  </w:font>
  <w:font w:name="??_GB2312">
    <w:altName w:val="Times New Roman"/>
    <w:panose1 w:val="00000000000000000000"/>
    <w:charset w:val="00"/>
    <w:family w:val="auto"/>
    <w:pitch w:val="default"/>
    <w:sig w:usb0="00000000" w:usb1="00000000" w:usb2="00000000" w:usb3="00000000" w:csb0="00000001" w:csb1="00000000"/>
  </w:font>
  <w:font w:name="Gulim">
    <w:panose1 w:val="020B0600000101010101"/>
    <w:charset w:val="81"/>
    <w:family w:val="swiss"/>
    <w:pitch w:val="default"/>
    <w:sig w:usb0="B00002AF" w:usb1="69D77CFB" w:usb2="00000030" w:usb3="00000000" w:csb0="4008009F" w:csb1="DFD70000"/>
    <w:embedRegular r:id="rId15" w:fontKey="{F2C30DE0-5EED-4DC7-B06E-B57531257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CA14D">
    <w:pPr>
      <w:pStyle w:val="32"/>
      <w:tabs>
        <w:tab w:val="center" w:pos="453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 name="矩形 7"/>
              <wp:cNvGraphicFramePr/>
              <a:graphic xmlns:a="http://schemas.openxmlformats.org/drawingml/2006/main">
                <a:graphicData uri="http://schemas.microsoft.com/office/word/2010/wordprocessingShape">
                  <wps:wsp>
                    <wps:cNvSpPr/>
                    <wps:spPr>
                      <a:xfrm>
                        <a:off x="0" y="0"/>
                        <a:ext cx="114935" cy="153035"/>
                      </a:xfrm>
                      <a:prstGeom prst="rect">
                        <a:avLst/>
                      </a:prstGeom>
                      <a:noFill/>
                      <a:ln>
                        <a:noFill/>
                      </a:ln>
                      <a:effectLst/>
                    </wps:spPr>
                    <wps:txbx>
                      <w:txbxContent>
                        <w:p w14:paraId="3B70CFFA"/>
                      </w:txbxContent>
                    </wps:txbx>
                    <wps:bodyPr wrap="none" lIns="0" tIns="0" rIns="0" bIns="0" upright="0">
                      <a:spAutoFit/>
                    </wps:bodyPr>
                  </wps:wsp>
                </a:graphicData>
              </a:graphic>
            </wp:anchor>
          </w:drawing>
        </mc:Choice>
        <mc:Fallback>
          <w:pict>
            <v:rect id="矩形 7" o:spid="_x0000_s1026" o:spt="1"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MR0QAAAAMBAAAPAAAAAAAAAAEAIAAAACIAAABkcnMvZG93bnJldi54&#10;bWxQSwECFAAUAAAACACHTuJAk10dhsgBAACYAwAADgAAAAAAAAABACAAAAAgAQAAZHJzL2Uyb0Rv&#10;Yy54bWxQSwUGAAAAAAYABgBZAQAAWgUAAAAA&#10;">
              <v:fill on="f" focussize="0,0"/>
              <v:stroke on="f"/>
              <v:imagedata o:title=""/>
              <o:lock v:ext="edit" aspectratio="f"/>
              <v:textbox inset="0mm,0mm,0mm,0mm" style="mso-fit-shape-to-text:t;">
                <w:txbxContent>
                  <w:p w14:paraId="3B70CFFA"/>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C146A">
    <w:pPr>
      <w:pStyle w:val="32"/>
      <w:tabs>
        <w:tab w:val="center" w:pos="4535"/>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4FDC72">
                          <w:pPr>
                            <w:pStyle w:val="3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2sTMkBAACZ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zaxMyQEAAJkDAAAOAAAAAAAAAAEAIAAAAB4BAABkcnMvZTJvRG9j&#10;LnhtbFBLBQYAAAAABgAGAFkBAABZBQAAAAA=&#10;">
              <v:fill on="f" focussize="0,0"/>
              <v:stroke on="f"/>
              <v:imagedata o:title=""/>
              <o:lock v:ext="edit" aspectratio="f"/>
              <v:textbox inset="0mm,0mm,0mm,0mm" style="mso-fit-shape-to-text:t;">
                <w:txbxContent>
                  <w:p w14:paraId="5F4FDC72">
                    <w:pPr>
                      <w:pStyle w:val="32"/>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2" name="矩形 7"/>
              <wp:cNvGraphicFramePr/>
              <a:graphic xmlns:a="http://schemas.openxmlformats.org/drawingml/2006/main">
                <a:graphicData uri="http://schemas.microsoft.com/office/word/2010/wordprocessingShape">
                  <wps:wsp>
                    <wps:cNvSpPr/>
                    <wps:spPr>
                      <a:xfrm>
                        <a:off x="0" y="0"/>
                        <a:ext cx="114935" cy="153035"/>
                      </a:xfrm>
                      <a:prstGeom prst="rect">
                        <a:avLst/>
                      </a:prstGeom>
                      <a:noFill/>
                      <a:ln>
                        <a:noFill/>
                      </a:ln>
                      <a:effectLst/>
                    </wps:spPr>
                    <wps:txbx>
                      <w:txbxContent>
                        <w:p w14:paraId="0653750D"/>
                      </w:txbxContent>
                    </wps:txbx>
                    <wps:bodyPr wrap="none" lIns="0" tIns="0" rIns="0" bIns="0" upright="0">
                      <a:spAutoFit/>
                    </wps:bodyPr>
                  </wps:wsp>
                </a:graphicData>
              </a:graphic>
            </wp:anchor>
          </w:drawing>
        </mc:Choice>
        <mc:Fallback>
          <w:pict>
            <v:rect id="矩形 7" o:spid="_x0000_s1026" o:spt="1"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l/jEdEAAAADAQAADwAAAAAAAAABACAAAAAiAAAAZHJzL2Rvd25yZXYu&#10;eG1sUEsBAhQAFAAAAAgAh07iQFHS2sDJAQAAmAMAAA4AAAAAAAAAAQAgAAAAIAEAAGRycy9lMm9E&#10;b2MueG1sUEsFBgAAAAAGAAYAWQEAAFsFAAAAAA==&#10;">
              <v:fill on="f" focussize="0,0"/>
              <v:stroke on="f"/>
              <v:imagedata o:title=""/>
              <o:lock v:ext="edit" aspectratio="f"/>
              <v:textbox inset="0mm,0mm,0mm,0mm" style="mso-fit-shape-to-text:t;">
                <w:txbxContent>
                  <w:p w14:paraId="0653750D"/>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ACF58">
    <w:pPr>
      <w:pStyle w:val="32"/>
      <w:pBdr>
        <w:top w:val="single" w:color="auto" w:sz="4" w:space="1"/>
      </w:pBdr>
      <w:jc w:val="center"/>
      <w:rPr>
        <w:sz w:val="21"/>
        <w:szCs w:val="21"/>
        <w:highlight w:val="none"/>
        <w:lang w:val="zh-CN"/>
      </w:rPr>
    </w:pPr>
    <w:r>
      <w:rPr>
        <w:sz w:val="21"/>
        <w:highlight w:val="non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C6D83">
                          <w:pPr>
                            <w:pStyle w:val="3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Jkj8cBAACa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SpZF&#10;nz5AjWkPARPT8MYPuDVZt+wHdGbag4o2f5EQwTiqe76qK4dERH60Xq3XFYYExuYL4rDb8xAhvZXe&#10;kmw0NOL4iqr89B7SmDqn5GrO32tjygiN+8uBmNnDbj1mKw37YWp879sz8ulx8g11uOiUmHcOhc1L&#10;MhtxNvazcQxRH7qyRbkehNfHhE2U3nKFEXYqjCMr7Kb1yjvx571k3X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aJkj8cBAACaAwAADgAAAAAAAAABACAAAAAeAQAAZHJzL2Uyb0RvYy54&#10;bWxQSwUGAAAAAAYABgBZAQAAVwUAAAAA&#10;">
              <v:fill on="f" focussize="0,0"/>
              <v:stroke on="f"/>
              <v:imagedata o:title=""/>
              <o:lock v:ext="edit" aspectratio="f"/>
              <v:textbox inset="0mm,0mm,0mm,0mm" style="mso-fit-shape-to-text:t;">
                <w:txbxContent>
                  <w:p w14:paraId="6A8C6D83">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43BF5">
    <w:pPr>
      <w:pStyle w:val="32"/>
      <w:pBdr>
        <w:top w:val="single" w:color="auto" w:sz="4" w:space="1"/>
      </w:pBd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53EE52">
                          <w:pPr>
                            <w:pStyle w:val="3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GhXs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waFeyQEAAJoDAAAOAAAAAAAAAAEAIAAAAB4BAABkcnMvZTJvRG9j&#10;LnhtbFBLBQYAAAAABgAGAFkBAABZBQAAAAA=&#10;">
              <v:fill on="f" focussize="0,0"/>
              <v:stroke on="f"/>
              <v:imagedata o:title=""/>
              <o:lock v:ext="edit" aspectratio="f"/>
              <v:textbox inset="0mm,0mm,0mm,0mm" style="mso-fit-shape-to-text:t;">
                <w:txbxContent>
                  <w:p w14:paraId="2253EE52">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F214">
    <w:pPr>
      <w:widowControl w:val="0"/>
      <w:tabs>
        <w:tab w:val="center" w:pos="4153"/>
        <w:tab w:val="right" w:pos="8306"/>
      </w:tabs>
      <w:snapToGrid w:val="0"/>
      <w:jc w:val="center"/>
      <w:rPr>
        <w:rFonts w:ascii="Calibri" w:hAnsi="Calibri" w:eastAsia="仿宋_GB2312" w:cs="Calibri"/>
        <w:kern w:val="2"/>
        <w:sz w:val="24"/>
        <w:lang w:val="en-US" w:eastAsia="zh-CN" w:bidi="ar-SA"/>
      </w:rPr>
    </w:pPr>
    <w:r>
      <w:rPr>
        <w:rFonts w:ascii="Calibri" w:hAnsi="Calibri" w:eastAsia="宋体" w:cs="Calibri"/>
        <w:kern w:val="2"/>
        <w:sz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11" name="文本框 1025"/>
              <wp:cNvGraphicFramePr/>
              <a:graphic xmlns:a="http://schemas.openxmlformats.org/drawingml/2006/main">
                <a:graphicData uri="http://schemas.microsoft.com/office/word/2010/wordprocessingShape">
                  <wps:wsp>
                    <wps:cNvSpPr txBox="1"/>
                    <wps:spPr>
                      <a:xfrm>
                        <a:off x="0" y="0"/>
                        <a:ext cx="172085" cy="131445"/>
                      </a:xfrm>
                      <a:prstGeom prst="rect">
                        <a:avLst/>
                      </a:prstGeom>
                      <a:noFill/>
                      <a:ln>
                        <a:noFill/>
                      </a:ln>
                      <a:effectLst/>
                    </wps:spPr>
                    <wps:txbx>
                      <w:txbxContent>
                        <w:p w14:paraId="51910846">
                          <w:pPr>
                            <w:widowControl w:val="0"/>
                            <w:tabs>
                              <w:tab w:val="center" w:pos="4153"/>
                              <w:tab w:val="right" w:pos="8306"/>
                            </w:tabs>
                            <w:snapToGrid w:val="0"/>
                            <w:jc w:val="center"/>
                            <w:rPr>
                              <w:rFonts w:ascii="Calibri" w:hAnsi="Calibri" w:eastAsia="宋体" w:cs="Calibri"/>
                              <w:kern w:val="2"/>
                              <w:sz w:val="18"/>
                              <w:lang w:val="en-US" w:eastAsia="zh-CN" w:bidi="ar-SA"/>
                            </w:rPr>
                          </w:pPr>
                          <w:r>
                            <w:rPr>
                              <w:rFonts w:ascii="Calibri" w:hAnsi="Calibri" w:eastAsia="仿宋_GB2312" w:cs="Calibri"/>
                              <w:kern w:val="2"/>
                              <w:sz w:val="24"/>
                              <w:lang w:val="en-US" w:eastAsia="zh-CN" w:bidi="ar-SA"/>
                            </w:rPr>
                            <w:fldChar w:fldCharType="begin"/>
                          </w:r>
                          <w:r>
                            <w:rPr>
                              <w:rFonts w:ascii="Calibri" w:hAnsi="Calibri" w:eastAsia="仿宋_GB2312" w:cs="Calibri"/>
                              <w:kern w:val="2"/>
                              <w:sz w:val="24"/>
                              <w:lang w:val="en-US" w:eastAsia="zh-CN" w:bidi="ar-SA"/>
                            </w:rPr>
                            <w:instrText xml:space="preserve"> PAGE  \* MERGEFORMAT </w:instrText>
                          </w:r>
                          <w:r>
                            <w:rPr>
                              <w:rFonts w:ascii="Calibri" w:hAnsi="Calibri" w:eastAsia="仿宋_GB2312" w:cs="Calibri"/>
                              <w:kern w:val="2"/>
                              <w:sz w:val="24"/>
                              <w:lang w:val="en-US" w:eastAsia="zh-CN" w:bidi="ar-SA"/>
                            </w:rPr>
                            <w:fldChar w:fldCharType="separate"/>
                          </w:r>
                          <w:r>
                            <w:rPr>
                              <w:rFonts w:ascii="Calibri" w:hAnsi="Calibri" w:eastAsia="宋体" w:cs="Calibri"/>
                              <w:kern w:val="2"/>
                              <w:sz w:val="18"/>
                              <w:lang w:val="en-US" w:eastAsia="zh-CN" w:bidi="ar-SA"/>
                            </w:rPr>
                            <w:t>92</w:t>
                          </w:r>
                          <w:r>
                            <w:rPr>
                              <w:rFonts w:ascii="Calibri" w:hAnsi="Calibri" w:eastAsia="仿宋_GB2312" w:cs="Calibri"/>
                              <w:kern w:val="2"/>
                              <w:sz w:val="24"/>
                              <w:lang w:val="en-US" w:eastAsia="zh-CN" w:bidi="ar-S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i6WFNAAAAADAQAADwAAAAAAAAABACAAAAAiAAAA&#10;ZHJzL2Rvd25yZXYueG1sUEsBAhQAFAAAAAgAh07iQAN1H4zWAQAAqQMAAA4AAAAAAAAAAQAgAAAA&#10;HwEAAGRycy9lMm9Eb2MueG1sUEsFBgAAAAAGAAYAWQEAAGcFAAAAAA==&#10;">
              <v:fill on="f" focussize="0,0"/>
              <v:stroke on="f"/>
              <v:imagedata o:title=""/>
              <o:lock v:ext="edit" aspectratio="f"/>
              <v:textbox inset="0mm,0mm,0mm,0mm" style="mso-fit-shape-to-text:t;">
                <w:txbxContent>
                  <w:p w14:paraId="51910846">
                    <w:pPr>
                      <w:widowControl w:val="0"/>
                      <w:tabs>
                        <w:tab w:val="center" w:pos="4153"/>
                        <w:tab w:val="right" w:pos="8306"/>
                      </w:tabs>
                      <w:snapToGrid w:val="0"/>
                      <w:jc w:val="center"/>
                      <w:rPr>
                        <w:rFonts w:ascii="Calibri" w:hAnsi="Calibri" w:eastAsia="宋体" w:cs="Calibri"/>
                        <w:kern w:val="2"/>
                        <w:sz w:val="18"/>
                        <w:lang w:val="en-US" w:eastAsia="zh-CN" w:bidi="ar-SA"/>
                      </w:rPr>
                    </w:pPr>
                    <w:r>
                      <w:rPr>
                        <w:rFonts w:ascii="Calibri" w:hAnsi="Calibri" w:eastAsia="仿宋_GB2312" w:cs="Calibri"/>
                        <w:kern w:val="2"/>
                        <w:sz w:val="24"/>
                        <w:lang w:val="en-US" w:eastAsia="zh-CN" w:bidi="ar-SA"/>
                      </w:rPr>
                      <w:fldChar w:fldCharType="begin"/>
                    </w:r>
                    <w:r>
                      <w:rPr>
                        <w:rFonts w:ascii="Calibri" w:hAnsi="Calibri" w:eastAsia="仿宋_GB2312" w:cs="Calibri"/>
                        <w:kern w:val="2"/>
                        <w:sz w:val="24"/>
                        <w:lang w:val="en-US" w:eastAsia="zh-CN" w:bidi="ar-SA"/>
                      </w:rPr>
                      <w:instrText xml:space="preserve"> PAGE  \* MERGEFORMAT </w:instrText>
                    </w:r>
                    <w:r>
                      <w:rPr>
                        <w:rFonts w:ascii="Calibri" w:hAnsi="Calibri" w:eastAsia="仿宋_GB2312" w:cs="Calibri"/>
                        <w:kern w:val="2"/>
                        <w:sz w:val="24"/>
                        <w:lang w:val="en-US" w:eastAsia="zh-CN" w:bidi="ar-SA"/>
                      </w:rPr>
                      <w:fldChar w:fldCharType="separate"/>
                    </w:r>
                    <w:r>
                      <w:rPr>
                        <w:rFonts w:ascii="Calibri" w:hAnsi="Calibri" w:eastAsia="宋体" w:cs="Calibri"/>
                        <w:kern w:val="2"/>
                        <w:sz w:val="18"/>
                        <w:lang w:val="en-US" w:eastAsia="zh-CN" w:bidi="ar-SA"/>
                      </w:rPr>
                      <w:t>92</w:t>
                    </w:r>
                    <w:r>
                      <w:rPr>
                        <w:rFonts w:ascii="Calibri" w:hAnsi="Calibri" w:eastAsia="仿宋_GB2312" w:cs="Calibri"/>
                        <w:kern w:val="2"/>
                        <w:sz w:val="24"/>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FD595">
    <w:pPr>
      <w:widowControl w:val="0"/>
      <w:tabs>
        <w:tab w:val="center" w:pos="4153"/>
        <w:tab w:val="right" w:pos="8306"/>
      </w:tabs>
      <w:snapToGrid w:val="0"/>
      <w:jc w:val="left"/>
      <w:rPr>
        <w:rFonts w:ascii="Calibri" w:hAnsi="Calibri" w:eastAsia="宋体" w:cs="Calibri"/>
        <w:kern w:val="2"/>
        <w:sz w:val="18"/>
        <w:lang w:val="en-US" w:eastAsia="zh-CN" w:bidi="ar-SA"/>
      </w:rPr>
    </w:pPr>
    <w:r>
      <w:rPr>
        <w:rFonts w:ascii="Calibri" w:hAnsi="Calibri" w:eastAsia="宋体" w:cs="Calibri"/>
        <w:kern w:val="2"/>
        <w:sz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239788F5">
                          <w:pPr>
                            <w:widowControl w:val="0"/>
                            <w:tabs>
                              <w:tab w:val="center" w:pos="4153"/>
                              <w:tab w:val="right" w:pos="8306"/>
                            </w:tabs>
                            <w:snapToGrid w:val="0"/>
                            <w:jc w:val="left"/>
                            <w:rPr>
                              <w:rFonts w:ascii="Calibri" w:hAnsi="Calibri" w:eastAsia="宋体" w:cs="Calibri"/>
                              <w:kern w:val="2"/>
                              <w:sz w:val="18"/>
                              <w:lang w:val="en-US" w:eastAsia="zh-CN" w:bidi="ar-SA"/>
                            </w:rPr>
                          </w:pPr>
                          <w:r>
                            <w:rPr>
                              <w:rFonts w:ascii="Calibri" w:hAnsi="Calibri" w:eastAsia="宋体" w:cs="Calibri"/>
                              <w:kern w:val="2"/>
                              <w:sz w:val="18"/>
                              <w:lang w:val="en-US" w:eastAsia="zh-CN" w:bidi="ar-SA"/>
                            </w:rPr>
                            <w:fldChar w:fldCharType="begin"/>
                          </w:r>
                          <w:r>
                            <w:rPr>
                              <w:rFonts w:ascii="Calibri" w:hAnsi="Calibri" w:eastAsia="宋体" w:cs="Calibri"/>
                              <w:kern w:val="2"/>
                              <w:sz w:val="18"/>
                              <w:lang w:val="en-US" w:eastAsia="zh-CN" w:bidi="ar-SA"/>
                            </w:rPr>
                            <w:instrText xml:space="preserve"> PAGE  \* MERGEFORMAT </w:instrText>
                          </w:r>
                          <w:r>
                            <w:rPr>
                              <w:rFonts w:ascii="Calibri" w:hAnsi="Calibri" w:eastAsia="宋体" w:cs="Calibri"/>
                              <w:kern w:val="2"/>
                              <w:sz w:val="18"/>
                              <w:lang w:val="en-US" w:eastAsia="zh-CN" w:bidi="ar-SA"/>
                            </w:rPr>
                            <w:fldChar w:fldCharType="separate"/>
                          </w:r>
                          <w:r>
                            <w:rPr>
                              <w:rFonts w:ascii="Calibri" w:hAnsi="Calibri" w:eastAsia="宋体" w:cs="Calibri"/>
                              <w:kern w:val="2"/>
                              <w:sz w:val="18"/>
                              <w:lang w:val="en-US" w:eastAsia="zh-CN" w:bidi="ar-SA"/>
                            </w:rPr>
                            <w:t>33</w:t>
                          </w:r>
                          <w:r>
                            <w:rPr>
                              <w:rFonts w:ascii="Calibri" w:hAnsi="Calibri" w:eastAsia="宋体" w:cs="Calibri"/>
                              <w:kern w:val="2"/>
                              <w:sz w:val="18"/>
                              <w:lang w:val="en-US" w:eastAsia="zh-CN" w:bidi="ar-S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GLpYU0AAAAAMBAAAPAAAAAAAAAAEAIAAAACIAAABk&#10;cnMvZG93bnJldi54bWxQSwECFAAUAAAACACHTuJArmNCftUBAACpAwAADgAAAAAAAAABACAAAAAf&#10;AQAAZHJzL2Uyb0RvYy54bWxQSwUGAAAAAAYABgBZAQAAZgUAAAAA&#10;">
              <v:fill on="f" focussize="0,0"/>
              <v:stroke on="f"/>
              <v:imagedata o:title=""/>
              <o:lock v:ext="edit" aspectratio="f"/>
              <v:textbox inset="0mm,0mm,0mm,0mm" style="mso-fit-shape-to-text:t;">
                <w:txbxContent>
                  <w:p w14:paraId="239788F5">
                    <w:pPr>
                      <w:widowControl w:val="0"/>
                      <w:tabs>
                        <w:tab w:val="center" w:pos="4153"/>
                        <w:tab w:val="right" w:pos="8306"/>
                      </w:tabs>
                      <w:snapToGrid w:val="0"/>
                      <w:jc w:val="left"/>
                      <w:rPr>
                        <w:rFonts w:ascii="Calibri" w:hAnsi="Calibri" w:eastAsia="宋体" w:cs="Calibri"/>
                        <w:kern w:val="2"/>
                        <w:sz w:val="18"/>
                        <w:lang w:val="en-US" w:eastAsia="zh-CN" w:bidi="ar-SA"/>
                      </w:rPr>
                    </w:pPr>
                    <w:r>
                      <w:rPr>
                        <w:rFonts w:ascii="Calibri" w:hAnsi="Calibri" w:eastAsia="宋体" w:cs="Calibri"/>
                        <w:kern w:val="2"/>
                        <w:sz w:val="18"/>
                        <w:lang w:val="en-US" w:eastAsia="zh-CN" w:bidi="ar-SA"/>
                      </w:rPr>
                      <w:fldChar w:fldCharType="begin"/>
                    </w:r>
                    <w:r>
                      <w:rPr>
                        <w:rFonts w:ascii="Calibri" w:hAnsi="Calibri" w:eastAsia="宋体" w:cs="Calibri"/>
                        <w:kern w:val="2"/>
                        <w:sz w:val="18"/>
                        <w:lang w:val="en-US" w:eastAsia="zh-CN" w:bidi="ar-SA"/>
                      </w:rPr>
                      <w:instrText xml:space="preserve"> PAGE  \* MERGEFORMAT </w:instrText>
                    </w:r>
                    <w:r>
                      <w:rPr>
                        <w:rFonts w:ascii="Calibri" w:hAnsi="Calibri" w:eastAsia="宋体" w:cs="Calibri"/>
                        <w:kern w:val="2"/>
                        <w:sz w:val="18"/>
                        <w:lang w:val="en-US" w:eastAsia="zh-CN" w:bidi="ar-SA"/>
                      </w:rPr>
                      <w:fldChar w:fldCharType="separate"/>
                    </w:r>
                    <w:r>
                      <w:rPr>
                        <w:rFonts w:ascii="Calibri" w:hAnsi="Calibri" w:eastAsia="宋体" w:cs="Calibri"/>
                        <w:kern w:val="2"/>
                        <w:sz w:val="18"/>
                        <w:lang w:val="en-US" w:eastAsia="zh-CN" w:bidi="ar-SA"/>
                      </w:rPr>
                      <w:t>33</w:t>
                    </w:r>
                    <w:r>
                      <w:rPr>
                        <w:rFonts w:ascii="Calibri" w:hAnsi="Calibri" w:eastAsia="宋体" w:cs="Calibri"/>
                        <w:kern w:val="2"/>
                        <w:sz w:val="18"/>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13F3D">
    <w:pPr>
      <w:pStyle w:val="3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01B23E">
                          <w:pPr>
                            <w:pStyle w:val="3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Of98kBAACa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ly&#10;lfXpA9SY9hgwMQ33fsCtmf2Azkx7UNHmLxIiGEd1z1d15ZCIyI/Wq/W6wpDA2HxBfPb0PERIb6W3&#10;JBsNjTi+oio/vYc0ps4puZrzD9qYMkLj/nIgZvaw3PvYY7bSsB8mQnvfnpFPj5NvqMNFp8S8cyhs&#10;XpLZiLOxn41jiPrQlS3K9SDcHRM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0Y5/3yQEAAJoDAAAOAAAAAAAAAAEAIAAAAB4BAABkcnMvZTJvRG9j&#10;LnhtbFBLBQYAAAAABgAGAFkBAABZBQAAAAA=&#10;">
              <v:fill on="f" focussize="0,0"/>
              <v:stroke on="f"/>
              <v:imagedata o:title=""/>
              <o:lock v:ext="edit" aspectratio="f"/>
              <v:textbox inset="0mm,0mm,0mm,0mm" style="mso-fit-shape-to-text:t;">
                <w:txbxContent>
                  <w:p w14:paraId="6601B23E">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2E31">
    <w:pPr>
      <w:pStyle w:val="3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0" b="0"/>
              <wp:wrapNone/>
              <wp:docPr id="8" name="文本框 102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1FA45A45">
                          <w:pPr>
                            <w:pStyle w:val="32"/>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&#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GLpYU0AAAAAMBAAAPAAAAAAAAAAEAIAAAACIAAABk&#10;cnMvZG93bnJldi54bWxQSwECFAAUAAAACACHTuJA/zb1ItUBAACoAwAADgAAAAAAAAABACAAAAAf&#10;AQAAZHJzL2Uyb0RvYy54bWxQSwUGAAAAAAYABgBZAQAAZgUAAAAA&#10;">
              <v:fill on="f" focussize="0,0"/>
              <v:stroke on="f"/>
              <v:imagedata o:title=""/>
              <o:lock v:ext="edit" aspectratio="f"/>
              <v:textbox inset="0mm,0mm,0mm,0mm" style="mso-fit-shape-to-text:t;">
                <w:txbxContent>
                  <w:p w14:paraId="1FA45A45">
                    <w:pPr>
                      <w:pStyle w:val="3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278E4">
    <w:pPr>
      <w:pStyle w:val="32"/>
      <w:pBdr>
        <w:top w:val="single" w:color="auto" w:sz="4" w:space="1"/>
      </w:pBdr>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A1739B">
                          <w:pPr>
                            <w:pStyle w:val="3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BaJskBAACa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cAFomyQEAAJoDAAAOAAAAAAAAAAEAIAAAAB4BAABkcnMvZTJvRG9j&#10;LnhtbFBLBQYAAAAABgAGAFkBAABZBQAAAAA=&#10;">
              <v:fill on="f" focussize="0,0"/>
              <v:stroke on="f"/>
              <v:imagedata o:title=""/>
              <o:lock v:ext="edit" aspectratio="f"/>
              <v:textbox inset="0mm,0mm,0mm,0mm" style="mso-fit-shape-to-text:t;">
                <w:txbxContent>
                  <w:p w14:paraId="36A1739B">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22AF5">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5096C">
    <w:pPr>
      <w:pStyle w:val="33"/>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D761">
    <w:pPr>
      <w:pStyle w:val="33"/>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8610">
    <w:pPr>
      <w:pStyle w:val="33"/>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5F78A">
    <w:pPr>
      <w:pStyle w:val="33"/>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9A3A2">
    <w:pPr>
      <w:pStyle w:val="33"/>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C5213">
    <w:pPr>
      <w:pStyle w:val="3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2"/>
      <w:lvlText w:val=""/>
      <w:lvlJc w:val="left"/>
      <w:pPr>
        <w:tabs>
          <w:tab w:val="left" w:pos="360"/>
        </w:tabs>
        <w:ind w:left="360" w:hanging="360"/>
      </w:pPr>
      <w:rPr>
        <w:rFonts w:hint="default" w:ascii="Wingdings" w:hAnsi="Wingdings"/>
      </w:rPr>
    </w:lvl>
  </w:abstractNum>
  <w:abstractNum w:abstractNumId="1">
    <w:nsid w:val="16EE583C"/>
    <w:multiLevelType w:val="singleLevel"/>
    <w:tmpl w:val="16EE583C"/>
    <w:lvl w:ilvl="0" w:tentative="0">
      <w:start w:val="3"/>
      <w:numFmt w:val="decimal"/>
      <w:suff w:val="space"/>
      <w:lvlText w:val="（%1）"/>
      <w:lvlJc w:val="left"/>
    </w:lvl>
  </w:abstractNum>
  <w:abstractNum w:abstractNumId="2">
    <w:nsid w:val="27867228"/>
    <w:multiLevelType w:val="multilevel"/>
    <w:tmpl w:val="27867228"/>
    <w:lvl w:ilvl="0" w:tentative="0">
      <w:start w:val="1"/>
      <w:numFmt w:val="decimal"/>
      <w:lvlText w:val="%1."/>
      <w:lvlJc w:val="left"/>
      <w:pPr>
        <w:tabs>
          <w:tab w:val="left" w:pos="983"/>
        </w:tabs>
        <w:ind w:left="983" w:hanging="420"/>
      </w:pPr>
    </w:lvl>
    <w:lvl w:ilvl="1" w:tentative="0">
      <w:start w:val="1"/>
      <w:numFmt w:val="bullet"/>
      <w:pStyle w:val="67"/>
      <w:lvlText w:val=""/>
      <w:lvlJc w:val="left"/>
      <w:pPr>
        <w:tabs>
          <w:tab w:val="left" w:pos="1403"/>
        </w:tabs>
        <w:ind w:left="1403" w:hanging="420"/>
      </w:pPr>
      <w:rPr>
        <w:rFonts w:hint="default" w:ascii="Wingdings" w:hAnsi="Wingdings"/>
      </w:rPr>
    </w:lvl>
    <w:lvl w:ilvl="2" w:tentative="0">
      <w:start w:val="1"/>
      <w:numFmt w:val="lowerRoman"/>
      <w:lvlText w:val="%3."/>
      <w:lvlJc w:val="right"/>
      <w:pPr>
        <w:tabs>
          <w:tab w:val="left" w:pos="1823"/>
        </w:tabs>
        <w:ind w:left="1823" w:hanging="420"/>
      </w:pPr>
    </w:lvl>
    <w:lvl w:ilvl="3" w:tentative="0">
      <w:start w:val="1"/>
      <w:numFmt w:val="decimal"/>
      <w:lvlText w:val="%4."/>
      <w:lvlJc w:val="left"/>
      <w:pPr>
        <w:tabs>
          <w:tab w:val="left" w:pos="2243"/>
        </w:tabs>
        <w:ind w:left="2243" w:hanging="420"/>
      </w:pPr>
    </w:lvl>
    <w:lvl w:ilvl="4" w:tentative="0">
      <w:start w:val="1"/>
      <w:numFmt w:val="lowerLetter"/>
      <w:lvlText w:val="%5)"/>
      <w:lvlJc w:val="left"/>
      <w:pPr>
        <w:tabs>
          <w:tab w:val="left" w:pos="2663"/>
        </w:tabs>
        <w:ind w:left="2663" w:hanging="420"/>
      </w:pPr>
    </w:lvl>
    <w:lvl w:ilvl="5" w:tentative="0">
      <w:start w:val="1"/>
      <w:numFmt w:val="lowerRoman"/>
      <w:lvlText w:val="%6."/>
      <w:lvlJc w:val="right"/>
      <w:pPr>
        <w:tabs>
          <w:tab w:val="left" w:pos="3083"/>
        </w:tabs>
        <w:ind w:left="3083" w:hanging="420"/>
      </w:pPr>
    </w:lvl>
    <w:lvl w:ilvl="6" w:tentative="0">
      <w:start w:val="1"/>
      <w:numFmt w:val="decimal"/>
      <w:lvlText w:val="%7."/>
      <w:lvlJc w:val="left"/>
      <w:pPr>
        <w:tabs>
          <w:tab w:val="left" w:pos="3503"/>
        </w:tabs>
        <w:ind w:left="3503" w:hanging="420"/>
      </w:pPr>
    </w:lvl>
    <w:lvl w:ilvl="7" w:tentative="0">
      <w:start w:val="1"/>
      <w:numFmt w:val="lowerLetter"/>
      <w:lvlText w:val="%8)"/>
      <w:lvlJc w:val="left"/>
      <w:pPr>
        <w:tabs>
          <w:tab w:val="left" w:pos="3923"/>
        </w:tabs>
        <w:ind w:left="3923" w:hanging="420"/>
      </w:pPr>
    </w:lvl>
    <w:lvl w:ilvl="8" w:tentative="0">
      <w:start w:val="1"/>
      <w:numFmt w:val="lowerRoman"/>
      <w:lvlText w:val="%9."/>
      <w:lvlJc w:val="right"/>
      <w:pPr>
        <w:tabs>
          <w:tab w:val="left" w:pos="4343"/>
        </w:tabs>
        <w:ind w:left="4343" w:hanging="420"/>
      </w:pPr>
    </w:lvl>
  </w:abstractNum>
  <w:abstractNum w:abstractNumId="3">
    <w:nsid w:val="2BC15394"/>
    <w:multiLevelType w:val="singleLevel"/>
    <w:tmpl w:val="2BC15394"/>
    <w:lvl w:ilvl="0" w:tentative="0">
      <w:start w:val="0"/>
      <w:numFmt w:val="none"/>
      <w:pStyle w:val="153"/>
      <w:lvlText w:val=""/>
      <w:lvlJc w:val="left"/>
      <w:pPr>
        <w:tabs>
          <w:tab w:val="left" w:pos="0"/>
        </w:tabs>
      </w:pPr>
      <w:rPr>
        <w:rFonts w:hint="default" w:ascii="Wingdings" w:hAnsi="Wingdings"/>
        <w:sz w:val="13"/>
      </w:rPr>
    </w:lvl>
  </w:abstractNum>
  <w:abstractNum w:abstractNumId="4">
    <w:nsid w:val="385F41BF"/>
    <w:multiLevelType w:val="singleLevel"/>
    <w:tmpl w:val="385F41BF"/>
    <w:lvl w:ilvl="0" w:tentative="0">
      <w:start w:val="1"/>
      <w:numFmt w:val="bullet"/>
      <w:pStyle w:val="89"/>
      <w:lvlText w:val=""/>
      <w:lvlJc w:val="left"/>
      <w:pPr>
        <w:tabs>
          <w:tab w:val="left" w:pos="425"/>
        </w:tabs>
        <w:ind w:left="425" w:hanging="425"/>
      </w:pPr>
      <w:rPr>
        <w:rFonts w:hint="default" w:ascii="Wingdings" w:hAnsi="Wingdings"/>
        <w:sz w:val="15"/>
      </w:rPr>
    </w:lvl>
  </w:abstractNum>
  <w:abstractNum w:abstractNumId="5">
    <w:nsid w:val="3E1D16CC"/>
    <w:multiLevelType w:val="multilevel"/>
    <w:tmpl w:val="3E1D16CC"/>
    <w:lvl w:ilvl="0" w:tentative="0">
      <w:start w:val="1"/>
      <w:numFmt w:val="japaneseCounting"/>
      <w:pStyle w:val="175"/>
      <w:lvlText w:val="（%1）"/>
      <w:lvlJc w:val="left"/>
      <w:pPr>
        <w:tabs>
          <w:tab w:val="left" w:pos="855"/>
        </w:tabs>
        <w:ind w:left="855" w:hanging="8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EDC502D"/>
    <w:multiLevelType w:val="multilevel"/>
    <w:tmpl w:val="3EDC502D"/>
    <w:lvl w:ilvl="0" w:tentative="0">
      <w:start w:val="1"/>
      <w:numFmt w:val="chineseCountingThousand"/>
      <w:lvlText w:val="第%1部分"/>
      <w:lvlJc w:val="left"/>
      <w:pPr>
        <w:tabs>
          <w:tab w:val="left" w:pos="960"/>
        </w:tabs>
        <w:ind w:left="960" w:hanging="960"/>
      </w:pPr>
      <w:rPr>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45C42C9A"/>
    <w:multiLevelType w:val="multilevel"/>
    <w:tmpl w:val="45C42C9A"/>
    <w:lvl w:ilvl="0" w:tentative="0">
      <w:start w:val="1"/>
      <w:numFmt w:val="decimal"/>
      <w:pStyle w:val="2"/>
      <w:lvlText w:val="%1"/>
      <w:lvlJc w:val="left"/>
      <w:pPr>
        <w:tabs>
          <w:tab w:val="left" w:pos="3372"/>
        </w:tabs>
        <w:ind w:left="337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8">
    <w:nsid w:val="4BBD67A6"/>
    <w:multiLevelType w:val="singleLevel"/>
    <w:tmpl w:val="4BBD67A6"/>
    <w:lvl w:ilvl="0" w:tentative="0">
      <w:start w:val="1"/>
      <w:numFmt w:val="decimal"/>
      <w:pStyle w:val="64"/>
      <w:lvlText w:val="（%1）"/>
      <w:lvlJc w:val="left"/>
      <w:pPr>
        <w:tabs>
          <w:tab w:val="left" w:pos="720"/>
        </w:tabs>
        <w:ind w:left="720" w:hanging="720"/>
      </w:pPr>
      <w:rPr>
        <w:rFonts w:hint="default"/>
      </w:rPr>
    </w:lvl>
  </w:abstractNum>
  <w:abstractNum w:abstractNumId="9">
    <w:nsid w:val="547F5095"/>
    <w:multiLevelType w:val="multilevel"/>
    <w:tmpl w:val="547F5095"/>
    <w:lvl w:ilvl="0" w:tentative="0">
      <w:start w:val="1"/>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523A55C"/>
    <w:multiLevelType w:val="singleLevel"/>
    <w:tmpl w:val="5523A55C"/>
    <w:lvl w:ilvl="0" w:tentative="0">
      <w:start w:val="10"/>
      <w:numFmt w:val="decimal"/>
      <w:suff w:val="nothing"/>
      <w:lvlText w:val="（%1）"/>
      <w:lvlJc w:val="left"/>
    </w:lvl>
  </w:abstractNum>
  <w:abstractNum w:abstractNumId="11">
    <w:nsid w:val="5656B3F6"/>
    <w:multiLevelType w:val="singleLevel"/>
    <w:tmpl w:val="5656B3F6"/>
    <w:lvl w:ilvl="0" w:tentative="0">
      <w:start w:val="1"/>
      <w:numFmt w:val="bullet"/>
      <w:pStyle w:val="25"/>
      <w:lvlText w:val=""/>
      <w:legacy w:legacy="1" w:legacySpace="0" w:legacyIndent="360"/>
      <w:lvlJc w:val="left"/>
      <w:pPr>
        <w:ind w:left="2250" w:hanging="360"/>
      </w:pPr>
      <w:rPr>
        <w:rFonts w:hint="default" w:ascii="Courier New" w:hAnsi="Courier New"/>
        <w:sz w:val="22"/>
      </w:rPr>
    </w:lvl>
  </w:abstractNum>
  <w:abstractNum w:abstractNumId="12">
    <w:nsid w:val="6A763885"/>
    <w:multiLevelType w:val="singleLevel"/>
    <w:tmpl w:val="6A763885"/>
    <w:lvl w:ilvl="0" w:tentative="0">
      <w:start w:val="1"/>
      <w:numFmt w:val="decimal"/>
      <w:suff w:val="nothing"/>
      <w:lvlText w:val="%1）"/>
      <w:lvlJc w:val="left"/>
    </w:lvl>
  </w:abstractNum>
  <w:abstractNum w:abstractNumId="13">
    <w:nsid w:val="75A03F8D"/>
    <w:multiLevelType w:val="multilevel"/>
    <w:tmpl w:val="75A03F8D"/>
    <w:lvl w:ilvl="0" w:tentative="0">
      <w:start w:val="1"/>
      <w:numFmt w:val="chineseCountingThousand"/>
      <w:pStyle w:val="77"/>
      <w:lvlText w:val="(%1)"/>
      <w:lvlJc w:val="left"/>
      <w:pPr>
        <w:tabs>
          <w:tab w:val="left" w:pos="780"/>
        </w:tabs>
        <w:ind w:left="780" w:hanging="420"/>
      </w:pPr>
      <w:rPr>
        <w:rFonts w:hint="eastAsia" w:ascii="黑体" w:eastAsia="黑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0"/>
  </w:num>
  <w:num w:numId="3">
    <w:abstractNumId w:val="11"/>
  </w:num>
  <w:num w:numId="4">
    <w:abstractNumId w:val="8"/>
  </w:num>
  <w:num w:numId="5">
    <w:abstractNumId w:val="2"/>
  </w:num>
  <w:num w:numId="6">
    <w:abstractNumId w:val="13"/>
  </w:num>
  <w:num w:numId="7">
    <w:abstractNumId w:val="4"/>
  </w:num>
  <w:num w:numId="8">
    <w:abstractNumId w:val="3"/>
  </w:num>
  <w:num w:numId="9">
    <w:abstractNumId w:val="5"/>
  </w:num>
  <w:num w:numId="10">
    <w:abstractNumId w:val="9"/>
  </w:num>
  <w:num w:numId="11">
    <w:abstractNumId w:val="1"/>
  </w:num>
  <w:num w:numId="12">
    <w:abstractNumId w:val="6"/>
    <w:lvlOverride w:ilvl="0">
      <w:startOverride w:val="1"/>
    </w:lvlOverride>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NotTrackMoves/>
  <w:trackRevisions w:val="1"/>
  <w:documentProtection w:enforcement="0"/>
  <w:defaultTabStop w:val="424"/>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ZjBhNGNmNTE4ZDQ1ZTg2MzYyZDEwZmEzODY1MzUifQ=="/>
  </w:docVars>
  <w:rsids>
    <w:rsidRoot w:val="00B27CEA"/>
    <w:rsid w:val="00000516"/>
    <w:rsid w:val="000007D8"/>
    <w:rsid w:val="00001379"/>
    <w:rsid w:val="00002792"/>
    <w:rsid w:val="0000285E"/>
    <w:rsid w:val="000028DC"/>
    <w:rsid w:val="00002A62"/>
    <w:rsid w:val="00003262"/>
    <w:rsid w:val="00005D02"/>
    <w:rsid w:val="00005DE5"/>
    <w:rsid w:val="000066D7"/>
    <w:rsid w:val="000067C6"/>
    <w:rsid w:val="00006828"/>
    <w:rsid w:val="000107D7"/>
    <w:rsid w:val="00010EC0"/>
    <w:rsid w:val="000121FB"/>
    <w:rsid w:val="00012883"/>
    <w:rsid w:val="0001344E"/>
    <w:rsid w:val="00013536"/>
    <w:rsid w:val="00013DAD"/>
    <w:rsid w:val="0001489F"/>
    <w:rsid w:val="00015091"/>
    <w:rsid w:val="000152B5"/>
    <w:rsid w:val="000153A0"/>
    <w:rsid w:val="00015FB2"/>
    <w:rsid w:val="000160CE"/>
    <w:rsid w:val="0001681C"/>
    <w:rsid w:val="00016E2E"/>
    <w:rsid w:val="000170CA"/>
    <w:rsid w:val="000177BC"/>
    <w:rsid w:val="000210CC"/>
    <w:rsid w:val="00021548"/>
    <w:rsid w:val="00021585"/>
    <w:rsid w:val="00021AA5"/>
    <w:rsid w:val="00021BF1"/>
    <w:rsid w:val="00021FEF"/>
    <w:rsid w:val="0002225E"/>
    <w:rsid w:val="000248AC"/>
    <w:rsid w:val="000249E7"/>
    <w:rsid w:val="00025038"/>
    <w:rsid w:val="000258C7"/>
    <w:rsid w:val="000259D0"/>
    <w:rsid w:val="00026FDD"/>
    <w:rsid w:val="000272C9"/>
    <w:rsid w:val="000272E2"/>
    <w:rsid w:val="00032465"/>
    <w:rsid w:val="00032A41"/>
    <w:rsid w:val="00032DE4"/>
    <w:rsid w:val="00032E0C"/>
    <w:rsid w:val="0003301F"/>
    <w:rsid w:val="00034220"/>
    <w:rsid w:val="00034535"/>
    <w:rsid w:val="0003468E"/>
    <w:rsid w:val="000346B6"/>
    <w:rsid w:val="000350E3"/>
    <w:rsid w:val="0003578D"/>
    <w:rsid w:val="00035C29"/>
    <w:rsid w:val="000361B7"/>
    <w:rsid w:val="0003625A"/>
    <w:rsid w:val="00036420"/>
    <w:rsid w:val="000367FC"/>
    <w:rsid w:val="00036A1F"/>
    <w:rsid w:val="00037DFF"/>
    <w:rsid w:val="000408C6"/>
    <w:rsid w:val="00041A7B"/>
    <w:rsid w:val="00041D32"/>
    <w:rsid w:val="00042C3B"/>
    <w:rsid w:val="00042DD7"/>
    <w:rsid w:val="000435BB"/>
    <w:rsid w:val="0004395F"/>
    <w:rsid w:val="00043C66"/>
    <w:rsid w:val="00043CA2"/>
    <w:rsid w:val="00044FC0"/>
    <w:rsid w:val="00045949"/>
    <w:rsid w:val="0004640F"/>
    <w:rsid w:val="00046890"/>
    <w:rsid w:val="000476D2"/>
    <w:rsid w:val="0004790F"/>
    <w:rsid w:val="0005002B"/>
    <w:rsid w:val="0005069A"/>
    <w:rsid w:val="00050989"/>
    <w:rsid w:val="00050D6A"/>
    <w:rsid w:val="00050DB5"/>
    <w:rsid w:val="00050FBE"/>
    <w:rsid w:val="0005165B"/>
    <w:rsid w:val="00051BA6"/>
    <w:rsid w:val="00052A99"/>
    <w:rsid w:val="000533CF"/>
    <w:rsid w:val="0005367C"/>
    <w:rsid w:val="000540C7"/>
    <w:rsid w:val="00054E46"/>
    <w:rsid w:val="00056A03"/>
    <w:rsid w:val="00056CE7"/>
    <w:rsid w:val="00056F1E"/>
    <w:rsid w:val="00057343"/>
    <w:rsid w:val="00057768"/>
    <w:rsid w:val="00060652"/>
    <w:rsid w:val="00060DEE"/>
    <w:rsid w:val="00060ED3"/>
    <w:rsid w:val="00061C88"/>
    <w:rsid w:val="00062EB9"/>
    <w:rsid w:val="00062F39"/>
    <w:rsid w:val="000635D5"/>
    <w:rsid w:val="00063E27"/>
    <w:rsid w:val="00064976"/>
    <w:rsid w:val="00065050"/>
    <w:rsid w:val="00066FD6"/>
    <w:rsid w:val="00067E2B"/>
    <w:rsid w:val="00070185"/>
    <w:rsid w:val="00070469"/>
    <w:rsid w:val="00071557"/>
    <w:rsid w:val="00071893"/>
    <w:rsid w:val="00071D47"/>
    <w:rsid w:val="0007241E"/>
    <w:rsid w:val="00072D49"/>
    <w:rsid w:val="0007379C"/>
    <w:rsid w:val="00073841"/>
    <w:rsid w:val="00073D27"/>
    <w:rsid w:val="0007407E"/>
    <w:rsid w:val="00074CEB"/>
    <w:rsid w:val="00075AFB"/>
    <w:rsid w:val="00075B92"/>
    <w:rsid w:val="00075CC0"/>
    <w:rsid w:val="00076F87"/>
    <w:rsid w:val="0007702B"/>
    <w:rsid w:val="0007758B"/>
    <w:rsid w:val="00077852"/>
    <w:rsid w:val="0008088B"/>
    <w:rsid w:val="000808B3"/>
    <w:rsid w:val="000809DC"/>
    <w:rsid w:val="00080CFC"/>
    <w:rsid w:val="00080D97"/>
    <w:rsid w:val="00081DBB"/>
    <w:rsid w:val="00081E26"/>
    <w:rsid w:val="0008279F"/>
    <w:rsid w:val="00082BAA"/>
    <w:rsid w:val="0008316C"/>
    <w:rsid w:val="00083F86"/>
    <w:rsid w:val="0008468C"/>
    <w:rsid w:val="000847E2"/>
    <w:rsid w:val="000848A7"/>
    <w:rsid w:val="00085D71"/>
    <w:rsid w:val="00085F06"/>
    <w:rsid w:val="00085F81"/>
    <w:rsid w:val="000862CA"/>
    <w:rsid w:val="00087C10"/>
    <w:rsid w:val="00087EBA"/>
    <w:rsid w:val="00090396"/>
    <w:rsid w:val="00090647"/>
    <w:rsid w:val="00090C77"/>
    <w:rsid w:val="00090E3E"/>
    <w:rsid w:val="0009415B"/>
    <w:rsid w:val="00094760"/>
    <w:rsid w:val="000948D4"/>
    <w:rsid w:val="000956CC"/>
    <w:rsid w:val="0009600C"/>
    <w:rsid w:val="00096EDE"/>
    <w:rsid w:val="000971D3"/>
    <w:rsid w:val="00097B1B"/>
    <w:rsid w:val="00097BF2"/>
    <w:rsid w:val="000A032C"/>
    <w:rsid w:val="000A038D"/>
    <w:rsid w:val="000A07A7"/>
    <w:rsid w:val="000A0A1B"/>
    <w:rsid w:val="000A0FCE"/>
    <w:rsid w:val="000A1091"/>
    <w:rsid w:val="000A10D9"/>
    <w:rsid w:val="000A177B"/>
    <w:rsid w:val="000A26B4"/>
    <w:rsid w:val="000A2EE7"/>
    <w:rsid w:val="000A3447"/>
    <w:rsid w:val="000A39CE"/>
    <w:rsid w:val="000A39ED"/>
    <w:rsid w:val="000A47D1"/>
    <w:rsid w:val="000A47DA"/>
    <w:rsid w:val="000A48C5"/>
    <w:rsid w:val="000A4B16"/>
    <w:rsid w:val="000A4C23"/>
    <w:rsid w:val="000A52D1"/>
    <w:rsid w:val="000A62F8"/>
    <w:rsid w:val="000A7C0E"/>
    <w:rsid w:val="000B12EA"/>
    <w:rsid w:val="000B2CE6"/>
    <w:rsid w:val="000B2D66"/>
    <w:rsid w:val="000B2F21"/>
    <w:rsid w:val="000B585F"/>
    <w:rsid w:val="000B61C5"/>
    <w:rsid w:val="000B62B3"/>
    <w:rsid w:val="000B631B"/>
    <w:rsid w:val="000B685C"/>
    <w:rsid w:val="000B6D4C"/>
    <w:rsid w:val="000B6EB9"/>
    <w:rsid w:val="000B7BB5"/>
    <w:rsid w:val="000C00C6"/>
    <w:rsid w:val="000C02FD"/>
    <w:rsid w:val="000C05A6"/>
    <w:rsid w:val="000C1157"/>
    <w:rsid w:val="000C12AA"/>
    <w:rsid w:val="000C1417"/>
    <w:rsid w:val="000C216C"/>
    <w:rsid w:val="000C2186"/>
    <w:rsid w:val="000C2E16"/>
    <w:rsid w:val="000C3477"/>
    <w:rsid w:val="000C3F5B"/>
    <w:rsid w:val="000C4155"/>
    <w:rsid w:val="000C5913"/>
    <w:rsid w:val="000C5940"/>
    <w:rsid w:val="000C61FB"/>
    <w:rsid w:val="000C658A"/>
    <w:rsid w:val="000C75BE"/>
    <w:rsid w:val="000C7729"/>
    <w:rsid w:val="000D0336"/>
    <w:rsid w:val="000D10F2"/>
    <w:rsid w:val="000D1A08"/>
    <w:rsid w:val="000D232B"/>
    <w:rsid w:val="000D3CC9"/>
    <w:rsid w:val="000D3E22"/>
    <w:rsid w:val="000D4C2A"/>
    <w:rsid w:val="000D5161"/>
    <w:rsid w:val="000D569A"/>
    <w:rsid w:val="000D5B95"/>
    <w:rsid w:val="000D6BAF"/>
    <w:rsid w:val="000D72C0"/>
    <w:rsid w:val="000D7782"/>
    <w:rsid w:val="000D782F"/>
    <w:rsid w:val="000E0AE1"/>
    <w:rsid w:val="000E0BB4"/>
    <w:rsid w:val="000E196C"/>
    <w:rsid w:val="000E2D68"/>
    <w:rsid w:val="000E35AE"/>
    <w:rsid w:val="000E3978"/>
    <w:rsid w:val="000E47F3"/>
    <w:rsid w:val="000E4989"/>
    <w:rsid w:val="000E503D"/>
    <w:rsid w:val="000E57E6"/>
    <w:rsid w:val="000E7104"/>
    <w:rsid w:val="000E7BB2"/>
    <w:rsid w:val="000E7CEC"/>
    <w:rsid w:val="000F071E"/>
    <w:rsid w:val="000F1B2C"/>
    <w:rsid w:val="000F1B6D"/>
    <w:rsid w:val="000F1E14"/>
    <w:rsid w:val="000F2313"/>
    <w:rsid w:val="000F2619"/>
    <w:rsid w:val="000F3018"/>
    <w:rsid w:val="000F3B77"/>
    <w:rsid w:val="000F41DE"/>
    <w:rsid w:val="000F4F6B"/>
    <w:rsid w:val="000F5251"/>
    <w:rsid w:val="000F529D"/>
    <w:rsid w:val="000F6546"/>
    <w:rsid w:val="000F6A11"/>
    <w:rsid w:val="000F7D30"/>
    <w:rsid w:val="000F7E56"/>
    <w:rsid w:val="00100085"/>
    <w:rsid w:val="0010086C"/>
    <w:rsid w:val="00100D2B"/>
    <w:rsid w:val="00101436"/>
    <w:rsid w:val="00101480"/>
    <w:rsid w:val="001015F0"/>
    <w:rsid w:val="0010237A"/>
    <w:rsid w:val="00102D47"/>
    <w:rsid w:val="001034BF"/>
    <w:rsid w:val="00103927"/>
    <w:rsid w:val="00104129"/>
    <w:rsid w:val="00104317"/>
    <w:rsid w:val="0010457A"/>
    <w:rsid w:val="001060C2"/>
    <w:rsid w:val="001066B9"/>
    <w:rsid w:val="00106CB6"/>
    <w:rsid w:val="00110119"/>
    <w:rsid w:val="0011083C"/>
    <w:rsid w:val="00110995"/>
    <w:rsid w:val="0011124C"/>
    <w:rsid w:val="00111306"/>
    <w:rsid w:val="001121B3"/>
    <w:rsid w:val="00112463"/>
    <w:rsid w:val="001125D4"/>
    <w:rsid w:val="00112D21"/>
    <w:rsid w:val="00113612"/>
    <w:rsid w:val="001139CB"/>
    <w:rsid w:val="00113A15"/>
    <w:rsid w:val="0011458B"/>
    <w:rsid w:val="00114CD8"/>
    <w:rsid w:val="001151C0"/>
    <w:rsid w:val="00115653"/>
    <w:rsid w:val="001159BD"/>
    <w:rsid w:val="0011669E"/>
    <w:rsid w:val="00116988"/>
    <w:rsid w:val="001170CD"/>
    <w:rsid w:val="001172DE"/>
    <w:rsid w:val="0011735D"/>
    <w:rsid w:val="0012183B"/>
    <w:rsid w:val="001218C6"/>
    <w:rsid w:val="00121D12"/>
    <w:rsid w:val="00122099"/>
    <w:rsid w:val="00122107"/>
    <w:rsid w:val="00122944"/>
    <w:rsid w:val="00123653"/>
    <w:rsid w:val="00123AD2"/>
    <w:rsid w:val="00123E14"/>
    <w:rsid w:val="00124024"/>
    <w:rsid w:val="001253F0"/>
    <w:rsid w:val="00125413"/>
    <w:rsid w:val="00125C60"/>
    <w:rsid w:val="001263A9"/>
    <w:rsid w:val="001270B3"/>
    <w:rsid w:val="00127C87"/>
    <w:rsid w:val="001306F4"/>
    <w:rsid w:val="001308E9"/>
    <w:rsid w:val="00130C50"/>
    <w:rsid w:val="001337D6"/>
    <w:rsid w:val="00133BF5"/>
    <w:rsid w:val="00133C26"/>
    <w:rsid w:val="00134116"/>
    <w:rsid w:val="001349D0"/>
    <w:rsid w:val="001362E9"/>
    <w:rsid w:val="001405A3"/>
    <w:rsid w:val="00140A82"/>
    <w:rsid w:val="00141191"/>
    <w:rsid w:val="001413A6"/>
    <w:rsid w:val="0014154A"/>
    <w:rsid w:val="00141DEC"/>
    <w:rsid w:val="00143331"/>
    <w:rsid w:val="001436AE"/>
    <w:rsid w:val="00143F2F"/>
    <w:rsid w:val="00144B50"/>
    <w:rsid w:val="00144E38"/>
    <w:rsid w:val="0014564F"/>
    <w:rsid w:val="00145D8C"/>
    <w:rsid w:val="001466BE"/>
    <w:rsid w:val="00146D9F"/>
    <w:rsid w:val="001470D7"/>
    <w:rsid w:val="0014762A"/>
    <w:rsid w:val="001479DB"/>
    <w:rsid w:val="00147D0F"/>
    <w:rsid w:val="00151717"/>
    <w:rsid w:val="001522AC"/>
    <w:rsid w:val="00152BD0"/>
    <w:rsid w:val="00152FE8"/>
    <w:rsid w:val="00153021"/>
    <w:rsid w:val="001531A9"/>
    <w:rsid w:val="0015362C"/>
    <w:rsid w:val="001539E7"/>
    <w:rsid w:val="001540C8"/>
    <w:rsid w:val="0015434A"/>
    <w:rsid w:val="00154D4D"/>
    <w:rsid w:val="0015598F"/>
    <w:rsid w:val="00155D87"/>
    <w:rsid w:val="00156028"/>
    <w:rsid w:val="00156277"/>
    <w:rsid w:val="00156463"/>
    <w:rsid w:val="0016251A"/>
    <w:rsid w:val="001625E4"/>
    <w:rsid w:val="001628D8"/>
    <w:rsid w:val="00163301"/>
    <w:rsid w:val="00163CB8"/>
    <w:rsid w:val="00164366"/>
    <w:rsid w:val="00164EF8"/>
    <w:rsid w:val="00165242"/>
    <w:rsid w:val="001655AF"/>
    <w:rsid w:val="001666D2"/>
    <w:rsid w:val="00166976"/>
    <w:rsid w:val="00166A34"/>
    <w:rsid w:val="00167934"/>
    <w:rsid w:val="00170665"/>
    <w:rsid w:val="001706D1"/>
    <w:rsid w:val="0017078C"/>
    <w:rsid w:val="00170A96"/>
    <w:rsid w:val="0017120C"/>
    <w:rsid w:val="0017144C"/>
    <w:rsid w:val="001715A2"/>
    <w:rsid w:val="00171B5C"/>
    <w:rsid w:val="00171E78"/>
    <w:rsid w:val="0017239E"/>
    <w:rsid w:val="00173172"/>
    <w:rsid w:val="00173321"/>
    <w:rsid w:val="001733BB"/>
    <w:rsid w:val="00173D2C"/>
    <w:rsid w:val="001741EB"/>
    <w:rsid w:val="00174718"/>
    <w:rsid w:val="00175406"/>
    <w:rsid w:val="00175AED"/>
    <w:rsid w:val="00175B84"/>
    <w:rsid w:val="00175DBF"/>
    <w:rsid w:val="001762EB"/>
    <w:rsid w:val="00176380"/>
    <w:rsid w:val="0017739D"/>
    <w:rsid w:val="0017769A"/>
    <w:rsid w:val="0018064B"/>
    <w:rsid w:val="001813CB"/>
    <w:rsid w:val="00181866"/>
    <w:rsid w:val="00182014"/>
    <w:rsid w:val="0018234B"/>
    <w:rsid w:val="00182579"/>
    <w:rsid w:val="00182A99"/>
    <w:rsid w:val="00183809"/>
    <w:rsid w:val="00184408"/>
    <w:rsid w:val="001848F5"/>
    <w:rsid w:val="00185218"/>
    <w:rsid w:val="00185698"/>
    <w:rsid w:val="00185C95"/>
    <w:rsid w:val="00185FAB"/>
    <w:rsid w:val="00186CF2"/>
    <w:rsid w:val="00186D0D"/>
    <w:rsid w:val="00190179"/>
    <w:rsid w:val="001906CF"/>
    <w:rsid w:val="0019149F"/>
    <w:rsid w:val="001916C8"/>
    <w:rsid w:val="00192AAC"/>
    <w:rsid w:val="001933CF"/>
    <w:rsid w:val="00194D8C"/>
    <w:rsid w:val="00194DED"/>
    <w:rsid w:val="00195206"/>
    <w:rsid w:val="00196012"/>
    <w:rsid w:val="00197168"/>
    <w:rsid w:val="0019756C"/>
    <w:rsid w:val="00197C5A"/>
    <w:rsid w:val="001A0151"/>
    <w:rsid w:val="001A1469"/>
    <w:rsid w:val="001A1941"/>
    <w:rsid w:val="001A2090"/>
    <w:rsid w:val="001A215E"/>
    <w:rsid w:val="001A2634"/>
    <w:rsid w:val="001A2CE9"/>
    <w:rsid w:val="001A3EBF"/>
    <w:rsid w:val="001A4632"/>
    <w:rsid w:val="001A4900"/>
    <w:rsid w:val="001A509D"/>
    <w:rsid w:val="001A5174"/>
    <w:rsid w:val="001A5643"/>
    <w:rsid w:val="001A5E37"/>
    <w:rsid w:val="001A739B"/>
    <w:rsid w:val="001B05A9"/>
    <w:rsid w:val="001B08DE"/>
    <w:rsid w:val="001B0B23"/>
    <w:rsid w:val="001B140B"/>
    <w:rsid w:val="001B14D1"/>
    <w:rsid w:val="001B1C12"/>
    <w:rsid w:val="001B1D94"/>
    <w:rsid w:val="001B2BEC"/>
    <w:rsid w:val="001B4027"/>
    <w:rsid w:val="001B460F"/>
    <w:rsid w:val="001B553A"/>
    <w:rsid w:val="001B5DF2"/>
    <w:rsid w:val="001B676A"/>
    <w:rsid w:val="001B68E5"/>
    <w:rsid w:val="001B7343"/>
    <w:rsid w:val="001B7D7A"/>
    <w:rsid w:val="001C0EE8"/>
    <w:rsid w:val="001C15A7"/>
    <w:rsid w:val="001C1858"/>
    <w:rsid w:val="001C37EE"/>
    <w:rsid w:val="001C3F86"/>
    <w:rsid w:val="001C4139"/>
    <w:rsid w:val="001C4A9B"/>
    <w:rsid w:val="001C5C4B"/>
    <w:rsid w:val="001C60FA"/>
    <w:rsid w:val="001C6431"/>
    <w:rsid w:val="001C6707"/>
    <w:rsid w:val="001C7496"/>
    <w:rsid w:val="001C750A"/>
    <w:rsid w:val="001C78AA"/>
    <w:rsid w:val="001C7C37"/>
    <w:rsid w:val="001C7DEA"/>
    <w:rsid w:val="001C7F5C"/>
    <w:rsid w:val="001D0087"/>
    <w:rsid w:val="001D0268"/>
    <w:rsid w:val="001D0874"/>
    <w:rsid w:val="001D0F5E"/>
    <w:rsid w:val="001D1096"/>
    <w:rsid w:val="001D11C4"/>
    <w:rsid w:val="001D17B0"/>
    <w:rsid w:val="001D2B46"/>
    <w:rsid w:val="001D3006"/>
    <w:rsid w:val="001D3959"/>
    <w:rsid w:val="001D3A60"/>
    <w:rsid w:val="001D4F18"/>
    <w:rsid w:val="001D5109"/>
    <w:rsid w:val="001D6007"/>
    <w:rsid w:val="001D6CBC"/>
    <w:rsid w:val="001D7247"/>
    <w:rsid w:val="001D7281"/>
    <w:rsid w:val="001E0EAC"/>
    <w:rsid w:val="001E0F50"/>
    <w:rsid w:val="001E11A8"/>
    <w:rsid w:val="001E1327"/>
    <w:rsid w:val="001E1901"/>
    <w:rsid w:val="001E2247"/>
    <w:rsid w:val="001E28AF"/>
    <w:rsid w:val="001E2E0E"/>
    <w:rsid w:val="001E3001"/>
    <w:rsid w:val="001E3B44"/>
    <w:rsid w:val="001E3E5B"/>
    <w:rsid w:val="001E405E"/>
    <w:rsid w:val="001E43FD"/>
    <w:rsid w:val="001E4A50"/>
    <w:rsid w:val="001E4C07"/>
    <w:rsid w:val="001E4FDA"/>
    <w:rsid w:val="001E66CB"/>
    <w:rsid w:val="001E6716"/>
    <w:rsid w:val="001E677E"/>
    <w:rsid w:val="001E7AEB"/>
    <w:rsid w:val="001F06F5"/>
    <w:rsid w:val="001F0798"/>
    <w:rsid w:val="001F118E"/>
    <w:rsid w:val="001F1E6A"/>
    <w:rsid w:val="001F2DA4"/>
    <w:rsid w:val="001F38D3"/>
    <w:rsid w:val="001F3929"/>
    <w:rsid w:val="001F39C2"/>
    <w:rsid w:val="001F3C22"/>
    <w:rsid w:val="001F3CD9"/>
    <w:rsid w:val="001F3ECE"/>
    <w:rsid w:val="001F4FE7"/>
    <w:rsid w:val="001F5155"/>
    <w:rsid w:val="001F614D"/>
    <w:rsid w:val="001F62EE"/>
    <w:rsid w:val="001F6B8C"/>
    <w:rsid w:val="001F7209"/>
    <w:rsid w:val="001F7A38"/>
    <w:rsid w:val="001F7F10"/>
    <w:rsid w:val="002002AE"/>
    <w:rsid w:val="00200BB2"/>
    <w:rsid w:val="00201747"/>
    <w:rsid w:val="002018BB"/>
    <w:rsid w:val="00201D1B"/>
    <w:rsid w:val="00202284"/>
    <w:rsid w:val="00202FDD"/>
    <w:rsid w:val="0020394A"/>
    <w:rsid w:val="00203AB4"/>
    <w:rsid w:val="00203DE3"/>
    <w:rsid w:val="0020406E"/>
    <w:rsid w:val="0020456F"/>
    <w:rsid w:val="00205277"/>
    <w:rsid w:val="002059E4"/>
    <w:rsid w:val="00206446"/>
    <w:rsid w:val="00206C7A"/>
    <w:rsid w:val="002072DF"/>
    <w:rsid w:val="002074A5"/>
    <w:rsid w:val="002078A2"/>
    <w:rsid w:val="00207E37"/>
    <w:rsid w:val="00211AC4"/>
    <w:rsid w:val="0021268D"/>
    <w:rsid w:val="00212CA6"/>
    <w:rsid w:val="002136BE"/>
    <w:rsid w:val="0021421C"/>
    <w:rsid w:val="002149D6"/>
    <w:rsid w:val="00215140"/>
    <w:rsid w:val="002163BB"/>
    <w:rsid w:val="00216742"/>
    <w:rsid w:val="0022249D"/>
    <w:rsid w:val="00222E58"/>
    <w:rsid w:val="00223686"/>
    <w:rsid w:val="0022369B"/>
    <w:rsid w:val="00223711"/>
    <w:rsid w:val="00223CD9"/>
    <w:rsid w:val="00224C97"/>
    <w:rsid w:val="00225446"/>
    <w:rsid w:val="00225448"/>
    <w:rsid w:val="00225780"/>
    <w:rsid w:val="00225C2D"/>
    <w:rsid w:val="00226713"/>
    <w:rsid w:val="002267F5"/>
    <w:rsid w:val="002272E4"/>
    <w:rsid w:val="00230144"/>
    <w:rsid w:val="00230CC1"/>
    <w:rsid w:val="00230DD1"/>
    <w:rsid w:val="002314E6"/>
    <w:rsid w:val="00231FD9"/>
    <w:rsid w:val="002322CF"/>
    <w:rsid w:val="002323B8"/>
    <w:rsid w:val="00232961"/>
    <w:rsid w:val="002329AB"/>
    <w:rsid w:val="00232D09"/>
    <w:rsid w:val="00232DDE"/>
    <w:rsid w:val="002336CF"/>
    <w:rsid w:val="0023426F"/>
    <w:rsid w:val="0023555C"/>
    <w:rsid w:val="002357E6"/>
    <w:rsid w:val="00235947"/>
    <w:rsid w:val="00235F5E"/>
    <w:rsid w:val="00237347"/>
    <w:rsid w:val="0023779D"/>
    <w:rsid w:val="00237C9C"/>
    <w:rsid w:val="00240C52"/>
    <w:rsid w:val="00240E05"/>
    <w:rsid w:val="002410BE"/>
    <w:rsid w:val="002412FA"/>
    <w:rsid w:val="00242FA5"/>
    <w:rsid w:val="00243A08"/>
    <w:rsid w:val="00243EB7"/>
    <w:rsid w:val="0024403E"/>
    <w:rsid w:val="00244155"/>
    <w:rsid w:val="002445B9"/>
    <w:rsid w:val="00244698"/>
    <w:rsid w:val="002446A4"/>
    <w:rsid w:val="00244D71"/>
    <w:rsid w:val="002451F6"/>
    <w:rsid w:val="00245793"/>
    <w:rsid w:val="00246673"/>
    <w:rsid w:val="00246A41"/>
    <w:rsid w:val="0024762F"/>
    <w:rsid w:val="002500E8"/>
    <w:rsid w:val="0025032E"/>
    <w:rsid w:val="00250FBE"/>
    <w:rsid w:val="002513D4"/>
    <w:rsid w:val="0025186E"/>
    <w:rsid w:val="00251FF2"/>
    <w:rsid w:val="002527DE"/>
    <w:rsid w:val="00253AC5"/>
    <w:rsid w:val="002543D0"/>
    <w:rsid w:val="00255BEB"/>
    <w:rsid w:val="00255C7C"/>
    <w:rsid w:val="002560F6"/>
    <w:rsid w:val="00256460"/>
    <w:rsid w:val="0025686B"/>
    <w:rsid w:val="00257423"/>
    <w:rsid w:val="002575B4"/>
    <w:rsid w:val="002577BB"/>
    <w:rsid w:val="00260868"/>
    <w:rsid w:val="00260AD4"/>
    <w:rsid w:val="002610FC"/>
    <w:rsid w:val="00262CF5"/>
    <w:rsid w:val="00263946"/>
    <w:rsid w:val="002640E7"/>
    <w:rsid w:val="00264343"/>
    <w:rsid w:val="002658AA"/>
    <w:rsid w:val="00265A20"/>
    <w:rsid w:val="00265ED3"/>
    <w:rsid w:val="002662B6"/>
    <w:rsid w:val="00266636"/>
    <w:rsid w:val="00266792"/>
    <w:rsid w:val="00266E11"/>
    <w:rsid w:val="00270116"/>
    <w:rsid w:val="002704F8"/>
    <w:rsid w:val="002704F9"/>
    <w:rsid w:val="00270824"/>
    <w:rsid w:val="00270DD2"/>
    <w:rsid w:val="00271A6D"/>
    <w:rsid w:val="002722D6"/>
    <w:rsid w:val="0027248D"/>
    <w:rsid w:val="00272667"/>
    <w:rsid w:val="002728C0"/>
    <w:rsid w:val="00272A19"/>
    <w:rsid w:val="00273134"/>
    <w:rsid w:val="00274652"/>
    <w:rsid w:val="00275B30"/>
    <w:rsid w:val="002776BF"/>
    <w:rsid w:val="00277767"/>
    <w:rsid w:val="0028014E"/>
    <w:rsid w:val="0028042A"/>
    <w:rsid w:val="00280C7D"/>
    <w:rsid w:val="00280EAF"/>
    <w:rsid w:val="00280FC0"/>
    <w:rsid w:val="00281289"/>
    <w:rsid w:val="00281A55"/>
    <w:rsid w:val="00282816"/>
    <w:rsid w:val="00282EAB"/>
    <w:rsid w:val="00282FAC"/>
    <w:rsid w:val="002832EF"/>
    <w:rsid w:val="0028381F"/>
    <w:rsid w:val="00283F2C"/>
    <w:rsid w:val="00284028"/>
    <w:rsid w:val="002846FF"/>
    <w:rsid w:val="002847DB"/>
    <w:rsid w:val="00285E5E"/>
    <w:rsid w:val="0028620A"/>
    <w:rsid w:val="00287DF9"/>
    <w:rsid w:val="00287E54"/>
    <w:rsid w:val="0029063A"/>
    <w:rsid w:val="00291E4C"/>
    <w:rsid w:val="00291FC4"/>
    <w:rsid w:val="00291FE6"/>
    <w:rsid w:val="00292E89"/>
    <w:rsid w:val="002944F8"/>
    <w:rsid w:val="0029479A"/>
    <w:rsid w:val="002954A2"/>
    <w:rsid w:val="002955CE"/>
    <w:rsid w:val="002963CC"/>
    <w:rsid w:val="00297070"/>
    <w:rsid w:val="002976EC"/>
    <w:rsid w:val="002978EE"/>
    <w:rsid w:val="00297CA1"/>
    <w:rsid w:val="002A0FFC"/>
    <w:rsid w:val="002A14B1"/>
    <w:rsid w:val="002A163D"/>
    <w:rsid w:val="002A17D3"/>
    <w:rsid w:val="002A1DBB"/>
    <w:rsid w:val="002A22DC"/>
    <w:rsid w:val="002A3B3E"/>
    <w:rsid w:val="002A3BCF"/>
    <w:rsid w:val="002A4782"/>
    <w:rsid w:val="002A51CB"/>
    <w:rsid w:val="002A51EB"/>
    <w:rsid w:val="002A553A"/>
    <w:rsid w:val="002A55AE"/>
    <w:rsid w:val="002A60E7"/>
    <w:rsid w:val="002A61EB"/>
    <w:rsid w:val="002A6525"/>
    <w:rsid w:val="002A7A0F"/>
    <w:rsid w:val="002B006E"/>
    <w:rsid w:val="002B0316"/>
    <w:rsid w:val="002B041C"/>
    <w:rsid w:val="002B079D"/>
    <w:rsid w:val="002B0E2E"/>
    <w:rsid w:val="002B19A7"/>
    <w:rsid w:val="002B21DF"/>
    <w:rsid w:val="002B2254"/>
    <w:rsid w:val="002B248C"/>
    <w:rsid w:val="002B2B7C"/>
    <w:rsid w:val="002B36FB"/>
    <w:rsid w:val="002B3E3B"/>
    <w:rsid w:val="002B4395"/>
    <w:rsid w:val="002B443B"/>
    <w:rsid w:val="002B55EA"/>
    <w:rsid w:val="002B6368"/>
    <w:rsid w:val="002B6885"/>
    <w:rsid w:val="002B7560"/>
    <w:rsid w:val="002B76CA"/>
    <w:rsid w:val="002B76CD"/>
    <w:rsid w:val="002B7AD5"/>
    <w:rsid w:val="002B7BCB"/>
    <w:rsid w:val="002B7EE0"/>
    <w:rsid w:val="002C254B"/>
    <w:rsid w:val="002C2996"/>
    <w:rsid w:val="002C32CF"/>
    <w:rsid w:val="002C334F"/>
    <w:rsid w:val="002C3F61"/>
    <w:rsid w:val="002C60D0"/>
    <w:rsid w:val="002C60F6"/>
    <w:rsid w:val="002C6275"/>
    <w:rsid w:val="002C7BA6"/>
    <w:rsid w:val="002C7E23"/>
    <w:rsid w:val="002D101F"/>
    <w:rsid w:val="002D1541"/>
    <w:rsid w:val="002D16EB"/>
    <w:rsid w:val="002D27B5"/>
    <w:rsid w:val="002D2950"/>
    <w:rsid w:val="002D34B4"/>
    <w:rsid w:val="002D3920"/>
    <w:rsid w:val="002D4AA1"/>
    <w:rsid w:val="002D51D6"/>
    <w:rsid w:val="002D5826"/>
    <w:rsid w:val="002D7A14"/>
    <w:rsid w:val="002D7EAC"/>
    <w:rsid w:val="002D7F7D"/>
    <w:rsid w:val="002E09AF"/>
    <w:rsid w:val="002E0A10"/>
    <w:rsid w:val="002E0E19"/>
    <w:rsid w:val="002E0FF9"/>
    <w:rsid w:val="002E1398"/>
    <w:rsid w:val="002E1EE3"/>
    <w:rsid w:val="002E29C1"/>
    <w:rsid w:val="002E3A8B"/>
    <w:rsid w:val="002E3D4A"/>
    <w:rsid w:val="002E4112"/>
    <w:rsid w:val="002E46B5"/>
    <w:rsid w:val="002E549B"/>
    <w:rsid w:val="002E559E"/>
    <w:rsid w:val="002E5E19"/>
    <w:rsid w:val="002E616A"/>
    <w:rsid w:val="002E6481"/>
    <w:rsid w:val="002E64BB"/>
    <w:rsid w:val="002E6919"/>
    <w:rsid w:val="002E6FE0"/>
    <w:rsid w:val="002E726D"/>
    <w:rsid w:val="002E7544"/>
    <w:rsid w:val="002E7659"/>
    <w:rsid w:val="002E77F9"/>
    <w:rsid w:val="002E7CF7"/>
    <w:rsid w:val="002F00AA"/>
    <w:rsid w:val="002F0C22"/>
    <w:rsid w:val="002F0D7D"/>
    <w:rsid w:val="002F1973"/>
    <w:rsid w:val="002F2184"/>
    <w:rsid w:val="002F283B"/>
    <w:rsid w:val="002F2898"/>
    <w:rsid w:val="002F28E4"/>
    <w:rsid w:val="002F2962"/>
    <w:rsid w:val="002F365D"/>
    <w:rsid w:val="002F429D"/>
    <w:rsid w:val="002F479F"/>
    <w:rsid w:val="002F49CF"/>
    <w:rsid w:val="002F51C9"/>
    <w:rsid w:val="002F5992"/>
    <w:rsid w:val="002F5FB8"/>
    <w:rsid w:val="002F61A9"/>
    <w:rsid w:val="002F676A"/>
    <w:rsid w:val="002F7188"/>
    <w:rsid w:val="002F74C6"/>
    <w:rsid w:val="002F78DB"/>
    <w:rsid w:val="002F7924"/>
    <w:rsid w:val="002F79AF"/>
    <w:rsid w:val="002F7E07"/>
    <w:rsid w:val="003018DD"/>
    <w:rsid w:val="00301E41"/>
    <w:rsid w:val="003023BA"/>
    <w:rsid w:val="00302443"/>
    <w:rsid w:val="003025B0"/>
    <w:rsid w:val="003029CF"/>
    <w:rsid w:val="003047A3"/>
    <w:rsid w:val="00304BC4"/>
    <w:rsid w:val="003052CF"/>
    <w:rsid w:val="00305E2F"/>
    <w:rsid w:val="0030739A"/>
    <w:rsid w:val="0030753B"/>
    <w:rsid w:val="00307735"/>
    <w:rsid w:val="00307DBF"/>
    <w:rsid w:val="00307F47"/>
    <w:rsid w:val="003102DF"/>
    <w:rsid w:val="00311767"/>
    <w:rsid w:val="00311829"/>
    <w:rsid w:val="00311BD7"/>
    <w:rsid w:val="00311E2F"/>
    <w:rsid w:val="00312780"/>
    <w:rsid w:val="00312F37"/>
    <w:rsid w:val="00313B1B"/>
    <w:rsid w:val="00313B1F"/>
    <w:rsid w:val="00313EFC"/>
    <w:rsid w:val="00314043"/>
    <w:rsid w:val="00314324"/>
    <w:rsid w:val="00314BBA"/>
    <w:rsid w:val="00314EE5"/>
    <w:rsid w:val="00314FE0"/>
    <w:rsid w:val="003150E2"/>
    <w:rsid w:val="00315337"/>
    <w:rsid w:val="00317611"/>
    <w:rsid w:val="00317EB4"/>
    <w:rsid w:val="0032039F"/>
    <w:rsid w:val="003204F7"/>
    <w:rsid w:val="00320572"/>
    <w:rsid w:val="00321206"/>
    <w:rsid w:val="003218FA"/>
    <w:rsid w:val="00321C09"/>
    <w:rsid w:val="0032220A"/>
    <w:rsid w:val="003242E9"/>
    <w:rsid w:val="00326169"/>
    <w:rsid w:val="00326682"/>
    <w:rsid w:val="0032743F"/>
    <w:rsid w:val="00327547"/>
    <w:rsid w:val="00327DDC"/>
    <w:rsid w:val="003301E7"/>
    <w:rsid w:val="003317AF"/>
    <w:rsid w:val="00331830"/>
    <w:rsid w:val="003323BC"/>
    <w:rsid w:val="003324FD"/>
    <w:rsid w:val="00332E46"/>
    <w:rsid w:val="00332F34"/>
    <w:rsid w:val="0033303E"/>
    <w:rsid w:val="00333C61"/>
    <w:rsid w:val="003340E7"/>
    <w:rsid w:val="00334159"/>
    <w:rsid w:val="00334BD6"/>
    <w:rsid w:val="003352B2"/>
    <w:rsid w:val="00335302"/>
    <w:rsid w:val="003357C3"/>
    <w:rsid w:val="00336291"/>
    <w:rsid w:val="003365C1"/>
    <w:rsid w:val="00337761"/>
    <w:rsid w:val="00337907"/>
    <w:rsid w:val="00340203"/>
    <w:rsid w:val="0034079B"/>
    <w:rsid w:val="003416D7"/>
    <w:rsid w:val="00342145"/>
    <w:rsid w:val="003435B6"/>
    <w:rsid w:val="00343B46"/>
    <w:rsid w:val="0034562F"/>
    <w:rsid w:val="003466DD"/>
    <w:rsid w:val="0034692E"/>
    <w:rsid w:val="00346BA5"/>
    <w:rsid w:val="00347C0F"/>
    <w:rsid w:val="00347CEF"/>
    <w:rsid w:val="00347DDE"/>
    <w:rsid w:val="003507BE"/>
    <w:rsid w:val="003508E7"/>
    <w:rsid w:val="00350EA5"/>
    <w:rsid w:val="003512FA"/>
    <w:rsid w:val="00351454"/>
    <w:rsid w:val="00351A56"/>
    <w:rsid w:val="00351CC6"/>
    <w:rsid w:val="003524D2"/>
    <w:rsid w:val="00353D81"/>
    <w:rsid w:val="00353DBD"/>
    <w:rsid w:val="003540B1"/>
    <w:rsid w:val="003547B6"/>
    <w:rsid w:val="00355490"/>
    <w:rsid w:val="003555C8"/>
    <w:rsid w:val="00355671"/>
    <w:rsid w:val="00355807"/>
    <w:rsid w:val="00355956"/>
    <w:rsid w:val="00355BB6"/>
    <w:rsid w:val="003561DB"/>
    <w:rsid w:val="0035675E"/>
    <w:rsid w:val="00356845"/>
    <w:rsid w:val="00356A10"/>
    <w:rsid w:val="00357803"/>
    <w:rsid w:val="00357BB5"/>
    <w:rsid w:val="00357EC6"/>
    <w:rsid w:val="00360155"/>
    <w:rsid w:val="003618A6"/>
    <w:rsid w:val="00361A1C"/>
    <w:rsid w:val="00361C52"/>
    <w:rsid w:val="0036238B"/>
    <w:rsid w:val="00362678"/>
    <w:rsid w:val="003627D5"/>
    <w:rsid w:val="00362D8F"/>
    <w:rsid w:val="00362EFA"/>
    <w:rsid w:val="003631E2"/>
    <w:rsid w:val="003633F0"/>
    <w:rsid w:val="0036432A"/>
    <w:rsid w:val="00364379"/>
    <w:rsid w:val="003662CF"/>
    <w:rsid w:val="003662E7"/>
    <w:rsid w:val="003667FE"/>
    <w:rsid w:val="00366AB9"/>
    <w:rsid w:val="00366B59"/>
    <w:rsid w:val="00366E8F"/>
    <w:rsid w:val="00366FE1"/>
    <w:rsid w:val="00367011"/>
    <w:rsid w:val="00370FCD"/>
    <w:rsid w:val="003714EE"/>
    <w:rsid w:val="00371727"/>
    <w:rsid w:val="00371AC1"/>
    <w:rsid w:val="00372112"/>
    <w:rsid w:val="003721B1"/>
    <w:rsid w:val="0037220E"/>
    <w:rsid w:val="0037274B"/>
    <w:rsid w:val="00373068"/>
    <w:rsid w:val="00373E6C"/>
    <w:rsid w:val="003740DC"/>
    <w:rsid w:val="003742E1"/>
    <w:rsid w:val="003753DD"/>
    <w:rsid w:val="00376D2A"/>
    <w:rsid w:val="00377F91"/>
    <w:rsid w:val="0038044B"/>
    <w:rsid w:val="0038084D"/>
    <w:rsid w:val="00380B3C"/>
    <w:rsid w:val="0038144D"/>
    <w:rsid w:val="0038188F"/>
    <w:rsid w:val="003827DB"/>
    <w:rsid w:val="003829E0"/>
    <w:rsid w:val="00382DF3"/>
    <w:rsid w:val="00383C23"/>
    <w:rsid w:val="00384421"/>
    <w:rsid w:val="00385F02"/>
    <w:rsid w:val="003869C4"/>
    <w:rsid w:val="0038753B"/>
    <w:rsid w:val="00390633"/>
    <w:rsid w:val="0039074B"/>
    <w:rsid w:val="00390D4F"/>
    <w:rsid w:val="00391858"/>
    <w:rsid w:val="00391FA2"/>
    <w:rsid w:val="003925E8"/>
    <w:rsid w:val="00393913"/>
    <w:rsid w:val="00393992"/>
    <w:rsid w:val="00394355"/>
    <w:rsid w:val="00395056"/>
    <w:rsid w:val="0039558B"/>
    <w:rsid w:val="00396216"/>
    <w:rsid w:val="00396D8F"/>
    <w:rsid w:val="0039726B"/>
    <w:rsid w:val="0039777C"/>
    <w:rsid w:val="0039787D"/>
    <w:rsid w:val="00397997"/>
    <w:rsid w:val="00397A6C"/>
    <w:rsid w:val="00397EF2"/>
    <w:rsid w:val="003A0184"/>
    <w:rsid w:val="003A05E9"/>
    <w:rsid w:val="003A240E"/>
    <w:rsid w:val="003A291E"/>
    <w:rsid w:val="003A2C76"/>
    <w:rsid w:val="003A2CCC"/>
    <w:rsid w:val="003A3074"/>
    <w:rsid w:val="003A3217"/>
    <w:rsid w:val="003A32DB"/>
    <w:rsid w:val="003A4334"/>
    <w:rsid w:val="003A717F"/>
    <w:rsid w:val="003B0016"/>
    <w:rsid w:val="003B036F"/>
    <w:rsid w:val="003B072D"/>
    <w:rsid w:val="003B1F4E"/>
    <w:rsid w:val="003B231A"/>
    <w:rsid w:val="003B3638"/>
    <w:rsid w:val="003B4BB3"/>
    <w:rsid w:val="003B4EDC"/>
    <w:rsid w:val="003B5937"/>
    <w:rsid w:val="003B5DE6"/>
    <w:rsid w:val="003B6428"/>
    <w:rsid w:val="003B64E6"/>
    <w:rsid w:val="003B6B71"/>
    <w:rsid w:val="003B7498"/>
    <w:rsid w:val="003B7EC5"/>
    <w:rsid w:val="003C00EA"/>
    <w:rsid w:val="003C03A1"/>
    <w:rsid w:val="003C0AD4"/>
    <w:rsid w:val="003C0E47"/>
    <w:rsid w:val="003C0F26"/>
    <w:rsid w:val="003C171F"/>
    <w:rsid w:val="003C1F64"/>
    <w:rsid w:val="003C21D2"/>
    <w:rsid w:val="003C2213"/>
    <w:rsid w:val="003C2E69"/>
    <w:rsid w:val="003C33E8"/>
    <w:rsid w:val="003C38E6"/>
    <w:rsid w:val="003C437D"/>
    <w:rsid w:val="003C56F8"/>
    <w:rsid w:val="003C63D0"/>
    <w:rsid w:val="003C665A"/>
    <w:rsid w:val="003C68FB"/>
    <w:rsid w:val="003C6BB8"/>
    <w:rsid w:val="003D3679"/>
    <w:rsid w:val="003D36E5"/>
    <w:rsid w:val="003D3798"/>
    <w:rsid w:val="003D439C"/>
    <w:rsid w:val="003D4DA1"/>
    <w:rsid w:val="003D4E3C"/>
    <w:rsid w:val="003D5621"/>
    <w:rsid w:val="003D59B7"/>
    <w:rsid w:val="003D5CED"/>
    <w:rsid w:val="003D6E17"/>
    <w:rsid w:val="003D6E8E"/>
    <w:rsid w:val="003D7713"/>
    <w:rsid w:val="003D794E"/>
    <w:rsid w:val="003D7B9C"/>
    <w:rsid w:val="003E0016"/>
    <w:rsid w:val="003E02B8"/>
    <w:rsid w:val="003E0644"/>
    <w:rsid w:val="003E2008"/>
    <w:rsid w:val="003E2244"/>
    <w:rsid w:val="003E258E"/>
    <w:rsid w:val="003E4AF1"/>
    <w:rsid w:val="003E5BF3"/>
    <w:rsid w:val="003E5D15"/>
    <w:rsid w:val="003E646E"/>
    <w:rsid w:val="003E6BBD"/>
    <w:rsid w:val="003E785A"/>
    <w:rsid w:val="003E7AC4"/>
    <w:rsid w:val="003F014F"/>
    <w:rsid w:val="003F1261"/>
    <w:rsid w:val="003F1960"/>
    <w:rsid w:val="003F1A2C"/>
    <w:rsid w:val="003F27A0"/>
    <w:rsid w:val="003F28B5"/>
    <w:rsid w:val="003F2EE5"/>
    <w:rsid w:val="003F3013"/>
    <w:rsid w:val="003F3E4A"/>
    <w:rsid w:val="003F5344"/>
    <w:rsid w:val="003F60F3"/>
    <w:rsid w:val="003F68F0"/>
    <w:rsid w:val="003F74D7"/>
    <w:rsid w:val="003F786E"/>
    <w:rsid w:val="004004F2"/>
    <w:rsid w:val="004006A2"/>
    <w:rsid w:val="004019C5"/>
    <w:rsid w:val="00404034"/>
    <w:rsid w:val="00405007"/>
    <w:rsid w:val="004050E4"/>
    <w:rsid w:val="004055FA"/>
    <w:rsid w:val="0040632C"/>
    <w:rsid w:val="004065B2"/>
    <w:rsid w:val="00407250"/>
    <w:rsid w:val="004077DA"/>
    <w:rsid w:val="00407816"/>
    <w:rsid w:val="00407EBE"/>
    <w:rsid w:val="004101B2"/>
    <w:rsid w:val="00410F80"/>
    <w:rsid w:val="004114C1"/>
    <w:rsid w:val="00412D36"/>
    <w:rsid w:val="00412D6E"/>
    <w:rsid w:val="0041378F"/>
    <w:rsid w:val="00413814"/>
    <w:rsid w:val="00413E77"/>
    <w:rsid w:val="0041433C"/>
    <w:rsid w:val="00414477"/>
    <w:rsid w:val="00415065"/>
    <w:rsid w:val="00415806"/>
    <w:rsid w:val="00415BBF"/>
    <w:rsid w:val="00416231"/>
    <w:rsid w:val="004166F9"/>
    <w:rsid w:val="00416817"/>
    <w:rsid w:val="00416BE6"/>
    <w:rsid w:val="00416E11"/>
    <w:rsid w:val="004171FB"/>
    <w:rsid w:val="00417784"/>
    <w:rsid w:val="0041793F"/>
    <w:rsid w:val="00417EDB"/>
    <w:rsid w:val="004203A9"/>
    <w:rsid w:val="0042105D"/>
    <w:rsid w:val="00421574"/>
    <w:rsid w:val="004215D2"/>
    <w:rsid w:val="00422FD3"/>
    <w:rsid w:val="0042370A"/>
    <w:rsid w:val="00423901"/>
    <w:rsid w:val="00423987"/>
    <w:rsid w:val="00423A54"/>
    <w:rsid w:val="004258B8"/>
    <w:rsid w:val="00425983"/>
    <w:rsid w:val="00425E2D"/>
    <w:rsid w:val="00425EC9"/>
    <w:rsid w:val="0042639A"/>
    <w:rsid w:val="0042789D"/>
    <w:rsid w:val="00430164"/>
    <w:rsid w:val="00430318"/>
    <w:rsid w:val="0043097D"/>
    <w:rsid w:val="00430F7D"/>
    <w:rsid w:val="004312DE"/>
    <w:rsid w:val="004319EA"/>
    <w:rsid w:val="004321B5"/>
    <w:rsid w:val="00432405"/>
    <w:rsid w:val="00432CD2"/>
    <w:rsid w:val="00433AA9"/>
    <w:rsid w:val="004343C1"/>
    <w:rsid w:val="00434A94"/>
    <w:rsid w:val="00436715"/>
    <w:rsid w:val="00436C70"/>
    <w:rsid w:val="00436ED2"/>
    <w:rsid w:val="00437606"/>
    <w:rsid w:val="00440249"/>
    <w:rsid w:val="0044047B"/>
    <w:rsid w:val="00440864"/>
    <w:rsid w:val="00440C5E"/>
    <w:rsid w:val="00440F7B"/>
    <w:rsid w:val="00441566"/>
    <w:rsid w:val="004419EB"/>
    <w:rsid w:val="00441A87"/>
    <w:rsid w:val="00442F36"/>
    <w:rsid w:val="00442FC0"/>
    <w:rsid w:val="004430FF"/>
    <w:rsid w:val="0044339A"/>
    <w:rsid w:val="00443459"/>
    <w:rsid w:val="00443C1F"/>
    <w:rsid w:val="00443CA3"/>
    <w:rsid w:val="00443E41"/>
    <w:rsid w:val="00444651"/>
    <w:rsid w:val="00444DD3"/>
    <w:rsid w:val="00444E13"/>
    <w:rsid w:val="00445569"/>
    <w:rsid w:val="00446B80"/>
    <w:rsid w:val="00446E3A"/>
    <w:rsid w:val="00450A99"/>
    <w:rsid w:val="00450B03"/>
    <w:rsid w:val="00451349"/>
    <w:rsid w:val="00451D63"/>
    <w:rsid w:val="004520D0"/>
    <w:rsid w:val="004523B0"/>
    <w:rsid w:val="004528BE"/>
    <w:rsid w:val="00452A56"/>
    <w:rsid w:val="00453E5A"/>
    <w:rsid w:val="0045458B"/>
    <w:rsid w:val="00454A61"/>
    <w:rsid w:val="0045593D"/>
    <w:rsid w:val="00455B9A"/>
    <w:rsid w:val="004560AF"/>
    <w:rsid w:val="00456C3B"/>
    <w:rsid w:val="00457897"/>
    <w:rsid w:val="00457933"/>
    <w:rsid w:val="00460118"/>
    <w:rsid w:val="004604BC"/>
    <w:rsid w:val="0046098A"/>
    <w:rsid w:val="00460D4D"/>
    <w:rsid w:val="00461DD6"/>
    <w:rsid w:val="00464C42"/>
    <w:rsid w:val="00464E34"/>
    <w:rsid w:val="004653AC"/>
    <w:rsid w:val="00465B52"/>
    <w:rsid w:val="0046663E"/>
    <w:rsid w:val="00466759"/>
    <w:rsid w:val="00466B07"/>
    <w:rsid w:val="0046754B"/>
    <w:rsid w:val="00467C8E"/>
    <w:rsid w:val="0047092B"/>
    <w:rsid w:val="00470B3F"/>
    <w:rsid w:val="00471086"/>
    <w:rsid w:val="0047155F"/>
    <w:rsid w:val="00471DAC"/>
    <w:rsid w:val="00471E68"/>
    <w:rsid w:val="004721F6"/>
    <w:rsid w:val="00472362"/>
    <w:rsid w:val="0047256A"/>
    <w:rsid w:val="00472E33"/>
    <w:rsid w:val="004735B9"/>
    <w:rsid w:val="00473684"/>
    <w:rsid w:val="004745FF"/>
    <w:rsid w:val="00477351"/>
    <w:rsid w:val="00477403"/>
    <w:rsid w:val="00480187"/>
    <w:rsid w:val="004806AA"/>
    <w:rsid w:val="00481650"/>
    <w:rsid w:val="00481873"/>
    <w:rsid w:val="0048244F"/>
    <w:rsid w:val="004831BE"/>
    <w:rsid w:val="0048326A"/>
    <w:rsid w:val="00483FFA"/>
    <w:rsid w:val="00484824"/>
    <w:rsid w:val="00485096"/>
    <w:rsid w:val="004858AB"/>
    <w:rsid w:val="00486459"/>
    <w:rsid w:val="00487130"/>
    <w:rsid w:val="00487447"/>
    <w:rsid w:val="00487A97"/>
    <w:rsid w:val="00487BCF"/>
    <w:rsid w:val="004901DF"/>
    <w:rsid w:val="00492179"/>
    <w:rsid w:val="00493457"/>
    <w:rsid w:val="004940C1"/>
    <w:rsid w:val="004941A0"/>
    <w:rsid w:val="00494273"/>
    <w:rsid w:val="004942E5"/>
    <w:rsid w:val="00495884"/>
    <w:rsid w:val="00495E56"/>
    <w:rsid w:val="004962F1"/>
    <w:rsid w:val="004966B1"/>
    <w:rsid w:val="004A1939"/>
    <w:rsid w:val="004A1D25"/>
    <w:rsid w:val="004A27BE"/>
    <w:rsid w:val="004A3BC3"/>
    <w:rsid w:val="004A4235"/>
    <w:rsid w:val="004A4301"/>
    <w:rsid w:val="004A4EC6"/>
    <w:rsid w:val="004A5A95"/>
    <w:rsid w:val="004A6337"/>
    <w:rsid w:val="004A6380"/>
    <w:rsid w:val="004A6BB9"/>
    <w:rsid w:val="004A6EA2"/>
    <w:rsid w:val="004A73E7"/>
    <w:rsid w:val="004A7796"/>
    <w:rsid w:val="004A7859"/>
    <w:rsid w:val="004A7BA2"/>
    <w:rsid w:val="004A7BE3"/>
    <w:rsid w:val="004B004F"/>
    <w:rsid w:val="004B0166"/>
    <w:rsid w:val="004B07E9"/>
    <w:rsid w:val="004B14B5"/>
    <w:rsid w:val="004B1853"/>
    <w:rsid w:val="004B22E8"/>
    <w:rsid w:val="004B31A0"/>
    <w:rsid w:val="004B39EC"/>
    <w:rsid w:val="004B4352"/>
    <w:rsid w:val="004B44BA"/>
    <w:rsid w:val="004B5565"/>
    <w:rsid w:val="004B57A7"/>
    <w:rsid w:val="004B6006"/>
    <w:rsid w:val="004B688E"/>
    <w:rsid w:val="004B6D9E"/>
    <w:rsid w:val="004B6F33"/>
    <w:rsid w:val="004B71BB"/>
    <w:rsid w:val="004B7775"/>
    <w:rsid w:val="004B79AC"/>
    <w:rsid w:val="004B7FCC"/>
    <w:rsid w:val="004C0123"/>
    <w:rsid w:val="004C1891"/>
    <w:rsid w:val="004C267B"/>
    <w:rsid w:val="004C3901"/>
    <w:rsid w:val="004C5857"/>
    <w:rsid w:val="004C58D4"/>
    <w:rsid w:val="004C5970"/>
    <w:rsid w:val="004C5A7A"/>
    <w:rsid w:val="004C5B06"/>
    <w:rsid w:val="004C600B"/>
    <w:rsid w:val="004C676B"/>
    <w:rsid w:val="004C6FC6"/>
    <w:rsid w:val="004C70FA"/>
    <w:rsid w:val="004C762D"/>
    <w:rsid w:val="004D033C"/>
    <w:rsid w:val="004D1BBF"/>
    <w:rsid w:val="004D2E46"/>
    <w:rsid w:val="004D2F31"/>
    <w:rsid w:val="004D4646"/>
    <w:rsid w:val="004D4C72"/>
    <w:rsid w:val="004D4EE3"/>
    <w:rsid w:val="004D568F"/>
    <w:rsid w:val="004D5F98"/>
    <w:rsid w:val="004D6082"/>
    <w:rsid w:val="004D657D"/>
    <w:rsid w:val="004D6FC9"/>
    <w:rsid w:val="004D7F45"/>
    <w:rsid w:val="004E0AEB"/>
    <w:rsid w:val="004E0BE3"/>
    <w:rsid w:val="004E0F0F"/>
    <w:rsid w:val="004E1C30"/>
    <w:rsid w:val="004E22D5"/>
    <w:rsid w:val="004E2756"/>
    <w:rsid w:val="004E2D9B"/>
    <w:rsid w:val="004E386E"/>
    <w:rsid w:val="004E3D7E"/>
    <w:rsid w:val="004E546F"/>
    <w:rsid w:val="004E5909"/>
    <w:rsid w:val="004E7003"/>
    <w:rsid w:val="004E70D2"/>
    <w:rsid w:val="004E7ABC"/>
    <w:rsid w:val="004F08D8"/>
    <w:rsid w:val="004F08F8"/>
    <w:rsid w:val="004F158A"/>
    <w:rsid w:val="004F2931"/>
    <w:rsid w:val="004F2DE2"/>
    <w:rsid w:val="004F3A50"/>
    <w:rsid w:val="004F4494"/>
    <w:rsid w:val="004F482A"/>
    <w:rsid w:val="004F491C"/>
    <w:rsid w:val="004F5066"/>
    <w:rsid w:val="004F53FB"/>
    <w:rsid w:val="004F5FC1"/>
    <w:rsid w:val="004F5FD1"/>
    <w:rsid w:val="004F6854"/>
    <w:rsid w:val="004F7273"/>
    <w:rsid w:val="00500822"/>
    <w:rsid w:val="005016AE"/>
    <w:rsid w:val="00501EEC"/>
    <w:rsid w:val="00502C30"/>
    <w:rsid w:val="00503304"/>
    <w:rsid w:val="00504639"/>
    <w:rsid w:val="00505911"/>
    <w:rsid w:val="00505D70"/>
    <w:rsid w:val="0050661E"/>
    <w:rsid w:val="00506EE3"/>
    <w:rsid w:val="0050758B"/>
    <w:rsid w:val="005076D9"/>
    <w:rsid w:val="005077CB"/>
    <w:rsid w:val="00510BDF"/>
    <w:rsid w:val="0051124A"/>
    <w:rsid w:val="005116BA"/>
    <w:rsid w:val="00512026"/>
    <w:rsid w:val="00512D8F"/>
    <w:rsid w:val="00512E31"/>
    <w:rsid w:val="00514C62"/>
    <w:rsid w:val="00515115"/>
    <w:rsid w:val="00515235"/>
    <w:rsid w:val="00515C32"/>
    <w:rsid w:val="00515C5E"/>
    <w:rsid w:val="00515EBC"/>
    <w:rsid w:val="005161B1"/>
    <w:rsid w:val="005166D1"/>
    <w:rsid w:val="00516D6F"/>
    <w:rsid w:val="00516DC9"/>
    <w:rsid w:val="00520484"/>
    <w:rsid w:val="0052094B"/>
    <w:rsid w:val="00520C4F"/>
    <w:rsid w:val="00520EE1"/>
    <w:rsid w:val="005216F1"/>
    <w:rsid w:val="00521905"/>
    <w:rsid w:val="00521C3B"/>
    <w:rsid w:val="00522184"/>
    <w:rsid w:val="00522367"/>
    <w:rsid w:val="0052266A"/>
    <w:rsid w:val="0052280F"/>
    <w:rsid w:val="00523C6C"/>
    <w:rsid w:val="005240AB"/>
    <w:rsid w:val="0052526D"/>
    <w:rsid w:val="00525884"/>
    <w:rsid w:val="00526886"/>
    <w:rsid w:val="00526E8A"/>
    <w:rsid w:val="0052740C"/>
    <w:rsid w:val="005304A3"/>
    <w:rsid w:val="005312BD"/>
    <w:rsid w:val="005313D5"/>
    <w:rsid w:val="0053198E"/>
    <w:rsid w:val="00532CD2"/>
    <w:rsid w:val="00532D05"/>
    <w:rsid w:val="005331BF"/>
    <w:rsid w:val="005332EE"/>
    <w:rsid w:val="00533850"/>
    <w:rsid w:val="00533AE0"/>
    <w:rsid w:val="00534AB3"/>
    <w:rsid w:val="005350D3"/>
    <w:rsid w:val="00535267"/>
    <w:rsid w:val="005354E9"/>
    <w:rsid w:val="005358D7"/>
    <w:rsid w:val="005359EC"/>
    <w:rsid w:val="00536508"/>
    <w:rsid w:val="005365E9"/>
    <w:rsid w:val="00536B96"/>
    <w:rsid w:val="0053709B"/>
    <w:rsid w:val="00537580"/>
    <w:rsid w:val="00537790"/>
    <w:rsid w:val="00537A5D"/>
    <w:rsid w:val="005401B3"/>
    <w:rsid w:val="00540A79"/>
    <w:rsid w:val="00540CF0"/>
    <w:rsid w:val="005412D4"/>
    <w:rsid w:val="0054167F"/>
    <w:rsid w:val="00541E97"/>
    <w:rsid w:val="0054215D"/>
    <w:rsid w:val="00542C26"/>
    <w:rsid w:val="00542D7A"/>
    <w:rsid w:val="005430E7"/>
    <w:rsid w:val="00543107"/>
    <w:rsid w:val="005433BC"/>
    <w:rsid w:val="005436EE"/>
    <w:rsid w:val="005439DA"/>
    <w:rsid w:val="00543D50"/>
    <w:rsid w:val="00543E9E"/>
    <w:rsid w:val="005507B4"/>
    <w:rsid w:val="005512BE"/>
    <w:rsid w:val="00551D23"/>
    <w:rsid w:val="0055255C"/>
    <w:rsid w:val="005525C0"/>
    <w:rsid w:val="00552795"/>
    <w:rsid w:val="00552B5E"/>
    <w:rsid w:val="00552F29"/>
    <w:rsid w:val="00553338"/>
    <w:rsid w:val="005546AC"/>
    <w:rsid w:val="00554889"/>
    <w:rsid w:val="00554BAD"/>
    <w:rsid w:val="00554D4B"/>
    <w:rsid w:val="00555065"/>
    <w:rsid w:val="00555845"/>
    <w:rsid w:val="00555A2F"/>
    <w:rsid w:val="00555ADE"/>
    <w:rsid w:val="00555B89"/>
    <w:rsid w:val="00556181"/>
    <w:rsid w:val="005565DF"/>
    <w:rsid w:val="00556A6F"/>
    <w:rsid w:val="0055706F"/>
    <w:rsid w:val="005601C8"/>
    <w:rsid w:val="005623DD"/>
    <w:rsid w:val="00562957"/>
    <w:rsid w:val="00562CED"/>
    <w:rsid w:val="00563CBF"/>
    <w:rsid w:val="00563D3D"/>
    <w:rsid w:val="0056432D"/>
    <w:rsid w:val="00564739"/>
    <w:rsid w:val="0056496E"/>
    <w:rsid w:val="00564F2E"/>
    <w:rsid w:val="00564F90"/>
    <w:rsid w:val="005651A0"/>
    <w:rsid w:val="00565F45"/>
    <w:rsid w:val="0056622C"/>
    <w:rsid w:val="005669FF"/>
    <w:rsid w:val="0057206A"/>
    <w:rsid w:val="005721FD"/>
    <w:rsid w:val="00573087"/>
    <w:rsid w:val="00573EF1"/>
    <w:rsid w:val="0057434A"/>
    <w:rsid w:val="005769E2"/>
    <w:rsid w:val="00577031"/>
    <w:rsid w:val="00577FBB"/>
    <w:rsid w:val="005800BA"/>
    <w:rsid w:val="00580A03"/>
    <w:rsid w:val="00580E00"/>
    <w:rsid w:val="00580FF7"/>
    <w:rsid w:val="00581803"/>
    <w:rsid w:val="00581B7E"/>
    <w:rsid w:val="00582044"/>
    <w:rsid w:val="00582070"/>
    <w:rsid w:val="005827A0"/>
    <w:rsid w:val="00582F92"/>
    <w:rsid w:val="005832B5"/>
    <w:rsid w:val="00583B34"/>
    <w:rsid w:val="00584719"/>
    <w:rsid w:val="00584C91"/>
    <w:rsid w:val="00585D23"/>
    <w:rsid w:val="00586056"/>
    <w:rsid w:val="0058794D"/>
    <w:rsid w:val="00587AEA"/>
    <w:rsid w:val="00590C15"/>
    <w:rsid w:val="00591581"/>
    <w:rsid w:val="00591B9A"/>
    <w:rsid w:val="00591C34"/>
    <w:rsid w:val="00592B72"/>
    <w:rsid w:val="0059408E"/>
    <w:rsid w:val="005948DC"/>
    <w:rsid w:val="0059613A"/>
    <w:rsid w:val="005961D0"/>
    <w:rsid w:val="00596352"/>
    <w:rsid w:val="00596537"/>
    <w:rsid w:val="00596C53"/>
    <w:rsid w:val="00596D57"/>
    <w:rsid w:val="00597D51"/>
    <w:rsid w:val="005A000B"/>
    <w:rsid w:val="005A01B0"/>
    <w:rsid w:val="005A05DD"/>
    <w:rsid w:val="005A1913"/>
    <w:rsid w:val="005A1D9C"/>
    <w:rsid w:val="005A270D"/>
    <w:rsid w:val="005A2F13"/>
    <w:rsid w:val="005A3641"/>
    <w:rsid w:val="005A38F3"/>
    <w:rsid w:val="005A3AD2"/>
    <w:rsid w:val="005A4496"/>
    <w:rsid w:val="005A457C"/>
    <w:rsid w:val="005A54ED"/>
    <w:rsid w:val="005A6261"/>
    <w:rsid w:val="005A62D7"/>
    <w:rsid w:val="005A67BD"/>
    <w:rsid w:val="005A7830"/>
    <w:rsid w:val="005A7C5E"/>
    <w:rsid w:val="005B08A1"/>
    <w:rsid w:val="005B0DB1"/>
    <w:rsid w:val="005B0DE3"/>
    <w:rsid w:val="005B0FAA"/>
    <w:rsid w:val="005B1A81"/>
    <w:rsid w:val="005B3359"/>
    <w:rsid w:val="005B539B"/>
    <w:rsid w:val="005B5A23"/>
    <w:rsid w:val="005B5F2D"/>
    <w:rsid w:val="005B7932"/>
    <w:rsid w:val="005C00BF"/>
    <w:rsid w:val="005C088A"/>
    <w:rsid w:val="005C0D5E"/>
    <w:rsid w:val="005C2896"/>
    <w:rsid w:val="005C2E8D"/>
    <w:rsid w:val="005C2F33"/>
    <w:rsid w:val="005C3538"/>
    <w:rsid w:val="005C353C"/>
    <w:rsid w:val="005C4BB6"/>
    <w:rsid w:val="005C585E"/>
    <w:rsid w:val="005C588C"/>
    <w:rsid w:val="005C5C56"/>
    <w:rsid w:val="005C65AC"/>
    <w:rsid w:val="005D00AB"/>
    <w:rsid w:val="005D03D6"/>
    <w:rsid w:val="005D0D25"/>
    <w:rsid w:val="005D1255"/>
    <w:rsid w:val="005D2BD7"/>
    <w:rsid w:val="005D45D8"/>
    <w:rsid w:val="005D4774"/>
    <w:rsid w:val="005D4855"/>
    <w:rsid w:val="005D52E1"/>
    <w:rsid w:val="005D686C"/>
    <w:rsid w:val="005D693E"/>
    <w:rsid w:val="005E01D1"/>
    <w:rsid w:val="005E0D3E"/>
    <w:rsid w:val="005E1BB7"/>
    <w:rsid w:val="005E1E32"/>
    <w:rsid w:val="005E2A92"/>
    <w:rsid w:val="005E2B49"/>
    <w:rsid w:val="005E2F9A"/>
    <w:rsid w:val="005E3168"/>
    <w:rsid w:val="005E3CEB"/>
    <w:rsid w:val="005E4DB2"/>
    <w:rsid w:val="005E4E7B"/>
    <w:rsid w:val="005E4F95"/>
    <w:rsid w:val="005E63B2"/>
    <w:rsid w:val="005E674B"/>
    <w:rsid w:val="005E6BD7"/>
    <w:rsid w:val="005E75C8"/>
    <w:rsid w:val="005F0C56"/>
    <w:rsid w:val="005F0C76"/>
    <w:rsid w:val="005F109E"/>
    <w:rsid w:val="005F1C74"/>
    <w:rsid w:val="005F1F8D"/>
    <w:rsid w:val="005F3057"/>
    <w:rsid w:val="005F39AA"/>
    <w:rsid w:val="005F40EB"/>
    <w:rsid w:val="005F50ED"/>
    <w:rsid w:val="005F61C3"/>
    <w:rsid w:val="005F637E"/>
    <w:rsid w:val="005F6421"/>
    <w:rsid w:val="005F7120"/>
    <w:rsid w:val="005F7128"/>
    <w:rsid w:val="005F72E8"/>
    <w:rsid w:val="005F73FD"/>
    <w:rsid w:val="005F7A72"/>
    <w:rsid w:val="00600081"/>
    <w:rsid w:val="00601041"/>
    <w:rsid w:val="00601932"/>
    <w:rsid w:val="006030B6"/>
    <w:rsid w:val="006031C5"/>
    <w:rsid w:val="00604D9C"/>
    <w:rsid w:val="00604EB0"/>
    <w:rsid w:val="0060520B"/>
    <w:rsid w:val="00605BF0"/>
    <w:rsid w:val="00605F18"/>
    <w:rsid w:val="00606271"/>
    <w:rsid w:val="006070E1"/>
    <w:rsid w:val="00607AE5"/>
    <w:rsid w:val="00607C1E"/>
    <w:rsid w:val="00607FF2"/>
    <w:rsid w:val="0061010D"/>
    <w:rsid w:val="0061031B"/>
    <w:rsid w:val="00611077"/>
    <w:rsid w:val="00611364"/>
    <w:rsid w:val="00611CEE"/>
    <w:rsid w:val="00611F60"/>
    <w:rsid w:val="0061216C"/>
    <w:rsid w:val="0061289E"/>
    <w:rsid w:val="006128FD"/>
    <w:rsid w:val="00612CBD"/>
    <w:rsid w:val="0061314D"/>
    <w:rsid w:val="006136BD"/>
    <w:rsid w:val="006137DB"/>
    <w:rsid w:val="00613A89"/>
    <w:rsid w:val="006143B4"/>
    <w:rsid w:val="006144E8"/>
    <w:rsid w:val="00614F94"/>
    <w:rsid w:val="0061670A"/>
    <w:rsid w:val="00616754"/>
    <w:rsid w:val="0061695D"/>
    <w:rsid w:val="00616DFA"/>
    <w:rsid w:val="00616EE6"/>
    <w:rsid w:val="006170F1"/>
    <w:rsid w:val="00617E18"/>
    <w:rsid w:val="00620A80"/>
    <w:rsid w:val="00620FBC"/>
    <w:rsid w:val="006212FA"/>
    <w:rsid w:val="00621A18"/>
    <w:rsid w:val="00621A4C"/>
    <w:rsid w:val="00621DAE"/>
    <w:rsid w:val="006228F6"/>
    <w:rsid w:val="006237E9"/>
    <w:rsid w:val="00623F2F"/>
    <w:rsid w:val="00624B2C"/>
    <w:rsid w:val="00624C06"/>
    <w:rsid w:val="00624DFB"/>
    <w:rsid w:val="00625185"/>
    <w:rsid w:val="00625E99"/>
    <w:rsid w:val="00625F25"/>
    <w:rsid w:val="00626A60"/>
    <w:rsid w:val="00626DBC"/>
    <w:rsid w:val="00630887"/>
    <w:rsid w:val="00630CD5"/>
    <w:rsid w:val="00632F56"/>
    <w:rsid w:val="006338FB"/>
    <w:rsid w:val="00633953"/>
    <w:rsid w:val="00633A87"/>
    <w:rsid w:val="0063416A"/>
    <w:rsid w:val="006361A3"/>
    <w:rsid w:val="006365CE"/>
    <w:rsid w:val="00636DDE"/>
    <w:rsid w:val="00641619"/>
    <w:rsid w:val="00641C98"/>
    <w:rsid w:val="00642E66"/>
    <w:rsid w:val="00643B95"/>
    <w:rsid w:val="006444D6"/>
    <w:rsid w:val="00645775"/>
    <w:rsid w:val="00645808"/>
    <w:rsid w:val="00646DA5"/>
    <w:rsid w:val="006470CA"/>
    <w:rsid w:val="006478F9"/>
    <w:rsid w:val="00647918"/>
    <w:rsid w:val="00647D3F"/>
    <w:rsid w:val="00650F37"/>
    <w:rsid w:val="00651F04"/>
    <w:rsid w:val="00652D39"/>
    <w:rsid w:val="00654AC1"/>
    <w:rsid w:val="00654EDF"/>
    <w:rsid w:val="00655708"/>
    <w:rsid w:val="00655AA1"/>
    <w:rsid w:val="0065647B"/>
    <w:rsid w:val="006564B9"/>
    <w:rsid w:val="00656559"/>
    <w:rsid w:val="00657B2E"/>
    <w:rsid w:val="00657E20"/>
    <w:rsid w:val="00661204"/>
    <w:rsid w:val="00661527"/>
    <w:rsid w:val="00661DD4"/>
    <w:rsid w:val="006644F9"/>
    <w:rsid w:val="006648E6"/>
    <w:rsid w:val="00664F1D"/>
    <w:rsid w:val="006650C2"/>
    <w:rsid w:val="0066574F"/>
    <w:rsid w:val="0066584A"/>
    <w:rsid w:val="00665BEC"/>
    <w:rsid w:val="00666393"/>
    <w:rsid w:val="00666ABD"/>
    <w:rsid w:val="00666E4B"/>
    <w:rsid w:val="006670F5"/>
    <w:rsid w:val="00667403"/>
    <w:rsid w:val="00667938"/>
    <w:rsid w:val="006709D0"/>
    <w:rsid w:val="00670B4C"/>
    <w:rsid w:val="00670D3A"/>
    <w:rsid w:val="00671096"/>
    <w:rsid w:val="00671205"/>
    <w:rsid w:val="0067141F"/>
    <w:rsid w:val="00671A79"/>
    <w:rsid w:val="00672BBB"/>
    <w:rsid w:val="00673231"/>
    <w:rsid w:val="00673C44"/>
    <w:rsid w:val="00673CB4"/>
    <w:rsid w:val="006740B3"/>
    <w:rsid w:val="00674CE4"/>
    <w:rsid w:val="0067531C"/>
    <w:rsid w:val="0067626D"/>
    <w:rsid w:val="00676346"/>
    <w:rsid w:val="006764CF"/>
    <w:rsid w:val="0067666B"/>
    <w:rsid w:val="0067693B"/>
    <w:rsid w:val="00676D52"/>
    <w:rsid w:val="00677CD8"/>
    <w:rsid w:val="006805B8"/>
    <w:rsid w:val="00681562"/>
    <w:rsid w:val="006816DC"/>
    <w:rsid w:val="00682041"/>
    <w:rsid w:val="0068283D"/>
    <w:rsid w:val="00682A91"/>
    <w:rsid w:val="006835AC"/>
    <w:rsid w:val="006835C0"/>
    <w:rsid w:val="006837FE"/>
    <w:rsid w:val="00683B29"/>
    <w:rsid w:val="00683B70"/>
    <w:rsid w:val="0068405E"/>
    <w:rsid w:val="006843C1"/>
    <w:rsid w:val="00685862"/>
    <w:rsid w:val="00685B30"/>
    <w:rsid w:val="0068618A"/>
    <w:rsid w:val="00686220"/>
    <w:rsid w:val="0068628C"/>
    <w:rsid w:val="0068663D"/>
    <w:rsid w:val="00686CCE"/>
    <w:rsid w:val="00686EA5"/>
    <w:rsid w:val="00687338"/>
    <w:rsid w:val="00690053"/>
    <w:rsid w:val="006912A7"/>
    <w:rsid w:val="006917D1"/>
    <w:rsid w:val="006918A5"/>
    <w:rsid w:val="006918BE"/>
    <w:rsid w:val="00694CD1"/>
    <w:rsid w:val="00695FB7"/>
    <w:rsid w:val="006966EF"/>
    <w:rsid w:val="0069686D"/>
    <w:rsid w:val="006973F0"/>
    <w:rsid w:val="0069783E"/>
    <w:rsid w:val="006A0B05"/>
    <w:rsid w:val="006A151F"/>
    <w:rsid w:val="006A1814"/>
    <w:rsid w:val="006A25AB"/>
    <w:rsid w:val="006A39B4"/>
    <w:rsid w:val="006A415B"/>
    <w:rsid w:val="006A4383"/>
    <w:rsid w:val="006A5E9B"/>
    <w:rsid w:val="006A661C"/>
    <w:rsid w:val="006A6834"/>
    <w:rsid w:val="006A6987"/>
    <w:rsid w:val="006B0DF5"/>
    <w:rsid w:val="006B1336"/>
    <w:rsid w:val="006B2460"/>
    <w:rsid w:val="006B2A2B"/>
    <w:rsid w:val="006B3A03"/>
    <w:rsid w:val="006B6BF6"/>
    <w:rsid w:val="006B6FAB"/>
    <w:rsid w:val="006B7E1F"/>
    <w:rsid w:val="006C114E"/>
    <w:rsid w:val="006C1673"/>
    <w:rsid w:val="006C167C"/>
    <w:rsid w:val="006C1EE4"/>
    <w:rsid w:val="006C2171"/>
    <w:rsid w:val="006C2196"/>
    <w:rsid w:val="006C2261"/>
    <w:rsid w:val="006C28DF"/>
    <w:rsid w:val="006C2AF4"/>
    <w:rsid w:val="006C2D1D"/>
    <w:rsid w:val="006C2DB1"/>
    <w:rsid w:val="006C48F8"/>
    <w:rsid w:val="006C4E84"/>
    <w:rsid w:val="006C51A4"/>
    <w:rsid w:val="006C5EBE"/>
    <w:rsid w:val="006C61EA"/>
    <w:rsid w:val="006C719B"/>
    <w:rsid w:val="006C7569"/>
    <w:rsid w:val="006C77FA"/>
    <w:rsid w:val="006C7DC4"/>
    <w:rsid w:val="006D0366"/>
    <w:rsid w:val="006D03CA"/>
    <w:rsid w:val="006D11A0"/>
    <w:rsid w:val="006D11D3"/>
    <w:rsid w:val="006D13A6"/>
    <w:rsid w:val="006D40C4"/>
    <w:rsid w:val="006D4427"/>
    <w:rsid w:val="006D4487"/>
    <w:rsid w:val="006D45B6"/>
    <w:rsid w:val="006D4BB2"/>
    <w:rsid w:val="006D4F0A"/>
    <w:rsid w:val="006D4F4B"/>
    <w:rsid w:val="006D544B"/>
    <w:rsid w:val="006D6196"/>
    <w:rsid w:val="006D6716"/>
    <w:rsid w:val="006D71FA"/>
    <w:rsid w:val="006E0525"/>
    <w:rsid w:val="006E09F0"/>
    <w:rsid w:val="006E0D0C"/>
    <w:rsid w:val="006E0F4B"/>
    <w:rsid w:val="006E1169"/>
    <w:rsid w:val="006E15FD"/>
    <w:rsid w:val="006E1C63"/>
    <w:rsid w:val="006E2958"/>
    <w:rsid w:val="006E29CA"/>
    <w:rsid w:val="006E47A9"/>
    <w:rsid w:val="006E4A51"/>
    <w:rsid w:val="006E526F"/>
    <w:rsid w:val="006E549D"/>
    <w:rsid w:val="006E54AA"/>
    <w:rsid w:val="006E6FB1"/>
    <w:rsid w:val="006E7FE4"/>
    <w:rsid w:val="006F0392"/>
    <w:rsid w:val="006F03F2"/>
    <w:rsid w:val="006F0555"/>
    <w:rsid w:val="006F06EE"/>
    <w:rsid w:val="006F1DE2"/>
    <w:rsid w:val="006F20BD"/>
    <w:rsid w:val="006F26CD"/>
    <w:rsid w:val="006F30E2"/>
    <w:rsid w:val="006F35BB"/>
    <w:rsid w:val="006F46D8"/>
    <w:rsid w:val="006F4EF7"/>
    <w:rsid w:val="006F50DA"/>
    <w:rsid w:val="006F57C3"/>
    <w:rsid w:val="006F5A84"/>
    <w:rsid w:val="006F5C01"/>
    <w:rsid w:val="006F5CDE"/>
    <w:rsid w:val="006F6309"/>
    <w:rsid w:val="006F6B40"/>
    <w:rsid w:val="006F6C7B"/>
    <w:rsid w:val="006F6F01"/>
    <w:rsid w:val="00700294"/>
    <w:rsid w:val="00701ABE"/>
    <w:rsid w:val="00703087"/>
    <w:rsid w:val="007038C0"/>
    <w:rsid w:val="007039F9"/>
    <w:rsid w:val="00703B4F"/>
    <w:rsid w:val="007044AA"/>
    <w:rsid w:val="00705434"/>
    <w:rsid w:val="007056DA"/>
    <w:rsid w:val="007057E9"/>
    <w:rsid w:val="00706739"/>
    <w:rsid w:val="007072EF"/>
    <w:rsid w:val="00710754"/>
    <w:rsid w:val="007107C1"/>
    <w:rsid w:val="00711811"/>
    <w:rsid w:val="00711FA1"/>
    <w:rsid w:val="00712965"/>
    <w:rsid w:val="00712986"/>
    <w:rsid w:val="00713331"/>
    <w:rsid w:val="00713D1E"/>
    <w:rsid w:val="007141EC"/>
    <w:rsid w:val="00714860"/>
    <w:rsid w:val="00714AB2"/>
    <w:rsid w:val="007151C8"/>
    <w:rsid w:val="007152CE"/>
    <w:rsid w:val="007157F0"/>
    <w:rsid w:val="00715DCB"/>
    <w:rsid w:val="0071660C"/>
    <w:rsid w:val="007166C0"/>
    <w:rsid w:val="0071786A"/>
    <w:rsid w:val="00717E21"/>
    <w:rsid w:val="007203B1"/>
    <w:rsid w:val="00720905"/>
    <w:rsid w:val="00720D1E"/>
    <w:rsid w:val="00720D76"/>
    <w:rsid w:val="007212F3"/>
    <w:rsid w:val="00721D3D"/>
    <w:rsid w:val="00721ECC"/>
    <w:rsid w:val="007226A5"/>
    <w:rsid w:val="00723012"/>
    <w:rsid w:val="0072370E"/>
    <w:rsid w:val="00723F58"/>
    <w:rsid w:val="007241A2"/>
    <w:rsid w:val="007242B7"/>
    <w:rsid w:val="00725F65"/>
    <w:rsid w:val="00726E1E"/>
    <w:rsid w:val="007271AF"/>
    <w:rsid w:val="00727616"/>
    <w:rsid w:val="007311E4"/>
    <w:rsid w:val="007312E7"/>
    <w:rsid w:val="00731ABF"/>
    <w:rsid w:val="00731E6A"/>
    <w:rsid w:val="007327EB"/>
    <w:rsid w:val="0073353F"/>
    <w:rsid w:val="007341D7"/>
    <w:rsid w:val="00734BBF"/>
    <w:rsid w:val="007350E6"/>
    <w:rsid w:val="007356F2"/>
    <w:rsid w:val="00735B1F"/>
    <w:rsid w:val="00735DFB"/>
    <w:rsid w:val="00736776"/>
    <w:rsid w:val="007377E7"/>
    <w:rsid w:val="00737C82"/>
    <w:rsid w:val="00740215"/>
    <w:rsid w:val="00740905"/>
    <w:rsid w:val="00740D69"/>
    <w:rsid w:val="00741837"/>
    <w:rsid w:val="00741BDB"/>
    <w:rsid w:val="007427E5"/>
    <w:rsid w:val="00742942"/>
    <w:rsid w:val="007433EA"/>
    <w:rsid w:val="007437A0"/>
    <w:rsid w:val="00744990"/>
    <w:rsid w:val="00744AF3"/>
    <w:rsid w:val="00745B16"/>
    <w:rsid w:val="00745DF4"/>
    <w:rsid w:val="007460F9"/>
    <w:rsid w:val="00746C71"/>
    <w:rsid w:val="007476DA"/>
    <w:rsid w:val="00747B7E"/>
    <w:rsid w:val="00747F39"/>
    <w:rsid w:val="007509D1"/>
    <w:rsid w:val="00750C0A"/>
    <w:rsid w:val="007510F8"/>
    <w:rsid w:val="007521B4"/>
    <w:rsid w:val="007526B3"/>
    <w:rsid w:val="007526E6"/>
    <w:rsid w:val="00752DE6"/>
    <w:rsid w:val="007530F0"/>
    <w:rsid w:val="00754620"/>
    <w:rsid w:val="0075474B"/>
    <w:rsid w:val="007558F0"/>
    <w:rsid w:val="00755B82"/>
    <w:rsid w:val="00755C64"/>
    <w:rsid w:val="00756347"/>
    <w:rsid w:val="00757859"/>
    <w:rsid w:val="00760344"/>
    <w:rsid w:val="00760B9B"/>
    <w:rsid w:val="00760EDA"/>
    <w:rsid w:val="00760FB9"/>
    <w:rsid w:val="00760FEC"/>
    <w:rsid w:val="00761719"/>
    <w:rsid w:val="00761941"/>
    <w:rsid w:val="007620DA"/>
    <w:rsid w:val="00763768"/>
    <w:rsid w:val="00763A81"/>
    <w:rsid w:val="00763FA2"/>
    <w:rsid w:val="007643C6"/>
    <w:rsid w:val="0076627B"/>
    <w:rsid w:val="00766DF8"/>
    <w:rsid w:val="00766EA8"/>
    <w:rsid w:val="00767EE7"/>
    <w:rsid w:val="00770598"/>
    <w:rsid w:val="007707ED"/>
    <w:rsid w:val="00770994"/>
    <w:rsid w:val="007711FA"/>
    <w:rsid w:val="0077178E"/>
    <w:rsid w:val="00772E9D"/>
    <w:rsid w:val="007731A1"/>
    <w:rsid w:val="00773A98"/>
    <w:rsid w:val="007747BC"/>
    <w:rsid w:val="007747E0"/>
    <w:rsid w:val="0077482E"/>
    <w:rsid w:val="00774A2C"/>
    <w:rsid w:val="00775404"/>
    <w:rsid w:val="007803F1"/>
    <w:rsid w:val="007808DA"/>
    <w:rsid w:val="00780963"/>
    <w:rsid w:val="007812D0"/>
    <w:rsid w:val="0078138F"/>
    <w:rsid w:val="00781629"/>
    <w:rsid w:val="00781B05"/>
    <w:rsid w:val="007820F5"/>
    <w:rsid w:val="0078223F"/>
    <w:rsid w:val="007827CD"/>
    <w:rsid w:val="00782F4B"/>
    <w:rsid w:val="00783F47"/>
    <w:rsid w:val="007842F7"/>
    <w:rsid w:val="007854B6"/>
    <w:rsid w:val="00785B37"/>
    <w:rsid w:val="00786ADF"/>
    <w:rsid w:val="00786CE1"/>
    <w:rsid w:val="0078753E"/>
    <w:rsid w:val="00790A2C"/>
    <w:rsid w:val="00790AE3"/>
    <w:rsid w:val="00791079"/>
    <w:rsid w:val="007917EA"/>
    <w:rsid w:val="00791871"/>
    <w:rsid w:val="007922DF"/>
    <w:rsid w:val="00792633"/>
    <w:rsid w:val="007926F2"/>
    <w:rsid w:val="00794DB9"/>
    <w:rsid w:val="00796A2C"/>
    <w:rsid w:val="00796CD2"/>
    <w:rsid w:val="007971B4"/>
    <w:rsid w:val="00797C9B"/>
    <w:rsid w:val="007A03B6"/>
    <w:rsid w:val="007A043B"/>
    <w:rsid w:val="007A091B"/>
    <w:rsid w:val="007A14EB"/>
    <w:rsid w:val="007A14F8"/>
    <w:rsid w:val="007A1591"/>
    <w:rsid w:val="007A1FED"/>
    <w:rsid w:val="007A24D8"/>
    <w:rsid w:val="007A2D95"/>
    <w:rsid w:val="007A4286"/>
    <w:rsid w:val="007A429B"/>
    <w:rsid w:val="007A4386"/>
    <w:rsid w:val="007A5051"/>
    <w:rsid w:val="007A53A9"/>
    <w:rsid w:val="007A5A0D"/>
    <w:rsid w:val="007A77FC"/>
    <w:rsid w:val="007A7820"/>
    <w:rsid w:val="007B084F"/>
    <w:rsid w:val="007B0D10"/>
    <w:rsid w:val="007B1F02"/>
    <w:rsid w:val="007B26B3"/>
    <w:rsid w:val="007B2B98"/>
    <w:rsid w:val="007B2F5E"/>
    <w:rsid w:val="007B3DF0"/>
    <w:rsid w:val="007B4C95"/>
    <w:rsid w:val="007B5993"/>
    <w:rsid w:val="007B612E"/>
    <w:rsid w:val="007B61E5"/>
    <w:rsid w:val="007B64F8"/>
    <w:rsid w:val="007B65C8"/>
    <w:rsid w:val="007B6C1B"/>
    <w:rsid w:val="007B7BB3"/>
    <w:rsid w:val="007B7BE1"/>
    <w:rsid w:val="007B7C13"/>
    <w:rsid w:val="007C0B57"/>
    <w:rsid w:val="007C0EA9"/>
    <w:rsid w:val="007C0ED3"/>
    <w:rsid w:val="007C10BA"/>
    <w:rsid w:val="007C134B"/>
    <w:rsid w:val="007C193F"/>
    <w:rsid w:val="007C230E"/>
    <w:rsid w:val="007C2D64"/>
    <w:rsid w:val="007C40F7"/>
    <w:rsid w:val="007C455B"/>
    <w:rsid w:val="007C4988"/>
    <w:rsid w:val="007C4CD4"/>
    <w:rsid w:val="007C4E97"/>
    <w:rsid w:val="007C50CB"/>
    <w:rsid w:val="007C55FD"/>
    <w:rsid w:val="007C6AFF"/>
    <w:rsid w:val="007C6C2C"/>
    <w:rsid w:val="007C7588"/>
    <w:rsid w:val="007D0539"/>
    <w:rsid w:val="007D09CB"/>
    <w:rsid w:val="007D0A55"/>
    <w:rsid w:val="007D1042"/>
    <w:rsid w:val="007D130B"/>
    <w:rsid w:val="007D1614"/>
    <w:rsid w:val="007D1849"/>
    <w:rsid w:val="007D1A24"/>
    <w:rsid w:val="007D2242"/>
    <w:rsid w:val="007D23F2"/>
    <w:rsid w:val="007D2995"/>
    <w:rsid w:val="007D2BD2"/>
    <w:rsid w:val="007D2CB0"/>
    <w:rsid w:val="007D2D8D"/>
    <w:rsid w:val="007D352B"/>
    <w:rsid w:val="007D36E5"/>
    <w:rsid w:val="007D376C"/>
    <w:rsid w:val="007D4555"/>
    <w:rsid w:val="007D4ACE"/>
    <w:rsid w:val="007D52AA"/>
    <w:rsid w:val="007D610A"/>
    <w:rsid w:val="007D64DA"/>
    <w:rsid w:val="007D69BA"/>
    <w:rsid w:val="007D6B13"/>
    <w:rsid w:val="007D7A50"/>
    <w:rsid w:val="007E0F4B"/>
    <w:rsid w:val="007E1895"/>
    <w:rsid w:val="007E1AF9"/>
    <w:rsid w:val="007E1F77"/>
    <w:rsid w:val="007E2B8E"/>
    <w:rsid w:val="007E2F83"/>
    <w:rsid w:val="007E2FF3"/>
    <w:rsid w:val="007E3A5F"/>
    <w:rsid w:val="007E443B"/>
    <w:rsid w:val="007E46FE"/>
    <w:rsid w:val="007E539C"/>
    <w:rsid w:val="007E5641"/>
    <w:rsid w:val="007E5B7C"/>
    <w:rsid w:val="007E6010"/>
    <w:rsid w:val="007E624A"/>
    <w:rsid w:val="007E636F"/>
    <w:rsid w:val="007E6926"/>
    <w:rsid w:val="007E6E94"/>
    <w:rsid w:val="007E7E8A"/>
    <w:rsid w:val="007F0909"/>
    <w:rsid w:val="007F212D"/>
    <w:rsid w:val="007F23B1"/>
    <w:rsid w:val="007F24E8"/>
    <w:rsid w:val="007F3415"/>
    <w:rsid w:val="007F34A6"/>
    <w:rsid w:val="007F3FEA"/>
    <w:rsid w:val="007F440C"/>
    <w:rsid w:val="007F5EB5"/>
    <w:rsid w:val="007F617E"/>
    <w:rsid w:val="007F65CE"/>
    <w:rsid w:val="007F67CA"/>
    <w:rsid w:val="007F6B42"/>
    <w:rsid w:val="007F72F6"/>
    <w:rsid w:val="007F744F"/>
    <w:rsid w:val="007F7C3F"/>
    <w:rsid w:val="007F7F62"/>
    <w:rsid w:val="0080043B"/>
    <w:rsid w:val="00801D1D"/>
    <w:rsid w:val="008029D9"/>
    <w:rsid w:val="00802F84"/>
    <w:rsid w:val="008037AE"/>
    <w:rsid w:val="00803B8E"/>
    <w:rsid w:val="00803C3C"/>
    <w:rsid w:val="008042CC"/>
    <w:rsid w:val="00805056"/>
    <w:rsid w:val="008059DB"/>
    <w:rsid w:val="0080603A"/>
    <w:rsid w:val="00806577"/>
    <w:rsid w:val="0080771B"/>
    <w:rsid w:val="00807D7A"/>
    <w:rsid w:val="00810260"/>
    <w:rsid w:val="00810550"/>
    <w:rsid w:val="008108DB"/>
    <w:rsid w:val="00810966"/>
    <w:rsid w:val="0081102B"/>
    <w:rsid w:val="00811942"/>
    <w:rsid w:val="00811FE0"/>
    <w:rsid w:val="0081237A"/>
    <w:rsid w:val="00812427"/>
    <w:rsid w:val="008124DD"/>
    <w:rsid w:val="008128BC"/>
    <w:rsid w:val="00812E5F"/>
    <w:rsid w:val="00812FA2"/>
    <w:rsid w:val="008130E8"/>
    <w:rsid w:val="00813207"/>
    <w:rsid w:val="008133A5"/>
    <w:rsid w:val="00814290"/>
    <w:rsid w:val="008145F7"/>
    <w:rsid w:val="00814B0E"/>
    <w:rsid w:val="00814D3D"/>
    <w:rsid w:val="00814F1D"/>
    <w:rsid w:val="0081551B"/>
    <w:rsid w:val="00816491"/>
    <w:rsid w:val="00817AC6"/>
    <w:rsid w:val="008200DC"/>
    <w:rsid w:val="008201BE"/>
    <w:rsid w:val="0082075C"/>
    <w:rsid w:val="00820B03"/>
    <w:rsid w:val="00820C3C"/>
    <w:rsid w:val="00822814"/>
    <w:rsid w:val="00822E94"/>
    <w:rsid w:val="00822FE7"/>
    <w:rsid w:val="00823124"/>
    <w:rsid w:val="008234DD"/>
    <w:rsid w:val="008234E6"/>
    <w:rsid w:val="0082375D"/>
    <w:rsid w:val="00823D2C"/>
    <w:rsid w:val="0082406E"/>
    <w:rsid w:val="008254AE"/>
    <w:rsid w:val="0082566B"/>
    <w:rsid w:val="008256BB"/>
    <w:rsid w:val="008258AC"/>
    <w:rsid w:val="00825B5C"/>
    <w:rsid w:val="00827B1E"/>
    <w:rsid w:val="00830767"/>
    <w:rsid w:val="008307CF"/>
    <w:rsid w:val="00830826"/>
    <w:rsid w:val="00832006"/>
    <w:rsid w:val="00832E2D"/>
    <w:rsid w:val="008330AA"/>
    <w:rsid w:val="00833C47"/>
    <w:rsid w:val="00834FB3"/>
    <w:rsid w:val="0083517B"/>
    <w:rsid w:val="00835349"/>
    <w:rsid w:val="008353CA"/>
    <w:rsid w:val="00835BEF"/>
    <w:rsid w:val="00835CEC"/>
    <w:rsid w:val="008369FB"/>
    <w:rsid w:val="00836B01"/>
    <w:rsid w:val="00836B55"/>
    <w:rsid w:val="0083740B"/>
    <w:rsid w:val="00837924"/>
    <w:rsid w:val="00837E46"/>
    <w:rsid w:val="00840B82"/>
    <w:rsid w:val="00840EB5"/>
    <w:rsid w:val="008415B8"/>
    <w:rsid w:val="00843DCC"/>
    <w:rsid w:val="00844055"/>
    <w:rsid w:val="00844B3F"/>
    <w:rsid w:val="00844B63"/>
    <w:rsid w:val="00845292"/>
    <w:rsid w:val="00845437"/>
    <w:rsid w:val="0084544D"/>
    <w:rsid w:val="00845606"/>
    <w:rsid w:val="00845B34"/>
    <w:rsid w:val="00850A95"/>
    <w:rsid w:val="0085159E"/>
    <w:rsid w:val="008519AE"/>
    <w:rsid w:val="00851BC5"/>
    <w:rsid w:val="008520E1"/>
    <w:rsid w:val="00852754"/>
    <w:rsid w:val="0085342F"/>
    <w:rsid w:val="0085376C"/>
    <w:rsid w:val="00853982"/>
    <w:rsid w:val="00853B8B"/>
    <w:rsid w:val="008548D5"/>
    <w:rsid w:val="00860D62"/>
    <w:rsid w:val="00861916"/>
    <w:rsid w:val="00862C4C"/>
    <w:rsid w:val="00864110"/>
    <w:rsid w:val="008655C9"/>
    <w:rsid w:val="00865895"/>
    <w:rsid w:val="00865A4E"/>
    <w:rsid w:val="00865BB6"/>
    <w:rsid w:val="00865D3D"/>
    <w:rsid w:val="00865E1D"/>
    <w:rsid w:val="00867014"/>
    <w:rsid w:val="008671E3"/>
    <w:rsid w:val="00867D92"/>
    <w:rsid w:val="00867E90"/>
    <w:rsid w:val="00871238"/>
    <w:rsid w:val="00873B5F"/>
    <w:rsid w:val="00873F30"/>
    <w:rsid w:val="00873FDE"/>
    <w:rsid w:val="0087408C"/>
    <w:rsid w:val="00874415"/>
    <w:rsid w:val="008756E8"/>
    <w:rsid w:val="008779B8"/>
    <w:rsid w:val="00877C0A"/>
    <w:rsid w:val="00877F3A"/>
    <w:rsid w:val="0088047A"/>
    <w:rsid w:val="008804E8"/>
    <w:rsid w:val="00881BD9"/>
    <w:rsid w:val="00881CDF"/>
    <w:rsid w:val="00881EEC"/>
    <w:rsid w:val="00882330"/>
    <w:rsid w:val="008823CB"/>
    <w:rsid w:val="00882712"/>
    <w:rsid w:val="00883B94"/>
    <w:rsid w:val="00884513"/>
    <w:rsid w:val="008847A8"/>
    <w:rsid w:val="00884A77"/>
    <w:rsid w:val="00885043"/>
    <w:rsid w:val="00885598"/>
    <w:rsid w:val="00885B0B"/>
    <w:rsid w:val="00887A06"/>
    <w:rsid w:val="00887BF8"/>
    <w:rsid w:val="00890441"/>
    <w:rsid w:val="008920D1"/>
    <w:rsid w:val="00892164"/>
    <w:rsid w:val="00892AFA"/>
    <w:rsid w:val="00893325"/>
    <w:rsid w:val="00893375"/>
    <w:rsid w:val="00894111"/>
    <w:rsid w:val="008950E7"/>
    <w:rsid w:val="00895647"/>
    <w:rsid w:val="008959AE"/>
    <w:rsid w:val="00895B67"/>
    <w:rsid w:val="00896108"/>
    <w:rsid w:val="008963C6"/>
    <w:rsid w:val="00897366"/>
    <w:rsid w:val="0089782D"/>
    <w:rsid w:val="008A0130"/>
    <w:rsid w:val="008A0135"/>
    <w:rsid w:val="008A0553"/>
    <w:rsid w:val="008A17E1"/>
    <w:rsid w:val="008A1E76"/>
    <w:rsid w:val="008A2165"/>
    <w:rsid w:val="008A36A8"/>
    <w:rsid w:val="008A37D5"/>
    <w:rsid w:val="008A4021"/>
    <w:rsid w:val="008A409D"/>
    <w:rsid w:val="008A489D"/>
    <w:rsid w:val="008A495C"/>
    <w:rsid w:val="008A49DA"/>
    <w:rsid w:val="008A54C5"/>
    <w:rsid w:val="008A69A9"/>
    <w:rsid w:val="008A6A0C"/>
    <w:rsid w:val="008A6F9F"/>
    <w:rsid w:val="008A71BE"/>
    <w:rsid w:val="008A794A"/>
    <w:rsid w:val="008A7A8B"/>
    <w:rsid w:val="008B1311"/>
    <w:rsid w:val="008B18AC"/>
    <w:rsid w:val="008B191D"/>
    <w:rsid w:val="008B193C"/>
    <w:rsid w:val="008B1C42"/>
    <w:rsid w:val="008B241F"/>
    <w:rsid w:val="008B2710"/>
    <w:rsid w:val="008B32A2"/>
    <w:rsid w:val="008B33BD"/>
    <w:rsid w:val="008B416A"/>
    <w:rsid w:val="008B4203"/>
    <w:rsid w:val="008B4ADA"/>
    <w:rsid w:val="008B54A6"/>
    <w:rsid w:val="008B6129"/>
    <w:rsid w:val="008B639A"/>
    <w:rsid w:val="008B6818"/>
    <w:rsid w:val="008B6979"/>
    <w:rsid w:val="008C0444"/>
    <w:rsid w:val="008C04AE"/>
    <w:rsid w:val="008C1477"/>
    <w:rsid w:val="008C1D9A"/>
    <w:rsid w:val="008C2032"/>
    <w:rsid w:val="008C20B9"/>
    <w:rsid w:val="008C240A"/>
    <w:rsid w:val="008C24E8"/>
    <w:rsid w:val="008C2B82"/>
    <w:rsid w:val="008C3562"/>
    <w:rsid w:val="008C36AE"/>
    <w:rsid w:val="008C3E2B"/>
    <w:rsid w:val="008C40DE"/>
    <w:rsid w:val="008C4249"/>
    <w:rsid w:val="008C4621"/>
    <w:rsid w:val="008C4E65"/>
    <w:rsid w:val="008C5C58"/>
    <w:rsid w:val="008C6205"/>
    <w:rsid w:val="008C6FE6"/>
    <w:rsid w:val="008C70A4"/>
    <w:rsid w:val="008D0218"/>
    <w:rsid w:val="008D063C"/>
    <w:rsid w:val="008D145E"/>
    <w:rsid w:val="008D1590"/>
    <w:rsid w:val="008D1E39"/>
    <w:rsid w:val="008D4133"/>
    <w:rsid w:val="008D48A2"/>
    <w:rsid w:val="008D48DD"/>
    <w:rsid w:val="008D49B3"/>
    <w:rsid w:val="008D6C48"/>
    <w:rsid w:val="008E0662"/>
    <w:rsid w:val="008E0C94"/>
    <w:rsid w:val="008E11E3"/>
    <w:rsid w:val="008E1547"/>
    <w:rsid w:val="008E197F"/>
    <w:rsid w:val="008E2346"/>
    <w:rsid w:val="008E3052"/>
    <w:rsid w:val="008E33A9"/>
    <w:rsid w:val="008E3835"/>
    <w:rsid w:val="008E39E4"/>
    <w:rsid w:val="008E3AA8"/>
    <w:rsid w:val="008E4A36"/>
    <w:rsid w:val="008E4B88"/>
    <w:rsid w:val="008E4DC0"/>
    <w:rsid w:val="008E52B8"/>
    <w:rsid w:val="008E5829"/>
    <w:rsid w:val="008E5FFD"/>
    <w:rsid w:val="008E6434"/>
    <w:rsid w:val="008E6546"/>
    <w:rsid w:val="008E6A95"/>
    <w:rsid w:val="008E6D5E"/>
    <w:rsid w:val="008E718A"/>
    <w:rsid w:val="008E72DA"/>
    <w:rsid w:val="008E75CE"/>
    <w:rsid w:val="008E7B31"/>
    <w:rsid w:val="008F01C7"/>
    <w:rsid w:val="008F07C3"/>
    <w:rsid w:val="008F0A24"/>
    <w:rsid w:val="008F0BB2"/>
    <w:rsid w:val="008F119D"/>
    <w:rsid w:val="008F1829"/>
    <w:rsid w:val="008F25DF"/>
    <w:rsid w:val="008F2F9B"/>
    <w:rsid w:val="008F34FC"/>
    <w:rsid w:val="008F3C7B"/>
    <w:rsid w:val="008F4458"/>
    <w:rsid w:val="008F44E0"/>
    <w:rsid w:val="008F466D"/>
    <w:rsid w:val="008F491C"/>
    <w:rsid w:val="008F52EC"/>
    <w:rsid w:val="008F56B4"/>
    <w:rsid w:val="008F642B"/>
    <w:rsid w:val="008F744D"/>
    <w:rsid w:val="0090029A"/>
    <w:rsid w:val="0090062A"/>
    <w:rsid w:val="00900975"/>
    <w:rsid w:val="009011C1"/>
    <w:rsid w:val="009017F0"/>
    <w:rsid w:val="00902CFE"/>
    <w:rsid w:val="00902E1B"/>
    <w:rsid w:val="00903009"/>
    <w:rsid w:val="0090310A"/>
    <w:rsid w:val="0090327C"/>
    <w:rsid w:val="009034DE"/>
    <w:rsid w:val="00903BBF"/>
    <w:rsid w:val="00904028"/>
    <w:rsid w:val="0090466F"/>
    <w:rsid w:val="00904EA8"/>
    <w:rsid w:val="0090566B"/>
    <w:rsid w:val="0090607F"/>
    <w:rsid w:val="0090642C"/>
    <w:rsid w:val="00906CC4"/>
    <w:rsid w:val="00907753"/>
    <w:rsid w:val="00907886"/>
    <w:rsid w:val="00910123"/>
    <w:rsid w:val="00910E1F"/>
    <w:rsid w:val="0091197F"/>
    <w:rsid w:val="00911EB6"/>
    <w:rsid w:val="00911FA7"/>
    <w:rsid w:val="00912D04"/>
    <w:rsid w:val="00913344"/>
    <w:rsid w:val="0091337F"/>
    <w:rsid w:val="00913D07"/>
    <w:rsid w:val="009144D0"/>
    <w:rsid w:val="00915748"/>
    <w:rsid w:val="00915A73"/>
    <w:rsid w:val="00915E1C"/>
    <w:rsid w:val="00916205"/>
    <w:rsid w:val="0091674E"/>
    <w:rsid w:val="00917216"/>
    <w:rsid w:val="009174C4"/>
    <w:rsid w:val="009175E7"/>
    <w:rsid w:val="00920A28"/>
    <w:rsid w:val="00920BDA"/>
    <w:rsid w:val="00920E3F"/>
    <w:rsid w:val="00921278"/>
    <w:rsid w:val="00921608"/>
    <w:rsid w:val="0092171D"/>
    <w:rsid w:val="00921E89"/>
    <w:rsid w:val="0092249C"/>
    <w:rsid w:val="00922641"/>
    <w:rsid w:val="009228D1"/>
    <w:rsid w:val="00922C81"/>
    <w:rsid w:val="009232BC"/>
    <w:rsid w:val="0092371F"/>
    <w:rsid w:val="00923858"/>
    <w:rsid w:val="00923FE5"/>
    <w:rsid w:val="009240CE"/>
    <w:rsid w:val="00924E32"/>
    <w:rsid w:val="00924FCE"/>
    <w:rsid w:val="009263C8"/>
    <w:rsid w:val="00926BB0"/>
    <w:rsid w:val="00926FE7"/>
    <w:rsid w:val="009303D7"/>
    <w:rsid w:val="00930C5C"/>
    <w:rsid w:val="00931260"/>
    <w:rsid w:val="00931AB7"/>
    <w:rsid w:val="00931BDB"/>
    <w:rsid w:val="0093287D"/>
    <w:rsid w:val="009329FF"/>
    <w:rsid w:val="00933AA7"/>
    <w:rsid w:val="00933BEB"/>
    <w:rsid w:val="00933D51"/>
    <w:rsid w:val="009344B8"/>
    <w:rsid w:val="00934545"/>
    <w:rsid w:val="00935562"/>
    <w:rsid w:val="00935671"/>
    <w:rsid w:val="009357A9"/>
    <w:rsid w:val="00935902"/>
    <w:rsid w:val="00935AA1"/>
    <w:rsid w:val="00936613"/>
    <w:rsid w:val="0093662F"/>
    <w:rsid w:val="009371CB"/>
    <w:rsid w:val="00937D1C"/>
    <w:rsid w:val="00937FAA"/>
    <w:rsid w:val="00937FE7"/>
    <w:rsid w:val="00940F57"/>
    <w:rsid w:val="00941834"/>
    <w:rsid w:val="00941AB1"/>
    <w:rsid w:val="00941DE0"/>
    <w:rsid w:val="00942661"/>
    <w:rsid w:val="00942F38"/>
    <w:rsid w:val="009432BE"/>
    <w:rsid w:val="0094357E"/>
    <w:rsid w:val="00943BC0"/>
    <w:rsid w:val="00943F7F"/>
    <w:rsid w:val="009453DC"/>
    <w:rsid w:val="00945B61"/>
    <w:rsid w:val="00945D52"/>
    <w:rsid w:val="00945D9A"/>
    <w:rsid w:val="00946095"/>
    <w:rsid w:val="0094629B"/>
    <w:rsid w:val="00947E58"/>
    <w:rsid w:val="00950277"/>
    <w:rsid w:val="0095047A"/>
    <w:rsid w:val="009506D9"/>
    <w:rsid w:val="009509FB"/>
    <w:rsid w:val="00950A27"/>
    <w:rsid w:val="00950BDD"/>
    <w:rsid w:val="00951A36"/>
    <w:rsid w:val="00951E84"/>
    <w:rsid w:val="00952204"/>
    <w:rsid w:val="009529A6"/>
    <w:rsid w:val="0095316F"/>
    <w:rsid w:val="00953B7F"/>
    <w:rsid w:val="009548BF"/>
    <w:rsid w:val="0095570D"/>
    <w:rsid w:val="00955CB9"/>
    <w:rsid w:val="00955CD1"/>
    <w:rsid w:val="009561B2"/>
    <w:rsid w:val="00956CD4"/>
    <w:rsid w:val="0095729E"/>
    <w:rsid w:val="009573DA"/>
    <w:rsid w:val="00957640"/>
    <w:rsid w:val="00957A56"/>
    <w:rsid w:val="00960D79"/>
    <w:rsid w:val="009624D8"/>
    <w:rsid w:val="00962A81"/>
    <w:rsid w:val="00962F8C"/>
    <w:rsid w:val="009630CC"/>
    <w:rsid w:val="0096360A"/>
    <w:rsid w:val="00964431"/>
    <w:rsid w:val="00964567"/>
    <w:rsid w:val="00964902"/>
    <w:rsid w:val="00964A2B"/>
    <w:rsid w:val="00964E08"/>
    <w:rsid w:val="00965C31"/>
    <w:rsid w:val="00967C2D"/>
    <w:rsid w:val="00970252"/>
    <w:rsid w:val="00970FA0"/>
    <w:rsid w:val="0097111C"/>
    <w:rsid w:val="00971932"/>
    <w:rsid w:val="009724C5"/>
    <w:rsid w:val="00973BA1"/>
    <w:rsid w:val="00974382"/>
    <w:rsid w:val="00974B02"/>
    <w:rsid w:val="009750AD"/>
    <w:rsid w:val="009759DB"/>
    <w:rsid w:val="009763CF"/>
    <w:rsid w:val="00977701"/>
    <w:rsid w:val="009808BB"/>
    <w:rsid w:val="0098094B"/>
    <w:rsid w:val="00980AFD"/>
    <w:rsid w:val="009831B7"/>
    <w:rsid w:val="00983464"/>
    <w:rsid w:val="0098381E"/>
    <w:rsid w:val="00983EFD"/>
    <w:rsid w:val="00984454"/>
    <w:rsid w:val="00984B46"/>
    <w:rsid w:val="00984E00"/>
    <w:rsid w:val="00984F81"/>
    <w:rsid w:val="00984FCD"/>
    <w:rsid w:val="0098538F"/>
    <w:rsid w:val="00985A10"/>
    <w:rsid w:val="00985BA4"/>
    <w:rsid w:val="00985C44"/>
    <w:rsid w:val="0098658C"/>
    <w:rsid w:val="0098686E"/>
    <w:rsid w:val="0098724E"/>
    <w:rsid w:val="0099106F"/>
    <w:rsid w:val="00992AF5"/>
    <w:rsid w:val="00992D22"/>
    <w:rsid w:val="00992F30"/>
    <w:rsid w:val="0099349D"/>
    <w:rsid w:val="00993565"/>
    <w:rsid w:val="009941F8"/>
    <w:rsid w:val="0099460C"/>
    <w:rsid w:val="00994724"/>
    <w:rsid w:val="00994DCA"/>
    <w:rsid w:val="00994F42"/>
    <w:rsid w:val="00995261"/>
    <w:rsid w:val="00995537"/>
    <w:rsid w:val="00995889"/>
    <w:rsid w:val="00995A3E"/>
    <w:rsid w:val="00995C58"/>
    <w:rsid w:val="00995F1B"/>
    <w:rsid w:val="00996658"/>
    <w:rsid w:val="00997067"/>
    <w:rsid w:val="00997305"/>
    <w:rsid w:val="009979EB"/>
    <w:rsid w:val="00997D68"/>
    <w:rsid w:val="009A0143"/>
    <w:rsid w:val="009A127D"/>
    <w:rsid w:val="009A1915"/>
    <w:rsid w:val="009A29CC"/>
    <w:rsid w:val="009A2A98"/>
    <w:rsid w:val="009A33AE"/>
    <w:rsid w:val="009A3568"/>
    <w:rsid w:val="009A3917"/>
    <w:rsid w:val="009A3D1B"/>
    <w:rsid w:val="009A467C"/>
    <w:rsid w:val="009A4F3F"/>
    <w:rsid w:val="009A572C"/>
    <w:rsid w:val="009A5951"/>
    <w:rsid w:val="009A5F25"/>
    <w:rsid w:val="009A63FC"/>
    <w:rsid w:val="009A6FF3"/>
    <w:rsid w:val="009A7302"/>
    <w:rsid w:val="009A7905"/>
    <w:rsid w:val="009A7A07"/>
    <w:rsid w:val="009A7C7F"/>
    <w:rsid w:val="009A7E34"/>
    <w:rsid w:val="009A7FFC"/>
    <w:rsid w:val="009B0076"/>
    <w:rsid w:val="009B00ED"/>
    <w:rsid w:val="009B04F6"/>
    <w:rsid w:val="009B0929"/>
    <w:rsid w:val="009B1783"/>
    <w:rsid w:val="009B1CEC"/>
    <w:rsid w:val="009B3082"/>
    <w:rsid w:val="009B4E47"/>
    <w:rsid w:val="009B5BAF"/>
    <w:rsid w:val="009B5E59"/>
    <w:rsid w:val="009B5F1C"/>
    <w:rsid w:val="009B6EE5"/>
    <w:rsid w:val="009B70C6"/>
    <w:rsid w:val="009B7FA3"/>
    <w:rsid w:val="009C04F5"/>
    <w:rsid w:val="009C17D0"/>
    <w:rsid w:val="009C1A26"/>
    <w:rsid w:val="009C2E57"/>
    <w:rsid w:val="009C34EC"/>
    <w:rsid w:val="009C37A9"/>
    <w:rsid w:val="009C3AC8"/>
    <w:rsid w:val="009C44CD"/>
    <w:rsid w:val="009C498B"/>
    <w:rsid w:val="009C5711"/>
    <w:rsid w:val="009C6E49"/>
    <w:rsid w:val="009C70CE"/>
    <w:rsid w:val="009C71CE"/>
    <w:rsid w:val="009D041E"/>
    <w:rsid w:val="009D0FB7"/>
    <w:rsid w:val="009D13F3"/>
    <w:rsid w:val="009D2C90"/>
    <w:rsid w:val="009D3138"/>
    <w:rsid w:val="009D35D4"/>
    <w:rsid w:val="009D3FC7"/>
    <w:rsid w:val="009D43A8"/>
    <w:rsid w:val="009D4BC1"/>
    <w:rsid w:val="009D4FDA"/>
    <w:rsid w:val="009D560C"/>
    <w:rsid w:val="009D5B7D"/>
    <w:rsid w:val="009D5BC3"/>
    <w:rsid w:val="009D65FE"/>
    <w:rsid w:val="009D68EF"/>
    <w:rsid w:val="009D694D"/>
    <w:rsid w:val="009D6ABF"/>
    <w:rsid w:val="009D6B4C"/>
    <w:rsid w:val="009D75A4"/>
    <w:rsid w:val="009D7F20"/>
    <w:rsid w:val="009E058B"/>
    <w:rsid w:val="009E1D9D"/>
    <w:rsid w:val="009E1F5A"/>
    <w:rsid w:val="009E2803"/>
    <w:rsid w:val="009E32AA"/>
    <w:rsid w:val="009E4944"/>
    <w:rsid w:val="009E598F"/>
    <w:rsid w:val="009E6435"/>
    <w:rsid w:val="009E7692"/>
    <w:rsid w:val="009E793C"/>
    <w:rsid w:val="009E7982"/>
    <w:rsid w:val="009F0CF0"/>
    <w:rsid w:val="009F163F"/>
    <w:rsid w:val="009F16DC"/>
    <w:rsid w:val="009F17F9"/>
    <w:rsid w:val="009F1FA8"/>
    <w:rsid w:val="009F2675"/>
    <w:rsid w:val="009F3203"/>
    <w:rsid w:val="009F3FC5"/>
    <w:rsid w:val="009F4449"/>
    <w:rsid w:val="009F5D4D"/>
    <w:rsid w:val="009F5EFC"/>
    <w:rsid w:val="009F620F"/>
    <w:rsid w:val="009F65A5"/>
    <w:rsid w:val="009F67C1"/>
    <w:rsid w:val="009F6CE1"/>
    <w:rsid w:val="009F7862"/>
    <w:rsid w:val="009F7FF1"/>
    <w:rsid w:val="00A0098F"/>
    <w:rsid w:val="00A01CC4"/>
    <w:rsid w:val="00A02CC2"/>
    <w:rsid w:val="00A034B9"/>
    <w:rsid w:val="00A036CE"/>
    <w:rsid w:val="00A03817"/>
    <w:rsid w:val="00A0428F"/>
    <w:rsid w:val="00A048C9"/>
    <w:rsid w:val="00A1021C"/>
    <w:rsid w:val="00A10696"/>
    <w:rsid w:val="00A10941"/>
    <w:rsid w:val="00A10E9D"/>
    <w:rsid w:val="00A1142E"/>
    <w:rsid w:val="00A1145C"/>
    <w:rsid w:val="00A11ABD"/>
    <w:rsid w:val="00A11E94"/>
    <w:rsid w:val="00A120DB"/>
    <w:rsid w:val="00A12D0F"/>
    <w:rsid w:val="00A133CD"/>
    <w:rsid w:val="00A135E7"/>
    <w:rsid w:val="00A13636"/>
    <w:rsid w:val="00A137F6"/>
    <w:rsid w:val="00A13B2E"/>
    <w:rsid w:val="00A13D59"/>
    <w:rsid w:val="00A14710"/>
    <w:rsid w:val="00A15231"/>
    <w:rsid w:val="00A15E6A"/>
    <w:rsid w:val="00A16267"/>
    <w:rsid w:val="00A16973"/>
    <w:rsid w:val="00A176A2"/>
    <w:rsid w:val="00A17751"/>
    <w:rsid w:val="00A20066"/>
    <w:rsid w:val="00A200C5"/>
    <w:rsid w:val="00A207F4"/>
    <w:rsid w:val="00A20C28"/>
    <w:rsid w:val="00A2108D"/>
    <w:rsid w:val="00A21811"/>
    <w:rsid w:val="00A2198F"/>
    <w:rsid w:val="00A22165"/>
    <w:rsid w:val="00A238B9"/>
    <w:rsid w:val="00A23A59"/>
    <w:rsid w:val="00A245C6"/>
    <w:rsid w:val="00A2461B"/>
    <w:rsid w:val="00A254A2"/>
    <w:rsid w:val="00A2633F"/>
    <w:rsid w:val="00A265FA"/>
    <w:rsid w:val="00A26DAA"/>
    <w:rsid w:val="00A2731F"/>
    <w:rsid w:val="00A278D8"/>
    <w:rsid w:val="00A278FB"/>
    <w:rsid w:val="00A2791A"/>
    <w:rsid w:val="00A2791B"/>
    <w:rsid w:val="00A2793C"/>
    <w:rsid w:val="00A27D11"/>
    <w:rsid w:val="00A30372"/>
    <w:rsid w:val="00A309B4"/>
    <w:rsid w:val="00A3133D"/>
    <w:rsid w:val="00A33386"/>
    <w:rsid w:val="00A34A7B"/>
    <w:rsid w:val="00A34C5E"/>
    <w:rsid w:val="00A34D08"/>
    <w:rsid w:val="00A3632B"/>
    <w:rsid w:val="00A37720"/>
    <w:rsid w:val="00A37E2B"/>
    <w:rsid w:val="00A40E55"/>
    <w:rsid w:val="00A41897"/>
    <w:rsid w:val="00A41AD0"/>
    <w:rsid w:val="00A42407"/>
    <w:rsid w:val="00A42689"/>
    <w:rsid w:val="00A426F5"/>
    <w:rsid w:val="00A427B0"/>
    <w:rsid w:val="00A42DC6"/>
    <w:rsid w:val="00A43B94"/>
    <w:rsid w:val="00A44322"/>
    <w:rsid w:val="00A4482D"/>
    <w:rsid w:val="00A45029"/>
    <w:rsid w:val="00A46871"/>
    <w:rsid w:val="00A4736C"/>
    <w:rsid w:val="00A50A49"/>
    <w:rsid w:val="00A5134F"/>
    <w:rsid w:val="00A51EDF"/>
    <w:rsid w:val="00A5204D"/>
    <w:rsid w:val="00A523E1"/>
    <w:rsid w:val="00A52F45"/>
    <w:rsid w:val="00A54A5F"/>
    <w:rsid w:val="00A5518E"/>
    <w:rsid w:val="00A5626D"/>
    <w:rsid w:val="00A56BBF"/>
    <w:rsid w:val="00A57316"/>
    <w:rsid w:val="00A573BE"/>
    <w:rsid w:val="00A57F8A"/>
    <w:rsid w:val="00A607B1"/>
    <w:rsid w:val="00A6269C"/>
    <w:rsid w:val="00A63B17"/>
    <w:rsid w:val="00A65005"/>
    <w:rsid w:val="00A6538E"/>
    <w:rsid w:val="00A65708"/>
    <w:rsid w:val="00A659FA"/>
    <w:rsid w:val="00A65F45"/>
    <w:rsid w:val="00A6612A"/>
    <w:rsid w:val="00A67934"/>
    <w:rsid w:val="00A67A6B"/>
    <w:rsid w:val="00A67BA5"/>
    <w:rsid w:val="00A7063C"/>
    <w:rsid w:val="00A70775"/>
    <w:rsid w:val="00A712A3"/>
    <w:rsid w:val="00A71601"/>
    <w:rsid w:val="00A7228F"/>
    <w:rsid w:val="00A72654"/>
    <w:rsid w:val="00A72929"/>
    <w:rsid w:val="00A72B81"/>
    <w:rsid w:val="00A73941"/>
    <w:rsid w:val="00A74440"/>
    <w:rsid w:val="00A765EA"/>
    <w:rsid w:val="00A76933"/>
    <w:rsid w:val="00A76DCD"/>
    <w:rsid w:val="00A7725C"/>
    <w:rsid w:val="00A77500"/>
    <w:rsid w:val="00A77663"/>
    <w:rsid w:val="00A77D18"/>
    <w:rsid w:val="00A807E0"/>
    <w:rsid w:val="00A80B8C"/>
    <w:rsid w:val="00A80DD6"/>
    <w:rsid w:val="00A810CF"/>
    <w:rsid w:val="00A82054"/>
    <w:rsid w:val="00A82605"/>
    <w:rsid w:val="00A829C7"/>
    <w:rsid w:val="00A8300E"/>
    <w:rsid w:val="00A8351B"/>
    <w:rsid w:val="00A83C06"/>
    <w:rsid w:val="00A83E63"/>
    <w:rsid w:val="00A8688A"/>
    <w:rsid w:val="00A874AC"/>
    <w:rsid w:val="00A8794F"/>
    <w:rsid w:val="00A90F9C"/>
    <w:rsid w:val="00A91147"/>
    <w:rsid w:val="00A91DA7"/>
    <w:rsid w:val="00A92900"/>
    <w:rsid w:val="00A93C8C"/>
    <w:rsid w:val="00A9414E"/>
    <w:rsid w:val="00A947F7"/>
    <w:rsid w:val="00A94AC9"/>
    <w:rsid w:val="00A94D3E"/>
    <w:rsid w:val="00A9516A"/>
    <w:rsid w:val="00A955FB"/>
    <w:rsid w:val="00A96477"/>
    <w:rsid w:val="00A97678"/>
    <w:rsid w:val="00A97816"/>
    <w:rsid w:val="00AA07D3"/>
    <w:rsid w:val="00AA083D"/>
    <w:rsid w:val="00AA0AAC"/>
    <w:rsid w:val="00AA1464"/>
    <w:rsid w:val="00AA19F4"/>
    <w:rsid w:val="00AA1D51"/>
    <w:rsid w:val="00AA1DEB"/>
    <w:rsid w:val="00AA1ED6"/>
    <w:rsid w:val="00AA20A3"/>
    <w:rsid w:val="00AA2114"/>
    <w:rsid w:val="00AA28E4"/>
    <w:rsid w:val="00AA41C1"/>
    <w:rsid w:val="00AA593A"/>
    <w:rsid w:val="00AA7352"/>
    <w:rsid w:val="00AA76CA"/>
    <w:rsid w:val="00AA7C95"/>
    <w:rsid w:val="00AA7FC7"/>
    <w:rsid w:val="00AB010F"/>
    <w:rsid w:val="00AB02CE"/>
    <w:rsid w:val="00AB1A89"/>
    <w:rsid w:val="00AB1AD6"/>
    <w:rsid w:val="00AB1BD2"/>
    <w:rsid w:val="00AB1C6C"/>
    <w:rsid w:val="00AB1D23"/>
    <w:rsid w:val="00AB26E3"/>
    <w:rsid w:val="00AB2808"/>
    <w:rsid w:val="00AB2E41"/>
    <w:rsid w:val="00AB34A2"/>
    <w:rsid w:val="00AB3672"/>
    <w:rsid w:val="00AB3BEA"/>
    <w:rsid w:val="00AB43C5"/>
    <w:rsid w:val="00AB472F"/>
    <w:rsid w:val="00AB4E26"/>
    <w:rsid w:val="00AB579C"/>
    <w:rsid w:val="00AB57EF"/>
    <w:rsid w:val="00AB5A16"/>
    <w:rsid w:val="00AB6826"/>
    <w:rsid w:val="00AB72D6"/>
    <w:rsid w:val="00AB78D7"/>
    <w:rsid w:val="00AB7959"/>
    <w:rsid w:val="00AC09B9"/>
    <w:rsid w:val="00AC0A94"/>
    <w:rsid w:val="00AC1333"/>
    <w:rsid w:val="00AC13F7"/>
    <w:rsid w:val="00AC1C58"/>
    <w:rsid w:val="00AC1CC4"/>
    <w:rsid w:val="00AC1CF2"/>
    <w:rsid w:val="00AC2252"/>
    <w:rsid w:val="00AC245B"/>
    <w:rsid w:val="00AC2C35"/>
    <w:rsid w:val="00AC323E"/>
    <w:rsid w:val="00AC4322"/>
    <w:rsid w:val="00AC518D"/>
    <w:rsid w:val="00AC536C"/>
    <w:rsid w:val="00AC5B7F"/>
    <w:rsid w:val="00AC6A10"/>
    <w:rsid w:val="00AC6F61"/>
    <w:rsid w:val="00AC7B00"/>
    <w:rsid w:val="00AC7F83"/>
    <w:rsid w:val="00AD00CE"/>
    <w:rsid w:val="00AD142B"/>
    <w:rsid w:val="00AD1D6A"/>
    <w:rsid w:val="00AD21EB"/>
    <w:rsid w:val="00AD249A"/>
    <w:rsid w:val="00AD2D9E"/>
    <w:rsid w:val="00AD32B2"/>
    <w:rsid w:val="00AD36A8"/>
    <w:rsid w:val="00AD3CA2"/>
    <w:rsid w:val="00AD3D54"/>
    <w:rsid w:val="00AD4043"/>
    <w:rsid w:val="00AD4222"/>
    <w:rsid w:val="00AD427A"/>
    <w:rsid w:val="00AD45CF"/>
    <w:rsid w:val="00AD4A2C"/>
    <w:rsid w:val="00AD4F85"/>
    <w:rsid w:val="00AD5110"/>
    <w:rsid w:val="00AD5556"/>
    <w:rsid w:val="00AD573F"/>
    <w:rsid w:val="00AD5BDE"/>
    <w:rsid w:val="00AD5CD0"/>
    <w:rsid w:val="00AD69BB"/>
    <w:rsid w:val="00AD6A7B"/>
    <w:rsid w:val="00AD6E30"/>
    <w:rsid w:val="00AD76A9"/>
    <w:rsid w:val="00AD7FF1"/>
    <w:rsid w:val="00AE034C"/>
    <w:rsid w:val="00AE05EA"/>
    <w:rsid w:val="00AE0FCE"/>
    <w:rsid w:val="00AE22F5"/>
    <w:rsid w:val="00AE287B"/>
    <w:rsid w:val="00AE29F0"/>
    <w:rsid w:val="00AE2EFA"/>
    <w:rsid w:val="00AE339C"/>
    <w:rsid w:val="00AE3493"/>
    <w:rsid w:val="00AE465B"/>
    <w:rsid w:val="00AE49D3"/>
    <w:rsid w:val="00AE58C0"/>
    <w:rsid w:val="00AE58E7"/>
    <w:rsid w:val="00AE61C5"/>
    <w:rsid w:val="00AE6720"/>
    <w:rsid w:val="00AE6806"/>
    <w:rsid w:val="00AE684B"/>
    <w:rsid w:val="00AE7246"/>
    <w:rsid w:val="00AE7F98"/>
    <w:rsid w:val="00AF060B"/>
    <w:rsid w:val="00AF1FAA"/>
    <w:rsid w:val="00AF3434"/>
    <w:rsid w:val="00AF3D2C"/>
    <w:rsid w:val="00AF4808"/>
    <w:rsid w:val="00AF4BDA"/>
    <w:rsid w:val="00AF5E4F"/>
    <w:rsid w:val="00AF61B2"/>
    <w:rsid w:val="00AF662E"/>
    <w:rsid w:val="00AF7CE2"/>
    <w:rsid w:val="00B0005A"/>
    <w:rsid w:val="00B01226"/>
    <w:rsid w:val="00B01EC8"/>
    <w:rsid w:val="00B022E0"/>
    <w:rsid w:val="00B02A0D"/>
    <w:rsid w:val="00B05977"/>
    <w:rsid w:val="00B05D50"/>
    <w:rsid w:val="00B06DB5"/>
    <w:rsid w:val="00B07291"/>
    <w:rsid w:val="00B07DDA"/>
    <w:rsid w:val="00B10329"/>
    <w:rsid w:val="00B114CD"/>
    <w:rsid w:val="00B121C4"/>
    <w:rsid w:val="00B12745"/>
    <w:rsid w:val="00B127EF"/>
    <w:rsid w:val="00B12A21"/>
    <w:rsid w:val="00B130F1"/>
    <w:rsid w:val="00B13461"/>
    <w:rsid w:val="00B13C40"/>
    <w:rsid w:val="00B13F36"/>
    <w:rsid w:val="00B144EE"/>
    <w:rsid w:val="00B1470A"/>
    <w:rsid w:val="00B1482E"/>
    <w:rsid w:val="00B148E3"/>
    <w:rsid w:val="00B151A9"/>
    <w:rsid w:val="00B15406"/>
    <w:rsid w:val="00B155D8"/>
    <w:rsid w:val="00B1570C"/>
    <w:rsid w:val="00B16B56"/>
    <w:rsid w:val="00B174F2"/>
    <w:rsid w:val="00B17632"/>
    <w:rsid w:val="00B1767A"/>
    <w:rsid w:val="00B17B1C"/>
    <w:rsid w:val="00B20731"/>
    <w:rsid w:val="00B218D4"/>
    <w:rsid w:val="00B21924"/>
    <w:rsid w:val="00B21937"/>
    <w:rsid w:val="00B21C53"/>
    <w:rsid w:val="00B223FC"/>
    <w:rsid w:val="00B22966"/>
    <w:rsid w:val="00B22F58"/>
    <w:rsid w:val="00B232FE"/>
    <w:rsid w:val="00B23630"/>
    <w:rsid w:val="00B23F02"/>
    <w:rsid w:val="00B2452A"/>
    <w:rsid w:val="00B2531E"/>
    <w:rsid w:val="00B2618A"/>
    <w:rsid w:val="00B261DD"/>
    <w:rsid w:val="00B26F3E"/>
    <w:rsid w:val="00B27B02"/>
    <w:rsid w:val="00B27CEA"/>
    <w:rsid w:val="00B30C7E"/>
    <w:rsid w:val="00B31B7F"/>
    <w:rsid w:val="00B31D47"/>
    <w:rsid w:val="00B3269C"/>
    <w:rsid w:val="00B32890"/>
    <w:rsid w:val="00B32AD5"/>
    <w:rsid w:val="00B32FB4"/>
    <w:rsid w:val="00B348F7"/>
    <w:rsid w:val="00B34BB5"/>
    <w:rsid w:val="00B34FC4"/>
    <w:rsid w:val="00B35356"/>
    <w:rsid w:val="00B356FD"/>
    <w:rsid w:val="00B35F7A"/>
    <w:rsid w:val="00B368D8"/>
    <w:rsid w:val="00B36A04"/>
    <w:rsid w:val="00B37B2E"/>
    <w:rsid w:val="00B37EF4"/>
    <w:rsid w:val="00B41482"/>
    <w:rsid w:val="00B414A8"/>
    <w:rsid w:val="00B41779"/>
    <w:rsid w:val="00B42080"/>
    <w:rsid w:val="00B4273C"/>
    <w:rsid w:val="00B4278B"/>
    <w:rsid w:val="00B428BA"/>
    <w:rsid w:val="00B437F2"/>
    <w:rsid w:val="00B43D82"/>
    <w:rsid w:val="00B43F4B"/>
    <w:rsid w:val="00B443D9"/>
    <w:rsid w:val="00B46B36"/>
    <w:rsid w:val="00B46CA5"/>
    <w:rsid w:val="00B46E86"/>
    <w:rsid w:val="00B50249"/>
    <w:rsid w:val="00B50797"/>
    <w:rsid w:val="00B507C9"/>
    <w:rsid w:val="00B52020"/>
    <w:rsid w:val="00B522A0"/>
    <w:rsid w:val="00B52C1F"/>
    <w:rsid w:val="00B5301B"/>
    <w:rsid w:val="00B5381E"/>
    <w:rsid w:val="00B53FA2"/>
    <w:rsid w:val="00B5471A"/>
    <w:rsid w:val="00B54A84"/>
    <w:rsid w:val="00B56115"/>
    <w:rsid w:val="00B56774"/>
    <w:rsid w:val="00B570A0"/>
    <w:rsid w:val="00B60A8E"/>
    <w:rsid w:val="00B60DD8"/>
    <w:rsid w:val="00B61B23"/>
    <w:rsid w:val="00B61D39"/>
    <w:rsid w:val="00B62C45"/>
    <w:rsid w:val="00B63669"/>
    <w:rsid w:val="00B65651"/>
    <w:rsid w:val="00B65D4D"/>
    <w:rsid w:val="00B66C1A"/>
    <w:rsid w:val="00B6778D"/>
    <w:rsid w:val="00B7037B"/>
    <w:rsid w:val="00B70BE8"/>
    <w:rsid w:val="00B710DC"/>
    <w:rsid w:val="00B714B2"/>
    <w:rsid w:val="00B73245"/>
    <w:rsid w:val="00B7474A"/>
    <w:rsid w:val="00B74843"/>
    <w:rsid w:val="00B75AD8"/>
    <w:rsid w:val="00B76656"/>
    <w:rsid w:val="00B7719E"/>
    <w:rsid w:val="00B77281"/>
    <w:rsid w:val="00B77374"/>
    <w:rsid w:val="00B7776D"/>
    <w:rsid w:val="00B77CD5"/>
    <w:rsid w:val="00B8147E"/>
    <w:rsid w:val="00B81A69"/>
    <w:rsid w:val="00B8257A"/>
    <w:rsid w:val="00B835D8"/>
    <w:rsid w:val="00B844FC"/>
    <w:rsid w:val="00B84CC8"/>
    <w:rsid w:val="00B85112"/>
    <w:rsid w:val="00B85158"/>
    <w:rsid w:val="00B853BB"/>
    <w:rsid w:val="00B86DF1"/>
    <w:rsid w:val="00B87030"/>
    <w:rsid w:val="00B87F46"/>
    <w:rsid w:val="00B90CC5"/>
    <w:rsid w:val="00B91099"/>
    <w:rsid w:val="00B922B0"/>
    <w:rsid w:val="00B92487"/>
    <w:rsid w:val="00B92659"/>
    <w:rsid w:val="00B93618"/>
    <w:rsid w:val="00B93C7C"/>
    <w:rsid w:val="00B94735"/>
    <w:rsid w:val="00B949AF"/>
    <w:rsid w:val="00B95DFD"/>
    <w:rsid w:val="00B96646"/>
    <w:rsid w:val="00B9743C"/>
    <w:rsid w:val="00B97548"/>
    <w:rsid w:val="00B979A4"/>
    <w:rsid w:val="00B97F66"/>
    <w:rsid w:val="00BA0A38"/>
    <w:rsid w:val="00BA0F16"/>
    <w:rsid w:val="00BA1B04"/>
    <w:rsid w:val="00BA1F39"/>
    <w:rsid w:val="00BA235E"/>
    <w:rsid w:val="00BA2E44"/>
    <w:rsid w:val="00BA2FEA"/>
    <w:rsid w:val="00BA343C"/>
    <w:rsid w:val="00BA3A6D"/>
    <w:rsid w:val="00BA4448"/>
    <w:rsid w:val="00BA51D2"/>
    <w:rsid w:val="00BA5543"/>
    <w:rsid w:val="00BA607C"/>
    <w:rsid w:val="00BA6DA0"/>
    <w:rsid w:val="00BA7751"/>
    <w:rsid w:val="00BB0128"/>
    <w:rsid w:val="00BB0479"/>
    <w:rsid w:val="00BB12B3"/>
    <w:rsid w:val="00BB18B0"/>
    <w:rsid w:val="00BB1FC1"/>
    <w:rsid w:val="00BB2811"/>
    <w:rsid w:val="00BB295F"/>
    <w:rsid w:val="00BB2BA1"/>
    <w:rsid w:val="00BB2C5A"/>
    <w:rsid w:val="00BB2C95"/>
    <w:rsid w:val="00BB33F4"/>
    <w:rsid w:val="00BB3E85"/>
    <w:rsid w:val="00BB48C4"/>
    <w:rsid w:val="00BB4E11"/>
    <w:rsid w:val="00BB5844"/>
    <w:rsid w:val="00BB5DFD"/>
    <w:rsid w:val="00BB6140"/>
    <w:rsid w:val="00BB71A0"/>
    <w:rsid w:val="00BB748E"/>
    <w:rsid w:val="00BB7FF1"/>
    <w:rsid w:val="00BC038D"/>
    <w:rsid w:val="00BC0BCC"/>
    <w:rsid w:val="00BC0F8A"/>
    <w:rsid w:val="00BC16F7"/>
    <w:rsid w:val="00BC2023"/>
    <w:rsid w:val="00BC20D9"/>
    <w:rsid w:val="00BC21E9"/>
    <w:rsid w:val="00BC2315"/>
    <w:rsid w:val="00BC2CA2"/>
    <w:rsid w:val="00BC4690"/>
    <w:rsid w:val="00BC5433"/>
    <w:rsid w:val="00BC567C"/>
    <w:rsid w:val="00BC56C9"/>
    <w:rsid w:val="00BC5730"/>
    <w:rsid w:val="00BC58BA"/>
    <w:rsid w:val="00BC698E"/>
    <w:rsid w:val="00BC6C1D"/>
    <w:rsid w:val="00BD0F9C"/>
    <w:rsid w:val="00BD12E6"/>
    <w:rsid w:val="00BD35D6"/>
    <w:rsid w:val="00BD3A88"/>
    <w:rsid w:val="00BD4177"/>
    <w:rsid w:val="00BD44BB"/>
    <w:rsid w:val="00BD4DF3"/>
    <w:rsid w:val="00BD5040"/>
    <w:rsid w:val="00BD5866"/>
    <w:rsid w:val="00BD624E"/>
    <w:rsid w:val="00BD660D"/>
    <w:rsid w:val="00BD66B2"/>
    <w:rsid w:val="00BD6CE8"/>
    <w:rsid w:val="00BD70B7"/>
    <w:rsid w:val="00BD77C5"/>
    <w:rsid w:val="00BE0C37"/>
    <w:rsid w:val="00BE0DEE"/>
    <w:rsid w:val="00BE117B"/>
    <w:rsid w:val="00BE11C7"/>
    <w:rsid w:val="00BE1C51"/>
    <w:rsid w:val="00BE1CF8"/>
    <w:rsid w:val="00BE2EF1"/>
    <w:rsid w:val="00BE3330"/>
    <w:rsid w:val="00BE3A6B"/>
    <w:rsid w:val="00BE4626"/>
    <w:rsid w:val="00BE476D"/>
    <w:rsid w:val="00BE47A5"/>
    <w:rsid w:val="00BE5CB2"/>
    <w:rsid w:val="00BE69F4"/>
    <w:rsid w:val="00BE6C44"/>
    <w:rsid w:val="00BF02DD"/>
    <w:rsid w:val="00BF076C"/>
    <w:rsid w:val="00BF151E"/>
    <w:rsid w:val="00BF276C"/>
    <w:rsid w:val="00BF286A"/>
    <w:rsid w:val="00BF310F"/>
    <w:rsid w:val="00BF3809"/>
    <w:rsid w:val="00BF4086"/>
    <w:rsid w:val="00BF51A2"/>
    <w:rsid w:val="00BF560C"/>
    <w:rsid w:val="00BF5877"/>
    <w:rsid w:val="00BF60D1"/>
    <w:rsid w:val="00BF6F99"/>
    <w:rsid w:val="00C00189"/>
    <w:rsid w:val="00C01739"/>
    <w:rsid w:val="00C018A0"/>
    <w:rsid w:val="00C02A21"/>
    <w:rsid w:val="00C03162"/>
    <w:rsid w:val="00C04544"/>
    <w:rsid w:val="00C047CD"/>
    <w:rsid w:val="00C05B1A"/>
    <w:rsid w:val="00C0640F"/>
    <w:rsid w:val="00C07577"/>
    <w:rsid w:val="00C07A8C"/>
    <w:rsid w:val="00C1248E"/>
    <w:rsid w:val="00C12DBC"/>
    <w:rsid w:val="00C1304C"/>
    <w:rsid w:val="00C13837"/>
    <w:rsid w:val="00C14A1E"/>
    <w:rsid w:val="00C14D46"/>
    <w:rsid w:val="00C14E8E"/>
    <w:rsid w:val="00C15156"/>
    <w:rsid w:val="00C15428"/>
    <w:rsid w:val="00C15439"/>
    <w:rsid w:val="00C16D22"/>
    <w:rsid w:val="00C170EE"/>
    <w:rsid w:val="00C20B23"/>
    <w:rsid w:val="00C22492"/>
    <w:rsid w:val="00C22529"/>
    <w:rsid w:val="00C23504"/>
    <w:rsid w:val="00C23651"/>
    <w:rsid w:val="00C23DE3"/>
    <w:rsid w:val="00C24327"/>
    <w:rsid w:val="00C244B1"/>
    <w:rsid w:val="00C24AB6"/>
    <w:rsid w:val="00C24BB4"/>
    <w:rsid w:val="00C25CB4"/>
    <w:rsid w:val="00C262E7"/>
    <w:rsid w:val="00C27750"/>
    <w:rsid w:val="00C27841"/>
    <w:rsid w:val="00C27CA0"/>
    <w:rsid w:val="00C27F1E"/>
    <w:rsid w:val="00C30870"/>
    <w:rsid w:val="00C30E50"/>
    <w:rsid w:val="00C30E96"/>
    <w:rsid w:val="00C313C5"/>
    <w:rsid w:val="00C33060"/>
    <w:rsid w:val="00C33325"/>
    <w:rsid w:val="00C341F4"/>
    <w:rsid w:val="00C357ED"/>
    <w:rsid w:val="00C3599C"/>
    <w:rsid w:val="00C35A2E"/>
    <w:rsid w:val="00C3631D"/>
    <w:rsid w:val="00C36979"/>
    <w:rsid w:val="00C36E65"/>
    <w:rsid w:val="00C372CA"/>
    <w:rsid w:val="00C3735A"/>
    <w:rsid w:val="00C400F3"/>
    <w:rsid w:val="00C40D3B"/>
    <w:rsid w:val="00C4155D"/>
    <w:rsid w:val="00C432A7"/>
    <w:rsid w:val="00C44211"/>
    <w:rsid w:val="00C44572"/>
    <w:rsid w:val="00C447FA"/>
    <w:rsid w:val="00C4517D"/>
    <w:rsid w:val="00C451AF"/>
    <w:rsid w:val="00C460FC"/>
    <w:rsid w:val="00C4634A"/>
    <w:rsid w:val="00C470DA"/>
    <w:rsid w:val="00C47991"/>
    <w:rsid w:val="00C502B4"/>
    <w:rsid w:val="00C52D8F"/>
    <w:rsid w:val="00C5389F"/>
    <w:rsid w:val="00C53E94"/>
    <w:rsid w:val="00C54465"/>
    <w:rsid w:val="00C54E16"/>
    <w:rsid w:val="00C55067"/>
    <w:rsid w:val="00C55E2F"/>
    <w:rsid w:val="00C55E7E"/>
    <w:rsid w:val="00C56226"/>
    <w:rsid w:val="00C5662E"/>
    <w:rsid w:val="00C57590"/>
    <w:rsid w:val="00C603A3"/>
    <w:rsid w:val="00C60478"/>
    <w:rsid w:val="00C60CD9"/>
    <w:rsid w:val="00C6292C"/>
    <w:rsid w:val="00C62AB4"/>
    <w:rsid w:val="00C632BC"/>
    <w:rsid w:val="00C64119"/>
    <w:rsid w:val="00C641E6"/>
    <w:rsid w:val="00C64A4F"/>
    <w:rsid w:val="00C64CEF"/>
    <w:rsid w:val="00C64F23"/>
    <w:rsid w:val="00C660B8"/>
    <w:rsid w:val="00C66127"/>
    <w:rsid w:val="00C66E33"/>
    <w:rsid w:val="00C676C8"/>
    <w:rsid w:val="00C67A6F"/>
    <w:rsid w:val="00C67AB5"/>
    <w:rsid w:val="00C67BCE"/>
    <w:rsid w:val="00C67DD0"/>
    <w:rsid w:val="00C7035F"/>
    <w:rsid w:val="00C705E4"/>
    <w:rsid w:val="00C70D88"/>
    <w:rsid w:val="00C717A4"/>
    <w:rsid w:val="00C7274E"/>
    <w:rsid w:val="00C72B54"/>
    <w:rsid w:val="00C72FE8"/>
    <w:rsid w:val="00C73AC5"/>
    <w:rsid w:val="00C73EA9"/>
    <w:rsid w:val="00C74285"/>
    <w:rsid w:val="00C75780"/>
    <w:rsid w:val="00C75D63"/>
    <w:rsid w:val="00C7632F"/>
    <w:rsid w:val="00C76D09"/>
    <w:rsid w:val="00C77E51"/>
    <w:rsid w:val="00C80157"/>
    <w:rsid w:val="00C8022B"/>
    <w:rsid w:val="00C814D2"/>
    <w:rsid w:val="00C81540"/>
    <w:rsid w:val="00C81748"/>
    <w:rsid w:val="00C81AAB"/>
    <w:rsid w:val="00C82EDD"/>
    <w:rsid w:val="00C8305C"/>
    <w:rsid w:val="00C833F1"/>
    <w:rsid w:val="00C8352B"/>
    <w:rsid w:val="00C8447D"/>
    <w:rsid w:val="00C84A07"/>
    <w:rsid w:val="00C856DE"/>
    <w:rsid w:val="00C8589A"/>
    <w:rsid w:val="00C85B93"/>
    <w:rsid w:val="00C85C40"/>
    <w:rsid w:val="00C85E5D"/>
    <w:rsid w:val="00C85F84"/>
    <w:rsid w:val="00C865EC"/>
    <w:rsid w:val="00C868F6"/>
    <w:rsid w:val="00C90021"/>
    <w:rsid w:val="00C91001"/>
    <w:rsid w:val="00C9123B"/>
    <w:rsid w:val="00C91B9F"/>
    <w:rsid w:val="00C931CB"/>
    <w:rsid w:val="00C93CEA"/>
    <w:rsid w:val="00C93FF6"/>
    <w:rsid w:val="00C95020"/>
    <w:rsid w:val="00C956B3"/>
    <w:rsid w:val="00C957D9"/>
    <w:rsid w:val="00C95A0B"/>
    <w:rsid w:val="00C95A5B"/>
    <w:rsid w:val="00C97EA4"/>
    <w:rsid w:val="00C97F35"/>
    <w:rsid w:val="00CA0561"/>
    <w:rsid w:val="00CA0DD2"/>
    <w:rsid w:val="00CA16AC"/>
    <w:rsid w:val="00CA1FE5"/>
    <w:rsid w:val="00CA2C8C"/>
    <w:rsid w:val="00CA3464"/>
    <w:rsid w:val="00CA34DB"/>
    <w:rsid w:val="00CA34F0"/>
    <w:rsid w:val="00CA3A17"/>
    <w:rsid w:val="00CA4803"/>
    <w:rsid w:val="00CA4CAC"/>
    <w:rsid w:val="00CA5C4D"/>
    <w:rsid w:val="00CA6199"/>
    <w:rsid w:val="00CA6CD1"/>
    <w:rsid w:val="00CA6F79"/>
    <w:rsid w:val="00CB1D99"/>
    <w:rsid w:val="00CB2E74"/>
    <w:rsid w:val="00CB3E0C"/>
    <w:rsid w:val="00CB4488"/>
    <w:rsid w:val="00CB555C"/>
    <w:rsid w:val="00CB6EB8"/>
    <w:rsid w:val="00CB703F"/>
    <w:rsid w:val="00CC037F"/>
    <w:rsid w:val="00CC068F"/>
    <w:rsid w:val="00CC106F"/>
    <w:rsid w:val="00CC1181"/>
    <w:rsid w:val="00CC2397"/>
    <w:rsid w:val="00CC2A33"/>
    <w:rsid w:val="00CC2ADE"/>
    <w:rsid w:val="00CC39B0"/>
    <w:rsid w:val="00CC4780"/>
    <w:rsid w:val="00CC4FDC"/>
    <w:rsid w:val="00CC58B1"/>
    <w:rsid w:val="00CC592F"/>
    <w:rsid w:val="00CC5B3D"/>
    <w:rsid w:val="00CD0750"/>
    <w:rsid w:val="00CD08B3"/>
    <w:rsid w:val="00CD13CE"/>
    <w:rsid w:val="00CD207A"/>
    <w:rsid w:val="00CD2767"/>
    <w:rsid w:val="00CD28AD"/>
    <w:rsid w:val="00CD307F"/>
    <w:rsid w:val="00CD397B"/>
    <w:rsid w:val="00CD467E"/>
    <w:rsid w:val="00CD4690"/>
    <w:rsid w:val="00CD55C6"/>
    <w:rsid w:val="00CD55F9"/>
    <w:rsid w:val="00CD5666"/>
    <w:rsid w:val="00CD5A4E"/>
    <w:rsid w:val="00CD5DA0"/>
    <w:rsid w:val="00CD607A"/>
    <w:rsid w:val="00CD60A5"/>
    <w:rsid w:val="00CD68CC"/>
    <w:rsid w:val="00CD69E9"/>
    <w:rsid w:val="00CD714F"/>
    <w:rsid w:val="00CD72D7"/>
    <w:rsid w:val="00CD7998"/>
    <w:rsid w:val="00CE07F1"/>
    <w:rsid w:val="00CE0AC6"/>
    <w:rsid w:val="00CE10EC"/>
    <w:rsid w:val="00CE18A1"/>
    <w:rsid w:val="00CE1E3F"/>
    <w:rsid w:val="00CE2137"/>
    <w:rsid w:val="00CE22E6"/>
    <w:rsid w:val="00CE25ED"/>
    <w:rsid w:val="00CE272A"/>
    <w:rsid w:val="00CE4635"/>
    <w:rsid w:val="00CE5AFF"/>
    <w:rsid w:val="00CE5B19"/>
    <w:rsid w:val="00CE5D42"/>
    <w:rsid w:val="00CE7623"/>
    <w:rsid w:val="00CF0588"/>
    <w:rsid w:val="00CF103F"/>
    <w:rsid w:val="00CF1336"/>
    <w:rsid w:val="00CF155C"/>
    <w:rsid w:val="00CF1586"/>
    <w:rsid w:val="00CF20CC"/>
    <w:rsid w:val="00CF269D"/>
    <w:rsid w:val="00CF2F26"/>
    <w:rsid w:val="00CF3178"/>
    <w:rsid w:val="00CF3456"/>
    <w:rsid w:val="00CF35E5"/>
    <w:rsid w:val="00CF3B20"/>
    <w:rsid w:val="00CF45F7"/>
    <w:rsid w:val="00CF470B"/>
    <w:rsid w:val="00CF525E"/>
    <w:rsid w:val="00CF57EB"/>
    <w:rsid w:val="00CF6AD3"/>
    <w:rsid w:val="00CF7581"/>
    <w:rsid w:val="00D00197"/>
    <w:rsid w:val="00D00E3A"/>
    <w:rsid w:val="00D01704"/>
    <w:rsid w:val="00D033BF"/>
    <w:rsid w:val="00D0361F"/>
    <w:rsid w:val="00D03BBF"/>
    <w:rsid w:val="00D03C6A"/>
    <w:rsid w:val="00D0479C"/>
    <w:rsid w:val="00D04EA3"/>
    <w:rsid w:val="00D056ED"/>
    <w:rsid w:val="00D060F8"/>
    <w:rsid w:val="00D065F3"/>
    <w:rsid w:val="00D0670D"/>
    <w:rsid w:val="00D06EA5"/>
    <w:rsid w:val="00D073AE"/>
    <w:rsid w:val="00D079F0"/>
    <w:rsid w:val="00D07BBE"/>
    <w:rsid w:val="00D07E0E"/>
    <w:rsid w:val="00D10D96"/>
    <w:rsid w:val="00D10E8A"/>
    <w:rsid w:val="00D11A84"/>
    <w:rsid w:val="00D12448"/>
    <w:rsid w:val="00D12541"/>
    <w:rsid w:val="00D12C50"/>
    <w:rsid w:val="00D13023"/>
    <w:rsid w:val="00D14FBF"/>
    <w:rsid w:val="00D14FE2"/>
    <w:rsid w:val="00D15202"/>
    <w:rsid w:val="00D155E8"/>
    <w:rsid w:val="00D158D6"/>
    <w:rsid w:val="00D15A24"/>
    <w:rsid w:val="00D16EE9"/>
    <w:rsid w:val="00D17931"/>
    <w:rsid w:val="00D17AF0"/>
    <w:rsid w:val="00D200BC"/>
    <w:rsid w:val="00D2058A"/>
    <w:rsid w:val="00D20B56"/>
    <w:rsid w:val="00D21036"/>
    <w:rsid w:val="00D21409"/>
    <w:rsid w:val="00D21EBA"/>
    <w:rsid w:val="00D229F6"/>
    <w:rsid w:val="00D236DC"/>
    <w:rsid w:val="00D24EFA"/>
    <w:rsid w:val="00D25436"/>
    <w:rsid w:val="00D254D3"/>
    <w:rsid w:val="00D25B22"/>
    <w:rsid w:val="00D263CE"/>
    <w:rsid w:val="00D26A23"/>
    <w:rsid w:val="00D27424"/>
    <w:rsid w:val="00D27541"/>
    <w:rsid w:val="00D278B0"/>
    <w:rsid w:val="00D27D9A"/>
    <w:rsid w:val="00D27E86"/>
    <w:rsid w:val="00D3037F"/>
    <w:rsid w:val="00D30B6A"/>
    <w:rsid w:val="00D3116A"/>
    <w:rsid w:val="00D31A3F"/>
    <w:rsid w:val="00D31E81"/>
    <w:rsid w:val="00D320B8"/>
    <w:rsid w:val="00D32AF2"/>
    <w:rsid w:val="00D331DC"/>
    <w:rsid w:val="00D3320B"/>
    <w:rsid w:val="00D3364E"/>
    <w:rsid w:val="00D33973"/>
    <w:rsid w:val="00D348F6"/>
    <w:rsid w:val="00D3665D"/>
    <w:rsid w:val="00D366F1"/>
    <w:rsid w:val="00D378F5"/>
    <w:rsid w:val="00D4175A"/>
    <w:rsid w:val="00D4198A"/>
    <w:rsid w:val="00D41A04"/>
    <w:rsid w:val="00D41E7F"/>
    <w:rsid w:val="00D41F93"/>
    <w:rsid w:val="00D4256E"/>
    <w:rsid w:val="00D42951"/>
    <w:rsid w:val="00D4304E"/>
    <w:rsid w:val="00D43102"/>
    <w:rsid w:val="00D432ED"/>
    <w:rsid w:val="00D433FC"/>
    <w:rsid w:val="00D4362F"/>
    <w:rsid w:val="00D43A58"/>
    <w:rsid w:val="00D443B0"/>
    <w:rsid w:val="00D44420"/>
    <w:rsid w:val="00D44568"/>
    <w:rsid w:val="00D44992"/>
    <w:rsid w:val="00D4506E"/>
    <w:rsid w:val="00D45670"/>
    <w:rsid w:val="00D474BA"/>
    <w:rsid w:val="00D47801"/>
    <w:rsid w:val="00D5016D"/>
    <w:rsid w:val="00D50A80"/>
    <w:rsid w:val="00D51446"/>
    <w:rsid w:val="00D521FE"/>
    <w:rsid w:val="00D54DAB"/>
    <w:rsid w:val="00D55F31"/>
    <w:rsid w:val="00D5623F"/>
    <w:rsid w:val="00D56D12"/>
    <w:rsid w:val="00D56EED"/>
    <w:rsid w:val="00D5748A"/>
    <w:rsid w:val="00D57BE9"/>
    <w:rsid w:val="00D57D8D"/>
    <w:rsid w:val="00D6029A"/>
    <w:rsid w:val="00D613E7"/>
    <w:rsid w:val="00D624B7"/>
    <w:rsid w:val="00D624EA"/>
    <w:rsid w:val="00D62F51"/>
    <w:rsid w:val="00D6320F"/>
    <w:rsid w:val="00D6399E"/>
    <w:rsid w:val="00D63BBC"/>
    <w:rsid w:val="00D65B85"/>
    <w:rsid w:val="00D67A7F"/>
    <w:rsid w:val="00D70951"/>
    <w:rsid w:val="00D70EFD"/>
    <w:rsid w:val="00D70F99"/>
    <w:rsid w:val="00D71112"/>
    <w:rsid w:val="00D716A2"/>
    <w:rsid w:val="00D72406"/>
    <w:rsid w:val="00D73923"/>
    <w:rsid w:val="00D73AC9"/>
    <w:rsid w:val="00D74B7C"/>
    <w:rsid w:val="00D74D89"/>
    <w:rsid w:val="00D76C88"/>
    <w:rsid w:val="00D76DCE"/>
    <w:rsid w:val="00D771D8"/>
    <w:rsid w:val="00D772C7"/>
    <w:rsid w:val="00D778FE"/>
    <w:rsid w:val="00D77C32"/>
    <w:rsid w:val="00D80EB7"/>
    <w:rsid w:val="00D81586"/>
    <w:rsid w:val="00D8287A"/>
    <w:rsid w:val="00D82B3F"/>
    <w:rsid w:val="00D83DEC"/>
    <w:rsid w:val="00D85018"/>
    <w:rsid w:val="00D85B6A"/>
    <w:rsid w:val="00D85C34"/>
    <w:rsid w:val="00D86A03"/>
    <w:rsid w:val="00D86E0D"/>
    <w:rsid w:val="00D87003"/>
    <w:rsid w:val="00D903CC"/>
    <w:rsid w:val="00D9047F"/>
    <w:rsid w:val="00D904C8"/>
    <w:rsid w:val="00D905ED"/>
    <w:rsid w:val="00D90B40"/>
    <w:rsid w:val="00D90DE7"/>
    <w:rsid w:val="00D913FD"/>
    <w:rsid w:val="00D9155A"/>
    <w:rsid w:val="00D917BC"/>
    <w:rsid w:val="00D92B0F"/>
    <w:rsid w:val="00D93BAB"/>
    <w:rsid w:val="00D943EE"/>
    <w:rsid w:val="00D9475B"/>
    <w:rsid w:val="00D94BCD"/>
    <w:rsid w:val="00D96012"/>
    <w:rsid w:val="00D962B7"/>
    <w:rsid w:val="00DA08B0"/>
    <w:rsid w:val="00DA0AA4"/>
    <w:rsid w:val="00DA1878"/>
    <w:rsid w:val="00DA1984"/>
    <w:rsid w:val="00DA36E1"/>
    <w:rsid w:val="00DA374C"/>
    <w:rsid w:val="00DA4257"/>
    <w:rsid w:val="00DA4C8F"/>
    <w:rsid w:val="00DA4D8E"/>
    <w:rsid w:val="00DA4DE3"/>
    <w:rsid w:val="00DA56C6"/>
    <w:rsid w:val="00DA6079"/>
    <w:rsid w:val="00DA6546"/>
    <w:rsid w:val="00DA6D06"/>
    <w:rsid w:val="00DA77EF"/>
    <w:rsid w:val="00DA7ACA"/>
    <w:rsid w:val="00DA7CA2"/>
    <w:rsid w:val="00DB0372"/>
    <w:rsid w:val="00DB0D79"/>
    <w:rsid w:val="00DB158C"/>
    <w:rsid w:val="00DB192E"/>
    <w:rsid w:val="00DB1F92"/>
    <w:rsid w:val="00DB29E1"/>
    <w:rsid w:val="00DB3799"/>
    <w:rsid w:val="00DB4004"/>
    <w:rsid w:val="00DB41CF"/>
    <w:rsid w:val="00DB4C79"/>
    <w:rsid w:val="00DB5590"/>
    <w:rsid w:val="00DB59BE"/>
    <w:rsid w:val="00DB6078"/>
    <w:rsid w:val="00DB625F"/>
    <w:rsid w:val="00DB62F8"/>
    <w:rsid w:val="00DB69BE"/>
    <w:rsid w:val="00DB6CDF"/>
    <w:rsid w:val="00DB7441"/>
    <w:rsid w:val="00DB7483"/>
    <w:rsid w:val="00DC0BFB"/>
    <w:rsid w:val="00DC116A"/>
    <w:rsid w:val="00DC11C4"/>
    <w:rsid w:val="00DC12AC"/>
    <w:rsid w:val="00DC2268"/>
    <w:rsid w:val="00DC234C"/>
    <w:rsid w:val="00DC2B8E"/>
    <w:rsid w:val="00DC2C42"/>
    <w:rsid w:val="00DC3263"/>
    <w:rsid w:val="00DC4034"/>
    <w:rsid w:val="00DC5385"/>
    <w:rsid w:val="00DC5653"/>
    <w:rsid w:val="00DC5E42"/>
    <w:rsid w:val="00DC63D9"/>
    <w:rsid w:val="00DC6F02"/>
    <w:rsid w:val="00DC70C9"/>
    <w:rsid w:val="00DC7694"/>
    <w:rsid w:val="00DC7BBA"/>
    <w:rsid w:val="00DD09BD"/>
    <w:rsid w:val="00DD118D"/>
    <w:rsid w:val="00DD15E7"/>
    <w:rsid w:val="00DD20AF"/>
    <w:rsid w:val="00DD3DE2"/>
    <w:rsid w:val="00DD5150"/>
    <w:rsid w:val="00DD633C"/>
    <w:rsid w:val="00DD6F0E"/>
    <w:rsid w:val="00DD7047"/>
    <w:rsid w:val="00DD798D"/>
    <w:rsid w:val="00DE008C"/>
    <w:rsid w:val="00DE02AB"/>
    <w:rsid w:val="00DE0639"/>
    <w:rsid w:val="00DE0925"/>
    <w:rsid w:val="00DE1B94"/>
    <w:rsid w:val="00DE315F"/>
    <w:rsid w:val="00DE478E"/>
    <w:rsid w:val="00DE4F9F"/>
    <w:rsid w:val="00DE5C18"/>
    <w:rsid w:val="00DE5C79"/>
    <w:rsid w:val="00DE5CDB"/>
    <w:rsid w:val="00DE5E1E"/>
    <w:rsid w:val="00DE5F68"/>
    <w:rsid w:val="00DE6C9A"/>
    <w:rsid w:val="00DE741F"/>
    <w:rsid w:val="00DE74A3"/>
    <w:rsid w:val="00DF0A6F"/>
    <w:rsid w:val="00DF0C12"/>
    <w:rsid w:val="00DF0F61"/>
    <w:rsid w:val="00DF120D"/>
    <w:rsid w:val="00DF1D64"/>
    <w:rsid w:val="00DF2F68"/>
    <w:rsid w:val="00DF33F1"/>
    <w:rsid w:val="00DF3AE1"/>
    <w:rsid w:val="00DF43B1"/>
    <w:rsid w:val="00DF4641"/>
    <w:rsid w:val="00DF4803"/>
    <w:rsid w:val="00DF49DD"/>
    <w:rsid w:val="00DF56CA"/>
    <w:rsid w:val="00DF5C37"/>
    <w:rsid w:val="00DF61E2"/>
    <w:rsid w:val="00DF686D"/>
    <w:rsid w:val="00DF6FE1"/>
    <w:rsid w:val="00DF7D13"/>
    <w:rsid w:val="00E0004B"/>
    <w:rsid w:val="00E017BC"/>
    <w:rsid w:val="00E01E3A"/>
    <w:rsid w:val="00E01F1C"/>
    <w:rsid w:val="00E0219C"/>
    <w:rsid w:val="00E023C6"/>
    <w:rsid w:val="00E03261"/>
    <w:rsid w:val="00E03BD7"/>
    <w:rsid w:val="00E03DDE"/>
    <w:rsid w:val="00E047C7"/>
    <w:rsid w:val="00E04894"/>
    <w:rsid w:val="00E04C57"/>
    <w:rsid w:val="00E054D3"/>
    <w:rsid w:val="00E06088"/>
    <w:rsid w:val="00E06289"/>
    <w:rsid w:val="00E06524"/>
    <w:rsid w:val="00E0695A"/>
    <w:rsid w:val="00E06CEE"/>
    <w:rsid w:val="00E072C7"/>
    <w:rsid w:val="00E073C0"/>
    <w:rsid w:val="00E078BE"/>
    <w:rsid w:val="00E07EEA"/>
    <w:rsid w:val="00E1122B"/>
    <w:rsid w:val="00E114BC"/>
    <w:rsid w:val="00E14410"/>
    <w:rsid w:val="00E14CE7"/>
    <w:rsid w:val="00E15489"/>
    <w:rsid w:val="00E16744"/>
    <w:rsid w:val="00E168A2"/>
    <w:rsid w:val="00E16A10"/>
    <w:rsid w:val="00E16EDF"/>
    <w:rsid w:val="00E20260"/>
    <w:rsid w:val="00E20C32"/>
    <w:rsid w:val="00E2138E"/>
    <w:rsid w:val="00E21466"/>
    <w:rsid w:val="00E21518"/>
    <w:rsid w:val="00E215F9"/>
    <w:rsid w:val="00E21A70"/>
    <w:rsid w:val="00E21DA3"/>
    <w:rsid w:val="00E21FDD"/>
    <w:rsid w:val="00E22695"/>
    <w:rsid w:val="00E228DA"/>
    <w:rsid w:val="00E22AB8"/>
    <w:rsid w:val="00E22B8E"/>
    <w:rsid w:val="00E22F9F"/>
    <w:rsid w:val="00E23834"/>
    <w:rsid w:val="00E238E9"/>
    <w:rsid w:val="00E23C14"/>
    <w:rsid w:val="00E23DDA"/>
    <w:rsid w:val="00E2413C"/>
    <w:rsid w:val="00E24208"/>
    <w:rsid w:val="00E24B12"/>
    <w:rsid w:val="00E2719B"/>
    <w:rsid w:val="00E27F05"/>
    <w:rsid w:val="00E303E7"/>
    <w:rsid w:val="00E30C15"/>
    <w:rsid w:val="00E312D4"/>
    <w:rsid w:val="00E3182D"/>
    <w:rsid w:val="00E3189D"/>
    <w:rsid w:val="00E32197"/>
    <w:rsid w:val="00E32239"/>
    <w:rsid w:val="00E322AA"/>
    <w:rsid w:val="00E32A2B"/>
    <w:rsid w:val="00E32B24"/>
    <w:rsid w:val="00E3386C"/>
    <w:rsid w:val="00E33C17"/>
    <w:rsid w:val="00E33CC8"/>
    <w:rsid w:val="00E34095"/>
    <w:rsid w:val="00E34728"/>
    <w:rsid w:val="00E3475D"/>
    <w:rsid w:val="00E34887"/>
    <w:rsid w:val="00E351EA"/>
    <w:rsid w:val="00E353B3"/>
    <w:rsid w:val="00E3716F"/>
    <w:rsid w:val="00E376CB"/>
    <w:rsid w:val="00E37953"/>
    <w:rsid w:val="00E37AE6"/>
    <w:rsid w:val="00E37FBE"/>
    <w:rsid w:val="00E41254"/>
    <w:rsid w:val="00E424AB"/>
    <w:rsid w:val="00E4262D"/>
    <w:rsid w:val="00E431A2"/>
    <w:rsid w:val="00E4363C"/>
    <w:rsid w:val="00E43EA5"/>
    <w:rsid w:val="00E451C1"/>
    <w:rsid w:val="00E456AC"/>
    <w:rsid w:val="00E46F2D"/>
    <w:rsid w:val="00E475D7"/>
    <w:rsid w:val="00E501AB"/>
    <w:rsid w:val="00E5080E"/>
    <w:rsid w:val="00E5111B"/>
    <w:rsid w:val="00E51373"/>
    <w:rsid w:val="00E51728"/>
    <w:rsid w:val="00E51859"/>
    <w:rsid w:val="00E522E3"/>
    <w:rsid w:val="00E52C61"/>
    <w:rsid w:val="00E52ECC"/>
    <w:rsid w:val="00E530B2"/>
    <w:rsid w:val="00E539D4"/>
    <w:rsid w:val="00E53BA2"/>
    <w:rsid w:val="00E54709"/>
    <w:rsid w:val="00E54B46"/>
    <w:rsid w:val="00E54B87"/>
    <w:rsid w:val="00E55B44"/>
    <w:rsid w:val="00E55FEB"/>
    <w:rsid w:val="00E56DCB"/>
    <w:rsid w:val="00E56FF6"/>
    <w:rsid w:val="00E57FEB"/>
    <w:rsid w:val="00E60331"/>
    <w:rsid w:val="00E603E1"/>
    <w:rsid w:val="00E619AB"/>
    <w:rsid w:val="00E6204A"/>
    <w:rsid w:val="00E6226E"/>
    <w:rsid w:val="00E624B6"/>
    <w:rsid w:val="00E6297A"/>
    <w:rsid w:val="00E62CB2"/>
    <w:rsid w:val="00E63E47"/>
    <w:rsid w:val="00E64166"/>
    <w:rsid w:val="00E6469E"/>
    <w:rsid w:val="00E64DDE"/>
    <w:rsid w:val="00E65671"/>
    <w:rsid w:val="00E656C0"/>
    <w:rsid w:val="00E6596C"/>
    <w:rsid w:val="00E65D16"/>
    <w:rsid w:val="00E66429"/>
    <w:rsid w:val="00E67333"/>
    <w:rsid w:val="00E67464"/>
    <w:rsid w:val="00E67CC8"/>
    <w:rsid w:val="00E72E19"/>
    <w:rsid w:val="00E72E28"/>
    <w:rsid w:val="00E740F9"/>
    <w:rsid w:val="00E74BFF"/>
    <w:rsid w:val="00E74E7A"/>
    <w:rsid w:val="00E75928"/>
    <w:rsid w:val="00E766CC"/>
    <w:rsid w:val="00E76B1F"/>
    <w:rsid w:val="00E773CE"/>
    <w:rsid w:val="00E777AB"/>
    <w:rsid w:val="00E77D6E"/>
    <w:rsid w:val="00E80169"/>
    <w:rsid w:val="00E804A1"/>
    <w:rsid w:val="00E813CE"/>
    <w:rsid w:val="00E816A6"/>
    <w:rsid w:val="00E81777"/>
    <w:rsid w:val="00E81BE4"/>
    <w:rsid w:val="00E81D7D"/>
    <w:rsid w:val="00E822FD"/>
    <w:rsid w:val="00E8255D"/>
    <w:rsid w:val="00E837B7"/>
    <w:rsid w:val="00E84741"/>
    <w:rsid w:val="00E85831"/>
    <w:rsid w:val="00E85B58"/>
    <w:rsid w:val="00E85EDE"/>
    <w:rsid w:val="00E86025"/>
    <w:rsid w:val="00E873E5"/>
    <w:rsid w:val="00E90481"/>
    <w:rsid w:val="00E90D41"/>
    <w:rsid w:val="00E9183B"/>
    <w:rsid w:val="00E920D7"/>
    <w:rsid w:val="00E9215C"/>
    <w:rsid w:val="00E926AA"/>
    <w:rsid w:val="00E94286"/>
    <w:rsid w:val="00E94527"/>
    <w:rsid w:val="00E94EC3"/>
    <w:rsid w:val="00E94F53"/>
    <w:rsid w:val="00E95B25"/>
    <w:rsid w:val="00E960E5"/>
    <w:rsid w:val="00E9758A"/>
    <w:rsid w:val="00EA0AA7"/>
    <w:rsid w:val="00EA1250"/>
    <w:rsid w:val="00EA12BB"/>
    <w:rsid w:val="00EA193F"/>
    <w:rsid w:val="00EA3DAC"/>
    <w:rsid w:val="00EA49AB"/>
    <w:rsid w:val="00EA73F1"/>
    <w:rsid w:val="00EA7419"/>
    <w:rsid w:val="00EB00FD"/>
    <w:rsid w:val="00EB062F"/>
    <w:rsid w:val="00EB0A76"/>
    <w:rsid w:val="00EB10D5"/>
    <w:rsid w:val="00EB1C9B"/>
    <w:rsid w:val="00EB2149"/>
    <w:rsid w:val="00EB22A1"/>
    <w:rsid w:val="00EB29C6"/>
    <w:rsid w:val="00EB54D6"/>
    <w:rsid w:val="00EB64B6"/>
    <w:rsid w:val="00EB6745"/>
    <w:rsid w:val="00EB694F"/>
    <w:rsid w:val="00EB6FF9"/>
    <w:rsid w:val="00EB7307"/>
    <w:rsid w:val="00EB7F30"/>
    <w:rsid w:val="00EC0582"/>
    <w:rsid w:val="00EC0D85"/>
    <w:rsid w:val="00EC1270"/>
    <w:rsid w:val="00EC12FE"/>
    <w:rsid w:val="00EC1478"/>
    <w:rsid w:val="00EC2471"/>
    <w:rsid w:val="00EC40F0"/>
    <w:rsid w:val="00EC41AA"/>
    <w:rsid w:val="00EC4EAD"/>
    <w:rsid w:val="00EC52CA"/>
    <w:rsid w:val="00EC5329"/>
    <w:rsid w:val="00EC5D08"/>
    <w:rsid w:val="00EC641E"/>
    <w:rsid w:val="00EC690B"/>
    <w:rsid w:val="00EC6C4A"/>
    <w:rsid w:val="00ED0144"/>
    <w:rsid w:val="00ED04BC"/>
    <w:rsid w:val="00ED0ACE"/>
    <w:rsid w:val="00ED1508"/>
    <w:rsid w:val="00ED19E8"/>
    <w:rsid w:val="00ED2039"/>
    <w:rsid w:val="00ED23D4"/>
    <w:rsid w:val="00ED2997"/>
    <w:rsid w:val="00ED38E2"/>
    <w:rsid w:val="00ED3BD8"/>
    <w:rsid w:val="00ED3BF1"/>
    <w:rsid w:val="00ED478C"/>
    <w:rsid w:val="00ED5148"/>
    <w:rsid w:val="00ED5FB9"/>
    <w:rsid w:val="00ED649A"/>
    <w:rsid w:val="00ED6997"/>
    <w:rsid w:val="00ED6AB5"/>
    <w:rsid w:val="00ED6C1E"/>
    <w:rsid w:val="00ED6F1C"/>
    <w:rsid w:val="00ED7009"/>
    <w:rsid w:val="00ED7364"/>
    <w:rsid w:val="00ED7482"/>
    <w:rsid w:val="00EE0890"/>
    <w:rsid w:val="00EE2576"/>
    <w:rsid w:val="00EE2C58"/>
    <w:rsid w:val="00EE2F2E"/>
    <w:rsid w:val="00EE3689"/>
    <w:rsid w:val="00EE3880"/>
    <w:rsid w:val="00EE400B"/>
    <w:rsid w:val="00EE565B"/>
    <w:rsid w:val="00EE57EC"/>
    <w:rsid w:val="00EE588B"/>
    <w:rsid w:val="00EE5A63"/>
    <w:rsid w:val="00EE68FE"/>
    <w:rsid w:val="00EE6A68"/>
    <w:rsid w:val="00EE76DD"/>
    <w:rsid w:val="00EE7B9F"/>
    <w:rsid w:val="00EF035A"/>
    <w:rsid w:val="00EF0A27"/>
    <w:rsid w:val="00EF0C47"/>
    <w:rsid w:val="00EF0C4F"/>
    <w:rsid w:val="00EF209D"/>
    <w:rsid w:val="00EF2E79"/>
    <w:rsid w:val="00EF366C"/>
    <w:rsid w:val="00EF540B"/>
    <w:rsid w:val="00EF577E"/>
    <w:rsid w:val="00EF5D50"/>
    <w:rsid w:val="00EF6244"/>
    <w:rsid w:val="00EF77A7"/>
    <w:rsid w:val="00EF781C"/>
    <w:rsid w:val="00EF7D2B"/>
    <w:rsid w:val="00EF7E4A"/>
    <w:rsid w:val="00F013B5"/>
    <w:rsid w:val="00F02316"/>
    <w:rsid w:val="00F02401"/>
    <w:rsid w:val="00F02AA6"/>
    <w:rsid w:val="00F02E89"/>
    <w:rsid w:val="00F03C20"/>
    <w:rsid w:val="00F03DFB"/>
    <w:rsid w:val="00F043AF"/>
    <w:rsid w:val="00F04670"/>
    <w:rsid w:val="00F0493E"/>
    <w:rsid w:val="00F0499F"/>
    <w:rsid w:val="00F0507F"/>
    <w:rsid w:val="00F0521E"/>
    <w:rsid w:val="00F062B2"/>
    <w:rsid w:val="00F06459"/>
    <w:rsid w:val="00F06AE9"/>
    <w:rsid w:val="00F06BD5"/>
    <w:rsid w:val="00F073D2"/>
    <w:rsid w:val="00F07709"/>
    <w:rsid w:val="00F10C88"/>
    <w:rsid w:val="00F10C9D"/>
    <w:rsid w:val="00F10DF9"/>
    <w:rsid w:val="00F11808"/>
    <w:rsid w:val="00F11B14"/>
    <w:rsid w:val="00F122B7"/>
    <w:rsid w:val="00F1370E"/>
    <w:rsid w:val="00F13DCF"/>
    <w:rsid w:val="00F1478F"/>
    <w:rsid w:val="00F14932"/>
    <w:rsid w:val="00F15027"/>
    <w:rsid w:val="00F16415"/>
    <w:rsid w:val="00F16BE3"/>
    <w:rsid w:val="00F17811"/>
    <w:rsid w:val="00F20D4B"/>
    <w:rsid w:val="00F20FC4"/>
    <w:rsid w:val="00F21969"/>
    <w:rsid w:val="00F221BB"/>
    <w:rsid w:val="00F235E4"/>
    <w:rsid w:val="00F2375E"/>
    <w:rsid w:val="00F23B54"/>
    <w:rsid w:val="00F23E82"/>
    <w:rsid w:val="00F23E92"/>
    <w:rsid w:val="00F2567C"/>
    <w:rsid w:val="00F25A71"/>
    <w:rsid w:val="00F25E7F"/>
    <w:rsid w:val="00F268C3"/>
    <w:rsid w:val="00F26FF5"/>
    <w:rsid w:val="00F2792E"/>
    <w:rsid w:val="00F27C09"/>
    <w:rsid w:val="00F30267"/>
    <w:rsid w:val="00F31345"/>
    <w:rsid w:val="00F3178C"/>
    <w:rsid w:val="00F31BB1"/>
    <w:rsid w:val="00F31D53"/>
    <w:rsid w:val="00F33622"/>
    <w:rsid w:val="00F33971"/>
    <w:rsid w:val="00F35FCD"/>
    <w:rsid w:val="00F365BF"/>
    <w:rsid w:val="00F3719C"/>
    <w:rsid w:val="00F3750B"/>
    <w:rsid w:val="00F377AB"/>
    <w:rsid w:val="00F37D7C"/>
    <w:rsid w:val="00F40970"/>
    <w:rsid w:val="00F40971"/>
    <w:rsid w:val="00F417A3"/>
    <w:rsid w:val="00F42261"/>
    <w:rsid w:val="00F42A77"/>
    <w:rsid w:val="00F42EA3"/>
    <w:rsid w:val="00F43A79"/>
    <w:rsid w:val="00F44A2C"/>
    <w:rsid w:val="00F4620B"/>
    <w:rsid w:val="00F466B9"/>
    <w:rsid w:val="00F46F4B"/>
    <w:rsid w:val="00F47148"/>
    <w:rsid w:val="00F47C0D"/>
    <w:rsid w:val="00F50A8F"/>
    <w:rsid w:val="00F52031"/>
    <w:rsid w:val="00F521AD"/>
    <w:rsid w:val="00F52A4B"/>
    <w:rsid w:val="00F538E4"/>
    <w:rsid w:val="00F540B7"/>
    <w:rsid w:val="00F54301"/>
    <w:rsid w:val="00F54D7C"/>
    <w:rsid w:val="00F55014"/>
    <w:rsid w:val="00F552B9"/>
    <w:rsid w:val="00F55640"/>
    <w:rsid w:val="00F55A48"/>
    <w:rsid w:val="00F55B74"/>
    <w:rsid w:val="00F55C06"/>
    <w:rsid w:val="00F56911"/>
    <w:rsid w:val="00F56B15"/>
    <w:rsid w:val="00F56D90"/>
    <w:rsid w:val="00F56F71"/>
    <w:rsid w:val="00F57022"/>
    <w:rsid w:val="00F5737B"/>
    <w:rsid w:val="00F5779A"/>
    <w:rsid w:val="00F57E2D"/>
    <w:rsid w:val="00F57F3C"/>
    <w:rsid w:val="00F604AE"/>
    <w:rsid w:val="00F62840"/>
    <w:rsid w:val="00F62EEF"/>
    <w:rsid w:val="00F63330"/>
    <w:rsid w:val="00F6362A"/>
    <w:rsid w:val="00F638DC"/>
    <w:rsid w:val="00F64584"/>
    <w:rsid w:val="00F651C5"/>
    <w:rsid w:val="00F661B1"/>
    <w:rsid w:val="00F66BB3"/>
    <w:rsid w:val="00F66C8C"/>
    <w:rsid w:val="00F67321"/>
    <w:rsid w:val="00F67879"/>
    <w:rsid w:val="00F67A68"/>
    <w:rsid w:val="00F67DCF"/>
    <w:rsid w:val="00F67E5B"/>
    <w:rsid w:val="00F70907"/>
    <w:rsid w:val="00F70A45"/>
    <w:rsid w:val="00F716C8"/>
    <w:rsid w:val="00F72C67"/>
    <w:rsid w:val="00F7362E"/>
    <w:rsid w:val="00F738EF"/>
    <w:rsid w:val="00F73931"/>
    <w:rsid w:val="00F73E26"/>
    <w:rsid w:val="00F73FB0"/>
    <w:rsid w:val="00F7442D"/>
    <w:rsid w:val="00F74711"/>
    <w:rsid w:val="00F74FDE"/>
    <w:rsid w:val="00F7581A"/>
    <w:rsid w:val="00F776DE"/>
    <w:rsid w:val="00F80240"/>
    <w:rsid w:val="00F80E85"/>
    <w:rsid w:val="00F813AF"/>
    <w:rsid w:val="00F82A7E"/>
    <w:rsid w:val="00F82CF5"/>
    <w:rsid w:val="00F82F34"/>
    <w:rsid w:val="00F83117"/>
    <w:rsid w:val="00F839E6"/>
    <w:rsid w:val="00F84091"/>
    <w:rsid w:val="00F8451D"/>
    <w:rsid w:val="00F84D1C"/>
    <w:rsid w:val="00F85407"/>
    <w:rsid w:val="00F867D2"/>
    <w:rsid w:val="00F86A13"/>
    <w:rsid w:val="00F87098"/>
    <w:rsid w:val="00F87E65"/>
    <w:rsid w:val="00F907F5"/>
    <w:rsid w:val="00F90840"/>
    <w:rsid w:val="00F90AA3"/>
    <w:rsid w:val="00F90B3C"/>
    <w:rsid w:val="00F90BB4"/>
    <w:rsid w:val="00F90FB1"/>
    <w:rsid w:val="00F91257"/>
    <w:rsid w:val="00F936DC"/>
    <w:rsid w:val="00F937F4"/>
    <w:rsid w:val="00F93F29"/>
    <w:rsid w:val="00F94049"/>
    <w:rsid w:val="00F942C4"/>
    <w:rsid w:val="00F94879"/>
    <w:rsid w:val="00F94F41"/>
    <w:rsid w:val="00F95A1E"/>
    <w:rsid w:val="00F95BAA"/>
    <w:rsid w:val="00F95C68"/>
    <w:rsid w:val="00F97270"/>
    <w:rsid w:val="00FA0118"/>
    <w:rsid w:val="00FA0FE1"/>
    <w:rsid w:val="00FA1A7F"/>
    <w:rsid w:val="00FA1EB2"/>
    <w:rsid w:val="00FA2009"/>
    <w:rsid w:val="00FA2A28"/>
    <w:rsid w:val="00FA2BDE"/>
    <w:rsid w:val="00FA316F"/>
    <w:rsid w:val="00FA3A08"/>
    <w:rsid w:val="00FA3D72"/>
    <w:rsid w:val="00FA414B"/>
    <w:rsid w:val="00FA46A4"/>
    <w:rsid w:val="00FA47A1"/>
    <w:rsid w:val="00FA5EDE"/>
    <w:rsid w:val="00FA63BB"/>
    <w:rsid w:val="00FA6A6B"/>
    <w:rsid w:val="00FA6FA5"/>
    <w:rsid w:val="00FA73D0"/>
    <w:rsid w:val="00FA7559"/>
    <w:rsid w:val="00FA77A4"/>
    <w:rsid w:val="00FA7FFB"/>
    <w:rsid w:val="00FB01D7"/>
    <w:rsid w:val="00FB0C93"/>
    <w:rsid w:val="00FB1356"/>
    <w:rsid w:val="00FB165F"/>
    <w:rsid w:val="00FB1C0A"/>
    <w:rsid w:val="00FB1E93"/>
    <w:rsid w:val="00FB26AA"/>
    <w:rsid w:val="00FB3CA0"/>
    <w:rsid w:val="00FB510E"/>
    <w:rsid w:val="00FB5537"/>
    <w:rsid w:val="00FB55B4"/>
    <w:rsid w:val="00FB5BDD"/>
    <w:rsid w:val="00FB6440"/>
    <w:rsid w:val="00FB73CB"/>
    <w:rsid w:val="00FB75B6"/>
    <w:rsid w:val="00FB78B7"/>
    <w:rsid w:val="00FC00A2"/>
    <w:rsid w:val="00FC1660"/>
    <w:rsid w:val="00FC1953"/>
    <w:rsid w:val="00FC3732"/>
    <w:rsid w:val="00FC4377"/>
    <w:rsid w:val="00FC5397"/>
    <w:rsid w:val="00FC560F"/>
    <w:rsid w:val="00FC5E67"/>
    <w:rsid w:val="00FC63F2"/>
    <w:rsid w:val="00FC730C"/>
    <w:rsid w:val="00FC7B9E"/>
    <w:rsid w:val="00FD03EB"/>
    <w:rsid w:val="00FD0478"/>
    <w:rsid w:val="00FD1448"/>
    <w:rsid w:val="00FD1865"/>
    <w:rsid w:val="00FD1A23"/>
    <w:rsid w:val="00FD2528"/>
    <w:rsid w:val="00FD2921"/>
    <w:rsid w:val="00FD4171"/>
    <w:rsid w:val="00FD42C5"/>
    <w:rsid w:val="00FD45F5"/>
    <w:rsid w:val="00FD4E56"/>
    <w:rsid w:val="00FD52E6"/>
    <w:rsid w:val="00FD69B9"/>
    <w:rsid w:val="00FE0E21"/>
    <w:rsid w:val="00FE0F4A"/>
    <w:rsid w:val="00FE1658"/>
    <w:rsid w:val="00FE1A01"/>
    <w:rsid w:val="00FE2298"/>
    <w:rsid w:val="00FE3B5E"/>
    <w:rsid w:val="00FE4889"/>
    <w:rsid w:val="00FE49DF"/>
    <w:rsid w:val="00FE6F8A"/>
    <w:rsid w:val="00FE71A0"/>
    <w:rsid w:val="00FE745D"/>
    <w:rsid w:val="00FE7F9E"/>
    <w:rsid w:val="00FF06D4"/>
    <w:rsid w:val="00FF0BE5"/>
    <w:rsid w:val="00FF0D86"/>
    <w:rsid w:val="00FF0D8C"/>
    <w:rsid w:val="00FF1449"/>
    <w:rsid w:val="00FF1478"/>
    <w:rsid w:val="00FF2292"/>
    <w:rsid w:val="00FF2930"/>
    <w:rsid w:val="00FF2BBE"/>
    <w:rsid w:val="00FF2DE5"/>
    <w:rsid w:val="00FF335D"/>
    <w:rsid w:val="00FF3481"/>
    <w:rsid w:val="00FF3582"/>
    <w:rsid w:val="00FF4A0F"/>
    <w:rsid w:val="00FF4AA7"/>
    <w:rsid w:val="00FF4B7E"/>
    <w:rsid w:val="00FF50BD"/>
    <w:rsid w:val="00FF5CFD"/>
    <w:rsid w:val="00FF65FC"/>
    <w:rsid w:val="00FF6778"/>
    <w:rsid w:val="00FF6B6B"/>
    <w:rsid w:val="00FF6C14"/>
    <w:rsid w:val="00FF6D45"/>
    <w:rsid w:val="00FF7416"/>
    <w:rsid w:val="00FF7438"/>
    <w:rsid w:val="00FF759B"/>
    <w:rsid w:val="00FF77D7"/>
    <w:rsid w:val="00FF7E26"/>
    <w:rsid w:val="00FF7EF7"/>
    <w:rsid w:val="013438C9"/>
    <w:rsid w:val="0167511D"/>
    <w:rsid w:val="016D0A4E"/>
    <w:rsid w:val="01B16B30"/>
    <w:rsid w:val="01D32DCE"/>
    <w:rsid w:val="024B505A"/>
    <w:rsid w:val="024D0FA5"/>
    <w:rsid w:val="028462DA"/>
    <w:rsid w:val="028D4FF6"/>
    <w:rsid w:val="029702A0"/>
    <w:rsid w:val="02B808DC"/>
    <w:rsid w:val="02E17F25"/>
    <w:rsid w:val="03166D2D"/>
    <w:rsid w:val="03265180"/>
    <w:rsid w:val="033F7AFD"/>
    <w:rsid w:val="038A1428"/>
    <w:rsid w:val="038E6F4B"/>
    <w:rsid w:val="039B18D2"/>
    <w:rsid w:val="03AA4003"/>
    <w:rsid w:val="03E709A6"/>
    <w:rsid w:val="03FB485E"/>
    <w:rsid w:val="04463D2B"/>
    <w:rsid w:val="04855B98"/>
    <w:rsid w:val="0491110B"/>
    <w:rsid w:val="04D07A99"/>
    <w:rsid w:val="04E6106A"/>
    <w:rsid w:val="04EC55D2"/>
    <w:rsid w:val="04ED7979"/>
    <w:rsid w:val="05524D1B"/>
    <w:rsid w:val="055872D3"/>
    <w:rsid w:val="05C15047"/>
    <w:rsid w:val="05F24F4D"/>
    <w:rsid w:val="06190825"/>
    <w:rsid w:val="062337B0"/>
    <w:rsid w:val="067E3D3B"/>
    <w:rsid w:val="068F128E"/>
    <w:rsid w:val="06A20FC1"/>
    <w:rsid w:val="06A82B4A"/>
    <w:rsid w:val="07693DC9"/>
    <w:rsid w:val="077A56EB"/>
    <w:rsid w:val="07E720F3"/>
    <w:rsid w:val="08156491"/>
    <w:rsid w:val="081F1961"/>
    <w:rsid w:val="087D1A10"/>
    <w:rsid w:val="0883315E"/>
    <w:rsid w:val="088A4403"/>
    <w:rsid w:val="08D23788"/>
    <w:rsid w:val="08D538D0"/>
    <w:rsid w:val="08E50C77"/>
    <w:rsid w:val="08EA4FD0"/>
    <w:rsid w:val="091266F1"/>
    <w:rsid w:val="09684744"/>
    <w:rsid w:val="0978100A"/>
    <w:rsid w:val="099A0675"/>
    <w:rsid w:val="09D01942"/>
    <w:rsid w:val="09DC2F5A"/>
    <w:rsid w:val="0A154828"/>
    <w:rsid w:val="0A867D38"/>
    <w:rsid w:val="0AA1135D"/>
    <w:rsid w:val="0AD35BED"/>
    <w:rsid w:val="0AE91C7B"/>
    <w:rsid w:val="0B707BF3"/>
    <w:rsid w:val="0BAD79A4"/>
    <w:rsid w:val="0BB76084"/>
    <w:rsid w:val="0C4A0D5C"/>
    <w:rsid w:val="0C822729"/>
    <w:rsid w:val="0C8E44C1"/>
    <w:rsid w:val="0C9D4705"/>
    <w:rsid w:val="0CB07925"/>
    <w:rsid w:val="0CE91C05"/>
    <w:rsid w:val="0CEA6115"/>
    <w:rsid w:val="0D2658A2"/>
    <w:rsid w:val="0D501777"/>
    <w:rsid w:val="0D5F5E5E"/>
    <w:rsid w:val="0D6B13C4"/>
    <w:rsid w:val="0DB241E0"/>
    <w:rsid w:val="0DE95727"/>
    <w:rsid w:val="0DF8345E"/>
    <w:rsid w:val="0E3D1CC3"/>
    <w:rsid w:val="0E6F3ED6"/>
    <w:rsid w:val="0EAD26D7"/>
    <w:rsid w:val="0EAE100A"/>
    <w:rsid w:val="0EBA2F55"/>
    <w:rsid w:val="0F1139AF"/>
    <w:rsid w:val="0F3F30F6"/>
    <w:rsid w:val="0F45362E"/>
    <w:rsid w:val="0F6E37EE"/>
    <w:rsid w:val="0F812F2B"/>
    <w:rsid w:val="0F9569FD"/>
    <w:rsid w:val="0F9E4522"/>
    <w:rsid w:val="0FC81E9D"/>
    <w:rsid w:val="10291F3F"/>
    <w:rsid w:val="106F7626"/>
    <w:rsid w:val="108C51BC"/>
    <w:rsid w:val="10E25268"/>
    <w:rsid w:val="10FC20A5"/>
    <w:rsid w:val="11365683"/>
    <w:rsid w:val="116F7D3C"/>
    <w:rsid w:val="11854622"/>
    <w:rsid w:val="11902A8A"/>
    <w:rsid w:val="11CC6E59"/>
    <w:rsid w:val="11CE72AB"/>
    <w:rsid w:val="11DD33C3"/>
    <w:rsid w:val="11EB433D"/>
    <w:rsid w:val="127E645B"/>
    <w:rsid w:val="128800FC"/>
    <w:rsid w:val="12A14823"/>
    <w:rsid w:val="12A737C4"/>
    <w:rsid w:val="12C33AC5"/>
    <w:rsid w:val="130C4392"/>
    <w:rsid w:val="1323383B"/>
    <w:rsid w:val="132B463A"/>
    <w:rsid w:val="13367661"/>
    <w:rsid w:val="134F3535"/>
    <w:rsid w:val="136A3AA0"/>
    <w:rsid w:val="136D62E2"/>
    <w:rsid w:val="138B5648"/>
    <w:rsid w:val="13A82F67"/>
    <w:rsid w:val="13E477DB"/>
    <w:rsid w:val="14254A5E"/>
    <w:rsid w:val="1477552C"/>
    <w:rsid w:val="14B051F1"/>
    <w:rsid w:val="14BB0B85"/>
    <w:rsid w:val="14DC5FE6"/>
    <w:rsid w:val="1563166D"/>
    <w:rsid w:val="157709B0"/>
    <w:rsid w:val="15842905"/>
    <w:rsid w:val="15C4405E"/>
    <w:rsid w:val="15CA5B4B"/>
    <w:rsid w:val="15D46C8F"/>
    <w:rsid w:val="15E44CE8"/>
    <w:rsid w:val="161661D8"/>
    <w:rsid w:val="16317A78"/>
    <w:rsid w:val="16573C5D"/>
    <w:rsid w:val="16BC7116"/>
    <w:rsid w:val="16DF591A"/>
    <w:rsid w:val="16F05C47"/>
    <w:rsid w:val="171B631D"/>
    <w:rsid w:val="172F4D8A"/>
    <w:rsid w:val="17515BB4"/>
    <w:rsid w:val="17A0154D"/>
    <w:rsid w:val="184805D1"/>
    <w:rsid w:val="18926111"/>
    <w:rsid w:val="189A5B0C"/>
    <w:rsid w:val="18AC4201"/>
    <w:rsid w:val="18C9640A"/>
    <w:rsid w:val="18E04597"/>
    <w:rsid w:val="18F628E1"/>
    <w:rsid w:val="1928712F"/>
    <w:rsid w:val="19426441"/>
    <w:rsid w:val="195902A5"/>
    <w:rsid w:val="19614C3B"/>
    <w:rsid w:val="1A12319D"/>
    <w:rsid w:val="1A135155"/>
    <w:rsid w:val="1A1C2D04"/>
    <w:rsid w:val="1A1C4459"/>
    <w:rsid w:val="1A240213"/>
    <w:rsid w:val="1A500312"/>
    <w:rsid w:val="1A607A23"/>
    <w:rsid w:val="1A644AB4"/>
    <w:rsid w:val="1A720EB0"/>
    <w:rsid w:val="1AA66E7A"/>
    <w:rsid w:val="1AAC1FB7"/>
    <w:rsid w:val="1B184F4E"/>
    <w:rsid w:val="1B401F60"/>
    <w:rsid w:val="1B4346C9"/>
    <w:rsid w:val="1B56230B"/>
    <w:rsid w:val="1B5979EB"/>
    <w:rsid w:val="1B5A1A20"/>
    <w:rsid w:val="1B6F3710"/>
    <w:rsid w:val="1B866CAC"/>
    <w:rsid w:val="1BA3512B"/>
    <w:rsid w:val="1BBD74A3"/>
    <w:rsid w:val="1BCF3553"/>
    <w:rsid w:val="1C9C50F6"/>
    <w:rsid w:val="1CA8479A"/>
    <w:rsid w:val="1CB03FE0"/>
    <w:rsid w:val="1CB95239"/>
    <w:rsid w:val="1CBA4E5F"/>
    <w:rsid w:val="1D871922"/>
    <w:rsid w:val="1D990F18"/>
    <w:rsid w:val="1D9E2DB8"/>
    <w:rsid w:val="1DA87373"/>
    <w:rsid w:val="1DA971B0"/>
    <w:rsid w:val="1DDC550B"/>
    <w:rsid w:val="1E216BE0"/>
    <w:rsid w:val="1E5E1792"/>
    <w:rsid w:val="1E9D220E"/>
    <w:rsid w:val="1EC2624D"/>
    <w:rsid w:val="1EE57716"/>
    <w:rsid w:val="1EF46E74"/>
    <w:rsid w:val="1EF47D24"/>
    <w:rsid w:val="1F424FB8"/>
    <w:rsid w:val="1F457A5E"/>
    <w:rsid w:val="1F60701C"/>
    <w:rsid w:val="2021121F"/>
    <w:rsid w:val="204809D3"/>
    <w:rsid w:val="206B5004"/>
    <w:rsid w:val="20873702"/>
    <w:rsid w:val="20BB11A5"/>
    <w:rsid w:val="210E7B29"/>
    <w:rsid w:val="21134401"/>
    <w:rsid w:val="21252983"/>
    <w:rsid w:val="21383383"/>
    <w:rsid w:val="2156677D"/>
    <w:rsid w:val="215B1AF8"/>
    <w:rsid w:val="21794342"/>
    <w:rsid w:val="2191002B"/>
    <w:rsid w:val="21AF4F5E"/>
    <w:rsid w:val="21BE2E14"/>
    <w:rsid w:val="2201708C"/>
    <w:rsid w:val="22192627"/>
    <w:rsid w:val="22193BEC"/>
    <w:rsid w:val="224055F5"/>
    <w:rsid w:val="22915E59"/>
    <w:rsid w:val="22C1362D"/>
    <w:rsid w:val="22CA6707"/>
    <w:rsid w:val="22F25269"/>
    <w:rsid w:val="22F550A9"/>
    <w:rsid w:val="232C1D90"/>
    <w:rsid w:val="239C64B5"/>
    <w:rsid w:val="23A32438"/>
    <w:rsid w:val="23A75A11"/>
    <w:rsid w:val="23B8652B"/>
    <w:rsid w:val="23BB159B"/>
    <w:rsid w:val="245C2C9F"/>
    <w:rsid w:val="247B3808"/>
    <w:rsid w:val="24A65001"/>
    <w:rsid w:val="24E231A5"/>
    <w:rsid w:val="25273966"/>
    <w:rsid w:val="25481ECB"/>
    <w:rsid w:val="257B539D"/>
    <w:rsid w:val="2594670E"/>
    <w:rsid w:val="25A64A2E"/>
    <w:rsid w:val="26914E82"/>
    <w:rsid w:val="26B224BF"/>
    <w:rsid w:val="26B633BE"/>
    <w:rsid w:val="26D64B7A"/>
    <w:rsid w:val="27413D07"/>
    <w:rsid w:val="279E76A6"/>
    <w:rsid w:val="27DC212D"/>
    <w:rsid w:val="27E52DB1"/>
    <w:rsid w:val="27FB4661"/>
    <w:rsid w:val="281843F5"/>
    <w:rsid w:val="283205FE"/>
    <w:rsid w:val="29157C90"/>
    <w:rsid w:val="29574E75"/>
    <w:rsid w:val="29590765"/>
    <w:rsid w:val="296F4B51"/>
    <w:rsid w:val="29BB39B2"/>
    <w:rsid w:val="29BD5F8E"/>
    <w:rsid w:val="29F6324E"/>
    <w:rsid w:val="2A175FF4"/>
    <w:rsid w:val="2A2B114A"/>
    <w:rsid w:val="2A511787"/>
    <w:rsid w:val="2A8F072F"/>
    <w:rsid w:val="2AAE265D"/>
    <w:rsid w:val="2AB45E47"/>
    <w:rsid w:val="2AB52A14"/>
    <w:rsid w:val="2AE87D5A"/>
    <w:rsid w:val="2B2F6F7C"/>
    <w:rsid w:val="2B653241"/>
    <w:rsid w:val="2B6A359E"/>
    <w:rsid w:val="2BC85DC5"/>
    <w:rsid w:val="2BE772F2"/>
    <w:rsid w:val="2BF44DCD"/>
    <w:rsid w:val="2BF67536"/>
    <w:rsid w:val="2C073A31"/>
    <w:rsid w:val="2C153E60"/>
    <w:rsid w:val="2C4B7881"/>
    <w:rsid w:val="2C5A5D16"/>
    <w:rsid w:val="2C6B7F24"/>
    <w:rsid w:val="2CAA7544"/>
    <w:rsid w:val="2CC21703"/>
    <w:rsid w:val="2CD32165"/>
    <w:rsid w:val="2CE26733"/>
    <w:rsid w:val="2DAA11D5"/>
    <w:rsid w:val="2DB604DD"/>
    <w:rsid w:val="2DC165C5"/>
    <w:rsid w:val="2DDF23B9"/>
    <w:rsid w:val="2E06476F"/>
    <w:rsid w:val="2E3C29A7"/>
    <w:rsid w:val="2E6E1F83"/>
    <w:rsid w:val="2E7801ED"/>
    <w:rsid w:val="2EB86D24"/>
    <w:rsid w:val="2F174BF1"/>
    <w:rsid w:val="2F1F1AC1"/>
    <w:rsid w:val="2F72442D"/>
    <w:rsid w:val="2FF463BB"/>
    <w:rsid w:val="3006476D"/>
    <w:rsid w:val="300A243D"/>
    <w:rsid w:val="30593E35"/>
    <w:rsid w:val="305B3A07"/>
    <w:rsid w:val="305D170F"/>
    <w:rsid w:val="30A65F61"/>
    <w:rsid w:val="30C322EC"/>
    <w:rsid w:val="3119625B"/>
    <w:rsid w:val="3163373C"/>
    <w:rsid w:val="316926FF"/>
    <w:rsid w:val="31773AEF"/>
    <w:rsid w:val="320F30FF"/>
    <w:rsid w:val="321150C9"/>
    <w:rsid w:val="32165D3B"/>
    <w:rsid w:val="32917FB8"/>
    <w:rsid w:val="329C402A"/>
    <w:rsid w:val="329F317E"/>
    <w:rsid w:val="32DC34E4"/>
    <w:rsid w:val="33613CFE"/>
    <w:rsid w:val="33C65A3F"/>
    <w:rsid w:val="33CB70A7"/>
    <w:rsid w:val="340A4994"/>
    <w:rsid w:val="341A3513"/>
    <w:rsid w:val="345C3AA4"/>
    <w:rsid w:val="348B4944"/>
    <w:rsid w:val="34A246FE"/>
    <w:rsid w:val="34D70141"/>
    <w:rsid w:val="35553EF0"/>
    <w:rsid w:val="35596D27"/>
    <w:rsid w:val="35835426"/>
    <w:rsid w:val="35A23D0E"/>
    <w:rsid w:val="35C43EC2"/>
    <w:rsid w:val="364517E5"/>
    <w:rsid w:val="367F4CF7"/>
    <w:rsid w:val="368D21A9"/>
    <w:rsid w:val="36A07CF8"/>
    <w:rsid w:val="36AD6E9E"/>
    <w:rsid w:val="370E69A8"/>
    <w:rsid w:val="37431B5C"/>
    <w:rsid w:val="374E6478"/>
    <w:rsid w:val="375E478E"/>
    <w:rsid w:val="378400EB"/>
    <w:rsid w:val="378B147A"/>
    <w:rsid w:val="37A95DA4"/>
    <w:rsid w:val="37C14A80"/>
    <w:rsid w:val="382E5109"/>
    <w:rsid w:val="38376F0C"/>
    <w:rsid w:val="38C03C2B"/>
    <w:rsid w:val="38C73921"/>
    <w:rsid w:val="38C97764"/>
    <w:rsid w:val="39176838"/>
    <w:rsid w:val="392D6D75"/>
    <w:rsid w:val="3960370F"/>
    <w:rsid w:val="3986014B"/>
    <w:rsid w:val="399A3D5A"/>
    <w:rsid w:val="3A10670E"/>
    <w:rsid w:val="3A144BCE"/>
    <w:rsid w:val="3A4A34A1"/>
    <w:rsid w:val="3A56720D"/>
    <w:rsid w:val="3A7C32FC"/>
    <w:rsid w:val="3AA572CA"/>
    <w:rsid w:val="3AC8793E"/>
    <w:rsid w:val="3ACC7DDF"/>
    <w:rsid w:val="3ADB5466"/>
    <w:rsid w:val="3AED2E24"/>
    <w:rsid w:val="3AFC4BC4"/>
    <w:rsid w:val="3B11613A"/>
    <w:rsid w:val="3B4E0E59"/>
    <w:rsid w:val="3B5A0C67"/>
    <w:rsid w:val="3B824C26"/>
    <w:rsid w:val="3B9659D1"/>
    <w:rsid w:val="3B9E2D5F"/>
    <w:rsid w:val="3C523EC8"/>
    <w:rsid w:val="3C5F4C83"/>
    <w:rsid w:val="3CCB4B33"/>
    <w:rsid w:val="3CE84C78"/>
    <w:rsid w:val="3D000214"/>
    <w:rsid w:val="3D336678"/>
    <w:rsid w:val="3D382B00"/>
    <w:rsid w:val="3D98797C"/>
    <w:rsid w:val="3DA46DF1"/>
    <w:rsid w:val="3DAC5CA6"/>
    <w:rsid w:val="3DD35929"/>
    <w:rsid w:val="3DF71617"/>
    <w:rsid w:val="3E025B80"/>
    <w:rsid w:val="3E370F1E"/>
    <w:rsid w:val="3E5F0BE5"/>
    <w:rsid w:val="3EAF565D"/>
    <w:rsid w:val="3ED64546"/>
    <w:rsid w:val="3EED25F0"/>
    <w:rsid w:val="3EF80394"/>
    <w:rsid w:val="3EF861A9"/>
    <w:rsid w:val="3F0D4E6A"/>
    <w:rsid w:val="3F6E5909"/>
    <w:rsid w:val="3F7B168F"/>
    <w:rsid w:val="3F831F99"/>
    <w:rsid w:val="3FC61536"/>
    <w:rsid w:val="3FD15E98"/>
    <w:rsid w:val="3FDA3EA6"/>
    <w:rsid w:val="3FEA7F7A"/>
    <w:rsid w:val="3FFA2D13"/>
    <w:rsid w:val="3FFC1296"/>
    <w:rsid w:val="40233C52"/>
    <w:rsid w:val="4054703C"/>
    <w:rsid w:val="40656D51"/>
    <w:rsid w:val="406A35E8"/>
    <w:rsid w:val="40E1210B"/>
    <w:rsid w:val="416845DA"/>
    <w:rsid w:val="41871A08"/>
    <w:rsid w:val="41B73D5A"/>
    <w:rsid w:val="42556D38"/>
    <w:rsid w:val="425F778B"/>
    <w:rsid w:val="42A258CA"/>
    <w:rsid w:val="42DA01BE"/>
    <w:rsid w:val="432E768B"/>
    <w:rsid w:val="4348746D"/>
    <w:rsid w:val="435E5C94"/>
    <w:rsid w:val="436C6603"/>
    <w:rsid w:val="436C6EF6"/>
    <w:rsid w:val="43875D2E"/>
    <w:rsid w:val="44021C41"/>
    <w:rsid w:val="44472BCC"/>
    <w:rsid w:val="44B00772"/>
    <w:rsid w:val="44EE703F"/>
    <w:rsid w:val="45765517"/>
    <w:rsid w:val="45B253E8"/>
    <w:rsid w:val="45BA207C"/>
    <w:rsid w:val="45FB3C6E"/>
    <w:rsid w:val="46027119"/>
    <w:rsid w:val="460A5C60"/>
    <w:rsid w:val="46224FE4"/>
    <w:rsid w:val="463A4797"/>
    <w:rsid w:val="464D1F74"/>
    <w:rsid w:val="464F2CE8"/>
    <w:rsid w:val="46565349"/>
    <w:rsid w:val="465D045D"/>
    <w:rsid w:val="46693892"/>
    <w:rsid w:val="46AB6AAA"/>
    <w:rsid w:val="4709233B"/>
    <w:rsid w:val="471548BC"/>
    <w:rsid w:val="471952AA"/>
    <w:rsid w:val="47605BC6"/>
    <w:rsid w:val="4760647F"/>
    <w:rsid w:val="4786067F"/>
    <w:rsid w:val="479A3013"/>
    <w:rsid w:val="4839170A"/>
    <w:rsid w:val="48643F7F"/>
    <w:rsid w:val="48900D67"/>
    <w:rsid w:val="48A65497"/>
    <w:rsid w:val="48B12847"/>
    <w:rsid w:val="48B9571B"/>
    <w:rsid w:val="48CA5603"/>
    <w:rsid w:val="48F969B5"/>
    <w:rsid w:val="48FF58F0"/>
    <w:rsid w:val="49067B68"/>
    <w:rsid w:val="49403745"/>
    <w:rsid w:val="49472E57"/>
    <w:rsid w:val="496B2EB9"/>
    <w:rsid w:val="499354E4"/>
    <w:rsid w:val="49C35341"/>
    <w:rsid w:val="49DB547B"/>
    <w:rsid w:val="49FC2411"/>
    <w:rsid w:val="4A2A575C"/>
    <w:rsid w:val="4A3E5330"/>
    <w:rsid w:val="4A5D6CA6"/>
    <w:rsid w:val="4A9B6AA5"/>
    <w:rsid w:val="4A9E3A53"/>
    <w:rsid w:val="4ABD3588"/>
    <w:rsid w:val="4AC44571"/>
    <w:rsid w:val="4AC63884"/>
    <w:rsid w:val="4AC9433B"/>
    <w:rsid w:val="4AD73910"/>
    <w:rsid w:val="4AE72A4E"/>
    <w:rsid w:val="4B180E1F"/>
    <w:rsid w:val="4B185AC8"/>
    <w:rsid w:val="4B2D633B"/>
    <w:rsid w:val="4B7B6A7C"/>
    <w:rsid w:val="4B8A232A"/>
    <w:rsid w:val="4B9047D3"/>
    <w:rsid w:val="4BA622D6"/>
    <w:rsid w:val="4BA97CC9"/>
    <w:rsid w:val="4BC1624A"/>
    <w:rsid w:val="4BE57EF0"/>
    <w:rsid w:val="4C087AAD"/>
    <w:rsid w:val="4C0C1CAB"/>
    <w:rsid w:val="4C1A26B0"/>
    <w:rsid w:val="4C2D08FA"/>
    <w:rsid w:val="4C3103EA"/>
    <w:rsid w:val="4C8449BE"/>
    <w:rsid w:val="4CAA1F4A"/>
    <w:rsid w:val="4CB16E35"/>
    <w:rsid w:val="4CB17174"/>
    <w:rsid w:val="4CC341D8"/>
    <w:rsid w:val="4CE14311"/>
    <w:rsid w:val="4D110AAA"/>
    <w:rsid w:val="4D571152"/>
    <w:rsid w:val="4DB017E2"/>
    <w:rsid w:val="4E4C2783"/>
    <w:rsid w:val="4E5F7401"/>
    <w:rsid w:val="4E714873"/>
    <w:rsid w:val="4E8430BC"/>
    <w:rsid w:val="4EA14778"/>
    <w:rsid w:val="4ECD2E7E"/>
    <w:rsid w:val="4ED61968"/>
    <w:rsid w:val="4ED95394"/>
    <w:rsid w:val="4F0516BA"/>
    <w:rsid w:val="4F196ABA"/>
    <w:rsid w:val="4F230C23"/>
    <w:rsid w:val="4F2D0814"/>
    <w:rsid w:val="4F5435BF"/>
    <w:rsid w:val="4FD60A48"/>
    <w:rsid w:val="4FDA5DB2"/>
    <w:rsid w:val="504B2073"/>
    <w:rsid w:val="5050568F"/>
    <w:rsid w:val="5065520B"/>
    <w:rsid w:val="50684475"/>
    <w:rsid w:val="5089270A"/>
    <w:rsid w:val="50B92F72"/>
    <w:rsid w:val="50D654D9"/>
    <w:rsid w:val="50F804B4"/>
    <w:rsid w:val="510734C7"/>
    <w:rsid w:val="51ED73F6"/>
    <w:rsid w:val="521E6936"/>
    <w:rsid w:val="5258567D"/>
    <w:rsid w:val="52883765"/>
    <w:rsid w:val="52997E0A"/>
    <w:rsid w:val="52B84D9D"/>
    <w:rsid w:val="52FE4081"/>
    <w:rsid w:val="53061FB1"/>
    <w:rsid w:val="530C2303"/>
    <w:rsid w:val="53417D5E"/>
    <w:rsid w:val="53956CDC"/>
    <w:rsid w:val="53C32ED7"/>
    <w:rsid w:val="53D04386"/>
    <w:rsid w:val="54063F0A"/>
    <w:rsid w:val="54494FAE"/>
    <w:rsid w:val="54A66DC4"/>
    <w:rsid w:val="54E3424B"/>
    <w:rsid w:val="54FA596C"/>
    <w:rsid w:val="54FE1085"/>
    <w:rsid w:val="55103D2F"/>
    <w:rsid w:val="55106DDC"/>
    <w:rsid w:val="551E15B9"/>
    <w:rsid w:val="55287EB0"/>
    <w:rsid w:val="5537365B"/>
    <w:rsid w:val="55440243"/>
    <w:rsid w:val="55653867"/>
    <w:rsid w:val="556D56D8"/>
    <w:rsid w:val="56170651"/>
    <w:rsid w:val="563B77BD"/>
    <w:rsid w:val="5666419E"/>
    <w:rsid w:val="566B62A7"/>
    <w:rsid w:val="568B2D64"/>
    <w:rsid w:val="568C4DAF"/>
    <w:rsid w:val="568D446F"/>
    <w:rsid w:val="56AF60EE"/>
    <w:rsid w:val="56B25874"/>
    <w:rsid w:val="56B91708"/>
    <w:rsid w:val="56C44E8E"/>
    <w:rsid w:val="56D06587"/>
    <w:rsid w:val="57242D69"/>
    <w:rsid w:val="572B18A4"/>
    <w:rsid w:val="57312D3C"/>
    <w:rsid w:val="57765DDF"/>
    <w:rsid w:val="578F1872"/>
    <w:rsid w:val="579E175A"/>
    <w:rsid w:val="57AF7399"/>
    <w:rsid w:val="57D90B8E"/>
    <w:rsid w:val="57E46DB6"/>
    <w:rsid w:val="57FB18AC"/>
    <w:rsid w:val="58005F43"/>
    <w:rsid w:val="58086E95"/>
    <w:rsid w:val="580C1D0B"/>
    <w:rsid w:val="581D1822"/>
    <w:rsid w:val="583136F5"/>
    <w:rsid w:val="58667359"/>
    <w:rsid w:val="586724AC"/>
    <w:rsid w:val="58A353C8"/>
    <w:rsid w:val="58D133ED"/>
    <w:rsid w:val="58DB2C39"/>
    <w:rsid w:val="59181D61"/>
    <w:rsid w:val="591846FB"/>
    <w:rsid w:val="592B4992"/>
    <w:rsid w:val="59401201"/>
    <w:rsid w:val="594340A3"/>
    <w:rsid w:val="59676A8F"/>
    <w:rsid w:val="59A55F73"/>
    <w:rsid w:val="59C81C62"/>
    <w:rsid w:val="59D71F91"/>
    <w:rsid w:val="59DD3580"/>
    <w:rsid w:val="59E073D0"/>
    <w:rsid w:val="59EC1679"/>
    <w:rsid w:val="5A167D45"/>
    <w:rsid w:val="5A1D1E65"/>
    <w:rsid w:val="5A8B0CDC"/>
    <w:rsid w:val="5A9409E7"/>
    <w:rsid w:val="5AC734EE"/>
    <w:rsid w:val="5ACA3A04"/>
    <w:rsid w:val="5B01542B"/>
    <w:rsid w:val="5B06742A"/>
    <w:rsid w:val="5B223F16"/>
    <w:rsid w:val="5C2D3614"/>
    <w:rsid w:val="5C5455E1"/>
    <w:rsid w:val="5C77709B"/>
    <w:rsid w:val="5C9E41E1"/>
    <w:rsid w:val="5CAE3750"/>
    <w:rsid w:val="5CE661AC"/>
    <w:rsid w:val="5CFB7A99"/>
    <w:rsid w:val="5CFC4BE7"/>
    <w:rsid w:val="5D122F42"/>
    <w:rsid w:val="5D3F048D"/>
    <w:rsid w:val="5D6A375C"/>
    <w:rsid w:val="5D6B7666"/>
    <w:rsid w:val="5D8451DF"/>
    <w:rsid w:val="5DE61602"/>
    <w:rsid w:val="5DE652CA"/>
    <w:rsid w:val="5E1F7D19"/>
    <w:rsid w:val="5E290DED"/>
    <w:rsid w:val="5EBD04E5"/>
    <w:rsid w:val="5EC56770"/>
    <w:rsid w:val="5F2D41D5"/>
    <w:rsid w:val="5F30008D"/>
    <w:rsid w:val="5F3F29C6"/>
    <w:rsid w:val="5FB011CE"/>
    <w:rsid w:val="5FF11F12"/>
    <w:rsid w:val="605753D8"/>
    <w:rsid w:val="606E6CE4"/>
    <w:rsid w:val="606F604B"/>
    <w:rsid w:val="612169DE"/>
    <w:rsid w:val="6129420F"/>
    <w:rsid w:val="61946007"/>
    <w:rsid w:val="61CE5980"/>
    <w:rsid w:val="62131E7C"/>
    <w:rsid w:val="625414DF"/>
    <w:rsid w:val="625536DF"/>
    <w:rsid w:val="62E01BA7"/>
    <w:rsid w:val="63030759"/>
    <w:rsid w:val="63487F8F"/>
    <w:rsid w:val="63520DB4"/>
    <w:rsid w:val="63721C72"/>
    <w:rsid w:val="637B0BF4"/>
    <w:rsid w:val="638259C1"/>
    <w:rsid w:val="63AD4F0E"/>
    <w:rsid w:val="63AE3C76"/>
    <w:rsid w:val="63B03E93"/>
    <w:rsid w:val="640815DE"/>
    <w:rsid w:val="644279ED"/>
    <w:rsid w:val="64701616"/>
    <w:rsid w:val="6488096B"/>
    <w:rsid w:val="64997A70"/>
    <w:rsid w:val="64AE74A6"/>
    <w:rsid w:val="64B17B44"/>
    <w:rsid w:val="64BD5B22"/>
    <w:rsid w:val="64C60168"/>
    <w:rsid w:val="64FE2E81"/>
    <w:rsid w:val="65445A34"/>
    <w:rsid w:val="65A265F6"/>
    <w:rsid w:val="65A526B8"/>
    <w:rsid w:val="65EC0A86"/>
    <w:rsid w:val="6600182C"/>
    <w:rsid w:val="66024B2B"/>
    <w:rsid w:val="6621372E"/>
    <w:rsid w:val="663243BF"/>
    <w:rsid w:val="66581862"/>
    <w:rsid w:val="666A657B"/>
    <w:rsid w:val="668C5AAA"/>
    <w:rsid w:val="669A5497"/>
    <w:rsid w:val="671571E5"/>
    <w:rsid w:val="67261D48"/>
    <w:rsid w:val="67367DE4"/>
    <w:rsid w:val="67624AAC"/>
    <w:rsid w:val="67724796"/>
    <w:rsid w:val="67CE0C11"/>
    <w:rsid w:val="67E45438"/>
    <w:rsid w:val="68130F92"/>
    <w:rsid w:val="685258EA"/>
    <w:rsid w:val="68571A45"/>
    <w:rsid w:val="688D300E"/>
    <w:rsid w:val="68C301C4"/>
    <w:rsid w:val="68CC2375"/>
    <w:rsid w:val="68E110A9"/>
    <w:rsid w:val="68EA39A3"/>
    <w:rsid w:val="691F4DF5"/>
    <w:rsid w:val="692A1FF1"/>
    <w:rsid w:val="6938470E"/>
    <w:rsid w:val="69B74351"/>
    <w:rsid w:val="69C61397"/>
    <w:rsid w:val="69F97B76"/>
    <w:rsid w:val="6A5D01A4"/>
    <w:rsid w:val="6A9A5A54"/>
    <w:rsid w:val="6AAD21A5"/>
    <w:rsid w:val="6ACE2005"/>
    <w:rsid w:val="6B0946A0"/>
    <w:rsid w:val="6B1B64A0"/>
    <w:rsid w:val="6B1D6FD6"/>
    <w:rsid w:val="6B203E4F"/>
    <w:rsid w:val="6B767770"/>
    <w:rsid w:val="6BDD3C18"/>
    <w:rsid w:val="6C1A459F"/>
    <w:rsid w:val="6C75699E"/>
    <w:rsid w:val="6C8731DE"/>
    <w:rsid w:val="6C8F6A77"/>
    <w:rsid w:val="6CDC14CA"/>
    <w:rsid w:val="6D9F440D"/>
    <w:rsid w:val="6DE210EC"/>
    <w:rsid w:val="6DEF7365"/>
    <w:rsid w:val="6E306D57"/>
    <w:rsid w:val="6E544226"/>
    <w:rsid w:val="6E5D69C5"/>
    <w:rsid w:val="6E745C57"/>
    <w:rsid w:val="6E8D2A52"/>
    <w:rsid w:val="6EB658BE"/>
    <w:rsid w:val="6EDE7B39"/>
    <w:rsid w:val="6F0B4673"/>
    <w:rsid w:val="6F262510"/>
    <w:rsid w:val="6F3E5AC5"/>
    <w:rsid w:val="6F95420C"/>
    <w:rsid w:val="70147BEE"/>
    <w:rsid w:val="70770E10"/>
    <w:rsid w:val="708244C1"/>
    <w:rsid w:val="709A01EE"/>
    <w:rsid w:val="709E4931"/>
    <w:rsid w:val="70A95D1B"/>
    <w:rsid w:val="70B33549"/>
    <w:rsid w:val="710475CC"/>
    <w:rsid w:val="710D46D2"/>
    <w:rsid w:val="71107825"/>
    <w:rsid w:val="71835E4A"/>
    <w:rsid w:val="71866233"/>
    <w:rsid w:val="71A60E0E"/>
    <w:rsid w:val="71BB4C59"/>
    <w:rsid w:val="71DD19DC"/>
    <w:rsid w:val="71F716FC"/>
    <w:rsid w:val="72535A3E"/>
    <w:rsid w:val="725F3E8A"/>
    <w:rsid w:val="72CC56A2"/>
    <w:rsid w:val="732B7092"/>
    <w:rsid w:val="73797DFD"/>
    <w:rsid w:val="737F39E3"/>
    <w:rsid w:val="73852193"/>
    <w:rsid w:val="73B30965"/>
    <w:rsid w:val="73F6144E"/>
    <w:rsid w:val="7402235F"/>
    <w:rsid w:val="742E3CAC"/>
    <w:rsid w:val="74474F84"/>
    <w:rsid w:val="74592C55"/>
    <w:rsid w:val="745C6C6C"/>
    <w:rsid w:val="747C1E3B"/>
    <w:rsid w:val="74CC1B11"/>
    <w:rsid w:val="75036E13"/>
    <w:rsid w:val="75355FA6"/>
    <w:rsid w:val="75AF38B7"/>
    <w:rsid w:val="75B0672C"/>
    <w:rsid w:val="75B841D0"/>
    <w:rsid w:val="75DC697D"/>
    <w:rsid w:val="75DD0D68"/>
    <w:rsid w:val="75E63744"/>
    <w:rsid w:val="763224E5"/>
    <w:rsid w:val="76421559"/>
    <w:rsid w:val="76527958"/>
    <w:rsid w:val="76950D6D"/>
    <w:rsid w:val="776D44D5"/>
    <w:rsid w:val="7776326D"/>
    <w:rsid w:val="77BB544D"/>
    <w:rsid w:val="77E837A3"/>
    <w:rsid w:val="78104B40"/>
    <w:rsid w:val="78106856"/>
    <w:rsid w:val="782304C5"/>
    <w:rsid w:val="788D434B"/>
    <w:rsid w:val="790C7B25"/>
    <w:rsid w:val="79762891"/>
    <w:rsid w:val="79AA371C"/>
    <w:rsid w:val="79B0209F"/>
    <w:rsid w:val="79B26953"/>
    <w:rsid w:val="79D65DF1"/>
    <w:rsid w:val="7A3B33CD"/>
    <w:rsid w:val="7A4F4CB9"/>
    <w:rsid w:val="7A615A5A"/>
    <w:rsid w:val="7A744BFF"/>
    <w:rsid w:val="7A7702EB"/>
    <w:rsid w:val="7ADD3367"/>
    <w:rsid w:val="7AF1471D"/>
    <w:rsid w:val="7B1448AF"/>
    <w:rsid w:val="7B31793F"/>
    <w:rsid w:val="7B346CFF"/>
    <w:rsid w:val="7B7315D6"/>
    <w:rsid w:val="7BA00488"/>
    <w:rsid w:val="7BA45E86"/>
    <w:rsid w:val="7BBD7D6B"/>
    <w:rsid w:val="7BC25EC9"/>
    <w:rsid w:val="7BC40083"/>
    <w:rsid w:val="7C3F554C"/>
    <w:rsid w:val="7C410127"/>
    <w:rsid w:val="7C4C4B29"/>
    <w:rsid w:val="7C606846"/>
    <w:rsid w:val="7C6D48EF"/>
    <w:rsid w:val="7C8D66C7"/>
    <w:rsid w:val="7C9723A3"/>
    <w:rsid w:val="7CAD0B17"/>
    <w:rsid w:val="7CB93023"/>
    <w:rsid w:val="7CDE1D01"/>
    <w:rsid w:val="7D0211AE"/>
    <w:rsid w:val="7D1000D5"/>
    <w:rsid w:val="7D4476CE"/>
    <w:rsid w:val="7D472143"/>
    <w:rsid w:val="7D5D39A8"/>
    <w:rsid w:val="7D912C27"/>
    <w:rsid w:val="7DB5118D"/>
    <w:rsid w:val="7DC26892"/>
    <w:rsid w:val="7DF75804"/>
    <w:rsid w:val="7E047858"/>
    <w:rsid w:val="7E2272E3"/>
    <w:rsid w:val="7E320950"/>
    <w:rsid w:val="7E336F5A"/>
    <w:rsid w:val="7E552060"/>
    <w:rsid w:val="7E9A0852"/>
    <w:rsid w:val="7EC159DF"/>
    <w:rsid w:val="7EC7030B"/>
    <w:rsid w:val="7ED15DE2"/>
    <w:rsid w:val="7EDA1282"/>
    <w:rsid w:val="7EDC56E4"/>
    <w:rsid w:val="7EFA459D"/>
    <w:rsid w:val="7F796E5E"/>
    <w:rsid w:val="7F98785D"/>
    <w:rsid w:val="7FB673B8"/>
    <w:rsid w:val="7FBA33F4"/>
    <w:rsid w:val="7FCC0A86"/>
    <w:rsid w:val="7FD74590"/>
    <w:rsid w:val="7FD80366"/>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10"/>
    <w:qFormat/>
    <w:uiPriority w:val="0"/>
    <w:pPr>
      <w:keepNext/>
      <w:keepLines/>
      <w:widowControl/>
      <w:numPr>
        <w:ilvl w:val="0"/>
        <w:numId w:val="1"/>
      </w:numPr>
      <w:spacing w:before="340" w:after="330"/>
      <w:jc w:val="left"/>
      <w:outlineLvl w:val="0"/>
    </w:pPr>
    <w:rPr>
      <w:rFonts w:ascii="宋体"/>
      <w:bCs/>
      <w:snapToGrid w:val="0"/>
      <w:kern w:val="0"/>
      <w:sz w:val="28"/>
      <w:szCs w:val="44"/>
    </w:rPr>
  </w:style>
  <w:style w:type="paragraph" w:styleId="3">
    <w:name w:val="heading 2"/>
    <w:basedOn w:val="1"/>
    <w:next w:val="1"/>
    <w:qFormat/>
    <w:uiPriority w:val="0"/>
    <w:pPr>
      <w:numPr>
        <w:ilvl w:val="1"/>
        <w:numId w:val="1"/>
      </w:numPr>
      <w:spacing w:before="260"/>
      <w:jc w:val="left"/>
      <w:outlineLvl w:val="1"/>
    </w:pPr>
    <w:rPr>
      <w:rFonts w:ascii="宋体" w:hAnsi="Arial"/>
      <w:bCs/>
      <w:kern w:val="0"/>
      <w:sz w:val="28"/>
      <w:szCs w:val="32"/>
    </w:rPr>
  </w:style>
  <w:style w:type="paragraph" w:styleId="4">
    <w:name w:val="heading 3"/>
    <w:basedOn w:val="1"/>
    <w:next w:val="1"/>
    <w:link w:val="202"/>
    <w:qFormat/>
    <w:uiPriority w:val="0"/>
    <w:pPr>
      <w:keepNext/>
      <w:keepLines/>
      <w:widowControl/>
      <w:numPr>
        <w:ilvl w:val="2"/>
        <w:numId w:val="1"/>
      </w:numPr>
      <w:spacing w:before="260" w:after="260" w:line="416" w:lineRule="auto"/>
      <w:jc w:val="left"/>
      <w:outlineLvl w:val="2"/>
    </w:pPr>
    <w:rPr>
      <w:b/>
      <w:bCs/>
      <w:kern w:val="0"/>
      <w:sz w:val="32"/>
      <w:szCs w:val="32"/>
    </w:rPr>
  </w:style>
  <w:style w:type="paragraph" w:styleId="5">
    <w:name w:val="heading 4"/>
    <w:basedOn w:val="1"/>
    <w:next w:val="1"/>
    <w:link w:val="216"/>
    <w:qFormat/>
    <w:uiPriority w:val="0"/>
    <w:pPr>
      <w:keepNext/>
      <w:keepLines/>
      <w:widowControl/>
      <w:numPr>
        <w:ilvl w:val="3"/>
        <w:numId w:val="1"/>
      </w:numPr>
      <w:spacing w:before="280" w:after="290" w:line="376" w:lineRule="auto"/>
      <w:jc w:val="left"/>
      <w:outlineLvl w:val="3"/>
    </w:pPr>
    <w:rPr>
      <w:rFonts w:ascii="Arial" w:hAnsi="Arial" w:eastAsia="黑体"/>
      <w:b/>
      <w:bCs/>
      <w:kern w:val="0"/>
      <w:sz w:val="28"/>
      <w:szCs w:val="28"/>
    </w:rPr>
  </w:style>
  <w:style w:type="paragraph" w:styleId="6">
    <w:name w:val="heading 5"/>
    <w:basedOn w:val="1"/>
    <w:next w:val="1"/>
    <w:link w:val="199"/>
    <w:qFormat/>
    <w:uiPriority w:val="0"/>
    <w:pPr>
      <w:keepNext/>
      <w:keepLines/>
      <w:widowControl/>
      <w:numPr>
        <w:ilvl w:val="4"/>
        <w:numId w:val="1"/>
      </w:numPr>
      <w:spacing w:before="280" w:after="290" w:line="376" w:lineRule="auto"/>
      <w:jc w:val="left"/>
      <w:outlineLvl w:val="4"/>
    </w:pPr>
    <w:rPr>
      <w:b/>
      <w:bCs/>
      <w:kern w:val="0"/>
      <w:sz w:val="28"/>
      <w:szCs w:val="28"/>
    </w:rPr>
  </w:style>
  <w:style w:type="paragraph" w:styleId="7">
    <w:name w:val="heading 6"/>
    <w:basedOn w:val="1"/>
    <w:next w:val="1"/>
    <w:link w:val="191"/>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szCs w:val="24"/>
    </w:rPr>
  </w:style>
  <w:style w:type="paragraph" w:styleId="8">
    <w:name w:val="heading 7"/>
    <w:basedOn w:val="1"/>
    <w:next w:val="1"/>
    <w:link w:val="196"/>
    <w:qFormat/>
    <w:uiPriority w:val="0"/>
    <w:pPr>
      <w:keepNext/>
      <w:keepLines/>
      <w:widowControl/>
      <w:numPr>
        <w:ilvl w:val="6"/>
        <w:numId w:val="1"/>
      </w:numPr>
      <w:spacing w:before="240" w:after="64" w:line="320" w:lineRule="auto"/>
      <w:jc w:val="left"/>
      <w:outlineLvl w:val="6"/>
    </w:pPr>
    <w:rPr>
      <w:b/>
      <w:bCs/>
      <w:kern w:val="0"/>
      <w:sz w:val="24"/>
      <w:szCs w:val="24"/>
    </w:rPr>
  </w:style>
  <w:style w:type="paragraph" w:styleId="9">
    <w:name w:val="heading 8"/>
    <w:basedOn w:val="1"/>
    <w:next w:val="1"/>
    <w:link w:val="186"/>
    <w:qFormat/>
    <w:uiPriority w:val="0"/>
    <w:pPr>
      <w:keepNext/>
      <w:keepLines/>
      <w:widowControl/>
      <w:numPr>
        <w:ilvl w:val="7"/>
        <w:numId w:val="1"/>
      </w:numPr>
      <w:spacing w:before="240" w:after="64" w:line="320" w:lineRule="auto"/>
      <w:jc w:val="left"/>
      <w:outlineLvl w:val="7"/>
    </w:pPr>
    <w:rPr>
      <w:rFonts w:ascii="Arial" w:hAnsi="Arial" w:eastAsia="黑体"/>
      <w:kern w:val="0"/>
      <w:sz w:val="24"/>
      <w:szCs w:val="24"/>
    </w:rPr>
  </w:style>
  <w:style w:type="paragraph" w:styleId="10">
    <w:name w:val="heading 9"/>
    <w:basedOn w:val="1"/>
    <w:next w:val="1"/>
    <w:link w:val="201"/>
    <w:qFormat/>
    <w:uiPriority w:val="0"/>
    <w:pPr>
      <w:keepNext/>
      <w:keepLines/>
      <w:widowControl/>
      <w:numPr>
        <w:ilvl w:val="8"/>
        <w:numId w:val="1"/>
      </w:numPr>
      <w:spacing w:before="240" w:after="64" w:line="320" w:lineRule="auto"/>
      <w:jc w:val="left"/>
      <w:outlineLvl w:val="8"/>
    </w:pPr>
    <w:rPr>
      <w:rFonts w:ascii="Arial" w:hAnsi="Arial" w:eastAsia="黑体"/>
      <w:kern w:val="0"/>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numPr>
        <w:ilvl w:val="0"/>
        <w:numId w:val="2"/>
      </w:numPr>
      <w:ind w:left="0" w:firstLine="420"/>
    </w:pPr>
  </w:style>
  <w:style w:type="paragraph" w:styleId="13">
    <w:name w:val="caption"/>
    <w:basedOn w:val="1"/>
    <w:next w:val="1"/>
    <w:qFormat/>
    <w:uiPriority w:val="0"/>
    <w:pPr>
      <w:autoSpaceDE w:val="0"/>
      <w:autoSpaceDN w:val="0"/>
      <w:adjustRightInd w:val="0"/>
      <w:spacing w:before="152" w:after="160"/>
      <w:jc w:val="left"/>
      <w:textAlignment w:val="baseline"/>
    </w:pPr>
    <w:rPr>
      <w:rFonts w:ascii="Arial" w:hAnsi="Arial" w:eastAsia="黑体"/>
      <w:snapToGrid w:val="0"/>
      <w:kern w:val="0"/>
      <w:sz w:val="20"/>
    </w:rPr>
  </w:style>
  <w:style w:type="paragraph" w:styleId="14">
    <w:name w:val="List Bullet"/>
    <w:basedOn w:val="1"/>
    <w:qFormat/>
    <w:uiPriority w:val="0"/>
    <w:pPr>
      <w:tabs>
        <w:tab w:val="left" w:pos="720"/>
      </w:tabs>
      <w:ind w:left="720" w:hanging="720"/>
    </w:pPr>
    <w:rPr>
      <w:szCs w:val="24"/>
    </w:rPr>
  </w:style>
  <w:style w:type="paragraph" w:styleId="15">
    <w:name w:val="Document Map"/>
    <w:basedOn w:val="1"/>
    <w:semiHidden/>
    <w:qFormat/>
    <w:uiPriority w:val="0"/>
    <w:pPr>
      <w:shd w:val="clear" w:color="auto" w:fill="000080"/>
    </w:pPr>
    <w:rPr>
      <w:szCs w:val="24"/>
    </w:rPr>
  </w:style>
  <w:style w:type="paragraph" w:styleId="16">
    <w:name w:val="annotation text"/>
    <w:basedOn w:val="1"/>
    <w:link w:val="187"/>
    <w:qFormat/>
    <w:uiPriority w:val="0"/>
    <w:pPr>
      <w:jc w:val="left"/>
    </w:pPr>
    <w:rPr>
      <w:rFonts w:ascii="宋体" w:hAnsi="宋体"/>
      <w:color w:val="0000FF"/>
      <w:sz w:val="24"/>
      <w:szCs w:val="24"/>
    </w:rPr>
  </w:style>
  <w:style w:type="paragraph" w:styleId="17">
    <w:name w:val="Body Text 3"/>
    <w:basedOn w:val="1"/>
    <w:qFormat/>
    <w:uiPriority w:val="0"/>
    <w:pPr>
      <w:spacing w:line="360" w:lineRule="auto"/>
      <w:jc w:val="center"/>
    </w:pPr>
    <w:rPr>
      <w:b/>
      <w:spacing w:val="6"/>
      <w:sz w:val="72"/>
    </w:rPr>
  </w:style>
  <w:style w:type="paragraph" w:styleId="18">
    <w:name w:val="Body Text"/>
    <w:basedOn w:val="1"/>
    <w:next w:val="1"/>
    <w:link w:val="203"/>
    <w:qFormat/>
    <w:uiPriority w:val="0"/>
    <w:pPr>
      <w:spacing w:line="360" w:lineRule="auto"/>
    </w:pPr>
    <w:rPr>
      <w:sz w:val="32"/>
    </w:rPr>
  </w:style>
  <w:style w:type="paragraph" w:styleId="19">
    <w:name w:val="Body Text Indent"/>
    <w:basedOn w:val="1"/>
    <w:next w:val="20"/>
    <w:link w:val="198"/>
    <w:qFormat/>
    <w:uiPriority w:val="0"/>
    <w:pPr>
      <w:spacing w:line="400" w:lineRule="exact"/>
      <w:ind w:left="479" w:leftChars="228"/>
    </w:pPr>
    <w:rPr>
      <w:rFonts w:ascii="宋体" w:hAnsi="宋体"/>
      <w:sz w:val="24"/>
      <w:szCs w:val="24"/>
    </w:rPr>
  </w:style>
  <w:style w:type="paragraph" w:styleId="20">
    <w:name w:val="envelope return"/>
    <w:basedOn w:val="1"/>
    <w:qFormat/>
    <w:uiPriority w:val="99"/>
    <w:pPr>
      <w:snapToGrid w:val="0"/>
    </w:pPr>
    <w:rPr>
      <w:rFonts w:ascii="Arial" w:hAnsi="Arial" w:cs="Arial"/>
    </w:rPr>
  </w:style>
  <w:style w:type="paragraph" w:styleId="21">
    <w:name w:val="List 2"/>
    <w:qFormat/>
    <w:uiPriority w:val="0"/>
    <w:pPr>
      <w:widowControl w:val="0"/>
      <w:adjustRightInd w:val="0"/>
      <w:ind w:left="100" w:leftChars="200" w:hanging="200" w:hangingChars="200"/>
      <w:jc w:val="left"/>
      <w:textAlignment w:val="baseline"/>
    </w:pPr>
    <w:rPr>
      <w:rFonts w:ascii="MingLiU" w:hAnsi="Times New Roman" w:eastAsia="MingLiU" w:cs="Times New Roman"/>
      <w:kern w:val="0"/>
      <w:sz w:val="20"/>
      <w:szCs w:val="20"/>
      <w:lang w:val="en-US" w:eastAsia="zh-TW" w:bidi="ar-SA"/>
    </w:rPr>
  </w:style>
  <w:style w:type="paragraph" w:styleId="22">
    <w:name w:val="List Bullet 2"/>
    <w:basedOn w:val="14"/>
    <w:qFormat/>
    <w:uiPriority w:val="0"/>
    <w:pPr>
      <w:widowControl/>
      <w:tabs>
        <w:tab w:val="left" w:pos="420"/>
        <w:tab w:val="left" w:pos="1080"/>
        <w:tab w:val="clear" w:pos="720"/>
      </w:tabs>
      <w:spacing w:after="220" w:line="220" w:lineRule="atLeast"/>
      <w:ind w:left="2160" w:right="720" w:hanging="600"/>
      <w:jc w:val="left"/>
    </w:pPr>
    <w:rPr>
      <w:kern w:val="0"/>
      <w:szCs w:val="20"/>
    </w:rPr>
  </w:style>
  <w:style w:type="paragraph" w:styleId="23">
    <w:name w:val="toc 5"/>
    <w:basedOn w:val="1"/>
    <w:next w:val="1"/>
    <w:qFormat/>
    <w:uiPriority w:val="0"/>
    <w:pPr>
      <w:ind w:left="840"/>
      <w:jc w:val="left"/>
    </w:pPr>
    <w:rPr>
      <w:sz w:val="18"/>
      <w:szCs w:val="18"/>
    </w:rPr>
  </w:style>
  <w:style w:type="paragraph" w:styleId="24">
    <w:name w:val="toc 3"/>
    <w:basedOn w:val="1"/>
    <w:next w:val="1"/>
    <w:qFormat/>
    <w:uiPriority w:val="39"/>
    <w:pPr>
      <w:ind w:left="420"/>
      <w:jc w:val="left"/>
    </w:pPr>
    <w:rPr>
      <w:i/>
      <w:iCs/>
      <w:sz w:val="20"/>
    </w:rPr>
  </w:style>
  <w:style w:type="paragraph" w:styleId="25">
    <w:name w:val="Plain Text"/>
    <w:basedOn w:val="1"/>
    <w:next w:val="26"/>
    <w:link w:val="188"/>
    <w:qFormat/>
    <w:uiPriority w:val="0"/>
    <w:pPr>
      <w:widowControl/>
      <w:numPr>
        <w:ilvl w:val="0"/>
        <w:numId w:val="3"/>
      </w:numPr>
      <w:jc w:val="left"/>
    </w:pPr>
    <w:rPr>
      <w:rFonts w:ascii="宋体" w:hAnsi="Courier New"/>
      <w:kern w:val="0"/>
      <w:sz w:val="24"/>
    </w:rPr>
  </w:style>
  <w:style w:type="paragraph" w:customStyle="1" w:styleId="2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7">
    <w:name w:val="toc 8"/>
    <w:basedOn w:val="1"/>
    <w:next w:val="1"/>
    <w:qFormat/>
    <w:uiPriority w:val="0"/>
    <w:pPr>
      <w:ind w:left="1470"/>
      <w:jc w:val="left"/>
    </w:pPr>
    <w:rPr>
      <w:sz w:val="18"/>
      <w:szCs w:val="18"/>
    </w:rPr>
  </w:style>
  <w:style w:type="paragraph" w:styleId="28">
    <w:name w:val="Date"/>
    <w:basedOn w:val="1"/>
    <w:next w:val="1"/>
    <w:link w:val="197"/>
    <w:qFormat/>
    <w:uiPriority w:val="0"/>
    <w:rPr>
      <w:sz w:val="24"/>
    </w:rPr>
  </w:style>
  <w:style w:type="paragraph" w:styleId="29">
    <w:name w:val="Body Text Indent 2"/>
    <w:basedOn w:val="1"/>
    <w:qFormat/>
    <w:uiPriority w:val="0"/>
    <w:pPr>
      <w:spacing w:line="400" w:lineRule="exact"/>
      <w:ind w:left="600" w:hanging="600" w:hangingChars="250"/>
    </w:pPr>
    <w:rPr>
      <w:rFonts w:ascii="宋体" w:hAnsi="宋体"/>
      <w:sz w:val="24"/>
      <w:szCs w:val="24"/>
    </w:rPr>
  </w:style>
  <w:style w:type="paragraph" w:styleId="30">
    <w:name w:val="endnote text"/>
    <w:basedOn w:val="1"/>
    <w:link w:val="205"/>
    <w:qFormat/>
    <w:uiPriority w:val="0"/>
    <w:pPr>
      <w:snapToGrid w:val="0"/>
      <w:jc w:val="left"/>
    </w:pPr>
    <w:rPr>
      <w:szCs w:val="24"/>
    </w:rPr>
  </w:style>
  <w:style w:type="paragraph" w:styleId="31">
    <w:name w:val="Balloon Text"/>
    <w:basedOn w:val="1"/>
    <w:link w:val="195"/>
    <w:qFormat/>
    <w:uiPriority w:val="0"/>
    <w:rPr>
      <w:sz w:val="18"/>
      <w:szCs w:val="18"/>
    </w:rPr>
  </w:style>
  <w:style w:type="paragraph" w:styleId="32">
    <w:name w:val="footer"/>
    <w:basedOn w:val="1"/>
    <w:link w:val="215"/>
    <w:qFormat/>
    <w:uiPriority w:val="99"/>
    <w:pPr>
      <w:tabs>
        <w:tab w:val="center" w:pos="4153"/>
        <w:tab w:val="right" w:pos="8306"/>
      </w:tabs>
      <w:snapToGrid w:val="0"/>
      <w:jc w:val="left"/>
    </w:pPr>
    <w:rPr>
      <w:sz w:val="18"/>
    </w:rPr>
  </w:style>
  <w:style w:type="paragraph" w:styleId="33">
    <w:name w:val="header"/>
    <w:basedOn w:val="1"/>
    <w:link w:val="189"/>
    <w:qFormat/>
    <w:uiPriority w:val="0"/>
    <w:pPr>
      <w:pBdr>
        <w:bottom w:val="single" w:color="auto" w:sz="6" w:space="1"/>
      </w:pBdr>
      <w:tabs>
        <w:tab w:val="center" w:pos="4153"/>
        <w:tab w:val="right" w:pos="8306"/>
      </w:tabs>
      <w:snapToGrid w:val="0"/>
      <w:jc w:val="center"/>
    </w:pPr>
    <w:rPr>
      <w:sz w:val="18"/>
    </w:rPr>
  </w:style>
  <w:style w:type="paragraph" w:styleId="34">
    <w:name w:val="toc 1"/>
    <w:basedOn w:val="1"/>
    <w:next w:val="1"/>
    <w:qFormat/>
    <w:uiPriority w:val="39"/>
    <w:pPr>
      <w:tabs>
        <w:tab w:val="right" w:leader="dot" w:pos="9458"/>
      </w:tabs>
      <w:spacing w:after="120" w:line="320" w:lineRule="exact"/>
      <w:jc w:val="left"/>
    </w:pPr>
    <w:rPr>
      <w:bCs/>
      <w:caps/>
      <w:szCs w:val="21"/>
    </w:rPr>
  </w:style>
  <w:style w:type="paragraph" w:styleId="35">
    <w:name w:val="toc 4"/>
    <w:basedOn w:val="1"/>
    <w:next w:val="1"/>
    <w:qFormat/>
    <w:uiPriority w:val="0"/>
    <w:pPr>
      <w:ind w:left="630"/>
      <w:jc w:val="left"/>
    </w:pPr>
    <w:rPr>
      <w:sz w:val="18"/>
      <w:szCs w:val="18"/>
    </w:rPr>
  </w:style>
  <w:style w:type="paragraph" w:styleId="36">
    <w:name w:val="footnote text"/>
    <w:basedOn w:val="1"/>
    <w:link w:val="192"/>
    <w:qFormat/>
    <w:uiPriority w:val="0"/>
    <w:pPr>
      <w:snapToGrid w:val="0"/>
      <w:jc w:val="left"/>
    </w:pPr>
    <w:rPr>
      <w:sz w:val="18"/>
      <w:szCs w:val="18"/>
    </w:rPr>
  </w:style>
  <w:style w:type="paragraph" w:styleId="37">
    <w:name w:val="toc 6"/>
    <w:basedOn w:val="1"/>
    <w:next w:val="1"/>
    <w:qFormat/>
    <w:uiPriority w:val="0"/>
    <w:pPr>
      <w:ind w:left="1050"/>
      <w:jc w:val="left"/>
    </w:pPr>
    <w:rPr>
      <w:sz w:val="18"/>
      <w:szCs w:val="18"/>
    </w:rPr>
  </w:style>
  <w:style w:type="paragraph" w:styleId="38">
    <w:name w:val="Body Text Indent 3"/>
    <w:basedOn w:val="1"/>
    <w:link w:val="207"/>
    <w:qFormat/>
    <w:uiPriority w:val="0"/>
    <w:pPr>
      <w:spacing w:line="400" w:lineRule="exact"/>
      <w:ind w:left="254" w:leftChars="121" w:firstLine="240" w:firstLineChars="100"/>
    </w:pPr>
    <w:rPr>
      <w:rFonts w:ascii="宋体" w:hAnsi="宋体"/>
      <w:sz w:val="24"/>
    </w:rPr>
  </w:style>
  <w:style w:type="paragraph" w:styleId="39">
    <w:name w:val="toc 2"/>
    <w:basedOn w:val="1"/>
    <w:next w:val="1"/>
    <w:qFormat/>
    <w:uiPriority w:val="39"/>
    <w:pPr>
      <w:tabs>
        <w:tab w:val="right" w:leader="dot" w:pos="9458"/>
      </w:tabs>
      <w:spacing w:line="360" w:lineRule="auto"/>
      <w:ind w:left="210"/>
      <w:jc w:val="left"/>
    </w:pPr>
    <w:rPr>
      <w:smallCaps/>
      <w:sz w:val="20"/>
    </w:rPr>
  </w:style>
  <w:style w:type="paragraph" w:styleId="40">
    <w:name w:val="toc 9"/>
    <w:basedOn w:val="1"/>
    <w:next w:val="1"/>
    <w:qFormat/>
    <w:uiPriority w:val="0"/>
    <w:pPr>
      <w:ind w:left="1680"/>
      <w:jc w:val="left"/>
    </w:pPr>
    <w:rPr>
      <w:sz w:val="18"/>
      <w:szCs w:val="18"/>
    </w:rPr>
  </w:style>
  <w:style w:type="paragraph" w:styleId="41">
    <w:name w:val="Body Text 2"/>
    <w:basedOn w:val="1"/>
    <w:qFormat/>
    <w:uiPriority w:val="0"/>
    <w:pPr>
      <w:spacing w:line="400" w:lineRule="exact"/>
    </w:pPr>
    <w:rPr>
      <w:rFonts w:ascii="宋体" w:hAnsi="宋体"/>
      <w:sz w:val="24"/>
    </w:rPr>
  </w:style>
  <w:style w:type="paragraph" w:styleId="4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color w:val="000000"/>
      <w:kern w:val="0"/>
      <w:sz w:val="20"/>
    </w:rPr>
  </w:style>
  <w:style w:type="paragraph" w:styleId="43">
    <w:name w:val="Normal (Web)"/>
    <w:basedOn w:val="1"/>
    <w:qFormat/>
    <w:uiPriority w:val="0"/>
    <w:pPr>
      <w:widowControl/>
      <w:spacing w:before="100" w:beforeAutospacing="1" w:after="100" w:afterAutospacing="1"/>
      <w:jc w:val="left"/>
    </w:pPr>
    <w:rPr>
      <w:rFonts w:ascii="宋体" w:hAnsi="宋体"/>
      <w:kern w:val="0"/>
      <w:sz w:val="30"/>
      <w:szCs w:val="24"/>
    </w:rPr>
  </w:style>
  <w:style w:type="paragraph" w:styleId="44">
    <w:name w:val="index 1"/>
    <w:basedOn w:val="1"/>
    <w:next w:val="1"/>
    <w:semiHidden/>
    <w:qFormat/>
    <w:uiPriority w:val="0"/>
    <w:pPr>
      <w:tabs>
        <w:tab w:val="left" w:pos="660"/>
      </w:tabs>
    </w:pPr>
    <w:rPr>
      <w:szCs w:val="24"/>
    </w:rPr>
  </w:style>
  <w:style w:type="paragraph" w:styleId="45">
    <w:name w:val="Title"/>
    <w:basedOn w:val="1"/>
    <w:next w:val="1"/>
    <w:link w:val="194"/>
    <w:qFormat/>
    <w:uiPriority w:val="0"/>
    <w:pPr>
      <w:spacing w:before="240" w:after="60"/>
      <w:jc w:val="center"/>
      <w:outlineLvl w:val="0"/>
    </w:pPr>
    <w:rPr>
      <w:rFonts w:ascii="Cambria" w:hAnsi="Cambria" w:eastAsia="楷体"/>
      <w:b/>
      <w:bCs/>
      <w:sz w:val="84"/>
      <w:szCs w:val="32"/>
    </w:rPr>
  </w:style>
  <w:style w:type="paragraph" w:styleId="46">
    <w:name w:val="annotation subject"/>
    <w:basedOn w:val="16"/>
    <w:next w:val="16"/>
    <w:link w:val="206"/>
    <w:qFormat/>
    <w:uiPriority w:val="0"/>
    <w:rPr>
      <w:b/>
      <w:bCs/>
      <w:sz w:val="21"/>
    </w:rPr>
  </w:style>
  <w:style w:type="paragraph" w:styleId="47">
    <w:name w:val="Body Text First Indent"/>
    <w:basedOn w:val="18"/>
    <w:next w:val="48"/>
    <w:qFormat/>
    <w:uiPriority w:val="0"/>
    <w:pPr>
      <w:spacing w:after="120" w:line="240" w:lineRule="auto"/>
      <w:ind w:firstLine="420" w:firstLineChars="100"/>
    </w:pPr>
    <w:rPr>
      <w:sz w:val="21"/>
      <w:szCs w:val="24"/>
    </w:rPr>
  </w:style>
  <w:style w:type="paragraph" w:styleId="48">
    <w:name w:val="Body Text First Indent 2"/>
    <w:basedOn w:val="19"/>
    <w:qFormat/>
    <w:uiPriority w:val="0"/>
    <w:pPr>
      <w:spacing w:after="120" w:line="240" w:lineRule="auto"/>
      <w:ind w:left="420" w:leftChars="200" w:firstLine="210" w:firstLineChars="200"/>
    </w:pPr>
    <w:rPr>
      <w:rFonts w:ascii="Times New Roman" w:hAnsi="Times New Roman"/>
      <w:snapToGrid w:val="0"/>
      <w:kern w:val="0"/>
      <w:sz w:val="28"/>
      <w:szCs w:val="20"/>
    </w:r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Strong"/>
    <w:qFormat/>
    <w:uiPriority w:val="0"/>
    <w:rPr>
      <w:b/>
      <w:bCs/>
    </w:rPr>
  </w:style>
  <w:style w:type="character" w:styleId="53">
    <w:name w:val="endnote reference"/>
    <w:qFormat/>
    <w:uiPriority w:val="0"/>
    <w:rPr>
      <w:vertAlign w:val="superscript"/>
    </w:rPr>
  </w:style>
  <w:style w:type="character" w:styleId="54">
    <w:name w:val="page number"/>
    <w:basedOn w:val="51"/>
    <w:qFormat/>
    <w:uiPriority w:val="0"/>
  </w:style>
  <w:style w:type="character" w:styleId="55">
    <w:name w:val="FollowedHyperlink"/>
    <w:qFormat/>
    <w:uiPriority w:val="0"/>
    <w:rPr>
      <w:color w:val="800080"/>
      <w:u w:val="single"/>
    </w:rPr>
  </w:style>
  <w:style w:type="character" w:styleId="56">
    <w:name w:val="Hyperlink"/>
    <w:qFormat/>
    <w:uiPriority w:val="99"/>
    <w:rPr>
      <w:color w:val="0000FF"/>
      <w:u w:val="single"/>
    </w:rPr>
  </w:style>
  <w:style w:type="character" w:styleId="57">
    <w:name w:val="annotation reference"/>
    <w:semiHidden/>
    <w:qFormat/>
    <w:uiPriority w:val="0"/>
    <w:rPr>
      <w:sz w:val="21"/>
      <w:szCs w:val="21"/>
    </w:rPr>
  </w:style>
  <w:style w:type="character" w:styleId="58">
    <w:name w:val="footnote reference"/>
    <w:qFormat/>
    <w:uiPriority w:val="0"/>
    <w:rPr>
      <w:vertAlign w:val="superscript"/>
    </w:rPr>
  </w:style>
  <w:style w:type="paragraph" w:customStyle="1" w:styleId="59">
    <w:name w:val="xl56"/>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60">
    <w:name w:val="xl42"/>
    <w:basedOn w:val="1"/>
    <w:qFormat/>
    <w:uiPriority w:val="0"/>
    <w:pPr>
      <w:widowControl/>
      <w:pBdr>
        <w:top w:val="single" w:color="auto" w:sz="4" w:space="0"/>
        <w:left w:val="single" w:color="auto" w:sz="4" w:space="0"/>
      </w:pBdr>
      <w:spacing w:before="100" w:beforeAutospacing="1" w:after="100" w:afterAutospacing="1"/>
      <w:jc w:val="left"/>
    </w:pPr>
    <w:rPr>
      <w:rFonts w:hint="eastAsia" w:ascii="宋体" w:hAnsi="宋体"/>
      <w:kern w:val="0"/>
      <w:sz w:val="20"/>
    </w:rPr>
  </w:style>
  <w:style w:type="paragraph" w:customStyle="1" w:styleId="61">
    <w:name w:val="1"/>
    <w:basedOn w:val="1"/>
    <w:qFormat/>
    <w:uiPriority w:val="0"/>
    <w:pPr>
      <w:autoSpaceDE w:val="0"/>
      <w:autoSpaceDN w:val="0"/>
      <w:adjustRightInd w:val="0"/>
      <w:spacing w:line="360" w:lineRule="auto"/>
      <w:ind w:firstLine="602" w:firstLineChars="200"/>
      <w:jc w:val="center"/>
    </w:pPr>
    <w:rPr>
      <w:rFonts w:ascii="宋体" w:cs="宋体"/>
      <w:b/>
      <w:bCs/>
      <w:color w:val="000000"/>
      <w:sz w:val="30"/>
      <w:szCs w:val="30"/>
      <w:lang w:val="zh-CN"/>
    </w:rPr>
  </w:style>
  <w:style w:type="paragraph" w:customStyle="1" w:styleId="62">
    <w:name w:val="Char Char Char Char Char Char1 Char Char Char Char"/>
    <w:basedOn w:val="1"/>
    <w:qFormat/>
    <w:uiPriority w:val="0"/>
    <w:rPr>
      <w:rFonts w:ascii="仿宋_GB2312" w:eastAsia="仿宋_GB2312"/>
      <w:b/>
      <w:sz w:val="32"/>
      <w:szCs w:val="32"/>
    </w:rPr>
  </w:style>
  <w:style w:type="paragraph" w:customStyle="1" w:styleId="63">
    <w:name w:val="Char11"/>
    <w:basedOn w:val="1"/>
    <w:qFormat/>
    <w:uiPriority w:val="0"/>
    <w:rPr>
      <w:rFonts w:ascii="Tahoma" w:hAnsi="Tahoma"/>
      <w:sz w:val="24"/>
    </w:rPr>
  </w:style>
  <w:style w:type="paragraph" w:customStyle="1" w:styleId="64">
    <w:name w:val="8"/>
    <w:basedOn w:val="1"/>
    <w:qFormat/>
    <w:uiPriority w:val="0"/>
    <w:pPr>
      <w:numPr>
        <w:ilvl w:val="0"/>
        <w:numId w:val="4"/>
      </w:numPr>
    </w:pPr>
    <w:rPr>
      <w:szCs w:val="24"/>
    </w:rPr>
  </w:style>
  <w:style w:type="paragraph" w:customStyle="1" w:styleId="6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8"/>
      <w:szCs w:val="28"/>
    </w:rPr>
  </w:style>
  <w:style w:type="paragraph" w:customStyle="1" w:styleId="66">
    <w:name w:val="正文带编号1)"/>
    <w:basedOn w:val="67"/>
    <w:qFormat/>
    <w:uiPriority w:val="0"/>
    <w:pPr>
      <w:numPr>
        <w:numId w:val="0"/>
      </w:numPr>
      <w:tabs>
        <w:tab w:val="left" w:pos="720"/>
        <w:tab w:val="left" w:pos="1403"/>
      </w:tabs>
      <w:autoSpaceDE/>
      <w:autoSpaceDN/>
      <w:snapToGrid w:val="0"/>
      <w:spacing w:line="360" w:lineRule="auto"/>
      <w:ind w:left="916" w:leftChars="200" w:hanging="720"/>
      <w:textAlignment w:val="auto"/>
    </w:pPr>
    <w:rPr>
      <w:rFonts w:ascii="Times New Roman"/>
      <w:bCs/>
      <w:spacing w:val="4"/>
      <w:sz w:val="24"/>
    </w:rPr>
  </w:style>
  <w:style w:type="paragraph" w:customStyle="1" w:styleId="67">
    <w:name w:val="正文带项目符号圆点"/>
    <w:basedOn w:val="1"/>
    <w:qFormat/>
    <w:uiPriority w:val="0"/>
    <w:pPr>
      <w:numPr>
        <w:ilvl w:val="1"/>
        <w:numId w:val="5"/>
      </w:numPr>
      <w:autoSpaceDE w:val="0"/>
      <w:autoSpaceDN w:val="0"/>
      <w:adjustRightInd w:val="0"/>
      <w:jc w:val="left"/>
      <w:textAlignment w:val="baseline"/>
    </w:pPr>
    <w:rPr>
      <w:rFonts w:ascii="宋体"/>
      <w:snapToGrid w:val="0"/>
      <w:kern w:val="0"/>
      <w:sz w:val="34"/>
    </w:rPr>
  </w:style>
  <w:style w:type="paragraph" w:customStyle="1" w:styleId="68">
    <w:name w:val="xl67"/>
    <w:basedOn w:val="1"/>
    <w:qFormat/>
    <w:uiPriority w:val="0"/>
    <w:pPr>
      <w:widowControl/>
      <w:pBdr>
        <w:bottom w:val="single" w:color="auto" w:sz="4" w:space="0"/>
      </w:pBdr>
      <w:shd w:val="clear" w:color="auto" w:fill="FFFFFF"/>
      <w:spacing w:before="100" w:beforeAutospacing="1" w:after="100" w:afterAutospacing="1"/>
      <w:jc w:val="left"/>
    </w:pPr>
    <w:rPr>
      <w:rFonts w:hint="eastAsia" w:ascii="宋体" w:hAnsi="宋体"/>
      <w:kern w:val="0"/>
      <w:sz w:val="24"/>
      <w:szCs w:val="24"/>
    </w:rPr>
  </w:style>
  <w:style w:type="paragraph" w:customStyle="1" w:styleId="69">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70">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4"/>
      <w:szCs w:val="24"/>
    </w:rPr>
  </w:style>
  <w:style w:type="paragraph" w:customStyle="1" w:styleId="71">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7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73">
    <w:name w:val="9"/>
    <w:basedOn w:val="1"/>
    <w:qFormat/>
    <w:uiPriority w:val="0"/>
    <w:pPr>
      <w:spacing w:line="360" w:lineRule="auto"/>
      <w:jc w:val="center"/>
    </w:pPr>
    <w:rPr>
      <w:b/>
      <w:color w:val="000000"/>
      <w:sz w:val="30"/>
      <w:szCs w:val="30"/>
    </w:rPr>
  </w:style>
  <w:style w:type="paragraph" w:customStyle="1" w:styleId="74">
    <w:name w:val="xl78"/>
    <w:basedOn w:val="1"/>
    <w:qFormat/>
    <w:uiPriority w:val="0"/>
    <w:pPr>
      <w:widowControl/>
      <w:pBdr>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75">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76">
    <w:name w:val="样式 标题 1 + 首行缩进:  2 字符"/>
    <w:basedOn w:val="2"/>
    <w:qFormat/>
    <w:uiPriority w:val="0"/>
    <w:pPr>
      <w:widowControl w:val="0"/>
      <w:numPr>
        <w:numId w:val="0"/>
      </w:numPr>
      <w:spacing w:before="200" w:after="200" w:line="360" w:lineRule="auto"/>
      <w:ind w:firstLine="200" w:firstLineChars="200"/>
      <w:jc w:val="both"/>
    </w:pPr>
    <w:rPr>
      <w:rFonts w:ascii="Times New Roman" w:cs="宋体"/>
      <w:b/>
      <w:snapToGrid/>
      <w:kern w:val="44"/>
      <w:sz w:val="32"/>
      <w:szCs w:val="20"/>
    </w:rPr>
  </w:style>
  <w:style w:type="paragraph" w:customStyle="1" w:styleId="77">
    <w:name w:val="2"/>
    <w:basedOn w:val="1"/>
    <w:qFormat/>
    <w:uiPriority w:val="0"/>
    <w:pPr>
      <w:numPr>
        <w:ilvl w:val="0"/>
        <w:numId w:val="6"/>
      </w:numPr>
      <w:tabs>
        <w:tab w:val="left" w:pos="855"/>
        <w:tab w:val="clear" w:pos="780"/>
      </w:tabs>
      <w:autoSpaceDE w:val="0"/>
      <w:autoSpaceDN w:val="0"/>
      <w:adjustRightInd w:val="0"/>
      <w:spacing w:line="360" w:lineRule="auto"/>
    </w:pPr>
    <w:rPr>
      <w:rFonts w:ascii="宋体" w:cs="宋体"/>
      <w:b/>
      <w:bCs/>
      <w:color w:val="000000"/>
      <w:sz w:val="28"/>
      <w:szCs w:val="28"/>
      <w:lang w:val="zh-CN"/>
    </w:rPr>
  </w:style>
  <w:style w:type="paragraph" w:customStyle="1" w:styleId="7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79">
    <w:name w:val="F05"/>
    <w:basedOn w:val="1"/>
    <w:qFormat/>
    <w:uiPriority w:val="0"/>
    <w:pPr>
      <w:adjustRightInd w:val="0"/>
      <w:snapToGrid w:val="0"/>
      <w:spacing w:line="360" w:lineRule="auto"/>
      <w:ind w:firstLine="601" w:firstLineChars="250"/>
      <w:jc w:val="left"/>
      <w:outlineLvl w:val="0"/>
    </w:pPr>
    <w:rPr>
      <w:rFonts w:ascii="宋体" w:hAnsi="宋体"/>
      <w:b/>
      <w:snapToGrid w:val="0"/>
      <w:color w:val="FF0000"/>
      <w:kern w:val="24"/>
      <w:sz w:val="24"/>
    </w:rPr>
  </w:style>
  <w:style w:type="paragraph" w:customStyle="1" w:styleId="80">
    <w:name w:val="普通 (Web)"/>
    <w:basedOn w:val="1"/>
    <w:link w:val="212"/>
    <w:qFormat/>
    <w:uiPriority w:val="0"/>
    <w:pPr>
      <w:widowControl/>
      <w:spacing w:before="100" w:beforeAutospacing="1" w:after="100" w:afterAutospacing="1"/>
      <w:jc w:val="left"/>
    </w:pPr>
    <w:rPr>
      <w:rFonts w:ascii="宋体" w:hAnsi="宋体"/>
      <w:kern w:val="0"/>
      <w:sz w:val="24"/>
      <w:szCs w:val="24"/>
    </w:rPr>
  </w:style>
  <w:style w:type="paragraph" w:customStyle="1" w:styleId="81">
    <w:name w:val="首行缩进2字"/>
    <w:basedOn w:val="1"/>
    <w:qFormat/>
    <w:uiPriority w:val="0"/>
    <w:pPr>
      <w:adjustRightInd w:val="0"/>
      <w:snapToGrid w:val="0"/>
      <w:spacing w:line="334" w:lineRule="auto"/>
    </w:pPr>
    <w:rPr>
      <w:snapToGrid w:val="0"/>
      <w:spacing w:val="4"/>
      <w:kern w:val="0"/>
      <w:sz w:val="24"/>
    </w:rPr>
  </w:style>
  <w:style w:type="paragraph" w:customStyle="1" w:styleId="82">
    <w:name w:val="图表格式"/>
    <w:basedOn w:val="1"/>
    <w:qFormat/>
    <w:uiPriority w:val="0"/>
    <w:rPr>
      <w:snapToGrid w:val="0"/>
      <w:kern w:val="0"/>
      <w:sz w:val="24"/>
    </w:rPr>
  </w:style>
  <w:style w:type="paragraph" w:customStyle="1" w:styleId="83">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84">
    <w:name w:val="xl83"/>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85">
    <w:name w:val="xl61"/>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86">
    <w:name w:val="Char Char Char Char Char Char Char"/>
    <w:basedOn w:val="1"/>
    <w:qFormat/>
    <w:uiPriority w:val="0"/>
    <w:rPr>
      <w:rFonts w:ascii="Tahoma" w:hAnsi="Tahoma"/>
      <w:sz w:val="24"/>
    </w:rPr>
  </w:style>
  <w:style w:type="paragraph" w:customStyle="1" w:styleId="87">
    <w:name w:val="Char Char Char Char Char Char Char Char Char Char Char Char Char"/>
    <w:basedOn w:val="1"/>
    <w:qFormat/>
    <w:uiPriority w:val="0"/>
    <w:rPr>
      <w:rFonts w:ascii="仿宋_GB2312" w:eastAsia="仿宋_GB2312"/>
      <w:b/>
      <w:sz w:val="32"/>
      <w:szCs w:val="32"/>
    </w:rPr>
  </w:style>
  <w:style w:type="paragraph" w:customStyle="1" w:styleId="88">
    <w:name w:val="正文4"/>
    <w:basedOn w:val="1"/>
    <w:qFormat/>
    <w:uiPriority w:val="0"/>
    <w:pPr>
      <w:ind w:firstLine="630"/>
    </w:pPr>
    <w:rPr>
      <w:sz w:val="28"/>
    </w:rPr>
  </w:style>
  <w:style w:type="paragraph" w:customStyle="1" w:styleId="89">
    <w:name w:val="textstyle1"/>
    <w:basedOn w:val="1"/>
    <w:qFormat/>
    <w:uiPriority w:val="0"/>
    <w:pPr>
      <w:widowControl/>
      <w:numPr>
        <w:ilvl w:val="0"/>
        <w:numId w:val="7"/>
      </w:numPr>
      <w:overflowPunct w:val="0"/>
      <w:autoSpaceDE w:val="0"/>
      <w:autoSpaceDN w:val="0"/>
      <w:adjustRightInd w:val="0"/>
      <w:spacing w:after="120" w:line="360" w:lineRule="auto"/>
      <w:textAlignment w:val="baseline"/>
    </w:pPr>
    <w:rPr>
      <w:rFonts w:ascii="宋体"/>
      <w:snapToGrid w:val="0"/>
      <w:kern w:val="0"/>
      <w:sz w:val="28"/>
    </w:rPr>
  </w:style>
  <w:style w:type="paragraph" w:customStyle="1" w:styleId="90">
    <w:name w:val="表格1.5倍行距"/>
    <w:basedOn w:val="1"/>
    <w:next w:val="1"/>
    <w:qFormat/>
    <w:uiPriority w:val="0"/>
    <w:pPr>
      <w:adjustRightInd w:val="0"/>
      <w:snapToGrid w:val="0"/>
      <w:spacing w:line="360" w:lineRule="auto"/>
      <w:jc w:val="center"/>
    </w:pPr>
    <w:rPr>
      <w:snapToGrid w:val="0"/>
      <w:kern w:val="0"/>
      <w:sz w:val="24"/>
    </w:rPr>
  </w:style>
  <w:style w:type="paragraph" w:customStyle="1" w:styleId="91">
    <w:name w:val="xl53"/>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92">
    <w:name w:val="font7"/>
    <w:basedOn w:val="1"/>
    <w:qFormat/>
    <w:uiPriority w:val="0"/>
    <w:pPr>
      <w:widowControl/>
      <w:spacing w:before="100" w:beforeAutospacing="1" w:after="100" w:afterAutospacing="1"/>
      <w:jc w:val="left"/>
    </w:pPr>
    <w:rPr>
      <w:kern w:val="0"/>
      <w:sz w:val="20"/>
    </w:rPr>
  </w:style>
  <w:style w:type="paragraph" w:customStyle="1" w:styleId="9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94">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95">
    <w:name w:val="Char1"/>
    <w:basedOn w:val="1"/>
    <w:qFormat/>
    <w:uiPriority w:val="0"/>
    <w:pPr>
      <w:spacing w:beforeLines="100" w:line="500" w:lineRule="exact"/>
    </w:pPr>
    <w:rPr>
      <w:color w:val="000000"/>
      <w:sz w:val="24"/>
    </w:rPr>
  </w:style>
  <w:style w:type="paragraph" w:customStyle="1" w:styleId="96">
    <w:name w:val="font8"/>
    <w:basedOn w:val="1"/>
    <w:qFormat/>
    <w:uiPriority w:val="0"/>
    <w:pPr>
      <w:widowControl/>
      <w:spacing w:before="100" w:after="100" w:line="500" w:lineRule="atLeast"/>
      <w:ind w:firstLine="624"/>
      <w:jc w:val="left"/>
    </w:pPr>
    <w:rPr>
      <w:rFonts w:hint="eastAsia" w:ascii="宋体" w:hAnsi="宋体"/>
      <w:kern w:val="0"/>
      <w:sz w:val="28"/>
    </w:rPr>
  </w:style>
  <w:style w:type="paragraph" w:customStyle="1" w:styleId="97">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98">
    <w:name w:val="xl6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99">
    <w:name w:val="xl35"/>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10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0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02">
    <w:name w:val="head2"/>
    <w:basedOn w:val="103"/>
    <w:qFormat/>
    <w:uiPriority w:val="0"/>
    <w:pPr>
      <w:spacing w:before="240"/>
      <w:jc w:val="center"/>
    </w:pPr>
    <w:rPr>
      <w:b/>
      <w:sz w:val="28"/>
    </w:rPr>
  </w:style>
  <w:style w:type="paragraph" w:customStyle="1" w:styleId="103">
    <w:name w:val="head1"/>
    <w:basedOn w:val="1"/>
    <w:qFormat/>
    <w:uiPriority w:val="0"/>
    <w:pPr>
      <w:widowControl/>
      <w:overflowPunct w:val="0"/>
      <w:autoSpaceDE w:val="0"/>
      <w:autoSpaceDN w:val="0"/>
      <w:adjustRightInd w:val="0"/>
      <w:spacing w:before="120" w:line="360" w:lineRule="auto"/>
      <w:ind w:left="288" w:firstLine="454"/>
      <w:jc w:val="left"/>
      <w:textAlignment w:val="baseline"/>
    </w:pPr>
    <w:rPr>
      <w:rFonts w:ascii="黑体" w:eastAsia="黑体"/>
      <w:snapToGrid w:val="0"/>
      <w:kern w:val="0"/>
      <w:sz w:val="32"/>
    </w:rPr>
  </w:style>
  <w:style w:type="paragraph" w:customStyle="1" w:styleId="104">
    <w:name w:val="F00_02"/>
    <w:basedOn w:val="1"/>
    <w:qFormat/>
    <w:uiPriority w:val="0"/>
    <w:pPr>
      <w:adjustRightInd w:val="0"/>
      <w:snapToGrid w:val="0"/>
      <w:spacing w:before="156" w:after="163" w:line="360" w:lineRule="auto"/>
      <w:ind w:firstLine="250" w:firstLineChars="250"/>
      <w:jc w:val="left"/>
      <w:outlineLvl w:val="7"/>
    </w:pPr>
    <w:rPr>
      <w:rFonts w:ascii="宋体" w:hAnsi="宋体"/>
      <w:b/>
      <w:snapToGrid w:val="0"/>
      <w:color w:val="FF0000"/>
      <w:sz w:val="32"/>
    </w:rPr>
  </w:style>
  <w:style w:type="paragraph" w:customStyle="1" w:styleId="105">
    <w:name w:val="font9"/>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06">
    <w:name w:val="xl72"/>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107">
    <w:name w:val="xl80"/>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108">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109">
    <w:name w:val="表头"/>
    <w:basedOn w:val="1"/>
    <w:qFormat/>
    <w:uiPriority w:val="0"/>
    <w:pPr>
      <w:adjustRightInd w:val="0"/>
      <w:snapToGrid w:val="0"/>
      <w:jc w:val="center"/>
    </w:pPr>
    <w:rPr>
      <w:rFonts w:ascii="仿宋_GB2312" w:eastAsia="黑体"/>
      <w:sz w:val="28"/>
    </w:rPr>
  </w:style>
  <w:style w:type="paragraph" w:customStyle="1" w:styleId="110">
    <w:name w:val="xl59"/>
    <w:basedOn w:val="1"/>
    <w:qFormat/>
    <w:uiPriority w:val="0"/>
    <w:pPr>
      <w:widowControl/>
      <w:pBdr>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11">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12">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113">
    <w:name w:val="1."/>
    <w:basedOn w:val="1"/>
    <w:qFormat/>
    <w:uiPriority w:val="0"/>
    <w:pPr>
      <w:tabs>
        <w:tab w:val="left" w:pos="425"/>
      </w:tabs>
      <w:spacing w:line="360" w:lineRule="auto"/>
      <w:ind w:firstLine="482"/>
    </w:pPr>
    <w:rPr>
      <w:sz w:val="28"/>
    </w:rPr>
  </w:style>
  <w:style w:type="paragraph" w:customStyle="1" w:styleId="11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15">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16">
    <w:name w:val="xl5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17">
    <w:name w:val="xl75"/>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118">
    <w:name w:val="CM88"/>
    <w:basedOn w:val="26"/>
    <w:next w:val="26"/>
    <w:qFormat/>
    <w:uiPriority w:val="0"/>
    <w:rPr>
      <w:rFonts w:ascii="黑体" w:eastAsia="黑体"/>
      <w:color w:val="auto"/>
    </w:rPr>
  </w:style>
  <w:style w:type="paragraph" w:customStyle="1" w:styleId="119">
    <w:name w:val="xl63"/>
    <w:basedOn w:val="1"/>
    <w:qFormat/>
    <w:uiPriority w:val="0"/>
    <w:pPr>
      <w:widowControl/>
      <w:pBdr>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customStyle="1" w:styleId="120">
    <w:name w:val="xl64"/>
    <w:basedOn w:val="1"/>
    <w:qFormat/>
    <w:uiPriority w:val="0"/>
    <w:pPr>
      <w:widowControl/>
      <w:pBdr>
        <w:left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12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8"/>
      <w:szCs w:val="28"/>
    </w:rPr>
  </w:style>
  <w:style w:type="paragraph" w:customStyle="1" w:styleId="122">
    <w:name w:val="xl82"/>
    <w:basedOn w:val="1"/>
    <w:qFormat/>
    <w:uiPriority w:val="0"/>
    <w:pPr>
      <w:widowControl/>
      <w:spacing w:before="100" w:beforeAutospacing="1" w:after="100" w:afterAutospacing="1"/>
      <w:ind w:firstLine="100" w:firstLineChars="100"/>
      <w:jc w:val="left"/>
    </w:pPr>
    <w:rPr>
      <w:rFonts w:hint="eastAsia" w:ascii="宋体" w:hAnsi="宋体"/>
      <w:kern w:val="0"/>
      <w:sz w:val="24"/>
      <w:szCs w:val="24"/>
    </w:rPr>
  </w:style>
  <w:style w:type="paragraph" w:customStyle="1" w:styleId="12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24">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25">
    <w:name w:val="一、"/>
    <w:next w:val="47"/>
    <w:qFormat/>
    <w:uiPriority w:val="0"/>
    <w:pPr>
      <w:tabs>
        <w:tab w:val="left" w:pos="360"/>
      </w:tabs>
      <w:spacing w:before="240" w:after="240"/>
    </w:pPr>
    <w:rPr>
      <w:rFonts w:ascii="Times New Roman" w:hAnsi="Times New Roman" w:eastAsia="黑体" w:cs="Times New Roman"/>
      <w:sz w:val="28"/>
      <w:lang w:val="en-US" w:eastAsia="zh-CN" w:bidi="ar-SA"/>
    </w:rPr>
  </w:style>
  <w:style w:type="paragraph" w:customStyle="1" w:styleId="126">
    <w:name w:val="xl68"/>
    <w:basedOn w:val="1"/>
    <w:qFormat/>
    <w:uiPriority w:val="0"/>
    <w:pPr>
      <w:widowControl/>
      <w:pBdr>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customStyle="1" w:styleId="127">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28">
    <w:name w:val="正文首行缩进2字"/>
    <w:basedOn w:val="1"/>
    <w:qFormat/>
    <w:uiPriority w:val="0"/>
    <w:pPr>
      <w:adjustRightInd w:val="0"/>
      <w:snapToGrid w:val="0"/>
      <w:spacing w:line="334" w:lineRule="auto"/>
      <w:ind w:firstLine="496" w:firstLineChars="200"/>
      <w:jc w:val="left"/>
    </w:pPr>
    <w:rPr>
      <w:snapToGrid w:val="0"/>
      <w:spacing w:val="4"/>
      <w:kern w:val="0"/>
      <w:sz w:val="24"/>
    </w:rPr>
  </w:style>
  <w:style w:type="paragraph" w:styleId="129">
    <w:name w:val="List Paragraph"/>
    <w:basedOn w:val="1"/>
    <w:unhideWhenUsed/>
    <w:qFormat/>
    <w:uiPriority w:val="99"/>
    <w:pPr>
      <w:ind w:firstLine="420" w:firstLineChars="200"/>
    </w:pPr>
  </w:style>
  <w:style w:type="paragraph" w:customStyle="1" w:styleId="130">
    <w:name w:val="a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1">
    <w:name w:val="Char2"/>
    <w:basedOn w:val="1"/>
    <w:qFormat/>
    <w:uiPriority w:val="0"/>
    <w:pPr>
      <w:spacing w:beforeLines="100" w:line="500" w:lineRule="exact"/>
    </w:pPr>
    <w:rPr>
      <w:color w:val="000000"/>
      <w:sz w:val="24"/>
    </w:rPr>
  </w:style>
  <w:style w:type="paragraph" w:customStyle="1" w:styleId="132">
    <w:name w:val="样式 标题 2 + 首行缩进:  0.62 字符"/>
    <w:basedOn w:val="3"/>
    <w:qFormat/>
    <w:uiPriority w:val="0"/>
    <w:pPr>
      <w:keepNext/>
      <w:keepLines/>
      <w:numPr>
        <w:numId w:val="0"/>
      </w:numPr>
      <w:spacing w:after="260" w:line="416" w:lineRule="auto"/>
      <w:ind w:firstLine="199" w:firstLineChars="62"/>
      <w:jc w:val="both"/>
    </w:pPr>
    <w:rPr>
      <w:rFonts w:ascii="Arial" w:cs="宋体"/>
      <w:b/>
      <w:kern w:val="2"/>
      <w:sz w:val="32"/>
      <w:szCs w:val="20"/>
    </w:rPr>
  </w:style>
  <w:style w:type="paragraph" w:customStyle="1" w:styleId="133">
    <w:name w:val="表格"/>
    <w:qFormat/>
    <w:uiPriority w:val="0"/>
    <w:pPr>
      <w:spacing w:beforeLines="30" w:afterLines="20" w:line="240" w:lineRule="exact"/>
      <w:jc w:val="center"/>
    </w:pPr>
    <w:rPr>
      <w:rFonts w:ascii="宋体" w:hAnsi="宋体" w:eastAsia="宋体" w:cs="Times New Roman"/>
      <w:sz w:val="24"/>
      <w:lang w:val="en-US" w:eastAsia="zh-CN" w:bidi="ar-SA"/>
    </w:rPr>
  </w:style>
  <w:style w:type="paragraph" w:customStyle="1" w:styleId="134">
    <w:name w:val="Char"/>
    <w:basedOn w:val="1"/>
    <w:semiHidden/>
    <w:qFormat/>
    <w:uiPriority w:val="0"/>
    <w:rPr>
      <w:sz w:val="30"/>
      <w:szCs w:val="24"/>
    </w:rPr>
  </w:style>
  <w:style w:type="paragraph" w:customStyle="1" w:styleId="135">
    <w:name w:val="xl84"/>
    <w:basedOn w:val="1"/>
    <w:qFormat/>
    <w:uiPriority w:val="0"/>
    <w:pPr>
      <w:widowControl/>
      <w:pBdr>
        <w:right w:val="single" w:color="auto" w:sz="4" w:space="0"/>
      </w:pBdr>
      <w:spacing w:before="100" w:beforeAutospacing="1" w:after="100" w:afterAutospacing="1"/>
      <w:jc w:val="left"/>
    </w:pPr>
    <w:rPr>
      <w:rFonts w:ascii="宋体" w:hAnsi="宋体"/>
      <w:kern w:val="0"/>
      <w:sz w:val="24"/>
      <w:szCs w:val="24"/>
    </w:rPr>
  </w:style>
  <w:style w:type="paragraph" w:customStyle="1" w:styleId="136">
    <w:name w:val="xl86"/>
    <w:basedOn w:val="1"/>
    <w:qFormat/>
    <w:uiPriority w:val="0"/>
    <w:pPr>
      <w:widowControl/>
      <w:pBdr>
        <w:top w:val="single" w:color="auto" w:sz="4" w:space="0"/>
      </w:pBdr>
      <w:spacing w:before="100" w:beforeAutospacing="1" w:after="100" w:afterAutospacing="1"/>
      <w:jc w:val="left"/>
    </w:pPr>
    <w:rPr>
      <w:rFonts w:ascii="宋体" w:hAnsi="宋体"/>
      <w:kern w:val="0"/>
      <w:sz w:val="24"/>
      <w:szCs w:val="24"/>
    </w:rPr>
  </w:style>
  <w:style w:type="paragraph" w:customStyle="1" w:styleId="137">
    <w:name w:val="样式 首行缩进:  2 字符"/>
    <w:basedOn w:val="1"/>
    <w:qFormat/>
    <w:uiPriority w:val="0"/>
    <w:pPr>
      <w:spacing w:beforeLines="50" w:afterLines="50" w:line="360" w:lineRule="auto"/>
      <w:ind w:firstLine="640" w:firstLineChars="200"/>
    </w:pPr>
    <w:rPr>
      <w:rFonts w:cs="宋体"/>
      <w:sz w:val="32"/>
      <w:szCs w:val="32"/>
    </w:rPr>
  </w:style>
  <w:style w:type="paragraph" w:customStyle="1" w:styleId="138">
    <w:name w:val="样式3"/>
    <w:basedOn w:val="1"/>
    <w:link w:val="209"/>
    <w:qFormat/>
    <w:uiPriority w:val="0"/>
    <w:pPr>
      <w:jc w:val="center"/>
    </w:pPr>
    <w:rPr>
      <w:rFonts w:ascii="隶书" w:eastAsia="隶书"/>
      <w:b/>
      <w:i/>
      <w:spacing w:val="40"/>
      <w:sz w:val="84"/>
      <w:szCs w:val="84"/>
    </w:rPr>
  </w:style>
  <w:style w:type="paragraph" w:customStyle="1" w:styleId="13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40">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b/>
      <w:bCs/>
      <w:color w:val="000000"/>
      <w:kern w:val="0"/>
      <w:sz w:val="24"/>
      <w:szCs w:val="24"/>
    </w:rPr>
  </w:style>
  <w:style w:type="paragraph" w:customStyle="1" w:styleId="141">
    <w:name w:val="样式 标题 2 + 黑体"/>
    <w:basedOn w:val="3"/>
    <w:link w:val="214"/>
    <w:qFormat/>
    <w:uiPriority w:val="0"/>
    <w:pPr>
      <w:keepNext/>
      <w:keepLines/>
      <w:numPr>
        <w:numId w:val="0"/>
      </w:numPr>
      <w:spacing w:before="0" w:line="360" w:lineRule="auto"/>
      <w:ind w:firstLine="200" w:firstLineChars="200"/>
      <w:jc w:val="both"/>
    </w:pPr>
    <w:rPr>
      <w:rFonts w:ascii="黑体" w:hAnsi="黑体"/>
      <w:b/>
      <w:kern w:val="2"/>
      <w:sz w:val="32"/>
    </w:rPr>
  </w:style>
  <w:style w:type="paragraph" w:customStyle="1" w:styleId="142">
    <w:name w:val="正文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14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1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145">
    <w:name w:val="l_text"/>
    <w:basedOn w:val="1"/>
    <w:qFormat/>
    <w:uiPriority w:val="0"/>
    <w:pPr>
      <w:widowControl/>
      <w:overflowPunct w:val="0"/>
      <w:autoSpaceDE w:val="0"/>
      <w:autoSpaceDN w:val="0"/>
      <w:adjustRightInd w:val="0"/>
      <w:spacing w:line="360" w:lineRule="auto"/>
      <w:ind w:firstLine="454"/>
      <w:textAlignment w:val="baseline"/>
    </w:pPr>
    <w:rPr>
      <w:rFonts w:ascii="楷体" w:eastAsia="楷体"/>
      <w:snapToGrid w:val="0"/>
      <w:kern w:val="0"/>
      <w:sz w:val="28"/>
    </w:rPr>
  </w:style>
  <w:style w:type="paragraph" w:customStyle="1" w:styleId="146">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color w:val="FFFFFF"/>
      <w:kern w:val="0"/>
      <w:sz w:val="28"/>
      <w:szCs w:val="28"/>
    </w:rPr>
  </w:style>
  <w:style w:type="paragraph" w:customStyle="1" w:styleId="147">
    <w:name w:val="test"/>
    <w:basedOn w:val="1"/>
    <w:qFormat/>
    <w:uiPriority w:val="0"/>
    <w:pPr>
      <w:adjustRightInd w:val="0"/>
      <w:spacing w:before="60" w:after="60" w:line="500" w:lineRule="atLeast"/>
      <w:ind w:firstLine="624"/>
      <w:jc w:val="center"/>
      <w:textAlignment w:val="baseline"/>
    </w:pPr>
    <w:rPr>
      <w:rFonts w:ascii="楷体_GB2312" w:eastAsia="楷体_GB2312"/>
      <w:spacing w:val="-20"/>
      <w:kern w:val="0"/>
      <w:sz w:val="24"/>
    </w:rPr>
  </w:style>
  <w:style w:type="paragraph" w:customStyle="1" w:styleId="148">
    <w:name w:val="_Style 145"/>
    <w:basedOn w:val="2"/>
    <w:next w:val="1"/>
    <w:qFormat/>
    <w:uiPriority w:val="39"/>
    <w:pPr>
      <w:numPr>
        <w:numId w:val="0"/>
      </w:numPr>
      <w:spacing w:before="480" w:after="0" w:line="276" w:lineRule="auto"/>
      <w:outlineLvl w:val="9"/>
    </w:pPr>
    <w:rPr>
      <w:rFonts w:ascii="Cambria" w:hAnsi="Cambria"/>
      <w:b/>
      <w:snapToGrid/>
      <w:color w:val="365F91"/>
      <w:szCs w:val="28"/>
    </w:rPr>
  </w:style>
  <w:style w:type="paragraph" w:customStyle="1" w:styleId="149">
    <w:name w:val="表格文字"/>
    <w:basedOn w:val="1"/>
    <w:qFormat/>
    <w:uiPriority w:val="0"/>
    <w:pPr>
      <w:adjustRightInd w:val="0"/>
      <w:spacing w:line="420" w:lineRule="atLeast"/>
      <w:jc w:val="left"/>
      <w:textAlignment w:val="baseline"/>
    </w:pPr>
    <w:rPr>
      <w:kern w:val="0"/>
    </w:rPr>
  </w:style>
  <w:style w:type="paragraph" w:customStyle="1" w:styleId="150">
    <w:name w:val="xl66"/>
    <w:basedOn w:val="1"/>
    <w:qFormat/>
    <w:uiPriority w:val="0"/>
    <w:pPr>
      <w:widowControl/>
      <w:pBdr>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151">
    <w:name w:val="Char Char Char Char"/>
    <w:basedOn w:val="1"/>
    <w:qFormat/>
    <w:uiPriority w:val="0"/>
    <w:pPr>
      <w:widowControl/>
      <w:spacing w:after="160" w:line="240" w:lineRule="exact"/>
      <w:jc w:val="left"/>
    </w:pPr>
  </w:style>
  <w:style w:type="paragraph" w:customStyle="1" w:styleId="152">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53">
    <w:name w:val="dian"/>
    <w:basedOn w:val="1"/>
    <w:qFormat/>
    <w:uiPriority w:val="0"/>
    <w:pPr>
      <w:widowControl/>
      <w:numPr>
        <w:ilvl w:val="0"/>
        <w:numId w:val="8"/>
      </w:numPr>
      <w:tabs>
        <w:tab w:val="left" w:pos="900"/>
        <w:tab w:val="clear" w:pos="0"/>
      </w:tabs>
      <w:overflowPunct w:val="0"/>
      <w:autoSpaceDE w:val="0"/>
      <w:autoSpaceDN w:val="0"/>
      <w:adjustRightInd w:val="0"/>
      <w:spacing w:line="360" w:lineRule="auto"/>
      <w:ind w:left="908" w:hanging="454"/>
      <w:textAlignment w:val="baseline"/>
    </w:pPr>
    <w:rPr>
      <w:rFonts w:ascii="宋体"/>
      <w:snapToGrid w:val="0"/>
      <w:kern w:val="0"/>
      <w:sz w:val="24"/>
    </w:rPr>
  </w:style>
  <w:style w:type="paragraph" w:customStyle="1" w:styleId="154">
    <w:name w:val="样式 标题 3 + (中文) 黑体 小四 非加粗 段前: 7.8 磅 段后: 0 磅 行距: 固定值 20 磅"/>
    <w:basedOn w:val="4"/>
    <w:qFormat/>
    <w:uiPriority w:val="0"/>
    <w:pPr>
      <w:widowControl w:val="0"/>
      <w:numPr>
        <w:numId w:val="0"/>
      </w:numPr>
      <w:spacing w:before="0" w:after="0" w:line="400" w:lineRule="exact"/>
      <w:jc w:val="both"/>
    </w:pPr>
    <w:rPr>
      <w:rFonts w:eastAsia="黑体" w:cs="宋体"/>
      <w:b w:val="0"/>
      <w:bCs w:val="0"/>
      <w:kern w:val="2"/>
      <w:sz w:val="24"/>
      <w:szCs w:val="20"/>
    </w:rPr>
  </w:style>
  <w:style w:type="paragraph" w:customStyle="1" w:styleId="155">
    <w:name w:val="Char1 Char Char Char"/>
    <w:basedOn w:val="1"/>
    <w:qFormat/>
    <w:uiPriority w:val="0"/>
    <w:pPr>
      <w:spacing w:line="360" w:lineRule="auto"/>
      <w:jc w:val="left"/>
    </w:pPr>
    <w:rPr>
      <w:rFonts w:eastAsia="仿宋_GB2312"/>
      <w:b/>
      <w:sz w:val="32"/>
      <w:szCs w:val="24"/>
    </w:rPr>
  </w:style>
  <w:style w:type="paragraph" w:customStyle="1" w:styleId="15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5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5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customStyle="1" w:styleId="159">
    <w:name w:val="head6"/>
    <w:basedOn w:val="1"/>
    <w:qFormat/>
    <w:uiPriority w:val="0"/>
    <w:pPr>
      <w:widowControl/>
      <w:overflowPunct w:val="0"/>
      <w:autoSpaceDE w:val="0"/>
      <w:autoSpaceDN w:val="0"/>
      <w:adjustRightInd w:val="0"/>
      <w:spacing w:before="120" w:line="360" w:lineRule="auto"/>
      <w:ind w:left="1296" w:hanging="288"/>
      <w:textAlignment w:val="baseline"/>
    </w:pPr>
    <w:rPr>
      <w:rFonts w:ascii="楷体" w:eastAsia="楷体"/>
      <w:kern w:val="0"/>
      <w:sz w:val="24"/>
    </w:rPr>
  </w:style>
  <w:style w:type="paragraph" w:customStyle="1" w:styleId="160">
    <w:name w:val="font11"/>
    <w:basedOn w:val="1"/>
    <w:qFormat/>
    <w:uiPriority w:val="0"/>
    <w:pPr>
      <w:widowControl/>
      <w:spacing w:before="100" w:beforeAutospacing="1" w:after="100" w:afterAutospacing="1"/>
      <w:jc w:val="left"/>
    </w:pPr>
    <w:rPr>
      <w:kern w:val="0"/>
      <w:sz w:val="24"/>
      <w:szCs w:val="24"/>
    </w:rPr>
  </w:style>
  <w:style w:type="paragraph" w:customStyle="1" w:styleId="161">
    <w:name w:val="样式1"/>
    <w:basedOn w:val="1"/>
    <w:qFormat/>
    <w:uiPriority w:val="0"/>
    <w:pPr>
      <w:spacing w:line="360" w:lineRule="auto"/>
      <w:jc w:val="center"/>
    </w:pPr>
    <w:rPr>
      <w:b/>
      <w:spacing w:val="6"/>
      <w:sz w:val="36"/>
    </w:rPr>
  </w:style>
  <w:style w:type="paragraph" w:customStyle="1" w:styleId="162">
    <w:name w:val="xl85"/>
    <w:basedOn w:val="1"/>
    <w:qFormat/>
    <w:uiPriority w:val="0"/>
    <w:pPr>
      <w:widowControl/>
      <w:pBdr>
        <w:top w:val="single" w:color="auto" w:sz="4" w:space="0"/>
      </w:pBdr>
      <w:spacing w:before="100" w:beforeAutospacing="1" w:after="100" w:afterAutospacing="1"/>
      <w:jc w:val="left"/>
    </w:pPr>
    <w:rPr>
      <w:rFonts w:hint="eastAsia" w:ascii="宋体" w:hAnsi="宋体"/>
      <w:b/>
      <w:bCs/>
      <w:kern w:val="0"/>
      <w:sz w:val="24"/>
      <w:szCs w:val="24"/>
    </w:rPr>
  </w:style>
  <w:style w:type="paragraph" w:customStyle="1" w:styleId="163">
    <w:name w:val="样式 标题 2 + Times New Roman 四号 非加粗 段前: 5 磅 段后: 0 磅 行距: 固定值 20..."/>
    <w:basedOn w:val="3"/>
    <w:qFormat/>
    <w:uiPriority w:val="0"/>
    <w:pPr>
      <w:keepNext/>
      <w:keepLines/>
      <w:numPr>
        <w:numId w:val="0"/>
      </w:numPr>
      <w:spacing w:before="100" w:line="400" w:lineRule="exact"/>
      <w:jc w:val="both"/>
    </w:pPr>
    <w:rPr>
      <w:rFonts w:ascii="Times New Roman" w:hAnsi="Times New Roman" w:eastAsia="黑体" w:cs="宋体"/>
      <w:bCs w:val="0"/>
      <w:kern w:val="2"/>
      <w:szCs w:val="20"/>
    </w:rPr>
  </w:style>
  <w:style w:type="paragraph" w:customStyle="1" w:styleId="164">
    <w:name w:val="表格（左对齐）"/>
    <w:basedOn w:val="1"/>
    <w:qFormat/>
    <w:uiPriority w:val="0"/>
    <w:pPr>
      <w:widowControl/>
      <w:jc w:val="left"/>
    </w:pPr>
    <w:rPr>
      <w:rFonts w:ascii="宋体" w:hAnsi="宋体" w:cs="Arial"/>
      <w:kern w:val="0"/>
      <w:szCs w:val="21"/>
    </w:rPr>
  </w:style>
  <w:style w:type="paragraph" w:customStyle="1" w:styleId="165">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b/>
      <w:bCs/>
      <w:kern w:val="0"/>
      <w:sz w:val="24"/>
      <w:szCs w:val="24"/>
    </w:rPr>
  </w:style>
  <w:style w:type="paragraph" w:customStyle="1" w:styleId="166">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167">
    <w:name w:val="3 Char Char Char Char Char Char Char"/>
    <w:basedOn w:val="1"/>
    <w:qFormat/>
    <w:uiPriority w:val="0"/>
    <w:pPr>
      <w:adjustRightInd w:val="0"/>
      <w:snapToGrid w:val="0"/>
      <w:spacing w:line="400" w:lineRule="exact"/>
      <w:ind w:firstLine="200" w:firstLineChars="200"/>
    </w:pPr>
    <w:rPr>
      <w:sz w:val="24"/>
    </w:rPr>
  </w:style>
  <w:style w:type="paragraph" w:customStyle="1" w:styleId="16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69">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70">
    <w:name w:val="样式2"/>
    <w:basedOn w:val="1"/>
    <w:qFormat/>
    <w:uiPriority w:val="0"/>
    <w:pPr>
      <w:tabs>
        <w:tab w:val="left" w:pos="360"/>
      </w:tabs>
    </w:pPr>
    <w:rPr>
      <w:sz w:val="28"/>
      <w:szCs w:val="24"/>
    </w:rPr>
  </w:style>
  <w:style w:type="paragraph" w:customStyle="1" w:styleId="171">
    <w:name w:val="biao"/>
    <w:basedOn w:val="1"/>
    <w:qFormat/>
    <w:uiPriority w:val="0"/>
    <w:pPr>
      <w:widowControl/>
      <w:overflowPunct w:val="0"/>
      <w:autoSpaceDE w:val="0"/>
      <w:autoSpaceDN w:val="0"/>
      <w:adjustRightInd w:val="0"/>
      <w:spacing w:line="360" w:lineRule="auto"/>
      <w:ind w:firstLine="454"/>
      <w:jc w:val="left"/>
      <w:textAlignment w:val="baseline"/>
    </w:pPr>
    <w:rPr>
      <w:rFonts w:ascii="宋体"/>
      <w:snapToGrid w:val="0"/>
      <w:kern w:val="0"/>
      <w:sz w:val="24"/>
    </w:rPr>
  </w:style>
  <w:style w:type="paragraph" w:customStyle="1" w:styleId="172">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173">
    <w:name w:val="xl65"/>
    <w:basedOn w:val="1"/>
    <w:qFormat/>
    <w:uiPriority w:val="0"/>
    <w:pPr>
      <w:widowControl/>
      <w:pBdr>
        <w:bottom w:val="single" w:color="auto" w:sz="4" w:space="0"/>
      </w:pBdr>
      <w:spacing w:before="100" w:beforeAutospacing="1" w:after="100" w:afterAutospacing="1"/>
      <w:ind w:firstLine="100" w:firstLineChars="100"/>
      <w:jc w:val="left"/>
    </w:pPr>
    <w:rPr>
      <w:rFonts w:hint="eastAsia" w:ascii="宋体" w:hAnsi="宋体"/>
      <w:kern w:val="0"/>
      <w:sz w:val="20"/>
    </w:rPr>
  </w:style>
  <w:style w:type="paragraph" w:customStyle="1" w:styleId="174">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b/>
      <w:bCs/>
      <w:kern w:val="0"/>
      <w:sz w:val="24"/>
      <w:szCs w:val="24"/>
    </w:rPr>
  </w:style>
  <w:style w:type="paragraph" w:customStyle="1" w:styleId="175">
    <w:name w:val="10"/>
    <w:basedOn w:val="1"/>
    <w:qFormat/>
    <w:uiPriority w:val="0"/>
    <w:pPr>
      <w:numPr>
        <w:ilvl w:val="0"/>
        <w:numId w:val="9"/>
      </w:numPr>
      <w:spacing w:line="360" w:lineRule="auto"/>
    </w:pPr>
    <w:rPr>
      <w:b/>
      <w:color w:val="000000"/>
      <w:sz w:val="28"/>
      <w:szCs w:val="28"/>
    </w:rPr>
  </w:style>
  <w:style w:type="paragraph" w:customStyle="1" w:styleId="176">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77">
    <w:name w:val="xl43"/>
    <w:basedOn w:val="1"/>
    <w:qFormat/>
    <w:uiPriority w:val="0"/>
    <w:pPr>
      <w:widowControl/>
      <w:pBdr>
        <w:top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78">
    <w:name w:val="F00"/>
    <w:basedOn w:val="1"/>
    <w:qFormat/>
    <w:uiPriority w:val="0"/>
    <w:pPr>
      <w:adjustRightInd w:val="0"/>
      <w:snapToGrid w:val="0"/>
      <w:spacing w:before="50" w:line="0" w:lineRule="atLeast"/>
      <w:ind w:firstLine="200" w:firstLineChars="250"/>
    </w:pPr>
    <w:rPr>
      <w:rFonts w:eastAsia="仿宋_GB2312"/>
      <w:snapToGrid w:val="0"/>
      <w:kern w:val="24"/>
      <w:sz w:val="28"/>
    </w:rPr>
  </w:style>
  <w:style w:type="paragraph" w:customStyle="1" w:styleId="179">
    <w:name w:val="表中"/>
    <w:basedOn w:val="1"/>
    <w:qFormat/>
    <w:uiPriority w:val="0"/>
    <w:pPr>
      <w:adjustRightInd w:val="0"/>
      <w:spacing w:line="360" w:lineRule="atLeast"/>
      <w:jc w:val="center"/>
      <w:textAlignment w:val="baseline"/>
    </w:pPr>
    <w:rPr>
      <w:kern w:val="0"/>
    </w:rPr>
  </w:style>
  <w:style w:type="paragraph" w:customStyle="1" w:styleId="180">
    <w:name w:val="font0"/>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181">
    <w:name w:val="xl5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182">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18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4">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85">
    <w:name w:val="font10"/>
    <w:basedOn w:val="1"/>
    <w:qFormat/>
    <w:uiPriority w:val="0"/>
    <w:pPr>
      <w:widowControl/>
      <w:spacing w:before="100" w:beforeAutospacing="1" w:after="100" w:afterAutospacing="1"/>
      <w:jc w:val="left"/>
    </w:pPr>
    <w:rPr>
      <w:rFonts w:hint="eastAsia" w:ascii="宋体" w:hAnsi="宋体"/>
      <w:kern w:val="0"/>
      <w:sz w:val="28"/>
      <w:szCs w:val="28"/>
    </w:rPr>
  </w:style>
  <w:style w:type="character" w:customStyle="1" w:styleId="186">
    <w:name w:val="标题 8 Char"/>
    <w:link w:val="9"/>
    <w:qFormat/>
    <w:uiPriority w:val="0"/>
    <w:rPr>
      <w:rFonts w:ascii="Arial" w:hAnsi="Arial" w:eastAsia="黑体"/>
      <w:sz w:val="24"/>
      <w:szCs w:val="24"/>
    </w:rPr>
  </w:style>
  <w:style w:type="character" w:customStyle="1" w:styleId="187">
    <w:name w:val="批注文字 Char"/>
    <w:link w:val="16"/>
    <w:qFormat/>
    <w:uiPriority w:val="0"/>
    <w:rPr>
      <w:rFonts w:ascii="宋体" w:hAnsi="宋体" w:cs="Arial"/>
      <w:color w:val="0000FF"/>
      <w:kern w:val="2"/>
      <w:sz w:val="24"/>
      <w:szCs w:val="24"/>
    </w:rPr>
  </w:style>
  <w:style w:type="character" w:customStyle="1" w:styleId="188">
    <w:name w:val="纯文本 Char1"/>
    <w:link w:val="25"/>
    <w:qFormat/>
    <w:uiPriority w:val="0"/>
    <w:rPr>
      <w:rFonts w:ascii="宋体" w:hAnsi="Courier New" w:eastAsia="宋体"/>
      <w:sz w:val="24"/>
      <w:lang w:val="en-US" w:eastAsia="zh-CN" w:bidi="ar-SA"/>
    </w:rPr>
  </w:style>
  <w:style w:type="character" w:customStyle="1" w:styleId="189">
    <w:name w:val="页眉 Char"/>
    <w:link w:val="33"/>
    <w:qFormat/>
    <w:uiPriority w:val="0"/>
    <w:rPr>
      <w:rFonts w:eastAsia="宋体"/>
      <w:kern w:val="2"/>
      <w:sz w:val="18"/>
      <w:lang w:val="en-US" w:eastAsia="zh-CN" w:bidi="ar-SA"/>
    </w:rPr>
  </w:style>
  <w:style w:type="character" w:customStyle="1" w:styleId="190">
    <w:name w:val="Char Char10"/>
    <w:qFormat/>
    <w:uiPriority w:val="0"/>
    <w:rPr>
      <w:rFonts w:eastAsia="宋体"/>
      <w:kern w:val="2"/>
      <w:sz w:val="18"/>
      <w:szCs w:val="18"/>
      <w:lang w:val="en-US" w:eastAsia="zh-CN" w:bidi="ar-SA"/>
    </w:rPr>
  </w:style>
  <w:style w:type="character" w:customStyle="1" w:styleId="191">
    <w:name w:val="标题 6 Char"/>
    <w:link w:val="7"/>
    <w:qFormat/>
    <w:uiPriority w:val="0"/>
    <w:rPr>
      <w:rFonts w:ascii="Arial" w:hAnsi="Arial" w:eastAsia="黑体"/>
      <w:b/>
      <w:bCs/>
      <w:sz w:val="24"/>
      <w:szCs w:val="24"/>
    </w:rPr>
  </w:style>
  <w:style w:type="character" w:customStyle="1" w:styleId="192">
    <w:name w:val="脚注文本 Char"/>
    <w:link w:val="36"/>
    <w:qFormat/>
    <w:uiPriority w:val="0"/>
    <w:rPr>
      <w:rFonts w:eastAsia="宋体"/>
      <w:kern w:val="2"/>
      <w:sz w:val="18"/>
      <w:szCs w:val="18"/>
      <w:lang w:val="en-US" w:eastAsia="zh-CN" w:bidi="ar-SA"/>
    </w:rPr>
  </w:style>
  <w:style w:type="character" w:customStyle="1" w:styleId="193">
    <w:name w:val="Char Char"/>
    <w:qFormat/>
    <w:uiPriority w:val="0"/>
    <w:rPr>
      <w:kern w:val="2"/>
      <w:sz w:val="18"/>
      <w:szCs w:val="18"/>
    </w:rPr>
  </w:style>
  <w:style w:type="character" w:customStyle="1" w:styleId="194">
    <w:name w:val="标题 Char"/>
    <w:link w:val="45"/>
    <w:qFormat/>
    <w:uiPriority w:val="0"/>
    <w:rPr>
      <w:rFonts w:ascii="Cambria" w:hAnsi="Cambria" w:eastAsia="楷体" w:cs="Times New Roman"/>
      <w:b/>
      <w:bCs/>
      <w:kern w:val="2"/>
      <w:sz w:val="84"/>
      <w:szCs w:val="32"/>
    </w:rPr>
  </w:style>
  <w:style w:type="character" w:customStyle="1" w:styleId="195">
    <w:name w:val="批注框文本 Char"/>
    <w:link w:val="31"/>
    <w:qFormat/>
    <w:uiPriority w:val="0"/>
    <w:rPr>
      <w:kern w:val="2"/>
      <w:sz w:val="18"/>
      <w:szCs w:val="18"/>
    </w:rPr>
  </w:style>
  <w:style w:type="character" w:customStyle="1" w:styleId="196">
    <w:name w:val="标题 7 Char"/>
    <w:link w:val="8"/>
    <w:qFormat/>
    <w:uiPriority w:val="0"/>
    <w:rPr>
      <w:b/>
      <w:bCs/>
      <w:sz w:val="24"/>
      <w:szCs w:val="24"/>
    </w:rPr>
  </w:style>
  <w:style w:type="character" w:customStyle="1" w:styleId="197">
    <w:name w:val="日期 Char"/>
    <w:link w:val="28"/>
    <w:qFormat/>
    <w:uiPriority w:val="0"/>
    <w:rPr>
      <w:kern w:val="2"/>
      <w:sz w:val="24"/>
    </w:rPr>
  </w:style>
  <w:style w:type="character" w:customStyle="1" w:styleId="198">
    <w:name w:val="正文文本缩进 Char"/>
    <w:link w:val="19"/>
    <w:qFormat/>
    <w:uiPriority w:val="0"/>
    <w:rPr>
      <w:rFonts w:ascii="宋体" w:hAnsi="宋体"/>
      <w:kern w:val="2"/>
      <w:sz w:val="24"/>
      <w:szCs w:val="24"/>
    </w:rPr>
  </w:style>
  <w:style w:type="character" w:customStyle="1" w:styleId="199">
    <w:name w:val="标题 5 Char"/>
    <w:link w:val="6"/>
    <w:qFormat/>
    <w:uiPriority w:val="0"/>
    <w:rPr>
      <w:b/>
      <w:bCs/>
      <w:sz w:val="28"/>
      <w:szCs w:val="28"/>
    </w:rPr>
  </w:style>
  <w:style w:type="character" w:customStyle="1" w:styleId="200">
    <w:name w:val="Char Char6"/>
    <w:qFormat/>
    <w:uiPriority w:val="0"/>
    <w:rPr>
      <w:rFonts w:ascii="宋体" w:hAnsi="宋体" w:eastAsia="宋体"/>
      <w:kern w:val="2"/>
      <w:sz w:val="24"/>
      <w:lang w:val="en-US" w:eastAsia="zh-CN" w:bidi="ar-SA"/>
    </w:rPr>
  </w:style>
  <w:style w:type="character" w:customStyle="1" w:styleId="201">
    <w:name w:val="标题 9 Char"/>
    <w:link w:val="10"/>
    <w:qFormat/>
    <w:uiPriority w:val="0"/>
    <w:rPr>
      <w:rFonts w:ascii="Arial" w:hAnsi="Arial" w:eastAsia="黑体"/>
      <w:sz w:val="21"/>
      <w:szCs w:val="21"/>
    </w:rPr>
  </w:style>
  <w:style w:type="character" w:customStyle="1" w:styleId="202">
    <w:name w:val="标题 3 Char"/>
    <w:link w:val="4"/>
    <w:qFormat/>
    <w:uiPriority w:val="0"/>
    <w:rPr>
      <w:b/>
      <w:bCs/>
      <w:sz w:val="32"/>
      <w:szCs w:val="32"/>
    </w:rPr>
  </w:style>
  <w:style w:type="character" w:customStyle="1" w:styleId="203">
    <w:name w:val="正文文本 Char"/>
    <w:link w:val="18"/>
    <w:qFormat/>
    <w:uiPriority w:val="0"/>
    <w:rPr>
      <w:kern w:val="2"/>
      <w:sz w:val="32"/>
    </w:rPr>
  </w:style>
  <w:style w:type="character" w:customStyle="1" w:styleId="204">
    <w:name w:val="标题 2 Char"/>
    <w:qFormat/>
    <w:uiPriority w:val="0"/>
    <w:rPr>
      <w:rFonts w:ascii="黑体" w:hAnsi="Arial" w:eastAsia="黑体"/>
      <w:sz w:val="30"/>
      <w:szCs w:val="32"/>
      <w:lang w:val="en-US" w:eastAsia="zh-CN" w:bidi="ar-SA"/>
    </w:rPr>
  </w:style>
  <w:style w:type="character" w:customStyle="1" w:styleId="205">
    <w:name w:val="尾注文本 Char"/>
    <w:link w:val="30"/>
    <w:qFormat/>
    <w:uiPriority w:val="0"/>
    <w:rPr>
      <w:rFonts w:eastAsia="宋体"/>
      <w:kern w:val="2"/>
      <w:sz w:val="21"/>
      <w:szCs w:val="24"/>
      <w:lang w:val="en-US" w:eastAsia="zh-CN" w:bidi="ar-SA"/>
    </w:rPr>
  </w:style>
  <w:style w:type="character" w:customStyle="1" w:styleId="206">
    <w:name w:val="批注主题 Char"/>
    <w:link w:val="46"/>
    <w:qFormat/>
    <w:uiPriority w:val="0"/>
    <w:rPr>
      <w:rFonts w:ascii="宋体" w:hAnsi="宋体" w:cs="Arial"/>
      <w:b/>
      <w:bCs/>
      <w:color w:val="0000FF"/>
      <w:kern w:val="2"/>
      <w:sz w:val="21"/>
      <w:szCs w:val="24"/>
    </w:rPr>
  </w:style>
  <w:style w:type="character" w:customStyle="1" w:styleId="207">
    <w:name w:val="正文文本缩进 3 Char"/>
    <w:link w:val="38"/>
    <w:qFormat/>
    <w:uiPriority w:val="0"/>
    <w:rPr>
      <w:rFonts w:ascii="宋体" w:hAnsi="宋体" w:eastAsia="宋体"/>
      <w:kern w:val="2"/>
      <w:sz w:val="24"/>
      <w:lang w:val="en-US" w:eastAsia="zh-CN" w:bidi="ar-SA"/>
    </w:rPr>
  </w:style>
  <w:style w:type="character" w:customStyle="1" w:styleId="208">
    <w:name w:val="纯文本 Char"/>
    <w:qFormat/>
    <w:locked/>
    <w:uiPriority w:val="0"/>
    <w:rPr>
      <w:rFonts w:ascii="宋体" w:hAnsi="Courier New" w:eastAsia="宋体"/>
      <w:kern w:val="2"/>
      <w:sz w:val="28"/>
      <w:lang w:val="en-US" w:eastAsia="zh-CN" w:bidi="ar-SA"/>
    </w:rPr>
  </w:style>
  <w:style w:type="character" w:customStyle="1" w:styleId="209">
    <w:name w:val="样式3 Char"/>
    <w:link w:val="138"/>
    <w:qFormat/>
    <w:uiPriority w:val="0"/>
    <w:rPr>
      <w:rFonts w:ascii="隶书" w:eastAsia="隶书"/>
      <w:b/>
      <w:i/>
      <w:spacing w:val="40"/>
      <w:kern w:val="2"/>
      <w:sz w:val="84"/>
      <w:szCs w:val="84"/>
    </w:rPr>
  </w:style>
  <w:style w:type="character" w:customStyle="1" w:styleId="210">
    <w:name w:val="标题 1 Char"/>
    <w:link w:val="2"/>
    <w:qFormat/>
    <w:uiPriority w:val="0"/>
    <w:rPr>
      <w:rFonts w:ascii="宋体"/>
      <w:bCs/>
      <w:snapToGrid w:val="0"/>
      <w:sz w:val="28"/>
      <w:szCs w:val="44"/>
    </w:rPr>
  </w:style>
  <w:style w:type="character" w:customStyle="1" w:styleId="211">
    <w:name w:val="black1"/>
    <w:qFormat/>
    <w:uiPriority w:val="0"/>
    <w:rPr>
      <w:color w:val="000000"/>
    </w:rPr>
  </w:style>
  <w:style w:type="character" w:customStyle="1" w:styleId="212">
    <w:name w:val="普通 (Web) Char1"/>
    <w:link w:val="80"/>
    <w:qFormat/>
    <w:uiPriority w:val="0"/>
    <w:rPr>
      <w:rFonts w:ascii="宋体" w:hAnsi="宋体"/>
      <w:sz w:val="24"/>
      <w:szCs w:val="24"/>
    </w:rPr>
  </w:style>
  <w:style w:type="character" w:customStyle="1" w:styleId="213">
    <w:name w:val="tpc_content1"/>
    <w:qFormat/>
    <w:uiPriority w:val="0"/>
    <w:rPr>
      <w:sz w:val="20"/>
      <w:szCs w:val="20"/>
    </w:rPr>
  </w:style>
  <w:style w:type="character" w:customStyle="1" w:styleId="214">
    <w:name w:val="样式 标题 2 + 黑体 Char"/>
    <w:link w:val="141"/>
    <w:qFormat/>
    <w:uiPriority w:val="0"/>
    <w:rPr>
      <w:rFonts w:ascii="黑体" w:hAnsi="黑体" w:eastAsia="宋体"/>
      <w:b/>
      <w:bCs/>
      <w:kern w:val="2"/>
      <w:sz w:val="32"/>
      <w:szCs w:val="32"/>
      <w:lang w:val="en-US" w:eastAsia="zh-CN" w:bidi="ar-SA"/>
    </w:rPr>
  </w:style>
  <w:style w:type="character" w:customStyle="1" w:styleId="215">
    <w:name w:val="页脚 Char"/>
    <w:link w:val="32"/>
    <w:qFormat/>
    <w:uiPriority w:val="99"/>
    <w:rPr>
      <w:rFonts w:eastAsia="宋体"/>
      <w:kern w:val="2"/>
      <w:sz w:val="18"/>
      <w:lang w:val="en-US" w:eastAsia="zh-CN" w:bidi="ar-SA"/>
    </w:rPr>
  </w:style>
  <w:style w:type="character" w:customStyle="1" w:styleId="216">
    <w:name w:val="标题 4 Char"/>
    <w:link w:val="5"/>
    <w:qFormat/>
    <w:uiPriority w:val="0"/>
    <w:rPr>
      <w:rFonts w:ascii="Arial" w:hAnsi="Arial" w:eastAsia="黑体"/>
      <w:b/>
      <w:bCs/>
      <w:sz w:val="28"/>
      <w:szCs w:val="28"/>
    </w:rPr>
  </w:style>
  <w:style w:type="character" w:customStyle="1" w:styleId="217">
    <w:name w:val="日期 Char1"/>
    <w:qFormat/>
    <w:uiPriority w:val="0"/>
    <w:rPr>
      <w:kern w:val="2"/>
      <w:sz w:val="24"/>
    </w:rPr>
  </w:style>
  <w:style w:type="character" w:customStyle="1" w:styleId="218">
    <w:name w:val="图表格式 Char"/>
    <w:qFormat/>
    <w:uiPriority w:val="0"/>
    <w:rPr>
      <w:rFonts w:ascii="宋体" w:hAnsi="宋体" w:eastAsia="宋体"/>
      <w:color w:val="auto"/>
      <w:spacing w:val="0"/>
      <w:w w:val="100"/>
      <w:kern w:val="0"/>
      <w:position w:val="0"/>
      <w:sz w:val="24"/>
      <w:u w:val="none"/>
      <w:vertAlign w:val="baseline"/>
      <w:lang w:val="en-US"/>
    </w:rPr>
  </w:style>
  <w:style w:type="paragraph" w:customStyle="1" w:styleId="219">
    <w:name w:val="Table Paragraph"/>
    <w:basedOn w:val="1"/>
    <w:qFormat/>
    <w:uiPriority w:val="1"/>
  </w:style>
  <w:style w:type="paragraph" w:customStyle="1" w:styleId="220">
    <w:name w:val="Other|1"/>
    <w:basedOn w:val="1"/>
    <w:qFormat/>
    <w:uiPriority w:val="0"/>
    <w:pPr>
      <w:spacing w:line="236" w:lineRule="exact"/>
    </w:pPr>
    <w:rPr>
      <w:rFonts w:ascii="宋体" w:hAnsi="宋体" w:cs="宋体"/>
      <w:sz w:val="20"/>
      <w:lang w:val="zh-TW" w:eastAsia="zh-TW" w:bidi="zh-TW"/>
    </w:rPr>
  </w:style>
  <w:style w:type="paragraph" w:customStyle="1" w:styleId="221">
    <w:name w:val="_Style 69"/>
    <w:basedOn w:val="19"/>
    <w:next w:val="18"/>
    <w:qFormat/>
    <w:uiPriority w:val="0"/>
    <w:pPr>
      <w:ind w:firstLine="420" w:firstLineChars="200"/>
    </w:pPr>
    <w:rPr>
      <w:rFonts w:ascii="Times New Roman" w:hAnsi="Times New Roman"/>
      <w:kern w:val="2"/>
      <w:sz w:val="21"/>
      <w:szCs w:val="24"/>
    </w:rPr>
  </w:style>
  <w:style w:type="paragraph" w:customStyle="1" w:styleId="222">
    <w:name w:val="文一"/>
    <w:basedOn w:val="1"/>
    <w:qFormat/>
    <w:uiPriority w:val="0"/>
    <w:pPr>
      <w:topLinePunct/>
      <w:adjustRightInd w:val="0"/>
      <w:snapToGrid w:val="0"/>
      <w:spacing w:line="360" w:lineRule="auto"/>
      <w:ind w:firstLine="200" w:firstLineChars="200"/>
    </w:pPr>
    <w:rPr>
      <w:rFonts w:ascii="Times New Roman" w:hAnsi="Times New Roman"/>
      <w:spacing w:val="4"/>
      <w:kern w:val="0"/>
      <w:sz w:val="24"/>
      <w:szCs w:val="24"/>
    </w:rPr>
  </w:style>
  <w:style w:type="paragraph" w:customStyle="1" w:styleId="223">
    <w:name w:val="章节二"/>
    <w:basedOn w:val="1"/>
    <w:next w:val="1"/>
    <w:qFormat/>
    <w:uiPriority w:val="0"/>
    <w:pPr>
      <w:topLinePunct/>
      <w:adjustRightInd w:val="0"/>
      <w:snapToGrid w:val="0"/>
      <w:spacing w:beforeLines="50" w:afterLines="50"/>
      <w:jc w:val="center"/>
      <w:outlineLvl w:val="1"/>
    </w:pPr>
    <w:rPr>
      <w:rFonts w:ascii="Times New Roman" w:hAnsi="Times New Roman" w:eastAsia="黑体"/>
      <w:b/>
      <w:spacing w:val="4"/>
      <w:kern w:val="0"/>
      <w:sz w:val="30"/>
      <w:szCs w:val="30"/>
    </w:rPr>
  </w:style>
  <w:style w:type="paragraph" w:customStyle="1" w:styleId="224">
    <w:name w:val="文二"/>
    <w:basedOn w:val="1"/>
    <w:qFormat/>
    <w:uiPriority w:val="0"/>
    <w:pPr>
      <w:jc w:val="left"/>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Company>
  <Pages>162</Pages>
  <Words>10400</Words>
  <Characters>11280</Characters>
  <Lines>347</Lines>
  <Paragraphs>97</Paragraphs>
  <TotalTime>67</TotalTime>
  <ScaleCrop>false</ScaleCrop>
  <LinksUpToDate>false</LinksUpToDate>
  <CharactersWithSpaces>11551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2018-07-16T03:41:00Z</dcterms:created>
  <dc:creator>1</dc:creator>
  <cp:lastModifiedBy>Rollin</cp:lastModifiedBy>
  <cp:lastPrinted>2025-01-10T01:25:00Z</cp:lastPrinted>
  <dcterms:modified xsi:type="dcterms:W3CDTF">2025-03-20T07:28:10Z</dcterms:modified>
  <dc:title>一、投标须知前附表</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B4ECF76DF79A4DCB8DBC437E5CB40016</vt:lpwstr>
  </property>
  <property fmtid="{D5CDD505-2E9C-101B-9397-08002B2CF9AE}" pid="4" name="KSOTemplateDocerSaveRecord">
    <vt:lpwstr>eyJoZGlkIjoiNGFmNzExYjVkMGZjNjE5ZjIxMjQ0NDVlMzViMGM4YzIiLCJ1c2VySWQiOiIxMDAxODA5MjE1In0=</vt:lpwstr>
  </property>
</Properties>
</file>