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8857FE">
      <w:pPr>
        <w:rPr>
          <w:rFonts w:hint="eastAsia"/>
          <w:color w:val="000000"/>
        </w:rPr>
      </w:pPr>
    </w:p>
    <w:p w14:paraId="50AE4B1A">
      <w:pPr>
        <w:ind w:left="0" w:leftChars="0" w:firstLine="0" w:firstLineChars="0"/>
        <w:jc w:val="both"/>
        <w:rPr>
          <w:rFonts w:hint="eastAsia" w:ascii="微软雅黑" w:hAnsi="微软雅黑" w:eastAsia="微软雅黑" w:cs="微软雅黑"/>
          <w:b/>
          <w:bCs/>
          <w:color w:val="111111"/>
          <w:sz w:val="44"/>
          <w:szCs w:val="44"/>
          <w:shd w:val="clear" w:color="auto" w:fill="FFFFFF"/>
          <w:lang w:eastAsia="zh-CN"/>
        </w:rPr>
      </w:pPr>
    </w:p>
    <w:p w14:paraId="411E18DC">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微软雅黑" w:hAnsi="微软雅黑" w:eastAsia="微软雅黑" w:cs="微软雅黑"/>
          <w:b/>
          <w:bCs/>
          <w:color w:val="111111"/>
          <w:sz w:val="44"/>
          <w:szCs w:val="44"/>
          <w:shd w:val="clear" w:color="auto" w:fill="FFFFFF"/>
          <w:lang w:eastAsia="zh-CN"/>
        </w:rPr>
      </w:pPr>
      <w:r>
        <w:rPr>
          <w:rFonts w:hint="eastAsia" w:ascii="微软雅黑" w:hAnsi="微软雅黑" w:eastAsia="微软雅黑" w:cs="微软雅黑"/>
          <w:b/>
          <w:bCs/>
          <w:color w:val="111111"/>
          <w:sz w:val="44"/>
          <w:szCs w:val="44"/>
          <w:shd w:val="clear" w:color="auto" w:fill="FFFFFF"/>
          <w:lang w:eastAsia="zh-CN"/>
        </w:rPr>
        <w:t>广州市荔湾区坑口村城中村改造项目</w:t>
      </w:r>
    </w:p>
    <w:p w14:paraId="1E4DFBEF">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微软雅黑" w:hAnsi="微软雅黑" w:eastAsia="微软雅黑" w:cs="微软雅黑"/>
          <w:b/>
          <w:bCs/>
          <w:color w:val="111111"/>
          <w:sz w:val="44"/>
          <w:szCs w:val="44"/>
          <w:shd w:val="clear" w:color="auto" w:fill="FFFFFF"/>
          <w:lang w:eastAsia="zh-CN"/>
        </w:rPr>
      </w:pPr>
      <w:r>
        <w:rPr>
          <w:rFonts w:hint="eastAsia" w:ascii="微软雅黑" w:hAnsi="微软雅黑" w:eastAsia="微软雅黑" w:cs="微软雅黑"/>
          <w:b/>
          <w:bCs/>
          <w:color w:val="111111"/>
          <w:sz w:val="44"/>
          <w:szCs w:val="44"/>
          <w:shd w:val="clear" w:color="auto" w:fill="FFFFFF"/>
          <w:lang w:eastAsia="zh-CN"/>
        </w:rPr>
        <w:t>首期安置房建设项目</w:t>
      </w:r>
      <w:bookmarkStart w:id="34" w:name="_GoBack"/>
      <w:bookmarkEnd w:id="34"/>
    </w:p>
    <w:p w14:paraId="260ED5CC">
      <w:pPr>
        <w:ind w:left="0" w:leftChars="0" w:firstLine="0" w:firstLineChars="0"/>
        <w:jc w:val="center"/>
        <w:rPr>
          <w:rFonts w:hint="eastAsia" w:ascii="黑体" w:hAnsi="黑体" w:eastAsia="黑体"/>
          <w:color w:val="000000"/>
          <w:sz w:val="44"/>
          <w:szCs w:val="44"/>
        </w:rPr>
      </w:pPr>
    </w:p>
    <w:p w14:paraId="30C6BCD1">
      <w:pPr>
        <w:ind w:left="0" w:leftChars="0" w:firstLine="0" w:firstLineChars="0"/>
        <w:jc w:val="center"/>
        <w:rPr>
          <w:rFonts w:hint="eastAsia"/>
          <w:color w:val="000000"/>
          <w:sz w:val="36"/>
          <w:szCs w:val="36"/>
        </w:rPr>
      </w:pPr>
      <w:r>
        <w:rPr>
          <w:rFonts w:hint="eastAsia" w:ascii="黑体" w:hAnsi="黑体" w:eastAsia="黑体"/>
          <w:color w:val="000000"/>
          <w:sz w:val="44"/>
          <w:szCs w:val="44"/>
        </w:rPr>
        <w:t>设计任务书</w:t>
      </w:r>
    </w:p>
    <w:p w14:paraId="53467238">
      <w:pPr>
        <w:ind w:firstLine="850"/>
        <w:jc w:val="center"/>
        <w:rPr>
          <w:rFonts w:hint="eastAsia"/>
          <w:color w:val="000000"/>
          <w:sz w:val="36"/>
          <w:szCs w:val="36"/>
        </w:rPr>
      </w:pPr>
    </w:p>
    <w:p w14:paraId="5098B572">
      <w:pPr>
        <w:rPr>
          <w:rFonts w:hint="eastAsia"/>
          <w:color w:val="000000"/>
        </w:rPr>
      </w:pPr>
    </w:p>
    <w:p w14:paraId="0D75ADDC">
      <w:pPr>
        <w:rPr>
          <w:rFonts w:hint="eastAsia"/>
          <w:color w:val="000000"/>
        </w:rPr>
      </w:pPr>
    </w:p>
    <w:p w14:paraId="769B836C">
      <w:pPr>
        <w:rPr>
          <w:rFonts w:hint="eastAsia"/>
          <w:color w:val="000000"/>
        </w:rPr>
      </w:pPr>
    </w:p>
    <w:p w14:paraId="470DB068">
      <w:pPr>
        <w:rPr>
          <w:rFonts w:hint="eastAsia"/>
          <w:color w:val="000000"/>
        </w:rPr>
      </w:pPr>
    </w:p>
    <w:p w14:paraId="73356E74">
      <w:pPr>
        <w:rPr>
          <w:rFonts w:hint="eastAsia"/>
          <w:color w:val="000000"/>
        </w:rPr>
      </w:pPr>
    </w:p>
    <w:p w14:paraId="63DB4ED3">
      <w:pPr>
        <w:rPr>
          <w:rFonts w:hint="eastAsia"/>
          <w:color w:val="000000"/>
        </w:rPr>
      </w:pPr>
    </w:p>
    <w:p w14:paraId="6F6BEA10">
      <w:pPr>
        <w:rPr>
          <w:rFonts w:hint="eastAsia"/>
          <w:color w:val="000000"/>
        </w:rPr>
      </w:pPr>
    </w:p>
    <w:p w14:paraId="19FF59DB">
      <w:pPr>
        <w:rPr>
          <w:rFonts w:hint="eastAsia"/>
          <w:color w:val="000000"/>
        </w:rPr>
      </w:pPr>
    </w:p>
    <w:p w14:paraId="7426EBB7">
      <w:pPr>
        <w:rPr>
          <w:rFonts w:hint="eastAsia"/>
          <w:color w:val="000000"/>
        </w:rPr>
      </w:pPr>
    </w:p>
    <w:p w14:paraId="142DBE6C">
      <w:pPr>
        <w:rPr>
          <w:rFonts w:hint="eastAsia"/>
          <w:color w:val="000000"/>
        </w:rPr>
      </w:pPr>
    </w:p>
    <w:p w14:paraId="39EF014A">
      <w:pPr>
        <w:rPr>
          <w:rFonts w:hint="eastAsia"/>
          <w:color w:val="000000"/>
        </w:rPr>
      </w:pPr>
    </w:p>
    <w:p w14:paraId="2111355F">
      <w:pPr>
        <w:jc w:val="center"/>
        <w:rPr>
          <w:rFonts w:hint="eastAsia"/>
          <w:color w:val="000000"/>
        </w:rPr>
      </w:pPr>
      <w:r>
        <w:rPr>
          <w:rFonts w:hint="eastAsia"/>
          <w:color w:val="000000"/>
        </w:rPr>
        <w:t>2</w:t>
      </w:r>
      <w:r>
        <w:rPr>
          <w:color w:val="000000"/>
        </w:rPr>
        <w:t>02</w:t>
      </w:r>
      <w:r>
        <w:rPr>
          <w:rFonts w:hint="eastAsia"/>
          <w:color w:val="000000"/>
        </w:rPr>
        <w:t>5年1月</w:t>
      </w:r>
    </w:p>
    <w:p w14:paraId="747C983D">
      <w:pPr>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p>
    <w:p w14:paraId="2D6EB9AA">
      <w:pPr>
        <w:rPr>
          <w:rFonts w:hint="eastAsia"/>
          <w:color w:val="000000"/>
        </w:rPr>
      </w:pPr>
    </w:p>
    <w:p w14:paraId="0BD57651">
      <w:pPr>
        <w:ind w:firstLine="853"/>
        <w:jc w:val="center"/>
        <w:rPr>
          <w:rFonts w:hint="eastAsia" w:ascii="黑体" w:hAnsi="黑体" w:eastAsia="黑体"/>
          <w:b/>
          <w:bCs/>
          <w:color w:val="000000"/>
          <w:sz w:val="36"/>
          <w:szCs w:val="36"/>
        </w:rPr>
      </w:pPr>
      <w:r>
        <w:rPr>
          <w:rFonts w:hint="eastAsia" w:ascii="黑体" w:hAnsi="黑体" w:eastAsia="黑体"/>
          <w:b/>
          <w:bCs/>
          <w:color w:val="000000"/>
          <w:sz w:val="36"/>
          <w:szCs w:val="36"/>
        </w:rPr>
        <w:t>目  录</w:t>
      </w:r>
    </w:p>
    <w:p w14:paraId="1728C6D0">
      <w:pPr>
        <w:pStyle w:val="27"/>
        <w:tabs>
          <w:tab w:val="left" w:pos="1818"/>
          <w:tab w:val="right" w:leader="dot" w:pos="8296"/>
        </w:tabs>
        <w:ind w:firstLine="755"/>
        <w:rPr>
          <w:rFonts w:asciiTheme="minorHAnsi" w:hAnsiTheme="minorHAnsi" w:eastAsiaTheme="minorEastAsia"/>
          <w:sz w:val="21"/>
          <w:szCs w:val="22"/>
          <w14:ligatures w14:val="standardContextual"/>
        </w:rPr>
      </w:pPr>
      <w:bookmarkStart w:id="0" w:name="_Toc176857808"/>
      <w:r>
        <w:rPr>
          <w:color w:val="000000"/>
          <w:sz w:val="32"/>
        </w:rPr>
        <w:fldChar w:fldCharType="begin"/>
      </w:r>
      <w:r>
        <w:rPr>
          <w:color w:val="000000"/>
          <w:sz w:val="32"/>
        </w:rPr>
        <w:instrText xml:space="preserve"> TOC \o "1-2" \h \z \u </w:instrText>
      </w:r>
      <w:r>
        <w:rPr>
          <w:color w:val="000000"/>
          <w:sz w:val="32"/>
        </w:rPr>
        <w:fldChar w:fldCharType="separate"/>
      </w:r>
      <w:r>
        <w:fldChar w:fldCharType="begin"/>
      </w:r>
      <w:r>
        <w:instrText xml:space="preserve"> HYPERLINK \l "_Toc185352730" </w:instrText>
      </w:r>
      <w:r>
        <w:fldChar w:fldCharType="separate"/>
      </w:r>
      <w:r>
        <w:rPr>
          <w:rStyle w:val="45"/>
          <w:rFonts w:hint="eastAsia"/>
        </w:rPr>
        <w:t>第1章</w:t>
      </w:r>
      <w:r>
        <w:rPr>
          <w:rFonts w:hint="eastAsia" w:asciiTheme="minorHAnsi" w:hAnsiTheme="minorHAnsi" w:eastAsiaTheme="minorEastAsia"/>
          <w:sz w:val="21"/>
          <w:szCs w:val="22"/>
          <w14:ligatures w14:val="standardContextual"/>
        </w:rPr>
        <w:tab/>
      </w:r>
      <w:r>
        <w:rPr>
          <w:rStyle w:val="45"/>
          <w:rFonts w:hint="eastAsia"/>
        </w:rPr>
        <w:t>项目概况</w:t>
      </w:r>
      <w:r>
        <w:rPr>
          <w:rFonts w:hint="eastAsia"/>
        </w:rPr>
        <w:tab/>
      </w:r>
      <w:r>
        <w:rPr>
          <w:rFonts w:hint="eastAsia"/>
        </w:rPr>
        <w:fldChar w:fldCharType="begin"/>
      </w:r>
      <w:r>
        <w:rPr>
          <w:rFonts w:hint="eastAsia"/>
        </w:rPr>
        <w:instrText xml:space="preserve"> </w:instrText>
      </w:r>
      <w:r>
        <w:instrText xml:space="preserve">PAGEREF _Toc185352730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25FD4AF">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"_Toc185352731" </w:instrText>
      </w:r>
      <w:r>
        <w:fldChar w:fldCharType="separate"/>
      </w:r>
      <w:r>
        <w:rPr>
          <w:rStyle w:val="45"/>
          <w:rFonts w:hint="eastAsia" w:asciiTheme="minorEastAsia" w:hAnsiTheme="minorEastAsia"/>
        </w:rPr>
        <w:t>1.1</w:t>
      </w:r>
      <w:r>
        <w:rPr>
          <w:rFonts w:hint="eastAsia" w:asciiTheme="minorHAnsi" w:hAnsiTheme="minorHAnsi" w:eastAsiaTheme="minorEastAsia"/>
          <w:color w:val="auto"/>
          <w:sz w:val="21"/>
          <w:szCs w:val="22"/>
          <w14:ligatures w14:val="standardContextual"/>
        </w:rPr>
        <w:tab/>
      </w:r>
      <w:r>
        <w:rPr>
          <w:rStyle w:val="45"/>
          <w:rFonts w:hint="eastAsia"/>
        </w:rPr>
        <w:t>项目基本信息</w:t>
      </w:r>
      <w:r>
        <w:rPr>
          <w:rFonts w:hint="eastAsia"/>
        </w:rPr>
        <w:tab/>
      </w:r>
      <w:r>
        <w:rPr>
          <w:rFonts w:hint="eastAsia"/>
        </w:rPr>
        <w:fldChar w:fldCharType="begin"/>
      </w:r>
      <w:r>
        <w:rPr>
          <w:rFonts w:hint="eastAsia"/>
        </w:rPr>
        <w:instrText xml:space="preserve"> </w:instrText>
      </w:r>
      <w:r>
        <w:instrText xml:space="preserve">PAGEREF _Toc185352731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016EFD1E">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"_Toc185352732" </w:instrText>
      </w:r>
      <w:r>
        <w:fldChar w:fldCharType="separate"/>
      </w:r>
      <w:r>
        <w:rPr>
          <w:rStyle w:val="45"/>
          <w:rFonts w:hint="eastAsia" w:asciiTheme="minorEastAsia" w:hAnsiTheme="minorEastAsia"/>
        </w:rPr>
        <w:t>1.2</w:t>
      </w:r>
      <w:r>
        <w:rPr>
          <w:rFonts w:hint="eastAsia" w:asciiTheme="minorHAnsi" w:hAnsiTheme="minorHAnsi" w:eastAsiaTheme="minorEastAsia"/>
          <w:color w:val="auto"/>
          <w:sz w:val="21"/>
          <w:szCs w:val="22"/>
          <w14:ligatures w14:val="standardContextual"/>
        </w:rPr>
        <w:tab/>
      </w:r>
      <w:r>
        <w:rPr>
          <w:rStyle w:val="45"/>
          <w:rFonts w:hint="eastAsia"/>
        </w:rPr>
        <w:t>项目建设范围及设计范围</w:t>
      </w:r>
      <w:r>
        <w:rPr>
          <w:rFonts w:hint="eastAsia"/>
        </w:rPr>
        <w:tab/>
      </w:r>
      <w:r>
        <w:rPr>
          <w:rFonts w:hint="eastAsia"/>
        </w:rPr>
        <w:fldChar w:fldCharType="begin"/>
      </w:r>
      <w:r>
        <w:rPr>
          <w:rFonts w:hint="eastAsia"/>
        </w:rPr>
        <w:instrText xml:space="preserve"> </w:instrText>
      </w:r>
      <w:r>
        <w:instrText xml:space="preserve">PAGEREF _Toc185352732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19F11C93">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"_Toc185352733" </w:instrText>
      </w:r>
      <w:r>
        <w:fldChar w:fldCharType="separate"/>
      </w:r>
      <w:r>
        <w:rPr>
          <w:rStyle w:val="45"/>
          <w:rFonts w:hint="eastAsia" w:asciiTheme="minorEastAsia" w:hAnsiTheme="minorEastAsia"/>
        </w:rPr>
        <w:t>1.3</w:t>
      </w:r>
      <w:r>
        <w:rPr>
          <w:rFonts w:hint="eastAsia" w:asciiTheme="minorHAnsi" w:hAnsiTheme="minorHAnsi" w:eastAsiaTheme="minorEastAsia"/>
          <w:color w:val="auto"/>
          <w:sz w:val="21"/>
          <w:szCs w:val="22"/>
          <w14:ligatures w14:val="standardContextual"/>
        </w:rPr>
        <w:tab/>
      </w:r>
      <w:r>
        <w:rPr>
          <w:rStyle w:val="45"/>
          <w:rFonts w:hint="eastAsia"/>
        </w:rPr>
        <w:t>建设用地现状情况</w:t>
      </w:r>
      <w:r>
        <w:rPr>
          <w:rFonts w:hint="eastAsia"/>
        </w:rPr>
        <w:tab/>
      </w:r>
      <w:r>
        <w:rPr>
          <w:rFonts w:hint="eastAsia"/>
        </w:rPr>
        <w:fldChar w:fldCharType="begin"/>
      </w:r>
      <w:r>
        <w:rPr>
          <w:rFonts w:hint="eastAsia"/>
        </w:rPr>
        <w:instrText xml:space="preserve"> </w:instrText>
      </w:r>
      <w:r>
        <w:instrText xml:space="preserve">PAGEREF _Toc185352733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51E2017A">
      <w:pPr>
        <w:pStyle w:val="27"/>
        <w:tabs>
          <w:tab w:val="left" w:pos="1818"/>
          <w:tab w:val="right" w:leader="dot" w:pos="8296"/>
        </w:tabs>
        <w:ind w:firstLine="708"/>
        <w:rPr>
          <w:rFonts w:asciiTheme="minorHAnsi" w:hAnsiTheme="minorHAnsi" w:eastAsiaTheme="minorEastAsia"/>
          <w:sz w:val="21"/>
          <w:szCs w:val="22"/>
          <w14:ligatures w14:val="standardContextual"/>
        </w:rPr>
      </w:pPr>
      <w:r>
        <w:fldChar w:fldCharType="begin"/>
      </w:r>
      <w:r>
        <w:instrText xml:space="preserve"> HYPERLINK \l "_Toc185352734" </w:instrText>
      </w:r>
      <w:r>
        <w:fldChar w:fldCharType="separate"/>
      </w:r>
      <w:r>
        <w:rPr>
          <w:rStyle w:val="45"/>
          <w:rFonts w:hint="eastAsia"/>
        </w:rPr>
        <w:t>第2章</w:t>
      </w:r>
      <w:r>
        <w:rPr>
          <w:rFonts w:hint="eastAsia" w:asciiTheme="minorHAnsi" w:hAnsiTheme="minorHAnsi" w:eastAsiaTheme="minorEastAsia"/>
          <w:sz w:val="21"/>
          <w:szCs w:val="22"/>
          <w14:ligatures w14:val="standardContextual"/>
        </w:rPr>
        <w:tab/>
      </w:r>
      <w:r>
        <w:rPr>
          <w:rStyle w:val="45"/>
          <w:rFonts w:hint="eastAsia"/>
        </w:rPr>
        <w:t>设计原则及设计内容</w:t>
      </w:r>
      <w:r>
        <w:rPr>
          <w:rFonts w:hint="eastAsia"/>
        </w:rPr>
        <w:tab/>
      </w:r>
      <w:r>
        <w:rPr>
          <w:rFonts w:hint="eastAsia"/>
        </w:rPr>
        <w:fldChar w:fldCharType="begin"/>
      </w:r>
      <w:r>
        <w:rPr>
          <w:rFonts w:hint="eastAsia"/>
        </w:rPr>
        <w:instrText xml:space="preserve"> </w:instrText>
      </w:r>
      <w:r>
        <w:instrText xml:space="preserve">PAGEREF _Toc185352734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665F9500">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"_Toc185352735" </w:instrText>
      </w:r>
      <w:r>
        <w:fldChar w:fldCharType="separate"/>
      </w:r>
      <w:r>
        <w:rPr>
          <w:rStyle w:val="45"/>
          <w:rFonts w:hint="eastAsia" w:asciiTheme="minorEastAsia" w:hAnsiTheme="minorEastAsia"/>
        </w:rPr>
        <w:t>2.1</w:t>
      </w:r>
      <w:r>
        <w:rPr>
          <w:rFonts w:hint="eastAsia" w:asciiTheme="minorHAnsi" w:hAnsiTheme="minorHAnsi" w:eastAsiaTheme="minorEastAsia"/>
          <w:color w:val="auto"/>
          <w:sz w:val="21"/>
          <w:szCs w:val="22"/>
          <w14:ligatures w14:val="standardContextual"/>
        </w:rPr>
        <w:tab/>
      </w:r>
      <w:r>
        <w:rPr>
          <w:rStyle w:val="45"/>
          <w:rFonts w:hint="eastAsia"/>
        </w:rPr>
        <w:t>设计原则</w:t>
      </w:r>
      <w:r>
        <w:rPr>
          <w:rFonts w:hint="eastAsia"/>
        </w:rPr>
        <w:tab/>
      </w:r>
      <w:r>
        <w:rPr>
          <w:rFonts w:hint="eastAsia"/>
        </w:rPr>
        <w:fldChar w:fldCharType="begin"/>
      </w:r>
      <w:r>
        <w:rPr>
          <w:rFonts w:hint="eastAsia"/>
        </w:rPr>
        <w:instrText xml:space="preserve"> </w:instrText>
      </w:r>
      <w:r>
        <w:instrText xml:space="preserve">PAGEREF _Toc185352735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7BE403E7">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"_Toc185352736" </w:instrText>
      </w:r>
      <w:r>
        <w:fldChar w:fldCharType="separate"/>
      </w:r>
      <w:r>
        <w:rPr>
          <w:rStyle w:val="45"/>
          <w:rFonts w:hint="eastAsia" w:asciiTheme="minorEastAsia" w:hAnsiTheme="minorEastAsia"/>
        </w:rPr>
        <w:t>2.2</w:t>
      </w:r>
      <w:r>
        <w:rPr>
          <w:rFonts w:hint="eastAsia" w:asciiTheme="minorHAnsi" w:hAnsiTheme="minorHAnsi" w:eastAsiaTheme="minorEastAsia"/>
          <w:color w:val="auto"/>
          <w:sz w:val="21"/>
          <w:szCs w:val="22"/>
          <w14:ligatures w14:val="standardContextual"/>
        </w:rPr>
        <w:tab/>
      </w:r>
      <w:r>
        <w:rPr>
          <w:rStyle w:val="45"/>
          <w:rFonts w:hint="eastAsia"/>
        </w:rPr>
        <w:t>设计内容</w:t>
      </w:r>
      <w:r>
        <w:rPr>
          <w:rFonts w:hint="eastAsia"/>
        </w:rPr>
        <w:tab/>
      </w:r>
      <w:r>
        <w:rPr>
          <w:rFonts w:hint="eastAsia"/>
        </w:rPr>
        <w:fldChar w:fldCharType="begin"/>
      </w:r>
      <w:r>
        <w:rPr>
          <w:rFonts w:hint="eastAsia"/>
        </w:rPr>
        <w:instrText xml:space="preserve"> </w:instrText>
      </w:r>
      <w:r>
        <w:instrText xml:space="preserve">PAGEREF _Toc185352736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7576AC20">
      <w:pPr>
        <w:pStyle w:val="27"/>
        <w:tabs>
          <w:tab w:val="left" w:pos="1818"/>
          <w:tab w:val="right" w:leader="dot" w:pos="8296"/>
        </w:tabs>
        <w:ind w:firstLine="708"/>
        <w:rPr>
          <w:rFonts w:asciiTheme="minorHAnsi" w:hAnsiTheme="minorHAnsi" w:eastAsiaTheme="minorEastAsia"/>
          <w:sz w:val="21"/>
          <w:szCs w:val="22"/>
          <w14:ligatures w14:val="standardContextual"/>
        </w:rPr>
      </w:pPr>
      <w:r>
        <w:fldChar w:fldCharType="begin"/>
      </w:r>
      <w:r>
        <w:instrText xml:space="preserve"> HYPERLINK \l "_Toc185352737" </w:instrText>
      </w:r>
      <w:r>
        <w:fldChar w:fldCharType="separate"/>
      </w:r>
      <w:r>
        <w:rPr>
          <w:rStyle w:val="45"/>
          <w:rFonts w:hint="eastAsia"/>
        </w:rPr>
        <w:t>第3章</w:t>
      </w:r>
      <w:r>
        <w:rPr>
          <w:rFonts w:hint="eastAsia" w:asciiTheme="minorHAnsi" w:hAnsiTheme="minorHAnsi" w:eastAsiaTheme="minorEastAsia"/>
          <w:sz w:val="21"/>
          <w:szCs w:val="22"/>
          <w14:ligatures w14:val="standardContextual"/>
        </w:rPr>
        <w:tab/>
      </w:r>
      <w:r>
        <w:rPr>
          <w:rStyle w:val="45"/>
          <w:rFonts w:hint="eastAsia"/>
        </w:rPr>
        <w:t>设计要求</w:t>
      </w:r>
      <w:r>
        <w:rPr>
          <w:rFonts w:hint="eastAsia"/>
        </w:rPr>
        <w:tab/>
      </w:r>
      <w:r>
        <w:rPr>
          <w:rFonts w:hint="eastAsia"/>
        </w:rPr>
        <w:fldChar w:fldCharType="begin"/>
      </w:r>
      <w:r>
        <w:rPr>
          <w:rFonts w:hint="eastAsia"/>
        </w:rPr>
        <w:instrText xml:space="preserve"> </w:instrText>
      </w:r>
      <w:r>
        <w:instrText xml:space="preserve">PAGEREF _Toc185352737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64B64787">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"_Toc185352738" </w:instrText>
      </w:r>
      <w:r>
        <w:fldChar w:fldCharType="separate"/>
      </w:r>
      <w:r>
        <w:rPr>
          <w:rStyle w:val="45"/>
          <w:rFonts w:hint="eastAsia" w:asciiTheme="minorEastAsia" w:hAnsiTheme="minorEastAsia"/>
        </w:rPr>
        <w:t>3.1</w:t>
      </w:r>
      <w:r>
        <w:rPr>
          <w:rFonts w:hint="eastAsia" w:asciiTheme="minorHAnsi" w:hAnsiTheme="minorHAnsi" w:eastAsiaTheme="minorEastAsia"/>
          <w:color w:val="auto"/>
          <w:sz w:val="21"/>
          <w:szCs w:val="22"/>
          <w14:ligatures w14:val="standardContextual"/>
        </w:rPr>
        <w:tab/>
      </w:r>
      <w:r>
        <w:rPr>
          <w:rStyle w:val="45"/>
          <w:rFonts w:hint="eastAsia"/>
        </w:rPr>
        <w:t>设计总体要求</w:t>
      </w:r>
      <w:r>
        <w:rPr>
          <w:rFonts w:hint="eastAsia"/>
        </w:rPr>
        <w:tab/>
      </w:r>
      <w:r>
        <w:rPr>
          <w:rFonts w:hint="eastAsia"/>
        </w:rPr>
        <w:fldChar w:fldCharType="begin"/>
      </w:r>
      <w:r>
        <w:rPr>
          <w:rFonts w:hint="eastAsia"/>
        </w:rPr>
        <w:instrText xml:space="preserve"> </w:instrText>
      </w:r>
      <w:r>
        <w:instrText xml:space="preserve">PAGEREF _Toc185352738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3FE2E248">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"_Toc185352739" </w:instrText>
      </w:r>
      <w:r>
        <w:fldChar w:fldCharType="separate"/>
      </w:r>
      <w:r>
        <w:rPr>
          <w:rStyle w:val="45"/>
          <w:rFonts w:hint="eastAsia" w:asciiTheme="minorEastAsia" w:hAnsiTheme="minorEastAsia"/>
        </w:rPr>
        <w:t>3.2</w:t>
      </w:r>
      <w:r>
        <w:rPr>
          <w:rFonts w:hint="eastAsia" w:asciiTheme="minorHAnsi" w:hAnsiTheme="minorHAnsi" w:eastAsiaTheme="minorEastAsia"/>
          <w:color w:val="auto"/>
          <w:sz w:val="21"/>
          <w:szCs w:val="22"/>
          <w14:ligatures w14:val="standardContextual"/>
        </w:rPr>
        <w:tab/>
      </w:r>
      <w:r>
        <w:rPr>
          <w:rStyle w:val="45"/>
          <w:rFonts w:hint="eastAsia"/>
        </w:rPr>
        <w:t>设计工作要求</w:t>
      </w:r>
      <w:r>
        <w:rPr>
          <w:rFonts w:hint="eastAsia"/>
        </w:rPr>
        <w:tab/>
      </w:r>
      <w:r>
        <w:rPr>
          <w:rFonts w:hint="eastAsia"/>
        </w:rPr>
        <w:fldChar w:fldCharType="begin"/>
      </w:r>
      <w:r>
        <w:rPr>
          <w:rFonts w:hint="eastAsia"/>
        </w:rPr>
        <w:instrText xml:space="preserve"> </w:instrText>
      </w:r>
      <w:r>
        <w:instrText xml:space="preserve">PAGEREF _Toc185352739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7E0FAEA2">
      <w:pPr>
        <w:pStyle w:val="27"/>
        <w:tabs>
          <w:tab w:val="left" w:pos="1818"/>
          <w:tab w:val="right" w:leader="dot" w:pos="8296"/>
        </w:tabs>
        <w:ind w:firstLine="708"/>
        <w:rPr>
          <w:rFonts w:asciiTheme="minorHAnsi" w:hAnsiTheme="minorHAnsi" w:eastAsiaTheme="minorEastAsia"/>
          <w:sz w:val="21"/>
          <w:szCs w:val="22"/>
          <w14:ligatures w14:val="standardContextual"/>
        </w:rPr>
      </w:pPr>
      <w:r>
        <w:fldChar w:fldCharType="begin"/>
      </w:r>
      <w:r>
        <w:instrText xml:space="preserve"> HYPERLINK \l "_Toc185352740" </w:instrText>
      </w:r>
      <w:r>
        <w:fldChar w:fldCharType="separate"/>
      </w:r>
      <w:r>
        <w:rPr>
          <w:rStyle w:val="45"/>
          <w:rFonts w:hint="eastAsia"/>
        </w:rPr>
        <w:t>第4章</w:t>
      </w:r>
      <w:r>
        <w:rPr>
          <w:rFonts w:hint="eastAsia" w:asciiTheme="minorHAnsi" w:hAnsiTheme="minorHAnsi" w:eastAsiaTheme="minorEastAsia"/>
          <w:sz w:val="21"/>
          <w:szCs w:val="22"/>
          <w14:ligatures w14:val="standardContextual"/>
        </w:rPr>
        <w:tab/>
      </w:r>
      <w:r>
        <w:rPr>
          <w:rStyle w:val="45"/>
          <w:rFonts w:hint="eastAsia"/>
        </w:rPr>
        <w:t>设计人员组织管理要求</w:t>
      </w:r>
      <w:r>
        <w:rPr>
          <w:rFonts w:hint="eastAsia"/>
        </w:rPr>
        <w:tab/>
      </w:r>
      <w:r>
        <w:rPr>
          <w:rFonts w:hint="eastAsia"/>
        </w:rPr>
        <w:fldChar w:fldCharType="begin"/>
      </w:r>
      <w:r>
        <w:rPr>
          <w:rFonts w:hint="eastAsia"/>
        </w:rPr>
        <w:instrText xml:space="preserve"> </w:instrText>
      </w:r>
      <w:r>
        <w:instrText xml:space="preserve">PAGEREF _Toc185352740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3AAB6BD2">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"_Toc185352741" </w:instrText>
      </w:r>
      <w:r>
        <w:fldChar w:fldCharType="separate"/>
      </w:r>
      <w:r>
        <w:rPr>
          <w:rStyle w:val="45"/>
          <w:rFonts w:hint="eastAsia" w:asciiTheme="minorEastAsia" w:hAnsiTheme="minorEastAsia"/>
        </w:rPr>
        <w:t>4.1</w:t>
      </w:r>
      <w:r>
        <w:rPr>
          <w:rFonts w:hint="eastAsia" w:asciiTheme="minorHAnsi" w:hAnsiTheme="minorHAnsi" w:eastAsiaTheme="minorEastAsia"/>
          <w:color w:val="auto"/>
          <w:sz w:val="21"/>
          <w:szCs w:val="22"/>
          <w14:ligatures w14:val="standardContextual"/>
        </w:rPr>
        <w:tab/>
      </w:r>
      <w:r>
        <w:rPr>
          <w:rStyle w:val="45"/>
          <w:rFonts w:hint="eastAsia"/>
        </w:rPr>
        <w:t>设计人员组织管理</w:t>
      </w:r>
      <w:r>
        <w:rPr>
          <w:rFonts w:hint="eastAsia"/>
        </w:rPr>
        <w:tab/>
      </w:r>
      <w:r>
        <w:rPr>
          <w:rFonts w:hint="eastAsia"/>
        </w:rPr>
        <w:fldChar w:fldCharType="begin"/>
      </w:r>
      <w:r>
        <w:rPr>
          <w:rFonts w:hint="eastAsia"/>
        </w:rPr>
        <w:instrText xml:space="preserve"> </w:instrText>
      </w:r>
      <w:r>
        <w:instrText xml:space="preserve">PAGEREF _Toc185352741 \h</w:instrText>
      </w:r>
      <w:r>
        <w:rPr>
          <w:rFonts w:hint="eastAsia"/>
        </w:rPr>
        <w:instrText xml:space="preserve"> </w:instrText>
      </w:r>
      <w:r>
        <w:rPr>
          <w:rFonts w:hint="eastAsia"/>
        </w:rPr>
        <w:fldChar w:fldCharType="separate"/>
      </w:r>
      <w:r>
        <w:rPr>
          <w:rFonts w:hint="eastAsia"/>
        </w:rPr>
        <w:t>32</w:t>
      </w:r>
      <w:r>
        <w:rPr>
          <w:rFonts w:hint="eastAsia"/>
        </w:rPr>
        <w:fldChar w:fldCharType="end"/>
      </w:r>
      <w:r>
        <w:rPr>
          <w:rFonts w:hint="eastAsia"/>
        </w:rPr>
        <w:fldChar w:fldCharType="end"/>
      </w:r>
    </w:p>
    <w:p w14:paraId="5D543194">
      <w:pPr>
        <w:pStyle w:val="27"/>
        <w:tabs>
          <w:tab w:val="left" w:pos="1818"/>
          <w:tab w:val="right" w:leader="dot" w:pos="8296"/>
        </w:tabs>
        <w:ind w:firstLine="708"/>
        <w:rPr>
          <w:rFonts w:asciiTheme="minorHAnsi" w:hAnsiTheme="minorHAnsi" w:eastAsiaTheme="minorEastAsia"/>
          <w:sz w:val="21"/>
          <w:szCs w:val="22"/>
          <w14:ligatures w14:val="standardContextual"/>
        </w:rPr>
      </w:pPr>
      <w:r>
        <w:fldChar w:fldCharType="begin"/>
      </w:r>
      <w:r>
        <w:instrText xml:space="preserve"> HYPERLINK \l "_Toc185352742" </w:instrText>
      </w:r>
      <w:r>
        <w:fldChar w:fldCharType="separate"/>
      </w:r>
      <w:r>
        <w:rPr>
          <w:rStyle w:val="45"/>
          <w:rFonts w:hint="eastAsia"/>
        </w:rPr>
        <w:t>第5章</w:t>
      </w:r>
      <w:r>
        <w:rPr>
          <w:rFonts w:hint="eastAsia" w:asciiTheme="minorHAnsi" w:hAnsiTheme="minorHAnsi" w:eastAsiaTheme="minorEastAsia"/>
          <w:sz w:val="21"/>
          <w:szCs w:val="22"/>
          <w14:ligatures w14:val="standardContextual"/>
        </w:rPr>
        <w:tab/>
      </w:r>
      <w:r>
        <w:rPr>
          <w:rStyle w:val="45"/>
          <w:rFonts w:hint="eastAsia"/>
        </w:rPr>
        <w:t>设计成果提交要求</w:t>
      </w:r>
      <w:r>
        <w:rPr>
          <w:rFonts w:hint="eastAsia"/>
        </w:rPr>
        <w:tab/>
      </w:r>
      <w:r>
        <w:rPr>
          <w:rFonts w:hint="eastAsia"/>
        </w:rPr>
        <w:fldChar w:fldCharType="begin"/>
      </w:r>
      <w:r>
        <w:rPr>
          <w:rFonts w:hint="eastAsia"/>
        </w:rPr>
        <w:instrText xml:space="preserve"> </w:instrText>
      </w:r>
      <w:r>
        <w:instrText xml:space="preserve">PAGEREF _Toc185352742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01FECFE3">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"_Toc185352743" </w:instrText>
      </w:r>
      <w:r>
        <w:fldChar w:fldCharType="separate"/>
      </w:r>
      <w:r>
        <w:rPr>
          <w:rStyle w:val="45"/>
          <w:rFonts w:hint="eastAsia" w:asciiTheme="minorEastAsia" w:hAnsiTheme="minorEastAsia"/>
        </w:rPr>
        <w:t>5.1</w:t>
      </w:r>
      <w:r>
        <w:rPr>
          <w:rFonts w:hint="eastAsia" w:asciiTheme="minorHAnsi" w:hAnsiTheme="minorHAnsi" w:eastAsiaTheme="minorEastAsia"/>
          <w:color w:val="auto"/>
          <w:sz w:val="21"/>
          <w:szCs w:val="22"/>
          <w14:ligatures w14:val="standardContextual"/>
        </w:rPr>
        <w:tab/>
      </w:r>
      <w:r>
        <w:rPr>
          <w:rStyle w:val="45"/>
          <w:rFonts w:hint="eastAsia"/>
        </w:rPr>
        <w:t>通用要求</w:t>
      </w:r>
      <w:r>
        <w:rPr>
          <w:rFonts w:hint="eastAsia"/>
        </w:rPr>
        <w:tab/>
      </w:r>
      <w:r>
        <w:rPr>
          <w:rFonts w:hint="eastAsia"/>
        </w:rPr>
        <w:fldChar w:fldCharType="begin"/>
      </w:r>
      <w:r>
        <w:rPr>
          <w:rFonts w:hint="eastAsia"/>
        </w:rPr>
        <w:instrText xml:space="preserve"> </w:instrText>
      </w:r>
      <w:r>
        <w:instrText xml:space="preserve">PAGEREF _Toc185352743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2779F821">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"_Toc185352744" </w:instrText>
      </w:r>
      <w:r>
        <w:fldChar w:fldCharType="separate"/>
      </w:r>
      <w:r>
        <w:rPr>
          <w:rStyle w:val="45"/>
          <w:rFonts w:hint="eastAsia" w:asciiTheme="minorEastAsia" w:hAnsiTheme="minorEastAsia"/>
        </w:rPr>
        <w:t>5.2</w:t>
      </w:r>
      <w:r>
        <w:rPr>
          <w:rFonts w:hint="eastAsia" w:asciiTheme="minorHAnsi" w:hAnsiTheme="minorHAnsi" w:eastAsiaTheme="minorEastAsia"/>
          <w:color w:val="auto"/>
          <w:sz w:val="21"/>
          <w:szCs w:val="22"/>
          <w14:ligatures w14:val="standardContextual"/>
        </w:rPr>
        <w:tab/>
      </w:r>
      <w:r>
        <w:rPr>
          <w:rStyle w:val="45"/>
          <w:rFonts w:hint="eastAsia"/>
        </w:rPr>
        <w:t>设计成果要求</w:t>
      </w:r>
      <w:r>
        <w:rPr>
          <w:rFonts w:hint="eastAsia"/>
        </w:rPr>
        <w:tab/>
      </w:r>
      <w:r>
        <w:rPr>
          <w:rFonts w:hint="eastAsia"/>
        </w:rPr>
        <w:fldChar w:fldCharType="begin"/>
      </w:r>
      <w:r>
        <w:rPr>
          <w:rFonts w:hint="eastAsia"/>
        </w:rPr>
        <w:instrText xml:space="preserve"> </w:instrText>
      </w:r>
      <w:r>
        <w:instrText xml:space="preserve">PAGEREF _Toc185352744 \h</w:instrText>
      </w:r>
      <w:r>
        <w:rPr>
          <w:rFonts w:hint="eastAsia"/>
        </w:rPr>
        <w:instrText xml:space="preserve"> </w:instrText>
      </w:r>
      <w:r>
        <w:rPr>
          <w:rFonts w:hint="eastAsia"/>
        </w:rPr>
        <w:fldChar w:fldCharType="separate"/>
      </w:r>
      <w:r>
        <w:rPr>
          <w:rFonts w:hint="eastAsia"/>
        </w:rPr>
        <w:t>33</w:t>
      </w:r>
      <w:r>
        <w:rPr>
          <w:rFonts w:hint="eastAsia"/>
        </w:rPr>
        <w:fldChar w:fldCharType="end"/>
      </w:r>
      <w:r>
        <w:rPr>
          <w:rFonts w:hint="eastAsia"/>
        </w:rPr>
        <w:fldChar w:fldCharType="end"/>
      </w:r>
    </w:p>
    <w:p w14:paraId="0D30DA78">
      <w:pPr>
        <w:pStyle w:val="31"/>
        <w:rPr>
          <w:rFonts w:asciiTheme="minorHAnsi" w:hAnsiTheme="minorHAnsi" w:eastAsiaTheme="minorEastAsia"/>
          <w:color w:val="auto"/>
          <w:sz w:val="21"/>
          <w:szCs w:val="22"/>
          <w14:ligatures w14:val="standardContextual"/>
        </w:rPr>
      </w:pPr>
      <w:r>
        <w:fldChar w:fldCharType="begin"/>
      </w:r>
      <w:r>
        <w:instrText xml:space="preserve"> HYPERLINK \l "_Toc185352745" </w:instrText>
      </w:r>
      <w:r>
        <w:fldChar w:fldCharType="separate"/>
      </w:r>
      <w:r>
        <w:rPr>
          <w:rStyle w:val="45"/>
          <w:rFonts w:hint="eastAsia" w:asciiTheme="minorEastAsia" w:hAnsiTheme="minorEastAsia"/>
        </w:rPr>
        <w:t>5.3</w:t>
      </w:r>
      <w:r>
        <w:rPr>
          <w:rFonts w:hint="eastAsia" w:asciiTheme="minorHAnsi" w:hAnsiTheme="minorHAnsi" w:eastAsiaTheme="minorEastAsia"/>
          <w:color w:val="auto"/>
          <w:sz w:val="21"/>
          <w:szCs w:val="22"/>
          <w14:ligatures w14:val="standardContextual"/>
        </w:rPr>
        <w:tab/>
      </w:r>
      <w:r>
        <w:rPr>
          <w:rStyle w:val="45"/>
          <w:rFonts w:hint="eastAsia"/>
        </w:rPr>
        <w:t>提交设计资料要求</w:t>
      </w:r>
      <w:r>
        <w:rPr>
          <w:rFonts w:hint="eastAsia"/>
        </w:rPr>
        <w:tab/>
      </w:r>
      <w:r>
        <w:rPr>
          <w:rFonts w:hint="eastAsia"/>
        </w:rPr>
        <w:fldChar w:fldCharType="begin"/>
      </w:r>
      <w:r>
        <w:rPr>
          <w:rFonts w:hint="eastAsia"/>
        </w:rPr>
        <w:instrText xml:space="preserve"> </w:instrText>
      </w:r>
      <w:r>
        <w:instrText xml:space="preserve">PAGEREF _Toc185352745 \h</w:instrText>
      </w:r>
      <w:r>
        <w:rPr>
          <w:rFonts w:hint="eastAsia"/>
        </w:rPr>
        <w:instrText xml:space="preserve"> </w:instrText>
      </w:r>
      <w:r>
        <w:rPr>
          <w:rFonts w:hint="eastAsia"/>
        </w:rPr>
        <w:fldChar w:fldCharType="separate"/>
      </w:r>
      <w:r>
        <w:rPr>
          <w:rFonts w:hint="eastAsia"/>
        </w:rPr>
        <w:t>35</w:t>
      </w:r>
      <w:r>
        <w:rPr>
          <w:rFonts w:hint="eastAsia"/>
        </w:rPr>
        <w:fldChar w:fldCharType="end"/>
      </w:r>
      <w:r>
        <w:rPr>
          <w:rFonts w:hint="eastAsia"/>
        </w:rPr>
        <w:fldChar w:fldCharType="end"/>
      </w:r>
    </w:p>
    <w:p w14:paraId="2639D4DC">
      <w:pPr>
        <w:pStyle w:val="27"/>
        <w:tabs>
          <w:tab w:val="right" w:leader="dot" w:pos="8296"/>
        </w:tabs>
        <w:ind w:firstLine="708"/>
        <w:rPr>
          <w:rFonts w:asciiTheme="minorHAnsi" w:hAnsiTheme="minorHAnsi" w:eastAsiaTheme="minorEastAsia"/>
          <w:sz w:val="21"/>
          <w:szCs w:val="22"/>
          <w14:ligatures w14:val="standardContextual"/>
        </w:rPr>
      </w:pPr>
      <w:r>
        <w:fldChar w:fldCharType="begin"/>
      </w:r>
      <w:r>
        <w:instrText xml:space="preserve"> HYPERLINK \l "_Toc185352746" </w:instrText>
      </w:r>
      <w:r>
        <w:fldChar w:fldCharType="separate"/>
      </w:r>
      <w:r>
        <w:rPr>
          <w:rStyle w:val="45"/>
          <w:rFonts w:hint="eastAsia"/>
        </w:rPr>
        <w:t>附件目录</w:t>
      </w:r>
      <w:r>
        <w:rPr>
          <w:rFonts w:hint="eastAsia"/>
        </w:rPr>
        <w:tab/>
      </w:r>
      <w:r>
        <w:rPr>
          <w:rFonts w:hint="eastAsia"/>
        </w:rPr>
        <w:fldChar w:fldCharType="begin"/>
      </w:r>
      <w:r>
        <w:rPr>
          <w:rFonts w:hint="eastAsia"/>
        </w:rPr>
        <w:instrText xml:space="preserve"> </w:instrText>
      </w:r>
      <w:r>
        <w:instrText xml:space="preserve">PAGEREF _Toc185352746 \h</w:instrText>
      </w:r>
      <w:r>
        <w:rPr>
          <w:rFonts w:hint="eastAsia"/>
        </w:rPr>
        <w:instrText xml:space="preserve"> </w:instrText>
      </w:r>
      <w:r>
        <w:rPr>
          <w:rFonts w:hint="eastAsia"/>
        </w:rPr>
        <w:fldChar w:fldCharType="separate"/>
      </w:r>
      <w:r>
        <w:rPr>
          <w:rFonts w:hint="eastAsia"/>
        </w:rPr>
        <w:t>36</w:t>
      </w:r>
      <w:r>
        <w:rPr>
          <w:rFonts w:hint="eastAsia"/>
        </w:rPr>
        <w:fldChar w:fldCharType="end"/>
      </w:r>
      <w:r>
        <w:rPr>
          <w:rFonts w:hint="eastAsia"/>
        </w:rPr>
        <w:fldChar w:fldCharType="end"/>
      </w:r>
    </w:p>
    <w:p w14:paraId="13A7B64B">
      <w:pPr>
        <w:rPr>
          <w:rFonts w:hint="eastAsia"/>
          <w:color w:val="000000"/>
        </w:rPr>
      </w:pPr>
      <w:r>
        <w:rPr>
          <w:color w:val="000000"/>
        </w:rPr>
        <w:fldChar w:fldCharType="end"/>
      </w:r>
    </w:p>
    <w:p w14:paraId="58E7CE1C">
      <w:pPr>
        <w:rPr>
          <w:rFonts w:hint="eastAsia"/>
        </w:rPr>
        <w:sectPr>
          <w:footerReference r:id="rId11" w:type="default"/>
          <w:pgSz w:w="11906" w:h="16838"/>
          <w:pgMar w:top="1440" w:right="1800" w:bottom="1440" w:left="1800" w:header="851" w:footer="992" w:gutter="0"/>
          <w:pgNumType w:start="1"/>
          <w:cols w:space="720" w:num="1"/>
          <w:docGrid w:type="lines" w:linePitch="312" w:charSpace="0"/>
        </w:sectPr>
      </w:pPr>
    </w:p>
    <w:bookmarkEnd w:id="0"/>
    <w:p w14:paraId="0D639FE7">
      <w:pPr>
        <w:pStyle w:val="2"/>
        <w:rPr>
          <w:rFonts w:hint="eastAsia"/>
          <w:color w:val="000000"/>
        </w:rPr>
      </w:pPr>
      <w:bookmarkStart w:id="1" w:name="_Toc185352730"/>
      <w:r>
        <w:rPr>
          <w:color w:val="000000"/>
        </w:rPr>
        <w:t>项目概况</w:t>
      </w:r>
      <w:bookmarkEnd w:id="1"/>
    </w:p>
    <w:p w14:paraId="41FA2B3F">
      <w:pPr>
        <w:pStyle w:val="3"/>
        <w:rPr>
          <w:rFonts w:hint="eastAsia"/>
          <w:color w:val="000000"/>
        </w:rPr>
      </w:pPr>
      <w:bookmarkStart w:id="2" w:name="_Toc185352731"/>
      <w:r>
        <w:rPr>
          <w:color w:val="000000"/>
        </w:rPr>
        <w:t>项目基本信息</w:t>
      </w:r>
      <w:bookmarkEnd w:id="2"/>
    </w:p>
    <w:p w14:paraId="3559F0EB">
      <w:pPr>
        <w:pStyle w:val="4"/>
        <w:rPr>
          <w:rFonts w:hint="eastAsia"/>
          <w:color w:val="000000"/>
        </w:rPr>
      </w:pPr>
      <w:r>
        <w:rPr>
          <w:color w:val="000000"/>
        </w:rPr>
        <w:t>项目名称</w:t>
      </w:r>
    </w:p>
    <w:p w14:paraId="567C49D3">
      <w:pPr>
        <w:pStyle w:val="4"/>
        <w:numPr>
          <w:ilvl w:val="2"/>
          <w:numId w:val="0"/>
        </w:numPr>
        <w:rPr>
          <w:rFonts w:hint="eastAsia"/>
          <w:b w:val="0"/>
          <w:bCs/>
          <w:snapToGrid w:val="0"/>
          <w:sz w:val="24"/>
        </w:rPr>
      </w:pPr>
      <w:r>
        <w:rPr>
          <w:rFonts w:hint="eastAsia" w:ascii="宋体" w:hAnsi="宋体" w:eastAsia="宋体"/>
          <w:b w:val="0"/>
          <w:bCs/>
          <w:snapToGrid w:val="0"/>
          <w:sz w:val="24"/>
          <w:lang w:eastAsia="zh-CN"/>
        </w:rPr>
        <w:t>广州市荔湾区坑口村城中村改造项目首期安置房建设项目</w:t>
      </w:r>
    </w:p>
    <w:p w14:paraId="7929176A">
      <w:pPr>
        <w:pStyle w:val="4"/>
        <w:numPr>
          <w:ilvl w:val="2"/>
          <w:numId w:val="0"/>
        </w:numPr>
        <w:rPr>
          <w:rFonts w:hint="eastAsia"/>
          <w:color w:val="000000"/>
        </w:rPr>
      </w:pPr>
      <w:r>
        <w:rPr>
          <w:color w:val="000000"/>
        </w:rPr>
        <w:t>项目位置</w:t>
      </w:r>
    </w:p>
    <w:p w14:paraId="38742FB3">
      <w:pPr>
        <w:rPr>
          <w:rFonts w:ascii="Times New Roman" w:hAnsi="Times New Roman" w:cs="Times New Roman"/>
          <w:color w:val="000000"/>
        </w:rPr>
      </w:pPr>
      <w:r>
        <w:rPr>
          <w:rFonts w:hint="eastAsia"/>
          <w:bCs/>
          <w:snapToGrid w:val="0"/>
        </w:rPr>
        <w:t>广州市荔湾区</w:t>
      </w:r>
      <w:r>
        <w:rPr>
          <w:rFonts w:hint="eastAsia"/>
          <w:color w:val="000000"/>
        </w:rPr>
        <w:t>。</w:t>
      </w:r>
    </w:p>
    <w:p w14:paraId="5C56B8F9">
      <w:pPr>
        <w:pStyle w:val="4"/>
        <w:rPr>
          <w:rFonts w:hint="eastAsia"/>
          <w:color w:val="000000"/>
        </w:rPr>
      </w:pPr>
      <w:r>
        <w:rPr>
          <w:color w:val="000000"/>
        </w:rPr>
        <w:t>项目建设单位</w:t>
      </w:r>
    </w:p>
    <w:p w14:paraId="06030539">
      <w:pPr>
        <w:rPr>
          <w:rFonts w:hint="eastAsia"/>
          <w:color w:val="000000"/>
        </w:rPr>
      </w:pPr>
      <w:r>
        <w:rPr>
          <w:rFonts w:hint="eastAsia"/>
        </w:rPr>
        <w:t>广州聚业投资发展有限公司</w:t>
      </w:r>
    </w:p>
    <w:p w14:paraId="3CEC0A3D">
      <w:pPr>
        <w:pStyle w:val="4"/>
        <w:rPr>
          <w:rFonts w:hint="eastAsia"/>
          <w:color w:val="000000"/>
        </w:rPr>
      </w:pPr>
      <w:r>
        <w:rPr>
          <w:color w:val="000000"/>
        </w:rPr>
        <w:t>项目背景</w:t>
      </w:r>
    </w:p>
    <w:p w14:paraId="46519848">
      <w:pPr>
        <w:rPr>
          <w:rFonts w:hint="eastAsia"/>
          <w:color w:val="000000"/>
          <w:highlight w:val="none"/>
        </w:rPr>
      </w:pPr>
      <w:r>
        <w:rPr>
          <w:rFonts w:hint="eastAsia"/>
          <w:color w:val="000000"/>
          <w:highlight w:val="none"/>
        </w:rPr>
        <w:t>坑口村城中村改造项目位于粤港澳大湾区广佛极点核心区，是珠江沿岸高质量发展和白鹅潭商务区的重要引擎，是广佛同城战略的重要核心。项目周边四线地铁交汇（1号线、11号线、25号线、广佛线），地理位置优越。</w:t>
      </w:r>
    </w:p>
    <w:p w14:paraId="434BDEFE">
      <w:pPr>
        <w:rPr>
          <w:rFonts w:hint="eastAsia"/>
          <w:color w:val="000000"/>
          <w:highlight w:val="none"/>
        </w:rPr>
      </w:pPr>
      <w:r>
        <w:rPr>
          <w:color w:val="000000"/>
          <w:highlight w:val="none"/>
        </w:rPr>
        <w:t>坑口村改造项目纳入《广州市2024年城市更新项目年度计划》、《广州市城中村改造专项规划(2021-2035年)》2021-2025年城中村改造项目分布推进时序安排，属于重点平台型项目，采取全面改造方式、统筹做地模式推进</w:t>
      </w:r>
      <w:r>
        <w:rPr>
          <w:rFonts w:hint="eastAsia"/>
          <w:color w:val="000000"/>
          <w:highlight w:val="none"/>
        </w:rPr>
        <w:t>。项目需积极稳步推进城中村改造，积极探索超大特大城市城中村改造模式，争做城中村改造范本。</w:t>
      </w:r>
    </w:p>
    <w:p w14:paraId="50B69223">
      <w:pPr>
        <w:pStyle w:val="4"/>
        <w:rPr>
          <w:rFonts w:hint="eastAsia"/>
          <w:color w:val="000000"/>
          <w:highlight w:val="none"/>
        </w:rPr>
      </w:pPr>
      <w:r>
        <w:rPr>
          <w:color w:val="000000"/>
          <w:highlight w:val="none"/>
        </w:rPr>
        <w:t>项目建设的重要性</w:t>
      </w:r>
    </w:p>
    <w:p w14:paraId="071116B8">
      <w:pPr>
        <w:ind w:firstLine="0" w:firstLineChars="0"/>
        <w:rPr>
          <w:rFonts w:hint="eastAsia"/>
          <w:color w:val="000000"/>
          <w:highlight w:val="none"/>
        </w:rPr>
      </w:pPr>
      <w:r>
        <w:rPr>
          <w:rFonts w:hint="eastAsia"/>
          <w:color w:val="000000"/>
          <w:highlight w:val="none"/>
        </w:rPr>
        <w:t>（1）加快片区更新改造，建设荔湾区产城融合发展示范区</w:t>
      </w:r>
    </w:p>
    <w:p w14:paraId="35A147B1">
      <w:pPr>
        <w:ind w:firstLine="480" w:firstLineChars="200"/>
        <w:rPr>
          <w:rFonts w:hint="eastAsia"/>
          <w:color w:val="000000"/>
          <w:highlight w:val="none"/>
        </w:rPr>
      </w:pPr>
      <w:r>
        <w:rPr>
          <w:rFonts w:hint="eastAsia"/>
          <w:color w:val="000000"/>
          <w:highlight w:val="none"/>
        </w:rPr>
        <w:t>为贯彻高质量发展精神，落实中央“三大工程”战略部署，荔湾区加快推进聚龙湾片区二期及坑口村更新改造和开发建设，高质量打造产城融合发展示范区。未来将通过国企做地模式开展全生命周期开发，引导区域空间品质提升与产业转型升级，促进片区现代产业聚集。</w:t>
      </w:r>
    </w:p>
    <w:p w14:paraId="074829A5">
      <w:pPr>
        <w:ind w:firstLine="0" w:firstLineChars="0"/>
        <w:rPr>
          <w:rFonts w:hint="eastAsia"/>
          <w:color w:val="000000"/>
          <w:highlight w:val="none"/>
        </w:rPr>
      </w:pPr>
      <w:r>
        <w:rPr>
          <w:rFonts w:hint="eastAsia"/>
          <w:color w:val="000000"/>
          <w:highlight w:val="none"/>
        </w:rPr>
        <w:t>（2）积极探索超大特大城市城中村改造模式，</w:t>
      </w:r>
      <w:r>
        <w:rPr>
          <w:color w:val="000000"/>
          <w:highlight w:val="none"/>
        </w:rPr>
        <w:t>争做城中村改造范本</w:t>
      </w:r>
    </w:p>
    <w:p w14:paraId="76725855">
      <w:pPr>
        <w:ind w:firstLine="480" w:firstLineChars="200"/>
        <w:rPr>
          <w:rFonts w:hint="eastAsia"/>
          <w:color w:val="000000"/>
          <w:highlight w:val="none"/>
        </w:rPr>
      </w:pPr>
      <w:r>
        <w:rPr>
          <w:color w:val="000000"/>
          <w:highlight w:val="none"/>
        </w:rPr>
        <w:t>1</w:t>
      </w:r>
      <w:r>
        <w:rPr>
          <w:rFonts w:hint="eastAsia"/>
          <w:color w:val="000000"/>
          <w:highlight w:val="none"/>
        </w:rPr>
        <w:t>） 《广州市城中村改造条例》获批，是全国首个专门针对城中村改造的地方性法规条例。</w:t>
      </w:r>
    </w:p>
    <w:p w14:paraId="1BB3BA54">
      <w:pPr>
        <w:ind w:firstLine="480" w:firstLineChars="200"/>
        <w:rPr>
          <w:rFonts w:hint="eastAsia"/>
          <w:color w:val="000000"/>
          <w:highlight w:val="none"/>
        </w:rPr>
      </w:pPr>
      <w:r>
        <w:rPr>
          <w:color w:val="000000"/>
          <w:highlight w:val="none"/>
        </w:rPr>
        <w:t>2</w:t>
      </w:r>
      <w:r>
        <w:rPr>
          <w:rFonts w:hint="eastAsia"/>
          <w:color w:val="000000"/>
          <w:highlight w:val="none"/>
        </w:rPr>
        <w:t>）广州市城中村改造建设指挥部办公室明确编制城中村改造方案的主要任务是</w:t>
      </w:r>
      <w:r>
        <w:rPr>
          <w:color w:val="000000"/>
          <w:highlight w:val="none"/>
        </w:rPr>
        <w:t>:对城中村改造项目的改造方式、改造范围、建设规模和标准、建设时序、资金平衡和运营管理等方面作出安排和指引，明确改造实施的各项要求、协调各方利益。城中村改造方案须达到可行性研究报告深度，作为指导项目实施的重要依据。</w:t>
      </w:r>
    </w:p>
    <w:p w14:paraId="58FFEF52">
      <w:pPr>
        <w:ind w:firstLine="480" w:firstLineChars="200"/>
        <w:rPr>
          <w:rFonts w:hint="eastAsia"/>
          <w:color w:val="000000"/>
          <w:highlight w:val="none"/>
        </w:rPr>
      </w:pPr>
      <w:r>
        <w:rPr>
          <w:color w:val="000000"/>
          <w:highlight w:val="none"/>
        </w:rPr>
        <w:t>3</w:t>
      </w:r>
      <w:r>
        <w:rPr>
          <w:rFonts w:hint="eastAsia"/>
          <w:color w:val="000000"/>
          <w:highlight w:val="none"/>
        </w:rPr>
        <w:t>）</w:t>
      </w:r>
      <w:r>
        <w:rPr>
          <w:color w:val="000000"/>
          <w:highlight w:val="none"/>
        </w:rPr>
        <w:t>广州市城中村改造建设指挥部办公室印发《城中村改造实施计划(模板)》</w:t>
      </w:r>
      <w:r>
        <w:rPr>
          <w:rFonts w:hint="eastAsia"/>
          <w:color w:val="000000"/>
          <w:highlight w:val="none"/>
        </w:rPr>
        <w:t>、</w:t>
      </w:r>
      <w:r>
        <w:rPr>
          <w:color w:val="000000"/>
          <w:highlight w:val="none"/>
        </w:rPr>
        <w:t>《广州市城中村改造方案编制和报批工作指引》，规范城中村改造方案编制与审批。</w:t>
      </w:r>
    </w:p>
    <w:p w14:paraId="6D8D0F94">
      <w:pPr>
        <w:ind w:firstLine="0" w:firstLineChars="0"/>
        <w:rPr>
          <w:rFonts w:hint="eastAsia"/>
          <w:color w:val="000000"/>
          <w:highlight w:val="none"/>
        </w:rPr>
      </w:pPr>
      <w:r>
        <w:rPr>
          <w:rFonts w:hint="eastAsia"/>
          <w:color w:val="000000"/>
          <w:highlight w:val="none"/>
        </w:rPr>
        <w:t>（</w:t>
      </w:r>
      <w:r>
        <w:rPr>
          <w:color w:val="000000"/>
          <w:highlight w:val="none"/>
        </w:rPr>
        <w:t>3</w:t>
      </w:r>
      <w:r>
        <w:rPr>
          <w:rFonts w:hint="eastAsia"/>
          <w:color w:val="000000"/>
          <w:highlight w:val="none"/>
        </w:rPr>
        <w:t>）完全片区城市公共服务设施体系，打造生态友好的高端社区</w:t>
      </w:r>
    </w:p>
    <w:p w14:paraId="579B8518">
      <w:pPr>
        <w:ind w:firstLine="480" w:firstLineChars="200"/>
        <w:rPr>
          <w:rFonts w:hint="eastAsia"/>
          <w:color w:val="000000"/>
          <w:highlight w:val="none"/>
        </w:rPr>
      </w:pPr>
      <w:r>
        <w:rPr>
          <w:rFonts w:hint="eastAsia"/>
          <w:color w:val="000000"/>
          <w:highlight w:val="none"/>
        </w:rPr>
        <w:t>以人为本，合理安排产业、居住、服务、游憩等空间，完善片区公共服务设施体系，打造连续、可达的高品质开敞空间体系，营造产城融合的生态友好型型高端社区，全面激发城市活力。</w:t>
      </w:r>
    </w:p>
    <w:p w14:paraId="044DCBF4">
      <w:pPr>
        <w:pStyle w:val="4"/>
        <w:rPr>
          <w:rFonts w:hint="eastAsia"/>
          <w:color w:val="000000"/>
          <w:highlight w:val="none"/>
        </w:rPr>
      </w:pPr>
      <w:r>
        <w:rPr>
          <w:color w:val="000000"/>
          <w:highlight w:val="none"/>
        </w:rPr>
        <w:t>项目建设规模</w:t>
      </w:r>
    </w:p>
    <w:p w14:paraId="37960823">
      <w:pPr>
        <w:rPr>
          <w:rFonts w:hint="eastAsia"/>
          <w:color w:val="000000"/>
          <w:highlight w:val="none"/>
        </w:rPr>
      </w:pPr>
      <w:r>
        <w:rPr>
          <w:rFonts w:hint="eastAsia"/>
          <w:color w:val="000000"/>
          <w:highlight w:val="none"/>
        </w:rPr>
        <w:t>广州市荔湾区坑口村城中村改造项目包含首开区花城玻璃厂A41号地块，总用地面积18654㎡，容积率4.80，建筑限高150m，总计容面积89538㎡，包括住宅82002㎡，商办5000㎡，非独立占地公服配套2536㎡。</w:t>
      </w:r>
    </w:p>
    <w:p w14:paraId="11C2FEE9">
      <w:pPr>
        <w:ind w:firstLine="0" w:firstLineChars="0"/>
        <w:rPr>
          <w:rFonts w:hint="eastAsia"/>
          <w:color w:val="000000"/>
          <w:highlight w:val="none"/>
        </w:rPr>
      </w:pPr>
      <w:r>
        <w:rPr>
          <w:rFonts w:hint="eastAsia"/>
          <w:color w:val="000000"/>
          <w:highlight w:val="none"/>
        </w:rPr>
        <w:t>（工程规模最终以政府主管部门和规划建设管理部门批复为准）</w:t>
      </w:r>
    </w:p>
    <w:p w14:paraId="00B9DC1B">
      <w:pPr>
        <w:rPr>
          <w:rFonts w:hint="eastAsia"/>
          <w:color w:val="000000"/>
          <w:highlight w:val="none"/>
        </w:rPr>
      </w:pPr>
    </w:p>
    <w:p w14:paraId="753DB8C5">
      <w:pPr>
        <w:rPr>
          <w:rFonts w:hint="eastAsia"/>
          <w:color w:val="000000"/>
          <w:highlight w:val="none"/>
        </w:rPr>
      </w:pPr>
    </w:p>
    <w:p w14:paraId="5BE649EA">
      <w:pPr>
        <w:spacing w:line="240" w:lineRule="auto"/>
        <w:jc w:val="center"/>
        <w:rPr>
          <w:rFonts w:hint="eastAsia"/>
          <w:color w:val="000000"/>
          <w:highlight w:val="none"/>
        </w:rPr>
      </w:pPr>
    </w:p>
    <w:p w14:paraId="2CAE6E0D">
      <w:pPr>
        <w:pStyle w:val="4"/>
        <w:rPr>
          <w:rFonts w:hint="eastAsia"/>
          <w:color w:val="000000"/>
          <w:highlight w:val="none"/>
        </w:rPr>
      </w:pPr>
      <w:r>
        <w:rPr>
          <w:color w:val="000000"/>
          <w:highlight w:val="none"/>
        </w:rPr>
        <w:t>项目建设依据</w:t>
      </w:r>
    </w:p>
    <w:p w14:paraId="3AC0AC9C">
      <w:pPr>
        <w:pStyle w:val="6"/>
        <w:numPr>
          <w:ilvl w:val="0"/>
          <w:numId w:val="3"/>
        </w:numPr>
        <w:ind w:firstLineChars="0"/>
        <w:rPr>
          <w:rFonts w:hint="eastAsia"/>
          <w:color w:val="000000"/>
          <w:highlight w:val="none"/>
        </w:rPr>
      </w:pPr>
      <w:r>
        <w:rPr>
          <w:color w:val="000000"/>
          <w:highlight w:val="none"/>
        </w:rPr>
        <w:t>现行法律法规</w:t>
      </w:r>
    </w:p>
    <w:p w14:paraId="0CAAA5E1">
      <w:pPr>
        <w:ind w:left="566" w:firstLine="0" w:firstLineChars="0"/>
        <w:rPr>
          <w:rFonts w:hint="eastAsia"/>
          <w:color w:val="000000"/>
          <w:highlight w:val="none"/>
        </w:rPr>
      </w:pPr>
      <w:r>
        <w:rPr>
          <w:rFonts w:hint="eastAsia"/>
          <w:color w:val="000000"/>
          <w:highlight w:val="none"/>
        </w:rPr>
        <w:t>（</w:t>
      </w:r>
      <w:r>
        <w:rPr>
          <w:color w:val="000000"/>
          <w:highlight w:val="none"/>
        </w:rPr>
        <w:t>1）</w:t>
      </w:r>
      <w:r>
        <w:rPr>
          <w:color w:val="000000"/>
          <w:highlight w:val="none"/>
        </w:rPr>
        <w:tab/>
      </w:r>
      <w:r>
        <w:rPr>
          <w:color w:val="000000"/>
          <w:highlight w:val="none"/>
        </w:rPr>
        <w:t>国家及省市颁布的相关法律、法规、规定</w:t>
      </w:r>
    </w:p>
    <w:p w14:paraId="09AA6DFA">
      <w:pPr>
        <w:rPr>
          <w:rFonts w:hint="eastAsia"/>
          <w:color w:val="000000"/>
          <w:highlight w:val="none"/>
        </w:rPr>
      </w:pPr>
      <w:r>
        <w:rPr>
          <w:color w:val="000000"/>
          <w:highlight w:val="none"/>
        </w:rPr>
        <w:t>2．现行技术标准与规范</w:t>
      </w:r>
    </w:p>
    <w:p w14:paraId="6A49BD00">
      <w:pPr>
        <w:pStyle w:val="6"/>
        <w:numPr>
          <w:ilvl w:val="0"/>
          <w:numId w:val="4"/>
        </w:numPr>
        <w:ind w:left="0" w:firstLine="564" w:firstLineChars="235"/>
        <w:rPr>
          <w:rFonts w:hint="eastAsia" w:ascii="微软雅黑" w:hAnsi="微软雅黑" w:eastAsia="微软雅黑"/>
          <w:color w:val="000000"/>
          <w:szCs w:val="21"/>
          <w:highlight w:val="none"/>
        </w:rPr>
      </w:pPr>
      <w:r>
        <w:rPr>
          <w:color w:val="000000"/>
          <w:highlight w:val="none"/>
        </w:rPr>
        <w:t>《广州市城市规划管理技术标准与准则》—建筑工程规划管理篇/修建性详细规划篇/市政规划篇（2005年12月）</w:t>
      </w:r>
    </w:p>
    <w:p w14:paraId="29E49725">
      <w:pPr>
        <w:pStyle w:val="6"/>
        <w:numPr>
          <w:ilvl w:val="0"/>
          <w:numId w:val="4"/>
        </w:numPr>
        <w:ind w:left="0" w:firstLine="564" w:firstLineChars="235"/>
        <w:rPr>
          <w:rFonts w:hint="eastAsia" w:ascii="微软雅黑" w:hAnsi="微软雅黑" w:eastAsia="微软雅黑"/>
          <w:color w:val="000000"/>
          <w:szCs w:val="21"/>
          <w:highlight w:val="none"/>
        </w:rPr>
      </w:pPr>
      <w:r>
        <w:rPr>
          <w:color w:val="000000"/>
          <w:highlight w:val="none"/>
        </w:rPr>
        <w:t>《广州市城乡规划技术规定》</w:t>
      </w:r>
    </w:p>
    <w:p w14:paraId="418740BB">
      <w:pPr>
        <w:pStyle w:val="6"/>
        <w:numPr>
          <w:ilvl w:val="0"/>
          <w:numId w:val="4"/>
        </w:numPr>
        <w:ind w:left="0" w:firstLine="564" w:firstLineChars="235"/>
        <w:rPr>
          <w:rFonts w:hint="eastAsia" w:ascii="微软雅黑" w:hAnsi="微软雅黑" w:eastAsia="微软雅黑"/>
          <w:color w:val="000000"/>
          <w:szCs w:val="21"/>
          <w:highlight w:val="none"/>
        </w:rPr>
      </w:pPr>
      <w:r>
        <w:rPr>
          <w:color w:val="000000"/>
          <w:highlight w:val="none"/>
        </w:rPr>
        <w:t>各专业相关规范</w:t>
      </w:r>
      <w:r>
        <w:rPr>
          <w:rFonts w:hint="eastAsia"/>
          <w:color w:val="000000"/>
          <w:highlight w:val="none"/>
        </w:rPr>
        <w:t>:</w:t>
      </w:r>
    </w:p>
    <w:p w14:paraId="7CCB1B0C">
      <w:pPr>
        <w:pStyle w:val="6"/>
        <w:numPr>
          <w:ilvl w:val="0"/>
          <w:numId w:val="5"/>
        </w:numPr>
        <w:ind w:firstLineChars="0"/>
        <w:rPr>
          <w:rFonts w:hint="eastAsia"/>
          <w:color w:val="000000"/>
          <w:highlight w:val="none"/>
        </w:rPr>
      </w:pPr>
      <w:r>
        <w:rPr>
          <w:rFonts w:hint="eastAsia"/>
          <w:color w:val="000000"/>
          <w:highlight w:val="none"/>
        </w:rPr>
        <w:t>建筑专业:</w:t>
      </w:r>
    </w:p>
    <w:p w14:paraId="16D9A8C0">
      <w:pPr>
        <w:pStyle w:val="6"/>
        <w:ind w:left="984" w:firstLine="0" w:firstLineChars="0"/>
        <w:rPr>
          <w:rFonts w:hint="eastAsia"/>
          <w:color w:val="000000"/>
          <w:highlight w:val="none"/>
        </w:rPr>
      </w:pPr>
      <w:r>
        <w:rPr>
          <w:rFonts w:hint="eastAsia"/>
          <w:color w:val="000000"/>
          <w:highlight w:val="none"/>
        </w:rPr>
        <w:t>《工程建设标准强制性条文》房屋建筑部分</w:t>
      </w:r>
      <w:r>
        <w:rPr>
          <w:color w:val="000000"/>
          <w:highlight w:val="none"/>
        </w:rPr>
        <w:t xml:space="preserve"> （2013年版）</w:t>
      </w:r>
    </w:p>
    <w:p w14:paraId="372B9E4C">
      <w:pPr>
        <w:pStyle w:val="6"/>
        <w:ind w:left="984" w:firstLine="0" w:firstLineChars="0"/>
        <w:rPr>
          <w:rFonts w:hint="eastAsia"/>
          <w:color w:val="000000"/>
          <w:highlight w:val="none"/>
        </w:rPr>
      </w:pPr>
      <w:r>
        <w:rPr>
          <w:rFonts w:hint="eastAsia"/>
          <w:color w:val="000000"/>
          <w:highlight w:val="none"/>
        </w:rPr>
        <w:t>《民用建筑设计统一标准》</w:t>
      </w:r>
      <w:r>
        <w:rPr>
          <w:color w:val="000000"/>
          <w:highlight w:val="none"/>
        </w:rPr>
        <w:t xml:space="preserve"> GB 50352-2019</w:t>
      </w:r>
    </w:p>
    <w:p w14:paraId="1F64AD91">
      <w:pPr>
        <w:pStyle w:val="6"/>
        <w:ind w:left="984" w:firstLine="0" w:firstLineChars="0"/>
        <w:rPr>
          <w:rFonts w:hint="eastAsia"/>
          <w:color w:val="000000"/>
          <w:highlight w:val="none"/>
        </w:rPr>
      </w:pPr>
      <w:r>
        <w:rPr>
          <w:rFonts w:hint="eastAsia"/>
          <w:color w:val="000000"/>
          <w:highlight w:val="none"/>
        </w:rPr>
        <w:t>《城市居住区规划设计规范》</w:t>
      </w:r>
      <w:r>
        <w:rPr>
          <w:color w:val="000000"/>
          <w:highlight w:val="none"/>
        </w:rPr>
        <w:t xml:space="preserve"> GB 50180-2018</w:t>
      </w:r>
    </w:p>
    <w:p w14:paraId="746352FD">
      <w:pPr>
        <w:pStyle w:val="6"/>
        <w:ind w:left="984" w:firstLine="0" w:firstLineChars="0"/>
        <w:rPr>
          <w:rFonts w:hint="eastAsia"/>
          <w:color w:val="000000"/>
          <w:highlight w:val="none"/>
        </w:rPr>
      </w:pPr>
      <w:r>
        <w:rPr>
          <w:rFonts w:hint="eastAsia"/>
          <w:color w:val="000000"/>
          <w:highlight w:val="none"/>
        </w:rPr>
        <w:t>《无障碍设计规范》</w:t>
      </w:r>
      <w:r>
        <w:rPr>
          <w:color w:val="000000"/>
          <w:highlight w:val="none"/>
        </w:rPr>
        <w:t xml:space="preserve"> GB 50763-2012</w:t>
      </w:r>
    </w:p>
    <w:p w14:paraId="2173A069">
      <w:pPr>
        <w:pStyle w:val="6"/>
        <w:ind w:left="984" w:firstLine="0" w:firstLineChars="0"/>
        <w:rPr>
          <w:rFonts w:hint="eastAsia"/>
          <w:color w:val="000000"/>
          <w:highlight w:val="none"/>
        </w:rPr>
      </w:pPr>
      <w:r>
        <w:rPr>
          <w:rFonts w:hint="eastAsia"/>
          <w:color w:val="000000"/>
          <w:highlight w:val="none"/>
        </w:rPr>
        <w:t>《建筑玻璃应用技术规程》</w:t>
      </w:r>
      <w:r>
        <w:rPr>
          <w:color w:val="000000"/>
          <w:highlight w:val="none"/>
        </w:rPr>
        <w:t xml:space="preserve"> JGJ 113-2015</w:t>
      </w:r>
    </w:p>
    <w:p w14:paraId="6BDD9038">
      <w:pPr>
        <w:pStyle w:val="6"/>
        <w:ind w:left="984" w:firstLine="0" w:firstLineChars="0"/>
        <w:rPr>
          <w:rFonts w:hint="eastAsia"/>
          <w:color w:val="000000"/>
          <w:highlight w:val="none"/>
        </w:rPr>
      </w:pPr>
      <w:r>
        <w:rPr>
          <w:rFonts w:hint="eastAsia"/>
          <w:color w:val="000000"/>
          <w:highlight w:val="none"/>
        </w:rPr>
        <w:t>《民用建筑工程室内环境污染控制规范》</w:t>
      </w:r>
      <w:r>
        <w:rPr>
          <w:color w:val="000000"/>
          <w:highlight w:val="none"/>
        </w:rPr>
        <w:t xml:space="preserve"> GB 50325-2020</w:t>
      </w:r>
    </w:p>
    <w:p w14:paraId="2DF29767">
      <w:pPr>
        <w:pStyle w:val="6"/>
        <w:ind w:left="984" w:firstLine="0" w:firstLineChars="0"/>
        <w:rPr>
          <w:rFonts w:hint="eastAsia"/>
          <w:color w:val="000000"/>
          <w:highlight w:val="none"/>
        </w:rPr>
      </w:pPr>
      <w:r>
        <w:rPr>
          <w:rFonts w:hint="eastAsia"/>
          <w:color w:val="000000"/>
          <w:highlight w:val="none"/>
        </w:rPr>
        <w:t>《夏热冬暖地区居住建筑节能设计标准》</w:t>
      </w:r>
      <w:r>
        <w:rPr>
          <w:color w:val="000000"/>
          <w:highlight w:val="none"/>
        </w:rPr>
        <w:t xml:space="preserve"> JGJ 75-2012</w:t>
      </w:r>
    </w:p>
    <w:p w14:paraId="4EA702FD">
      <w:pPr>
        <w:pStyle w:val="6"/>
        <w:ind w:left="984" w:firstLine="0" w:firstLineChars="0"/>
        <w:rPr>
          <w:rFonts w:hint="eastAsia"/>
          <w:color w:val="000000"/>
          <w:highlight w:val="none"/>
        </w:rPr>
      </w:pPr>
      <w:r>
        <w:rPr>
          <w:rFonts w:hint="eastAsia"/>
          <w:color w:val="000000"/>
          <w:highlight w:val="none"/>
        </w:rPr>
        <w:t>《建筑与市政工程无障碍通用规范》</w:t>
      </w:r>
      <w:r>
        <w:rPr>
          <w:color w:val="000000"/>
          <w:highlight w:val="none"/>
        </w:rPr>
        <w:t>GB 55019-2021</w:t>
      </w:r>
    </w:p>
    <w:p w14:paraId="782A8311">
      <w:pPr>
        <w:pStyle w:val="6"/>
        <w:ind w:left="984" w:firstLine="0" w:firstLineChars="0"/>
        <w:rPr>
          <w:rFonts w:hint="eastAsia"/>
          <w:color w:val="000000"/>
          <w:highlight w:val="none"/>
        </w:rPr>
      </w:pPr>
      <w:r>
        <w:rPr>
          <w:rFonts w:hint="eastAsia"/>
          <w:color w:val="000000"/>
          <w:highlight w:val="none"/>
        </w:rPr>
        <w:t>《公共建筑节能设计标准》</w:t>
      </w:r>
      <w:r>
        <w:rPr>
          <w:color w:val="000000"/>
          <w:highlight w:val="none"/>
        </w:rPr>
        <w:t xml:space="preserve"> GB 50189-2015</w:t>
      </w:r>
    </w:p>
    <w:p w14:paraId="11F3173E">
      <w:pPr>
        <w:pStyle w:val="6"/>
        <w:ind w:left="984" w:firstLine="0" w:firstLineChars="0"/>
        <w:rPr>
          <w:rFonts w:hint="eastAsia"/>
          <w:color w:val="000000"/>
          <w:highlight w:val="none"/>
        </w:rPr>
      </w:pPr>
      <w:r>
        <w:rPr>
          <w:rFonts w:hint="eastAsia"/>
          <w:color w:val="000000"/>
          <w:highlight w:val="none"/>
        </w:rPr>
        <w:t>《广东省公共建筑节能设计标准》</w:t>
      </w:r>
      <w:r>
        <w:rPr>
          <w:color w:val="000000"/>
          <w:highlight w:val="none"/>
        </w:rPr>
        <w:t xml:space="preserve"> DBJ 15-51-2020</w:t>
      </w:r>
    </w:p>
    <w:p w14:paraId="35CF66F0">
      <w:pPr>
        <w:pStyle w:val="6"/>
        <w:ind w:left="984" w:firstLine="0" w:firstLineChars="0"/>
        <w:rPr>
          <w:rFonts w:hint="eastAsia"/>
          <w:color w:val="000000"/>
          <w:highlight w:val="none"/>
        </w:rPr>
      </w:pPr>
      <w:r>
        <w:rPr>
          <w:rFonts w:hint="eastAsia"/>
          <w:color w:val="000000"/>
          <w:highlight w:val="none"/>
        </w:rPr>
        <w:t>《广东省居住建筑节能设计标准》</w:t>
      </w:r>
      <w:r>
        <w:rPr>
          <w:color w:val="000000"/>
          <w:highlight w:val="none"/>
        </w:rPr>
        <w:t xml:space="preserve"> DBJ 15-133-2018</w:t>
      </w:r>
    </w:p>
    <w:p w14:paraId="70ACCE9D">
      <w:pPr>
        <w:pStyle w:val="6"/>
        <w:ind w:left="984" w:firstLine="0" w:firstLineChars="0"/>
        <w:rPr>
          <w:rFonts w:hint="eastAsia"/>
          <w:color w:val="000000"/>
          <w:highlight w:val="none"/>
        </w:rPr>
      </w:pPr>
      <w:r>
        <w:rPr>
          <w:rFonts w:hint="eastAsia"/>
          <w:color w:val="000000"/>
          <w:highlight w:val="none"/>
        </w:rPr>
        <w:t>《建筑设计防火规范》</w:t>
      </w:r>
      <w:r>
        <w:rPr>
          <w:color w:val="000000"/>
          <w:highlight w:val="none"/>
        </w:rPr>
        <w:t xml:space="preserve"> GB 50016-2014（2018年版）</w:t>
      </w:r>
    </w:p>
    <w:p w14:paraId="307F5D8A">
      <w:pPr>
        <w:pStyle w:val="6"/>
        <w:ind w:left="984" w:firstLine="0" w:firstLineChars="0"/>
        <w:rPr>
          <w:rFonts w:hint="eastAsia"/>
          <w:color w:val="000000"/>
          <w:highlight w:val="none"/>
        </w:rPr>
      </w:pPr>
      <w:r>
        <w:rPr>
          <w:rFonts w:hint="eastAsia"/>
          <w:color w:val="000000"/>
          <w:highlight w:val="none"/>
        </w:rPr>
        <w:t>《汽车库、修车库、停车场设计防火规范》</w:t>
      </w:r>
      <w:r>
        <w:rPr>
          <w:color w:val="000000"/>
          <w:highlight w:val="none"/>
        </w:rPr>
        <w:t xml:space="preserve"> GB 50067—2014</w:t>
      </w:r>
    </w:p>
    <w:p w14:paraId="21343E64">
      <w:pPr>
        <w:pStyle w:val="6"/>
        <w:ind w:left="984" w:firstLine="0" w:firstLineChars="0"/>
        <w:rPr>
          <w:rFonts w:hint="eastAsia"/>
          <w:color w:val="000000"/>
          <w:highlight w:val="none"/>
        </w:rPr>
      </w:pPr>
      <w:r>
        <w:rPr>
          <w:rFonts w:hint="eastAsia"/>
          <w:color w:val="000000"/>
          <w:highlight w:val="none"/>
        </w:rPr>
        <w:t>《商店建筑设计规范》</w:t>
      </w:r>
      <w:r>
        <w:rPr>
          <w:color w:val="000000"/>
          <w:highlight w:val="none"/>
        </w:rPr>
        <w:t xml:space="preserve"> JGJ 48-2014</w:t>
      </w:r>
    </w:p>
    <w:p w14:paraId="6C4A5233">
      <w:pPr>
        <w:pStyle w:val="6"/>
        <w:ind w:left="984" w:firstLine="0" w:firstLineChars="0"/>
        <w:rPr>
          <w:rFonts w:hint="eastAsia"/>
          <w:color w:val="000000"/>
          <w:highlight w:val="none"/>
        </w:rPr>
      </w:pPr>
      <w:r>
        <w:rPr>
          <w:rFonts w:hint="eastAsia"/>
          <w:color w:val="000000"/>
          <w:highlight w:val="none"/>
        </w:rPr>
        <w:t>《饮食建筑设计规范》</w:t>
      </w:r>
      <w:r>
        <w:rPr>
          <w:color w:val="000000"/>
          <w:highlight w:val="none"/>
        </w:rPr>
        <w:t xml:space="preserve"> JGJ 64-2017</w:t>
      </w:r>
    </w:p>
    <w:p w14:paraId="7A40607D">
      <w:pPr>
        <w:pStyle w:val="6"/>
        <w:ind w:left="984" w:firstLine="0" w:firstLineChars="0"/>
        <w:rPr>
          <w:rFonts w:hint="eastAsia"/>
          <w:color w:val="000000"/>
          <w:highlight w:val="none"/>
        </w:rPr>
      </w:pPr>
      <w:r>
        <w:rPr>
          <w:rFonts w:hint="eastAsia"/>
          <w:color w:val="000000"/>
          <w:highlight w:val="none"/>
        </w:rPr>
        <w:t>《住宅建筑规范》</w:t>
      </w:r>
      <w:r>
        <w:rPr>
          <w:color w:val="000000"/>
          <w:highlight w:val="none"/>
        </w:rPr>
        <w:t xml:space="preserve"> GB 50368-2005</w:t>
      </w:r>
    </w:p>
    <w:p w14:paraId="12C2A641">
      <w:pPr>
        <w:pStyle w:val="6"/>
        <w:ind w:left="984" w:firstLine="0" w:firstLineChars="0"/>
        <w:rPr>
          <w:rFonts w:hint="eastAsia"/>
          <w:color w:val="000000"/>
          <w:highlight w:val="none"/>
        </w:rPr>
      </w:pPr>
      <w:r>
        <w:rPr>
          <w:rFonts w:hint="eastAsia"/>
          <w:color w:val="000000"/>
          <w:highlight w:val="none"/>
        </w:rPr>
        <w:t>《住宅设计规范》</w:t>
      </w:r>
      <w:r>
        <w:rPr>
          <w:color w:val="000000"/>
          <w:highlight w:val="none"/>
        </w:rPr>
        <w:t xml:space="preserve"> GB 50096—2011  </w:t>
      </w:r>
    </w:p>
    <w:p w14:paraId="5070D56B">
      <w:pPr>
        <w:pStyle w:val="6"/>
        <w:ind w:left="984" w:firstLine="0" w:firstLineChars="0"/>
        <w:rPr>
          <w:rFonts w:hint="eastAsia"/>
          <w:color w:val="000000"/>
          <w:highlight w:val="none"/>
        </w:rPr>
      </w:pPr>
      <w:r>
        <w:rPr>
          <w:rFonts w:hint="eastAsia"/>
          <w:color w:val="000000"/>
          <w:highlight w:val="none"/>
        </w:rPr>
        <w:t>《屋面工程技术规范》</w:t>
      </w:r>
      <w:r>
        <w:rPr>
          <w:color w:val="000000"/>
          <w:highlight w:val="none"/>
        </w:rPr>
        <w:t xml:space="preserve"> GB 50345-2012</w:t>
      </w:r>
    </w:p>
    <w:p w14:paraId="13B8407E">
      <w:pPr>
        <w:pStyle w:val="6"/>
        <w:ind w:left="984" w:firstLine="0" w:firstLineChars="0"/>
        <w:rPr>
          <w:rFonts w:hint="eastAsia"/>
          <w:color w:val="000000"/>
          <w:highlight w:val="none"/>
        </w:rPr>
      </w:pPr>
      <w:r>
        <w:rPr>
          <w:rFonts w:hint="eastAsia"/>
          <w:color w:val="000000"/>
          <w:highlight w:val="none"/>
        </w:rPr>
        <w:t>《住宅室内防水工程技术规范》</w:t>
      </w:r>
      <w:r>
        <w:rPr>
          <w:color w:val="000000"/>
          <w:highlight w:val="none"/>
        </w:rPr>
        <w:t xml:space="preserve"> JGJ 298—2013</w:t>
      </w:r>
    </w:p>
    <w:p w14:paraId="1E8ED45A">
      <w:pPr>
        <w:pStyle w:val="6"/>
        <w:ind w:left="984" w:firstLine="0" w:firstLineChars="0"/>
        <w:rPr>
          <w:rFonts w:hint="eastAsia"/>
          <w:color w:val="000000"/>
          <w:highlight w:val="none"/>
        </w:rPr>
      </w:pPr>
      <w:r>
        <w:rPr>
          <w:rFonts w:hint="eastAsia"/>
          <w:color w:val="000000"/>
          <w:highlight w:val="none"/>
        </w:rPr>
        <w:t>《建筑防护栏杆技术标准》</w:t>
      </w:r>
      <w:r>
        <w:rPr>
          <w:color w:val="000000"/>
          <w:highlight w:val="none"/>
        </w:rPr>
        <w:t xml:space="preserve"> JGJ／T 470-2019</w:t>
      </w:r>
    </w:p>
    <w:p w14:paraId="68754B79">
      <w:pPr>
        <w:pStyle w:val="6"/>
        <w:ind w:left="984" w:firstLine="0" w:firstLineChars="0"/>
        <w:rPr>
          <w:rFonts w:hint="eastAsia"/>
          <w:color w:val="000000"/>
          <w:highlight w:val="none"/>
        </w:rPr>
      </w:pPr>
      <w:r>
        <w:rPr>
          <w:rFonts w:hint="eastAsia"/>
          <w:color w:val="000000"/>
          <w:highlight w:val="none"/>
        </w:rPr>
        <w:t>《建筑遮阳工程技术规范》</w:t>
      </w:r>
      <w:r>
        <w:rPr>
          <w:color w:val="000000"/>
          <w:highlight w:val="none"/>
        </w:rPr>
        <w:t xml:space="preserve"> JGJ 237-2011</w:t>
      </w:r>
    </w:p>
    <w:p w14:paraId="76DD456F">
      <w:pPr>
        <w:pStyle w:val="6"/>
        <w:ind w:left="984" w:firstLine="0" w:firstLineChars="0"/>
        <w:rPr>
          <w:rFonts w:hint="eastAsia"/>
          <w:color w:val="000000"/>
          <w:highlight w:val="none"/>
        </w:rPr>
      </w:pPr>
      <w:r>
        <w:rPr>
          <w:rFonts w:hint="eastAsia"/>
          <w:color w:val="000000"/>
          <w:highlight w:val="none"/>
        </w:rPr>
        <w:t>《广州市绿化条例》（</w:t>
      </w:r>
      <w:r>
        <w:rPr>
          <w:color w:val="000000"/>
          <w:highlight w:val="none"/>
        </w:rPr>
        <w:t>2012年7月版本，广州项目需选用）</w:t>
      </w:r>
    </w:p>
    <w:p w14:paraId="21BDA36B">
      <w:pPr>
        <w:pStyle w:val="6"/>
        <w:ind w:left="984" w:firstLine="0" w:firstLineChars="0"/>
        <w:rPr>
          <w:rFonts w:hint="eastAsia"/>
          <w:color w:val="000000"/>
          <w:highlight w:val="none"/>
        </w:rPr>
      </w:pPr>
      <w:r>
        <w:rPr>
          <w:rFonts w:hint="eastAsia"/>
          <w:color w:val="000000"/>
          <w:highlight w:val="none"/>
        </w:rPr>
        <w:t>广东省《建筑防水工程技术规程》</w:t>
      </w:r>
      <w:r>
        <w:rPr>
          <w:color w:val="000000"/>
          <w:highlight w:val="none"/>
        </w:rPr>
        <w:t xml:space="preserve"> DBJ 15-19-2020</w:t>
      </w:r>
    </w:p>
    <w:p w14:paraId="03330F86">
      <w:pPr>
        <w:pStyle w:val="6"/>
        <w:numPr>
          <w:ilvl w:val="0"/>
          <w:numId w:val="5"/>
        </w:numPr>
        <w:ind w:firstLineChars="0"/>
        <w:rPr>
          <w:rFonts w:hint="eastAsia"/>
          <w:color w:val="000000"/>
          <w:highlight w:val="none"/>
        </w:rPr>
      </w:pPr>
      <w:r>
        <w:rPr>
          <w:rFonts w:hint="eastAsia"/>
          <w:color w:val="000000"/>
          <w:highlight w:val="none"/>
        </w:rPr>
        <w:t>结构专业：</w:t>
      </w:r>
    </w:p>
    <w:p w14:paraId="58E73E60">
      <w:pPr>
        <w:pStyle w:val="6"/>
        <w:ind w:left="984" w:firstLine="0" w:firstLineChars="0"/>
        <w:rPr>
          <w:rFonts w:hint="eastAsia"/>
          <w:color w:val="000000"/>
          <w:highlight w:val="none"/>
        </w:rPr>
      </w:pPr>
      <w:r>
        <w:rPr>
          <w:rFonts w:hint="eastAsia"/>
          <w:color w:val="000000"/>
          <w:highlight w:val="none"/>
        </w:rPr>
        <w:t>《工程结构通用规范》</w:t>
      </w:r>
      <w:r>
        <w:rPr>
          <w:color w:val="000000"/>
          <w:highlight w:val="none"/>
        </w:rPr>
        <w:t xml:space="preserve">           GB55001-2021</w:t>
      </w:r>
    </w:p>
    <w:p w14:paraId="3A50D9A5">
      <w:pPr>
        <w:pStyle w:val="6"/>
        <w:ind w:left="984" w:firstLine="0" w:firstLineChars="0"/>
        <w:rPr>
          <w:rFonts w:hint="eastAsia"/>
          <w:color w:val="000000"/>
          <w:highlight w:val="none"/>
        </w:rPr>
      </w:pPr>
      <w:r>
        <w:rPr>
          <w:rFonts w:hint="eastAsia"/>
          <w:color w:val="000000"/>
          <w:highlight w:val="none"/>
        </w:rPr>
        <w:t>《建筑与市政工程抗震通用规范》</w:t>
      </w:r>
      <w:r>
        <w:rPr>
          <w:color w:val="000000"/>
          <w:highlight w:val="none"/>
        </w:rPr>
        <w:t xml:space="preserve"> GB55002-2021</w:t>
      </w:r>
    </w:p>
    <w:p w14:paraId="4ABA6795">
      <w:pPr>
        <w:pStyle w:val="6"/>
        <w:ind w:left="984" w:firstLine="0" w:firstLineChars="0"/>
        <w:rPr>
          <w:rFonts w:hint="eastAsia"/>
          <w:color w:val="000000"/>
          <w:highlight w:val="none"/>
        </w:rPr>
      </w:pPr>
      <w:r>
        <w:rPr>
          <w:rFonts w:hint="eastAsia"/>
          <w:color w:val="000000"/>
          <w:highlight w:val="none"/>
        </w:rPr>
        <w:t>《建筑与市政地基基础通用规范》</w:t>
      </w:r>
      <w:r>
        <w:rPr>
          <w:color w:val="000000"/>
          <w:highlight w:val="none"/>
        </w:rPr>
        <w:t xml:space="preserve">   GB55003-2021</w:t>
      </w:r>
    </w:p>
    <w:p w14:paraId="6C249465">
      <w:pPr>
        <w:pStyle w:val="6"/>
        <w:ind w:left="984" w:firstLine="0" w:firstLineChars="0"/>
        <w:rPr>
          <w:rFonts w:hint="eastAsia"/>
          <w:color w:val="000000"/>
          <w:highlight w:val="none"/>
        </w:rPr>
      </w:pPr>
      <w:r>
        <w:rPr>
          <w:rFonts w:hint="eastAsia"/>
          <w:color w:val="000000"/>
          <w:highlight w:val="none"/>
        </w:rPr>
        <w:t>《砌体结构通用规范》</w:t>
      </w:r>
      <w:r>
        <w:rPr>
          <w:color w:val="000000"/>
          <w:highlight w:val="none"/>
        </w:rPr>
        <w:t xml:space="preserve">           GB55007-2021</w:t>
      </w:r>
    </w:p>
    <w:p w14:paraId="525DDBA7">
      <w:pPr>
        <w:pStyle w:val="6"/>
        <w:ind w:left="984" w:firstLine="0" w:firstLineChars="0"/>
        <w:rPr>
          <w:rFonts w:hint="eastAsia"/>
          <w:color w:val="000000"/>
          <w:highlight w:val="none"/>
        </w:rPr>
      </w:pPr>
      <w:r>
        <w:rPr>
          <w:rFonts w:hint="eastAsia"/>
          <w:color w:val="000000"/>
          <w:highlight w:val="none"/>
        </w:rPr>
        <w:t>《混凝土结构通用规范》</w:t>
      </w:r>
      <w:r>
        <w:rPr>
          <w:color w:val="000000"/>
          <w:highlight w:val="none"/>
        </w:rPr>
        <w:t xml:space="preserve">         GB55008-2021</w:t>
      </w:r>
    </w:p>
    <w:p w14:paraId="75C08456">
      <w:pPr>
        <w:pStyle w:val="6"/>
        <w:ind w:left="984" w:firstLine="0" w:firstLineChars="0"/>
        <w:rPr>
          <w:rFonts w:hint="eastAsia"/>
          <w:color w:val="000000"/>
          <w:highlight w:val="none"/>
        </w:rPr>
      </w:pPr>
      <w:r>
        <w:rPr>
          <w:rFonts w:hint="eastAsia"/>
          <w:color w:val="000000"/>
          <w:highlight w:val="none"/>
        </w:rPr>
        <w:t>《工程勘察通用规范》</w:t>
      </w:r>
      <w:r>
        <w:rPr>
          <w:color w:val="000000"/>
          <w:highlight w:val="none"/>
        </w:rPr>
        <w:t xml:space="preserve">             GB55017-2021</w:t>
      </w:r>
    </w:p>
    <w:p w14:paraId="75A1BBF1">
      <w:pPr>
        <w:pStyle w:val="6"/>
        <w:ind w:left="984" w:firstLine="0" w:firstLineChars="0"/>
        <w:rPr>
          <w:rFonts w:hint="eastAsia"/>
          <w:color w:val="000000"/>
          <w:highlight w:val="none"/>
        </w:rPr>
      </w:pPr>
      <w:r>
        <w:rPr>
          <w:rFonts w:hint="eastAsia"/>
          <w:color w:val="000000"/>
          <w:highlight w:val="none"/>
        </w:rPr>
        <w:t>《工程测量通用规范》</w:t>
      </w:r>
      <w:r>
        <w:rPr>
          <w:color w:val="000000"/>
          <w:highlight w:val="none"/>
        </w:rPr>
        <w:t xml:space="preserve">           GB55018-2021</w:t>
      </w:r>
    </w:p>
    <w:p w14:paraId="58B4118C">
      <w:pPr>
        <w:pStyle w:val="6"/>
        <w:ind w:left="984" w:firstLine="0" w:firstLineChars="0"/>
        <w:rPr>
          <w:rFonts w:hint="eastAsia"/>
          <w:color w:val="000000"/>
          <w:highlight w:val="none"/>
        </w:rPr>
      </w:pPr>
      <w:r>
        <w:rPr>
          <w:rFonts w:hint="eastAsia"/>
          <w:color w:val="000000"/>
          <w:highlight w:val="none"/>
        </w:rPr>
        <w:t>《建筑与市政工程防水通用规范》</w:t>
      </w:r>
      <w:r>
        <w:rPr>
          <w:color w:val="000000"/>
          <w:highlight w:val="none"/>
        </w:rPr>
        <w:t xml:space="preserve"> GB55030-2022</w:t>
      </w:r>
    </w:p>
    <w:p w14:paraId="0F121196">
      <w:pPr>
        <w:pStyle w:val="6"/>
        <w:ind w:left="984" w:firstLine="0" w:firstLineChars="0"/>
        <w:rPr>
          <w:rFonts w:hint="eastAsia"/>
          <w:color w:val="000000"/>
          <w:highlight w:val="none"/>
        </w:rPr>
      </w:pPr>
      <w:r>
        <w:rPr>
          <w:rFonts w:hint="eastAsia"/>
          <w:color w:val="000000"/>
          <w:highlight w:val="none"/>
        </w:rPr>
        <w:t>《建筑结构可靠性设计统一标准》</w:t>
      </w:r>
      <w:r>
        <w:rPr>
          <w:color w:val="000000"/>
          <w:highlight w:val="none"/>
        </w:rPr>
        <w:t xml:space="preserve"> GB50068-2018</w:t>
      </w:r>
    </w:p>
    <w:p w14:paraId="43396648">
      <w:pPr>
        <w:pStyle w:val="6"/>
        <w:ind w:left="984" w:firstLine="0" w:firstLineChars="0"/>
        <w:rPr>
          <w:rFonts w:hint="eastAsia"/>
          <w:color w:val="000000"/>
          <w:highlight w:val="none"/>
        </w:rPr>
      </w:pPr>
      <w:r>
        <w:rPr>
          <w:rFonts w:hint="eastAsia"/>
          <w:color w:val="000000"/>
          <w:highlight w:val="none"/>
        </w:rPr>
        <w:t>《建筑工程抗震设防分类标准》</w:t>
      </w:r>
      <w:r>
        <w:rPr>
          <w:color w:val="000000"/>
          <w:highlight w:val="none"/>
        </w:rPr>
        <w:t xml:space="preserve">     GB50223-2008</w:t>
      </w:r>
    </w:p>
    <w:p w14:paraId="0C15BA3E">
      <w:pPr>
        <w:pStyle w:val="6"/>
        <w:ind w:left="984" w:firstLine="0" w:firstLineChars="0"/>
        <w:rPr>
          <w:rFonts w:hint="eastAsia"/>
          <w:color w:val="000000"/>
          <w:highlight w:val="none"/>
        </w:rPr>
      </w:pPr>
      <w:r>
        <w:rPr>
          <w:rFonts w:hint="eastAsia"/>
          <w:color w:val="000000"/>
          <w:highlight w:val="none"/>
        </w:rPr>
        <w:t>《建筑结构荷载规范》</w:t>
      </w:r>
      <w:r>
        <w:rPr>
          <w:color w:val="000000"/>
          <w:highlight w:val="none"/>
        </w:rPr>
        <w:t xml:space="preserve">           GB50009-2012</w:t>
      </w:r>
    </w:p>
    <w:p w14:paraId="38968715">
      <w:pPr>
        <w:pStyle w:val="6"/>
        <w:ind w:left="984" w:firstLine="0" w:firstLineChars="0"/>
        <w:rPr>
          <w:rFonts w:hint="eastAsia"/>
          <w:color w:val="000000"/>
          <w:highlight w:val="none"/>
        </w:rPr>
      </w:pPr>
      <w:r>
        <w:rPr>
          <w:rFonts w:hint="eastAsia"/>
          <w:color w:val="000000"/>
          <w:highlight w:val="none"/>
        </w:rPr>
        <w:t>《建筑抗震设计规范》</w:t>
      </w:r>
      <w:r>
        <w:rPr>
          <w:color w:val="000000"/>
          <w:highlight w:val="none"/>
        </w:rPr>
        <w:t xml:space="preserve">  GB50011-2010(2016版)</w:t>
      </w:r>
    </w:p>
    <w:p w14:paraId="01C91111">
      <w:pPr>
        <w:pStyle w:val="6"/>
        <w:ind w:left="984" w:firstLine="0" w:firstLineChars="0"/>
        <w:rPr>
          <w:rFonts w:hint="eastAsia"/>
          <w:color w:val="000000"/>
          <w:highlight w:val="none"/>
        </w:rPr>
      </w:pPr>
      <w:r>
        <w:rPr>
          <w:rFonts w:hint="eastAsia"/>
          <w:color w:val="000000"/>
          <w:highlight w:val="none"/>
        </w:rPr>
        <w:t>《高层建筑混凝土结构技术规程》</w:t>
      </w:r>
      <w:r>
        <w:rPr>
          <w:color w:val="000000"/>
          <w:highlight w:val="none"/>
        </w:rPr>
        <w:t xml:space="preserve">      JGJ3-2010</w:t>
      </w:r>
    </w:p>
    <w:p w14:paraId="19A063E3">
      <w:pPr>
        <w:pStyle w:val="6"/>
        <w:ind w:left="984" w:firstLine="0" w:firstLineChars="0"/>
        <w:rPr>
          <w:rFonts w:hint="eastAsia"/>
          <w:color w:val="000000"/>
          <w:highlight w:val="none"/>
        </w:rPr>
      </w:pPr>
      <w:r>
        <w:rPr>
          <w:rFonts w:hint="eastAsia"/>
          <w:color w:val="000000"/>
          <w:highlight w:val="none"/>
        </w:rPr>
        <w:t>《混凝土结构设计规范》</w:t>
      </w:r>
      <w:r>
        <w:rPr>
          <w:color w:val="000000"/>
          <w:highlight w:val="none"/>
        </w:rPr>
        <w:t>GB50010-2010(2015版)</w:t>
      </w:r>
    </w:p>
    <w:p w14:paraId="3924C379">
      <w:pPr>
        <w:pStyle w:val="6"/>
        <w:ind w:left="984" w:firstLine="0" w:firstLineChars="0"/>
        <w:rPr>
          <w:rFonts w:hint="eastAsia"/>
          <w:color w:val="000000"/>
          <w:highlight w:val="none"/>
        </w:rPr>
      </w:pPr>
      <w:r>
        <w:rPr>
          <w:rFonts w:hint="eastAsia"/>
          <w:color w:val="000000"/>
          <w:highlight w:val="none"/>
        </w:rPr>
        <w:t>《砌体结构设计规范》</w:t>
      </w:r>
      <w:r>
        <w:rPr>
          <w:color w:val="000000"/>
          <w:highlight w:val="none"/>
        </w:rPr>
        <w:t xml:space="preserve">           GB50003-2011</w:t>
      </w:r>
    </w:p>
    <w:p w14:paraId="526BD8CA">
      <w:pPr>
        <w:pStyle w:val="6"/>
        <w:ind w:left="984" w:firstLine="0" w:firstLineChars="0"/>
        <w:rPr>
          <w:rFonts w:hint="eastAsia"/>
          <w:color w:val="000000"/>
          <w:highlight w:val="none"/>
        </w:rPr>
      </w:pPr>
      <w:r>
        <w:rPr>
          <w:rFonts w:hint="eastAsia"/>
          <w:color w:val="000000"/>
          <w:highlight w:val="none"/>
        </w:rPr>
        <w:t>《建筑地基基础设计规范》</w:t>
      </w:r>
      <w:r>
        <w:rPr>
          <w:color w:val="000000"/>
          <w:highlight w:val="none"/>
        </w:rPr>
        <w:t xml:space="preserve">       GB50007-2011</w:t>
      </w:r>
    </w:p>
    <w:p w14:paraId="0E68A370">
      <w:pPr>
        <w:pStyle w:val="6"/>
        <w:ind w:left="984" w:firstLine="0" w:firstLineChars="0"/>
        <w:rPr>
          <w:rFonts w:hint="eastAsia"/>
          <w:color w:val="000000"/>
          <w:highlight w:val="none"/>
        </w:rPr>
      </w:pPr>
      <w:r>
        <w:rPr>
          <w:rFonts w:hint="eastAsia"/>
          <w:color w:val="000000"/>
          <w:highlight w:val="none"/>
        </w:rPr>
        <w:t>《建筑桩基技术规范》</w:t>
      </w:r>
      <w:r>
        <w:rPr>
          <w:color w:val="000000"/>
          <w:highlight w:val="none"/>
        </w:rPr>
        <w:t xml:space="preserve">               JGJ94-2008</w:t>
      </w:r>
    </w:p>
    <w:p w14:paraId="5F52C24C">
      <w:pPr>
        <w:pStyle w:val="6"/>
        <w:ind w:left="984" w:firstLine="0" w:firstLineChars="0"/>
        <w:rPr>
          <w:rFonts w:hint="eastAsia"/>
          <w:color w:val="000000"/>
          <w:highlight w:val="none"/>
        </w:rPr>
      </w:pPr>
      <w:r>
        <w:rPr>
          <w:rFonts w:hint="eastAsia"/>
          <w:color w:val="000000"/>
          <w:highlight w:val="none"/>
        </w:rPr>
        <w:t>《建筑地基处理技术规范》</w:t>
      </w:r>
      <w:r>
        <w:rPr>
          <w:color w:val="000000"/>
          <w:highlight w:val="none"/>
        </w:rPr>
        <w:t xml:space="preserve">             JGJ79-2012</w:t>
      </w:r>
    </w:p>
    <w:p w14:paraId="04F4C9CF">
      <w:pPr>
        <w:pStyle w:val="6"/>
        <w:ind w:left="984" w:firstLine="0" w:firstLineChars="0"/>
        <w:rPr>
          <w:rFonts w:hint="eastAsia"/>
          <w:color w:val="000000"/>
          <w:highlight w:val="none"/>
        </w:rPr>
      </w:pPr>
      <w:r>
        <w:rPr>
          <w:rFonts w:hint="eastAsia"/>
          <w:color w:val="000000"/>
          <w:highlight w:val="none"/>
        </w:rPr>
        <w:t>《地下工程防水技术规范》</w:t>
      </w:r>
      <w:r>
        <w:rPr>
          <w:color w:val="000000"/>
          <w:highlight w:val="none"/>
        </w:rPr>
        <w:t xml:space="preserve">       GB50108-2008</w:t>
      </w:r>
    </w:p>
    <w:p w14:paraId="3DEEC8C4">
      <w:pPr>
        <w:pStyle w:val="6"/>
        <w:ind w:left="984" w:firstLine="0" w:firstLineChars="0"/>
        <w:rPr>
          <w:rFonts w:hint="eastAsia"/>
          <w:color w:val="000000"/>
          <w:highlight w:val="none"/>
        </w:rPr>
      </w:pPr>
      <w:r>
        <w:rPr>
          <w:rFonts w:hint="eastAsia"/>
          <w:color w:val="000000"/>
          <w:highlight w:val="none"/>
        </w:rPr>
        <w:t>《建筑工程抗浮技术标准》</w:t>
      </w:r>
      <w:r>
        <w:rPr>
          <w:color w:val="000000"/>
          <w:highlight w:val="none"/>
        </w:rPr>
        <w:t xml:space="preserve">         JGJ476-2019</w:t>
      </w:r>
    </w:p>
    <w:p w14:paraId="0C98D462">
      <w:pPr>
        <w:pStyle w:val="6"/>
        <w:ind w:left="984" w:firstLine="0" w:firstLineChars="0"/>
        <w:rPr>
          <w:rFonts w:hint="eastAsia"/>
          <w:color w:val="000000"/>
          <w:highlight w:val="none"/>
        </w:rPr>
      </w:pPr>
      <w:r>
        <w:rPr>
          <w:rFonts w:hint="eastAsia"/>
          <w:color w:val="000000"/>
          <w:highlight w:val="none"/>
        </w:rPr>
        <w:t>《混凝土结构耐久性设计标准》</w:t>
      </w:r>
      <w:r>
        <w:rPr>
          <w:color w:val="000000"/>
          <w:highlight w:val="none"/>
        </w:rPr>
        <w:t>GB/T50476-2019</w:t>
      </w:r>
    </w:p>
    <w:p w14:paraId="5E186A86">
      <w:pPr>
        <w:pStyle w:val="6"/>
        <w:ind w:left="984" w:firstLine="0" w:firstLineChars="0"/>
        <w:rPr>
          <w:rFonts w:hint="eastAsia"/>
          <w:color w:val="000000"/>
          <w:highlight w:val="none"/>
        </w:rPr>
      </w:pPr>
      <w:r>
        <w:rPr>
          <w:rFonts w:hint="eastAsia"/>
          <w:color w:val="000000"/>
          <w:highlight w:val="none"/>
        </w:rPr>
        <w:t>《建筑变形测量规范》</w:t>
      </w:r>
      <w:r>
        <w:rPr>
          <w:color w:val="000000"/>
          <w:highlight w:val="none"/>
        </w:rPr>
        <w:t xml:space="preserve">                JGJ8-2016</w:t>
      </w:r>
    </w:p>
    <w:p w14:paraId="69BB75FC">
      <w:pPr>
        <w:pStyle w:val="6"/>
        <w:ind w:left="984" w:firstLine="0" w:firstLineChars="0"/>
        <w:rPr>
          <w:rFonts w:hint="eastAsia"/>
          <w:color w:val="000000"/>
          <w:highlight w:val="none"/>
        </w:rPr>
      </w:pPr>
      <w:r>
        <w:rPr>
          <w:rFonts w:hint="eastAsia"/>
          <w:color w:val="000000"/>
          <w:highlight w:val="none"/>
        </w:rPr>
        <w:t>《建筑结构荷载规范》</w:t>
      </w:r>
      <w:r>
        <w:rPr>
          <w:color w:val="000000"/>
          <w:highlight w:val="none"/>
        </w:rPr>
        <w:t xml:space="preserve">        DBJ15-101-2014</w:t>
      </w:r>
    </w:p>
    <w:p w14:paraId="57AA468C">
      <w:pPr>
        <w:pStyle w:val="6"/>
        <w:ind w:left="984" w:firstLine="0" w:firstLineChars="0"/>
        <w:rPr>
          <w:rFonts w:hint="eastAsia"/>
          <w:color w:val="000000"/>
          <w:highlight w:val="none"/>
        </w:rPr>
      </w:pPr>
      <w:r>
        <w:rPr>
          <w:rFonts w:hint="eastAsia"/>
          <w:color w:val="000000"/>
          <w:highlight w:val="none"/>
        </w:rPr>
        <w:t>《高层建筑混凝土结构技术规程》</w:t>
      </w:r>
      <w:r>
        <w:rPr>
          <w:color w:val="000000"/>
          <w:highlight w:val="none"/>
        </w:rPr>
        <w:t>DBJ15-92-2021</w:t>
      </w:r>
    </w:p>
    <w:p w14:paraId="3A614852">
      <w:pPr>
        <w:pStyle w:val="6"/>
        <w:ind w:left="984" w:firstLine="0" w:firstLineChars="0"/>
        <w:rPr>
          <w:rFonts w:hint="eastAsia"/>
          <w:color w:val="000000"/>
          <w:highlight w:val="none"/>
        </w:rPr>
      </w:pPr>
      <w:r>
        <w:rPr>
          <w:rFonts w:hint="eastAsia"/>
          <w:color w:val="000000"/>
          <w:highlight w:val="none"/>
        </w:rPr>
        <w:t>《建筑地基基础设计规范》</w:t>
      </w:r>
      <w:r>
        <w:rPr>
          <w:color w:val="000000"/>
          <w:highlight w:val="none"/>
        </w:rPr>
        <w:t xml:space="preserve">     DBJ15-31-2016</w:t>
      </w:r>
    </w:p>
    <w:p w14:paraId="41203500">
      <w:pPr>
        <w:pStyle w:val="6"/>
        <w:numPr>
          <w:ilvl w:val="0"/>
          <w:numId w:val="5"/>
        </w:numPr>
        <w:ind w:firstLineChars="0"/>
        <w:rPr>
          <w:rFonts w:hint="eastAsia"/>
          <w:color w:val="000000"/>
          <w:highlight w:val="none"/>
        </w:rPr>
      </w:pPr>
      <w:r>
        <w:rPr>
          <w:rFonts w:hint="eastAsia"/>
          <w:color w:val="000000"/>
          <w:highlight w:val="none"/>
        </w:rPr>
        <w:t>给排水专业：</w:t>
      </w:r>
    </w:p>
    <w:p w14:paraId="0B9E1838">
      <w:pPr>
        <w:pStyle w:val="6"/>
        <w:ind w:left="984" w:firstLine="0" w:firstLineChars="0"/>
        <w:rPr>
          <w:rFonts w:hint="eastAsia"/>
          <w:color w:val="000000"/>
          <w:highlight w:val="none"/>
        </w:rPr>
      </w:pPr>
      <w:r>
        <w:rPr>
          <w:color w:val="000000"/>
          <w:highlight w:val="none"/>
        </w:rPr>
        <w:t>《城镇给水排水技术规范》(GB50788-2012）</w:t>
      </w:r>
    </w:p>
    <w:p w14:paraId="4B13E04E">
      <w:pPr>
        <w:pStyle w:val="6"/>
        <w:ind w:left="984" w:firstLine="0" w:firstLineChars="0"/>
        <w:rPr>
          <w:rFonts w:hint="eastAsia"/>
          <w:color w:val="000000"/>
          <w:highlight w:val="none"/>
        </w:rPr>
      </w:pPr>
      <w:r>
        <w:rPr>
          <w:color w:val="000000"/>
          <w:highlight w:val="none"/>
        </w:rPr>
        <w:t>《建筑给水排水设计标准》(GB 50015-2019)</w:t>
      </w:r>
    </w:p>
    <w:p w14:paraId="5490E082">
      <w:pPr>
        <w:pStyle w:val="6"/>
        <w:ind w:left="984" w:firstLine="0" w:firstLineChars="0"/>
        <w:rPr>
          <w:rFonts w:hint="eastAsia"/>
          <w:color w:val="000000"/>
          <w:highlight w:val="none"/>
        </w:rPr>
      </w:pPr>
      <w:r>
        <w:rPr>
          <w:color w:val="000000"/>
          <w:highlight w:val="none"/>
        </w:rPr>
        <w:t>《住宅建筑规范》(GB 50368-2005)</w:t>
      </w:r>
    </w:p>
    <w:p w14:paraId="5501C2B4">
      <w:pPr>
        <w:pStyle w:val="6"/>
        <w:ind w:left="984" w:firstLine="0" w:firstLineChars="0"/>
        <w:rPr>
          <w:rFonts w:hint="eastAsia"/>
          <w:color w:val="000000"/>
          <w:highlight w:val="none"/>
        </w:rPr>
      </w:pPr>
      <w:r>
        <w:rPr>
          <w:color w:val="000000"/>
          <w:highlight w:val="none"/>
        </w:rPr>
        <w:t>《室外给水设计标准》(GB50013-2018)</w:t>
      </w:r>
    </w:p>
    <w:p w14:paraId="3F974750">
      <w:pPr>
        <w:pStyle w:val="6"/>
        <w:ind w:left="984" w:firstLine="0" w:firstLineChars="0"/>
        <w:rPr>
          <w:rFonts w:hint="eastAsia"/>
          <w:color w:val="000000"/>
          <w:highlight w:val="none"/>
        </w:rPr>
      </w:pPr>
      <w:r>
        <w:rPr>
          <w:color w:val="000000"/>
          <w:highlight w:val="none"/>
        </w:rPr>
        <w:t>《室外排水设计标准》 (GB50014-2021)</w:t>
      </w:r>
    </w:p>
    <w:p w14:paraId="29978C53">
      <w:pPr>
        <w:pStyle w:val="6"/>
        <w:ind w:left="984" w:firstLine="0" w:firstLineChars="0"/>
        <w:rPr>
          <w:rFonts w:hint="eastAsia"/>
          <w:color w:val="000000"/>
          <w:highlight w:val="none"/>
        </w:rPr>
      </w:pPr>
      <w:r>
        <w:rPr>
          <w:color w:val="000000"/>
          <w:highlight w:val="none"/>
        </w:rPr>
        <w:t>《人民防空地下室设计规范》 (GB50038-2005)</w:t>
      </w:r>
    </w:p>
    <w:p w14:paraId="35EF11D6">
      <w:pPr>
        <w:pStyle w:val="6"/>
        <w:ind w:left="984" w:firstLine="0" w:firstLineChars="0"/>
        <w:rPr>
          <w:rFonts w:hint="eastAsia"/>
          <w:color w:val="000000"/>
          <w:highlight w:val="none"/>
        </w:rPr>
      </w:pPr>
      <w:r>
        <w:rPr>
          <w:color w:val="000000"/>
          <w:highlight w:val="none"/>
        </w:rPr>
        <w:t>《二次供水工程技术规程》（CJJ140-2010）</w:t>
      </w:r>
    </w:p>
    <w:p w14:paraId="2F8C15BC">
      <w:pPr>
        <w:pStyle w:val="6"/>
        <w:ind w:left="984" w:firstLine="0" w:firstLineChars="0"/>
        <w:rPr>
          <w:rFonts w:hint="eastAsia"/>
          <w:color w:val="000000"/>
          <w:highlight w:val="none"/>
        </w:rPr>
      </w:pPr>
      <w:r>
        <w:rPr>
          <w:color w:val="000000"/>
          <w:highlight w:val="none"/>
        </w:rPr>
        <w:t>《二次供水设施卫生规范》(GB17051-1997）</w:t>
      </w:r>
    </w:p>
    <w:p w14:paraId="2C2AA2B7">
      <w:pPr>
        <w:pStyle w:val="6"/>
        <w:ind w:left="984" w:firstLine="0" w:firstLineChars="0"/>
        <w:rPr>
          <w:rFonts w:hint="eastAsia"/>
          <w:color w:val="000000"/>
          <w:highlight w:val="none"/>
        </w:rPr>
      </w:pPr>
      <w:r>
        <w:rPr>
          <w:color w:val="000000"/>
          <w:highlight w:val="none"/>
        </w:rPr>
        <w:t>《民用建筑节水设计标准》(GB50555-2010)</w:t>
      </w:r>
    </w:p>
    <w:p w14:paraId="7AB12303">
      <w:pPr>
        <w:pStyle w:val="6"/>
        <w:ind w:left="984" w:firstLine="0" w:firstLineChars="0"/>
        <w:rPr>
          <w:rFonts w:hint="eastAsia"/>
          <w:color w:val="000000"/>
          <w:highlight w:val="none"/>
        </w:rPr>
      </w:pPr>
      <w:r>
        <w:rPr>
          <w:color w:val="000000"/>
          <w:highlight w:val="none"/>
        </w:rPr>
        <w:t>《建筑屋面雨水排水系统技术规程》(CJJ142-2014)</w:t>
      </w:r>
    </w:p>
    <w:p w14:paraId="789936CD">
      <w:pPr>
        <w:pStyle w:val="6"/>
        <w:ind w:left="984" w:firstLine="0" w:firstLineChars="0"/>
        <w:rPr>
          <w:rFonts w:hint="eastAsia"/>
          <w:color w:val="000000"/>
          <w:highlight w:val="none"/>
        </w:rPr>
      </w:pPr>
      <w:r>
        <w:rPr>
          <w:color w:val="000000"/>
          <w:highlight w:val="none"/>
        </w:rPr>
        <w:t>《建筑抗震设计规范》GB50011-2010（2016年版）</w:t>
      </w:r>
    </w:p>
    <w:p w14:paraId="28D85B79">
      <w:pPr>
        <w:pStyle w:val="6"/>
        <w:ind w:left="984" w:firstLine="0" w:firstLineChars="0"/>
        <w:rPr>
          <w:rFonts w:hint="eastAsia"/>
          <w:color w:val="000000"/>
          <w:highlight w:val="none"/>
        </w:rPr>
      </w:pPr>
      <w:r>
        <w:rPr>
          <w:color w:val="000000"/>
          <w:highlight w:val="none"/>
        </w:rPr>
        <w:t>《建筑机电工程抗震设计规范》(GB50981-2014)</w:t>
      </w:r>
    </w:p>
    <w:p w14:paraId="0F39F452">
      <w:pPr>
        <w:pStyle w:val="6"/>
        <w:ind w:left="984" w:firstLine="0" w:firstLineChars="0"/>
        <w:rPr>
          <w:rFonts w:hint="eastAsia"/>
          <w:color w:val="000000"/>
          <w:highlight w:val="none"/>
        </w:rPr>
      </w:pPr>
      <w:r>
        <w:rPr>
          <w:color w:val="000000"/>
          <w:highlight w:val="none"/>
        </w:rPr>
        <w:t>《民用建筑设计统一标准》（GB50352-2019)</w:t>
      </w:r>
    </w:p>
    <w:p w14:paraId="3D5EAC94">
      <w:pPr>
        <w:pStyle w:val="6"/>
        <w:ind w:left="984" w:firstLine="0" w:firstLineChars="0"/>
        <w:rPr>
          <w:rFonts w:hint="eastAsia"/>
          <w:color w:val="000000"/>
          <w:highlight w:val="none"/>
        </w:rPr>
      </w:pPr>
      <w:r>
        <w:rPr>
          <w:color w:val="000000"/>
          <w:highlight w:val="none"/>
        </w:rPr>
        <w:t>《风机、压缩机、泵安装工程施工及验收规范》GB50275-2010</w:t>
      </w:r>
    </w:p>
    <w:p w14:paraId="740F8BD8">
      <w:pPr>
        <w:pStyle w:val="6"/>
        <w:ind w:left="984" w:firstLine="0" w:firstLineChars="0"/>
        <w:rPr>
          <w:rFonts w:hint="eastAsia"/>
          <w:color w:val="000000"/>
          <w:highlight w:val="none"/>
        </w:rPr>
      </w:pPr>
      <w:r>
        <w:rPr>
          <w:color w:val="000000"/>
          <w:highlight w:val="none"/>
        </w:rPr>
        <w:t>《建筑给水排水及采暖工程施工质量验收规范》(GB50242-2002)</w:t>
      </w:r>
    </w:p>
    <w:p w14:paraId="1374D4C2">
      <w:pPr>
        <w:pStyle w:val="6"/>
        <w:ind w:left="984" w:firstLine="0" w:firstLineChars="0"/>
        <w:rPr>
          <w:rFonts w:hint="eastAsia"/>
          <w:color w:val="000000"/>
          <w:highlight w:val="none"/>
        </w:rPr>
      </w:pPr>
      <w:r>
        <w:rPr>
          <w:color w:val="000000"/>
          <w:highlight w:val="none"/>
        </w:rPr>
        <w:t>《建筑给水排水及节水通用规范》(GB55020-2021)</w:t>
      </w:r>
    </w:p>
    <w:p w14:paraId="0412D08D">
      <w:pPr>
        <w:pStyle w:val="6"/>
        <w:ind w:left="984" w:firstLine="0" w:firstLineChars="0"/>
        <w:rPr>
          <w:rFonts w:hint="eastAsia"/>
          <w:color w:val="000000"/>
          <w:highlight w:val="none"/>
        </w:rPr>
      </w:pPr>
      <w:r>
        <w:rPr>
          <w:color w:val="000000"/>
          <w:highlight w:val="none"/>
        </w:rPr>
        <w:t>《建筑节能与可再生能源利用通用规范 》(GB55015-2021 )</w:t>
      </w:r>
    </w:p>
    <w:p w14:paraId="60D75BEE">
      <w:pPr>
        <w:pStyle w:val="6"/>
        <w:ind w:left="984" w:firstLine="0" w:firstLineChars="0"/>
        <w:rPr>
          <w:rFonts w:hint="eastAsia"/>
          <w:color w:val="000000"/>
          <w:highlight w:val="none"/>
        </w:rPr>
      </w:pPr>
      <w:r>
        <w:rPr>
          <w:color w:val="000000"/>
          <w:highlight w:val="none"/>
        </w:rPr>
        <w:t>《建筑与市政工程无障碍通用规范》(GB55019-2021 )</w:t>
      </w:r>
    </w:p>
    <w:p w14:paraId="40EEA7D5">
      <w:pPr>
        <w:pStyle w:val="6"/>
        <w:ind w:left="984" w:firstLine="0" w:firstLineChars="0"/>
        <w:rPr>
          <w:rFonts w:hint="eastAsia"/>
          <w:color w:val="000000"/>
          <w:highlight w:val="none"/>
        </w:rPr>
      </w:pPr>
      <w:r>
        <w:rPr>
          <w:color w:val="000000"/>
          <w:highlight w:val="none"/>
        </w:rPr>
        <w:t>《建筑给水排水制图标准》(GB/T50106-2010)</w:t>
      </w:r>
    </w:p>
    <w:p w14:paraId="1EA95F36">
      <w:pPr>
        <w:pStyle w:val="6"/>
        <w:ind w:left="984" w:firstLine="0" w:firstLineChars="0"/>
        <w:rPr>
          <w:rFonts w:hint="eastAsia"/>
          <w:color w:val="000000"/>
          <w:highlight w:val="none"/>
        </w:rPr>
      </w:pPr>
      <w:r>
        <w:rPr>
          <w:color w:val="000000"/>
          <w:highlight w:val="none"/>
        </w:rPr>
        <w:t>《生活饮用水卫生标准》》(GB5749-2006)</w:t>
      </w:r>
    </w:p>
    <w:p w14:paraId="62B6635F">
      <w:pPr>
        <w:pStyle w:val="6"/>
        <w:numPr>
          <w:ilvl w:val="0"/>
          <w:numId w:val="5"/>
        </w:numPr>
        <w:ind w:firstLineChars="0"/>
        <w:rPr>
          <w:rFonts w:hint="eastAsia"/>
          <w:color w:val="000000"/>
          <w:highlight w:val="none"/>
        </w:rPr>
      </w:pPr>
      <w:r>
        <w:rPr>
          <w:rFonts w:hint="eastAsia"/>
          <w:color w:val="000000"/>
          <w:highlight w:val="none"/>
        </w:rPr>
        <w:t>电气专业：</w:t>
      </w:r>
    </w:p>
    <w:p w14:paraId="0A0F1BAA">
      <w:pPr>
        <w:pStyle w:val="6"/>
        <w:ind w:left="984" w:firstLine="0" w:firstLineChars="0"/>
        <w:rPr>
          <w:rFonts w:hint="eastAsia"/>
          <w:color w:val="000000"/>
          <w:highlight w:val="none"/>
        </w:rPr>
      </w:pPr>
      <w:r>
        <w:rPr>
          <w:color w:val="000000"/>
          <w:highlight w:val="none"/>
        </w:rPr>
        <w:t>《民用建筑电气设计标准》GB 51348-2019；</w:t>
      </w:r>
    </w:p>
    <w:p w14:paraId="00A50EAC">
      <w:pPr>
        <w:pStyle w:val="6"/>
        <w:ind w:left="984" w:firstLine="0" w:firstLineChars="0"/>
        <w:rPr>
          <w:rFonts w:hint="eastAsia"/>
          <w:color w:val="000000"/>
          <w:highlight w:val="none"/>
        </w:rPr>
      </w:pPr>
      <w:r>
        <w:rPr>
          <w:color w:val="000000"/>
          <w:highlight w:val="none"/>
        </w:rPr>
        <w:t>《消防应急照明和疏散指示系统技术标准》GB 51309-2018；</w:t>
      </w:r>
    </w:p>
    <w:p w14:paraId="57307BA7">
      <w:pPr>
        <w:pStyle w:val="6"/>
        <w:ind w:left="984" w:firstLine="0" w:firstLineChars="0"/>
        <w:rPr>
          <w:rFonts w:hint="eastAsia"/>
          <w:color w:val="000000"/>
          <w:highlight w:val="none"/>
        </w:rPr>
      </w:pPr>
      <w:r>
        <w:rPr>
          <w:color w:val="000000"/>
          <w:highlight w:val="none"/>
        </w:rPr>
        <w:t>《建筑设计防火规范》GB 50016-2014（2018年版）；</w:t>
      </w:r>
    </w:p>
    <w:p w14:paraId="7A04A516">
      <w:pPr>
        <w:pStyle w:val="6"/>
        <w:ind w:left="984" w:firstLine="0" w:firstLineChars="0"/>
        <w:rPr>
          <w:rFonts w:hint="eastAsia"/>
          <w:color w:val="000000"/>
          <w:highlight w:val="none"/>
        </w:rPr>
      </w:pPr>
      <w:r>
        <w:rPr>
          <w:color w:val="000000"/>
          <w:highlight w:val="none"/>
        </w:rPr>
        <w:t>《火灾自动报警系统设计规范》GB 50116-2013；</w:t>
      </w:r>
    </w:p>
    <w:p w14:paraId="1F3E261E">
      <w:pPr>
        <w:pStyle w:val="6"/>
        <w:ind w:left="984" w:firstLine="0" w:firstLineChars="0"/>
        <w:rPr>
          <w:rFonts w:hint="eastAsia"/>
          <w:color w:val="000000"/>
          <w:highlight w:val="none"/>
        </w:rPr>
      </w:pPr>
      <w:r>
        <w:rPr>
          <w:color w:val="000000"/>
          <w:highlight w:val="none"/>
        </w:rPr>
        <w:t>《火灾自动报警系统施工及验收标准》GB 50166-2019；</w:t>
      </w:r>
    </w:p>
    <w:p w14:paraId="2E4920BF">
      <w:pPr>
        <w:pStyle w:val="6"/>
        <w:ind w:left="984" w:firstLine="0" w:firstLineChars="0"/>
        <w:rPr>
          <w:rFonts w:hint="eastAsia"/>
          <w:color w:val="000000"/>
          <w:highlight w:val="none"/>
        </w:rPr>
      </w:pPr>
      <w:r>
        <w:rPr>
          <w:color w:val="000000"/>
          <w:highlight w:val="none"/>
        </w:rPr>
        <w:t>《建筑电气与智能化通用规范》GB 55024-2022；</w:t>
      </w:r>
    </w:p>
    <w:p w14:paraId="4679FCAE">
      <w:pPr>
        <w:pStyle w:val="6"/>
        <w:ind w:left="984" w:firstLine="0" w:firstLineChars="0"/>
        <w:rPr>
          <w:rFonts w:hint="eastAsia"/>
          <w:color w:val="000000"/>
          <w:highlight w:val="none"/>
        </w:rPr>
      </w:pPr>
      <w:r>
        <w:rPr>
          <w:color w:val="000000"/>
          <w:highlight w:val="none"/>
        </w:rPr>
        <w:t>《气体灭火系统设计规范》GB 50370-2005；</w:t>
      </w:r>
    </w:p>
    <w:p w14:paraId="50DF6904">
      <w:pPr>
        <w:pStyle w:val="6"/>
        <w:ind w:left="984" w:firstLine="0" w:firstLineChars="0"/>
        <w:rPr>
          <w:rFonts w:hint="eastAsia"/>
          <w:color w:val="000000"/>
          <w:highlight w:val="none"/>
        </w:rPr>
      </w:pPr>
      <w:r>
        <w:rPr>
          <w:color w:val="000000"/>
          <w:highlight w:val="none"/>
        </w:rPr>
        <w:t>《消防给水及消火栓系统技术规范》GB 50974-2014；</w:t>
      </w:r>
    </w:p>
    <w:p w14:paraId="25CC9512">
      <w:pPr>
        <w:pStyle w:val="6"/>
        <w:ind w:left="984" w:firstLine="0" w:firstLineChars="0"/>
        <w:rPr>
          <w:rFonts w:hint="eastAsia"/>
          <w:color w:val="000000"/>
          <w:highlight w:val="none"/>
        </w:rPr>
      </w:pPr>
      <w:r>
        <w:rPr>
          <w:color w:val="000000"/>
          <w:highlight w:val="none"/>
        </w:rPr>
        <w:t>《自动喷水灭火系统设计规范》GB 50084-2017；</w:t>
      </w:r>
    </w:p>
    <w:p w14:paraId="347FAC7B">
      <w:pPr>
        <w:pStyle w:val="6"/>
        <w:ind w:left="984" w:firstLine="0" w:firstLineChars="0"/>
        <w:rPr>
          <w:rFonts w:hint="eastAsia"/>
          <w:color w:val="000000"/>
          <w:highlight w:val="none"/>
        </w:rPr>
      </w:pPr>
      <w:r>
        <w:rPr>
          <w:color w:val="000000"/>
          <w:highlight w:val="none"/>
        </w:rPr>
        <w:t>《建筑防烟排烟系统技术标准》GB 51251-2017；</w:t>
      </w:r>
    </w:p>
    <w:p w14:paraId="2108B577">
      <w:pPr>
        <w:pStyle w:val="6"/>
        <w:ind w:left="984" w:firstLine="0" w:firstLineChars="0"/>
        <w:rPr>
          <w:rFonts w:hint="eastAsia"/>
          <w:color w:val="000000"/>
          <w:highlight w:val="none"/>
        </w:rPr>
      </w:pPr>
      <w:r>
        <w:rPr>
          <w:color w:val="000000"/>
          <w:highlight w:val="none"/>
        </w:rPr>
        <w:t>《建筑防火通用规范》GB 55037-2022；</w:t>
      </w:r>
    </w:p>
    <w:p w14:paraId="66265458">
      <w:pPr>
        <w:pStyle w:val="6"/>
        <w:ind w:left="984" w:firstLine="0" w:firstLineChars="0"/>
        <w:rPr>
          <w:rFonts w:hint="eastAsia"/>
          <w:color w:val="000000"/>
          <w:highlight w:val="none"/>
        </w:rPr>
      </w:pPr>
      <w:r>
        <w:rPr>
          <w:color w:val="000000"/>
          <w:highlight w:val="none"/>
        </w:rPr>
        <w:t>《消防设施通用规范》GB 55036-2022；</w:t>
      </w:r>
    </w:p>
    <w:p w14:paraId="677EA40F">
      <w:pPr>
        <w:pStyle w:val="6"/>
        <w:ind w:left="984" w:firstLine="0" w:firstLineChars="0"/>
        <w:rPr>
          <w:rFonts w:hint="eastAsia"/>
          <w:color w:val="000000"/>
          <w:highlight w:val="none"/>
        </w:rPr>
      </w:pPr>
      <w:r>
        <w:rPr>
          <w:rFonts w:hint="eastAsia"/>
          <w:color w:val="000000"/>
          <w:highlight w:val="none"/>
        </w:rPr>
        <w:t>《民用建筑电气设计规范》（</w:t>
      </w:r>
      <w:r>
        <w:rPr>
          <w:color w:val="000000"/>
          <w:highlight w:val="none"/>
        </w:rPr>
        <w:t>GB 51348-2019）</w:t>
      </w:r>
    </w:p>
    <w:p w14:paraId="0068C977">
      <w:pPr>
        <w:pStyle w:val="6"/>
        <w:ind w:left="984" w:firstLine="0" w:firstLineChars="0"/>
        <w:rPr>
          <w:rFonts w:hint="eastAsia"/>
          <w:color w:val="000000"/>
          <w:highlight w:val="none"/>
        </w:rPr>
      </w:pPr>
      <w:r>
        <w:rPr>
          <w:rFonts w:hint="eastAsia"/>
          <w:color w:val="000000"/>
          <w:highlight w:val="none"/>
        </w:rPr>
        <w:t>《电子信息系统机房设计规范》（</w:t>
      </w:r>
      <w:r>
        <w:rPr>
          <w:color w:val="000000"/>
          <w:highlight w:val="none"/>
        </w:rPr>
        <w:t xml:space="preserve">GB50174-2008） </w:t>
      </w:r>
    </w:p>
    <w:p w14:paraId="4F0590ED">
      <w:pPr>
        <w:pStyle w:val="6"/>
        <w:ind w:left="984" w:firstLine="0" w:firstLineChars="0"/>
        <w:rPr>
          <w:rFonts w:hint="eastAsia"/>
          <w:color w:val="000000"/>
          <w:highlight w:val="none"/>
        </w:rPr>
      </w:pPr>
      <w:r>
        <w:rPr>
          <w:rFonts w:hint="eastAsia"/>
          <w:color w:val="000000"/>
          <w:highlight w:val="none"/>
        </w:rPr>
        <w:t>《民用闭路监视系统工程技术规范》（</w:t>
      </w:r>
      <w:r>
        <w:rPr>
          <w:color w:val="000000"/>
          <w:highlight w:val="none"/>
        </w:rPr>
        <w:t>GB50198-2011）</w:t>
      </w:r>
    </w:p>
    <w:p w14:paraId="2395C4DE">
      <w:pPr>
        <w:pStyle w:val="6"/>
        <w:ind w:left="984" w:firstLine="0" w:firstLineChars="0"/>
        <w:rPr>
          <w:rFonts w:hint="eastAsia"/>
          <w:color w:val="000000"/>
          <w:highlight w:val="none"/>
        </w:rPr>
      </w:pPr>
      <w:r>
        <w:rPr>
          <w:rFonts w:hint="eastAsia"/>
          <w:color w:val="000000"/>
          <w:highlight w:val="none"/>
        </w:rPr>
        <w:t>《有线电视系统工程技术规范》（</w:t>
      </w:r>
      <w:r>
        <w:rPr>
          <w:color w:val="000000"/>
          <w:highlight w:val="none"/>
        </w:rPr>
        <w:t>GB50200-94）</w:t>
      </w:r>
    </w:p>
    <w:p w14:paraId="43AE48AC">
      <w:pPr>
        <w:pStyle w:val="6"/>
        <w:ind w:left="984" w:firstLine="0" w:firstLineChars="0"/>
        <w:rPr>
          <w:rFonts w:hint="eastAsia"/>
          <w:color w:val="000000"/>
          <w:highlight w:val="none"/>
        </w:rPr>
      </w:pPr>
      <w:r>
        <w:rPr>
          <w:rFonts w:hint="eastAsia"/>
          <w:color w:val="000000"/>
          <w:highlight w:val="none"/>
        </w:rPr>
        <w:t>《综合布线系统工程设计规范》（</w:t>
      </w:r>
      <w:r>
        <w:rPr>
          <w:color w:val="000000"/>
          <w:highlight w:val="none"/>
        </w:rPr>
        <w:t>GB50311-2016）</w:t>
      </w:r>
    </w:p>
    <w:p w14:paraId="1026C807">
      <w:pPr>
        <w:pStyle w:val="6"/>
        <w:ind w:left="984" w:firstLine="0" w:firstLineChars="0"/>
        <w:rPr>
          <w:rFonts w:hint="eastAsia"/>
          <w:color w:val="000000"/>
          <w:highlight w:val="none"/>
        </w:rPr>
      </w:pPr>
      <w:r>
        <w:rPr>
          <w:rFonts w:hint="eastAsia"/>
          <w:color w:val="000000"/>
          <w:highlight w:val="none"/>
        </w:rPr>
        <w:t>《综合布线系统工程验收规范》（</w:t>
      </w:r>
      <w:r>
        <w:rPr>
          <w:color w:val="000000"/>
          <w:highlight w:val="none"/>
        </w:rPr>
        <w:t>GB/T 50312-2016）</w:t>
      </w:r>
    </w:p>
    <w:p w14:paraId="3AD46A58">
      <w:pPr>
        <w:pStyle w:val="6"/>
        <w:ind w:left="984" w:firstLine="0" w:firstLineChars="0"/>
        <w:rPr>
          <w:rFonts w:hint="eastAsia"/>
          <w:color w:val="000000"/>
          <w:highlight w:val="none"/>
        </w:rPr>
      </w:pPr>
      <w:r>
        <w:rPr>
          <w:rFonts w:hint="eastAsia"/>
          <w:color w:val="000000"/>
          <w:highlight w:val="none"/>
        </w:rPr>
        <w:t>《建筑物电子信息系统防雷技术规范》（</w:t>
      </w:r>
      <w:r>
        <w:rPr>
          <w:color w:val="000000"/>
          <w:highlight w:val="none"/>
        </w:rPr>
        <w:t>GB50343-2012）</w:t>
      </w:r>
    </w:p>
    <w:p w14:paraId="0200757C">
      <w:pPr>
        <w:pStyle w:val="6"/>
        <w:ind w:left="984" w:firstLine="0" w:firstLineChars="0"/>
        <w:rPr>
          <w:rFonts w:hint="eastAsia"/>
          <w:color w:val="000000"/>
          <w:highlight w:val="none"/>
        </w:rPr>
      </w:pPr>
      <w:r>
        <w:rPr>
          <w:rFonts w:hint="eastAsia"/>
          <w:color w:val="000000"/>
          <w:highlight w:val="none"/>
        </w:rPr>
        <w:t>《安全防范工程技术规范》（</w:t>
      </w:r>
      <w:r>
        <w:rPr>
          <w:color w:val="000000"/>
          <w:highlight w:val="none"/>
        </w:rPr>
        <w:t>GB50348-2018）</w:t>
      </w:r>
    </w:p>
    <w:p w14:paraId="66A7BC68">
      <w:pPr>
        <w:pStyle w:val="6"/>
        <w:ind w:left="984" w:firstLine="0" w:firstLineChars="0"/>
        <w:rPr>
          <w:rFonts w:hint="eastAsia"/>
          <w:color w:val="000000"/>
          <w:highlight w:val="none"/>
        </w:rPr>
      </w:pPr>
      <w:r>
        <w:rPr>
          <w:rFonts w:hint="eastAsia"/>
          <w:color w:val="000000"/>
          <w:highlight w:val="none"/>
        </w:rPr>
        <w:t>《入侵报警系统工程设计规范》（</w:t>
      </w:r>
      <w:r>
        <w:rPr>
          <w:color w:val="000000"/>
          <w:highlight w:val="none"/>
        </w:rPr>
        <w:t>GB 50394-2007）</w:t>
      </w:r>
    </w:p>
    <w:p w14:paraId="4BF3E1FC">
      <w:pPr>
        <w:pStyle w:val="6"/>
        <w:ind w:left="984" w:firstLine="0" w:firstLineChars="0"/>
        <w:rPr>
          <w:rFonts w:hint="eastAsia"/>
          <w:color w:val="000000"/>
          <w:highlight w:val="none"/>
        </w:rPr>
      </w:pPr>
      <w:r>
        <w:rPr>
          <w:rFonts w:hint="eastAsia"/>
          <w:color w:val="000000"/>
          <w:highlight w:val="none"/>
        </w:rPr>
        <w:t>《视频安防监控系统工程设计规范》（</w:t>
      </w:r>
      <w:r>
        <w:rPr>
          <w:color w:val="000000"/>
          <w:highlight w:val="none"/>
        </w:rPr>
        <w:t>GB 50395-2007）</w:t>
      </w:r>
    </w:p>
    <w:p w14:paraId="66316938">
      <w:pPr>
        <w:pStyle w:val="6"/>
        <w:ind w:left="984" w:firstLine="0" w:firstLineChars="0"/>
        <w:rPr>
          <w:rFonts w:hint="eastAsia"/>
          <w:color w:val="000000"/>
          <w:highlight w:val="none"/>
        </w:rPr>
      </w:pPr>
      <w:r>
        <w:rPr>
          <w:rFonts w:hint="eastAsia"/>
          <w:color w:val="000000"/>
          <w:highlight w:val="none"/>
        </w:rPr>
        <w:t>《视频安防监控系统工程设计规范》（</w:t>
      </w:r>
      <w:r>
        <w:rPr>
          <w:color w:val="000000"/>
          <w:highlight w:val="none"/>
        </w:rPr>
        <w:t>GB 50395-2007）</w:t>
      </w:r>
    </w:p>
    <w:p w14:paraId="109E8009">
      <w:pPr>
        <w:pStyle w:val="6"/>
        <w:ind w:left="984" w:firstLine="0" w:firstLineChars="0"/>
        <w:rPr>
          <w:rFonts w:hint="eastAsia"/>
          <w:color w:val="000000"/>
          <w:highlight w:val="none"/>
        </w:rPr>
      </w:pPr>
      <w:r>
        <w:rPr>
          <w:rFonts w:hint="eastAsia"/>
          <w:color w:val="000000"/>
          <w:highlight w:val="none"/>
        </w:rPr>
        <w:t>《出入口控制系统工程设计规范》（</w:t>
      </w:r>
      <w:r>
        <w:rPr>
          <w:color w:val="000000"/>
          <w:highlight w:val="none"/>
        </w:rPr>
        <w:t>GB 50396-2007）</w:t>
      </w:r>
    </w:p>
    <w:p w14:paraId="2BA281F5">
      <w:pPr>
        <w:pStyle w:val="6"/>
        <w:ind w:left="984" w:firstLine="0" w:firstLineChars="0"/>
        <w:rPr>
          <w:rFonts w:hint="eastAsia"/>
          <w:color w:val="000000"/>
          <w:highlight w:val="none"/>
        </w:rPr>
      </w:pPr>
      <w:r>
        <w:rPr>
          <w:rFonts w:hint="eastAsia"/>
          <w:color w:val="000000"/>
          <w:highlight w:val="none"/>
        </w:rPr>
        <w:t>《智能建筑设计标准》（</w:t>
      </w:r>
      <w:r>
        <w:rPr>
          <w:color w:val="000000"/>
          <w:highlight w:val="none"/>
        </w:rPr>
        <w:t>GB50314-2015）</w:t>
      </w:r>
    </w:p>
    <w:p w14:paraId="14605FAF">
      <w:pPr>
        <w:pStyle w:val="6"/>
        <w:ind w:left="984" w:firstLine="0" w:firstLineChars="0"/>
        <w:rPr>
          <w:rFonts w:hint="eastAsia"/>
          <w:color w:val="000000"/>
          <w:highlight w:val="none"/>
        </w:rPr>
      </w:pPr>
      <w:r>
        <w:rPr>
          <w:rFonts w:hint="eastAsia"/>
          <w:color w:val="000000"/>
          <w:highlight w:val="none"/>
        </w:rPr>
        <w:t>《住宅区和住宅建筑内光纤到户通信设施工程设计规范》（</w:t>
      </w:r>
      <w:r>
        <w:rPr>
          <w:color w:val="000000"/>
          <w:highlight w:val="none"/>
        </w:rPr>
        <w:t>GB50846-2012）</w:t>
      </w:r>
    </w:p>
    <w:p w14:paraId="50438195">
      <w:pPr>
        <w:pStyle w:val="6"/>
        <w:ind w:left="984" w:firstLine="0" w:firstLineChars="0"/>
        <w:rPr>
          <w:rFonts w:hint="eastAsia"/>
          <w:color w:val="000000"/>
          <w:highlight w:val="none"/>
        </w:rPr>
      </w:pPr>
      <w:r>
        <w:rPr>
          <w:rFonts w:hint="eastAsia"/>
          <w:color w:val="000000"/>
          <w:highlight w:val="none"/>
        </w:rPr>
        <w:t>《建筑电气与智能化通用规范》（</w:t>
      </w:r>
      <w:r>
        <w:rPr>
          <w:color w:val="000000"/>
          <w:highlight w:val="none"/>
        </w:rPr>
        <w:t>GB 55024-2022）</w:t>
      </w:r>
    </w:p>
    <w:p w14:paraId="48CF1622">
      <w:pPr>
        <w:pStyle w:val="6"/>
        <w:ind w:left="984" w:firstLine="0" w:firstLineChars="0"/>
        <w:rPr>
          <w:rFonts w:hint="eastAsia"/>
          <w:color w:val="000000"/>
          <w:highlight w:val="none"/>
        </w:rPr>
      </w:pPr>
      <w:r>
        <w:rPr>
          <w:rFonts w:hint="eastAsia"/>
          <w:color w:val="000000"/>
          <w:highlight w:val="none"/>
        </w:rPr>
        <w:t>《安全防范工程通用规范》</w:t>
      </w:r>
      <w:r>
        <w:rPr>
          <w:color w:val="000000"/>
          <w:highlight w:val="none"/>
        </w:rPr>
        <w:t>GB 55029-2022</w:t>
      </w:r>
    </w:p>
    <w:p w14:paraId="4B90EA7F">
      <w:pPr>
        <w:pStyle w:val="6"/>
        <w:numPr>
          <w:ilvl w:val="0"/>
          <w:numId w:val="5"/>
        </w:numPr>
        <w:ind w:firstLineChars="0"/>
        <w:rPr>
          <w:rFonts w:hint="eastAsia"/>
          <w:color w:val="000000"/>
          <w:highlight w:val="none"/>
        </w:rPr>
      </w:pPr>
      <w:r>
        <w:rPr>
          <w:rFonts w:hint="eastAsia"/>
          <w:color w:val="000000"/>
          <w:highlight w:val="none"/>
        </w:rPr>
        <w:t>暖通专业：</w:t>
      </w:r>
    </w:p>
    <w:p w14:paraId="1180E34E">
      <w:pPr>
        <w:pStyle w:val="6"/>
        <w:ind w:left="984" w:firstLine="0" w:firstLineChars="0"/>
        <w:rPr>
          <w:rFonts w:hint="eastAsia"/>
          <w:color w:val="000000"/>
          <w:highlight w:val="none"/>
        </w:rPr>
      </w:pPr>
      <w:r>
        <w:rPr>
          <w:rFonts w:hint="eastAsia"/>
          <w:color w:val="000000"/>
          <w:highlight w:val="none"/>
        </w:rPr>
        <w:t>《民用建筑供暖通风与空气调节设计规范》（G</w:t>
      </w:r>
      <w:r>
        <w:rPr>
          <w:color w:val="000000"/>
          <w:highlight w:val="none"/>
        </w:rPr>
        <w:t>B 50736-2012</w:t>
      </w:r>
      <w:r>
        <w:rPr>
          <w:rFonts w:hint="eastAsia"/>
          <w:color w:val="000000"/>
          <w:highlight w:val="none"/>
        </w:rPr>
        <w:t>）</w:t>
      </w:r>
    </w:p>
    <w:p w14:paraId="189CE0A9">
      <w:pPr>
        <w:pStyle w:val="6"/>
        <w:ind w:left="984" w:firstLine="0" w:firstLineChars="0"/>
        <w:rPr>
          <w:rFonts w:hint="eastAsia"/>
          <w:color w:val="000000"/>
          <w:highlight w:val="none"/>
        </w:rPr>
      </w:pPr>
      <w:r>
        <w:rPr>
          <w:rFonts w:hint="eastAsia"/>
          <w:color w:val="000000"/>
          <w:highlight w:val="none"/>
        </w:rPr>
        <w:t>《建筑防烟排烟系统技术标准》(</w:t>
      </w:r>
      <w:r>
        <w:rPr>
          <w:color w:val="000000"/>
          <w:highlight w:val="none"/>
        </w:rPr>
        <w:t>GB 51251-2017)</w:t>
      </w:r>
    </w:p>
    <w:p w14:paraId="55636525">
      <w:pPr>
        <w:pStyle w:val="6"/>
        <w:ind w:left="984" w:firstLine="0" w:firstLineChars="0"/>
        <w:rPr>
          <w:rFonts w:hint="eastAsia"/>
          <w:color w:val="000000"/>
          <w:highlight w:val="none"/>
        </w:rPr>
      </w:pPr>
      <w:r>
        <w:rPr>
          <w:rFonts w:hint="eastAsia"/>
          <w:color w:val="000000"/>
          <w:highlight w:val="none"/>
        </w:rPr>
        <w:t>《民用建筑隔声设计规范》(</w:t>
      </w:r>
      <w:r>
        <w:rPr>
          <w:color w:val="000000"/>
          <w:highlight w:val="none"/>
        </w:rPr>
        <w:t>GB 50118-2010)</w:t>
      </w:r>
    </w:p>
    <w:p w14:paraId="612C2DA8">
      <w:pPr>
        <w:pStyle w:val="6"/>
        <w:ind w:left="984" w:firstLine="0" w:firstLineChars="0"/>
        <w:rPr>
          <w:rFonts w:hint="eastAsia"/>
          <w:color w:val="000000"/>
          <w:highlight w:val="none"/>
        </w:rPr>
      </w:pPr>
      <w:r>
        <w:rPr>
          <w:rFonts w:hint="eastAsia"/>
          <w:color w:val="000000"/>
          <w:highlight w:val="none"/>
        </w:rPr>
        <w:t>《声环境质量标准》(</w:t>
      </w:r>
      <w:r>
        <w:rPr>
          <w:color w:val="000000"/>
          <w:highlight w:val="none"/>
        </w:rPr>
        <w:t>GB 3096-2008)</w:t>
      </w:r>
    </w:p>
    <w:p w14:paraId="76E0717A">
      <w:pPr>
        <w:pStyle w:val="6"/>
        <w:ind w:left="984" w:firstLine="0" w:firstLineChars="0"/>
        <w:rPr>
          <w:rFonts w:hint="eastAsia"/>
          <w:color w:val="000000"/>
          <w:highlight w:val="none"/>
        </w:rPr>
      </w:pPr>
      <w:r>
        <w:rPr>
          <w:rFonts w:hint="eastAsia"/>
          <w:color w:val="000000"/>
          <w:highlight w:val="none"/>
        </w:rPr>
        <w:t>《室内空气质量标准》(</w:t>
      </w:r>
      <w:r>
        <w:rPr>
          <w:color w:val="000000"/>
          <w:highlight w:val="none"/>
        </w:rPr>
        <w:t>GB/T 18883-2022)</w:t>
      </w:r>
    </w:p>
    <w:p w14:paraId="1B6E414B">
      <w:pPr>
        <w:pStyle w:val="6"/>
        <w:ind w:left="984" w:firstLine="0" w:firstLineChars="0"/>
        <w:rPr>
          <w:rFonts w:hint="eastAsia"/>
          <w:color w:val="000000"/>
          <w:highlight w:val="none"/>
        </w:rPr>
      </w:pPr>
      <w:r>
        <w:rPr>
          <w:rFonts w:hint="eastAsia"/>
          <w:color w:val="000000"/>
          <w:highlight w:val="none"/>
        </w:rPr>
        <w:t>《绿色建筑评价标准》(</w:t>
      </w:r>
      <w:r>
        <w:rPr>
          <w:color w:val="000000"/>
          <w:highlight w:val="none"/>
        </w:rPr>
        <w:t>GB/T 50378-2019)</w:t>
      </w:r>
    </w:p>
    <w:p w14:paraId="6FCBAA58">
      <w:pPr>
        <w:pStyle w:val="6"/>
        <w:ind w:left="984" w:firstLine="0" w:firstLineChars="0"/>
        <w:rPr>
          <w:rFonts w:hint="eastAsia"/>
          <w:color w:val="000000"/>
          <w:highlight w:val="none"/>
        </w:rPr>
      </w:pPr>
      <w:r>
        <w:rPr>
          <w:rFonts w:hint="eastAsia"/>
          <w:color w:val="000000"/>
          <w:highlight w:val="none"/>
        </w:rPr>
        <w:t>《建筑节能与可再生能源利用通用规范》(</w:t>
      </w:r>
      <w:r>
        <w:rPr>
          <w:color w:val="000000"/>
          <w:highlight w:val="none"/>
        </w:rPr>
        <w:t>GB 55015-2021)</w:t>
      </w:r>
    </w:p>
    <w:p w14:paraId="7352D279">
      <w:pPr>
        <w:pStyle w:val="6"/>
        <w:ind w:left="984" w:firstLine="0" w:firstLineChars="0"/>
        <w:rPr>
          <w:rFonts w:hint="eastAsia"/>
          <w:color w:val="000000"/>
          <w:highlight w:val="none"/>
        </w:rPr>
      </w:pPr>
      <w:r>
        <w:rPr>
          <w:rFonts w:hint="eastAsia"/>
          <w:color w:val="000000"/>
          <w:highlight w:val="none"/>
        </w:rPr>
        <w:t>《住宅新风系统技术标准》(J</w:t>
      </w:r>
      <w:r>
        <w:rPr>
          <w:color w:val="000000"/>
          <w:highlight w:val="none"/>
        </w:rPr>
        <w:t>GJ/T 440-2018)</w:t>
      </w:r>
    </w:p>
    <w:p w14:paraId="4B616A5C">
      <w:pPr>
        <w:pStyle w:val="6"/>
        <w:ind w:left="984" w:firstLine="0" w:firstLineChars="0"/>
        <w:rPr>
          <w:rFonts w:hint="eastAsia"/>
          <w:color w:val="000000"/>
          <w:highlight w:val="none"/>
        </w:rPr>
      </w:pPr>
      <w:r>
        <w:rPr>
          <w:rFonts w:hint="eastAsia"/>
          <w:color w:val="000000"/>
          <w:highlight w:val="none"/>
        </w:rPr>
        <w:t>《住宅排气管道系统工程技术标准》(J</w:t>
      </w:r>
      <w:r>
        <w:rPr>
          <w:color w:val="000000"/>
          <w:highlight w:val="none"/>
        </w:rPr>
        <w:t>GJ/T 455-2018)</w:t>
      </w:r>
    </w:p>
    <w:p w14:paraId="733A35BE">
      <w:pPr>
        <w:pStyle w:val="6"/>
        <w:ind w:left="984" w:firstLine="0" w:firstLineChars="0"/>
        <w:rPr>
          <w:rFonts w:hint="eastAsia"/>
          <w:color w:val="000000"/>
          <w:highlight w:val="none"/>
        </w:rPr>
      </w:pPr>
      <w:r>
        <w:rPr>
          <w:rFonts w:hint="eastAsia"/>
          <w:color w:val="000000"/>
          <w:highlight w:val="none"/>
        </w:rPr>
        <w:t>《广东省绿色建筑设计规范》(D</w:t>
      </w:r>
      <w:r>
        <w:rPr>
          <w:color w:val="000000"/>
          <w:highlight w:val="none"/>
        </w:rPr>
        <w:t>BJ/T 15-201-2020)</w:t>
      </w:r>
    </w:p>
    <w:p w14:paraId="1B2CB090">
      <w:pPr>
        <w:pStyle w:val="79"/>
        <w:ind w:firstLine="480"/>
        <w:rPr>
          <w:rFonts w:hint="eastAsia" w:ascii="宋体" w:hAnsi="宋体"/>
          <w:color w:val="000000"/>
          <w:highlight w:val="none"/>
        </w:rPr>
      </w:pPr>
      <w:r>
        <w:rPr>
          <w:rFonts w:hint="eastAsia" w:ascii="宋体" w:hAnsi="宋体"/>
          <w:color w:val="000000"/>
          <w:highlight w:val="none"/>
        </w:rPr>
        <w:t>6）绿化专业：</w:t>
      </w:r>
    </w:p>
    <w:p w14:paraId="1C7E4594">
      <w:pPr>
        <w:pStyle w:val="79"/>
        <w:ind w:firstLine="960" w:firstLineChars="400"/>
        <w:rPr>
          <w:rFonts w:hint="eastAsia" w:ascii="宋体" w:hAnsi="宋体"/>
          <w:color w:val="000000"/>
          <w:highlight w:val="none"/>
        </w:rPr>
      </w:pPr>
      <w:r>
        <w:rPr>
          <w:rFonts w:hint="eastAsia" w:ascii="宋体" w:hAnsi="宋体"/>
          <w:color w:val="000000"/>
          <w:highlight w:val="none"/>
        </w:rPr>
        <w:t>《城市道路绿化规划与设计规范》CJJ75-97</w:t>
      </w:r>
    </w:p>
    <w:p w14:paraId="333FFA43">
      <w:pPr>
        <w:pStyle w:val="79"/>
        <w:ind w:firstLine="960" w:firstLineChars="400"/>
        <w:rPr>
          <w:rFonts w:hint="eastAsia" w:ascii="宋体" w:hAnsi="宋体"/>
          <w:color w:val="000000"/>
          <w:highlight w:val="none"/>
        </w:rPr>
      </w:pPr>
      <w:r>
        <w:rPr>
          <w:rFonts w:hint="eastAsia" w:ascii="宋体" w:hAnsi="宋体"/>
          <w:color w:val="000000"/>
          <w:highlight w:val="none"/>
        </w:rPr>
        <w:t>《城市道路工程设计规范》CJJ37-2012(2016年版)</w:t>
      </w:r>
    </w:p>
    <w:p w14:paraId="3870985C">
      <w:pPr>
        <w:pStyle w:val="79"/>
        <w:ind w:firstLine="960" w:firstLineChars="400"/>
        <w:rPr>
          <w:rFonts w:hint="eastAsia" w:ascii="宋体" w:hAnsi="宋体"/>
          <w:color w:val="000000"/>
          <w:highlight w:val="none"/>
        </w:rPr>
      </w:pPr>
      <w:r>
        <w:rPr>
          <w:rFonts w:hint="eastAsia" w:ascii="宋体" w:hAnsi="宋体"/>
          <w:color w:val="000000"/>
          <w:highlight w:val="none"/>
        </w:rPr>
        <w:t>《园林绿化工程项目规范》GB55014-2021</w:t>
      </w:r>
    </w:p>
    <w:p w14:paraId="5291C7DB">
      <w:pPr>
        <w:pStyle w:val="79"/>
        <w:ind w:firstLine="960" w:firstLineChars="400"/>
        <w:rPr>
          <w:rFonts w:hint="eastAsia" w:ascii="宋体" w:hAnsi="宋体"/>
          <w:color w:val="000000"/>
          <w:highlight w:val="none"/>
        </w:rPr>
      </w:pPr>
      <w:r>
        <w:rPr>
          <w:rFonts w:hint="eastAsia" w:ascii="宋体" w:hAnsi="宋体"/>
          <w:color w:val="000000"/>
          <w:highlight w:val="none"/>
        </w:rPr>
        <w:t>《园林绿化工程施工及验收规范》CJJ82-2012</w:t>
      </w:r>
    </w:p>
    <w:p w14:paraId="3DACEC82">
      <w:pPr>
        <w:pStyle w:val="79"/>
        <w:ind w:firstLine="960" w:firstLineChars="400"/>
        <w:rPr>
          <w:rFonts w:hint="eastAsia" w:ascii="宋体" w:hAnsi="宋体"/>
          <w:color w:val="000000"/>
          <w:highlight w:val="none"/>
        </w:rPr>
      </w:pPr>
      <w:r>
        <w:rPr>
          <w:rFonts w:hint="eastAsia" w:ascii="宋体" w:hAnsi="宋体"/>
          <w:color w:val="000000"/>
          <w:highlight w:val="none"/>
        </w:rPr>
        <w:t>《广州绿化条例》2022年修订</w:t>
      </w:r>
    </w:p>
    <w:p w14:paraId="2DFA09CD">
      <w:pPr>
        <w:pStyle w:val="79"/>
        <w:ind w:firstLine="960" w:firstLineChars="400"/>
        <w:rPr>
          <w:rFonts w:hint="eastAsia" w:ascii="宋体" w:hAnsi="宋体"/>
          <w:color w:val="000000"/>
          <w:highlight w:val="none"/>
        </w:rPr>
      </w:pPr>
      <w:r>
        <w:rPr>
          <w:rFonts w:hint="eastAsia" w:ascii="宋体" w:hAnsi="宋体"/>
          <w:color w:val="000000"/>
          <w:highlight w:val="none"/>
        </w:rPr>
        <w:t>《城市绿地设计规范》GB50420-2007(2016年版)</w:t>
      </w:r>
    </w:p>
    <w:p w14:paraId="6C56B764">
      <w:pPr>
        <w:pStyle w:val="79"/>
        <w:ind w:firstLine="960" w:firstLineChars="400"/>
        <w:rPr>
          <w:rFonts w:hint="eastAsia" w:ascii="宋体" w:hAnsi="宋体"/>
          <w:color w:val="000000"/>
          <w:highlight w:val="none"/>
        </w:rPr>
      </w:pPr>
      <w:r>
        <w:rPr>
          <w:rFonts w:hint="eastAsia" w:ascii="宋体" w:hAnsi="宋体"/>
          <w:color w:val="000000"/>
          <w:highlight w:val="none"/>
        </w:rPr>
        <w:t>《风景园林制图标准》CJJ/T 67-2015</w:t>
      </w:r>
    </w:p>
    <w:p w14:paraId="55C660D3">
      <w:pPr>
        <w:pStyle w:val="79"/>
        <w:ind w:firstLine="960" w:firstLineChars="400"/>
        <w:rPr>
          <w:rFonts w:hint="eastAsia" w:ascii="宋体" w:hAnsi="宋体"/>
          <w:color w:val="000000"/>
          <w:highlight w:val="none"/>
        </w:rPr>
      </w:pPr>
      <w:r>
        <w:rPr>
          <w:rFonts w:hint="eastAsia" w:ascii="宋体" w:hAnsi="宋体"/>
          <w:color w:val="000000"/>
          <w:highlight w:val="none"/>
        </w:rPr>
        <w:t>《绿化种植土壤》CJ/T340-2016</w:t>
      </w:r>
    </w:p>
    <w:p w14:paraId="367D7544">
      <w:pPr>
        <w:pStyle w:val="79"/>
        <w:ind w:firstLine="480"/>
        <w:rPr>
          <w:rFonts w:hint="eastAsia" w:ascii="宋体" w:hAnsi="宋体"/>
          <w:color w:val="000000"/>
          <w:highlight w:val="none"/>
        </w:rPr>
      </w:pPr>
      <w:r>
        <w:rPr>
          <w:rFonts w:hint="eastAsia" w:ascii="宋体" w:hAnsi="宋体"/>
          <w:color w:val="000000"/>
          <w:highlight w:val="none"/>
        </w:rPr>
        <w:t>7）照明专业：</w:t>
      </w:r>
    </w:p>
    <w:p w14:paraId="060879CA">
      <w:pPr>
        <w:pStyle w:val="79"/>
        <w:ind w:firstLine="960" w:firstLineChars="400"/>
        <w:rPr>
          <w:rFonts w:hint="eastAsia" w:ascii="宋体" w:hAnsi="宋体"/>
          <w:color w:val="000000"/>
          <w:highlight w:val="none"/>
        </w:rPr>
      </w:pPr>
      <w:r>
        <w:rPr>
          <w:rFonts w:hint="eastAsia" w:ascii="宋体" w:hAnsi="宋体"/>
          <w:color w:val="000000"/>
          <w:highlight w:val="none"/>
        </w:rPr>
        <w:t>广东省推广使用LED照明产品实施方案的通知-粤府函[2012]113号文件；</w:t>
      </w:r>
    </w:p>
    <w:p w14:paraId="0E34E3D2">
      <w:pPr>
        <w:pStyle w:val="79"/>
        <w:ind w:firstLine="960" w:firstLineChars="400"/>
        <w:rPr>
          <w:rFonts w:hint="eastAsia" w:ascii="宋体" w:hAnsi="宋体"/>
          <w:color w:val="000000"/>
          <w:highlight w:val="none"/>
        </w:rPr>
      </w:pPr>
      <w:r>
        <w:rPr>
          <w:rFonts w:hint="eastAsia" w:ascii="宋体" w:hAnsi="宋体"/>
          <w:color w:val="000000"/>
          <w:highlight w:val="none"/>
        </w:rPr>
        <w:t>《低压配电设计规范》(GB 50054-2011)；</w:t>
      </w:r>
    </w:p>
    <w:p w14:paraId="1E14B3ED">
      <w:pPr>
        <w:pStyle w:val="79"/>
        <w:ind w:firstLine="960" w:firstLineChars="400"/>
        <w:rPr>
          <w:rFonts w:hint="eastAsia" w:ascii="宋体" w:hAnsi="宋体"/>
          <w:color w:val="000000"/>
          <w:highlight w:val="none"/>
        </w:rPr>
      </w:pPr>
      <w:r>
        <w:rPr>
          <w:rFonts w:hint="eastAsia" w:ascii="宋体" w:hAnsi="宋体"/>
          <w:color w:val="000000"/>
          <w:highlight w:val="none"/>
        </w:rPr>
        <w:t>《供配电系统设计规范》(GB 50052-2009)；</w:t>
      </w:r>
    </w:p>
    <w:p w14:paraId="1B474D43">
      <w:pPr>
        <w:pStyle w:val="79"/>
        <w:ind w:firstLine="960" w:firstLineChars="400"/>
        <w:rPr>
          <w:rFonts w:hint="eastAsia" w:ascii="宋体" w:hAnsi="宋体"/>
          <w:color w:val="000000"/>
          <w:highlight w:val="none"/>
        </w:rPr>
      </w:pPr>
      <w:r>
        <w:rPr>
          <w:rFonts w:hint="eastAsia" w:ascii="宋体" w:hAnsi="宋体"/>
          <w:color w:val="000000"/>
          <w:highlight w:val="none"/>
        </w:rPr>
        <w:t>《城市道路照明设计标准》（CJJ45-2015）；</w:t>
      </w:r>
    </w:p>
    <w:p w14:paraId="196BC5BB">
      <w:pPr>
        <w:pStyle w:val="79"/>
        <w:ind w:firstLine="960" w:firstLineChars="400"/>
        <w:rPr>
          <w:rFonts w:hint="eastAsia" w:ascii="宋体" w:hAnsi="宋体"/>
          <w:color w:val="000000"/>
          <w:highlight w:val="none"/>
        </w:rPr>
      </w:pPr>
      <w:r>
        <w:rPr>
          <w:rFonts w:hint="eastAsia" w:ascii="宋体" w:hAnsi="宋体"/>
          <w:color w:val="000000"/>
          <w:highlight w:val="none"/>
        </w:rPr>
        <w:t>《城市道路照明工程施工及验收规程》 （CJJ 89-2012）；</w:t>
      </w:r>
    </w:p>
    <w:p w14:paraId="568D47DC">
      <w:pPr>
        <w:pStyle w:val="79"/>
        <w:ind w:firstLine="960" w:firstLineChars="400"/>
        <w:rPr>
          <w:rFonts w:hint="eastAsia" w:ascii="宋体" w:hAnsi="宋体"/>
          <w:color w:val="000000"/>
          <w:highlight w:val="none"/>
        </w:rPr>
      </w:pPr>
      <w:r>
        <w:rPr>
          <w:rFonts w:hint="eastAsia" w:ascii="宋体" w:hAnsi="宋体"/>
          <w:color w:val="000000"/>
          <w:highlight w:val="none"/>
        </w:rPr>
        <w:t>《交流电气装置的接地设计规范》（GB/T50065-2011)；</w:t>
      </w:r>
    </w:p>
    <w:p w14:paraId="050AB438">
      <w:pPr>
        <w:pStyle w:val="79"/>
        <w:ind w:firstLine="960" w:firstLineChars="400"/>
        <w:rPr>
          <w:rFonts w:hint="eastAsia" w:ascii="宋体" w:hAnsi="宋体"/>
          <w:color w:val="000000"/>
          <w:highlight w:val="none"/>
        </w:rPr>
      </w:pPr>
      <w:r>
        <w:rPr>
          <w:rFonts w:hint="eastAsia" w:ascii="宋体" w:hAnsi="宋体"/>
          <w:color w:val="000000"/>
          <w:highlight w:val="none"/>
        </w:rPr>
        <w:t>《道路照明用LED灯性能要求》(GB_T24907-2010)；</w:t>
      </w:r>
    </w:p>
    <w:p w14:paraId="06B06E09">
      <w:pPr>
        <w:pStyle w:val="79"/>
        <w:ind w:firstLine="960" w:firstLineChars="400"/>
        <w:rPr>
          <w:rFonts w:hint="eastAsia" w:ascii="宋体" w:hAnsi="宋体"/>
          <w:color w:val="000000"/>
          <w:highlight w:val="none"/>
        </w:rPr>
      </w:pPr>
      <w:r>
        <w:rPr>
          <w:rFonts w:hint="eastAsia" w:ascii="宋体" w:hAnsi="宋体"/>
          <w:color w:val="000000"/>
          <w:highlight w:val="none"/>
        </w:rPr>
        <w:t>《电力工程电缆设计标准》(GB 50217-2018)；</w:t>
      </w:r>
    </w:p>
    <w:p w14:paraId="397A10C2">
      <w:pPr>
        <w:pStyle w:val="79"/>
        <w:ind w:firstLine="960" w:firstLineChars="400"/>
        <w:rPr>
          <w:rFonts w:hint="eastAsia" w:ascii="宋体" w:hAnsi="宋体"/>
          <w:color w:val="000000"/>
          <w:highlight w:val="none"/>
        </w:rPr>
      </w:pPr>
      <w:r>
        <w:rPr>
          <w:rFonts w:hint="eastAsia" w:ascii="宋体" w:hAnsi="宋体"/>
          <w:color w:val="000000"/>
          <w:highlight w:val="none"/>
        </w:rPr>
        <w:t>《LED城市道路照明应用技术要求》(GB/T 31832-2015)；</w:t>
      </w:r>
    </w:p>
    <w:p w14:paraId="1AE1B2E1">
      <w:pPr>
        <w:pStyle w:val="79"/>
        <w:ind w:firstLine="960" w:firstLineChars="400"/>
        <w:rPr>
          <w:color w:val="000000"/>
          <w:highlight w:val="none"/>
        </w:rPr>
      </w:pPr>
      <w:r>
        <w:rPr>
          <w:rFonts w:hint="eastAsia" w:ascii="宋体" w:hAnsi="宋体"/>
          <w:color w:val="000000"/>
          <w:highlight w:val="none"/>
        </w:rPr>
        <w:t>《桥梁防雷技术规范》(GB/T31067-2014)；</w:t>
      </w:r>
    </w:p>
    <w:p w14:paraId="5F981164">
      <w:pPr>
        <w:pStyle w:val="6"/>
        <w:ind w:firstLine="0" w:firstLineChars="0"/>
        <w:rPr>
          <w:rFonts w:hint="eastAsia"/>
          <w:color w:val="000000"/>
          <w:highlight w:val="none"/>
        </w:rPr>
      </w:pPr>
    </w:p>
    <w:p w14:paraId="67E0173F">
      <w:pPr>
        <w:pStyle w:val="3"/>
        <w:rPr>
          <w:rFonts w:hint="eastAsia"/>
          <w:color w:val="000000"/>
          <w:highlight w:val="none"/>
        </w:rPr>
      </w:pPr>
      <w:bookmarkStart w:id="3" w:name="_Toc185352732"/>
      <w:r>
        <w:rPr>
          <w:color w:val="000000"/>
          <w:highlight w:val="none"/>
        </w:rPr>
        <w:t>项目建设范围及设计范围</w:t>
      </w:r>
      <w:bookmarkEnd w:id="3"/>
    </w:p>
    <w:p w14:paraId="1AE8B7A3">
      <w:pPr>
        <w:pStyle w:val="4"/>
        <w:rPr>
          <w:rFonts w:hint="eastAsia"/>
          <w:highlight w:val="none"/>
        </w:rPr>
      </w:pPr>
      <w:r>
        <w:rPr>
          <w:color w:val="000000"/>
          <w:highlight w:val="none"/>
        </w:rPr>
        <w:t>项目建设范围</w:t>
      </w:r>
    </w:p>
    <w:p w14:paraId="6CD9A355">
      <w:pPr>
        <w:rPr>
          <w:rFonts w:hint="eastAsia"/>
          <w:color w:val="000000"/>
          <w:highlight w:val="none"/>
        </w:rPr>
      </w:pPr>
      <w:r>
        <w:rPr>
          <w:rFonts w:hint="eastAsia"/>
          <w:color w:val="000000"/>
          <w:highlight w:val="none"/>
        </w:rPr>
        <w:t>本项目建设范围，包含了A41-1和A41-2（详见附图1阴影范围）。</w:t>
      </w:r>
    </w:p>
    <w:p w14:paraId="745BD9C7">
      <w:pPr>
        <w:ind w:firstLine="0" w:firstLineChars="0"/>
        <w:jc w:val="center"/>
        <w:rPr>
          <w:rFonts w:hint="eastAsia"/>
          <w:color w:val="000000"/>
          <w:highlight w:val="none"/>
        </w:rPr>
      </w:pPr>
      <w:r>
        <w:rPr>
          <w:rFonts w:ascii="Times New Roman" w:hAnsi="Times New Roman" w:eastAsia="Times New Roman" w:cs="Times New Roman"/>
          <w:snapToGrid w:val="0"/>
          <w:color w:val="000000"/>
          <w:w w:val="0"/>
          <w:kern w:val="0"/>
          <w:sz w:val="0"/>
          <w:szCs w:val="0"/>
          <w:highlight w:val="none"/>
          <w:u w:color="000000"/>
          <w:shd w:val="clear" w:color="000000" w:fill="000000"/>
          <w:lang w:val="zh-CN" w:bidi="zh-CN"/>
        </w:rPr>
        <w:t xml:space="preserve"> </w:t>
      </w:r>
      <w:r>
        <w:rPr>
          <w:highlight w:val="none"/>
        </w:rPr>
        <w:drawing>
          <wp:inline distT="0" distB="0" distL="114300" distR="114300">
            <wp:extent cx="5710555" cy="3516630"/>
            <wp:effectExtent l="0" t="0" r="444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5"/>
                    <a:stretch>
                      <a:fillRect/>
                    </a:stretch>
                  </pic:blipFill>
                  <pic:spPr>
                    <a:xfrm>
                      <a:off x="0" y="0"/>
                      <a:ext cx="5710555" cy="3516630"/>
                    </a:xfrm>
                    <a:prstGeom prst="rect">
                      <a:avLst/>
                    </a:prstGeom>
                    <a:noFill/>
                    <a:ln>
                      <a:noFill/>
                    </a:ln>
                  </pic:spPr>
                </pic:pic>
              </a:graphicData>
            </a:graphic>
          </wp:inline>
        </w:drawing>
      </w:r>
    </w:p>
    <w:p w14:paraId="02BEA8B3">
      <w:pPr>
        <w:ind w:firstLine="2801" w:firstLineChars="1334"/>
        <w:rPr>
          <w:rFonts w:hint="eastAsia"/>
          <w:color w:val="000000"/>
          <w:highlight w:val="none"/>
        </w:rPr>
      </w:pPr>
      <w:r>
        <w:rPr>
          <w:rFonts w:hint="eastAsia"/>
          <w:color w:val="000000"/>
          <w:sz w:val="21"/>
          <w:szCs w:val="21"/>
          <w:highlight w:val="none"/>
        </w:rPr>
        <w:t xml:space="preserve">附图1 </w:t>
      </w:r>
      <w:r>
        <w:rPr>
          <w:color w:val="000000"/>
          <w:sz w:val="21"/>
          <w:szCs w:val="21"/>
          <w:highlight w:val="none"/>
        </w:rPr>
        <w:t>本项目</w:t>
      </w:r>
      <w:r>
        <w:rPr>
          <w:rFonts w:hint="eastAsia"/>
          <w:color w:val="000000"/>
          <w:sz w:val="21"/>
          <w:szCs w:val="21"/>
          <w:highlight w:val="none"/>
        </w:rPr>
        <w:t>地块界限</w:t>
      </w:r>
      <w:r>
        <w:rPr>
          <w:color w:val="000000"/>
          <w:sz w:val="21"/>
          <w:szCs w:val="21"/>
          <w:highlight w:val="none"/>
        </w:rPr>
        <w:t>示意图</w:t>
      </w:r>
      <w:r>
        <w:rPr>
          <w:rFonts w:hint="eastAsia"/>
          <w:color w:val="000000"/>
          <w:sz w:val="21"/>
          <w:szCs w:val="21"/>
          <w:highlight w:val="none"/>
        </w:rPr>
        <w:t xml:space="preserve">                   </w:t>
      </w:r>
    </w:p>
    <w:p w14:paraId="675A82D0">
      <w:pPr>
        <w:jc w:val="center"/>
        <w:rPr>
          <w:rFonts w:hint="eastAsia"/>
          <w:color w:val="000000"/>
          <w:highlight w:val="none"/>
        </w:rPr>
      </w:pPr>
    </w:p>
    <w:p w14:paraId="165950B7">
      <w:pPr>
        <w:jc w:val="center"/>
        <w:rPr>
          <w:rFonts w:hint="eastAsia"/>
          <w:color w:val="000000"/>
          <w:highlight w:val="none"/>
        </w:rPr>
      </w:pPr>
    </w:p>
    <w:p w14:paraId="7B7A3D37">
      <w:pPr>
        <w:pStyle w:val="4"/>
        <w:rPr>
          <w:rFonts w:hint="eastAsia"/>
          <w:color w:val="000000"/>
          <w:highlight w:val="none"/>
        </w:rPr>
      </w:pPr>
      <w:r>
        <w:rPr>
          <w:color w:val="000000"/>
          <w:highlight w:val="none"/>
        </w:rPr>
        <w:t>项目设计范围</w:t>
      </w:r>
    </w:p>
    <w:p w14:paraId="1B8B64CA">
      <w:pPr>
        <w:rPr>
          <w:rFonts w:hint="eastAsia"/>
          <w:color w:val="000000"/>
          <w:highlight w:val="none"/>
        </w:rPr>
      </w:pPr>
      <w:r>
        <w:rPr>
          <w:rFonts w:hint="eastAsia"/>
          <w:color w:val="000000"/>
          <w:highlight w:val="none"/>
        </w:rPr>
        <w:t>设计范围：包括项目实施范围内建设工程、地下空间等等范围，设计阶段包括规划设计、报规报建、单体方案设计、初步设计（含概算）、施工图设计及施工配合阶段的设计服务。</w:t>
      </w:r>
    </w:p>
    <w:p w14:paraId="4DA64BF5">
      <w:pPr>
        <w:rPr>
          <w:rFonts w:hint="eastAsia"/>
          <w:color w:val="000000"/>
          <w:highlight w:val="none"/>
        </w:rPr>
      </w:pPr>
    </w:p>
    <w:p w14:paraId="7FBCE724">
      <w:pPr>
        <w:pStyle w:val="3"/>
        <w:rPr>
          <w:rFonts w:hint="eastAsia"/>
          <w:color w:val="000000"/>
          <w:highlight w:val="none"/>
        </w:rPr>
      </w:pPr>
      <w:bookmarkStart w:id="4" w:name="_Toc185352733"/>
      <w:r>
        <w:rPr>
          <w:color w:val="000000"/>
          <w:highlight w:val="none"/>
        </w:rPr>
        <w:t>建设用地现状情况</w:t>
      </w:r>
      <w:bookmarkEnd w:id="4"/>
    </w:p>
    <w:p w14:paraId="0CFC5AEC">
      <w:pPr>
        <w:pStyle w:val="4"/>
        <w:rPr>
          <w:rFonts w:hint="eastAsia"/>
          <w:color w:val="000000"/>
          <w:highlight w:val="none"/>
        </w:rPr>
      </w:pPr>
      <w:r>
        <w:rPr>
          <w:color w:val="000000"/>
          <w:highlight w:val="none"/>
        </w:rPr>
        <w:t>场地条件</w:t>
      </w:r>
    </w:p>
    <w:p w14:paraId="4838D98A">
      <w:pPr>
        <w:rPr>
          <w:rFonts w:hint="eastAsia"/>
          <w:color w:val="000000"/>
          <w:highlight w:val="none"/>
        </w:rPr>
      </w:pPr>
      <w:r>
        <w:rPr>
          <w:color w:val="000000"/>
          <w:highlight w:val="none"/>
        </w:rPr>
        <w:t>本项目选址位于广州市</w:t>
      </w:r>
      <w:r>
        <w:rPr>
          <w:rFonts w:hint="eastAsia"/>
          <w:color w:val="000000"/>
          <w:highlight w:val="none"/>
        </w:rPr>
        <w:t>荔湾区坑口村</w:t>
      </w:r>
      <w:r>
        <w:rPr>
          <w:color w:val="000000"/>
          <w:highlight w:val="none"/>
        </w:rPr>
        <w:t>，项目选址交通便利，符合项目建设的选址要求。</w:t>
      </w:r>
    </w:p>
    <w:p w14:paraId="47FE59C0">
      <w:pPr>
        <w:pStyle w:val="4"/>
        <w:rPr>
          <w:rFonts w:hint="eastAsia"/>
          <w:color w:val="000000"/>
          <w:highlight w:val="none"/>
        </w:rPr>
      </w:pPr>
      <w:r>
        <w:rPr>
          <w:color w:val="000000"/>
          <w:highlight w:val="none"/>
        </w:rPr>
        <w:t>气候条件</w:t>
      </w:r>
    </w:p>
    <w:p w14:paraId="03C5F3B2">
      <w:pPr>
        <w:ind w:firstLine="480" w:firstLineChars="200"/>
        <w:rPr>
          <w:rFonts w:hint="eastAsia"/>
          <w:color w:val="000000"/>
          <w:highlight w:val="none"/>
        </w:rPr>
      </w:pPr>
      <w:bookmarkStart w:id="5" w:name="_Hlk74756655"/>
      <w:r>
        <w:rPr>
          <w:rFonts w:hint="eastAsia"/>
          <w:color w:val="000000"/>
          <w:highlight w:val="none"/>
        </w:rPr>
        <w:t>荔湾区境内的河流属珠江水系。因受地势影响，河流多从东北流向西南，从东流向西或从北流向南，分别流入珠江、白坭河、流溪河，也有少数经天河区流入东江。主要河流有流溪河、白坭河、珠江（西航道）以及南岗河等。</w:t>
      </w:r>
    </w:p>
    <w:p w14:paraId="5C229814">
      <w:pPr>
        <w:ind w:firstLine="480" w:firstLineChars="200"/>
        <w:rPr>
          <w:rFonts w:hint="eastAsia"/>
          <w:color w:val="000000"/>
          <w:highlight w:val="none"/>
        </w:rPr>
      </w:pPr>
      <w:r>
        <w:rPr>
          <w:rFonts w:hint="eastAsia"/>
          <w:color w:val="000000"/>
          <w:highlight w:val="none"/>
        </w:rPr>
        <w:t>荔湾区地处北回归线以南，属南亚热带季风气候区，季风环流盛行。冬季处于大陆高压东南边缘，多吹来自大陆的偏北风，因有南岭等山脉作屏障，阻隔北方南下寒潮，又可使冷空气锋面停滞，形成阴雨，故冬季不致严寒干燥。夏季主要受太平洋高压影响，多吹来自海洋的偏南风，因南岭山脉及区内东北高、西南低的地形特点，可截留大量水蒸气上升成雨，故夏季不至于酷热。</w:t>
      </w:r>
    </w:p>
    <w:p w14:paraId="36311BBF">
      <w:pPr>
        <w:rPr>
          <w:rFonts w:hint="eastAsia" w:ascii="微软雅黑" w:hAnsi="微软雅黑" w:eastAsia="微软雅黑"/>
          <w:color w:val="000000"/>
          <w:szCs w:val="21"/>
          <w:highlight w:val="none"/>
        </w:rPr>
      </w:pPr>
      <w:r>
        <w:rPr>
          <w:rFonts w:hint="eastAsia"/>
          <w:color w:val="000000"/>
          <w:highlight w:val="none"/>
        </w:rPr>
        <w:t>热量丰富，雨量充沛，霜雪稀少，四季分明，春夏之间多暴雨，夏秋之间多台风。年平均气温</w:t>
      </w:r>
      <w:r>
        <w:rPr>
          <w:color w:val="000000"/>
          <w:highlight w:val="none"/>
        </w:rPr>
        <w:t>21.8℃；7月，平均气温28.4℃，极端最高气温38.1℃；1月，平均气温13.3℃，极端最低为0℃；无霜期达345天；年降雨量1694毫米，4月至9月雨量占82.1%</w:t>
      </w:r>
      <w:bookmarkEnd w:id="5"/>
      <w:r>
        <w:rPr>
          <w:color w:val="000000"/>
          <w:highlight w:val="none"/>
        </w:rPr>
        <w:t>。</w:t>
      </w:r>
    </w:p>
    <w:p w14:paraId="1502381E">
      <w:pPr>
        <w:pStyle w:val="4"/>
        <w:rPr>
          <w:rFonts w:hint="eastAsia"/>
          <w:color w:val="000000"/>
          <w:highlight w:val="none"/>
        </w:rPr>
      </w:pPr>
      <w:r>
        <w:rPr>
          <w:rFonts w:hint="eastAsia"/>
          <w:color w:val="000000"/>
          <w:highlight w:val="none"/>
        </w:rPr>
        <w:t>地质条件（待补充）</w:t>
      </w:r>
    </w:p>
    <w:p w14:paraId="112FA68D">
      <w:pPr>
        <w:rPr>
          <w:rFonts w:hint="eastAsia"/>
          <w:highlight w:val="none"/>
        </w:rPr>
      </w:pPr>
    </w:p>
    <w:p w14:paraId="6C1525EB">
      <w:pPr>
        <w:pStyle w:val="4"/>
        <w:rPr>
          <w:rFonts w:hint="eastAsia"/>
          <w:color w:val="000000"/>
          <w:highlight w:val="none"/>
        </w:rPr>
      </w:pPr>
      <w:r>
        <w:rPr>
          <w:color w:val="000000"/>
          <w:highlight w:val="none"/>
        </w:rPr>
        <w:t>市政条件</w:t>
      </w:r>
    </w:p>
    <w:p w14:paraId="025C9924">
      <w:pPr>
        <w:rPr>
          <w:rFonts w:hint="eastAsia"/>
          <w:color w:val="000000"/>
          <w:highlight w:val="none"/>
        </w:rPr>
      </w:pPr>
      <w:r>
        <w:rPr>
          <w:color w:val="000000"/>
          <w:highlight w:val="none"/>
        </w:rPr>
        <w:t>项目周边给水、排水、供电、燃气等市政公用设施管网需考虑重新接驳使用。</w:t>
      </w:r>
    </w:p>
    <w:p w14:paraId="356BBBCB">
      <w:pPr>
        <w:pStyle w:val="5"/>
        <w:rPr>
          <w:rFonts w:hint="eastAsia" w:ascii="微软雅黑" w:hAnsi="微软雅黑" w:eastAsia="微软雅黑"/>
          <w:color w:val="000000"/>
          <w:szCs w:val="21"/>
          <w:highlight w:val="none"/>
        </w:rPr>
      </w:pPr>
      <w:r>
        <w:rPr>
          <w:rFonts w:hint="eastAsia"/>
          <w:color w:val="000000"/>
          <w:highlight w:val="none"/>
        </w:rPr>
        <w:t>给水现状</w:t>
      </w:r>
    </w:p>
    <w:p w14:paraId="011019B1">
      <w:pPr>
        <w:rPr>
          <w:rFonts w:hint="eastAsia"/>
          <w:color w:val="000000"/>
          <w:highlight w:val="none"/>
        </w:rPr>
      </w:pPr>
      <w:r>
        <w:rPr>
          <w:rFonts w:hint="eastAsia"/>
          <w:color w:val="000000"/>
          <w:highlight w:val="none"/>
        </w:rPr>
        <w:t>暂无</w:t>
      </w:r>
      <w:r>
        <w:rPr>
          <w:color w:val="000000"/>
          <w:highlight w:val="none"/>
        </w:rPr>
        <w:t>。</w:t>
      </w:r>
    </w:p>
    <w:p w14:paraId="61B65598">
      <w:pPr>
        <w:pStyle w:val="5"/>
        <w:rPr>
          <w:rFonts w:hint="eastAsia"/>
          <w:color w:val="000000"/>
          <w:highlight w:val="none"/>
        </w:rPr>
      </w:pPr>
      <w:r>
        <w:rPr>
          <w:rFonts w:hint="eastAsia"/>
          <w:color w:val="000000"/>
          <w:highlight w:val="none"/>
        </w:rPr>
        <w:t>排水现状</w:t>
      </w:r>
    </w:p>
    <w:p w14:paraId="2AFE8E33">
      <w:pPr>
        <w:rPr>
          <w:rFonts w:hint="eastAsia" w:ascii="微软雅黑" w:hAnsi="微软雅黑" w:eastAsia="微软雅黑"/>
          <w:color w:val="000000"/>
          <w:szCs w:val="21"/>
          <w:highlight w:val="none"/>
        </w:rPr>
      </w:pPr>
      <w:r>
        <w:rPr>
          <w:rFonts w:hint="eastAsia"/>
          <w:color w:val="000000"/>
          <w:highlight w:val="none"/>
        </w:rPr>
        <w:t>暂无</w:t>
      </w:r>
      <w:r>
        <w:rPr>
          <w:color w:val="000000"/>
          <w:highlight w:val="none"/>
        </w:rPr>
        <w:t>。</w:t>
      </w:r>
    </w:p>
    <w:p w14:paraId="02A201A3">
      <w:pPr>
        <w:pStyle w:val="5"/>
        <w:rPr>
          <w:rFonts w:hint="eastAsia" w:ascii="微软雅黑" w:hAnsi="微软雅黑" w:eastAsia="微软雅黑"/>
          <w:color w:val="000000"/>
          <w:szCs w:val="21"/>
          <w:highlight w:val="none"/>
        </w:rPr>
      </w:pPr>
      <w:r>
        <w:rPr>
          <w:rFonts w:hint="eastAsia"/>
          <w:color w:val="000000"/>
          <w:highlight w:val="none"/>
        </w:rPr>
        <w:t>排水体制</w:t>
      </w:r>
    </w:p>
    <w:p w14:paraId="1C258C27">
      <w:pPr>
        <w:rPr>
          <w:rFonts w:hint="eastAsia" w:ascii="微软雅黑" w:hAnsi="微软雅黑" w:eastAsia="微软雅黑"/>
          <w:color w:val="000000"/>
          <w:szCs w:val="21"/>
          <w:highlight w:val="none"/>
        </w:rPr>
      </w:pPr>
      <w:r>
        <w:rPr>
          <w:color w:val="000000"/>
          <w:highlight w:val="none"/>
        </w:rPr>
        <w:t>按照环境保护要求，同时根据污水体制的优缺点比较及根据城市规划,本地区属新区建设,采用分流制作为本项目的排水体制。</w:t>
      </w:r>
    </w:p>
    <w:p w14:paraId="677E8803">
      <w:pPr>
        <w:pStyle w:val="5"/>
        <w:rPr>
          <w:rFonts w:hint="eastAsia" w:ascii="微软雅黑" w:hAnsi="微软雅黑" w:eastAsia="微软雅黑"/>
          <w:color w:val="000000"/>
          <w:szCs w:val="21"/>
          <w:highlight w:val="none"/>
        </w:rPr>
      </w:pPr>
      <w:r>
        <w:rPr>
          <w:rFonts w:hint="eastAsia"/>
          <w:color w:val="000000"/>
          <w:highlight w:val="none"/>
        </w:rPr>
        <w:t>电力现状以及规划</w:t>
      </w:r>
    </w:p>
    <w:p w14:paraId="7C34D5BE">
      <w:pPr>
        <w:rPr>
          <w:rFonts w:hint="eastAsia"/>
          <w:color w:val="000000"/>
          <w:highlight w:val="none"/>
        </w:rPr>
      </w:pPr>
      <w:r>
        <w:rPr>
          <w:rFonts w:hint="eastAsia"/>
          <w:color w:val="000000"/>
          <w:highlight w:val="none"/>
        </w:rPr>
        <w:t>暂无</w:t>
      </w:r>
      <w:r>
        <w:rPr>
          <w:color w:val="000000"/>
          <w:highlight w:val="none"/>
        </w:rPr>
        <w:t>。</w:t>
      </w:r>
    </w:p>
    <w:p w14:paraId="11F8E77E">
      <w:pPr>
        <w:pStyle w:val="5"/>
        <w:rPr>
          <w:rFonts w:hint="eastAsia"/>
          <w:color w:val="000000"/>
          <w:highlight w:val="none"/>
        </w:rPr>
      </w:pPr>
      <w:r>
        <w:rPr>
          <w:rFonts w:hint="eastAsia"/>
          <w:color w:val="000000"/>
          <w:highlight w:val="none"/>
        </w:rPr>
        <w:t>燃气现状</w:t>
      </w:r>
    </w:p>
    <w:p w14:paraId="14D57DDB">
      <w:pPr>
        <w:rPr>
          <w:rFonts w:hint="eastAsia"/>
          <w:color w:val="000000"/>
          <w:highlight w:val="none"/>
        </w:rPr>
      </w:pPr>
      <w:r>
        <w:rPr>
          <w:rFonts w:hint="eastAsia"/>
          <w:color w:val="000000"/>
          <w:highlight w:val="none"/>
        </w:rPr>
        <w:t>暂无</w:t>
      </w:r>
      <w:r>
        <w:rPr>
          <w:color w:val="000000"/>
          <w:highlight w:val="none"/>
        </w:rPr>
        <w:t>。</w:t>
      </w:r>
      <w:r>
        <w:rPr>
          <w:color w:val="000000"/>
          <w:highlight w:val="none"/>
        </w:rPr>
        <w:br w:type="page"/>
      </w:r>
    </w:p>
    <w:p w14:paraId="5D49ED0F">
      <w:pPr>
        <w:rPr>
          <w:rFonts w:hint="eastAsia"/>
          <w:color w:val="000000"/>
          <w:highlight w:val="none"/>
        </w:rPr>
      </w:pPr>
    </w:p>
    <w:p w14:paraId="7818429F">
      <w:pPr>
        <w:pStyle w:val="2"/>
        <w:rPr>
          <w:rFonts w:hint="eastAsia"/>
          <w:color w:val="000000"/>
          <w:highlight w:val="none"/>
        </w:rPr>
      </w:pPr>
      <w:bookmarkStart w:id="6" w:name="_Toc185352734"/>
      <w:r>
        <w:rPr>
          <w:color w:val="000000"/>
          <w:highlight w:val="none"/>
        </w:rPr>
        <w:t>设计原则及设计内容</w:t>
      </w:r>
      <w:bookmarkEnd w:id="6"/>
    </w:p>
    <w:p w14:paraId="55C0B65C">
      <w:pPr>
        <w:ind w:firstLine="480" w:firstLineChars="200"/>
        <w:rPr>
          <w:rFonts w:hint="eastAsia"/>
          <w:color w:val="000000"/>
          <w:highlight w:val="none"/>
        </w:rPr>
      </w:pPr>
      <w:r>
        <w:rPr>
          <w:rFonts w:hint="eastAsia"/>
          <w:color w:val="000000"/>
          <w:highlight w:val="none"/>
        </w:rPr>
        <w:t>本项目是为解决</w:t>
      </w:r>
      <w:r>
        <w:rPr>
          <w:color w:val="000000"/>
          <w:highlight w:val="none"/>
        </w:rPr>
        <w:t>广州市</w:t>
      </w:r>
      <w:r>
        <w:rPr>
          <w:rFonts w:hint="eastAsia"/>
          <w:color w:val="000000"/>
          <w:highlight w:val="none"/>
        </w:rPr>
        <w:t>荔湾区坑口村</w:t>
      </w:r>
      <w:r>
        <w:rPr>
          <w:color w:val="000000"/>
          <w:highlight w:val="none"/>
        </w:rPr>
        <w:t>城中村改造项目</w:t>
      </w:r>
      <w:r>
        <w:rPr>
          <w:rFonts w:hint="eastAsia"/>
          <w:color w:val="000000"/>
          <w:highlight w:val="none"/>
        </w:rPr>
        <w:t>首开区建设周边受影响居民的居住问题而建设的安置区。建设应坚持遵循安全可靠、经济实用、资源节约、环境友好和适度创新的原则，充分考虑原村落宗族居住习惯和居住行为、住宅使用功能与空间的组合，以满足安置家庭的基本居住生活需求，合理确定套型结构。同时体现“以人为本”的设计原则，创造安全、方便、健康、紧凑、和谐的人居环境，并合理采用成熟可靠的新技术、新材料、新工艺，符合国家有关技术标准、规范，达到节地、节能、节水、节材和环境保护的目标要求。</w:t>
      </w:r>
    </w:p>
    <w:p w14:paraId="5D20D723">
      <w:pPr>
        <w:pStyle w:val="3"/>
        <w:rPr>
          <w:rFonts w:hint="eastAsia"/>
          <w:color w:val="000000"/>
          <w:highlight w:val="none"/>
        </w:rPr>
      </w:pPr>
      <w:bookmarkStart w:id="7" w:name="_Toc185352735"/>
      <w:r>
        <w:rPr>
          <w:color w:val="000000"/>
          <w:highlight w:val="none"/>
        </w:rPr>
        <w:t>设计原则</w:t>
      </w:r>
      <w:bookmarkEnd w:id="7"/>
    </w:p>
    <w:p w14:paraId="4FEA533F">
      <w:pPr>
        <w:pStyle w:val="4"/>
        <w:rPr>
          <w:rFonts w:hint="eastAsia"/>
          <w:color w:val="000000"/>
          <w:highlight w:val="none"/>
        </w:rPr>
      </w:pPr>
      <w:r>
        <w:rPr>
          <w:color w:val="000000"/>
          <w:highlight w:val="none"/>
        </w:rPr>
        <w:t>限额设计原则</w:t>
      </w:r>
    </w:p>
    <w:p w14:paraId="6B88898D">
      <w:pPr>
        <w:rPr>
          <w:rFonts w:hint="eastAsia"/>
          <w:color w:val="000000"/>
          <w:highlight w:val="none"/>
        </w:rPr>
      </w:pPr>
      <w:r>
        <w:rPr>
          <w:color w:val="000000"/>
          <w:highlight w:val="none"/>
        </w:rPr>
        <w:t>设计单位应按照政府固定资产投资应当坚持估算控制概算，概算控制预算，预算控制决算的原则，执行《广州市政府投资管理条例》、《广州市财政投资评审监督管理办法》做好限额设计。</w:t>
      </w:r>
    </w:p>
    <w:p w14:paraId="7011D51D">
      <w:pPr>
        <w:pStyle w:val="4"/>
        <w:rPr>
          <w:rFonts w:hint="eastAsia"/>
          <w:color w:val="000000"/>
          <w:highlight w:val="none"/>
        </w:rPr>
      </w:pPr>
      <w:r>
        <w:rPr>
          <w:color w:val="000000"/>
          <w:highlight w:val="none"/>
        </w:rPr>
        <w:t>满足规范标准原则</w:t>
      </w:r>
    </w:p>
    <w:p w14:paraId="7729B324">
      <w:pPr>
        <w:rPr>
          <w:rFonts w:hint="eastAsia"/>
          <w:color w:val="000000"/>
          <w:highlight w:val="none"/>
        </w:rPr>
      </w:pPr>
      <w:r>
        <w:rPr>
          <w:color w:val="000000"/>
          <w:highlight w:val="none"/>
        </w:rPr>
        <w:t>应参考相关规范的要求，并满足国家现行相关设计的规范标准的要求及设计行业相关技术规范条文的要求，严格执行国家工程建设标准强制性条文。</w:t>
      </w:r>
    </w:p>
    <w:p w14:paraId="15CA64CA">
      <w:pPr>
        <w:pStyle w:val="4"/>
        <w:rPr>
          <w:rFonts w:hint="eastAsia"/>
          <w:color w:val="000000"/>
          <w:highlight w:val="none"/>
        </w:rPr>
      </w:pPr>
      <w:r>
        <w:rPr>
          <w:color w:val="000000"/>
          <w:highlight w:val="none"/>
        </w:rPr>
        <w:t>绿色生态原则</w:t>
      </w:r>
    </w:p>
    <w:p w14:paraId="108964D7">
      <w:pPr>
        <w:rPr>
          <w:rFonts w:hint="eastAsia"/>
          <w:color w:val="000000"/>
          <w:highlight w:val="none"/>
        </w:rPr>
      </w:pPr>
      <w:r>
        <w:rPr>
          <w:color w:val="000000"/>
          <w:highlight w:val="none"/>
        </w:rPr>
        <w:t>广州市属亚热带季风气候。规划与建筑设计应充分考虑广州市的气候特征，充分利用自然通风，合理控制直接照射室内的阳光，体现生态思想和节能观念。同时设计要体现可持续发展的理念。</w:t>
      </w:r>
    </w:p>
    <w:p w14:paraId="01EE3C37">
      <w:pPr>
        <w:rPr>
          <w:rFonts w:hint="eastAsia"/>
          <w:color w:val="000000"/>
          <w:highlight w:val="none"/>
        </w:rPr>
      </w:pPr>
      <w:r>
        <w:rPr>
          <w:color w:val="000000"/>
          <w:highlight w:val="none"/>
        </w:rPr>
        <w:t>项目应按绿色建筑标准进行规划设计，积极采用低碳、绿色、环保技术措施。</w:t>
      </w:r>
    </w:p>
    <w:p w14:paraId="2B88AE9F">
      <w:pPr>
        <w:pStyle w:val="4"/>
        <w:rPr>
          <w:rFonts w:hint="eastAsia"/>
          <w:color w:val="000000"/>
          <w:highlight w:val="none"/>
        </w:rPr>
      </w:pPr>
      <w:r>
        <w:rPr>
          <w:color w:val="000000"/>
          <w:highlight w:val="none"/>
        </w:rPr>
        <w:t>经济合理美观原则</w:t>
      </w:r>
    </w:p>
    <w:p w14:paraId="359FDCC9">
      <w:pPr>
        <w:rPr>
          <w:rFonts w:hint="eastAsia"/>
          <w:color w:val="000000"/>
          <w:highlight w:val="none"/>
        </w:rPr>
      </w:pPr>
      <w:r>
        <w:rPr>
          <w:color w:val="000000"/>
          <w:highlight w:val="none"/>
        </w:rPr>
        <w:t>在保证方案的可实施和可操作性前提下，设计中需要定量分析的设计内容，应通过计算，用数据说明其技术经济的合理性。同时应提供各阶段技术经济分析资料，以力求各阶段设计成果能充分体现设计优化的原则。</w:t>
      </w:r>
    </w:p>
    <w:p w14:paraId="50E5DF63">
      <w:pPr>
        <w:pStyle w:val="4"/>
        <w:rPr>
          <w:rFonts w:hint="eastAsia" w:ascii="微软雅黑" w:hAnsi="微软雅黑" w:eastAsia="微软雅黑"/>
          <w:color w:val="000000"/>
          <w:szCs w:val="21"/>
          <w:highlight w:val="none"/>
        </w:rPr>
      </w:pPr>
      <w:r>
        <w:rPr>
          <w:color w:val="000000"/>
          <w:highlight w:val="none"/>
        </w:rPr>
        <w:t>体现现代居住形式与传统文化习俗并存的要求</w:t>
      </w:r>
    </w:p>
    <w:p w14:paraId="1DB7C709">
      <w:pPr>
        <w:rPr>
          <w:rFonts w:hint="eastAsia" w:ascii="微软雅黑" w:hAnsi="微软雅黑" w:eastAsia="微软雅黑"/>
          <w:color w:val="000000"/>
          <w:szCs w:val="21"/>
          <w:highlight w:val="none"/>
        </w:rPr>
      </w:pPr>
      <w:r>
        <w:rPr>
          <w:color w:val="000000"/>
          <w:highlight w:val="none"/>
        </w:rPr>
        <w:t>设计应注重保留原有村落宗族居住习惯，尊重村民生活方式，延续原有的文化氛围，满足原住地村民文化传承的需要（如考虑当地祠堂、牌楼的移建或者新建，并融入新方案的设计中）。设计应既满足现代居住区的功能需要，提升原住地村民的居住品质，同时应注重原住地村民生活方式及民风民俗、文化传统的传承和延续。</w:t>
      </w:r>
    </w:p>
    <w:p w14:paraId="2E5B7797">
      <w:pPr>
        <w:pStyle w:val="4"/>
        <w:rPr>
          <w:rFonts w:hint="eastAsia"/>
          <w:b w:val="0"/>
          <w:color w:val="000000"/>
          <w:sz w:val="24"/>
          <w:highlight w:val="none"/>
        </w:rPr>
      </w:pPr>
      <w:r>
        <w:rPr>
          <w:b w:val="0"/>
          <w:color w:val="000000"/>
          <w:sz w:val="24"/>
          <w:highlight w:val="none"/>
        </w:rPr>
        <w:t>满足</w:t>
      </w:r>
      <w:r>
        <w:rPr>
          <w:rFonts w:hint="eastAsia"/>
          <w:b w:val="0"/>
          <w:color w:val="000000"/>
          <w:sz w:val="24"/>
          <w:highlight w:val="none"/>
        </w:rPr>
        <w:t>旧城安置的需</w:t>
      </w:r>
      <w:r>
        <w:rPr>
          <w:b w:val="0"/>
          <w:color w:val="000000"/>
          <w:sz w:val="24"/>
          <w:highlight w:val="none"/>
        </w:rPr>
        <w:t>求</w:t>
      </w:r>
    </w:p>
    <w:p w14:paraId="0607B519">
      <w:pPr>
        <w:ind w:firstLine="480" w:firstLineChars="200"/>
        <w:rPr>
          <w:rFonts w:hint="eastAsia"/>
          <w:color w:val="000000"/>
          <w:highlight w:val="none"/>
        </w:rPr>
      </w:pPr>
      <w:r>
        <w:rPr>
          <w:rFonts w:hint="eastAsia"/>
          <w:color w:val="000000"/>
          <w:highlight w:val="none"/>
        </w:rPr>
        <w:t>以人为本的设计理念</w:t>
      </w:r>
      <w:r>
        <w:rPr>
          <w:rFonts w:hint="eastAsia" w:ascii="MS Gothic" w:hAnsi="MS Gothic" w:eastAsia="MS Gothic" w:cs="MS Gothic"/>
          <w:color w:val="000000"/>
          <w:highlight w:val="none"/>
        </w:rPr>
        <w:t>‌</w:t>
      </w:r>
      <w:r>
        <w:rPr>
          <w:rFonts w:hint="eastAsia" w:cs="宋体"/>
          <w:color w:val="000000"/>
          <w:highlight w:val="none"/>
        </w:rPr>
        <w:t>：确保居民的正常生活需求是首要目标。设计应满足居民的物质生活需求，改善交通环境、景观布局等，确保工程真正惠及民众</w:t>
      </w:r>
      <w:r>
        <w:rPr>
          <w:rFonts w:hint="eastAsia" w:ascii="MS Gothic" w:hAnsi="MS Gothic" w:eastAsia="MS Gothic" w:cs="MS Gothic"/>
          <w:color w:val="000000"/>
          <w:highlight w:val="none"/>
        </w:rPr>
        <w:t>‌</w:t>
      </w:r>
      <w:r>
        <w:rPr>
          <w:rFonts w:hint="eastAsia"/>
          <w:color w:val="000000"/>
          <w:highlight w:val="none"/>
        </w:rPr>
        <w:t>。</w:t>
      </w:r>
      <w:r>
        <w:rPr>
          <w:rFonts w:hint="eastAsia" w:ascii="MS Gothic" w:hAnsi="MS Gothic" w:eastAsia="MS Gothic" w:cs="MS Gothic"/>
          <w:color w:val="000000"/>
          <w:highlight w:val="none"/>
        </w:rPr>
        <w:t>‌</w:t>
      </w:r>
      <w:r>
        <w:rPr>
          <w:bCs/>
          <w:color w:val="000000"/>
          <w:highlight w:val="none"/>
        </w:rPr>
        <w:t>合理空间布局</w:t>
      </w:r>
      <w:r>
        <w:rPr>
          <w:rFonts w:hint="eastAsia" w:ascii="MS Gothic" w:hAnsi="MS Gothic" w:eastAsia="MS Gothic" w:cs="MS Gothic"/>
          <w:color w:val="000000"/>
          <w:highlight w:val="none"/>
        </w:rPr>
        <w:t>‌</w:t>
      </w:r>
      <w:r>
        <w:rPr>
          <w:color w:val="000000"/>
          <w:highlight w:val="none"/>
        </w:rPr>
        <w:t>：通过科学规划建筑布局，形成大型外部空间，为居民提供多样化的居住空间。建筑风格、布局与体量需与自然环境协调，营造优质的居住环境</w:t>
      </w:r>
      <w:r>
        <w:rPr>
          <w:rFonts w:hint="eastAsia" w:ascii="MS Gothic" w:hAnsi="MS Gothic" w:eastAsia="MS Gothic" w:cs="MS Gothic"/>
          <w:color w:val="000000"/>
          <w:highlight w:val="none"/>
        </w:rPr>
        <w:t>‌</w:t>
      </w:r>
    </w:p>
    <w:p w14:paraId="70BB405E">
      <w:pPr>
        <w:pStyle w:val="4"/>
        <w:rPr>
          <w:rFonts w:hint="eastAsia" w:ascii="微软雅黑" w:hAnsi="微软雅黑" w:eastAsia="微软雅黑"/>
          <w:color w:val="000000"/>
          <w:szCs w:val="21"/>
          <w:highlight w:val="none"/>
        </w:rPr>
      </w:pPr>
      <w:r>
        <w:rPr>
          <w:color w:val="000000"/>
          <w:highlight w:val="none"/>
        </w:rPr>
        <w:t>体现“集约高效、统筹兼顾、统一布局”的理念</w:t>
      </w:r>
    </w:p>
    <w:p w14:paraId="5AA15081">
      <w:pPr>
        <w:rPr>
          <w:rFonts w:hint="eastAsia" w:ascii="微软雅黑" w:hAnsi="微软雅黑" w:eastAsia="微软雅黑"/>
          <w:color w:val="000000"/>
          <w:szCs w:val="21"/>
          <w:highlight w:val="none"/>
        </w:rPr>
      </w:pPr>
      <w:r>
        <w:rPr>
          <w:color w:val="000000"/>
          <w:highlight w:val="none"/>
        </w:rPr>
        <w:t>1、项目建设必须体现“集约高效、统筹兼顾、统一布局”理念，将公建配套、停车等系统化进行考虑与设计。</w:t>
      </w:r>
    </w:p>
    <w:p w14:paraId="799A5687">
      <w:pPr>
        <w:rPr>
          <w:rFonts w:hint="eastAsia" w:ascii="微软雅黑" w:hAnsi="微软雅黑" w:eastAsia="微软雅黑"/>
          <w:color w:val="000000"/>
          <w:szCs w:val="21"/>
          <w:highlight w:val="none"/>
        </w:rPr>
      </w:pPr>
      <w:r>
        <w:rPr>
          <w:color w:val="000000"/>
          <w:highlight w:val="none"/>
        </w:rPr>
        <w:t>2、配套公建的配建水平，必须与居住人口规模相对应，满足用地规划条件要求。并应与住宅同步规划、同步建设和同时投入使用。</w:t>
      </w:r>
    </w:p>
    <w:p w14:paraId="30F667F0">
      <w:pPr>
        <w:rPr>
          <w:rFonts w:hint="eastAsia" w:ascii="微软雅黑" w:hAnsi="微软雅黑" w:eastAsia="微软雅黑"/>
          <w:color w:val="000000"/>
          <w:szCs w:val="21"/>
          <w:highlight w:val="none"/>
        </w:rPr>
      </w:pPr>
      <w:r>
        <w:rPr>
          <w:color w:val="000000"/>
          <w:highlight w:val="none"/>
        </w:rPr>
        <w:t>3、公建配套宜集中布置，应结合原住地村民集聚活动的需要设置集中的有一定规模的社区综合服务中心（其中包括物业管理用房），满足居民基本公建配套和市政公用设施配置要求。</w:t>
      </w:r>
    </w:p>
    <w:p w14:paraId="77FE356E">
      <w:pPr>
        <w:rPr>
          <w:rFonts w:hint="eastAsia" w:ascii="微软雅黑" w:hAnsi="微软雅黑" w:eastAsia="微软雅黑"/>
          <w:color w:val="000000"/>
          <w:szCs w:val="21"/>
          <w:highlight w:val="none"/>
        </w:rPr>
      </w:pPr>
      <w:r>
        <w:rPr>
          <w:color w:val="000000"/>
          <w:highlight w:val="none"/>
        </w:rPr>
        <w:t>4、本项目为限额设计，宜本着节约投资的原则，要求依据建设和技术资料合理选择、运用技术经济多方案比选等技术手段，科学分析、系统考虑，不断优化设计方案。</w:t>
      </w:r>
    </w:p>
    <w:p w14:paraId="6E54B598">
      <w:pPr>
        <w:rPr>
          <w:rFonts w:hint="eastAsia" w:ascii="微软雅黑" w:hAnsi="微软雅黑" w:eastAsia="微软雅黑"/>
          <w:color w:val="000000"/>
          <w:szCs w:val="21"/>
          <w:highlight w:val="none"/>
        </w:rPr>
      </w:pPr>
      <w:r>
        <w:rPr>
          <w:color w:val="000000"/>
          <w:highlight w:val="none"/>
        </w:rPr>
        <w:t>5、小区组团应考虑回迁村民自住和出租的需要，结合不同面积标准的户型，组团布局适当分区，方便管理。</w:t>
      </w:r>
    </w:p>
    <w:p w14:paraId="42C77324">
      <w:pPr>
        <w:pStyle w:val="4"/>
        <w:rPr>
          <w:rFonts w:hint="eastAsia" w:ascii="微软雅黑" w:hAnsi="微软雅黑" w:eastAsia="微软雅黑"/>
          <w:color w:val="000000"/>
          <w:szCs w:val="21"/>
          <w:highlight w:val="none"/>
        </w:rPr>
      </w:pPr>
      <w:r>
        <w:rPr>
          <w:color w:val="000000"/>
          <w:highlight w:val="none"/>
        </w:rPr>
        <w:t>体现“绿色节能、生态宜居”的设计理念</w:t>
      </w:r>
    </w:p>
    <w:p w14:paraId="78990DB5">
      <w:pPr>
        <w:rPr>
          <w:rFonts w:hint="eastAsia" w:ascii="微软雅黑" w:hAnsi="微软雅黑" w:eastAsia="微软雅黑"/>
          <w:color w:val="000000"/>
          <w:szCs w:val="21"/>
          <w:highlight w:val="none"/>
        </w:rPr>
      </w:pPr>
      <w:r>
        <w:rPr>
          <w:color w:val="000000"/>
          <w:highlight w:val="none"/>
        </w:rPr>
        <w:t>项目应按绿色建筑标准进行规划设计，积极采用低碳、绿色、环保技术措施。</w:t>
      </w:r>
    </w:p>
    <w:p w14:paraId="22AFCC98">
      <w:pPr>
        <w:pStyle w:val="3"/>
        <w:rPr>
          <w:rFonts w:hint="eastAsia"/>
          <w:color w:val="000000"/>
          <w:highlight w:val="none"/>
        </w:rPr>
      </w:pPr>
      <w:bookmarkStart w:id="8" w:name="_Toc185352736"/>
      <w:r>
        <w:rPr>
          <w:color w:val="000000"/>
          <w:highlight w:val="none"/>
        </w:rPr>
        <w:t>设计内容</w:t>
      </w:r>
      <w:bookmarkEnd w:id="8"/>
    </w:p>
    <w:p w14:paraId="4D48B62A">
      <w:pPr>
        <w:rPr>
          <w:rFonts w:hint="eastAsia"/>
          <w:color w:val="000000"/>
          <w:highlight w:val="none"/>
        </w:rPr>
      </w:pPr>
      <w:r>
        <w:rPr>
          <w:rFonts w:hint="eastAsia"/>
          <w:color w:val="000000"/>
          <w:highlight w:val="none"/>
        </w:rPr>
        <w:t>一、总体设计范围包括：广州市荔湾区坑口村城中村改造项目首期安置房地块（A41-1、A41-2地块）项目地块红线范围内建设工程、联通本地块的人行天桥（不包含市政天桥）、地铁联通地下空间、规划设计要点附属的地下空间及附属工程等，总计容面积89538㎡（以最终法定控规条件为准），具体包括但不限于以下设计内容</w:t>
      </w:r>
      <w:r>
        <w:rPr>
          <w:color w:val="000000"/>
          <w:kern w:val="0"/>
          <w:highlight w:val="none"/>
        </w:rPr>
        <w:t>：</w:t>
      </w:r>
    </w:p>
    <w:p w14:paraId="79814604">
      <w:pPr>
        <w:numPr>
          <w:ilvl w:val="0"/>
          <w:numId w:val="6"/>
        </w:numPr>
        <w:snapToGrid/>
        <w:ind w:firstLine="480" w:firstLineChars="200"/>
        <w:jc w:val="left"/>
        <w:rPr>
          <w:rFonts w:hint="eastAsia"/>
          <w:color w:val="000000"/>
          <w:highlight w:val="none"/>
        </w:rPr>
      </w:pPr>
      <w:r>
        <w:rPr>
          <w:rFonts w:hint="eastAsia"/>
          <w:color w:val="000000"/>
          <w:highlight w:val="none"/>
        </w:rPr>
        <w:t>主项设计：</w:t>
      </w:r>
    </w:p>
    <w:p w14:paraId="6F6802B5">
      <w:pPr>
        <w:numPr>
          <w:ilvl w:val="255"/>
          <w:numId w:val="0"/>
        </w:numPr>
        <w:ind w:firstLine="480" w:firstLineChars="200"/>
        <w:jc w:val="left"/>
        <w:rPr>
          <w:rFonts w:hint="eastAsia"/>
          <w:color w:val="000000"/>
          <w:highlight w:val="none"/>
        </w:rPr>
      </w:pPr>
      <w:r>
        <w:rPr>
          <w:rFonts w:hint="eastAsia"/>
          <w:color w:val="000000"/>
          <w:highlight w:val="none"/>
        </w:rPr>
        <w:t>1）主体设计类（包含房建类设计等）：包括建筑设计、结构设计、电气设计、给排水设计、暖通设计、常规弱电设计、基坑设计、基础设计、人防设计、管线综合平衡设计、防雷设计、消防设计等；</w:t>
      </w:r>
    </w:p>
    <w:p w14:paraId="043CD251">
      <w:pPr>
        <w:numPr>
          <w:ilvl w:val="255"/>
          <w:numId w:val="0"/>
        </w:numPr>
        <w:ind w:firstLine="480" w:firstLineChars="200"/>
        <w:jc w:val="left"/>
        <w:rPr>
          <w:rFonts w:hint="eastAsia"/>
          <w:color w:val="000000"/>
          <w:highlight w:val="none"/>
        </w:rPr>
      </w:pPr>
      <w:r>
        <w:rPr>
          <w:rFonts w:hint="eastAsia"/>
          <w:color w:val="000000"/>
          <w:highlight w:val="none"/>
        </w:rPr>
        <w:t>2）主体以外的设计（包括总体规划设计、红线内小市政、海绵城市设计、钢结构设计、装配式设计、BIM设计、建筑节能、绿色建筑咨询、二次机电设计）；</w:t>
      </w:r>
    </w:p>
    <w:p w14:paraId="2C5D2AF2">
      <w:pPr>
        <w:numPr>
          <w:ilvl w:val="255"/>
          <w:numId w:val="0"/>
        </w:numPr>
        <w:ind w:firstLine="480" w:firstLineChars="200"/>
        <w:jc w:val="left"/>
        <w:rPr>
          <w:rFonts w:hint="eastAsia"/>
          <w:color w:val="000000"/>
          <w:highlight w:val="none"/>
        </w:rPr>
      </w:pPr>
      <w:r>
        <w:rPr>
          <w:rFonts w:hint="eastAsia"/>
          <w:color w:val="000000"/>
          <w:highlight w:val="none"/>
        </w:rPr>
        <w:t>（2）专项设计：</w:t>
      </w:r>
    </w:p>
    <w:p w14:paraId="0D453E43">
      <w:pPr>
        <w:numPr>
          <w:ilvl w:val="255"/>
          <w:numId w:val="0"/>
        </w:numPr>
        <w:ind w:firstLine="480" w:firstLineChars="200"/>
        <w:jc w:val="left"/>
        <w:rPr>
          <w:rFonts w:hint="eastAsia"/>
          <w:color w:val="000000"/>
          <w:highlight w:val="none"/>
        </w:rPr>
      </w:pPr>
      <w:r>
        <w:rPr>
          <w:rFonts w:hint="eastAsia"/>
          <w:color w:val="000000"/>
          <w:highlight w:val="none"/>
        </w:rPr>
        <w:t>1）园林工程设计（不含泳池深化、游泳设备及水处理，不含精神堡垒）：包括本项目用地红线范围内的景观提升工程设计（含架空层设计及儿童游乐设施、园区及架空层软装、信报箱的设计选型），以及配合各种管线综合平衡设计（含配合市政管线接口对接）等</w:t>
      </w:r>
    </w:p>
    <w:p w14:paraId="34725A98">
      <w:pPr>
        <w:numPr>
          <w:ilvl w:val="255"/>
          <w:numId w:val="0"/>
        </w:numPr>
        <w:ind w:firstLine="480" w:firstLineChars="200"/>
        <w:jc w:val="left"/>
        <w:rPr>
          <w:rFonts w:hint="eastAsia"/>
          <w:color w:val="000000"/>
          <w:highlight w:val="none"/>
        </w:rPr>
      </w:pPr>
      <w:r>
        <w:rPr>
          <w:rFonts w:hint="eastAsia"/>
          <w:color w:val="000000"/>
          <w:highlight w:val="none"/>
        </w:rPr>
        <w:t>2）室内精装修设计（含户内及公区，含物业管理用房）</w:t>
      </w:r>
    </w:p>
    <w:p w14:paraId="220A5349">
      <w:pPr>
        <w:numPr>
          <w:ilvl w:val="255"/>
          <w:numId w:val="0"/>
        </w:numPr>
        <w:ind w:firstLine="480" w:firstLineChars="200"/>
        <w:jc w:val="left"/>
        <w:rPr>
          <w:rFonts w:hint="eastAsia"/>
          <w:color w:val="000000"/>
          <w:highlight w:val="none"/>
        </w:rPr>
      </w:pPr>
      <w:r>
        <w:rPr>
          <w:rFonts w:hint="eastAsia"/>
          <w:color w:val="000000"/>
          <w:highlight w:val="none"/>
        </w:rPr>
        <w:t>3）泛光照明设计（建筑景观室内三专业，不含售楼部及展示区）</w:t>
      </w:r>
    </w:p>
    <w:p w14:paraId="0129D7BD">
      <w:pPr>
        <w:numPr>
          <w:ilvl w:val="255"/>
          <w:numId w:val="0"/>
        </w:numPr>
        <w:ind w:firstLine="480" w:firstLineChars="200"/>
        <w:jc w:val="left"/>
        <w:rPr>
          <w:rFonts w:hint="eastAsia"/>
          <w:color w:val="000000"/>
          <w:highlight w:val="none"/>
        </w:rPr>
      </w:pPr>
      <w:r>
        <w:rPr>
          <w:rFonts w:hint="eastAsia"/>
          <w:color w:val="000000"/>
          <w:highlight w:val="none"/>
        </w:rPr>
        <w:t>4）燃气设计（不包含商业入户）</w:t>
      </w:r>
    </w:p>
    <w:p w14:paraId="3D461453">
      <w:pPr>
        <w:numPr>
          <w:ilvl w:val="255"/>
          <w:numId w:val="0"/>
        </w:numPr>
        <w:ind w:firstLine="480" w:firstLineChars="200"/>
        <w:jc w:val="left"/>
        <w:rPr>
          <w:rFonts w:hint="eastAsia"/>
          <w:color w:val="000000"/>
          <w:highlight w:val="none"/>
        </w:rPr>
      </w:pPr>
      <w:r>
        <w:rPr>
          <w:rFonts w:hint="eastAsia"/>
          <w:color w:val="000000"/>
          <w:highlight w:val="none"/>
        </w:rPr>
        <w:t>5）标识设计（不含精神堡垒、售楼部、展示区）</w:t>
      </w:r>
    </w:p>
    <w:p w14:paraId="44868381">
      <w:pPr>
        <w:numPr>
          <w:ilvl w:val="255"/>
          <w:numId w:val="0"/>
        </w:numPr>
        <w:ind w:firstLine="480" w:firstLineChars="200"/>
        <w:jc w:val="left"/>
        <w:rPr>
          <w:rFonts w:hint="eastAsia"/>
          <w:color w:val="000000"/>
          <w:highlight w:val="none"/>
        </w:rPr>
      </w:pPr>
      <w:r>
        <w:rPr>
          <w:rFonts w:hint="eastAsia"/>
          <w:color w:val="000000"/>
          <w:highlight w:val="none"/>
        </w:rPr>
        <w:t>6）永久用电设计。</w:t>
      </w:r>
    </w:p>
    <w:p w14:paraId="776FB883">
      <w:pPr>
        <w:numPr>
          <w:ilvl w:val="255"/>
          <w:numId w:val="0"/>
        </w:numPr>
        <w:ind w:firstLine="480" w:firstLineChars="200"/>
        <w:jc w:val="left"/>
        <w:rPr>
          <w:rFonts w:hint="eastAsia"/>
          <w:color w:val="000000"/>
          <w:highlight w:val="none"/>
        </w:rPr>
      </w:pPr>
      <w:r>
        <w:rPr>
          <w:rFonts w:hint="eastAsia"/>
          <w:color w:val="000000"/>
          <w:highlight w:val="none"/>
        </w:rPr>
        <w:t>7）永久用水设计</w:t>
      </w:r>
    </w:p>
    <w:p w14:paraId="140672D4">
      <w:pPr>
        <w:numPr>
          <w:ilvl w:val="255"/>
          <w:numId w:val="0"/>
        </w:numPr>
        <w:ind w:firstLine="480" w:firstLineChars="200"/>
        <w:jc w:val="left"/>
        <w:rPr>
          <w:rFonts w:hint="eastAsia"/>
          <w:color w:val="000000"/>
          <w:highlight w:val="none"/>
        </w:rPr>
      </w:pPr>
      <w:r>
        <w:rPr>
          <w:rFonts w:hint="eastAsia"/>
          <w:color w:val="000000"/>
          <w:highlight w:val="none"/>
        </w:rPr>
        <w:t>8）地下室地坪漆及交通划线设计、停车位优化</w:t>
      </w:r>
    </w:p>
    <w:p w14:paraId="566FDE98">
      <w:pPr>
        <w:numPr>
          <w:ilvl w:val="255"/>
          <w:numId w:val="0"/>
        </w:numPr>
        <w:ind w:firstLine="480" w:firstLineChars="200"/>
        <w:jc w:val="left"/>
        <w:rPr>
          <w:rFonts w:hint="eastAsia"/>
          <w:color w:val="000000"/>
          <w:highlight w:val="none"/>
        </w:rPr>
      </w:pPr>
      <w:r>
        <w:rPr>
          <w:rFonts w:hint="eastAsia"/>
          <w:color w:val="000000"/>
          <w:highlight w:val="none"/>
        </w:rPr>
        <w:t>9）铝合金门窗\栏杆设计</w:t>
      </w:r>
    </w:p>
    <w:p w14:paraId="1CBB542C">
      <w:pPr>
        <w:numPr>
          <w:ilvl w:val="255"/>
          <w:numId w:val="0"/>
        </w:numPr>
        <w:ind w:firstLine="480" w:firstLineChars="200"/>
        <w:jc w:val="left"/>
        <w:rPr>
          <w:rFonts w:hint="eastAsia"/>
          <w:color w:val="000000"/>
          <w:highlight w:val="none"/>
        </w:rPr>
      </w:pPr>
      <w:r>
        <w:rPr>
          <w:rFonts w:hint="eastAsia"/>
          <w:color w:val="000000"/>
          <w:highlight w:val="none"/>
        </w:rPr>
        <w:t>10）园区雕塑</w:t>
      </w:r>
    </w:p>
    <w:p w14:paraId="59A8CD84">
      <w:pPr>
        <w:numPr>
          <w:ilvl w:val="255"/>
          <w:numId w:val="0"/>
        </w:numPr>
        <w:ind w:firstLine="480" w:firstLineChars="200"/>
        <w:jc w:val="left"/>
        <w:rPr>
          <w:rFonts w:hint="eastAsia"/>
          <w:color w:val="000000"/>
          <w:highlight w:val="none"/>
        </w:rPr>
      </w:pPr>
      <w:r>
        <w:rPr>
          <w:rFonts w:hint="eastAsia"/>
          <w:color w:val="000000"/>
          <w:highlight w:val="none"/>
        </w:rPr>
        <w:t>11）泳池顾问</w:t>
      </w:r>
    </w:p>
    <w:p w14:paraId="31D3433A">
      <w:pPr>
        <w:numPr>
          <w:ilvl w:val="255"/>
          <w:numId w:val="0"/>
        </w:numPr>
        <w:ind w:firstLine="480" w:firstLineChars="200"/>
        <w:jc w:val="left"/>
        <w:rPr>
          <w:rFonts w:hint="eastAsia"/>
          <w:color w:val="000000"/>
          <w:highlight w:val="none"/>
        </w:rPr>
      </w:pPr>
      <w:r>
        <w:rPr>
          <w:rFonts w:hint="eastAsia"/>
          <w:color w:val="000000"/>
          <w:highlight w:val="none"/>
        </w:rPr>
        <w:t>12）智能化设计</w:t>
      </w:r>
    </w:p>
    <w:p w14:paraId="184EEAC8">
      <w:pPr>
        <w:numPr>
          <w:ilvl w:val="255"/>
          <w:numId w:val="0"/>
        </w:numPr>
        <w:ind w:firstLine="480" w:firstLineChars="200"/>
        <w:jc w:val="left"/>
        <w:rPr>
          <w:rFonts w:hint="eastAsia"/>
          <w:color w:val="000000"/>
          <w:highlight w:val="none"/>
        </w:rPr>
      </w:pPr>
      <w:r>
        <w:rPr>
          <w:rFonts w:hint="eastAsia"/>
          <w:color w:val="000000"/>
          <w:highlight w:val="none"/>
        </w:rPr>
        <w:t>13）通信室分系统设计</w:t>
      </w:r>
    </w:p>
    <w:p w14:paraId="03BCB351">
      <w:pPr>
        <w:numPr>
          <w:ilvl w:val="255"/>
          <w:numId w:val="0"/>
        </w:numPr>
        <w:ind w:firstLine="480" w:firstLineChars="200"/>
        <w:jc w:val="left"/>
        <w:rPr>
          <w:rFonts w:hint="eastAsia"/>
          <w:color w:val="000000"/>
          <w:highlight w:val="none"/>
        </w:rPr>
      </w:pPr>
      <w:r>
        <w:rPr>
          <w:rFonts w:hint="eastAsia"/>
          <w:color w:val="000000"/>
          <w:highlight w:val="none"/>
        </w:rPr>
        <w:t>14）幕墙设计</w:t>
      </w:r>
    </w:p>
    <w:p w14:paraId="48239485">
      <w:pPr>
        <w:numPr>
          <w:ilvl w:val="255"/>
          <w:numId w:val="0"/>
        </w:numPr>
        <w:ind w:firstLine="480" w:firstLineChars="200"/>
        <w:jc w:val="left"/>
        <w:rPr>
          <w:rFonts w:hint="eastAsia"/>
          <w:color w:val="000000"/>
          <w:highlight w:val="none"/>
        </w:rPr>
      </w:pPr>
      <w:r>
        <w:rPr>
          <w:rFonts w:hint="eastAsia"/>
          <w:color w:val="000000"/>
          <w:highlight w:val="none"/>
        </w:rPr>
        <w:t>二、</w:t>
      </w:r>
      <w:r>
        <w:rPr>
          <w:color w:val="000000"/>
          <w:highlight w:val="none"/>
        </w:rPr>
        <w:t>负责方案审查所需修建性详细规划的设计、建筑方案报建、初步设计审查备案（含初步设计概算编制、送审、配合评审工作）、各专业报建、施工图报建、协助办理建设工程规划许可证等各专项报批报建和验收工作</w:t>
      </w:r>
      <w:r>
        <w:rPr>
          <w:rFonts w:hint="eastAsia"/>
          <w:color w:val="000000"/>
          <w:highlight w:val="none"/>
        </w:rPr>
        <w:t>。需进行超限高层建筑工程抗震设防专项审查的建筑，承包人负责编制结构超限设计送审技术材料。</w:t>
      </w:r>
    </w:p>
    <w:p w14:paraId="18057E85">
      <w:pPr>
        <w:numPr>
          <w:ilvl w:val="255"/>
          <w:numId w:val="0"/>
        </w:numPr>
        <w:ind w:firstLine="480" w:firstLineChars="200"/>
        <w:jc w:val="left"/>
        <w:rPr>
          <w:rFonts w:hint="eastAsia"/>
          <w:color w:val="000000"/>
          <w:highlight w:val="none"/>
        </w:rPr>
      </w:pPr>
      <w:r>
        <w:rPr>
          <w:rFonts w:hint="eastAsia"/>
          <w:color w:val="000000"/>
          <w:highlight w:val="none"/>
        </w:rPr>
        <w:t>三、负责组织开展专项设计方案协调工作。</w:t>
      </w:r>
    </w:p>
    <w:p w14:paraId="25D383BE">
      <w:pPr>
        <w:numPr>
          <w:ilvl w:val="255"/>
          <w:numId w:val="0"/>
        </w:numPr>
        <w:ind w:firstLine="480" w:firstLineChars="200"/>
        <w:jc w:val="left"/>
        <w:rPr>
          <w:rFonts w:hint="eastAsia"/>
          <w:color w:val="000000"/>
          <w:highlight w:val="none"/>
        </w:rPr>
      </w:pPr>
      <w:r>
        <w:rPr>
          <w:rFonts w:hint="eastAsia"/>
          <w:color w:val="000000"/>
          <w:highlight w:val="none"/>
        </w:rPr>
        <w:t>四、编制单体方案设计；报建图设计；编制初步设计文件及概算、施工图设计文件；以及与主体建筑设计相关的各项设计工作，包括以下内容：建筑物（含建筑、结构、给排水（包括场地红线内市政道路排水）、强电、弱电（含电话、网络、有线电视、可视对讲门禁、监控、安防、电梯管理、车库管理等的管线预留）、室内外消防及自动报警系统、暖通（含通风、防排烟、中央空调系统）、建筑节能设计、初步设计概算。</w:t>
      </w:r>
    </w:p>
    <w:p w14:paraId="3E71D82E">
      <w:pPr>
        <w:numPr>
          <w:ilvl w:val="255"/>
          <w:numId w:val="0"/>
        </w:numPr>
        <w:ind w:firstLine="480" w:firstLineChars="200"/>
        <w:jc w:val="left"/>
        <w:rPr>
          <w:rFonts w:hint="eastAsia"/>
          <w:color w:val="000000"/>
          <w:highlight w:val="none"/>
        </w:rPr>
      </w:pPr>
      <w:r>
        <w:rPr>
          <w:rFonts w:hint="eastAsia"/>
          <w:color w:val="000000"/>
          <w:highlight w:val="none"/>
        </w:rPr>
        <w:t>五、</w:t>
      </w:r>
      <w:r>
        <w:rPr>
          <w:color w:val="000000"/>
          <w:highlight w:val="none"/>
        </w:rPr>
        <w:t>完成本项目可研范围内工程概算等造价文件的编制工作及相关配合报审工作</w:t>
      </w:r>
      <w:r>
        <w:rPr>
          <w:rFonts w:hint="eastAsia"/>
          <w:color w:val="000000"/>
          <w:highlight w:val="none"/>
        </w:rPr>
        <w:t>。</w:t>
      </w:r>
    </w:p>
    <w:p w14:paraId="307F337B">
      <w:pPr>
        <w:numPr>
          <w:ilvl w:val="255"/>
          <w:numId w:val="0"/>
        </w:numPr>
        <w:ind w:firstLine="480" w:firstLineChars="200"/>
        <w:jc w:val="left"/>
        <w:rPr>
          <w:rFonts w:hint="eastAsia"/>
          <w:color w:val="000000"/>
          <w:highlight w:val="none"/>
        </w:rPr>
      </w:pPr>
      <w:r>
        <w:rPr>
          <w:rFonts w:hint="eastAsia"/>
          <w:color w:val="000000"/>
          <w:highlight w:val="none"/>
        </w:rPr>
        <w:t>六、参与发包人组织的各项专家评审、消防审查，提供设计相关技术配合服务。</w:t>
      </w:r>
    </w:p>
    <w:p w14:paraId="1AE6B633">
      <w:pPr>
        <w:numPr>
          <w:ilvl w:val="255"/>
          <w:numId w:val="0"/>
        </w:numPr>
        <w:ind w:firstLine="480" w:firstLineChars="200"/>
        <w:jc w:val="left"/>
        <w:rPr>
          <w:rFonts w:hint="eastAsia"/>
          <w:color w:val="000000"/>
          <w:highlight w:val="none"/>
        </w:rPr>
      </w:pPr>
      <w:r>
        <w:rPr>
          <w:rFonts w:hint="eastAsia"/>
          <w:color w:val="000000"/>
          <w:highlight w:val="none"/>
        </w:rPr>
        <w:t>七、绿色建筑设计咨询包含：施工图设计及施工图审查配合（不含预认证标识获取）。</w:t>
      </w:r>
    </w:p>
    <w:p w14:paraId="1FE88511">
      <w:pPr>
        <w:numPr>
          <w:ilvl w:val="255"/>
          <w:numId w:val="0"/>
        </w:numPr>
        <w:ind w:firstLine="480" w:firstLineChars="200"/>
        <w:jc w:val="left"/>
        <w:rPr>
          <w:rFonts w:hint="eastAsia"/>
          <w:color w:val="000000"/>
          <w:highlight w:val="none"/>
        </w:rPr>
      </w:pPr>
      <w:r>
        <w:rPr>
          <w:rFonts w:hint="eastAsia"/>
          <w:color w:val="000000"/>
          <w:highlight w:val="none"/>
        </w:rPr>
        <w:t>八、</w:t>
      </w:r>
      <w:r>
        <w:rPr>
          <w:color w:val="000000"/>
          <w:highlight w:val="none"/>
        </w:rPr>
        <w:t>除按合同约定的时间和要求向发包人提交设计成果文件外，还应承担工程施工过程直至竣工验收前的设计服务（包含设计变更）等工作，保证设计变更满足施工进度要求</w:t>
      </w:r>
      <w:r>
        <w:rPr>
          <w:rFonts w:hint="eastAsia"/>
          <w:color w:val="000000"/>
          <w:highlight w:val="none"/>
        </w:rPr>
        <w:t>（不含驻场服务）</w:t>
      </w:r>
      <w:r>
        <w:rPr>
          <w:color w:val="000000"/>
          <w:highlight w:val="none"/>
        </w:rPr>
        <w:t>。</w:t>
      </w:r>
    </w:p>
    <w:p w14:paraId="36459C0B">
      <w:pPr>
        <w:numPr>
          <w:ilvl w:val="255"/>
          <w:numId w:val="0"/>
        </w:numPr>
        <w:ind w:firstLine="480" w:firstLineChars="200"/>
        <w:jc w:val="left"/>
        <w:rPr>
          <w:rFonts w:hint="eastAsia"/>
          <w:color w:val="000000"/>
          <w:highlight w:val="none"/>
        </w:rPr>
      </w:pPr>
    </w:p>
    <w:p w14:paraId="278014AF">
      <w:pPr>
        <w:rPr>
          <w:rFonts w:hint="eastAsia"/>
          <w:color w:val="000000"/>
          <w:kern w:val="0"/>
          <w:highlight w:val="none"/>
        </w:rPr>
      </w:pPr>
    </w:p>
    <w:p w14:paraId="77A64A5F">
      <w:pPr>
        <w:pStyle w:val="2"/>
        <w:rPr>
          <w:rFonts w:hint="eastAsia"/>
          <w:color w:val="000000"/>
          <w:highlight w:val="none"/>
        </w:rPr>
      </w:pPr>
      <w:bookmarkStart w:id="9" w:name="_Toc185352737"/>
      <w:r>
        <w:rPr>
          <w:color w:val="000000"/>
          <w:highlight w:val="none"/>
        </w:rPr>
        <w:t>设计要求</w:t>
      </w:r>
      <w:bookmarkEnd w:id="9"/>
    </w:p>
    <w:p w14:paraId="418025AF">
      <w:pPr>
        <w:pStyle w:val="3"/>
        <w:rPr>
          <w:rFonts w:hint="eastAsia"/>
          <w:color w:val="000000"/>
          <w:highlight w:val="none"/>
        </w:rPr>
      </w:pPr>
      <w:bookmarkStart w:id="10" w:name="_Toc185352738"/>
      <w:r>
        <w:rPr>
          <w:color w:val="000000"/>
          <w:highlight w:val="none"/>
        </w:rPr>
        <w:t>设计总体要求</w:t>
      </w:r>
      <w:bookmarkEnd w:id="10"/>
    </w:p>
    <w:p w14:paraId="6C32781F">
      <w:pPr>
        <w:rPr>
          <w:rFonts w:hint="eastAsia"/>
          <w:color w:val="000000"/>
          <w:highlight w:val="none"/>
        </w:rPr>
      </w:pPr>
      <w:r>
        <w:rPr>
          <w:rFonts w:hint="eastAsia"/>
          <w:color w:val="000000"/>
          <w:highlight w:val="none"/>
        </w:rPr>
        <w:t>乙方</w:t>
      </w:r>
      <w:r>
        <w:rPr>
          <w:color w:val="000000"/>
          <w:highlight w:val="none"/>
        </w:rPr>
        <w:t>遵循现行法律法规和规范标准，根据</w:t>
      </w:r>
      <w:r>
        <w:rPr>
          <w:rFonts w:hint="eastAsia"/>
          <w:color w:val="000000"/>
          <w:highlight w:val="none"/>
        </w:rPr>
        <w:t>设计任务书</w:t>
      </w:r>
      <w:r>
        <w:rPr>
          <w:color w:val="000000"/>
          <w:highlight w:val="none"/>
        </w:rPr>
        <w:t>，按照</w:t>
      </w:r>
      <w:r>
        <w:rPr>
          <w:rFonts w:hint="eastAsia"/>
          <w:color w:val="000000"/>
          <w:highlight w:val="none"/>
        </w:rPr>
        <w:t>甲方</w:t>
      </w:r>
      <w:r>
        <w:rPr>
          <w:color w:val="000000"/>
          <w:highlight w:val="none"/>
        </w:rPr>
        <w:t>的设计管理要求进行设计工作。</w:t>
      </w:r>
    </w:p>
    <w:p w14:paraId="67373D63">
      <w:pPr>
        <w:pStyle w:val="3"/>
        <w:rPr>
          <w:rFonts w:hint="eastAsia"/>
          <w:color w:val="000000"/>
          <w:highlight w:val="none"/>
        </w:rPr>
      </w:pPr>
      <w:bookmarkStart w:id="11" w:name="_Toc185352739"/>
      <w:r>
        <w:rPr>
          <w:color w:val="000000"/>
          <w:highlight w:val="none"/>
        </w:rPr>
        <w:t>设计工作要求</w:t>
      </w:r>
      <w:bookmarkEnd w:id="11"/>
    </w:p>
    <w:p w14:paraId="4D3AF02E">
      <w:pPr>
        <w:rPr>
          <w:rFonts w:hint="eastAsia"/>
          <w:color w:val="000000"/>
          <w:highlight w:val="none"/>
        </w:rPr>
      </w:pPr>
      <w:r>
        <w:rPr>
          <w:color w:val="000000"/>
          <w:highlight w:val="none"/>
        </w:rPr>
        <w:t>各阶段的设计工作除遵照设计合同、项目建议书、现行法律法规和规范标准、政府有关部门的规定和审批意见等有关规定等外，还需要做到招标人提出的下列设计要求（包括并不限于）。</w:t>
      </w:r>
    </w:p>
    <w:p w14:paraId="691D0028">
      <w:pPr>
        <w:pStyle w:val="4"/>
        <w:rPr>
          <w:rFonts w:hint="eastAsia"/>
          <w:color w:val="000000"/>
          <w:highlight w:val="none"/>
        </w:rPr>
      </w:pPr>
      <w:r>
        <w:rPr>
          <w:color w:val="000000"/>
          <w:highlight w:val="none"/>
        </w:rPr>
        <w:t>规划设计要求</w:t>
      </w:r>
    </w:p>
    <w:p w14:paraId="189BEA81">
      <w:pPr>
        <w:pStyle w:val="5"/>
        <w:rPr>
          <w:rFonts w:hint="eastAsia"/>
          <w:color w:val="000000"/>
          <w:highlight w:val="none"/>
        </w:rPr>
      </w:pPr>
      <w:bookmarkStart w:id="12" w:name="_Toc64660066"/>
      <w:r>
        <w:rPr>
          <w:rFonts w:hint="eastAsia"/>
          <w:color w:val="000000"/>
          <w:highlight w:val="none"/>
        </w:rPr>
        <w:t>规划原则及用地布局</w:t>
      </w:r>
      <w:bookmarkEnd w:id="12"/>
    </w:p>
    <w:p w14:paraId="308026E3">
      <w:pPr>
        <w:ind w:firstLine="480" w:firstLineChars="200"/>
        <w:rPr>
          <w:rFonts w:hint="eastAsia"/>
          <w:color w:val="000000"/>
          <w:highlight w:val="none"/>
        </w:rPr>
      </w:pPr>
      <w:r>
        <w:rPr>
          <w:rFonts w:hint="eastAsia"/>
          <w:color w:val="000000"/>
          <w:highlight w:val="none"/>
        </w:rPr>
        <w:t>1、居住区规划应符合国家相关规划设计规范及法律、法规要求，同时还要符合广州市城市总体规划、分区规划、控制性详细规划的要求，应充分利用城市基础设施与公共资源，集约利用土地资源。规划设计涉及到文物、公安消防、环保、卫生、防洪排涝、电力、交通地质灾害等问题应符合各专项规划要求。</w:t>
      </w:r>
      <w:r>
        <w:rPr>
          <w:color w:val="000000"/>
          <w:highlight w:val="none"/>
        </w:rPr>
        <w:t xml:space="preserve"> </w:t>
      </w:r>
    </w:p>
    <w:p w14:paraId="3F60AC01">
      <w:pPr>
        <w:ind w:firstLine="480" w:firstLineChars="200"/>
        <w:rPr>
          <w:rFonts w:hint="eastAsia"/>
          <w:color w:val="000000"/>
          <w:highlight w:val="none"/>
        </w:rPr>
      </w:pPr>
      <w:r>
        <w:rPr>
          <w:rFonts w:hint="eastAsia"/>
          <w:color w:val="000000"/>
          <w:highlight w:val="none"/>
        </w:rPr>
        <w:t>2、居住区内建筑规划布局应能形成良好的日照、采光、通风等条件，应充分考虑广州市的气候特征，体现岭南建筑的特点和风貌。</w:t>
      </w:r>
    </w:p>
    <w:p w14:paraId="7AB37E86">
      <w:pPr>
        <w:ind w:firstLine="480" w:firstLineChars="200"/>
        <w:rPr>
          <w:rFonts w:hint="eastAsia"/>
          <w:color w:val="000000"/>
          <w:highlight w:val="none"/>
        </w:rPr>
      </w:pPr>
      <w:r>
        <w:rPr>
          <w:rFonts w:hint="eastAsia"/>
          <w:color w:val="000000"/>
          <w:highlight w:val="none"/>
        </w:rPr>
        <w:t>3、居住区规划应体现</w:t>
      </w:r>
      <w:r>
        <w:rPr>
          <w:color w:val="000000"/>
          <w:highlight w:val="none"/>
        </w:rPr>
        <w:t>“</w:t>
      </w:r>
      <w:r>
        <w:rPr>
          <w:rFonts w:hint="eastAsia"/>
          <w:color w:val="000000"/>
          <w:highlight w:val="none"/>
        </w:rPr>
        <w:t>绿色节能、生态宜居</w:t>
      </w:r>
      <w:r>
        <w:rPr>
          <w:color w:val="000000"/>
          <w:highlight w:val="none"/>
        </w:rPr>
        <w:t>”</w:t>
      </w:r>
      <w:r>
        <w:rPr>
          <w:rFonts w:hint="eastAsia"/>
          <w:color w:val="000000"/>
          <w:highlight w:val="none"/>
        </w:rPr>
        <w:t>的设计理念。本项目暂按国家绿色建筑评价标准二星或三星绿色建筑标准规划设计，后期以实际相关部门要求为准。</w:t>
      </w:r>
      <w:r>
        <w:rPr>
          <w:color w:val="000000"/>
          <w:highlight w:val="none"/>
        </w:rPr>
        <w:t xml:space="preserve"> </w:t>
      </w:r>
    </w:p>
    <w:p w14:paraId="5309C48D">
      <w:pPr>
        <w:ind w:firstLine="480" w:firstLineChars="200"/>
        <w:rPr>
          <w:rFonts w:hint="eastAsia"/>
          <w:color w:val="000000"/>
          <w:highlight w:val="none"/>
        </w:rPr>
      </w:pPr>
      <w:r>
        <w:rPr>
          <w:rFonts w:hint="eastAsia"/>
          <w:color w:val="000000"/>
          <w:highlight w:val="none"/>
        </w:rPr>
        <w:t>4、居住区的建筑间距、道路宽度和绿地率应遵循集约节约用地的原则，应充分利用土地，容积率可按相应区域控制指标的上限取值。在总投资规模内合理控制工程造价，并考虑在投入使用后节约运作成本。</w:t>
      </w:r>
      <w:r>
        <w:rPr>
          <w:color w:val="000000"/>
          <w:highlight w:val="none"/>
        </w:rPr>
        <w:t xml:space="preserve"> </w:t>
      </w:r>
    </w:p>
    <w:p w14:paraId="38C64863">
      <w:pPr>
        <w:ind w:firstLine="480" w:firstLineChars="200"/>
        <w:rPr>
          <w:rFonts w:hint="eastAsia"/>
          <w:color w:val="000000"/>
          <w:highlight w:val="none"/>
        </w:rPr>
      </w:pPr>
      <w:r>
        <w:rPr>
          <w:rFonts w:hint="eastAsia"/>
          <w:color w:val="000000"/>
          <w:highlight w:val="none"/>
        </w:rPr>
        <w:t>5、项目建设必须体现</w:t>
      </w:r>
      <w:r>
        <w:rPr>
          <w:color w:val="000000"/>
          <w:highlight w:val="none"/>
        </w:rPr>
        <w:t>“</w:t>
      </w:r>
      <w:r>
        <w:rPr>
          <w:rFonts w:hint="eastAsia"/>
          <w:color w:val="000000"/>
          <w:highlight w:val="none"/>
        </w:rPr>
        <w:t>集约高效、统筹兼顾、统一布局</w:t>
      </w:r>
      <w:r>
        <w:rPr>
          <w:color w:val="000000"/>
          <w:highlight w:val="none"/>
        </w:rPr>
        <w:t>”</w:t>
      </w:r>
      <w:r>
        <w:rPr>
          <w:rFonts w:hint="eastAsia"/>
          <w:color w:val="000000"/>
          <w:highlight w:val="none"/>
        </w:rPr>
        <w:t>理念，将公建配套、停车等系统统一设计。</w:t>
      </w:r>
      <w:r>
        <w:rPr>
          <w:color w:val="000000"/>
          <w:highlight w:val="none"/>
        </w:rPr>
        <w:t xml:space="preserve"> </w:t>
      </w:r>
    </w:p>
    <w:p w14:paraId="29D3DEC6">
      <w:pPr>
        <w:ind w:firstLine="480" w:firstLineChars="200"/>
        <w:rPr>
          <w:rFonts w:hint="eastAsia"/>
          <w:color w:val="000000"/>
          <w:highlight w:val="none"/>
        </w:rPr>
      </w:pPr>
      <w:r>
        <w:rPr>
          <w:rFonts w:hint="eastAsia"/>
          <w:color w:val="000000"/>
          <w:highlight w:val="none"/>
        </w:rPr>
        <w:t>6、规划应结合绿色建筑生态理念，降低热岛效应，适度利用再生能源。</w:t>
      </w:r>
      <w:r>
        <w:rPr>
          <w:color w:val="000000"/>
          <w:highlight w:val="none"/>
        </w:rPr>
        <w:t xml:space="preserve"> </w:t>
      </w:r>
    </w:p>
    <w:p w14:paraId="40161F7B">
      <w:pPr>
        <w:ind w:firstLine="480" w:firstLineChars="200"/>
        <w:rPr>
          <w:rFonts w:hint="eastAsia"/>
          <w:color w:val="000000"/>
          <w:highlight w:val="none"/>
        </w:rPr>
      </w:pPr>
      <w:r>
        <w:rPr>
          <w:rFonts w:hint="eastAsia"/>
          <w:color w:val="000000"/>
          <w:highlight w:val="none"/>
        </w:rPr>
        <w:t>7、住宅单体及总体布局应尽可能保证相同户型的均好性。</w:t>
      </w:r>
      <w:r>
        <w:rPr>
          <w:color w:val="000000"/>
          <w:highlight w:val="none"/>
        </w:rPr>
        <w:t xml:space="preserve"> </w:t>
      </w:r>
    </w:p>
    <w:p w14:paraId="2BC28B73">
      <w:pPr>
        <w:pStyle w:val="5"/>
        <w:rPr>
          <w:rFonts w:hint="eastAsia"/>
          <w:color w:val="000000"/>
          <w:highlight w:val="none"/>
        </w:rPr>
      </w:pPr>
      <w:bookmarkStart w:id="13" w:name="_Toc64660067"/>
      <w:r>
        <w:rPr>
          <w:color w:val="000000"/>
          <w:highlight w:val="none"/>
        </w:rPr>
        <w:t>总图设计原则</w:t>
      </w:r>
      <w:bookmarkEnd w:id="13"/>
    </w:p>
    <w:p w14:paraId="616C857B">
      <w:pPr>
        <w:ind w:firstLine="480" w:firstLineChars="200"/>
        <w:rPr>
          <w:rFonts w:hint="eastAsia"/>
          <w:color w:val="000000"/>
          <w:highlight w:val="none"/>
        </w:rPr>
      </w:pPr>
      <w:r>
        <w:rPr>
          <w:rFonts w:hint="eastAsia"/>
          <w:color w:val="000000"/>
          <w:highlight w:val="none"/>
        </w:rPr>
        <w:t>1、建筑必须按照规划设计要点的用地界线、控制高度、间距及开口天井等规划要求进行设计，并满足</w:t>
      </w:r>
      <w:r>
        <w:rPr>
          <w:color w:val="000000"/>
          <w:highlight w:val="none"/>
        </w:rPr>
        <w:t>《广州市城乡规划技术规定》</w:t>
      </w:r>
      <w:r>
        <w:rPr>
          <w:rFonts w:hint="eastAsia"/>
          <w:color w:val="000000"/>
          <w:highlight w:val="none"/>
        </w:rPr>
        <w:t>相关要求。</w:t>
      </w:r>
      <w:r>
        <w:rPr>
          <w:color w:val="000000"/>
          <w:highlight w:val="none"/>
        </w:rPr>
        <w:t xml:space="preserve"> </w:t>
      </w:r>
    </w:p>
    <w:p w14:paraId="1B499D32">
      <w:pPr>
        <w:ind w:firstLine="480" w:firstLineChars="200"/>
        <w:rPr>
          <w:rFonts w:hint="eastAsia"/>
          <w:color w:val="000000"/>
          <w:highlight w:val="none"/>
        </w:rPr>
      </w:pPr>
      <w:r>
        <w:rPr>
          <w:rFonts w:hint="eastAsia"/>
          <w:color w:val="000000"/>
          <w:highlight w:val="none"/>
        </w:rPr>
        <w:t>2、规划组团布局要体现以自然村落聚居为设计单元的原则，其出入口、公建配套和小区管理应按村落布置。</w:t>
      </w:r>
      <w:r>
        <w:rPr>
          <w:color w:val="000000"/>
          <w:highlight w:val="none"/>
        </w:rPr>
        <w:t xml:space="preserve"> </w:t>
      </w:r>
    </w:p>
    <w:p w14:paraId="72205503">
      <w:pPr>
        <w:ind w:firstLine="480" w:firstLineChars="200"/>
        <w:rPr>
          <w:rFonts w:hint="eastAsia"/>
          <w:color w:val="000000"/>
          <w:highlight w:val="none"/>
        </w:rPr>
      </w:pPr>
      <w:r>
        <w:rPr>
          <w:rFonts w:hint="eastAsia"/>
          <w:color w:val="000000"/>
          <w:highlight w:val="none"/>
        </w:rPr>
        <w:t>3、居住区交通组织应便捷、经济、合理组织人流和车流，有利安全防卫，道路网络层次适当，架构清晰，衔接合理。主要出入口、公共交通组织及公共服务设施应考虑无障碍设计。</w:t>
      </w:r>
      <w:r>
        <w:rPr>
          <w:color w:val="000000"/>
          <w:highlight w:val="none"/>
        </w:rPr>
        <w:t xml:space="preserve"> </w:t>
      </w:r>
    </w:p>
    <w:p w14:paraId="5D6A49BA">
      <w:pPr>
        <w:ind w:firstLine="480" w:firstLineChars="200"/>
        <w:rPr>
          <w:rFonts w:hint="eastAsia"/>
          <w:color w:val="000000"/>
          <w:highlight w:val="none"/>
        </w:rPr>
      </w:pPr>
      <w:r>
        <w:rPr>
          <w:rFonts w:hint="eastAsia"/>
          <w:color w:val="000000"/>
          <w:highlight w:val="none"/>
        </w:rPr>
        <w:t>4、</w:t>
      </w:r>
      <w:r>
        <w:rPr>
          <w:color w:val="000000"/>
          <w:highlight w:val="none"/>
        </w:rPr>
        <w:t xml:space="preserve">设置与居民人口相对应的公共活动中心，综合考虑公共活动场地与步行系统的设置，注重塑造有利于居民交流的公共活动空间。 </w:t>
      </w:r>
    </w:p>
    <w:p w14:paraId="519B454D">
      <w:pPr>
        <w:ind w:firstLine="480" w:firstLineChars="200"/>
        <w:rPr>
          <w:rFonts w:hint="eastAsia"/>
          <w:color w:val="000000"/>
          <w:highlight w:val="none"/>
        </w:rPr>
      </w:pPr>
      <w:r>
        <w:rPr>
          <w:rFonts w:hint="eastAsia"/>
          <w:color w:val="000000"/>
          <w:highlight w:val="none"/>
        </w:rPr>
        <w:t>5、</w:t>
      </w:r>
      <w:r>
        <w:rPr>
          <w:color w:val="000000"/>
          <w:highlight w:val="none"/>
        </w:rPr>
        <w:t xml:space="preserve">应充分利用地形、地貌和环境，合理布置住宅组团和绿化景观，丰富空间，美化环境，体现地方特色，体现实用性，同时应注重景观的均好性。 </w:t>
      </w:r>
    </w:p>
    <w:p w14:paraId="4CBE87EB">
      <w:pPr>
        <w:ind w:firstLine="480" w:firstLineChars="200"/>
        <w:rPr>
          <w:rFonts w:hint="eastAsia"/>
          <w:color w:val="000000"/>
          <w:highlight w:val="none"/>
        </w:rPr>
      </w:pPr>
      <w:r>
        <w:rPr>
          <w:rFonts w:hint="eastAsia"/>
          <w:color w:val="000000"/>
          <w:highlight w:val="none"/>
        </w:rPr>
        <w:t>6、</w:t>
      </w:r>
      <w:r>
        <w:rPr>
          <w:color w:val="000000"/>
          <w:highlight w:val="none"/>
        </w:rPr>
        <w:t xml:space="preserve">建筑间距、道路宽度和绿地率应遵循集约节约用地的原则，应充分利用土地，容积率可按相应区域控制指标的上限取值。 </w:t>
      </w:r>
    </w:p>
    <w:p w14:paraId="44712042">
      <w:pPr>
        <w:ind w:firstLine="480" w:firstLineChars="200"/>
        <w:rPr>
          <w:rFonts w:hint="eastAsia"/>
          <w:color w:val="000000"/>
          <w:highlight w:val="none"/>
        </w:rPr>
      </w:pPr>
      <w:r>
        <w:rPr>
          <w:rFonts w:hint="eastAsia"/>
          <w:color w:val="000000"/>
          <w:highlight w:val="none"/>
        </w:rPr>
        <w:t>7、</w:t>
      </w:r>
      <w:r>
        <w:rPr>
          <w:color w:val="000000"/>
          <w:highlight w:val="none"/>
        </w:rPr>
        <w:t xml:space="preserve">地下室顶板覆土的厚度在设计中应考虑植物生长的最小土层厚度。集中绿地部分覆土厚度建议不小于 1.5m，需种植高大乔木处应局部加大至 2.0m深。地下室顶板覆土种植应增设疏水排水系统。 </w:t>
      </w:r>
    </w:p>
    <w:p w14:paraId="42EF4E4E">
      <w:pPr>
        <w:ind w:firstLine="480" w:firstLineChars="200"/>
        <w:rPr>
          <w:rFonts w:hint="eastAsia"/>
          <w:color w:val="000000"/>
          <w:highlight w:val="none"/>
        </w:rPr>
      </w:pPr>
      <w:r>
        <w:rPr>
          <w:rFonts w:hint="eastAsia"/>
          <w:color w:val="000000"/>
          <w:highlight w:val="none"/>
        </w:rPr>
        <w:t>8、</w:t>
      </w:r>
      <w:r>
        <w:rPr>
          <w:color w:val="000000"/>
          <w:highlight w:val="none"/>
        </w:rPr>
        <w:t xml:space="preserve">合理设置公共服务设施，避免烟气、粉尘及噪声对居民的污染和干扰。 </w:t>
      </w:r>
    </w:p>
    <w:p w14:paraId="719BE75E">
      <w:pPr>
        <w:pStyle w:val="5"/>
        <w:rPr>
          <w:rFonts w:hint="eastAsia"/>
          <w:color w:val="000000"/>
          <w:highlight w:val="none"/>
        </w:rPr>
      </w:pPr>
      <w:bookmarkStart w:id="14" w:name="_Toc64660068"/>
      <w:r>
        <w:rPr>
          <w:color w:val="000000"/>
          <w:highlight w:val="none"/>
        </w:rPr>
        <w:t>空间组织和景观特色要求</w:t>
      </w:r>
      <w:bookmarkEnd w:id="14"/>
      <w:r>
        <w:rPr>
          <w:color w:val="000000"/>
          <w:highlight w:val="none"/>
        </w:rPr>
        <w:t xml:space="preserve"> </w:t>
      </w:r>
    </w:p>
    <w:p w14:paraId="0507E39C">
      <w:pPr>
        <w:ind w:firstLine="480" w:firstLineChars="200"/>
        <w:rPr>
          <w:rFonts w:hint="eastAsia"/>
          <w:color w:val="000000"/>
          <w:highlight w:val="none"/>
        </w:rPr>
      </w:pPr>
      <w:r>
        <w:rPr>
          <w:rFonts w:hint="eastAsia"/>
          <w:color w:val="000000"/>
          <w:highlight w:val="none"/>
        </w:rPr>
        <w:t>1、规划布局和建筑设计应体现岭南建筑的特色，与周边环境相协调。应根据地块条件合理选取住宅单体形式，宜通过不同高度和不同类型的建筑组合，进行合理布局及环境设计，形成丰富多变的组团空间。</w:t>
      </w:r>
      <w:r>
        <w:rPr>
          <w:color w:val="000000"/>
          <w:highlight w:val="none"/>
        </w:rPr>
        <w:t xml:space="preserve"> </w:t>
      </w:r>
    </w:p>
    <w:p w14:paraId="1AB37EDD">
      <w:pPr>
        <w:ind w:firstLine="480" w:firstLineChars="200"/>
        <w:rPr>
          <w:rFonts w:hint="eastAsia"/>
          <w:color w:val="000000"/>
          <w:highlight w:val="none"/>
        </w:rPr>
      </w:pPr>
      <w:r>
        <w:rPr>
          <w:rFonts w:hint="eastAsia"/>
          <w:color w:val="000000"/>
          <w:highlight w:val="none"/>
        </w:rPr>
        <w:t>2、建筑风格应结合所在地域的气候特性和绿色建筑要求，尽量减少无功能作用的造型装饰构件。建筑构件与建筑空间、建筑造型进行一体化设计，既作为立面设计的元素，又起到遮阳隔热、通风降温的作用。</w:t>
      </w:r>
      <w:r>
        <w:rPr>
          <w:color w:val="000000"/>
          <w:highlight w:val="none"/>
        </w:rPr>
        <w:t xml:space="preserve"> </w:t>
      </w:r>
    </w:p>
    <w:p w14:paraId="731697AF">
      <w:pPr>
        <w:ind w:firstLine="480" w:firstLineChars="200"/>
        <w:rPr>
          <w:rFonts w:hint="eastAsia"/>
          <w:color w:val="000000"/>
          <w:highlight w:val="none"/>
        </w:rPr>
      </w:pPr>
      <w:r>
        <w:rPr>
          <w:rFonts w:hint="eastAsia"/>
          <w:color w:val="000000"/>
          <w:highlight w:val="none"/>
        </w:rPr>
        <w:t>3、宜结合架空层、风雨连廊布置有岭南特色的园林环境空间，商业及其他临街的服务网点宜设置骑楼街，使居住区内住宅与主要公建配套设施连接形成风雨无阻的步行系统。</w:t>
      </w:r>
      <w:r>
        <w:rPr>
          <w:color w:val="000000"/>
          <w:highlight w:val="none"/>
        </w:rPr>
        <w:t xml:space="preserve"> </w:t>
      </w:r>
    </w:p>
    <w:p w14:paraId="44C605A4">
      <w:pPr>
        <w:ind w:firstLine="480" w:firstLineChars="200"/>
        <w:rPr>
          <w:rFonts w:hint="eastAsia"/>
          <w:color w:val="000000"/>
          <w:highlight w:val="none"/>
        </w:rPr>
      </w:pPr>
      <w:r>
        <w:rPr>
          <w:rFonts w:hint="eastAsia"/>
          <w:color w:val="000000"/>
          <w:highlight w:val="none"/>
        </w:rPr>
        <w:t>4、建筑造型宜简洁大方，富有时代气息，适当借鉴岭南建筑与亚热带建筑手法，提取具有岭南地域特色的设计元素，赋予建筑形态以可识别性，强化建筑的地域性。</w:t>
      </w:r>
      <w:r>
        <w:rPr>
          <w:color w:val="000000"/>
          <w:highlight w:val="none"/>
        </w:rPr>
        <w:t xml:space="preserve"> </w:t>
      </w:r>
    </w:p>
    <w:p w14:paraId="7BD34229">
      <w:pPr>
        <w:ind w:firstLine="480" w:firstLineChars="200"/>
        <w:rPr>
          <w:rFonts w:hint="eastAsia"/>
          <w:color w:val="000000"/>
          <w:highlight w:val="none"/>
        </w:rPr>
      </w:pPr>
      <w:r>
        <w:rPr>
          <w:rFonts w:hint="eastAsia"/>
          <w:color w:val="000000"/>
          <w:highlight w:val="none"/>
        </w:rPr>
        <w:t>5、独立的配套公建其建筑设计风格应与居住建筑协调，同时又要有自身的特色，以适度变化的建筑色彩和文化内涵，丰富居住区的整体效果。</w:t>
      </w:r>
      <w:r>
        <w:rPr>
          <w:color w:val="000000"/>
          <w:highlight w:val="none"/>
        </w:rPr>
        <w:t xml:space="preserve"> </w:t>
      </w:r>
    </w:p>
    <w:p w14:paraId="729E1A13">
      <w:pPr>
        <w:pStyle w:val="5"/>
        <w:rPr>
          <w:rFonts w:hAnsi="Times New Roman"/>
          <w:color w:val="000000"/>
          <w:highlight w:val="none"/>
        </w:rPr>
      </w:pPr>
      <w:bookmarkStart w:id="15" w:name="_Toc64660069"/>
      <w:r>
        <w:rPr>
          <w:color w:val="000000"/>
          <w:highlight w:val="none"/>
        </w:rPr>
        <w:t>公共配套服务设施</w:t>
      </w:r>
      <w:bookmarkEnd w:id="15"/>
      <w:r>
        <w:rPr>
          <w:rFonts w:hAnsi="Times New Roman"/>
          <w:color w:val="000000"/>
          <w:highlight w:val="none"/>
        </w:rPr>
        <w:t xml:space="preserve"> </w:t>
      </w:r>
    </w:p>
    <w:p w14:paraId="365B3C6B">
      <w:pPr>
        <w:ind w:firstLine="480" w:firstLineChars="200"/>
        <w:rPr>
          <w:rFonts w:hint="eastAsia"/>
          <w:color w:val="000000"/>
          <w:highlight w:val="none"/>
        </w:rPr>
      </w:pPr>
      <w:r>
        <w:rPr>
          <w:rFonts w:hint="eastAsia"/>
          <w:color w:val="000000"/>
          <w:highlight w:val="none"/>
        </w:rPr>
        <w:t>1、配套公建的配建水平，应与居住人口规模相对应，公共服务设施布点应与居住区规划结构相适应。</w:t>
      </w:r>
      <w:r>
        <w:rPr>
          <w:color w:val="000000"/>
          <w:highlight w:val="none"/>
        </w:rPr>
        <w:t xml:space="preserve"> </w:t>
      </w:r>
    </w:p>
    <w:p w14:paraId="6529B5E7">
      <w:pPr>
        <w:ind w:firstLine="480" w:firstLineChars="200"/>
        <w:rPr>
          <w:rFonts w:hint="eastAsia"/>
          <w:color w:val="000000"/>
          <w:highlight w:val="none"/>
        </w:rPr>
      </w:pPr>
      <w:r>
        <w:rPr>
          <w:rFonts w:hint="eastAsia"/>
          <w:color w:val="000000"/>
          <w:highlight w:val="none"/>
        </w:rPr>
        <w:t>2、</w:t>
      </w:r>
      <w:r>
        <w:rPr>
          <w:color w:val="000000"/>
          <w:highlight w:val="none"/>
        </w:rPr>
        <w:t xml:space="preserve">餐饮等，对住户卫生及噪声干扰较大的公建配套用房，不应直接布置在住宅楼标准层的投影范围内。 </w:t>
      </w:r>
    </w:p>
    <w:p w14:paraId="0C344161">
      <w:pPr>
        <w:ind w:firstLine="480" w:firstLineChars="200"/>
        <w:rPr>
          <w:rFonts w:hint="eastAsia"/>
          <w:color w:val="000000"/>
          <w:highlight w:val="none"/>
        </w:rPr>
      </w:pPr>
      <w:r>
        <w:rPr>
          <w:rFonts w:hint="eastAsia"/>
          <w:color w:val="000000"/>
          <w:highlight w:val="none"/>
        </w:rPr>
        <w:t>3、</w:t>
      </w:r>
      <w:r>
        <w:rPr>
          <w:color w:val="000000"/>
          <w:highlight w:val="none"/>
        </w:rPr>
        <w:t xml:space="preserve">配套公建应与住宅同步规划、设计，同步建设和同时投入使用。 </w:t>
      </w:r>
    </w:p>
    <w:p w14:paraId="4BBCCD47">
      <w:pPr>
        <w:ind w:firstLine="480" w:firstLineChars="200"/>
        <w:rPr>
          <w:rFonts w:hint="eastAsia"/>
          <w:color w:val="000000"/>
          <w:highlight w:val="none"/>
        </w:rPr>
      </w:pPr>
      <w:r>
        <w:rPr>
          <w:rFonts w:hint="eastAsia"/>
          <w:color w:val="000000"/>
          <w:highlight w:val="none"/>
        </w:rPr>
        <w:t>4、</w:t>
      </w:r>
      <w:r>
        <w:rPr>
          <w:color w:val="000000"/>
          <w:highlight w:val="none"/>
        </w:rPr>
        <w:t xml:space="preserve">停车场设置原则： </w:t>
      </w:r>
    </w:p>
    <w:p w14:paraId="251BE89F">
      <w:pPr>
        <w:ind w:firstLine="480" w:firstLineChars="200"/>
        <w:rPr>
          <w:rFonts w:hint="eastAsia"/>
          <w:color w:val="000000"/>
          <w:highlight w:val="none"/>
        </w:rPr>
      </w:pPr>
      <w:r>
        <w:rPr>
          <w:rFonts w:hint="eastAsia"/>
          <w:color w:val="000000"/>
          <w:highlight w:val="none"/>
        </w:rPr>
        <w:t>4.1、</w:t>
      </w:r>
      <w:r>
        <w:rPr>
          <w:color w:val="000000"/>
          <w:highlight w:val="none"/>
        </w:rPr>
        <w:t>居住小区停车场设置应满足各组团人车分流的要求</w:t>
      </w:r>
      <w:r>
        <w:rPr>
          <w:rFonts w:hint="eastAsia"/>
          <w:color w:val="000000"/>
          <w:highlight w:val="none"/>
        </w:rPr>
        <w:t>；</w:t>
      </w:r>
    </w:p>
    <w:p w14:paraId="3AB7EEB5">
      <w:pPr>
        <w:ind w:firstLine="480" w:firstLineChars="200"/>
        <w:rPr>
          <w:rFonts w:hint="eastAsia"/>
          <w:color w:val="000000"/>
          <w:highlight w:val="none"/>
        </w:rPr>
      </w:pPr>
      <w:r>
        <w:rPr>
          <w:rFonts w:hint="eastAsia"/>
          <w:color w:val="000000"/>
          <w:highlight w:val="none"/>
        </w:rPr>
        <w:t>4.2、</w:t>
      </w:r>
      <w:r>
        <w:rPr>
          <w:color w:val="000000"/>
          <w:highlight w:val="none"/>
        </w:rPr>
        <w:t>车位宜按照“地下停车设计”的原则设置；</w:t>
      </w:r>
    </w:p>
    <w:p w14:paraId="3D4D7284">
      <w:pPr>
        <w:ind w:firstLine="480" w:firstLineChars="200"/>
        <w:rPr>
          <w:rFonts w:hint="eastAsia"/>
          <w:color w:val="000000"/>
          <w:highlight w:val="none"/>
        </w:rPr>
      </w:pPr>
      <w:r>
        <w:rPr>
          <w:rFonts w:hint="eastAsia"/>
          <w:color w:val="000000"/>
          <w:highlight w:val="none"/>
        </w:rPr>
        <w:t>5、在车位满足规划配置要求的情况下，</w:t>
      </w:r>
      <w:r>
        <w:rPr>
          <w:color w:val="000000"/>
          <w:highlight w:val="none"/>
        </w:rPr>
        <w:t>应结合地块地形条件布置地下车库和设备房</w:t>
      </w:r>
      <w:r>
        <w:rPr>
          <w:rFonts w:hint="eastAsia"/>
          <w:color w:val="000000"/>
          <w:highlight w:val="none"/>
        </w:rPr>
        <w:t>，以降低工程造价。</w:t>
      </w:r>
      <w:r>
        <w:rPr>
          <w:color w:val="000000"/>
          <w:highlight w:val="none"/>
        </w:rPr>
        <w:t xml:space="preserve"> </w:t>
      </w:r>
    </w:p>
    <w:p w14:paraId="5F2F06D8">
      <w:pPr>
        <w:ind w:firstLine="480" w:firstLineChars="200"/>
        <w:rPr>
          <w:rFonts w:hint="eastAsia"/>
          <w:color w:val="000000"/>
          <w:highlight w:val="none"/>
        </w:rPr>
      </w:pPr>
      <w:r>
        <w:rPr>
          <w:rFonts w:hint="eastAsia"/>
          <w:color w:val="000000"/>
          <w:highlight w:val="none"/>
        </w:rPr>
        <w:t>6、公共厕所宜设置于人流集中处，应设置独立化粪池排污系统，并在公共厕所周边的主干道和主要出入口设置引导标志，方便市民如厕；附属式公共厕所应不影响主体建筑的功能，并设置直通室外的单独出入口。</w:t>
      </w:r>
      <w:r>
        <w:rPr>
          <w:color w:val="000000"/>
          <w:highlight w:val="none"/>
        </w:rPr>
        <w:t xml:space="preserve"> </w:t>
      </w:r>
    </w:p>
    <w:p w14:paraId="2A2684F5">
      <w:pPr>
        <w:ind w:firstLine="480" w:firstLineChars="200"/>
        <w:rPr>
          <w:rFonts w:hint="eastAsia"/>
          <w:color w:val="000000"/>
          <w:highlight w:val="none"/>
        </w:rPr>
      </w:pPr>
      <w:r>
        <w:rPr>
          <w:rFonts w:hint="eastAsia"/>
          <w:color w:val="000000"/>
          <w:highlight w:val="none"/>
        </w:rPr>
        <w:t>7、垃圾收集站、垃圾压缩站应独立用地，周边绿化隔离带宽度不应小于</w:t>
      </w:r>
      <w:r>
        <w:rPr>
          <w:color w:val="000000"/>
          <w:highlight w:val="none"/>
        </w:rPr>
        <w:t xml:space="preserve"> 3m</w:t>
      </w:r>
      <w:r>
        <w:rPr>
          <w:rFonts w:hint="eastAsia"/>
          <w:color w:val="000000"/>
          <w:highlight w:val="none"/>
        </w:rPr>
        <w:t>，与住宅的距离不宜小于</w:t>
      </w:r>
      <w:r>
        <w:rPr>
          <w:color w:val="000000"/>
          <w:highlight w:val="none"/>
        </w:rPr>
        <w:t>14m</w:t>
      </w:r>
      <w:r>
        <w:rPr>
          <w:rFonts w:hint="eastAsia"/>
          <w:color w:val="000000"/>
          <w:highlight w:val="none"/>
        </w:rPr>
        <w:t>，且宜利用假山等绿化措施对垃圾收集站、垃圾压缩站进行遮蔽设计；垃圾收集站宜与环卫工人休息场所、环卫工具房合设，服务半径不宜超过</w:t>
      </w:r>
      <w:r>
        <w:rPr>
          <w:color w:val="000000"/>
          <w:highlight w:val="none"/>
        </w:rPr>
        <w:t xml:space="preserve"> 800m</w:t>
      </w:r>
      <w:r>
        <w:rPr>
          <w:rFonts w:hint="eastAsia"/>
          <w:color w:val="000000"/>
          <w:highlight w:val="none"/>
        </w:rPr>
        <w:t>；站前区布置应满足垃圾收集小车和垃圾运输车通行和安全作业的需要，提供</w:t>
      </w:r>
      <w:r>
        <w:rPr>
          <w:color w:val="000000"/>
          <w:highlight w:val="none"/>
        </w:rPr>
        <w:t xml:space="preserve"> 7.5m</w:t>
      </w:r>
      <w:r>
        <w:rPr>
          <w:rFonts w:hint="eastAsia"/>
          <w:color w:val="000000"/>
          <w:highlight w:val="none"/>
        </w:rPr>
        <w:t>*</w:t>
      </w:r>
      <w:r>
        <w:rPr>
          <w:color w:val="000000"/>
          <w:highlight w:val="none"/>
        </w:rPr>
        <w:t>2.5m</w:t>
      </w:r>
      <w:r>
        <w:rPr>
          <w:rFonts w:hint="eastAsia"/>
          <w:color w:val="000000"/>
          <w:highlight w:val="none"/>
        </w:rPr>
        <w:t>的垃圾桶清运车位</w:t>
      </w:r>
      <w:r>
        <w:rPr>
          <w:color w:val="000000"/>
          <w:highlight w:val="none"/>
        </w:rPr>
        <w:t xml:space="preserve"> 1</w:t>
      </w:r>
      <w:r>
        <w:rPr>
          <w:rFonts w:hint="eastAsia"/>
          <w:color w:val="000000"/>
          <w:highlight w:val="none"/>
        </w:rPr>
        <w:t>个；服务人口超过</w:t>
      </w:r>
      <w:r>
        <w:rPr>
          <w:color w:val="000000"/>
          <w:highlight w:val="none"/>
        </w:rPr>
        <w:t xml:space="preserve"> 1.5</w:t>
      </w:r>
      <w:r>
        <w:rPr>
          <w:rFonts w:hint="eastAsia"/>
          <w:color w:val="000000"/>
          <w:highlight w:val="none"/>
        </w:rPr>
        <w:t>万人，应提供垃圾清运车位</w:t>
      </w:r>
      <w:r>
        <w:rPr>
          <w:color w:val="000000"/>
          <w:highlight w:val="none"/>
        </w:rPr>
        <w:t xml:space="preserve"> 2</w:t>
      </w:r>
      <w:r>
        <w:rPr>
          <w:rFonts w:hint="eastAsia"/>
          <w:color w:val="000000"/>
          <w:highlight w:val="none"/>
        </w:rPr>
        <w:t>个，站内配备给排水设施。</w:t>
      </w:r>
      <w:r>
        <w:rPr>
          <w:color w:val="000000"/>
          <w:highlight w:val="none"/>
        </w:rPr>
        <w:t xml:space="preserve"> </w:t>
      </w:r>
    </w:p>
    <w:p w14:paraId="22C7617B">
      <w:pPr>
        <w:ind w:firstLine="480" w:firstLineChars="200"/>
        <w:rPr>
          <w:rFonts w:hint="eastAsia"/>
          <w:color w:val="000000"/>
          <w:highlight w:val="none"/>
        </w:rPr>
      </w:pPr>
      <w:r>
        <w:rPr>
          <w:color w:val="000000"/>
          <w:highlight w:val="none"/>
        </w:rPr>
        <w:t>8</w:t>
      </w:r>
      <w:r>
        <w:rPr>
          <w:rFonts w:hint="eastAsia"/>
          <w:color w:val="000000"/>
          <w:highlight w:val="none"/>
        </w:rPr>
        <w:t>、餐饮建筑应预留集中排烟道，并采取高空排放；排烟道的高温与油渍不能对相邻住户产生影响，不得直接利用相邻住户砖墙做烟道壁，排烟道顶部应做防雨措施。</w:t>
      </w:r>
      <w:r>
        <w:rPr>
          <w:color w:val="000000"/>
          <w:highlight w:val="none"/>
        </w:rPr>
        <w:t xml:space="preserve"> </w:t>
      </w:r>
    </w:p>
    <w:p w14:paraId="55F3612E">
      <w:pPr>
        <w:pStyle w:val="5"/>
        <w:rPr>
          <w:rFonts w:hint="eastAsia"/>
          <w:color w:val="000000"/>
          <w:highlight w:val="none"/>
        </w:rPr>
      </w:pPr>
      <w:bookmarkStart w:id="16" w:name="_Toc64660070"/>
      <w:r>
        <w:rPr>
          <w:rFonts w:hint="eastAsia"/>
          <w:color w:val="000000"/>
          <w:highlight w:val="none"/>
        </w:rPr>
        <w:t>道路交通组织</w:t>
      </w:r>
      <w:bookmarkEnd w:id="16"/>
      <w:r>
        <w:rPr>
          <w:color w:val="000000"/>
          <w:highlight w:val="none"/>
        </w:rPr>
        <w:t xml:space="preserve"> </w:t>
      </w:r>
    </w:p>
    <w:p w14:paraId="74E41612">
      <w:pPr>
        <w:ind w:firstLine="480" w:firstLineChars="200"/>
        <w:rPr>
          <w:rFonts w:hint="eastAsia"/>
          <w:color w:val="000000"/>
          <w:highlight w:val="none"/>
        </w:rPr>
      </w:pPr>
      <w:r>
        <w:rPr>
          <w:rFonts w:hint="eastAsia"/>
          <w:color w:val="000000"/>
          <w:highlight w:val="none"/>
        </w:rPr>
        <w:t>1、合理组织居住小区对外交通关系：注意协调住宅地块及周边道路的标高关系，处理好各类车流的出入口与城市道路的关系。</w:t>
      </w:r>
      <w:r>
        <w:rPr>
          <w:color w:val="000000"/>
          <w:highlight w:val="none"/>
        </w:rPr>
        <w:t xml:space="preserve"> </w:t>
      </w:r>
    </w:p>
    <w:p w14:paraId="6D2FB41C">
      <w:pPr>
        <w:ind w:firstLine="480" w:firstLineChars="200"/>
        <w:rPr>
          <w:rFonts w:hint="eastAsia"/>
          <w:color w:val="000000"/>
          <w:highlight w:val="none"/>
        </w:rPr>
      </w:pPr>
      <w:r>
        <w:rPr>
          <w:rFonts w:hint="eastAsia"/>
          <w:color w:val="000000"/>
          <w:highlight w:val="none"/>
        </w:rPr>
        <w:t>2、居住小区内道路交通组织注意人车分流，组织好地块内交通流线，便捷通畅，并有利于居住小区封闭式物业管理。道路系统满足交通、消防等方面的要求，并符合无障碍设计原则。</w:t>
      </w:r>
      <w:r>
        <w:rPr>
          <w:color w:val="000000"/>
          <w:highlight w:val="none"/>
        </w:rPr>
        <w:t xml:space="preserve"> </w:t>
      </w:r>
    </w:p>
    <w:p w14:paraId="5A1D94E0">
      <w:pPr>
        <w:ind w:firstLine="480" w:firstLineChars="200"/>
        <w:rPr>
          <w:rFonts w:hint="eastAsia"/>
          <w:color w:val="000000"/>
          <w:highlight w:val="none"/>
        </w:rPr>
      </w:pPr>
      <w:r>
        <w:rPr>
          <w:rFonts w:hint="eastAsia"/>
          <w:color w:val="000000"/>
          <w:highlight w:val="none"/>
        </w:rPr>
        <w:t>3、室内机动车和非机动车位宜按照需要集中设置。室外停车位可结合居住小区内道路停车带和其它场地设置。</w:t>
      </w:r>
      <w:r>
        <w:rPr>
          <w:color w:val="000000"/>
          <w:highlight w:val="none"/>
        </w:rPr>
        <w:t xml:space="preserve"> </w:t>
      </w:r>
    </w:p>
    <w:p w14:paraId="3BE53535">
      <w:pPr>
        <w:ind w:firstLine="480" w:firstLineChars="200"/>
        <w:rPr>
          <w:rFonts w:hint="eastAsia"/>
          <w:color w:val="000000"/>
          <w:highlight w:val="none"/>
        </w:rPr>
      </w:pPr>
      <w:r>
        <w:rPr>
          <w:rFonts w:hint="eastAsia"/>
          <w:color w:val="000000"/>
          <w:highlight w:val="none"/>
        </w:rPr>
        <w:t>4、总图中应做好消防车道及消防登高面设计，在满足消防规范的同时，尽量减少对环境的影响。</w:t>
      </w:r>
      <w:r>
        <w:rPr>
          <w:color w:val="000000"/>
          <w:highlight w:val="none"/>
        </w:rPr>
        <w:t xml:space="preserve"> </w:t>
      </w:r>
    </w:p>
    <w:p w14:paraId="6337184E">
      <w:pPr>
        <w:ind w:firstLine="480" w:firstLineChars="200"/>
        <w:rPr>
          <w:rFonts w:hint="eastAsia"/>
          <w:color w:val="000000"/>
          <w:highlight w:val="none"/>
        </w:rPr>
      </w:pPr>
      <w:r>
        <w:rPr>
          <w:rFonts w:hint="eastAsia"/>
          <w:color w:val="000000"/>
          <w:highlight w:val="none"/>
        </w:rPr>
        <w:t>5、地下车库的出入口应选位适当，减少汽车行驶对上部建筑的影响，出入口坡道地面处理除符合行车需要外，还应避免表面过于粗糙引致的行车噪音对周边住宅产生不良影响。</w:t>
      </w:r>
      <w:r>
        <w:rPr>
          <w:color w:val="000000"/>
          <w:highlight w:val="none"/>
        </w:rPr>
        <w:t xml:space="preserve"> </w:t>
      </w:r>
    </w:p>
    <w:p w14:paraId="53AC514F">
      <w:pPr>
        <w:ind w:firstLine="480" w:firstLineChars="200"/>
        <w:rPr>
          <w:rFonts w:hint="eastAsia"/>
          <w:color w:val="000000"/>
          <w:highlight w:val="none"/>
        </w:rPr>
      </w:pPr>
      <w:r>
        <w:rPr>
          <w:rFonts w:hint="eastAsia"/>
          <w:color w:val="000000"/>
          <w:highlight w:val="none"/>
        </w:rPr>
        <w:t>6、小区机动车出入口距城市主干道交叉口不应小于</w:t>
      </w:r>
      <w:r>
        <w:rPr>
          <w:color w:val="000000"/>
          <w:highlight w:val="none"/>
        </w:rPr>
        <w:t xml:space="preserve"> 70m</w:t>
      </w:r>
      <w:r>
        <w:rPr>
          <w:rFonts w:hint="eastAsia"/>
          <w:color w:val="000000"/>
          <w:highlight w:val="none"/>
        </w:rPr>
        <w:t>。宜将城市公共交通线路引入小区边缘地区，并设置相应停靠站。</w:t>
      </w:r>
    </w:p>
    <w:p w14:paraId="14B82FE6">
      <w:pPr>
        <w:pStyle w:val="5"/>
        <w:rPr>
          <w:rFonts w:hint="eastAsia"/>
          <w:color w:val="000000"/>
          <w:highlight w:val="none"/>
        </w:rPr>
      </w:pPr>
      <w:bookmarkStart w:id="17" w:name="_Toc64660071"/>
      <w:r>
        <w:rPr>
          <w:color w:val="000000"/>
          <w:highlight w:val="none"/>
        </w:rPr>
        <w:t>竖向规划原则</w:t>
      </w:r>
      <w:bookmarkEnd w:id="17"/>
      <w:r>
        <w:rPr>
          <w:color w:val="000000"/>
          <w:highlight w:val="none"/>
        </w:rPr>
        <w:t xml:space="preserve"> </w:t>
      </w:r>
    </w:p>
    <w:p w14:paraId="7912491E">
      <w:pPr>
        <w:ind w:firstLine="480" w:firstLineChars="200"/>
        <w:rPr>
          <w:rFonts w:hint="eastAsia"/>
          <w:color w:val="000000"/>
          <w:highlight w:val="none"/>
        </w:rPr>
      </w:pPr>
      <w:r>
        <w:rPr>
          <w:rFonts w:hint="eastAsia"/>
          <w:color w:val="000000"/>
          <w:highlight w:val="none"/>
        </w:rPr>
        <w:t>1、因地制宜地利用现状地形，结合居住小区中的景观水体填挖，尽量实现社区内或地块内土方平衡。对于地形复杂的场地，凡是地形变标高处，均应进行详细竖向设计。</w:t>
      </w:r>
      <w:r>
        <w:rPr>
          <w:color w:val="000000"/>
          <w:highlight w:val="none"/>
        </w:rPr>
        <w:t xml:space="preserve"> </w:t>
      </w:r>
    </w:p>
    <w:p w14:paraId="4D8BF770">
      <w:pPr>
        <w:ind w:firstLine="480" w:firstLineChars="200"/>
        <w:rPr>
          <w:rFonts w:hint="eastAsia"/>
          <w:color w:val="000000"/>
          <w:highlight w:val="none"/>
        </w:rPr>
      </w:pPr>
      <w:r>
        <w:rPr>
          <w:rFonts w:hint="eastAsia"/>
          <w:color w:val="000000"/>
          <w:highlight w:val="none"/>
        </w:rPr>
        <w:t>2、充分了解周围市政设施、综合管线规划和建设情况，对居住小区内综合管线（供水、雨水、污水、电力、燃气、电信）进行有机的组织和布局，并考虑合理的接驳位置。</w:t>
      </w:r>
      <w:r>
        <w:rPr>
          <w:color w:val="000000"/>
          <w:highlight w:val="none"/>
        </w:rPr>
        <w:t xml:space="preserve"> </w:t>
      </w:r>
    </w:p>
    <w:p w14:paraId="0DA06120">
      <w:pPr>
        <w:ind w:firstLine="480" w:firstLineChars="200"/>
        <w:rPr>
          <w:rFonts w:hint="eastAsia"/>
          <w:color w:val="000000"/>
          <w:highlight w:val="none"/>
        </w:rPr>
      </w:pPr>
      <w:r>
        <w:rPr>
          <w:rFonts w:hint="eastAsia"/>
          <w:color w:val="000000"/>
          <w:highlight w:val="none"/>
        </w:rPr>
        <w:t>3、需对场地的标高进行详细的设计，结合地形及其他相关因素确定场地的标高，做到经济、合理。需对场地的排水进行综合设计，做到通畅简洁；尽量使用暗沟组织场地的排水系统，确需使用明沟时，需减少对环境的影响。</w:t>
      </w:r>
    </w:p>
    <w:p w14:paraId="5CBACF81">
      <w:pPr>
        <w:pStyle w:val="5"/>
        <w:rPr>
          <w:rFonts w:hint="eastAsia"/>
          <w:color w:val="000000"/>
          <w:highlight w:val="none"/>
        </w:rPr>
      </w:pPr>
      <w:bookmarkStart w:id="18" w:name="_Toc64660072"/>
      <w:r>
        <w:rPr>
          <w:color w:val="000000"/>
          <w:highlight w:val="none"/>
        </w:rPr>
        <w:t>控高要求</w:t>
      </w:r>
      <w:bookmarkEnd w:id="18"/>
    </w:p>
    <w:p w14:paraId="05B781A0">
      <w:pPr>
        <w:ind w:firstLine="480" w:firstLineChars="200"/>
        <w:rPr>
          <w:rFonts w:hint="eastAsia"/>
          <w:color w:val="000000"/>
          <w:highlight w:val="none"/>
        </w:rPr>
      </w:pPr>
      <w:r>
        <w:rPr>
          <w:rFonts w:hint="eastAsia"/>
          <w:color w:val="000000"/>
          <w:highlight w:val="none"/>
        </w:rPr>
        <w:t>根据过程版控规文件，地块限高</w:t>
      </w:r>
      <w:r>
        <w:rPr>
          <w:color w:val="000000"/>
          <w:highlight w:val="none"/>
        </w:rPr>
        <w:t>150</w:t>
      </w:r>
      <w:r>
        <w:rPr>
          <w:rFonts w:hint="eastAsia"/>
          <w:color w:val="000000"/>
          <w:highlight w:val="none"/>
        </w:rPr>
        <w:t>米，具体以实际法定控规为准。</w:t>
      </w:r>
    </w:p>
    <w:p w14:paraId="6BF490F8">
      <w:pPr>
        <w:pStyle w:val="5"/>
        <w:rPr>
          <w:rFonts w:hint="eastAsia"/>
          <w:color w:val="000000"/>
          <w:highlight w:val="none"/>
        </w:rPr>
      </w:pPr>
      <w:bookmarkStart w:id="19" w:name="_Toc64660073"/>
      <w:r>
        <w:rPr>
          <w:rFonts w:hint="eastAsia"/>
          <w:color w:val="000000"/>
          <w:highlight w:val="none"/>
        </w:rPr>
        <w:t>居住小区管理要求</w:t>
      </w:r>
      <w:bookmarkEnd w:id="19"/>
      <w:r>
        <w:rPr>
          <w:color w:val="000000"/>
          <w:highlight w:val="none"/>
        </w:rPr>
        <w:t xml:space="preserve"> </w:t>
      </w:r>
    </w:p>
    <w:p w14:paraId="206A5CA0">
      <w:pPr>
        <w:ind w:firstLine="480" w:firstLineChars="200"/>
        <w:rPr>
          <w:rFonts w:hint="eastAsia"/>
          <w:color w:val="000000"/>
          <w:highlight w:val="none"/>
        </w:rPr>
      </w:pPr>
      <w:r>
        <w:rPr>
          <w:color w:val="000000"/>
          <w:highlight w:val="none"/>
        </w:rPr>
        <w:t>1</w:t>
      </w:r>
      <w:r>
        <w:rPr>
          <w:rFonts w:hint="eastAsia"/>
          <w:color w:val="000000"/>
          <w:highlight w:val="none"/>
        </w:rPr>
        <w:t>、居住小区按智能化标准规划，设置物业管理中心，建设设计应提供必要的管理用房。物业管理服务中心对居住小区进行智能化集中管理，包括设置居住小区火灾自动报警系统及保安监控管理中心。</w:t>
      </w:r>
      <w:r>
        <w:rPr>
          <w:color w:val="000000"/>
          <w:highlight w:val="none"/>
        </w:rPr>
        <w:t xml:space="preserve"> </w:t>
      </w:r>
    </w:p>
    <w:p w14:paraId="2B703A92">
      <w:pPr>
        <w:pStyle w:val="4"/>
        <w:rPr>
          <w:rFonts w:hint="eastAsia"/>
          <w:color w:val="000000"/>
          <w:highlight w:val="none"/>
        </w:rPr>
      </w:pPr>
      <w:r>
        <w:rPr>
          <w:color w:val="000000"/>
          <w:highlight w:val="none"/>
        </w:rPr>
        <w:t>建筑与室内装修设计要求</w:t>
      </w:r>
    </w:p>
    <w:p w14:paraId="0B83C1B8">
      <w:pPr>
        <w:pStyle w:val="5"/>
        <w:rPr>
          <w:rFonts w:hint="eastAsia"/>
          <w:color w:val="000000"/>
          <w:highlight w:val="none"/>
        </w:rPr>
      </w:pPr>
      <w:r>
        <w:rPr>
          <w:rFonts w:hint="eastAsia"/>
          <w:color w:val="000000"/>
          <w:highlight w:val="none"/>
        </w:rPr>
        <w:t>总体要求</w:t>
      </w:r>
    </w:p>
    <w:p w14:paraId="58AB58AE">
      <w:pPr>
        <w:rPr>
          <w:rFonts w:hint="eastAsia" w:ascii="微软雅黑" w:hAnsi="微软雅黑" w:eastAsia="微软雅黑"/>
          <w:color w:val="000000"/>
          <w:szCs w:val="21"/>
          <w:highlight w:val="none"/>
        </w:rPr>
      </w:pPr>
      <w:r>
        <w:rPr>
          <w:color w:val="000000"/>
          <w:highlight w:val="none"/>
        </w:rPr>
        <w:t>1、住宅设计应符合国家相关规范规程的行业标准。单体建筑功能组织合理，应提高空间实用性和利用率，控制公共分摊面积，降低建筑经济能耗。</w:t>
      </w:r>
    </w:p>
    <w:p w14:paraId="4075E4D3">
      <w:pPr>
        <w:rPr>
          <w:rFonts w:hint="eastAsia"/>
          <w:color w:val="000000"/>
          <w:highlight w:val="none"/>
        </w:rPr>
      </w:pPr>
      <w:r>
        <w:rPr>
          <w:color w:val="000000"/>
          <w:highlight w:val="none"/>
        </w:rPr>
        <w:t>2、户型设计应满足模数化和标准化的要求，空间尺寸宜满足建筑模数化的装配式建造要求。</w:t>
      </w:r>
    </w:p>
    <w:p w14:paraId="05D855C9">
      <w:pPr>
        <w:rPr>
          <w:rFonts w:hint="eastAsia"/>
          <w:color w:val="000000"/>
          <w:highlight w:val="none"/>
        </w:rPr>
      </w:pPr>
      <w:r>
        <w:rPr>
          <w:color w:val="000000"/>
          <w:highlight w:val="none"/>
        </w:rPr>
        <w:t>3、公共建筑的总体设计满足规划条件同时，应满足项目的具体地块设计要求，在功能组织上做到空间紧凑，经济合理，充分的体现其建筑功能属性。</w:t>
      </w:r>
    </w:p>
    <w:p w14:paraId="575FBF68">
      <w:pPr>
        <w:rPr>
          <w:rFonts w:hint="eastAsia" w:ascii="微软雅黑" w:hAnsi="微软雅黑" w:eastAsia="微软雅黑"/>
          <w:color w:val="000000"/>
          <w:szCs w:val="21"/>
          <w:highlight w:val="none"/>
        </w:rPr>
      </w:pPr>
      <w:r>
        <w:rPr>
          <w:color w:val="000000"/>
          <w:highlight w:val="none"/>
        </w:rPr>
        <w:t>4、建筑风格设计应总体满足项目建设需要，尽量体现地域性的特征，展示独具特色的设计风貌和建筑空间。</w:t>
      </w:r>
    </w:p>
    <w:p w14:paraId="0F3EEC40">
      <w:pPr>
        <w:rPr>
          <w:rFonts w:hint="eastAsia"/>
          <w:color w:val="000000"/>
          <w:highlight w:val="none"/>
        </w:rPr>
      </w:pPr>
      <w:r>
        <w:rPr>
          <w:color w:val="000000"/>
          <w:highlight w:val="none"/>
        </w:rPr>
        <w:t>5、充分考虑经济合理性以及绿色建筑要求，各功能房间应有直接采光通风，考虑加强各功能空间的合理性和舒适性。</w:t>
      </w:r>
    </w:p>
    <w:p w14:paraId="7BFA0333">
      <w:pPr>
        <w:rPr>
          <w:rFonts w:hint="eastAsia"/>
          <w:color w:val="000000"/>
          <w:highlight w:val="none"/>
        </w:rPr>
      </w:pPr>
      <w:r>
        <w:rPr>
          <w:color w:val="000000"/>
          <w:highlight w:val="none"/>
        </w:rPr>
        <w:t>6、建筑构造做法应满足广州地区常规的做法运用，提倡使用有专业论证和市场良好反馈的新材料、新技术。尤其在建筑防水、耐久性、节能、绿建等方面满足项目需求和国家现行规范和行业标准。</w:t>
      </w:r>
    </w:p>
    <w:p w14:paraId="4159C552">
      <w:pPr>
        <w:rPr>
          <w:rFonts w:hint="eastAsia"/>
          <w:color w:val="000000"/>
          <w:highlight w:val="none"/>
        </w:rPr>
      </w:pPr>
      <w:r>
        <w:rPr>
          <w:color w:val="000000"/>
          <w:highlight w:val="none"/>
        </w:rPr>
        <w:t>7、建筑设计整体采用全装配式的设计标准，须满足国家及省内关于装配式建筑的评价标准，在设计上尽量采用有利于装配式建筑实施的形式，从平面、立面、构造等多维度满足建筑装配式的建设要求。</w:t>
      </w:r>
    </w:p>
    <w:p w14:paraId="2BF3B621">
      <w:pPr>
        <w:pStyle w:val="5"/>
        <w:rPr>
          <w:rFonts w:hint="eastAsia"/>
          <w:color w:val="000000"/>
          <w:highlight w:val="none"/>
        </w:rPr>
      </w:pPr>
      <w:r>
        <w:rPr>
          <w:rFonts w:hint="eastAsia"/>
          <w:color w:val="000000"/>
          <w:highlight w:val="none"/>
        </w:rPr>
        <w:t>户型设计</w:t>
      </w:r>
    </w:p>
    <w:p w14:paraId="3F9ED393">
      <w:pPr>
        <w:rPr>
          <w:rFonts w:hint="eastAsia" w:ascii="微软雅黑" w:hAnsi="微软雅黑" w:eastAsia="微软雅黑"/>
          <w:color w:val="000000"/>
          <w:szCs w:val="21"/>
          <w:highlight w:val="none"/>
        </w:rPr>
      </w:pPr>
      <w:r>
        <w:rPr>
          <w:color w:val="000000"/>
          <w:highlight w:val="none"/>
        </w:rPr>
        <w:t>1、</w:t>
      </w:r>
      <w:r>
        <w:rPr>
          <w:rFonts w:hint="eastAsia"/>
          <w:color w:val="000000"/>
          <w:highlight w:val="none"/>
        </w:rPr>
        <w:t>功能要求：根据开发提供的拆迁基础数据，村民回迁拟采用建筑面积段 50㎡——110㎡，</w:t>
      </w:r>
      <w:r>
        <w:rPr>
          <w:color w:val="000000"/>
          <w:highlight w:val="none"/>
        </w:rPr>
        <w:t>并需满足国有首期回迁需求。设计中根据修建性详细规划与回迁村民的回访摸查情况作适当调整。鼓励户型方案的多样性，同面积段户型平面可根据总图布局适</w:t>
      </w:r>
      <w:r>
        <w:rPr>
          <w:rFonts w:hint="eastAsia"/>
          <w:color w:val="000000"/>
          <w:highlight w:val="none"/>
        </w:rPr>
        <w:t>当调整，但考虑公平性原则，同标准户型面积不宜相差过大（具体户配以最终政府确认为准）。</w:t>
      </w:r>
    </w:p>
    <w:p w14:paraId="4B278219">
      <w:pPr>
        <w:rPr>
          <w:rFonts w:hint="eastAsia" w:ascii="微软雅黑" w:hAnsi="微软雅黑" w:eastAsia="微软雅黑"/>
          <w:color w:val="000000"/>
          <w:szCs w:val="21"/>
          <w:highlight w:val="none"/>
        </w:rPr>
      </w:pPr>
      <w:r>
        <w:rPr>
          <w:color w:val="000000"/>
          <w:highlight w:val="none"/>
        </w:rPr>
        <w:t>2、户型设计应功能合理、空间灵活，模块标准化，在有限的空间里力求安全、紧凑、功能合一。注意城市常年风向与建筑朝向的关系。户型设计考虑动静分区、干湿分离，充分考虑空调、热水设备、燃气管线布置的合理性及隐蔽性。</w:t>
      </w:r>
    </w:p>
    <w:p w14:paraId="45B6CECD">
      <w:pPr>
        <w:rPr>
          <w:rFonts w:hint="eastAsia" w:ascii="微软雅黑" w:hAnsi="微软雅黑" w:eastAsia="微软雅黑"/>
          <w:color w:val="000000"/>
          <w:szCs w:val="21"/>
          <w:highlight w:val="none"/>
        </w:rPr>
      </w:pPr>
      <w:r>
        <w:rPr>
          <w:color w:val="000000"/>
          <w:highlight w:val="none"/>
        </w:rPr>
        <w:t>3、应充分考虑老人及残疾人的使用要求，应按照国家现行相关规范规定进行无障碍设计。</w:t>
      </w:r>
    </w:p>
    <w:p w14:paraId="11286086">
      <w:pPr>
        <w:rPr>
          <w:rFonts w:hint="eastAsia" w:ascii="微软雅黑" w:hAnsi="微软雅黑" w:eastAsia="微软雅黑"/>
          <w:color w:val="000000"/>
          <w:szCs w:val="21"/>
          <w:highlight w:val="none"/>
        </w:rPr>
      </w:pPr>
      <w:r>
        <w:rPr>
          <w:color w:val="000000"/>
          <w:highlight w:val="none"/>
        </w:rPr>
        <w:t>4、住房采用分体式空调；空调室外机位应尽量靠近窗洞口设置，方便安装及维修，外机安装空间尺寸得当，避免影响窗开启扇，无法满足正常安装导致影响建筑立面效果的情形出现。</w:t>
      </w:r>
    </w:p>
    <w:p w14:paraId="550BA42F">
      <w:pPr>
        <w:pStyle w:val="5"/>
        <w:rPr>
          <w:rFonts w:hint="eastAsia"/>
          <w:color w:val="000000"/>
          <w:highlight w:val="none"/>
        </w:rPr>
      </w:pPr>
      <w:r>
        <w:rPr>
          <w:rFonts w:hint="eastAsia"/>
          <w:color w:val="000000"/>
          <w:highlight w:val="none"/>
        </w:rPr>
        <w:t>建筑风格</w:t>
      </w:r>
    </w:p>
    <w:p w14:paraId="3AA67F0F">
      <w:pPr>
        <w:rPr>
          <w:rFonts w:hint="eastAsia" w:ascii="微软雅黑" w:hAnsi="微软雅黑" w:eastAsia="微软雅黑"/>
          <w:color w:val="000000"/>
          <w:szCs w:val="21"/>
          <w:highlight w:val="none"/>
        </w:rPr>
      </w:pPr>
      <w:r>
        <w:rPr>
          <w:color w:val="000000"/>
          <w:highlight w:val="none"/>
        </w:rPr>
        <w:t>1、 建筑造型宜简洁大方，富有现代气息，适当借鉴岭南建筑与亚热带建筑手法，提取具有岭南地域特色的设计元素，应用到建筑立面形态，赋予建筑外观的可识别性，突出建筑的地域性和人文氛围。</w:t>
      </w:r>
    </w:p>
    <w:p w14:paraId="20653014">
      <w:pPr>
        <w:rPr>
          <w:rFonts w:hint="eastAsia" w:ascii="微软雅黑" w:hAnsi="微软雅黑" w:eastAsia="微软雅黑"/>
          <w:color w:val="000000"/>
          <w:szCs w:val="21"/>
          <w:highlight w:val="none"/>
        </w:rPr>
      </w:pPr>
      <w:r>
        <w:rPr>
          <w:color w:val="000000"/>
          <w:highlight w:val="none"/>
        </w:rPr>
        <w:t>2、 建筑风格应结合所在地区的气候性特性，应结合绿色建筑和建筑节能要求，尽量减少造型要素中没有功能作用的装饰构件的应用。建筑构件与建筑空间、造型结合进行一体化设计，既可作为立面设计的造型元素，又满足遮阳隔热、通风降温的功能需求。</w:t>
      </w:r>
    </w:p>
    <w:p w14:paraId="64F229A2">
      <w:pPr>
        <w:rPr>
          <w:rFonts w:hint="eastAsia" w:ascii="微软雅黑" w:hAnsi="微软雅黑" w:eastAsia="微软雅黑"/>
          <w:color w:val="000000"/>
          <w:szCs w:val="21"/>
          <w:highlight w:val="none"/>
        </w:rPr>
      </w:pPr>
      <w:r>
        <w:rPr>
          <w:color w:val="000000"/>
          <w:highlight w:val="none"/>
        </w:rPr>
        <w:t>3、 针对广州地区多雨的气候特征，建筑构件应考虑遮风挡雨及雨水疏导利用，并在易受风雨侵蚀的部位，选用合适的防水材料和构造，结合排水系统共同工作。</w:t>
      </w:r>
    </w:p>
    <w:p w14:paraId="393418CC">
      <w:pPr>
        <w:rPr>
          <w:rFonts w:hint="eastAsia" w:ascii="微软雅黑" w:hAnsi="微软雅黑" w:eastAsia="微软雅黑"/>
          <w:color w:val="000000"/>
          <w:szCs w:val="21"/>
          <w:highlight w:val="none"/>
        </w:rPr>
      </w:pPr>
      <w:r>
        <w:rPr>
          <w:color w:val="000000"/>
          <w:highlight w:val="none"/>
        </w:rPr>
        <w:t>4、针对广州地区炎热潮湿的气候，结合建筑空间通风系统的组织，选用合适的建筑外墙材料，同时注重色彩搭配和细节设计，鼓励在立面细部构造中创新设计，增强建筑的整体效果。</w:t>
      </w:r>
    </w:p>
    <w:p w14:paraId="1EA827FF">
      <w:pPr>
        <w:rPr>
          <w:rFonts w:hint="eastAsia" w:ascii="微软雅黑" w:hAnsi="微软雅黑" w:eastAsia="微软雅黑"/>
          <w:color w:val="000000"/>
          <w:szCs w:val="21"/>
          <w:highlight w:val="none"/>
        </w:rPr>
      </w:pPr>
      <w:r>
        <w:rPr>
          <w:color w:val="000000"/>
          <w:highlight w:val="none"/>
        </w:rPr>
        <w:t>5、 独立公建配套建筑的设计风格应与居住建筑协调，同时又要有自身的特色，以适度变化的建筑色彩和文化内涵，丰富住区的整体效果。</w:t>
      </w:r>
    </w:p>
    <w:p w14:paraId="34132BF7">
      <w:pPr>
        <w:pStyle w:val="4"/>
        <w:rPr>
          <w:rFonts w:hint="eastAsia" w:ascii="微软雅黑" w:hAnsi="微软雅黑" w:eastAsia="微软雅黑"/>
          <w:color w:val="000000"/>
          <w:highlight w:val="none"/>
        </w:rPr>
      </w:pPr>
      <w:bookmarkStart w:id="20" w:name="_Toc64660076"/>
      <w:r>
        <w:rPr>
          <w:color w:val="000000"/>
          <w:highlight w:val="none"/>
        </w:rPr>
        <w:t>基坑支护设计</w:t>
      </w:r>
      <w:bookmarkEnd w:id="20"/>
    </w:p>
    <w:p w14:paraId="5E8A83C3">
      <w:pPr>
        <w:pStyle w:val="5"/>
        <w:rPr>
          <w:rFonts w:hint="eastAsia"/>
          <w:color w:val="000000"/>
          <w:highlight w:val="none"/>
        </w:rPr>
      </w:pPr>
      <w:r>
        <w:rPr>
          <w:color w:val="000000"/>
          <w:highlight w:val="none"/>
        </w:rPr>
        <w:t>一般规定</w:t>
      </w:r>
    </w:p>
    <w:p w14:paraId="02EDB24D">
      <w:pPr>
        <w:ind w:firstLine="480" w:firstLineChars="200"/>
        <w:rPr>
          <w:rFonts w:hint="eastAsia" w:ascii="微软雅黑" w:hAnsi="微软雅黑" w:eastAsia="微软雅黑"/>
          <w:color w:val="000000"/>
          <w:szCs w:val="21"/>
          <w:highlight w:val="none"/>
        </w:rPr>
      </w:pPr>
      <w:r>
        <w:rPr>
          <w:color w:val="000000"/>
          <w:highlight w:val="none"/>
        </w:rPr>
        <w:t>1、在基坑设计前</w:t>
      </w:r>
      <w:r>
        <w:rPr>
          <w:rFonts w:hint="eastAsia"/>
          <w:color w:val="000000"/>
          <w:highlight w:val="none"/>
        </w:rPr>
        <w:t>业主</w:t>
      </w:r>
      <w:r>
        <w:rPr>
          <w:color w:val="000000"/>
          <w:highlight w:val="none"/>
        </w:rPr>
        <w:t xml:space="preserve">应到现场进行基坑周边的环境调查踏勘工作，以获取相关的资料作为设计的依据。环境调查的主要内容：基坑开挖影响范围内的建（构）筑物、道路、地下管线、施工场地布置、载重车辆行走路线等。 </w:t>
      </w:r>
    </w:p>
    <w:p w14:paraId="73DDDB02">
      <w:pPr>
        <w:ind w:firstLine="480" w:firstLineChars="200"/>
        <w:rPr>
          <w:rFonts w:hint="eastAsia" w:ascii="微软雅黑" w:hAnsi="微软雅黑" w:eastAsia="微软雅黑"/>
          <w:color w:val="000000"/>
          <w:szCs w:val="21"/>
          <w:highlight w:val="none"/>
        </w:rPr>
      </w:pPr>
      <w:r>
        <w:rPr>
          <w:color w:val="000000"/>
          <w:highlight w:val="none"/>
        </w:rPr>
        <w:t xml:space="preserve">2、在基坑设计前应获得本工程的岩土工程勘察报告、地形图、管线图、红线图、建筑物规划总平面图、稳定的基础和地下室结构设计图等地下室相关图纸作为设计依据。 </w:t>
      </w:r>
    </w:p>
    <w:p w14:paraId="2127CDEC">
      <w:pPr>
        <w:ind w:firstLine="480" w:firstLineChars="200"/>
        <w:rPr>
          <w:rFonts w:hint="eastAsia" w:ascii="微软雅黑" w:hAnsi="微软雅黑" w:eastAsia="微软雅黑"/>
          <w:color w:val="000000"/>
          <w:szCs w:val="21"/>
          <w:highlight w:val="none"/>
        </w:rPr>
      </w:pPr>
      <w:r>
        <w:rPr>
          <w:color w:val="000000"/>
          <w:highlight w:val="none"/>
        </w:rPr>
        <w:t xml:space="preserve">3、支护结构作为永久结构的一部分时应满足耐久性要求。 </w:t>
      </w:r>
    </w:p>
    <w:p w14:paraId="0F139A66">
      <w:pPr>
        <w:ind w:firstLine="480" w:firstLineChars="200"/>
        <w:rPr>
          <w:rFonts w:hint="eastAsia" w:ascii="微软雅黑" w:hAnsi="微软雅黑" w:eastAsia="微软雅黑"/>
          <w:color w:val="000000"/>
          <w:szCs w:val="21"/>
          <w:highlight w:val="none"/>
        </w:rPr>
      </w:pPr>
      <w:r>
        <w:rPr>
          <w:color w:val="000000"/>
          <w:highlight w:val="none"/>
        </w:rPr>
        <w:t xml:space="preserve">4、支护结构平面布置应满足地下室边墙外界尺寸要求，且支护结构受力变形、施工误差等，均在规范允许的范围内，不影响地下室的正常施工。 </w:t>
      </w:r>
    </w:p>
    <w:p w14:paraId="7E16EF5A">
      <w:pPr>
        <w:ind w:firstLine="480" w:firstLineChars="200"/>
        <w:rPr>
          <w:rFonts w:hint="eastAsia" w:ascii="微软雅黑" w:hAnsi="微软雅黑" w:eastAsia="微软雅黑"/>
          <w:color w:val="000000"/>
          <w:szCs w:val="21"/>
          <w:highlight w:val="none"/>
        </w:rPr>
      </w:pPr>
      <w:r>
        <w:rPr>
          <w:color w:val="000000"/>
          <w:highlight w:val="none"/>
        </w:rPr>
        <w:t xml:space="preserve">5、深度应满足地下室净空要求，应计入基坑开挖计算深度的地下室底板和基础承台下垫层或者软土换填厚度；注意电梯井、消防水池、集水井等坑中坑影响情况。 </w:t>
      </w:r>
    </w:p>
    <w:p w14:paraId="50E947A8">
      <w:pPr>
        <w:ind w:firstLine="480" w:firstLineChars="200"/>
        <w:rPr>
          <w:rFonts w:hint="eastAsia" w:ascii="微软雅黑" w:hAnsi="微软雅黑" w:eastAsia="微软雅黑"/>
          <w:color w:val="000000"/>
          <w:szCs w:val="21"/>
          <w:highlight w:val="none"/>
        </w:rPr>
      </w:pPr>
      <w:r>
        <w:rPr>
          <w:color w:val="000000"/>
          <w:highlight w:val="none"/>
        </w:rPr>
        <w:t>6、凡开挖深度大于等于 7m或地质条件较复杂（如开挖深度范围内软弱土层厚度大于等于 4m）的基坑工程以及采用锚杆（含预应力锚索）、土钉墙或采用人工挖孔桩支护的基坑工程，其基坑支护工程设计文件必须经专项审查。</w:t>
      </w:r>
    </w:p>
    <w:p w14:paraId="206ECA88">
      <w:pPr>
        <w:pStyle w:val="5"/>
        <w:rPr>
          <w:rFonts w:hint="eastAsia"/>
          <w:color w:val="000000"/>
          <w:highlight w:val="none"/>
        </w:rPr>
      </w:pPr>
      <w:r>
        <w:rPr>
          <w:color w:val="000000"/>
          <w:highlight w:val="none"/>
        </w:rPr>
        <w:t>基坑支护设计</w:t>
      </w:r>
    </w:p>
    <w:p w14:paraId="555C765B">
      <w:pPr>
        <w:ind w:firstLine="480" w:firstLineChars="200"/>
        <w:rPr>
          <w:rFonts w:hint="eastAsia" w:ascii="微软雅黑" w:hAnsi="微软雅黑" w:eastAsia="微软雅黑"/>
          <w:color w:val="000000"/>
          <w:szCs w:val="21"/>
          <w:highlight w:val="none"/>
        </w:rPr>
      </w:pPr>
      <w:r>
        <w:rPr>
          <w:color w:val="000000"/>
          <w:highlight w:val="none"/>
        </w:rPr>
        <w:t>1、据场地工程地质条件、基坑周边环境，从安全、经济、可行的原则出发，优化设计，选择出合理支护结构方案。</w:t>
      </w:r>
    </w:p>
    <w:p w14:paraId="57356EAD">
      <w:pPr>
        <w:ind w:firstLine="480" w:firstLineChars="200"/>
        <w:rPr>
          <w:rFonts w:hint="eastAsia" w:ascii="微软雅黑" w:hAnsi="微软雅黑" w:eastAsia="微软雅黑"/>
          <w:color w:val="000000"/>
          <w:szCs w:val="21"/>
          <w:highlight w:val="none"/>
        </w:rPr>
      </w:pPr>
      <w:r>
        <w:rPr>
          <w:color w:val="000000"/>
          <w:highlight w:val="none"/>
        </w:rPr>
        <w:t xml:space="preserve">2、当工程条件许可、周边环境简单时，应优先采用自然放坡；当开挖深度较浅、周边环境一般时，可采用柔性支护，如悬臂钢板桩、水泥土墙、钢板桩加撑 (锚)、土钉墙、复合土钉墙等支护型式；当周边环境要求高或开挖深度较深时，应采用刚性的支护型式，以控制水平位移，如桩锚、桩撑、墙锚、墙撑、逆作法、中心岛等支护型式。 </w:t>
      </w:r>
    </w:p>
    <w:p w14:paraId="37E3D916">
      <w:pPr>
        <w:pStyle w:val="4"/>
        <w:rPr>
          <w:rFonts w:hint="eastAsia"/>
          <w:color w:val="000000"/>
          <w:highlight w:val="none"/>
        </w:rPr>
      </w:pPr>
      <w:r>
        <w:rPr>
          <w:color w:val="000000"/>
          <w:highlight w:val="none"/>
        </w:rPr>
        <w:t>结构设计要求</w:t>
      </w:r>
    </w:p>
    <w:p w14:paraId="3B0BEC98">
      <w:pPr>
        <w:pStyle w:val="5"/>
        <w:rPr>
          <w:rFonts w:hint="eastAsia"/>
          <w:color w:val="000000"/>
          <w:highlight w:val="none"/>
        </w:rPr>
      </w:pPr>
      <w:r>
        <w:rPr>
          <w:rFonts w:hint="eastAsia"/>
          <w:color w:val="000000"/>
          <w:highlight w:val="none"/>
        </w:rPr>
        <w:t>总体要求</w:t>
      </w:r>
    </w:p>
    <w:p w14:paraId="5380679F">
      <w:pPr>
        <w:rPr>
          <w:rFonts w:hint="eastAsia"/>
          <w:color w:val="000000"/>
          <w:highlight w:val="none"/>
        </w:rPr>
      </w:pPr>
      <w:r>
        <w:rPr>
          <w:color w:val="000000"/>
          <w:highlight w:val="none"/>
        </w:rPr>
        <w:t>1、结构设计应安全可靠，经济合理；应采用经过实践检验的新工艺、新材料，以节约资金；应满足国家及地方的相应规范、规程及要求，采用可靠的结构体系，先进的工艺和技术。</w:t>
      </w:r>
    </w:p>
    <w:p w14:paraId="001427E4">
      <w:pPr>
        <w:rPr>
          <w:rFonts w:hint="eastAsia"/>
          <w:color w:val="000000"/>
          <w:highlight w:val="none"/>
        </w:rPr>
      </w:pPr>
      <w:r>
        <w:rPr>
          <w:color w:val="000000"/>
          <w:highlight w:val="none"/>
        </w:rPr>
        <w:t>2、抗震设计</w:t>
      </w:r>
      <w:r>
        <w:rPr>
          <w:highlight w:val="none"/>
        </w:rPr>
        <w:fldChar w:fldCharType="begin"/>
      </w:r>
      <w:r>
        <w:rPr>
          <w:highlight w:val="none"/>
        </w:rPr>
        <w:instrText xml:space="preserve"> HYPERLINK \h </w:instrText>
      </w:r>
      <w:r>
        <w:rPr>
          <w:highlight w:val="none"/>
        </w:rPr>
        <w:fldChar w:fldCharType="separate"/>
      </w:r>
      <w:r>
        <w:rPr>
          <w:color w:val="000000"/>
          <w:highlight w:val="none"/>
          <w:u w:val="single"/>
        </w:rPr>
        <w:t>及结构安全等级</w:t>
      </w:r>
      <w:r>
        <w:rPr>
          <w:color w:val="000000"/>
          <w:highlight w:val="none"/>
          <w:u w:val="single"/>
        </w:rPr>
        <w:fldChar w:fldCharType="end"/>
      </w:r>
      <w:r>
        <w:rPr>
          <w:color w:val="000000"/>
          <w:highlight w:val="none"/>
        </w:rPr>
        <w:t>应遵循现行的国家规范、规程与广州市地方标准。</w:t>
      </w:r>
    </w:p>
    <w:p w14:paraId="204B033D">
      <w:pPr>
        <w:rPr>
          <w:rFonts w:hint="eastAsia"/>
          <w:color w:val="000000"/>
          <w:highlight w:val="none"/>
        </w:rPr>
      </w:pPr>
      <w:r>
        <w:rPr>
          <w:color w:val="000000"/>
          <w:highlight w:val="none"/>
        </w:rPr>
        <w:t>3、永久建筑的结构设计使用年限为50年。</w:t>
      </w:r>
    </w:p>
    <w:p w14:paraId="78C7F17B">
      <w:pPr>
        <w:rPr>
          <w:rFonts w:hint="eastAsia"/>
          <w:color w:val="000000"/>
          <w:highlight w:val="none"/>
        </w:rPr>
      </w:pPr>
      <w:r>
        <w:rPr>
          <w:color w:val="000000"/>
          <w:highlight w:val="none"/>
        </w:rPr>
        <w:t>4、永久建筑应以钢筋混凝土结构为主，临时建筑应以钢结构为主，考虑重复利用的可能性。</w:t>
      </w:r>
    </w:p>
    <w:p w14:paraId="2987FD9C">
      <w:pPr>
        <w:rPr>
          <w:rFonts w:hint="eastAsia"/>
          <w:color w:val="000000"/>
          <w:highlight w:val="none"/>
        </w:rPr>
      </w:pPr>
      <w:r>
        <w:rPr>
          <w:color w:val="000000"/>
          <w:highlight w:val="none"/>
        </w:rPr>
        <w:t>5、地下室长、宽超出规范伸缩缝最大间距要求时，宜首选采用后浇带或加强带等抗裂措施。</w:t>
      </w:r>
    </w:p>
    <w:p w14:paraId="6119224F">
      <w:pPr>
        <w:rPr>
          <w:rFonts w:hint="eastAsia"/>
          <w:color w:val="000000"/>
          <w:highlight w:val="none"/>
        </w:rPr>
      </w:pPr>
      <w:r>
        <w:rPr>
          <w:color w:val="000000"/>
          <w:highlight w:val="none"/>
        </w:rPr>
        <w:t>6、多塔楼建筑群在±0.00m以上，各塔楼之间宜设置防震缝，做到结构各自独立。</w:t>
      </w:r>
    </w:p>
    <w:p w14:paraId="1C462C55">
      <w:pPr>
        <w:rPr>
          <w:rFonts w:hint="eastAsia"/>
          <w:color w:val="000000"/>
          <w:highlight w:val="none"/>
        </w:rPr>
      </w:pPr>
      <w:r>
        <w:rPr>
          <w:color w:val="000000"/>
          <w:highlight w:val="none"/>
        </w:rPr>
        <w:t>7、塔楼结构宜避免做结构转换和超限结构。</w:t>
      </w:r>
    </w:p>
    <w:p w14:paraId="4B1F877A">
      <w:pPr>
        <w:pStyle w:val="5"/>
        <w:rPr>
          <w:rFonts w:hint="eastAsia"/>
          <w:color w:val="000000"/>
          <w:highlight w:val="none"/>
        </w:rPr>
      </w:pPr>
      <w:r>
        <w:rPr>
          <w:rFonts w:hint="eastAsia"/>
          <w:color w:val="000000"/>
          <w:highlight w:val="none"/>
        </w:rPr>
        <w:t>结构其他要求</w:t>
      </w:r>
    </w:p>
    <w:p w14:paraId="139D41EB">
      <w:pPr>
        <w:pStyle w:val="6"/>
        <w:numPr>
          <w:ilvl w:val="0"/>
          <w:numId w:val="7"/>
        </w:numPr>
        <w:ind w:left="0" w:firstLine="426" w:firstLineChars="0"/>
        <w:rPr>
          <w:rFonts w:hint="eastAsia"/>
          <w:color w:val="000000"/>
          <w:highlight w:val="none"/>
        </w:rPr>
      </w:pPr>
      <w:r>
        <w:rPr>
          <w:color w:val="000000"/>
          <w:highlight w:val="none"/>
        </w:rPr>
        <w:t>混凝土：主体结构混凝土强度等级不得低于C25。</w:t>
      </w:r>
    </w:p>
    <w:p w14:paraId="12F68BBF">
      <w:pPr>
        <w:pStyle w:val="6"/>
        <w:numPr>
          <w:ilvl w:val="0"/>
          <w:numId w:val="7"/>
        </w:numPr>
        <w:ind w:left="0" w:firstLine="426" w:firstLineChars="0"/>
        <w:rPr>
          <w:rFonts w:hint="eastAsia"/>
          <w:color w:val="000000"/>
          <w:highlight w:val="none"/>
        </w:rPr>
      </w:pPr>
      <w:r>
        <w:rPr>
          <w:color w:val="000000"/>
          <w:highlight w:val="none"/>
        </w:rPr>
        <w:t>钢筋：钢筋</w:t>
      </w:r>
      <w:r>
        <w:rPr>
          <w:rFonts w:hint="eastAsia"/>
          <w:color w:val="000000"/>
          <w:highlight w:val="none"/>
        </w:rPr>
        <w:t>宜</w:t>
      </w:r>
      <w:r>
        <w:rPr>
          <w:color w:val="000000"/>
          <w:highlight w:val="none"/>
        </w:rPr>
        <w:t>采用HRB400（</w:t>
      </w:r>
      <w:r>
        <w:rPr>
          <w:rFonts w:hint="eastAsia" w:cs="宋体"/>
          <w:color w:val="000000"/>
          <w:highlight w:val="none"/>
        </w:rPr>
        <w:t>Ⅲ</w:t>
      </w:r>
      <w:r>
        <w:rPr>
          <w:color w:val="000000"/>
          <w:highlight w:val="none"/>
        </w:rPr>
        <w:t>级钢），fy=360N/mm2</w:t>
      </w:r>
      <w:r>
        <w:rPr>
          <w:rFonts w:hint="eastAsia"/>
          <w:color w:val="000000"/>
          <w:highlight w:val="none"/>
        </w:rPr>
        <w:t>或H</w:t>
      </w:r>
      <w:r>
        <w:rPr>
          <w:color w:val="000000"/>
          <w:highlight w:val="none"/>
        </w:rPr>
        <w:t>RB500（</w:t>
      </w:r>
      <w:r>
        <w:rPr>
          <w:rFonts w:hint="eastAsia"/>
          <w:color w:val="000000"/>
          <w:highlight w:val="none"/>
        </w:rPr>
        <w:t>Ⅳ</w:t>
      </w:r>
      <w:r>
        <w:rPr>
          <w:color w:val="000000"/>
          <w:highlight w:val="none"/>
        </w:rPr>
        <w:t>级钢），fy=435N/mm2。住宅不得采用冷轧带肋钢筋和焊接钢筋网。</w:t>
      </w:r>
    </w:p>
    <w:p w14:paraId="175BDAC8">
      <w:pPr>
        <w:pStyle w:val="6"/>
        <w:numPr>
          <w:ilvl w:val="0"/>
          <w:numId w:val="7"/>
        </w:numPr>
        <w:ind w:left="0" w:firstLine="426" w:firstLineChars="0"/>
        <w:rPr>
          <w:rFonts w:hint="eastAsia"/>
          <w:color w:val="000000"/>
          <w:highlight w:val="none"/>
        </w:rPr>
      </w:pPr>
      <w:r>
        <w:rPr>
          <w:color w:val="000000"/>
          <w:highlight w:val="none"/>
        </w:rPr>
        <w:t>非承重墙体宜采用蒸压加气混凝土砌块，自重≤10KN/m³。外墙砌块强度不得小于A5.0，内墙砌块强度不得小于A3.5。砌体干燥收缩率应≤0.4mm/m。</w:t>
      </w:r>
    </w:p>
    <w:p w14:paraId="39E4ED91">
      <w:pPr>
        <w:pStyle w:val="6"/>
        <w:numPr>
          <w:ilvl w:val="0"/>
          <w:numId w:val="7"/>
        </w:numPr>
        <w:ind w:left="0" w:firstLine="426" w:firstLineChars="0"/>
        <w:rPr>
          <w:rFonts w:hint="eastAsia"/>
          <w:color w:val="000000"/>
          <w:highlight w:val="none"/>
        </w:rPr>
      </w:pPr>
      <w:r>
        <w:rPr>
          <w:color w:val="000000"/>
          <w:highlight w:val="none"/>
        </w:rPr>
        <w:t>柱子截面应由轴压比控制，截面形式按建筑要求。每次收缩截面时，每个方向一般一次收缩不宜超过100mm。</w:t>
      </w:r>
    </w:p>
    <w:p w14:paraId="1E7AB562">
      <w:pPr>
        <w:pStyle w:val="6"/>
        <w:numPr>
          <w:ilvl w:val="0"/>
          <w:numId w:val="7"/>
        </w:numPr>
        <w:ind w:left="0" w:firstLine="426" w:firstLineChars="0"/>
        <w:rPr>
          <w:rFonts w:hint="eastAsia"/>
          <w:color w:val="000000"/>
          <w:highlight w:val="none"/>
        </w:rPr>
      </w:pPr>
      <w:r>
        <w:rPr>
          <w:color w:val="000000"/>
          <w:highlight w:val="none"/>
        </w:rPr>
        <w:t>住宅2层以上部分，剪力墙宽度宜尽量取200mm。</w:t>
      </w:r>
    </w:p>
    <w:p w14:paraId="648D450B">
      <w:pPr>
        <w:pStyle w:val="6"/>
        <w:numPr>
          <w:ilvl w:val="0"/>
          <w:numId w:val="7"/>
        </w:numPr>
        <w:ind w:left="0" w:firstLine="426" w:firstLineChars="0"/>
        <w:rPr>
          <w:rFonts w:hint="eastAsia"/>
          <w:color w:val="000000"/>
          <w:highlight w:val="none"/>
        </w:rPr>
      </w:pPr>
      <w:r>
        <w:rPr>
          <w:color w:val="000000"/>
          <w:highlight w:val="none"/>
        </w:rPr>
        <w:t>桩基础设计，应同时提交基础选型的经济技术多方案比选专题报告。</w:t>
      </w:r>
    </w:p>
    <w:p w14:paraId="1A9EAC09">
      <w:pPr>
        <w:pStyle w:val="6"/>
        <w:numPr>
          <w:ilvl w:val="0"/>
          <w:numId w:val="7"/>
        </w:numPr>
        <w:ind w:left="0" w:firstLine="426" w:firstLineChars="0"/>
        <w:rPr>
          <w:rFonts w:hint="eastAsia"/>
          <w:color w:val="000000"/>
          <w:highlight w:val="none"/>
        </w:rPr>
      </w:pPr>
      <w:r>
        <w:rPr>
          <w:color w:val="000000"/>
          <w:highlight w:val="none"/>
        </w:rPr>
        <w:t>选用静压预应力管桩基础形式时，应根据地质情况，采用复压等措施确保桩的承载力。预应力管桩桩端嵌入遇水易软化的强风化岩、全风化岩和非饱和土时，桩端应采用微膨胀砼填芯2m高。</w:t>
      </w:r>
    </w:p>
    <w:p w14:paraId="543AA478">
      <w:pPr>
        <w:pStyle w:val="4"/>
        <w:rPr>
          <w:rFonts w:hint="eastAsia"/>
          <w:color w:val="000000"/>
          <w:highlight w:val="none"/>
        </w:rPr>
      </w:pPr>
      <w:r>
        <w:rPr>
          <w:color w:val="000000"/>
          <w:highlight w:val="none"/>
        </w:rPr>
        <w:t>室外工程设计要求</w:t>
      </w:r>
    </w:p>
    <w:p w14:paraId="68C46935">
      <w:pPr>
        <w:pStyle w:val="5"/>
        <w:rPr>
          <w:rFonts w:hint="eastAsia"/>
          <w:color w:val="000000"/>
          <w:highlight w:val="none"/>
        </w:rPr>
      </w:pPr>
      <w:r>
        <w:rPr>
          <w:color w:val="000000"/>
          <w:highlight w:val="none"/>
        </w:rPr>
        <w:t>室外广场</w:t>
      </w:r>
    </w:p>
    <w:p w14:paraId="5204F962">
      <w:pPr>
        <w:rPr>
          <w:rFonts w:hint="eastAsia"/>
          <w:color w:val="000000"/>
          <w:highlight w:val="none"/>
        </w:rPr>
      </w:pPr>
      <w:r>
        <w:rPr>
          <w:color w:val="000000"/>
          <w:highlight w:val="none"/>
        </w:rPr>
        <w:t>室外广场石与侧平石等采用石材，按《广州市政府投资项目天然石材应用指引》和《广州市重点公共建设项目风景园林工程技术指引（铺装篇）》（详见附件11）要求设计施工。广场石材铺贴方案要求大方、整体性强，不宜采用拼花形式；若采用非石材或采用拼花形式，应专题报招标人同意。室外铺装不宜采用密缝铺贴方式，设计单位应根据功能和材料具体情况设计铺装缝尺寸，出具详细完整的铺装图，室外铺装详细方案图须单独报招标人确认。</w:t>
      </w:r>
    </w:p>
    <w:p w14:paraId="23E00A5B">
      <w:pPr>
        <w:pStyle w:val="5"/>
        <w:rPr>
          <w:rFonts w:hint="eastAsia"/>
          <w:color w:val="000000"/>
          <w:highlight w:val="none"/>
        </w:rPr>
      </w:pPr>
      <w:r>
        <w:rPr>
          <w:rFonts w:hint="eastAsia"/>
          <w:color w:val="000000"/>
          <w:highlight w:val="none"/>
        </w:rPr>
        <w:t>室外管网</w:t>
      </w:r>
    </w:p>
    <w:p w14:paraId="64FA1228">
      <w:pPr>
        <w:rPr>
          <w:rFonts w:hint="eastAsia"/>
          <w:color w:val="000000"/>
          <w:highlight w:val="none"/>
        </w:rPr>
      </w:pPr>
      <w:r>
        <w:rPr>
          <w:rFonts w:hint="eastAsia"/>
          <w:color w:val="000000"/>
          <w:highlight w:val="none"/>
        </w:rPr>
        <w:t>红线内室外管网新建工程</w:t>
      </w:r>
      <w:r>
        <w:rPr>
          <w:color w:val="000000"/>
          <w:highlight w:val="none"/>
        </w:rPr>
        <w:t>,包括水、电、燃气等的接入工程。</w:t>
      </w:r>
    </w:p>
    <w:p w14:paraId="68978536">
      <w:pPr>
        <w:rPr>
          <w:rFonts w:hint="eastAsia"/>
          <w:color w:val="000000"/>
          <w:highlight w:val="none"/>
        </w:rPr>
      </w:pPr>
      <w:r>
        <w:rPr>
          <w:color w:val="000000"/>
          <w:highlight w:val="none"/>
        </w:rPr>
        <w:t>道路照明按《广州市城市道路照明设施移交管理办法》和《广州市照明建设管理中心关于拟移交中心管养道路的照明项目有关要求的函(穗照明函[2015]44号)》的要求进行设计。</w:t>
      </w:r>
    </w:p>
    <w:p w14:paraId="17DE4C0D">
      <w:pPr>
        <w:rPr>
          <w:rFonts w:hint="eastAsia"/>
          <w:color w:val="000000"/>
          <w:highlight w:val="none"/>
        </w:rPr>
      </w:pPr>
      <w:r>
        <w:rPr>
          <w:color w:val="000000"/>
          <w:highlight w:val="none"/>
        </w:rPr>
        <w:t>井盖设施的设计应当执行国家、省、市技术标准和规范，并满足《广州市井盖设施管理试行办法》、《广州城市道路井盖建设实施指引》的要求。井盖和井壁应当标明井盖设施权属单位名称和报修电话。</w:t>
      </w:r>
    </w:p>
    <w:p w14:paraId="4618439F">
      <w:pPr>
        <w:pStyle w:val="5"/>
        <w:rPr>
          <w:rFonts w:hint="eastAsia"/>
          <w:color w:val="000000"/>
          <w:highlight w:val="none"/>
        </w:rPr>
      </w:pPr>
      <w:r>
        <w:rPr>
          <w:rFonts w:hint="eastAsia"/>
          <w:color w:val="000000"/>
          <w:highlight w:val="none"/>
        </w:rPr>
        <w:t>室外照明</w:t>
      </w:r>
    </w:p>
    <w:p w14:paraId="2BE70DBE">
      <w:pPr>
        <w:rPr>
          <w:rFonts w:hint="eastAsia"/>
          <w:color w:val="000000"/>
          <w:highlight w:val="none"/>
        </w:rPr>
      </w:pPr>
      <w:r>
        <w:rPr>
          <w:color w:val="000000"/>
          <w:highlight w:val="none"/>
        </w:rPr>
        <w:t>室外广场设高杆照明，道路照明采用马路弯灯，绿地设草坪灯及绿化景观灯，建筑物立面设泛光照明。泛光照明需进行方案比较，报招标人确认。</w:t>
      </w:r>
    </w:p>
    <w:p w14:paraId="5A0709D7">
      <w:pPr>
        <w:pStyle w:val="4"/>
        <w:rPr>
          <w:rFonts w:hint="eastAsia"/>
          <w:color w:val="000000"/>
          <w:highlight w:val="none"/>
        </w:rPr>
      </w:pPr>
      <w:r>
        <w:rPr>
          <w:color w:val="000000"/>
          <w:highlight w:val="none"/>
        </w:rPr>
        <w:t>给排水设计要求</w:t>
      </w:r>
    </w:p>
    <w:p w14:paraId="5B115273">
      <w:pPr>
        <w:pStyle w:val="5"/>
        <w:rPr>
          <w:rFonts w:hint="eastAsia" w:ascii="微软雅黑" w:hAnsi="微软雅黑" w:eastAsia="微软雅黑"/>
          <w:color w:val="000000"/>
          <w:szCs w:val="21"/>
          <w:highlight w:val="none"/>
        </w:rPr>
      </w:pPr>
      <w:r>
        <w:rPr>
          <w:color w:val="000000"/>
          <w:highlight w:val="none"/>
        </w:rPr>
        <w:t>一般规定</w:t>
      </w:r>
    </w:p>
    <w:p w14:paraId="4294DB58">
      <w:pPr>
        <w:rPr>
          <w:rFonts w:hint="eastAsia" w:ascii="微软雅黑" w:hAnsi="微软雅黑" w:eastAsia="微软雅黑"/>
          <w:color w:val="000000"/>
          <w:szCs w:val="21"/>
          <w:highlight w:val="none"/>
        </w:rPr>
      </w:pPr>
      <w:r>
        <w:rPr>
          <w:color w:val="000000"/>
          <w:highlight w:val="none"/>
        </w:rPr>
        <w:t>安置区的给排水系统及设备材料的选用，应以经济适用为原则。</w:t>
      </w:r>
    </w:p>
    <w:p w14:paraId="63AFA971">
      <w:pPr>
        <w:pStyle w:val="5"/>
        <w:rPr>
          <w:rFonts w:hint="eastAsia" w:ascii="微软雅黑" w:hAnsi="微软雅黑" w:eastAsia="微软雅黑"/>
          <w:color w:val="000000"/>
          <w:szCs w:val="21"/>
          <w:highlight w:val="none"/>
        </w:rPr>
      </w:pPr>
      <w:r>
        <w:rPr>
          <w:color w:val="000000"/>
          <w:highlight w:val="none"/>
        </w:rPr>
        <w:t>生活给水系统</w:t>
      </w:r>
    </w:p>
    <w:p w14:paraId="65043229">
      <w:pPr>
        <w:rPr>
          <w:rFonts w:hint="eastAsia" w:ascii="微软雅黑" w:hAnsi="微软雅黑" w:eastAsia="微软雅黑"/>
          <w:color w:val="000000"/>
          <w:szCs w:val="21"/>
          <w:highlight w:val="none"/>
        </w:rPr>
      </w:pPr>
      <w:r>
        <w:rPr>
          <w:color w:val="000000"/>
          <w:highlight w:val="none"/>
        </w:rPr>
        <w:t>（1）生活给水系统、绿化用水及消防给水系统的总进水管必须分别独立装表计量。居住建筑总水表的设置，应符合广州市自来水公司的要求。</w:t>
      </w:r>
    </w:p>
    <w:p w14:paraId="6D052E20">
      <w:pPr>
        <w:rPr>
          <w:rFonts w:hint="eastAsia" w:ascii="微软雅黑" w:hAnsi="微软雅黑" w:eastAsia="微软雅黑"/>
          <w:color w:val="000000"/>
          <w:szCs w:val="21"/>
          <w:highlight w:val="none"/>
        </w:rPr>
      </w:pPr>
      <w:r>
        <w:rPr>
          <w:color w:val="000000"/>
          <w:highlight w:val="none"/>
        </w:rPr>
        <w:t>（2）住宅用水计量采用一户一水表，高层住宅每层住宅单元的水表集中安装于该楼层的水表间（兼水管井）内。</w:t>
      </w:r>
    </w:p>
    <w:p w14:paraId="7AC77CA7">
      <w:pPr>
        <w:rPr>
          <w:rFonts w:hint="eastAsia" w:ascii="微软雅黑" w:hAnsi="微软雅黑" w:eastAsia="微软雅黑"/>
          <w:color w:val="000000"/>
          <w:szCs w:val="21"/>
          <w:highlight w:val="none"/>
        </w:rPr>
      </w:pPr>
      <w:r>
        <w:rPr>
          <w:color w:val="000000"/>
          <w:highlight w:val="none"/>
        </w:rPr>
        <w:t>（3）居住建筑应尽量利用市政水压直接供水，超过自来水公司服务高程的楼层，建议采用储水箱加变频加压供水设备二次供水。如采用叠压供水设计方案应经当地供水行政主管部门及供水部门批准认可。</w:t>
      </w:r>
    </w:p>
    <w:p w14:paraId="52061CC3">
      <w:pPr>
        <w:rPr>
          <w:rFonts w:hint="eastAsia" w:ascii="微软雅黑" w:hAnsi="微软雅黑" w:eastAsia="微软雅黑"/>
          <w:color w:val="000000"/>
          <w:szCs w:val="21"/>
          <w:highlight w:val="none"/>
        </w:rPr>
      </w:pPr>
      <w:r>
        <w:rPr>
          <w:color w:val="000000"/>
          <w:highlight w:val="none"/>
        </w:rPr>
        <w:t>（5）户内给水管全部暗装。从分户水表、热水器至户内厨房、卫生间等的冷水、热水管线，宜穿梁架空敷设。敷设在垫层或墙体管槽内的管材，不得有卡套式或卡环式接口，柔性管材宜采用分水器向各卫生器具配水，中途不得有连接配件，两端接口应明露。</w:t>
      </w:r>
    </w:p>
    <w:p w14:paraId="4F8A35B0">
      <w:pPr>
        <w:rPr>
          <w:rFonts w:hint="eastAsia" w:ascii="微软雅黑" w:hAnsi="微软雅黑" w:eastAsia="微软雅黑"/>
          <w:color w:val="000000"/>
          <w:szCs w:val="21"/>
          <w:highlight w:val="none"/>
        </w:rPr>
      </w:pPr>
      <w:r>
        <w:rPr>
          <w:color w:val="000000"/>
          <w:highlight w:val="none"/>
        </w:rPr>
        <w:t>（6）住宅户内应设热水给水管，在生活阳台预留热水器进、出水接口，并同时预留电热水器电源插座及煤气热水器的煤气接口。洗脸盆、洗涤盆、淋浴器处均设冷热水接口。</w:t>
      </w:r>
    </w:p>
    <w:p w14:paraId="043A7A68">
      <w:pPr>
        <w:rPr>
          <w:rFonts w:hint="eastAsia" w:ascii="微软雅黑" w:hAnsi="微软雅黑" w:eastAsia="微软雅黑"/>
          <w:color w:val="000000"/>
          <w:szCs w:val="21"/>
          <w:highlight w:val="none"/>
        </w:rPr>
      </w:pPr>
      <w:r>
        <w:rPr>
          <w:color w:val="000000"/>
          <w:highlight w:val="none"/>
        </w:rPr>
        <w:t>（7）生活阳台应设置洗衣机专用给水龙头，主阳台应设置取水龙头。</w:t>
      </w:r>
    </w:p>
    <w:p w14:paraId="5276969C">
      <w:pPr>
        <w:pStyle w:val="5"/>
        <w:rPr>
          <w:rFonts w:hint="eastAsia"/>
          <w:color w:val="000000"/>
          <w:highlight w:val="none"/>
        </w:rPr>
      </w:pPr>
      <w:r>
        <w:rPr>
          <w:color w:val="000000"/>
          <w:highlight w:val="none"/>
        </w:rPr>
        <w:t>排水系统</w:t>
      </w:r>
    </w:p>
    <w:p w14:paraId="2A7CCCAB">
      <w:pPr>
        <w:rPr>
          <w:rFonts w:hint="eastAsia" w:ascii="微软雅黑" w:hAnsi="微软雅黑" w:eastAsia="微软雅黑"/>
          <w:color w:val="000000"/>
          <w:szCs w:val="21"/>
          <w:highlight w:val="none"/>
        </w:rPr>
      </w:pPr>
      <w:r>
        <w:rPr>
          <w:color w:val="000000"/>
          <w:highlight w:val="none"/>
        </w:rPr>
        <w:t>1、住宅室内排水应采用雨、污、废水分流制排水系统。</w:t>
      </w:r>
    </w:p>
    <w:p w14:paraId="10C4887A">
      <w:pPr>
        <w:rPr>
          <w:rFonts w:hint="eastAsia" w:ascii="微软雅黑" w:hAnsi="微软雅黑" w:eastAsia="微软雅黑"/>
          <w:color w:val="000000"/>
          <w:szCs w:val="21"/>
          <w:highlight w:val="none"/>
        </w:rPr>
      </w:pPr>
      <w:r>
        <w:rPr>
          <w:color w:val="000000"/>
          <w:highlight w:val="none"/>
        </w:rPr>
        <w:t>2、生活阳台洗衣机排水及雨水排水应接入废水立管，设置洗衣机的部位应设置能防止溢流和防干涸的专用地漏。</w:t>
      </w:r>
    </w:p>
    <w:p w14:paraId="5EB46751">
      <w:pPr>
        <w:rPr>
          <w:rFonts w:hint="eastAsia" w:ascii="微软雅黑" w:hAnsi="微软雅黑" w:eastAsia="微软雅黑"/>
          <w:color w:val="000000"/>
          <w:szCs w:val="21"/>
          <w:highlight w:val="none"/>
        </w:rPr>
      </w:pPr>
      <w:r>
        <w:rPr>
          <w:color w:val="000000"/>
          <w:highlight w:val="none"/>
        </w:rPr>
        <w:t>3、住宅阳台排水应接入废水系统。空调冷凝水 (设专用立管)排水、与屋面雨水分别独立排入室外雨水检查井。</w:t>
      </w:r>
    </w:p>
    <w:p w14:paraId="49EC74B4">
      <w:pPr>
        <w:rPr>
          <w:rFonts w:hint="eastAsia" w:ascii="微软雅黑" w:hAnsi="微软雅黑" w:eastAsia="微软雅黑"/>
          <w:color w:val="000000"/>
          <w:szCs w:val="21"/>
          <w:highlight w:val="none"/>
        </w:rPr>
      </w:pPr>
      <w:r>
        <w:rPr>
          <w:color w:val="000000"/>
          <w:highlight w:val="none"/>
        </w:rPr>
        <w:t>4、粪便污水应经化粪池处理后排入市政污水排水管。</w:t>
      </w:r>
    </w:p>
    <w:p w14:paraId="0F45F4E9">
      <w:pPr>
        <w:rPr>
          <w:rFonts w:hint="eastAsia" w:ascii="微软雅黑" w:hAnsi="微软雅黑" w:eastAsia="微软雅黑"/>
          <w:color w:val="000000"/>
          <w:szCs w:val="21"/>
          <w:highlight w:val="none"/>
        </w:rPr>
      </w:pPr>
      <w:r>
        <w:rPr>
          <w:color w:val="000000"/>
          <w:highlight w:val="none"/>
        </w:rPr>
        <w:t>5、在不影响建筑立面的情况下，排水立管宜安装在外墙面上，但排水管颜色宜与外墙面相同，且建筑主立面不得安装排水管。</w:t>
      </w:r>
    </w:p>
    <w:p w14:paraId="09D1481E">
      <w:pPr>
        <w:rPr>
          <w:rFonts w:hint="eastAsia" w:ascii="微软雅黑" w:hAnsi="微软雅黑" w:eastAsia="微软雅黑"/>
          <w:color w:val="000000"/>
          <w:szCs w:val="21"/>
          <w:highlight w:val="none"/>
        </w:rPr>
      </w:pPr>
      <w:r>
        <w:rPr>
          <w:color w:val="000000"/>
          <w:highlight w:val="none"/>
        </w:rPr>
        <w:t>6、住宅卫生间排水横管应设在沉箱内，沉箱应设置二次排水设施。</w:t>
      </w:r>
    </w:p>
    <w:p w14:paraId="3CC86697">
      <w:pPr>
        <w:rPr>
          <w:rFonts w:hint="eastAsia" w:ascii="微软雅黑" w:hAnsi="微软雅黑" w:eastAsia="微软雅黑"/>
          <w:color w:val="000000"/>
          <w:szCs w:val="21"/>
          <w:highlight w:val="none"/>
        </w:rPr>
      </w:pPr>
      <w:r>
        <w:rPr>
          <w:color w:val="000000"/>
          <w:highlight w:val="none"/>
        </w:rPr>
        <w:t>7、住宅的厨房和卫生间的排水立管应分别设置，厨房不设地漏，卫生间应设防干涸的专用地漏。</w:t>
      </w:r>
    </w:p>
    <w:p w14:paraId="6F147177">
      <w:pPr>
        <w:pStyle w:val="5"/>
        <w:rPr>
          <w:rFonts w:hint="eastAsia"/>
          <w:color w:val="000000"/>
          <w:highlight w:val="none"/>
        </w:rPr>
      </w:pPr>
      <w:r>
        <w:rPr>
          <w:color w:val="000000"/>
          <w:highlight w:val="none"/>
        </w:rPr>
        <w:t>消防系统</w:t>
      </w:r>
    </w:p>
    <w:p w14:paraId="7E51CE6C">
      <w:pPr>
        <w:ind w:firstLine="424" w:firstLineChars="177"/>
        <w:rPr>
          <w:rFonts w:hint="eastAsia" w:ascii="微软雅黑" w:hAnsi="微软雅黑" w:eastAsia="微软雅黑"/>
          <w:color w:val="000000"/>
          <w:szCs w:val="21"/>
          <w:highlight w:val="none"/>
        </w:rPr>
      </w:pPr>
      <w:r>
        <w:rPr>
          <w:color w:val="000000"/>
          <w:highlight w:val="none"/>
        </w:rPr>
        <w:t>1、住宅标准层的消火栓箱应暗装，灭火器优先布置在消火栓箱处，并选用带灭火器和消火栓的消防箱（灭火器单独设置的除外）。</w:t>
      </w:r>
    </w:p>
    <w:p w14:paraId="23691087">
      <w:pPr>
        <w:ind w:firstLine="424" w:firstLineChars="177"/>
        <w:rPr>
          <w:rFonts w:hint="eastAsia" w:ascii="微软雅黑" w:hAnsi="微软雅黑" w:eastAsia="微软雅黑"/>
          <w:color w:val="000000"/>
          <w:szCs w:val="21"/>
          <w:highlight w:val="none"/>
        </w:rPr>
      </w:pPr>
      <w:r>
        <w:rPr>
          <w:color w:val="000000"/>
          <w:highlight w:val="none"/>
        </w:rPr>
        <w:t>2、柴油发电机房应采用自动喷水灭火系统。</w:t>
      </w:r>
    </w:p>
    <w:p w14:paraId="10ABD84C">
      <w:pPr>
        <w:pStyle w:val="4"/>
        <w:rPr>
          <w:rFonts w:hint="eastAsia" w:ascii="黑体" w:hAnsi="黑体" w:eastAsia="黑体"/>
          <w:color w:val="000000"/>
          <w:highlight w:val="none"/>
        </w:rPr>
      </w:pPr>
      <w:r>
        <w:rPr>
          <w:color w:val="000000"/>
          <w:highlight w:val="none"/>
        </w:rPr>
        <w:t>电气设计要求</w:t>
      </w:r>
    </w:p>
    <w:p w14:paraId="2B959980">
      <w:pPr>
        <w:pStyle w:val="5"/>
        <w:rPr>
          <w:rFonts w:hint="eastAsia"/>
          <w:color w:val="000000"/>
          <w:highlight w:val="none"/>
        </w:rPr>
      </w:pPr>
      <w:r>
        <w:rPr>
          <w:color w:val="000000"/>
          <w:highlight w:val="none"/>
        </w:rPr>
        <w:t>变压器选择</w:t>
      </w:r>
    </w:p>
    <w:p w14:paraId="252E9EB1">
      <w:pPr>
        <w:rPr>
          <w:rFonts w:hint="eastAsia" w:ascii="微软雅黑" w:hAnsi="微软雅黑" w:eastAsia="微软雅黑"/>
          <w:color w:val="000000"/>
          <w:szCs w:val="21"/>
          <w:highlight w:val="none"/>
        </w:rPr>
      </w:pPr>
      <w:r>
        <w:rPr>
          <w:color w:val="000000"/>
          <w:highlight w:val="none"/>
        </w:rPr>
        <w:t>1、变压器容量选择原则：</w:t>
      </w:r>
    </w:p>
    <w:p w14:paraId="088AA1F4">
      <w:pPr>
        <w:rPr>
          <w:rFonts w:hint="eastAsia" w:ascii="微软雅黑" w:hAnsi="微软雅黑" w:eastAsia="微软雅黑"/>
          <w:color w:val="000000"/>
          <w:szCs w:val="21"/>
          <w:highlight w:val="none"/>
        </w:rPr>
      </w:pPr>
      <w:r>
        <w:rPr>
          <w:color w:val="000000"/>
          <w:highlight w:val="none"/>
        </w:rPr>
        <w:t>（1）公用变压器容量选择：原则上按照当地供电部门常规做法</w:t>
      </w:r>
    </w:p>
    <w:p w14:paraId="4973C337">
      <w:pPr>
        <w:rPr>
          <w:rFonts w:hint="eastAsia" w:ascii="微软雅黑" w:hAnsi="微软雅黑" w:eastAsia="微软雅黑"/>
          <w:color w:val="000000"/>
          <w:szCs w:val="21"/>
          <w:highlight w:val="none"/>
        </w:rPr>
      </w:pPr>
      <w:r>
        <w:rPr>
          <w:color w:val="000000"/>
          <w:highlight w:val="none"/>
        </w:rPr>
        <w:t>2、应选用干式配电变压器。</w:t>
      </w:r>
    </w:p>
    <w:p w14:paraId="7914E9F2">
      <w:pPr>
        <w:pStyle w:val="5"/>
        <w:rPr>
          <w:rFonts w:hint="eastAsia"/>
          <w:color w:val="000000"/>
          <w:highlight w:val="none"/>
        </w:rPr>
      </w:pPr>
      <w:r>
        <w:rPr>
          <w:color w:val="000000"/>
          <w:highlight w:val="none"/>
        </w:rPr>
        <w:t>电能计量</w:t>
      </w:r>
    </w:p>
    <w:p w14:paraId="325FE85E">
      <w:pPr>
        <w:rPr>
          <w:rFonts w:hint="eastAsia" w:ascii="微软雅黑" w:hAnsi="微软雅黑" w:eastAsia="微软雅黑"/>
          <w:color w:val="000000"/>
          <w:szCs w:val="21"/>
          <w:highlight w:val="none"/>
        </w:rPr>
      </w:pPr>
      <w:r>
        <w:rPr>
          <w:color w:val="000000"/>
          <w:highlight w:val="none"/>
        </w:rPr>
        <w:t>1、住宅用电采用低压计量，实行一户一表，并安装集中抄表装置。</w:t>
      </w:r>
    </w:p>
    <w:p w14:paraId="246236F1">
      <w:pPr>
        <w:rPr>
          <w:rFonts w:hint="eastAsia" w:ascii="微软雅黑" w:hAnsi="微软雅黑" w:eastAsia="微软雅黑"/>
          <w:color w:val="000000"/>
          <w:szCs w:val="21"/>
          <w:highlight w:val="none"/>
        </w:rPr>
      </w:pPr>
      <w:r>
        <w:rPr>
          <w:color w:val="000000"/>
          <w:highlight w:val="none"/>
        </w:rPr>
        <w:t>2、电梯、生活水泵、公共照明（地下室照明除外）应各自独立设置电能计量装置。</w:t>
      </w:r>
    </w:p>
    <w:p w14:paraId="66E27864">
      <w:pPr>
        <w:pStyle w:val="5"/>
        <w:rPr>
          <w:rFonts w:hint="eastAsia" w:ascii="微软雅黑" w:hAnsi="微软雅黑" w:eastAsia="微软雅黑"/>
          <w:color w:val="000000"/>
          <w:szCs w:val="21"/>
          <w:highlight w:val="none"/>
        </w:rPr>
      </w:pPr>
      <w:r>
        <w:rPr>
          <w:color w:val="000000"/>
          <w:highlight w:val="none"/>
        </w:rPr>
        <w:t>变配电所址选择</w:t>
      </w:r>
    </w:p>
    <w:p w14:paraId="1931810D">
      <w:pPr>
        <w:rPr>
          <w:rFonts w:hint="eastAsia" w:ascii="微软雅黑" w:hAnsi="微软雅黑" w:eastAsia="微软雅黑"/>
          <w:color w:val="000000"/>
          <w:szCs w:val="21"/>
          <w:highlight w:val="none"/>
        </w:rPr>
      </w:pPr>
      <w:r>
        <w:rPr>
          <w:color w:val="000000"/>
          <w:highlight w:val="none"/>
        </w:rPr>
        <w:t>1、设计方应与当地供电部门协调永久电房设置要求。</w:t>
      </w:r>
    </w:p>
    <w:p w14:paraId="1B3098B5">
      <w:pPr>
        <w:rPr>
          <w:rFonts w:hint="eastAsia" w:ascii="微软雅黑" w:hAnsi="微软雅黑" w:eastAsia="微软雅黑"/>
          <w:color w:val="000000"/>
          <w:szCs w:val="21"/>
          <w:highlight w:val="none"/>
        </w:rPr>
      </w:pPr>
      <w:r>
        <w:rPr>
          <w:color w:val="000000"/>
          <w:highlight w:val="none"/>
        </w:rPr>
        <w:t>2、市政10kV开关房、公用综合房、公用变压房净空尺寸应满足供电部门以及实际使用要求；公用低压配电房、专用变压器房、专用低压配电房的尺寸根据变配电系统需要确定，</w:t>
      </w:r>
    </w:p>
    <w:p w14:paraId="325F0815">
      <w:pPr>
        <w:pStyle w:val="5"/>
        <w:rPr>
          <w:rFonts w:hint="eastAsia" w:ascii="微软雅黑" w:hAnsi="微软雅黑" w:eastAsia="微软雅黑"/>
          <w:color w:val="000000"/>
          <w:szCs w:val="21"/>
          <w:highlight w:val="none"/>
        </w:rPr>
      </w:pPr>
      <w:r>
        <w:rPr>
          <w:color w:val="000000"/>
          <w:highlight w:val="none"/>
        </w:rPr>
        <w:t>住户配电系统</w:t>
      </w:r>
    </w:p>
    <w:p w14:paraId="02C5ED8B">
      <w:pPr>
        <w:rPr>
          <w:rFonts w:hint="eastAsia" w:ascii="微软雅黑" w:hAnsi="微软雅黑" w:eastAsia="微软雅黑"/>
          <w:color w:val="000000"/>
          <w:szCs w:val="21"/>
          <w:highlight w:val="none"/>
        </w:rPr>
      </w:pPr>
      <w:r>
        <w:rPr>
          <w:color w:val="000000"/>
          <w:highlight w:val="none"/>
        </w:rPr>
        <w:t>1、住户配电箱进线开关应能同时切断相线和中性线，不带剩余电流动作保护功能的出线开关采用单极断路器。</w:t>
      </w:r>
    </w:p>
    <w:p w14:paraId="7E368DC9">
      <w:pPr>
        <w:rPr>
          <w:rFonts w:hint="eastAsia" w:ascii="微软雅黑" w:hAnsi="微软雅黑" w:eastAsia="微软雅黑"/>
          <w:color w:val="000000"/>
          <w:szCs w:val="21"/>
          <w:highlight w:val="none"/>
        </w:rPr>
      </w:pPr>
      <w:r>
        <w:rPr>
          <w:color w:val="000000"/>
          <w:highlight w:val="none"/>
        </w:rPr>
        <w:t>2、套内空调、普通插座和照明应分回路配电，卫生间、厨房插座应设置独立回路。</w:t>
      </w:r>
    </w:p>
    <w:p w14:paraId="0DEA633E">
      <w:pPr>
        <w:rPr>
          <w:rFonts w:hint="eastAsia" w:ascii="微软雅黑" w:hAnsi="微软雅黑" w:eastAsia="微软雅黑"/>
          <w:color w:val="000000"/>
          <w:szCs w:val="21"/>
          <w:highlight w:val="none"/>
        </w:rPr>
      </w:pPr>
      <w:r>
        <w:rPr>
          <w:color w:val="000000"/>
          <w:highlight w:val="none"/>
        </w:rPr>
        <w:t>3、柜式空调电源插座回路应装设剩余电流动作保护器。</w:t>
      </w:r>
    </w:p>
    <w:p w14:paraId="73EDF871">
      <w:pPr>
        <w:rPr>
          <w:rFonts w:hint="eastAsia" w:ascii="微软雅黑" w:hAnsi="微软雅黑" w:eastAsia="微软雅黑"/>
          <w:color w:val="000000"/>
          <w:szCs w:val="21"/>
          <w:highlight w:val="none"/>
        </w:rPr>
      </w:pPr>
      <w:r>
        <w:rPr>
          <w:color w:val="000000"/>
          <w:highlight w:val="none"/>
        </w:rPr>
        <w:t>4、普通插座（包括卫生间排气扇插座）应有剩余电流动作保护。</w:t>
      </w:r>
    </w:p>
    <w:p w14:paraId="0B610CBA">
      <w:pPr>
        <w:rPr>
          <w:rFonts w:hint="eastAsia" w:ascii="微软雅黑" w:hAnsi="微软雅黑" w:eastAsia="微软雅黑"/>
          <w:color w:val="000000"/>
          <w:szCs w:val="21"/>
          <w:highlight w:val="none"/>
        </w:rPr>
      </w:pPr>
      <w:r>
        <w:rPr>
          <w:color w:val="000000"/>
          <w:highlight w:val="none"/>
        </w:rPr>
        <w:t>5、应预留家居配线箱（弱电箱）电源插座。</w:t>
      </w:r>
    </w:p>
    <w:p w14:paraId="2531F0D9">
      <w:pPr>
        <w:pStyle w:val="5"/>
        <w:rPr>
          <w:rFonts w:hint="eastAsia" w:ascii="微软雅黑" w:hAnsi="微软雅黑" w:eastAsia="微软雅黑"/>
          <w:color w:val="000000"/>
          <w:szCs w:val="21"/>
          <w:highlight w:val="none"/>
        </w:rPr>
      </w:pPr>
      <w:r>
        <w:rPr>
          <w:color w:val="000000"/>
          <w:highlight w:val="none"/>
        </w:rPr>
        <w:t>线路敷设要求</w:t>
      </w:r>
    </w:p>
    <w:p w14:paraId="07F16DEE">
      <w:pPr>
        <w:rPr>
          <w:rFonts w:hint="eastAsia" w:ascii="微软雅黑" w:hAnsi="微软雅黑" w:eastAsia="微软雅黑"/>
          <w:color w:val="000000"/>
          <w:szCs w:val="21"/>
          <w:highlight w:val="none"/>
        </w:rPr>
      </w:pPr>
      <w:r>
        <w:rPr>
          <w:color w:val="000000"/>
          <w:highlight w:val="none"/>
        </w:rPr>
        <w:t>1、住宅楼栋内应设强、弱电竖井，竖向电气干线应在管井内敷设。</w:t>
      </w:r>
    </w:p>
    <w:p w14:paraId="541306AC">
      <w:pPr>
        <w:rPr>
          <w:rFonts w:hint="eastAsia" w:ascii="微软雅黑" w:hAnsi="微软雅黑" w:eastAsia="微软雅黑"/>
          <w:color w:val="000000"/>
          <w:szCs w:val="21"/>
          <w:highlight w:val="none"/>
        </w:rPr>
      </w:pPr>
      <w:r>
        <w:rPr>
          <w:color w:val="000000"/>
          <w:highlight w:val="none"/>
        </w:rPr>
        <w:t>2、住宅标准层电气线路原则上采用穿管暗敷方式，特殊情况可根据现场实际改用其它敷设方式。</w:t>
      </w:r>
    </w:p>
    <w:p w14:paraId="78F3CBB3">
      <w:pPr>
        <w:pStyle w:val="5"/>
        <w:rPr>
          <w:rFonts w:hint="eastAsia" w:ascii="微软雅黑" w:hAnsi="微软雅黑" w:eastAsia="微软雅黑"/>
          <w:color w:val="000000"/>
          <w:szCs w:val="21"/>
          <w:highlight w:val="none"/>
        </w:rPr>
      </w:pPr>
      <w:r>
        <w:rPr>
          <w:color w:val="000000"/>
          <w:highlight w:val="none"/>
        </w:rPr>
        <w:t>住宅套内电器设置要求及安装</w:t>
      </w:r>
    </w:p>
    <w:p w14:paraId="3BDA7C5A">
      <w:pPr>
        <w:rPr>
          <w:rFonts w:hint="eastAsia" w:ascii="微软雅黑" w:hAnsi="微软雅黑" w:eastAsia="微软雅黑"/>
          <w:color w:val="000000"/>
          <w:szCs w:val="21"/>
          <w:highlight w:val="none"/>
        </w:rPr>
      </w:pPr>
      <w:r>
        <w:rPr>
          <w:color w:val="000000"/>
          <w:highlight w:val="none"/>
        </w:rPr>
        <w:t>1、套内电器布置应遵循合理设置、方便使用、经济适用的原则。</w:t>
      </w:r>
    </w:p>
    <w:p w14:paraId="47E158F1">
      <w:pPr>
        <w:rPr>
          <w:rFonts w:hint="eastAsia" w:ascii="微软雅黑" w:hAnsi="微软雅黑" w:eastAsia="微软雅黑"/>
          <w:color w:val="000000"/>
          <w:szCs w:val="21"/>
          <w:highlight w:val="none"/>
        </w:rPr>
      </w:pPr>
      <w:r>
        <w:rPr>
          <w:color w:val="000000"/>
          <w:highlight w:val="none"/>
        </w:rPr>
        <w:t>2、每套住宅应设住户配电箱。住户配电箱安装位置在进户门后墙面上，如该位置为混凝土柱或剪力墙，可移至附近墙面上。</w:t>
      </w:r>
    </w:p>
    <w:p w14:paraId="2B1E03FF">
      <w:pPr>
        <w:pStyle w:val="5"/>
        <w:rPr>
          <w:rFonts w:hint="eastAsia" w:ascii="微软雅黑" w:hAnsi="微软雅黑" w:eastAsia="微软雅黑"/>
          <w:color w:val="000000"/>
          <w:szCs w:val="21"/>
          <w:highlight w:val="none"/>
        </w:rPr>
      </w:pPr>
      <w:r>
        <w:rPr>
          <w:color w:val="000000"/>
          <w:highlight w:val="none"/>
        </w:rPr>
        <w:t>电气照明</w:t>
      </w:r>
    </w:p>
    <w:p w14:paraId="398C1D70">
      <w:pPr>
        <w:rPr>
          <w:rFonts w:hint="eastAsia" w:ascii="微软雅黑" w:hAnsi="微软雅黑" w:eastAsia="微软雅黑"/>
          <w:color w:val="000000"/>
          <w:szCs w:val="21"/>
          <w:highlight w:val="none"/>
        </w:rPr>
      </w:pPr>
      <w:r>
        <w:rPr>
          <w:color w:val="000000"/>
          <w:highlight w:val="none"/>
        </w:rPr>
        <w:t>1、住宅标准层走道及楼梯间照明应采用高效节能的照明灯具和光源，并采用节能自熄开关控制。</w:t>
      </w:r>
    </w:p>
    <w:p w14:paraId="4F521652">
      <w:pPr>
        <w:rPr>
          <w:rFonts w:hint="eastAsia" w:ascii="微软雅黑" w:hAnsi="微软雅黑" w:eastAsia="微软雅黑"/>
          <w:color w:val="000000"/>
          <w:szCs w:val="21"/>
          <w:highlight w:val="none"/>
        </w:rPr>
      </w:pPr>
      <w:r>
        <w:rPr>
          <w:color w:val="000000"/>
          <w:highlight w:val="none"/>
        </w:rPr>
        <w:t>2、当应急照明采用集中控制集中电源型，在应急情况下，设有应急照明应自动点亮；无火灾自动报警系统的应急照明可集中点亮。</w:t>
      </w:r>
    </w:p>
    <w:p w14:paraId="1B2F3051">
      <w:pPr>
        <w:rPr>
          <w:rFonts w:hint="eastAsia" w:ascii="微软雅黑" w:hAnsi="微软雅黑" w:eastAsia="微软雅黑"/>
          <w:color w:val="000000"/>
          <w:szCs w:val="21"/>
          <w:highlight w:val="none"/>
        </w:rPr>
      </w:pPr>
      <w:r>
        <w:rPr>
          <w:color w:val="000000"/>
          <w:highlight w:val="none"/>
        </w:rPr>
        <w:t>3、高层住宅应按照当地空管局规定设置航空障碍标志灯。</w:t>
      </w:r>
    </w:p>
    <w:p w14:paraId="7C5D55CF">
      <w:pPr>
        <w:rPr>
          <w:rFonts w:hint="eastAsia" w:ascii="微软雅黑" w:hAnsi="微软雅黑" w:eastAsia="微软雅黑"/>
          <w:color w:val="000000"/>
          <w:szCs w:val="21"/>
          <w:highlight w:val="none"/>
        </w:rPr>
      </w:pPr>
      <w:r>
        <w:rPr>
          <w:color w:val="000000"/>
          <w:highlight w:val="none"/>
        </w:rPr>
        <w:t>4、楼层设备间和强、弱电竖井应设照明和检修插座。</w:t>
      </w:r>
    </w:p>
    <w:p w14:paraId="23B1E3DB">
      <w:pPr>
        <w:pStyle w:val="5"/>
        <w:rPr>
          <w:rFonts w:hint="eastAsia" w:ascii="微软雅黑" w:hAnsi="微软雅黑" w:eastAsia="微软雅黑"/>
          <w:color w:val="000000"/>
          <w:szCs w:val="21"/>
          <w:highlight w:val="none"/>
        </w:rPr>
      </w:pPr>
      <w:r>
        <w:rPr>
          <w:color w:val="000000"/>
          <w:highlight w:val="none"/>
        </w:rPr>
        <w:t>火灾自动报警系统</w:t>
      </w:r>
    </w:p>
    <w:p w14:paraId="7A7F138F">
      <w:pPr>
        <w:rPr>
          <w:rFonts w:hint="eastAsia" w:ascii="微软雅黑" w:hAnsi="微软雅黑" w:eastAsia="微软雅黑"/>
          <w:color w:val="000000"/>
          <w:szCs w:val="21"/>
          <w:highlight w:val="none"/>
        </w:rPr>
      </w:pPr>
      <w:r>
        <w:rPr>
          <w:color w:val="000000"/>
          <w:highlight w:val="none"/>
        </w:rPr>
        <w:t>1、应作火灾自动报警系统的总体设计，并合理设置消防自动报警中心及分中心位置。</w:t>
      </w:r>
    </w:p>
    <w:p w14:paraId="781E4E54">
      <w:pPr>
        <w:rPr>
          <w:rFonts w:hint="eastAsia" w:ascii="微软雅黑" w:hAnsi="微软雅黑" w:eastAsia="微软雅黑"/>
          <w:color w:val="000000"/>
          <w:szCs w:val="21"/>
          <w:highlight w:val="none"/>
        </w:rPr>
      </w:pPr>
      <w:r>
        <w:rPr>
          <w:color w:val="000000"/>
          <w:highlight w:val="none"/>
        </w:rPr>
        <w:t>2、按《火灾自动报警设计规范》要求设置火灾探测器，消火栓按钮、消防广播及声光报警器等设施；并对消防水泵、消防风机、防火卷帘等消防设备进行相关联动控制设计。</w:t>
      </w:r>
    </w:p>
    <w:p w14:paraId="3DAFF69C">
      <w:pPr>
        <w:pStyle w:val="4"/>
        <w:rPr>
          <w:rFonts w:hint="eastAsia"/>
          <w:color w:val="000000"/>
          <w:highlight w:val="none"/>
        </w:rPr>
      </w:pPr>
      <w:r>
        <w:rPr>
          <w:color w:val="000000"/>
          <w:highlight w:val="none"/>
        </w:rPr>
        <w:t>通风空调设计要求</w:t>
      </w:r>
    </w:p>
    <w:p w14:paraId="22948F86">
      <w:pPr>
        <w:rPr>
          <w:rFonts w:hint="eastAsia" w:ascii="微软雅黑" w:hAnsi="微软雅黑" w:eastAsia="微软雅黑"/>
          <w:color w:val="000000"/>
          <w:szCs w:val="21"/>
          <w:highlight w:val="none"/>
        </w:rPr>
      </w:pPr>
      <w:r>
        <w:rPr>
          <w:color w:val="000000"/>
          <w:highlight w:val="none"/>
        </w:rPr>
        <w:t>1、住宅分体式空调系统</w:t>
      </w:r>
    </w:p>
    <w:p w14:paraId="3852BAC8">
      <w:pPr>
        <w:rPr>
          <w:rFonts w:hint="eastAsia" w:ascii="微软雅黑" w:hAnsi="微软雅黑" w:eastAsia="微软雅黑"/>
          <w:color w:val="000000"/>
          <w:szCs w:val="21"/>
          <w:highlight w:val="none"/>
        </w:rPr>
      </w:pPr>
      <w:r>
        <w:rPr>
          <w:color w:val="000000"/>
          <w:highlight w:val="none"/>
        </w:rPr>
        <w:t>住宅建筑原则上应按每单元户内每一室设置（预留）一套分体式空调机。</w:t>
      </w:r>
    </w:p>
    <w:p w14:paraId="58D45FD9">
      <w:pPr>
        <w:rPr>
          <w:rFonts w:hint="eastAsia" w:ascii="微软雅黑" w:hAnsi="微软雅黑" w:eastAsia="微软雅黑"/>
          <w:color w:val="000000"/>
          <w:szCs w:val="21"/>
          <w:highlight w:val="none"/>
        </w:rPr>
      </w:pPr>
      <w:r>
        <w:rPr>
          <w:color w:val="000000"/>
          <w:highlight w:val="none"/>
        </w:rPr>
        <w:t>2、</w:t>
      </w:r>
      <w:r>
        <w:rPr>
          <w:rFonts w:hint="eastAsia"/>
          <w:color w:val="000000"/>
          <w:highlight w:val="none"/>
        </w:rPr>
        <w:t>商业配套及</w:t>
      </w:r>
      <w:r>
        <w:rPr>
          <w:color w:val="000000"/>
          <w:highlight w:val="none"/>
        </w:rPr>
        <w:t>公建建筑的空调系统：</w:t>
      </w:r>
    </w:p>
    <w:p w14:paraId="666DF5D3">
      <w:pPr>
        <w:rPr>
          <w:rFonts w:hint="eastAsia" w:ascii="微软雅黑" w:hAnsi="微软雅黑" w:eastAsia="微软雅黑"/>
          <w:color w:val="000000"/>
          <w:szCs w:val="21"/>
          <w:highlight w:val="none"/>
        </w:rPr>
      </w:pPr>
      <w:r>
        <w:rPr>
          <w:color w:val="000000"/>
          <w:highlight w:val="none"/>
        </w:rPr>
        <w:t>（1）对于分步设计的项目，应预留</w:t>
      </w:r>
      <w:r>
        <w:rPr>
          <w:rFonts w:hint="eastAsia"/>
          <w:color w:val="000000"/>
          <w:highlight w:val="none"/>
        </w:rPr>
        <w:t>通风</w:t>
      </w:r>
      <w:r>
        <w:rPr>
          <w:color w:val="000000"/>
          <w:highlight w:val="none"/>
        </w:rPr>
        <w:t>空调设备的安装位置和条件，预留足够的</w:t>
      </w:r>
      <w:r>
        <w:rPr>
          <w:rFonts w:hint="eastAsia"/>
          <w:color w:val="000000"/>
          <w:highlight w:val="none"/>
        </w:rPr>
        <w:t>通风</w:t>
      </w:r>
      <w:r>
        <w:rPr>
          <w:color w:val="000000"/>
          <w:highlight w:val="none"/>
        </w:rPr>
        <w:t>空调用电负荷。</w:t>
      </w:r>
    </w:p>
    <w:p w14:paraId="237C925F">
      <w:pPr>
        <w:rPr>
          <w:rFonts w:hint="eastAsia" w:ascii="微软雅黑" w:hAnsi="微软雅黑" w:eastAsia="微软雅黑"/>
          <w:color w:val="000000"/>
          <w:szCs w:val="21"/>
          <w:highlight w:val="none"/>
        </w:rPr>
      </w:pPr>
      <w:r>
        <w:rPr>
          <w:color w:val="000000"/>
          <w:highlight w:val="none"/>
        </w:rPr>
        <w:t>（2）对于商业配套用房和教育校舍用房等，应预留</w:t>
      </w:r>
      <w:r>
        <w:rPr>
          <w:rFonts w:hint="eastAsia"/>
          <w:color w:val="000000"/>
          <w:highlight w:val="none"/>
        </w:rPr>
        <w:t>分体</w:t>
      </w:r>
      <w:r>
        <w:rPr>
          <w:color w:val="000000"/>
          <w:highlight w:val="none"/>
        </w:rPr>
        <w:t>空调系统的安装位置和条件，预留足够的空调用电负荷。</w:t>
      </w:r>
    </w:p>
    <w:p w14:paraId="7D07FD81">
      <w:pPr>
        <w:rPr>
          <w:rFonts w:hint="eastAsia"/>
          <w:color w:val="000000"/>
          <w:highlight w:val="none"/>
        </w:rPr>
      </w:pPr>
      <w:r>
        <w:rPr>
          <w:color w:val="000000"/>
          <w:highlight w:val="none"/>
        </w:rPr>
        <w:t>（3）商业配套用房应具备良好的自然通风条件。</w:t>
      </w:r>
    </w:p>
    <w:p w14:paraId="36954A81">
      <w:pPr>
        <w:rPr>
          <w:rFonts w:hint="eastAsia" w:ascii="微软雅黑" w:hAnsi="微软雅黑" w:eastAsia="微软雅黑"/>
          <w:color w:val="000000"/>
          <w:szCs w:val="21"/>
          <w:highlight w:val="none"/>
        </w:rPr>
      </w:pPr>
      <w:r>
        <w:rPr>
          <w:color w:val="000000"/>
          <w:highlight w:val="none"/>
        </w:rPr>
        <w:t>3、公建空调系统： 应进行技术经济性分析，选择合理空调系统。</w:t>
      </w:r>
    </w:p>
    <w:p w14:paraId="18580E75">
      <w:pPr>
        <w:rPr>
          <w:rFonts w:hint="eastAsia" w:ascii="微软雅黑" w:hAnsi="微软雅黑" w:eastAsia="微软雅黑"/>
          <w:color w:val="000000"/>
          <w:szCs w:val="21"/>
          <w:highlight w:val="none"/>
        </w:rPr>
      </w:pPr>
      <w:r>
        <w:rPr>
          <w:color w:val="000000"/>
          <w:highlight w:val="none"/>
        </w:rPr>
        <w:t>3、通风系统</w:t>
      </w:r>
    </w:p>
    <w:p w14:paraId="052F5EF2">
      <w:pPr>
        <w:rPr>
          <w:rFonts w:hint="eastAsia" w:ascii="微软雅黑" w:hAnsi="微软雅黑" w:eastAsia="微软雅黑"/>
          <w:color w:val="000000"/>
          <w:szCs w:val="21"/>
          <w:highlight w:val="none"/>
        </w:rPr>
      </w:pPr>
      <w:r>
        <w:rPr>
          <w:color w:val="000000"/>
          <w:highlight w:val="none"/>
        </w:rPr>
        <w:t>地下车库应设置机械通风系统，并宜采用定时启停（台数）控制或根据空气中一氧化碳的浓度自动运行控制，通风系统宜和排烟系统合用一套管道设备。</w:t>
      </w:r>
    </w:p>
    <w:p w14:paraId="055A257C">
      <w:pPr>
        <w:rPr>
          <w:rFonts w:hint="eastAsia" w:ascii="微软雅黑" w:hAnsi="微软雅黑" w:eastAsia="微软雅黑"/>
          <w:color w:val="000000"/>
          <w:szCs w:val="21"/>
          <w:highlight w:val="none"/>
        </w:rPr>
      </w:pPr>
      <w:r>
        <w:rPr>
          <w:color w:val="000000"/>
          <w:highlight w:val="none"/>
        </w:rPr>
        <w:t>4、人防地下室通风系统</w:t>
      </w:r>
    </w:p>
    <w:p w14:paraId="6E5CC908">
      <w:pPr>
        <w:rPr>
          <w:rFonts w:hint="eastAsia" w:ascii="微软雅黑" w:hAnsi="微软雅黑" w:eastAsia="微软雅黑"/>
          <w:color w:val="000000"/>
          <w:szCs w:val="21"/>
          <w:highlight w:val="none"/>
        </w:rPr>
      </w:pPr>
      <w:r>
        <w:rPr>
          <w:color w:val="000000"/>
          <w:highlight w:val="none"/>
        </w:rPr>
        <w:t>人防地下室的战时通风系统设计应符合相关的国家人防工程设计规范，并应考虑平战结合设计。</w:t>
      </w:r>
    </w:p>
    <w:p w14:paraId="78992094">
      <w:pPr>
        <w:rPr>
          <w:rFonts w:hint="eastAsia" w:ascii="微软雅黑" w:hAnsi="微软雅黑" w:eastAsia="微软雅黑"/>
          <w:color w:val="000000"/>
          <w:szCs w:val="21"/>
          <w:highlight w:val="none"/>
        </w:rPr>
      </w:pPr>
      <w:r>
        <w:rPr>
          <w:color w:val="000000"/>
          <w:highlight w:val="none"/>
        </w:rPr>
        <w:t>5、防烟、排烟与通风空调系统防火措施满足国家相关规范要求。</w:t>
      </w:r>
    </w:p>
    <w:p w14:paraId="2583C487">
      <w:pPr>
        <w:rPr>
          <w:rFonts w:hint="eastAsia" w:ascii="微软雅黑" w:hAnsi="微软雅黑" w:eastAsia="微软雅黑"/>
          <w:color w:val="000000"/>
          <w:szCs w:val="21"/>
          <w:highlight w:val="none"/>
        </w:rPr>
      </w:pPr>
      <w:r>
        <w:rPr>
          <w:color w:val="000000"/>
          <w:highlight w:val="none"/>
        </w:rPr>
        <w:t>6、空调通风设备应选用高效节能、低噪声、质量可靠、技术先进、维护、保养方便、使用寿命长和综合性价比优的产品。</w:t>
      </w:r>
    </w:p>
    <w:p w14:paraId="4B174523">
      <w:pPr>
        <w:pStyle w:val="4"/>
        <w:rPr>
          <w:rFonts w:hint="eastAsia"/>
          <w:color w:val="000000"/>
          <w:highlight w:val="none"/>
        </w:rPr>
      </w:pPr>
      <w:r>
        <w:rPr>
          <w:color w:val="000000"/>
          <w:highlight w:val="none"/>
        </w:rPr>
        <w:t>智能化工程设计要求</w:t>
      </w:r>
    </w:p>
    <w:p w14:paraId="56C41E3D">
      <w:pPr>
        <w:rPr>
          <w:rFonts w:hint="eastAsia"/>
          <w:color w:val="000000"/>
          <w:highlight w:val="none"/>
        </w:rPr>
      </w:pPr>
      <w:r>
        <w:rPr>
          <w:color w:val="000000"/>
          <w:highlight w:val="none"/>
        </w:rPr>
        <w:t>1、应遵循安全可靠、经济合理、安装维护方便的原则。</w:t>
      </w:r>
    </w:p>
    <w:p w14:paraId="3CC8F1C9">
      <w:pPr>
        <w:rPr>
          <w:rFonts w:hint="eastAsia"/>
          <w:color w:val="000000"/>
          <w:highlight w:val="none"/>
        </w:rPr>
      </w:pPr>
      <w:r>
        <w:rPr>
          <w:color w:val="000000"/>
          <w:highlight w:val="none"/>
        </w:rPr>
        <w:t>2、设计单位按照《广东省安全技术防范管理条例》、《广东省安全技术防范管理条例实施办法》、《广东省公共安全视频图像信息系统管理办法》等规定进行安防设计和设备设施选用，若需按要求另行委托对应资质的单位进行设计的，必须报承建单位同意，且费用不另行计算。</w:t>
      </w:r>
    </w:p>
    <w:p w14:paraId="03F08DE1">
      <w:pPr>
        <w:rPr>
          <w:rFonts w:hint="eastAsia" w:ascii="微软雅黑" w:hAnsi="微软雅黑" w:eastAsia="微软雅黑"/>
          <w:color w:val="000000"/>
          <w:szCs w:val="21"/>
          <w:highlight w:val="none"/>
        </w:rPr>
      </w:pPr>
      <w:r>
        <w:rPr>
          <w:color w:val="000000"/>
          <w:highlight w:val="none"/>
        </w:rPr>
        <w:t>2、设计内容包括：有线电视系统、信息网络系统、综合布线系统、视频安防监控系统、访客对讲系统、停车场管理系统、智能卡应用系统及电梯五方对讲系统。</w:t>
      </w:r>
    </w:p>
    <w:p w14:paraId="3E7FACC2">
      <w:pPr>
        <w:rPr>
          <w:rFonts w:hint="eastAsia" w:ascii="微软雅黑" w:hAnsi="微软雅黑" w:eastAsia="微软雅黑"/>
          <w:color w:val="000000"/>
          <w:szCs w:val="21"/>
          <w:highlight w:val="none"/>
        </w:rPr>
      </w:pPr>
      <w:r>
        <w:rPr>
          <w:color w:val="000000"/>
          <w:highlight w:val="none"/>
        </w:rPr>
        <w:t>3、智能化系统管理中心（有线电视系统除外）宜与小区消防控制中心合并或紧邻设置。</w:t>
      </w:r>
    </w:p>
    <w:p w14:paraId="431354E9">
      <w:pPr>
        <w:rPr>
          <w:rFonts w:hint="eastAsia" w:ascii="微软雅黑" w:hAnsi="微软雅黑" w:eastAsia="微软雅黑"/>
          <w:color w:val="000000"/>
          <w:szCs w:val="21"/>
          <w:highlight w:val="none"/>
        </w:rPr>
      </w:pPr>
      <w:r>
        <w:rPr>
          <w:color w:val="000000"/>
          <w:highlight w:val="none"/>
        </w:rPr>
        <w:t>4、智能化系统的设计应充分考虑各专业的协调配合。</w:t>
      </w:r>
    </w:p>
    <w:p w14:paraId="57AD3E98">
      <w:pPr>
        <w:rPr>
          <w:rFonts w:hint="eastAsia" w:ascii="微软雅黑" w:hAnsi="微软雅黑" w:eastAsia="微软雅黑"/>
          <w:color w:val="000000"/>
          <w:szCs w:val="21"/>
          <w:highlight w:val="none"/>
        </w:rPr>
      </w:pPr>
      <w:r>
        <w:rPr>
          <w:color w:val="000000"/>
          <w:highlight w:val="none"/>
        </w:rPr>
        <w:t>5、各功能区域、各智能化系统应作为一个整体进行统筹优化设计，既满足各功能区域智能化系统的有机联系，又满足各系统独立管理的要求。</w:t>
      </w:r>
    </w:p>
    <w:p w14:paraId="2C471FCB">
      <w:pPr>
        <w:rPr>
          <w:rFonts w:hint="eastAsia" w:ascii="微软雅黑" w:hAnsi="微软雅黑" w:eastAsia="微软雅黑"/>
          <w:color w:val="000000"/>
          <w:szCs w:val="21"/>
          <w:highlight w:val="none"/>
        </w:rPr>
      </w:pPr>
      <w:r>
        <w:rPr>
          <w:color w:val="000000"/>
          <w:highlight w:val="none"/>
        </w:rPr>
        <w:t>6、系统设计与设备选型应采用先进成熟、稳定可靠的主流技术和主流产品，并已在国内工程得到成熟应用的技术和设备。</w:t>
      </w:r>
    </w:p>
    <w:p w14:paraId="3F9B68AB">
      <w:pPr>
        <w:rPr>
          <w:rFonts w:hint="eastAsia" w:ascii="微软雅黑" w:hAnsi="微软雅黑" w:eastAsia="微软雅黑"/>
          <w:color w:val="000000"/>
          <w:szCs w:val="21"/>
          <w:highlight w:val="none"/>
        </w:rPr>
      </w:pPr>
      <w:r>
        <w:rPr>
          <w:color w:val="000000"/>
          <w:highlight w:val="none"/>
        </w:rPr>
        <w:t>7、所有系统设备应选用标准化产品，设备选型应与技术发展的趋势相适应。遵循开放性原则，软件、硬件、通信接口、网络操作系统和数据库管理系统等应符合国际标准，使系统具备良好的兼容性和扩展性。</w:t>
      </w:r>
    </w:p>
    <w:p w14:paraId="480B2B42">
      <w:pPr>
        <w:rPr>
          <w:rFonts w:hint="eastAsia" w:ascii="微软雅黑" w:hAnsi="微软雅黑" w:eastAsia="微软雅黑"/>
          <w:color w:val="000000"/>
          <w:szCs w:val="21"/>
          <w:highlight w:val="none"/>
        </w:rPr>
      </w:pPr>
      <w:r>
        <w:rPr>
          <w:color w:val="000000"/>
          <w:highlight w:val="none"/>
        </w:rPr>
        <w:t>8、系统软件应采用中文操作界面。</w:t>
      </w:r>
    </w:p>
    <w:p w14:paraId="6F875339">
      <w:pPr>
        <w:rPr>
          <w:rFonts w:hint="eastAsia" w:ascii="微软雅黑" w:hAnsi="微软雅黑" w:eastAsia="微软雅黑"/>
          <w:color w:val="000000"/>
          <w:szCs w:val="21"/>
          <w:highlight w:val="none"/>
        </w:rPr>
      </w:pPr>
      <w:r>
        <w:rPr>
          <w:color w:val="000000"/>
          <w:highlight w:val="none"/>
        </w:rPr>
        <w:t>9、各建筑物应预埋一定数量的弱电进户管道与室外的管网相连。</w:t>
      </w:r>
    </w:p>
    <w:p w14:paraId="3590A027">
      <w:pPr>
        <w:rPr>
          <w:rFonts w:hint="eastAsia"/>
          <w:color w:val="000000"/>
          <w:highlight w:val="none"/>
        </w:rPr>
      </w:pPr>
      <w:r>
        <w:rPr>
          <w:color w:val="000000"/>
          <w:highlight w:val="none"/>
        </w:rPr>
        <w:t>10、住宅套内应设家居配线箱，并满足光纤转换器安装实际需要尺寸大小。家居配线箱应含有电源插座。</w:t>
      </w:r>
    </w:p>
    <w:p w14:paraId="085CC81F">
      <w:pPr>
        <w:pStyle w:val="4"/>
        <w:rPr>
          <w:rFonts w:hint="eastAsia"/>
          <w:color w:val="000000"/>
          <w:highlight w:val="none"/>
        </w:rPr>
      </w:pPr>
      <w:r>
        <w:rPr>
          <w:color w:val="000000"/>
          <w:highlight w:val="none"/>
        </w:rPr>
        <w:t>电梯设备设计要求</w:t>
      </w:r>
    </w:p>
    <w:p w14:paraId="6A75F978">
      <w:pPr>
        <w:rPr>
          <w:rFonts w:hint="eastAsia"/>
          <w:color w:val="000000"/>
          <w:highlight w:val="none"/>
        </w:rPr>
      </w:pPr>
      <w:r>
        <w:rPr>
          <w:color w:val="000000"/>
          <w:highlight w:val="none"/>
        </w:rPr>
        <w:t>1.本项目要根据工程方案中楼房的层高、层数和建筑面积、功能、人流状况设置电梯。</w:t>
      </w:r>
    </w:p>
    <w:p w14:paraId="4AF050E0">
      <w:pPr>
        <w:rPr>
          <w:rFonts w:hint="eastAsia"/>
          <w:color w:val="000000"/>
          <w:highlight w:val="none"/>
        </w:rPr>
      </w:pPr>
      <w:r>
        <w:rPr>
          <w:color w:val="000000"/>
          <w:highlight w:val="none"/>
        </w:rPr>
        <w:t>2.电梯的型号和厢门材料、结构、上升速度、设置数量，均应在规划设计阶段配合建筑类型和装饰标准考虑。</w:t>
      </w:r>
    </w:p>
    <w:p w14:paraId="005B8AE1">
      <w:pPr>
        <w:rPr>
          <w:rFonts w:hint="eastAsia"/>
          <w:color w:val="000000"/>
          <w:highlight w:val="none"/>
        </w:rPr>
      </w:pPr>
      <w:r>
        <w:rPr>
          <w:rFonts w:ascii="Calibri" w:hAnsi="Calibri" w:eastAsia="Calibri"/>
          <w:color w:val="000000"/>
          <w:highlight w:val="none"/>
        </w:rPr>
        <w:t>3.</w:t>
      </w:r>
      <w:r>
        <w:rPr>
          <w:color w:val="000000"/>
          <w:highlight w:val="none"/>
        </w:rPr>
        <w:t>结构井道预留需满足多数品牌电梯安装要求。</w:t>
      </w:r>
    </w:p>
    <w:p w14:paraId="52EB839F">
      <w:pPr>
        <w:pStyle w:val="5"/>
        <w:rPr>
          <w:rFonts w:hint="eastAsia"/>
          <w:color w:val="000000"/>
          <w:highlight w:val="none"/>
        </w:rPr>
      </w:pPr>
      <w:r>
        <w:rPr>
          <w:color w:val="000000"/>
          <w:highlight w:val="none"/>
        </w:rPr>
        <w:t>排水工程</w:t>
      </w:r>
    </w:p>
    <w:p w14:paraId="30255935">
      <w:pPr>
        <w:rPr>
          <w:rFonts w:hint="eastAsia"/>
          <w:color w:val="000000"/>
          <w:highlight w:val="none"/>
        </w:rPr>
      </w:pPr>
      <w:r>
        <w:rPr>
          <w:rFonts w:hint="eastAsia"/>
          <w:color w:val="000000"/>
          <w:highlight w:val="none"/>
        </w:rPr>
        <w:t>给水工程设计应以批准的城镇总体规划和给排水专业规划为主要依据，按远期规划、近远期结合、以近期为主的原则进行设计，设计使用年限宜为 50 年，并满足城市给水、生活饮用水相关规范标准。</w:t>
      </w:r>
    </w:p>
    <w:p w14:paraId="23DC2471">
      <w:pPr>
        <w:rPr>
          <w:rFonts w:hint="eastAsia"/>
          <w:color w:val="000000"/>
          <w:highlight w:val="none"/>
        </w:rPr>
      </w:pPr>
      <w:r>
        <w:rPr>
          <w:rFonts w:hint="eastAsia"/>
          <w:color w:val="000000"/>
          <w:highlight w:val="none"/>
        </w:rPr>
        <w:t>排水工程应根据城市规划、现状情况、道路坡向等进行设计，采用雨污分流制，雨水管材采用机制钢筋混凝土管，污水管材采用球墨铸铁管，过河管或者过桥管道采用钢管，雨污水检查井采用预制混凝土井，相关设计需满足排水工程相关规范标准。</w:t>
      </w:r>
    </w:p>
    <w:p w14:paraId="4F6EC2E4">
      <w:pPr>
        <w:pStyle w:val="5"/>
        <w:rPr>
          <w:rFonts w:hint="eastAsia"/>
          <w:color w:val="000000"/>
          <w:highlight w:val="none"/>
        </w:rPr>
      </w:pPr>
      <w:r>
        <w:rPr>
          <w:color w:val="000000"/>
          <w:highlight w:val="none"/>
        </w:rPr>
        <w:t>照明工程</w:t>
      </w:r>
    </w:p>
    <w:p w14:paraId="67377560">
      <w:pPr>
        <w:rPr>
          <w:rFonts w:hint="eastAsia"/>
          <w:color w:val="000000"/>
          <w:highlight w:val="none"/>
        </w:rPr>
      </w:pPr>
      <w:r>
        <w:rPr>
          <w:rFonts w:hint="eastAsia"/>
          <w:color w:val="000000"/>
          <w:highlight w:val="none"/>
        </w:rPr>
        <w:t>照明设计应根据国家规范《城市道路照明设计标准》 （CJJ45-2015），结合道路和场所的特点及照明要求，应充分考虑道路的使用性能、通行能力、通行速度，以及路面使用材料的反射特性等方面的因素，选择常规合适的照明方式。</w:t>
      </w:r>
    </w:p>
    <w:p w14:paraId="559EC7D4">
      <w:pPr>
        <w:rPr>
          <w:rFonts w:hint="eastAsia"/>
          <w:color w:val="000000"/>
          <w:highlight w:val="none"/>
        </w:rPr>
      </w:pPr>
      <w:r>
        <w:rPr>
          <w:rFonts w:hint="eastAsia"/>
          <w:color w:val="000000"/>
          <w:highlight w:val="none"/>
        </w:rPr>
        <w:t>为方便管理，道路照明灯具采用LED灯，路灯高度建议采用 8m、10m、12m（路口灯不超过 15m），大型道路交叉口可采用投光灯照明形式。</w:t>
      </w:r>
    </w:p>
    <w:p w14:paraId="4764F5B1">
      <w:pPr>
        <w:pStyle w:val="5"/>
        <w:rPr>
          <w:rFonts w:hint="eastAsia"/>
          <w:color w:val="000000"/>
          <w:highlight w:val="none"/>
        </w:rPr>
      </w:pPr>
      <w:r>
        <w:rPr>
          <w:color w:val="000000"/>
          <w:highlight w:val="none"/>
        </w:rPr>
        <w:t>电力</w:t>
      </w:r>
      <w:r>
        <w:rPr>
          <w:rFonts w:hint="eastAsia"/>
          <w:color w:val="000000"/>
          <w:highlight w:val="none"/>
        </w:rPr>
        <w:t>、通信</w:t>
      </w:r>
      <w:r>
        <w:rPr>
          <w:color w:val="000000"/>
          <w:highlight w:val="none"/>
        </w:rPr>
        <w:t>工程</w:t>
      </w:r>
    </w:p>
    <w:p w14:paraId="073273CD">
      <w:pPr>
        <w:rPr>
          <w:rFonts w:hint="eastAsia"/>
          <w:color w:val="000000"/>
          <w:highlight w:val="none"/>
        </w:rPr>
      </w:pPr>
      <w:r>
        <w:rPr>
          <w:color w:val="000000"/>
          <w:highlight w:val="none"/>
        </w:rPr>
        <w:t>本项目缆线管廊包含电力管沟及通信</w:t>
      </w:r>
      <w:r>
        <w:rPr>
          <w:rFonts w:hint="eastAsia"/>
          <w:color w:val="000000"/>
          <w:highlight w:val="none"/>
        </w:rPr>
        <w:t>排管</w:t>
      </w:r>
      <w:r>
        <w:rPr>
          <w:color w:val="000000"/>
          <w:highlight w:val="none"/>
        </w:rPr>
        <w:t>，于道路人行道下全线</w:t>
      </w:r>
      <w:r>
        <w:rPr>
          <w:rFonts w:hint="eastAsia"/>
          <w:color w:val="000000"/>
          <w:highlight w:val="none"/>
        </w:rPr>
        <w:t>敷设电力管沟及通信排管，</w:t>
      </w:r>
      <w:r>
        <w:rPr>
          <w:color w:val="000000"/>
          <w:highlight w:val="none"/>
        </w:rPr>
        <w:t>设计仅包括土建及支架部分。</w:t>
      </w:r>
    </w:p>
    <w:p w14:paraId="3591338C">
      <w:pPr>
        <w:rPr>
          <w:rFonts w:hint="eastAsia"/>
          <w:color w:val="000000"/>
          <w:highlight w:val="none"/>
        </w:rPr>
      </w:pPr>
      <w:r>
        <w:rPr>
          <w:color w:val="000000"/>
          <w:highlight w:val="none"/>
        </w:rPr>
        <w:t>缆线管廊应根据电力通信专项规划、道路等级及实际需求等制定建设规模，按照《广州市缆线管廊工程技术指引》进行设计，并满足电力及通信相关规范标准。</w:t>
      </w:r>
    </w:p>
    <w:p w14:paraId="1E7364EB">
      <w:pPr>
        <w:pStyle w:val="4"/>
        <w:rPr>
          <w:rFonts w:hint="eastAsia"/>
          <w:color w:val="000000"/>
          <w:highlight w:val="none"/>
        </w:rPr>
      </w:pPr>
      <w:r>
        <w:rPr>
          <w:color w:val="000000"/>
          <w:highlight w:val="none"/>
        </w:rPr>
        <w:t>造价工作要求</w:t>
      </w:r>
    </w:p>
    <w:p w14:paraId="4BF343CB">
      <w:pPr>
        <w:pStyle w:val="5"/>
        <w:rPr>
          <w:rFonts w:hint="eastAsia"/>
          <w:color w:val="000000"/>
          <w:highlight w:val="none"/>
        </w:rPr>
      </w:pPr>
      <w:r>
        <w:rPr>
          <w:rFonts w:hint="eastAsia"/>
          <w:color w:val="000000"/>
          <w:highlight w:val="none"/>
        </w:rPr>
        <w:t>造价文件编制及报审工作</w:t>
      </w:r>
    </w:p>
    <w:p w14:paraId="4E7C93F8">
      <w:pPr>
        <w:rPr>
          <w:rFonts w:hint="eastAsia"/>
          <w:color w:val="000000"/>
          <w:highlight w:val="none"/>
        </w:rPr>
      </w:pPr>
      <w:r>
        <w:rPr>
          <w:color w:val="000000"/>
          <w:highlight w:val="none"/>
        </w:rPr>
        <w:t>1.编制合同设计范围内方案估算（按分布分项进行限额控制）、初步设计概算；</w:t>
      </w:r>
    </w:p>
    <w:p w14:paraId="1C45670A">
      <w:pPr>
        <w:rPr>
          <w:rFonts w:hint="eastAsia"/>
          <w:color w:val="000000"/>
          <w:highlight w:val="none"/>
        </w:rPr>
      </w:pPr>
      <w:r>
        <w:rPr>
          <w:color w:val="000000"/>
          <w:highlight w:val="none"/>
        </w:rPr>
        <w:t>2.负责配合初步设计概算送报审工作；</w:t>
      </w:r>
    </w:p>
    <w:p w14:paraId="2D8EAB39">
      <w:pPr>
        <w:rPr>
          <w:rFonts w:hint="eastAsia"/>
          <w:color w:val="000000"/>
          <w:highlight w:val="none"/>
        </w:rPr>
      </w:pPr>
      <w:r>
        <w:rPr>
          <w:color w:val="000000"/>
          <w:highlight w:val="none"/>
        </w:rPr>
        <w:t>3.各设计阶段进行各类方案比选时编制造价分析材料，给出造价分析结论。</w:t>
      </w:r>
    </w:p>
    <w:p w14:paraId="554B7336">
      <w:pPr>
        <w:pStyle w:val="5"/>
        <w:rPr>
          <w:rFonts w:hint="eastAsia"/>
          <w:color w:val="000000"/>
          <w:highlight w:val="none"/>
        </w:rPr>
      </w:pPr>
      <w:r>
        <w:rPr>
          <w:rFonts w:hint="eastAsia"/>
          <w:color w:val="000000"/>
          <w:highlight w:val="none"/>
        </w:rPr>
        <w:t>造价控制要求及工作要求</w:t>
      </w:r>
    </w:p>
    <w:p w14:paraId="4A8FBFB9">
      <w:pPr>
        <w:rPr>
          <w:rFonts w:hint="eastAsia"/>
          <w:color w:val="000000"/>
          <w:highlight w:val="none"/>
        </w:rPr>
      </w:pPr>
      <w:r>
        <w:rPr>
          <w:color w:val="000000"/>
          <w:highlight w:val="none"/>
        </w:rPr>
        <w:t>乙方除按合同要求做好工程投资控制外，</w:t>
      </w:r>
      <w:r>
        <w:rPr>
          <w:rFonts w:hint="eastAsia"/>
          <w:color w:val="000000"/>
          <w:highlight w:val="none"/>
        </w:rPr>
        <w:t>概算成果资料需按《广州市财政局关于印发广州市本级政府投资建设项概算评审工作指引的通知》（穗财建〔2024〕46 号）要求进行编制，同时</w:t>
      </w:r>
      <w:r>
        <w:rPr>
          <w:color w:val="000000"/>
          <w:highlight w:val="none"/>
        </w:rPr>
        <w:t>还要做到以下要求：</w:t>
      </w:r>
    </w:p>
    <w:p w14:paraId="07BB05A3">
      <w:pPr>
        <w:rPr>
          <w:rFonts w:hint="eastAsia"/>
          <w:color w:val="000000"/>
          <w:highlight w:val="none"/>
        </w:rPr>
      </w:pPr>
      <w:r>
        <w:rPr>
          <w:color w:val="000000"/>
          <w:highlight w:val="none"/>
        </w:rPr>
        <w:t>1．各阶段的造价文件编制需满足对应阶段造价文件深度要求。</w:t>
      </w:r>
    </w:p>
    <w:p w14:paraId="2CD3E122">
      <w:pPr>
        <w:rPr>
          <w:rFonts w:hint="eastAsia"/>
          <w:color w:val="000000"/>
          <w:highlight w:val="none"/>
        </w:rPr>
      </w:pPr>
      <w:r>
        <w:rPr>
          <w:color w:val="000000"/>
          <w:highlight w:val="none"/>
        </w:rPr>
        <w:t>2.乙方须根据甲方的相关规定和要求进行工程设计概算的编制，概算文件中的开项必须齐全完整，造价指标必须准确，须满足工程投资控制的要求。乙方编制的工程概算须同时满足甲方信息化管理的相关要求。</w:t>
      </w:r>
    </w:p>
    <w:p w14:paraId="5770A18D">
      <w:pPr>
        <w:pStyle w:val="4"/>
        <w:rPr>
          <w:rFonts w:hint="eastAsia"/>
          <w:highlight w:val="none"/>
        </w:rPr>
      </w:pPr>
      <w:r>
        <w:rPr>
          <w:rFonts w:hint="eastAsia"/>
          <w:color w:val="000000"/>
          <w:highlight w:val="none"/>
        </w:rPr>
        <w:t>BIM设计</w:t>
      </w:r>
      <w:r>
        <w:rPr>
          <w:color w:val="000000"/>
          <w:highlight w:val="none"/>
        </w:rPr>
        <w:t>要求</w:t>
      </w:r>
    </w:p>
    <w:p w14:paraId="16F29403">
      <w:pPr>
        <w:pStyle w:val="5"/>
        <w:rPr>
          <w:rFonts w:hint="eastAsia"/>
          <w:color w:val="000000"/>
          <w:highlight w:val="none"/>
        </w:rPr>
      </w:pPr>
      <w:r>
        <w:rPr>
          <w:rFonts w:hint="eastAsia"/>
          <w:color w:val="000000"/>
          <w:highlight w:val="none"/>
        </w:rPr>
        <w:t>总体要求</w:t>
      </w:r>
    </w:p>
    <w:p w14:paraId="7324FF3E">
      <w:pPr>
        <w:numPr>
          <w:ilvl w:val="0"/>
          <w:numId w:val="8"/>
        </w:numPr>
        <w:rPr>
          <w:rFonts w:hint="eastAsia"/>
          <w:color w:val="000000"/>
          <w:highlight w:val="none"/>
        </w:rPr>
      </w:pPr>
      <w:r>
        <w:rPr>
          <w:rFonts w:hint="eastAsia"/>
          <w:color w:val="000000"/>
          <w:highlight w:val="none"/>
        </w:rPr>
        <w:t>将BIM技术与工程实际紧密结合，实现BIM技术落地应用，体现BIM技术在项目全生命周期中的应用价值。</w:t>
      </w:r>
    </w:p>
    <w:p w14:paraId="6D60EAA7">
      <w:pPr>
        <w:numPr>
          <w:ilvl w:val="0"/>
          <w:numId w:val="8"/>
        </w:numPr>
        <w:rPr>
          <w:rFonts w:hint="eastAsia"/>
          <w:color w:val="000000"/>
          <w:highlight w:val="none"/>
        </w:rPr>
      </w:pPr>
      <w:r>
        <w:rPr>
          <w:rFonts w:hint="eastAsia"/>
          <w:color w:val="000000"/>
          <w:highlight w:val="none"/>
        </w:rPr>
        <w:t>采用BIM正向设计完成设计工作。</w:t>
      </w:r>
    </w:p>
    <w:p w14:paraId="3A16EFB2">
      <w:pPr>
        <w:numPr>
          <w:ilvl w:val="0"/>
          <w:numId w:val="8"/>
        </w:numPr>
        <w:rPr>
          <w:rFonts w:hint="eastAsia"/>
          <w:color w:val="000000"/>
          <w:highlight w:val="none"/>
        </w:rPr>
      </w:pPr>
      <w:r>
        <w:rPr>
          <w:rFonts w:hint="eastAsia"/>
          <w:color w:val="000000"/>
          <w:highlight w:val="none"/>
        </w:rPr>
        <w:t>开展针对该项目的BIM实施管理，统一信息传递标准，形成标准化模式，基于统一管理平台实现项目信息的集成管理，保证各参与单位有计划的按照统一标准实现信息共享和工作协同。</w:t>
      </w:r>
    </w:p>
    <w:p w14:paraId="1CF65037">
      <w:pPr>
        <w:pStyle w:val="5"/>
        <w:rPr>
          <w:rFonts w:hint="eastAsia"/>
          <w:color w:val="000000"/>
          <w:highlight w:val="none"/>
        </w:rPr>
      </w:pPr>
      <w:r>
        <w:rPr>
          <w:rFonts w:hint="eastAsia"/>
          <w:color w:val="000000"/>
          <w:highlight w:val="none"/>
        </w:rPr>
        <w:t>BIM应用要求</w:t>
      </w:r>
    </w:p>
    <w:p w14:paraId="30700B93">
      <w:pPr>
        <w:numPr>
          <w:ilvl w:val="0"/>
          <w:numId w:val="9"/>
        </w:numPr>
        <w:rPr>
          <w:rFonts w:hint="eastAsia"/>
          <w:color w:val="000000"/>
          <w:highlight w:val="none"/>
        </w:rPr>
      </w:pPr>
      <w:r>
        <w:rPr>
          <w:rFonts w:hint="eastAsia"/>
          <w:color w:val="000000"/>
          <w:highlight w:val="none"/>
        </w:rPr>
        <w:t>应采用BIM正向设计模式创建施工图设计阶段BIM模型，模型应满足《建筑信息模型设计交付标准》（GB/T 51301-2018）、《广东省建筑信息模型应用统一标准》（DBJ／T15-142-2018）、《城市信息模型（CIM）平台施工图审查数据规范》（DB4401/T131-2021）、《城市信息模型（CIM）平台施工图审查技术规范》（DB4401/T130-2021）、《城市信息模型(CIM)平台 施工图审查模型交付规范》（DB4401/T228-2023）等相关国家、地方BIM标准要求。</w:t>
      </w:r>
    </w:p>
    <w:p w14:paraId="5578C5B7">
      <w:pPr>
        <w:numPr>
          <w:ilvl w:val="0"/>
          <w:numId w:val="9"/>
        </w:numPr>
        <w:rPr>
          <w:rFonts w:hint="eastAsia"/>
          <w:color w:val="000000"/>
          <w:highlight w:val="none"/>
        </w:rPr>
      </w:pPr>
      <w:r>
        <w:rPr>
          <w:rFonts w:hint="eastAsia"/>
          <w:color w:val="000000"/>
          <w:highlight w:val="none"/>
        </w:rPr>
        <w:t>应用BIM技术进行多专业综合协同设计。</w:t>
      </w:r>
    </w:p>
    <w:p w14:paraId="1545E9FB">
      <w:pPr>
        <w:numPr>
          <w:ilvl w:val="0"/>
          <w:numId w:val="9"/>
        </w:numPr>
        <w:rPr>
          <w:rFonts w:hint="eastAsia"/>
          <w:color w:val="000000"/>
          <w:highlight w:val="none"/>
        </w:rPr>
      </w:pPr>
      <w:r>
        <w:rPr>
          <w:rFonts w:hint="eastAsia"/>
          <w:color w:val="000000"/>
          <w:highlight w:val="none"/>
        </w:rPr>
        <w:t>应用BIM技术进行碰撞检查及机电管线综合设计。</w:t>
      </w:r>
    </w:p>
    <w:p w14:paraId="362DF642">
      <w:pPr>
        <w:numPr>
          <w:ilvl w:val="0"/>
          <w:numId w:val="9"/>
        </w:numPr>
        <w:rPr>
          <w:rFonts w:hint="eastAsia"/>
          <w:color w:val="000000"/>
          <w:highlight w:val="none"/>
        </w:rPr>
      </w:pPr>
      <w:r>
        <w:rPr>
          <w:rFonts w:hint="eastAsia"/>
          <w:color w:val="000000"/>
          <w:highlight w:val="none"/>
        </w:rPr>
        <w:t>基于BIM技术进行净空净高分析，并形成相应的分析报告。</w:t>
      </w:r>
    </w:p>
    <w:p w14:paraId="1C4D2509">
      <w:pPr>
        <w:numPr>
          <w:ilvl w:val="0"/>
          <w:numId w:val="9"/>
        </w:numPr>
        <w:rPr>
          <w:rFonts w:hint="eastAsia"/>
          <w:color w:val="000000"/>
          <w:highlight w:val="none"/>
        </w:rPr>
      </w:pPr>
      <w:r>
        <w:rPr>
          <w:rFonts w:hint="eastAsia"/>
          <w:color w:val="000000"/>
          <w:highlight w:val="none"/>
        </w:rPr>
        <w:t>根据项目需求，应用BIM技术开展仿真漫游模拟及视频动画制作。</w:t>
      </w:r>
    </w:p>
    <w:p w14:paraId="569282B1">
      <w:pPr>
        <w:numPr>
          <w:ilvl w:val="0"/>
          <w:numId w:val="9"/>
        </w:numPr>
        <w:rPr>
          <w:rFonts w:hint="eastAsia"/>
          <w:color w:val="000000"/>
          <w:highlight w:val="none"/>
        </w:rPr>
      </w:pPr>
      <w:r>
        <w:rPr>
          <w:rFonts w:hint="eastAsia"/>
          <w:color w:val="000000"/>
          <w:highlight w:val="none"/>
        </w:rPr>
        <w:t>基于BIM正向设计提交的施工图设计阶段BIM应用成果，均应保证图纸与模型的一致性。</w:t>
      </w:r>
    </w:p>
    <w:p w14:paraId="4DAC9186">
      <w:pPr>
        <w:numPr>
          <w:ilvl w:val="0"/>
          <w:numId w:val="9"/>
        </w:numPr>
        <w:rPr>
          <w:rFonts w:hint="eastAsia"/>
          <w:color w:val="000000"/>
          <w:highlight w:val="none"/>
        </w:rPr>
      </w:pPr>
      <w:r>
        <w:rPr>
          <w:rFonts w:hint="eastAsia"/>
          <w:color w:val="000000"/>
          <w:highlight w:val="none"/>
        </w:rPr>
        <w:t>为保证施工图设计阶段BIM应用成果在施工阶段的延续性，在施工前对项目各参与方进行技术交底。</w:t>
      </w:r>
    </w:p>
    <w:p w14:paraId="7057979F">
      <w:pPr>
        <w:rPr>
          <w:rFonts w:hint="eastAsia"/>
          <w:color w:val="000000"/>
          <w:highlight w:val="none"/>
        </w:rPr>
      </w:pPr>
    </w:p>
    <w:p w14:paraId="6B6095B6">
      <w:pPr>
        <w:rPr>
          <w:rFonts w:hint="eastAsia"/>
          <w:color w:val="000000"/>
          <w:highlight w:val="none"/>
        </w:rPr>
      </w:pPr>
    </w:p>
    <w:p w14:paraId="735C5722">
      <w:pPr>
        <w:pStyle w:val="2"/>
        <w:rPr>
          <w:rFonts w:hint="eastAsia"/>
          <w:color w:val="000000"/>
          <w:highlight w:val="none"/>
        </w:rPr>
      </w:pPr>
      <w:bookmarkStart w:id="21" w:name="_Toc185352740"/>
      <w:r>
        <w:rPr>
          <w:color w:val="000000"/>
          <w:highlight w:val="none"/>
        </w:rPr>
        <w:t>设计人员组织管理要求</w:t>
      </w:r>
      <w:bookmarkEnd w:id="21"/>
    </w:p>
    <w:p w14:paraId="3887A279">
      <w:pPr>
        <w:pStyle w:val="3"/>
        <w:rPr>
          <w:rFonts w:hint="eastAsia"/>
          <w:color w:val="000000"/>
          <w:highlight w:val="none"/>
        </w:rPr>
      </w:pPr>
      <w:bookmarkStart w:id="22" w:name="_Toc185352741"/>
      <w:r>
        <w:rPr>
          <w:color w:val="000000"/>
          <w:highlight w:val="none"/>
        </w:rPr>
        <w:t>设计人员组织管理</w:t>
      </w:r>
      <w:bookmarkEnd w:id="22"/>
    </w:p>
    <w:p w14:paraId="4670BDD2">
      <w:pPr>
        <w:rPr>
          <w:rFonts w:hint="eastAsia"/>
          <w:color w:val="000000"/>
          <w:highlight w:val="none"/>
        </w:rPr>
      </w:pPr>
      <w:r>
        <w:rPr>
          <w:color w:val="000000"/>
          <w:highlight w:val="none"/>
        </w:rPr>
        <w:t>1、为便于甲方与乙方及时沟通及协调，以保证乙方的设计成果文件能更好地体现甲方的建设意图，乙方应根据甲方的要求，分阶段在指定的地点投入本合同约定的专业人员、设备及设施，实施本合同工程的设计工作。</w:t>
      </w:r>
    </w:p>
    <w:p w14:paraId="6E2EEE2A">
      <w:pPr>
        <w:rPr>
          <w:rFonts w:hint="eastAsia"/>
          <w:color w:val="000000"/>
          <w:highlight w:val="none"/>
        </w:rPr>
      </w:pPr>
      <w:bookmarkStart w:id="23" w:name="_Hlk75250235"/>
      <w:r>
        <w:rPr>
          <w:color w:val="000000"/>
          <w:highlight w:val="none"/>
        </w:rPr>
        <w:t>乙方应根据项目设计任务及工期要求建立项目组</w:t>
      </w:r>
      <w:r>
        <w:rPr>
          <w:rFonts w:hint="eastAsia"/>
          <w:color w:val="000000"/>
          <w:highlight w:val="none"/>
        </w:rPr>
        <w:t>，具体见合同约定</w:t>
      </w:r>
      <w:r>
        <w:rPr>
          <w:color w:val="000000"/>
          <w:highlight w:val="none"/>
        </w:rPr>
        <w:t>。</w:t>
      </w:r>
    </w:p>
    <w:bookmarkEnd w:id="23"/>
    <w:p w14:paraId="1973A909">
      <w:pPr>
        <w:rPr>
          <w:rFonts w:hint="eastAsia"/>
          <w:color w:val="000000"/>
          <w:highlight w:val="none"/>
        </w:rPr>
      </w:pPr>
      <w:r>
        <w:rPr>
          <w:color w:val="000000"/>
          <w:highlight w:val="none"/>
        </w:rPr>
        <w:t>2、在设计高峰或项目承建单位认为有必要时，设计方必须集中力量确保设计进度。</w:t>
      </w:r>
    </w:p>
    <w:p w14:paraId="052887C7">
      <w:pPr>
        <w:rPr>
          <w:rFonts w:hint="eastAsia"/>
          <w:color w:val="000000"/>
          <w:highlight w:val="none"/>
        </w:rPr>
      </w:pPr>
      <w:r>
        <w:rPr>
          <w:color w:val="000000"/>
          <w:highlight w:val="none"/>
        </w:rPr>
        <w:t>3、设计单位在明确分工各负其责的基础上，按照招标文件所列要求承诺为本项目合同约定项目指定的设计总负责人、各专业设计负责人、各专业设计人、报建协调人，并向建设管理单位出具相应的授权文件。</w:t>
      </w:r>
    </w:p>
    <w:p w14:paraId="7EED9809">
      <w:pPr>
        <w:rPr>
          <w:rFonts w:hint="eastAsia"/>
          <w:color w:val="000000"/>
          <w:highlight w:val="none"/>
        </w:rPr>
      </w:pPr>
      <w:r>
        <w:rPr>
          <w:color w:val="000000"/>
          <w:highlight w:val="none"/>
        </w:rPr>
        <w:t>4、项目设计总负责人，各专业设计负责人应能够胜任所承担任务的设计、组织、计划、协调工作。</w:t>
      </w:r>
    </w:p>
    <w:p w14:paraId="7BEE7AB1">
      <w:pPr>
        <w:rPr>
          <w:rFonts w:hint="eastAsia"/>
          <w:color w:val="000000"/>
          <w:highlight w:val="none"/>
        </w:rPr>
      </w:pPr>
      <w:r>
        <w:rPr>
          <w:color w:val="000000"/>
          <w:highlight w:val="none"/>
        </w:rPr>
        <w:t>5、须报送项目设计总负责人、各专业设计负责人、其他参与设计工作的人员姓名、年龄、学历、专业、职称、职务、相关经历和主要技术成果以及在本合同约定项目中负责的设计任务等资料。</w:t>
      </w:r>
    </w:p>
    <w:p w14:paraId="06E5C806">
      <w:pPr>
        <w:ind w:firstLine="569"/>
        <w:rPr>
          <w:rFonts w:hint="eastAsia"/>
          <w:b/>
          <w:bCs/>
          <w:color w:val="000000"/>
          <w:highlight w:val="none"/>
        </w:rPr>
      </w:pPr>
      <w:r>
        <w:rPr>
          <w:b/>
          <w:bCs/>
          <w:color w:val="000000"/>
          <w:highlight w:val="none"/>
        </w:rPr>
        <w:br w:type="page"/>
      </w:r>
    </w:p>
    <w:p w14:paraId="38373B10">
      <w:pPr>
        <w:ind w:firstLine="569"/>
        <w:rPr>
          <w:rFonts w:hint="eastAsia"/>
          <w:b/>
          <w:bCs/>
          <w:color w:val="000000"/>
          <w:highlight w:val="none"/>
        </w:rPr>
      </w:pPr>
    </w:p>
    <w:p w14:paraId="39E1A716">
      <w:pPr>
        <w:pStyle w:val="2"/>
        <w:rPr>
          <w:rFonts w:hint="eastAsia"/>
          <w:color w:val="000000"/>
          <w:highlight w:val="none"/>
        </w:rPr>
      </w:pPr>
      <w:bookmarkStart w:id="24" w:name="_Toc185352742"/>
      <w:r>
        <w:rPr>
          <w:color w:val="000000"/>
          <w:highlight w:val="none"/>
        </w:rPr>
        <w:t>设计成果提交要求</w:t>
      </w:r>
      <w:bookmarkEnd w:id="24"/>
    </w:p>
    <w:p w14:paraId="20D3BB67">
      <w:pPr>
        <w:pStyle w:val="3"/>
        <w:rPr>
          <w:rFonts w:hint="eastAsia"/>
          <w:color w:val="000000"/>
          <w:highlight w:val="none"/>
        </w:rPr>
      </w:pPr>
      <w:bookmarkStart w:id="25" w:name="_Toc185352743"/>
      <w:r>
        <w:rPr>
          <w:color w:val="000000"/>
          <w:highlight w:val="none"/>
        </w:rPr>
        <w:t>通用要求</w:t>
      </w:r>
      <w:bookmarkEnd w:id="25"/>
    </w:p>
    <w:p w14:paraId="75C93209">
      <w:pPr>
        <w:rPr>
          <w:rFonts w:hint="eastAsia"/>
          <w:color w:val="000000"/>
          <w:highlight w:val="none"/>
        </w:rPr>
      </w:pPr>
      <w:r>
        <w:rPr>
          <w:color w:val="000000"/>
          <w:highlight w:val="none"/>
        </w:rPr>
        <w:t>一、设计成果文件要求齐全、完整，内容、深度应符合规定，文字说明、图纸要准确清晰,各阶段设计应达到中华人民共和国建设部颁发的《建筑工程设计文件编制深度规定》设计阶段深度。</w:t>
      </w:r>
    </w:p>
    <w:p w14:paraId="42917862">
      <w:pPr>
        <w:rPr>
          <w:rFonts w:hint="eastAsia"/>
          <w:color w:val="000000"/>
          <w:highlight w:val="none"/>
        </w:rPr>
      </w:pPr>
      <w:r>
        <w:rPr>
          <w:color w:val="000000"/>
          <w:highlight w:val="none"/>
        </w:rPr>
        <w:t>二、凡是涉及到报批报建图纸文件，均需要按专业主管部门的报审要求，按时报送，并负责通过审批。</w:t>
      </w:r>
    </w:p>
    <w:p w14:paraId="61C41DD8">
      <w:pPr>
        <w:pStyle w:val="3"/>
        <w:rPr>
          <w:rFonts w:hint="eastAsia"/>
          <w:color w:val="000000"/>
          <w:highlight w:val="none"/>
        </w:rPr>
      </w:pPr>
      <w:bookmarkStart w:id="26" w:name="_Toc74837374"/>
      <w:bookmarkStart w:id="27" w:name="_Toc185352744"/>
      <w:r>
        <w:rPr>
          <w:color w:val="000000"/>
          <w:highlight w:val="none"/>
        </w:rPr>
        <w:t>设计成果要求</w:t>
      </w:r>
      <w:bookmarkEnd w:id="26"/>
      <w:bookmarkEnd w:id="27"/>
    </w:p>
    <w:p w14:paraId="3BB9C3EE">
      <w:pPr>
        <w:pStyle w:val="6"/>
        <w:numPr>
          <w:ilvl w:val="0"/>
          <w:numId w:val="10"/>
        </w:numPr>
        <w:ind w:firstLineChars="0"/>
        <w:rPr>
          <w:rFonts w:hint="eastAsia"/>
          <w:color w:val="000000"/>
          <w:highlight w:val="none"/>
        </w:rPr>
      </w:pPr>
      <w:r>
        <w:rPr>
          <w:color w:val="000000"/>
          <w:highlight w:val="none"/>
        </w:rPr>
        <w:t>设计</w:t>
      </w:r>
      <w:r>
        <w:rPr>
          <w:rFonts w:hint="eastAsia"/>
          <w:color w:val="000000"/>
          <w:highlight w:val="none"/>
        </w:rPr>
        <w:t>文件</w:t>
      </w:r>
      <w:r>
        <w:rPr>
          <w:color w:val="000000"/>
          <w:highlight w:val="none"/>
        </w:rPr>
        <w:t>要求（设计图纸包括且不限于以下内容）：</w:t>
      </w:r>
    </w:p>
    <w:p w14:paraId="609E60D8">
      <w:pPr>
        <w:rPr>
          <w:rFonts w:hint="eastAsia"/>
          <w:highlight w:val="none"/>
        </w:rPr>
      </w:pPr>
      <w:bookmarkStart w:id="28" w:name="_Hlk75250406"/>
      <w:r>
        <w:rPr>
          <w:highlight w:val="none"/>
        </w:rPr>
        <w:t>（1）方案设计</w:t>
      </w:r>
      <w:bookmarkStart w:id="29" w:name="_Hlk75250413"/>
      <w:r>
        <w:rPr>
          <w:rFonts w:hint="eastAsia"/>
          <w:highlight w:val="none"/>
        </w:rPr>
        <w:t>阶段</w:t>
      </w:r>
      <w:bookmarkEnd w:id="29"/>
    </w:p>
    <w:bookmarkEnd w:id="28"/>
    <w:p w14:paraId="36F62113">
      <w:pPr>
        <w:pStyle w:val="6"/>
        <w:numPr>
          <w:ilvl w:val="0"/>
          <w:numId w:val="11"/>
        </w:numPr>
        <w:ind w:firstLineChars="0"/>
        <w:rPr>
          <w:rFonts w:hint="eastAsia"/>
          <w:highlight w:val="none"/>
        </w:rPr>
      </w:pPr>
      <w:r>
        <w:rPr>
          <w:highlight w:val="none"/>
        </w:rPr>
        <w:t>基地区位图</w:t>
      </w:r>
    </w:p>
    <w:p w14:paraId="1B5FB13E">
      <w:pPr>
        <w:pStyle w:val="6"/>
        <w:numPr>
          <w:ilvl w:val="0"/>
          <w:numId w:val="11"/>
        </w:numPr>
        <w:ind w:firstLineChars="0"/>
        <w:rPr>
          <w:rFonts w:hint="eastAsia"/>
          <w:highlight w:val="none"/>
        </w:rPr>
      </w:pPr>
      <w:r>
        <w:rPr>
          <w:highlight w:val="none"/>
        </w:rPr>
        <w:t>基地现状图</w:t>
      </w:r>
    </w:p>
    <w:p w14:paraId="411F5B1C">
      <w:pPr>
        <w:pStyle w:val="6"/>
        <w:numPr>
          <w:ilvl w:val="0"/>
          <w:numId w:val="11"/>
        </w:numPr>
        <w:ind w:firstLineChars="0"/>
        <w:rPr>
          <w:rFonts w:hint="eastAsia"/>
          <w:highlight w:val="none"/>
        </w:rPr>
      </w:pPr>
      <w:r>
        <w:rPr>
          <w:highlight w:val="none"/>
        </w:rPr>
        <w:t>与周边环境及空间关系分析图</w:t>
      </w:r>
    </w:p>
    <w:p w14:paraId="6AF714DD">
      <w:pPr>
        <w:pStyle w:val="6"/>
        <w:numPr>
          <w:ilvl w:val="0"/>
          <w:numId w:val="11"/>
        </w:numPr>
        <w:ind w:firstLineChars="0"/>
        <w:rPr>
          <w:rFonts w:hint="eastAsia"/>
          <w:highlight w:val="none"/>
        </w:rPr>
      </w:pPr>
      <w:r>
        <w:rPr>
          <w:highlight w:val="none"/>
        </w:rPr>
        <w:t>交通系统分析图</w:t>
      </w:r>
    </w:p>
    <w:p w14:paraId="23E85E5E">
      <w:pPr>
        <w:pStyle w:val="6"/>
        <w:numPr>
          <w:ilvl w:val="0"/>
          <w:numId w:val="11"/>
        </w:numPr>
        <w:ind w:firstLineChars="0"/>
        <w:rPr>
          <w:rFonts w:hint="eastAsia"/>
          <w:highlight w:val="none"/>
        </w:rPr>
      </w:pPr>
      <w:r>
        <w:rPr>
          <w:highlight w:val="none"/>
        </w:rPr>
        <w:t>出入口、联系通道、垂直交通、公共交通设施等分布图</w:t>
      </w:r>
    </w:p>
    <w:p w14:paraId="24790E32">
      <w:pPr>
        <w:pStyle w:val="6"/>
        <w:numPr>
          <w:ilvl w:val="0"/>
          <w:numId w:val="11"/>
        </w:numPr>
        <w:ind w:firstLineChars="0"/>
        <w:rPr>
          <w:rFonts w:hint="eastAsia"/>
          <w:highlight w:val="none"/>
        </w:rPr>
      </w:pPr>
      <w:r>
        <w:rPr>
          <w:highlight w:val="none"/>
        </w:rPr>
        <w:t>总平面设计图 （建议明确比例）</w:t>
      </w:r>
    </w:p>
    <w:p w14:paraId="53226A08">
      <w:pPr>
        <w:pStyle w:val="6"/>
        <w:numPr>
          <w:ilvl w:val="0"/>
          <w:numId w:val="11"/>
        </w:numPr>
        <w:ind w:firstLineChars="0"/>
        <w:rPr>
          <w:rFonts w:hint="eastAsia"/>
          <w:highlight w:val="none"/>
        </w:rPr>
      </w:pPr>
      <w:r>
        <w:rPr>
          <w:highlight w:val="none"/>
        </w:rPr>
        <w:t>各层平面图(电子制图比例为1：200)</w:t>
      </w:r>
    </w:p>
    <w:p w14:paraId="6A4A94E3">
      <w:pPr>
        <w:pStyle w:val="6"/>
        <w:numPr>
          <w:ilvl w:val="0"/>
          <w:numId w:val="11"/>
        </w:numPr>
        <w:ind w:firstLineChars="0"/>
        <w:rPr>
          <w:rFonts w:hint="eastAsia"/>
          <w:highlight w:val="none"/>
        </w:rPr>
      </w:pPr>
      <w:r>
        <w:rPr>
          <w:highlight w:val="none"/>
        </w:rPr>
        <w:t>主要剖面和立面图(电子制图比例为1：200)</w:t>
      </w:r>
    </w:p>
    <w:p w14:paraId="4A3EBC74">
      <w:pPr>
        <w:pStyle w:val="6"/>
        <w:numPr>
          <w:ilvl w:val="0"/>
          <w:numId w:val="11"/>
        </w:numPr>
        <w:ind w:firstLineChars="0"/>
        <w:rPr>
          <w:rFonts w:hint="eastAsia"/>
          <w:highlight w:val="none"/>
        </w:rPr>
      </w:pPr>
      <w:r>
        <w:rPr>
          <w:highlight w:val="none"/>
        </w:rPr>
        <w:t>主要出入口、广场、下沉空间等重要空间节点效果图</w:t>
      </w:r>
    </w:p>
    <w:p w14:paraId="63D08EDF">
      <w:pPr>
        <w:pStyle w:val="6"/>
        <w:numPr>
          <w:ilvl w:val="0"/>
          <w:numId w:val="11"/>
        </w:numPr>
        <w:ind w:firstLineChars="0"/>
        <w:rPr>
          <w:rFonts w:hint="eastAsia"/>
          <w:highlight w:val="none"/>
        </w:rPr>
      </w:pPr>
      <w:r>
        <w:rPr>
          <w:highlight w:val="none"/>
        </w:rPr>
        <w:t>主要空间节点透视图</w:t>
      </w:r>
    </w:p>
    <w:p w14:paraId="5305EDF5">
      <w:pPr>
        <w:pStyle w:val="6"/>
        <w:numPr>
          <w:ilvl w:val="0"/>
          <w:numId w:val="11"/>
        </w:numPr>
        <w:ind w:firstLineChars="0"/>
        <w:rPr>
          <w:rFonts w:hint="eastAsia"/>
          <w:highlight w:val="none"/>
        </w:rPr>
      </w:pPr>
      <w:r>
        <w:rPr>
          <w:highlight w:val="none"/>
        </w:rPr>
        <w:t>防灾系统方案图和相关分析图</w:t>
      </w:r>
    </w:p>
    <w:p w14:paraId="2586ADE4">
      <w:pPr>
        <w:pStyle w:val="6"/>
        <w:numPr>
          <w:ilvl w:val="0"/>
          <w:numId w:val="11"/>
        </w:numPr>
        <w:ind w:firstLineChars="0"/>
        <w:rPr>
          <w:rFonts w:hint="eastAsia"/>
          <w:highlight w:val="none"/>
        </w:rPr>
      </w:pPr>
      <w:r>
        <w:rPr>
          <w:highlight w:val="none"/>
        </w:rPr>
        <w:t>机电设备系统方案图</w:t>
      </w:r>
    </w:p>
    <w:p w14:paraId="3AC9CE28">
      <w:pPr>
        <w:pStyle w:val="6"/>
        <w:numPr>
          <w:ilvl w:val="0"/>
          <w:numId w:val="11"/>
        </w:numPr>
        <w:ind w:firstLineChars="0"/>
        <w:rPr>
          <w:rFonts w:hint="eastAsia"/>
          <w:highlight w:val="none"/>
        </w:rPr>
      </w:pPr>
      <w:r>
        <w:rPr>
          <w:highlight w:val="none"/>
        </w:rPr>
        <w:t>信息通信网络传输系统图</w:t>
      </w:r>
    </w:p>
    <w:p w14:paraId="6AF6B590">
      <w:pPr>
        <w:pStyle w:val="6"/>
        <w:numPr>
          <w:ilvl w:val="0"/>
          <w:numId w:val="11"/>
        </w:numPr>
        <w:ind w:firstLineChars="0"/>
        <w:rPr>
          <w:rFonts w:hint="eastAsia"/>
          <w:highlight w:val="none"/>
        </w:rPr>
      </w:pPr>
      <w:r>
        <w:rPr>
          <w:highlight w:val="none"/>
        </w:rPr>
        <w:t>智能交通系统图</w:t>
      </w:r>
    </w:p>
    <w:p w14:paraId="15A037C5">
      <w:pPr>
        <w:pStyle w:val="6"/>
        <w:numPr>
          <w:ilvl w:val="0"/>
          <w:numId w:val="11"/>
        </w:numPr>
        <w:ind w:firstLineChars="0"/>
        <w:rPr>
          <w:rFonts w:hint="eastAsia"/>
          <w:highlight w:val="none"/>
        </w:rPr>
      </w:pPr>
      <w:r>
        <w:rPr>
          <w:highlight w:val="none"/>
        </w:rPr>
        <w:t>综合管线系统方案图</w:t>
      </w:r>
    </w:p>
    <w:p w14:paraId="3E884E1E">
      <w:pPr>
        <w:pStyle w:val="6"/>
        <w:numPr>
          <w:ilvl w:val="0"/>
          <w:numId w:val="11"/>
        </w:numPr>
        <w:ind w:firstLineChars="0"/>
        <w:rPr>
          <w:rFonts w:hint="eastAsia"/>
          <w:highlight w:val="none"/>
        </w:rPr>
      </w:pPr>
      <w:r>
        <w:rPr>
          <w:highlight w:val="none"/>
        </w:rPr>
        <w:t>给排水设计图</w:t>
      </w:r>
    </w:p>
    <w:p w14:paraId="0E29AEAA">
      <w:pPr>
        <w:pStyle w:val="6"/>
        <w:numPr>
          <w:ilvl w:val="0"/>
          <w:numId w:val="11"/>
        </w:numPr>
        <w:ind w:firstLineChars="0"/>
        <w:rPr>
          <w:rFonts w:hint="eastAsia"/>
          <w:highlight w:val="none"/>
        </w:rPr>
      </w:pPr>
      <w:r>
        <w:rPr>
          <w:highlight w:val="none"/>
        </w:rPr>
        <w:t>相关竖向设计图</w:t>
      </w:r>
    </w:p>
    <w:p w14:paraId="701E7A75">
      <w:pPr>
        <w:pStyle w:val="6"/>
        <w:numPr>
          <w:ilvl w:val="0"/>
          <w:numId w:val="11"/>
        </w:numPr>
        <w:ind w:firstLineChars="0"/>
        <w:rPr>
          <w:rFonts w:hint="eastAsia"/>
          <w:highlight w:val="none"/>
        </w:rPr>
      </w:pPr>
      <w:r>
        <w:rPr>
          <w:highlight w:val="none"/>
        </w:rPr>
        <w:t>相关分析图和鸟瞰图</w:t>
      </w:r>
    </w:p>
    <w:p w14:paraId="5C4CDE60">
      <w:pPr>
        <w:pStyle w:val="6"/>
        <w:numPr>
          <w:ilvl w:val="0"/>
          <w:numId w:val="11"/>
        </w:numPr>
        <w:ind w:firstLineChars="0"/>
        <w:rPr>
          <w:rFonts w:hint="eastAsia"/>
          <w:highlight w:val="none"/>
        </w:rPr>
      </w:pPr>
      <w:r>
        <w:rPr>
          <w:highlight w:val="none"/>
        </w:rPr>
        <w:t>项目估算及投资分析报告</w:t>
      </w:r>
    </w:p>
    <w:p w14:paraId="0BFBFD18">
      <w:pPr>
        <w:rPr>
          <w:rFonts w:hint="eastAsia"/>
          <w:highlight w:val="none"/>
        </w:rPr>
      </w:pPr>
      <w:r>
        <w:rPr>
          <w:highlight w:val="none"/>
        </w:rPr>
        <w:t>（2）初步设计</w:t>
      </w:r>
      <w:r>
        <w:rPr>
          <w:rFonts w:hint="eastAsia"/>
          <w:highlight w:val="none"/>
        </w:rPr>
        <w:t>阶段</w:t>
      </w:r>
    </w:p>
    <w:p w14:paraId="5D292AA1">
      <w:pPr>
        <w:pStyle w:val="6"/>
        <w:numPr>
          <w:ilvl w:val="0"/>
          <w:numId w:val="12"/>
        </w:numPr>
        <w:ind w:firstLineChars="0"/>
        <w:rPr>
          <w:rFonts w:hint="eastAsia"/>
          <w:highlight w:val="none"/>
        </w:rPr>
      </w:pPr>
      <w:r>
        <w:rPr>
          <w:highlight w:val="none"/>
        </w:rPr>
        <w:t>建筑专业初步设计</w:t>
      </w:r>
    </w:p>
    <w:p w14:paraId="0F554313">
      <w:pPr>
        <w:pStyle w:val="6"/>
        <w:numPr>
          <w:ilvl w:val="0"/>
          <w:numId w:val="12"/>
        </w:numPr>
        <w:ind w:firstLineChars="0"/>
        <w:rPr>
          <w:rFonts w:hint="eastAsia"/>
          <w:highlight w:val="none"/>
        </w:rPr>
      </w:pPr>
      <w:r>
        <w:rPr>
          <w:highlight w:val="none"/>
        </w:rPr>
        <w:t>结构专业初步设计</w:t>
      </w:r>
      <w:bookmarkStart w:id="30" w:name="_Hlk75250453"/>
    </w:p>
    <w:p w14:paraId="54FAE88C">
      <w:pPr>
        <w:pStyle w:val="6"/>
        <w:numPr>
          <w:ilvl w:val="0"/>
          <w:numId w:val="12"/>
        </w:numPr>
        <w:ind w:firstLineChars="0"/>
        <w:rPr>
          <w:rFonts w:hint="eastAsia"/>
          <w:highlight w:val="none"/>
        </w:rPr>
      </w:pPr>
      <w:r>
        <w:rPr>
          <w:rFonts w:hint="eastAsia"/>
          <w:highlight w:val="none"/>
        </w:rPr>
        <w:t>基坑支护初步设计</w:t>
      </w:r>
      <w:bookmarkEnd w:id="30"/>
    </w:p>
    <w:p w14:paraId="38B828FD">
      <w:pPr>
        <w:pStyle w:val="6"/>
        <w:numPr>
          <w:ilvl w:val="0"/>
          <w:numId w:val="12"/>
        </w:numPr>
        <w:ind w:firstLineChars="0"/>
        <w:rPr>
          <w:rFonts w:hint="eastAsia"/>
          <w:highlight w:val="none"/>
        </w:rPr>
      </w:pPr>
      <w:r>
        <w:rPr>
          <w:highlight w:val="none"/>
        </w:rPr>
        <w:t>给排水专业初步设计</w:t>
      </w:r>
    </w:p>
    <w:p w14:paraId="0C093B7E">
      <w:pPr>
        <w:pStyle w:val="6"/>
        <w:numPr>
          <w:ilvl w:val="0"/>
          <w:numId w:val="12"/>
        </w:numPr>
        <w:ind w:firstLineChars="0"/>
        <w:rPr>
          <w:rFonts w:hint="eastAsia"/>
          <w:highlight w:val="none"/>
        </w:rPr>
      </w:pPr>
      <w:r>
        <w:rPr>
          <w:highlight w:val="none"/>
        </w:rPr>
        <w:t>电气及</w:t>
      </w:r>
      <w:r>
        <w:rPr>
          <w:rFonts w:hint="eastAsia"/>
          <w:highlight w:val="none"/>
        </w:rPr>
        <w:t>弱电</w:t>
      </w:r>
      <w:r>
        <w:rPr>
          <w:highlight w:val="none"/>
        </w:rPr>
        <w:t>专业初步设计</w:t>
      </w:r>
    </w:p>
    <w:p w14:paraId="593C127C">
      <w:pPr>
        <w:pStyle w:val="6"/>
        <w:numPr>
          <w:ilvl w:val="0"/>
          <w:numId w:val="12"/>
        </w:numPr>
        <w:ind w:firstLineChars="0"/>
        <w:rPr>
          <w:rFonts w:hint="eastAsia"/>
          <w:highlight w:val="none"/>
        </w:rPr>
      </w:pPr>
      <w:r>
        <w:rPr>
          <w:highlight w:val="none"/>
        </w:rPr>
        <w:t>暖通专业初步设计</w:t>
      </w:r>
    </w:p>
    <w:p w14:paraId="709E0459">
      <w:pPr>
        <w:pStyle w:val="6"/>
        <w:numPr>
          <w:ilvl w:val="0"/>
          <w:numId w:val="12"/>
        </w:numPr>
        <w:ind w:firstLineChars="0"/>
        <w:rPr>
          <w:rFonts w:hint="eastAsia"/>
          <w:highlight w:val="none"/>
        </w:rPr>
      </w:pPr>
      <w:r>
        <w:rPr>
          <w:highlight w:val="none"/>
        </w:rPr>
        <w:t>景观专业初步设计</w:t>
      </w:r>
    </w:p>
    <w:p w14:paraId="7919BA59">
      <w:pPr>
        <w:pStyle w:val="6"/>
        <w:numPr>
          <w:ilvl w:val="0"/>
          <w:numId w:val="12"/>
        </w:numPr>
        <w:ind w:firstLineChars="0"/>
        <w:rPr>
          <w:rFonts w:hint="eastAsia"/>
          <w:highlight w:val="none"/>
        </w:rPr>
      </w:pPr>
      <w:r>
        <w:rPr>
          <w:rFonts w:hint="eastAsia"/>
          <w:highlight w:val="none"/>
        </w:rPr>
        <w:t>建筑节能初步设计</w:t>
      </w:r>
    </w:p>
    <w:p w14:paraId="6B0ED773">
      <w:pPr>
        <w:pStyle w:val="6"/>
        <w:numPr>
          <w:ilvl w:val="0"/>
          <w:numId w:val="12"/>
        </w:numPr>
        <w:ind w:firstLineChars="0"/>
        <w:rPr>
          <w:rFonts w:hint="eastAsia"/>
          <w:highlight w:val="none"/>
        </w:rPr>
      </w:pPr>
      <w:r>
        <w:rPr>
          <w:rFonts w:hint="eastAsia"/>
          <w:highlight w:val="none"/>
        </w:rPr>
        <w:t>人防初步设计</w:t>
      </w:r>
    </w:p>
    <w:p w14:paraId="336C3F01">
      <w:pPr>
        <w:pStyle w:val="6"/>
        <w:numPr>
          <w:ilvl w:val="0"/>
          <w:numId w:val="12"/>
        </w:numPr>
        <w:ind w:firstLineChars="0"/>
        <w:rPr>
          <w:rFonts w:hint="eastAsia"/>
          <w:highlight w:val="none"/>
        </w:rPr>
      </w:pPr>
      <w:r>
        <w:rPr>
          <w:rFonts w:hint="eastAsia"/>
          <w:highlight w:val="none"/>
        </w:rPr>
        <w:t>装配式初步设计</w:t>
      </w:r>
    </w:p>
    <w:p w14:paraId="5AB9D650">
      <w:pPr>
        <w:pStyle w:val="6"/>
        <w:numPr>
          <w:ilvl w:val="0"/>
          <w:numId w:val="12"/>
        </w:numPr>
        <w:ind w:firstLineChars="0"/>
        <w:rPr>
          <w:rFonts w:hint="eastAsia"/>
          <w:highlight w:val="none"/>
        </w:rPr>
      </w:pPr>
      <w:r>
        <w:rPr>
          <w:rFonts w:hint="eastAsia"/>
          <w:highlight w:val="none"/>
        </w:rPr>
        <w:t>BIM模型</w:t>
      </w:r>
    </w:p>
    <w:p w14:paraId="265FA9CF">
      <w:pPr>
        <w:pStyle w:val="6"/>
        <w:numPr>
          <w:ilvl w:val="0"/>
          <w:numId w:val="12"/>
        </w:numPr>
        <w:ind w:firstLineChars="0"/>
        <w:rPr>
          <w:rFonts w:hint="eastAsia"/>
          <w:highlight w:val="none"/>
        </w:rPr>
      </w:pPr>
      <w:r>
        <w:rPr>
          <w:rFonts w:hint="eastAsia"/>
          <w:highlight w:val="none"/>
        </w:rPr>
        <w:t>初步设计概算编制等</w:t>
      </w:r>
    </w:p>
    <w:p w14:paraId="3F022F82">
      <w:pPr>
        <w:pStyle w:val="6"/>
        <w:numPr>
          <w:ilvl w:val="0"/>
          <w:numId w:val="12"/>
        </w:numPr>
        <w:ind w:firstLineChars="0"/>
        <w:rPr>
          <w:rFonts w:hint="eastAsia"/>
          <w:highlight w:val="none"/>
        </w:rPr>
      </w:pPr>
      <w:r>
        <w:rPr>
          <w:rFonts w:hint="eastAsia"/>
          <w:highlight w:val="none"/>
        </w:rPr>
        <w:t>管线综合平衡图</w:t>
      </w:r>
    </w:p>
    <w:p w14:paraId="51E568BD">
      <w:pPr>
        <w:rPr>
          <w:rFonts w:hint="eastAsia"/>
          <w:highlight w:val="none"/>
        </w:rPr>
      </w:pPr>
      <w:r>
        <w:rPr>
          <w:highlight w:val="none"/>
        </w:rPr>
        <w:t>（</w:t>
      </w:r>
      <w:r>
        <w:rPr>
          <w:rFonts w:hint="eastAsia"/>
          <w:highlight w:val="none"/>
        </w:rPr>
        <w:t>3</w:t>
      </w:r>
      <w:r>
        <w:rPr>
          <w:highlight w:val="none"/>
        </w:rPr>
        <w:t>）</w:t>
      </w:r>
      <w:r>
        <w:rPr>
          <w:rFonts w:hint="eastAsia"/>
          <w:highlight w:val="none"/>
        </w:rPr>
        <w:t>施工图</w:t>
      </w:r>
      <w:r>
        <w:rPr>
          <w:highlight w:val="none"/>
        </w:rPr>
        <w:t>设计</w:t>
      </w:r>
      <w:r>
        <w:rPr>
          <w:rFonts w:hint="eastAsia"/>
          <w:highlight w:val="none"/>
        </w:rPr>
        <w:t>阶段</w:t>
      </w:r>
    </w:p>
    <w:p w14:paraId="68F004AE">
      <w:pPr>
        <w:pStyle w:val="6"/>
        <w:numPr>
          <w:ilvl w:val="0"/>
          <w:numId w:val="13"/>
        </w:numPr>
        <w:ind w:firstLineChars="0"/>
        <w:rPr>
          <w:rFonts w:hint="eastAsia"/>
          <w:highlight w:val="none"/>
        </w:rPr>
      </w:pPr>
      <w:r>
        <w:rPr>
          <w:highlight w:val="none"/>
        </w:rPr>
        <w:t>建筑专业</w:t>
      </w:r>
      <w:r>
        <w:rPr>
          <w:rFonts w:hint="eastAsia"/>
          <w:highlight w:val="none"/>
        </w:rPr>
        <w:t>施工图</w:t>
      </w:r>
      <w:r>
        <w:rPr>
          <w:highlight w:val="none"/>
        </w:rPr>
        <w:t>设计</w:t>
      </w:r>
    </w:p>
    <w:p w14:paraId="5AF0883C">
      <w:pPr>
        <w:pStyle w:val="6"/>
        <w:numPr>
          <w:ilvl w:val="0"/>
          <w:numId w:val="13"/>
        </w:numPr>
        <w:ind w:firstLineChars="0"/>
        <w:rPr>
          <w:rFonts w:hint="eastAsia"/>
          <w:highlight w:val="none"/>
        </w:rPr>
      </w:pPr>
      <w:r>
        <w:rPr>
          <w:highlight w:val="none"/>
        </w:rPr>
        <w:t>结构专业</w:t>
      </w:r>
      <w:r>
        <w:rPr>
          <w:rFonts w:hint="eastAsia"/>
          <w:highlight w:val="none"/>
        </w:rPr>
        <w:t>施工图</w:t>
      </w:r>
      <w:r>
        <w:rPr>
          <w:highlight w:val="none"/>
        </w:rPr>
        <w:t>设计</w:t>
      </w:r>
    </w:p>
    <w:p w14:paraId="58A75DC2">
      <w:pPr>
        <w:pStyle w:val="6"/>
        <w:numPr>
          <w:ilvl w:val="0"/>
          <w:numId w:val="13"/>
        </w:numPr>
        <w:ind w:firstLineChars="0"/>
        <w:rPr>
          <w:rFonts w:hint="eastAsia"/>
          <w:highlight w:val="none"/>
        </w:rPr>
      </w:pPr>
      <w:r>
        <w:rPr>
          <w:rFonts w:hint="eastAsia"/>
          <w:highlight w:val="none"/>
        </w:rPr>
        <w:t>基坑支护施工图设计</w:t>
      </w:r>
    </w:p>
    <w:p w14:paraId="27C4ADE6">
      <w:pPr>
        <w:pStyle w:val="6"/>
        <w:numPr>
          <w:ilvl w:val="0"/>
          <w:numId w:val="13"/>
        </w:numPr>
        <w:ind w:firstLineChars="0"/>
        <w:rPr>
          <w:rFonts w:hint="eastAsia"/>
          <w:highlight w:val="none"/>
        </w:rPr>
      </w:pPr>
      <w:r>
        <w:rPr>
          <w:highlight w:val="none"/>
        </w:rPr>
        <w:t>给排水专业</w:t>
      </w:r>
      <w:r>
        <w:rPr>
          <w:rFonts w:hint="eastAsia"/>
          <w:highlight w:val="none"/>
        </w:rPr>
        <w:t>施工图</w:t>
      </w:r>
      <w:r>
        <w:rPr>
          <w:highlight w:val="none"/>
        </w:rPr>
        <w:t>设计</w:t>
      </w:r>
    </w:p>
    <w:p w14:paraId="3F5022E7">
      <w:pPr>
        <w:pStyle w:val="6"/>
        <w:numPr>
          <w:ilvl w:val="0"/>
          <w:numId w:val="13"/>
        </w:numPr>
        <w:ind w:firstLineChars="0"/>
        <w:rPr>
          <w:rFonts w:hint="eastAsia"/>
          <w:highlight w:val="none"/>
        </w:rPr>
      </w:pPr>
      <w:r>
        <w:rPr>
          <w:highlight w:val="none"/>
        </w:rPr>
        <w:t>电气及</w:t>
      </w:r>
      <w:r>
        <w:rPr>
          <w:rFonts w:hint="eastAsia"/>
          <w:highlight w:val="none"/>
        </w:rPr>
        <w:t>弱电</w:t>
      </w:r>
      <w:r>
        <w:rPr>
          <w:highlight w:val="none"/>
        </w:rPr>
        <w:t>专业</w:t>
      </w:r>
      <w:r>
        <w:rPr>
          <w:rFonts w:hint="eastAsia"/>
          <w:highlight w:val="none"/>
        </w:rPr>
        <w:t>施工图</w:t>
      </w:r>
      <w:r>
        <w:rPr>
          <w:highlight w:val="none"/>
        </w:rPr>
        <w:t>设计</w:t>
      </w:r>
    </w:p>
    <w:p w14:paraId="0057C34D">
      <w:pPr>
        <w:pStyle w:val="6"/>
        <w:numPr>
          <w:ilvl w:val="0"/>
          <w:numId w:val="13"/>
        </w:numPr>
        <w:ind w:firstLineChars="0"/>
        <w:rPr>
          <w:rFonts w:hint="eastAsia"/>
          <w:highlight w:val="none"/>
        </w:rPr>
      </w:pPr>
      <w:r>
        <w:rPr>
          <w:highlight w:val="none"/>
        </w:rPr>
        <w:t>暖通专业</w:t>
      </w:r>
      <w:r>
        <w:rPr>
          <w:rFonts w:hint="eastAsia"/>
          <w:highlight w:val="none"/>
        </w:rPr>
        <w:t>施工图</w:t>
      </w:r>
      <w:r>
        <w:rPr>
          <w:highlight w:val="none"/>
        </w:rPr>
        <w:t>设计</w:t>
      </w:r>
    </w:p>
    <w:p w14:paraId="41EC0A1C">
      <w:pPr>
        <w:pStyle w:val="6"/>
        <w:numPr>
          <w:ilvl w:val="0"/>
          <w:numId w:val="13"/>
        </w:numPr>
        <w:ind w:firstLineChars="0"/>
        <w:rPr>
          <w:rFonts w:hint="eastAsia"/>
          <w:highlight w:val="none"/>
        </w:rPr>
      </w:pPr>
      <w:r>
        <w:rPr>
          <w:highlight w:val="none"/>
        </w:rPr>
        <w:t>景观专业</w:t>
      </w:r>
      <w:r>
        <w:rPr>
          <w:rFonts w:hint="eastAsia"/>
          <w:highlight w:val="none"/>
        </w:rPr>
        <w:t>施工图</w:t>
      </w:r>
      <w:r>
        <w:rPr>
          <w:highlight w:val="none"/>
        </w:rPr>
        <w:t>设计</w:t>
      </w:r>
    </w:p>
    <w:p w14:paraId="174CA34D">
      <w:pPr>
        <w:pStyle w:val="6"/>
        <w:numPr>
          <w:ilvl w:val="0"/>
          <w:numId w:val="13"/>
        </w:numPr>
        <w:ind w:firstLineChars="0"/>
        <w:rPr>
          <w:rFonts w:hint="eastAsia"/>
          <w:highlight w:val="none"/>
        </w:rPr>
      </w:pPr>
      <w:r>
        <w:rPr>
          <w:rFonts w:hint="eastAsia"/>
          <w:highlight w:val="none"/>
        </w:rPr>
        <w:t>建筑节能施工图设计</w:t>
      </w:r>
    </w:p>
    <w:p w14:paraId="72217BA4">
      <w:pPr>
        <w:pStyle w:val="6"/>
        <w:numPr>
          <w:ilvl w:val="0"/>
          <w:numId w:val="13"/>
        </w:numPr>
        <w:ind w:firstLineChars="0"/>
        <w:rPr>
          <w:rFonts w:hint="eastAsia"/>
          <w:highlight w:val="none"/>
        </w:rPr>
      </w:pPr>
      <w:r>
        <w:rPr>
          <w:rFonts w:hint="eastAsia"/>
          <w:highlight w:val="none"/>
        </w:rPr>
        <w:t>人防施工图设计</w:t>
      </w:r>
    </w:p>
    <w:p w14:paraId="0991250A">
      <w:pPr>
        <w:pStyle w:val="6"/>
        <w:numPr>
          <w:ilvl w:val="0"/>
          <w:numId w:val="13"/>
        </w:numPr>
        <w:ind w:firstLineChars="0"/>
        <w:rPr>
          <w:rFonts w:hint="eastAsia"/>
          <w:highlight w:val="none"/>
        </w:rPr>
      </w:pPr>
      <w:r>
        <w:rPr>
          <w:rFonts w:hint="eastAsia"/>
          <w:highlight w:val="none"/>
        </w:rPr>
        <w:t>管线综合平衡图</w:t>
      </w:r>
    </w:p>
    <w:p w14:paraId="204697D3">
      <w:pPr>
        <w:pStyle w:val="6"/>
        <w:numPr>
          <w:ilvl w:val="0"/>
          <w:numId w:val="13"/>
        </w:numPr>
        <w:ind w:firstLineChars="0"/>
        <w:rPr>
          <w:rFonts w:hint="eastAsia"/>
          <w:highlight w:val="none"/>
        </w:rPr>
      </w:pPr>
      <w:r>
        <w:rPr>
          <w:rFonts w:hint="eastAsia"/>
          <w:highlight w:val="none"/>
        </w:rPr>
        <w:t>BIM模型</w:t>
      </w:r>
    </w:p>
    <w:p w14:paraId="4F3B2D0D">
      <w:pPr>
        <w:pStyle w:val="6"/>
        <w:numPr>
          <w:ilvl w:val="0"/>
          <w:numId w:val="13"/>
        </w:numPr>
        <w:ind w:firstLineChars="0"/>
        <w:rPr>
          <w:rFonts w:hint="eastAsia"/>
          <w:highlight w:val="none"/>
        </w:rPr>
      </w:pPr>
      <w:r>
        <w:rPr>
          <w:rFonts w:hint="eastAsia"/>
          <w:highlight w:val="none"/>
        </w:rPr>
        <w:t>海绵城市施工图</w:t>
      </w:r>
    </w:p>
    <w:p w14:paraId="2C3C3CCA">
      <w:pPr>
        <w:pStyle w:val="6"/>
        <w:numPr>
          <w:ilvl w:val="0"/>
          <w:numId w:val="13"/>
        </w:numPr>
        <w:ind w:firstLineChars="0"/>
        <w:rPr>
          <w:rFonts w:hint="eastAsia"/>
          <w:highlight w:val="none"/>
        </w:rPr>
      </w:pPr>
      <w:r>
        <w:rPr>
          <w:rFonts w:hint="eastAsia"/>
          <w:highlight w:val="none"/>
        </w:rPr>
        <w:t>绿建咨询成果</w:t>
      </w:r>
    </w:p>
    <w:p w14:paraId="1DF4EEE5">
      <w:pPr>
        <w:pStyle w:val="6"/>
        <w:numPr>
          <w:ilvl w:val="0"/>
          <w:numId w:val="13"/>
        </w:numPr>
        <w:ind w:firstLineChars="0"/>
        <w:rPr>
          <w:rFonts w:hint="eastAsia"/>
          <w:highlight w:val="none"/>
        </w:rPr>
      </w:pPr>
      <w:r>
        <w:rPr>
          <w:rFonts w:hint="eastAsia"/>
          <w:highlight w:val="none"/>
        </w:rPr>
        <w:t>装配式施工图</w:t>
      </w:r>
    </w:p>
    <w:p w14:paraId="587D950A">
      <w:pPr>
        <w:ind w:firstLine="0" w:firstLineChars="0"/>
        <w:rPr>
          <w:rFonts w:hint="eastAsia"/>
          <w:highlight w:val="none"/>
        </w:rPr>
      </w:pPr>
    </w:p>
    <w:p w14:paraId="64CB9645">
      <w:pPr>
        <w:ind w:firstLine="0" w:firstLineChars="0"/>
        <w:rPr>
          <w:rFonts w:hint="eastAsia"/>
          <w:color w:val="000000"/>
          <w:highlight w:val="none"/>
        </w:rPr>
      </w:pPr>
      <w:r>
        <w:rPr>
          <w:rFonts w:hint="eastAsia"/>
          <w:color w:val="000000"/>
          <w:highlight w:val="none"/>
        </w:rPr>
        <w:t>2</w:t>
      </w:r>
      <w:r>
        <w:rPr>
          <w:color w:val="000000"/>
          <w:highlight w:val="none"/>
        </w:rPr>
        <w:t>、造价成果文件（包括但不限于）</w:t>
      </w:r>
    </w:p>
    <w:p w14:paraId="7150B5A5">
      <w:pPr>
        <w:rPr>
          <w:rFonts w:hint="eastAsia"/>
          <w:color w:val="000000"/>
          <w:highlight w:val="none"/>
        </w:rPr>
      </w:pPr>
      <w:r>
        <w:rPr>
          <w:color w:val="000000"/>
          <w:highlight w:val="none"/>
        </w:rPr>
        <w:t>除按要求提交概算成果外，还需要依据</w:t>
      </w:r>
      <w:r>
        <w:rPr>
          <w:rFonts w:hint="eastAsia"/>
          <w:color w:val="000000"/>
          <w:highlight w:val="none"/>
        </w:rPr>
        <w:t>《广州市财政局关于印发广州市本级政府投资建设项概算评宙工作指引的通知》（穗财建〔2024〕46 号）</w:t>
      </w:r>
      <w:r>
        <w:rPr>
          <w:color w:val="000000"/>
          <w:highlight w:val="none"/>
        </w:rPr>
        <w:t>，对照《财政投资评审送审资料清单》准备设计图纸等送审资料，填写《财政性资金投资项目评审预受理申请表》、《财政投资评审送审资料清单》，报送财政投资评审预受理资料。预受理通过后，办理或配合项目主管部门向市财政部门提交正式财政投资评审申请函，并配合市财政部门的核审工作。</w:t>
      </w:r>
    </w:p>
    <w:p w14:paraId="40558050">
      <w:pPr>
        <w:pStyle w:val="3"/>
        <w:rPr>
          <w:rFonts w:hint="eastAsia"/>
          <w:color w:val="000000"/>
          <w:highlight w:val="none"/>
        </w:rPr>
      </w:pPr>
      <w:bookmarkStart w:id="31" w:name="_Toc185352745"/>
      <w:bookmarkStart w:id="32" w:name="_Toc74837375"/>
      <w:r>
        <w:rPr>
          <w:color w:val="000000"/>
          <w:highlight w:val="none"/>
        </w:rPr>
        <w:t>提交设计资料要求</w:t>
      </w:r>
      <w:bookmarkEnd w:id="31"/>
      <w:bookmarkEnd w:id="32"/>
    </w:p>
    <w:p w14:paraId="2B286331">
      <w:pPr>
        <w:rPr>
          <w:rFonts w:hint="eastAsia"/>
          <w:color w:val="000000"/>
          <w:highlight w:val="none"/>
        </w:rPr>
      </w:pPr>
      <w:r>
        <w:rPr>
          <w:color w:val="000000"/>
          <w:highlight w:val="none"/>
        </w:rPr>
        <w:t>1、中标设计单位设计成果文件的提交时间以符合合同约定质量的设计成果文件的提交时间为准。设计成果文件提交的时间及份数如下</w:t>
      </w:r>
      <w:r>
        <w:rPr>
          <w:rFonts w:hint="eastAsia"/>
          <w:color w:val="000000"/>
          <w:highlight w:val="none"/>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4388"/>
        <w:gridCol w:w="992"/>
        <w:gridCol w:w="1558"/>
        <w:gridCol w:w="1482"/>
      </w:tblGrid>
      <w:tr w14:paraId="3CAD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47721861">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序号</w:t>
            </w:r>
          </w:p>
        </w:tc>
        <w:tc>
          <w:tcPr>
            <w:tcW w:w="4388" w:type="dxa"/>
            <w:vAlign w:val="center"/>
          </w:tcPr>
          <w:p w14:paraId="7F1E294F">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资料及文件名称</w:t>
            </w:r>
          </w:p>
        </w:tc>
        <w:tc>
          <w:tcPr>
            <w:tcW w:w="992" w:type="dxa"/>
            <w:vAlign w:val="center"/>
          </w:tcPr>
          <w:p w14:paraId="4323C75E">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份数</w:t>
            </w:r>
          </w:p>
        </w:tc>
        <w:tc>
          <w:tcPr>
            <w:tcW w:w="1558" w:type="dxa"/>
            <w:vAlign w:val="center"/>
          </w:tcPr>
          <w:p w14:paraId="4EA42ACD">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内容要求</w:t>
            </w:r>
          </w:p>
        </w:tc>
        <w:tc>
          <w:tcPr>
            <w:tcW w:w="1482" w:type="dxa"/>
            <w:vAlign w:val="center"/>
          </w:tcPr>
          <w:p w14:paraId="0B0AE985">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提交时间</w:t>
            </w:r>
          </w:p>
        </w:tc>
      </w:tr>
      <w:tr w14:paraId="0BAC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Align w:val="center"/>
          </w:tcPr>
          <w:p w14:paraId="5F9B5EBE">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1</w:t>
            </w:r>
          </w:p>
        </w:tc>
        <w:tc>
          <w:tcPr>
            <w:tcW w:w="4388" w:type="dxa"/>
            <w:vAlign w:val="center"/>
          </w:tcPr>
          <w:p w14:paraId="668E8A8B">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修建性详细规划设计图</w:t>
            </w:r>
          </w:p>
        </w:tc>
        <w:tc>
          <w:tcPr>
            <w:tcW w:w="992" w:type="dxa"/>
            <w:vAlign w:val="center"/>
          </w:tcPr>
          <w:p w14:paraId="0565E971">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31B93997">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29E32FC5">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0EA7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0" w:type="auto"/>
            <w:vAlign w:val="center"/>
          </w:tcPr>
          <w:p w14:paraId="717FD385">
            <w:pPr>
              <w:spacing w:line="240" w:lineRule="auto"/>
              <w:ind w:firstLine="0" w:firstLineChars="0"/>
              <w:rPr>
                <w:rFonts w:hint="eastAsia" w:ascii="仿宋" w:hAnsi="仿宋" w:eastAsia="仿宋"/>
                <w:szCs w:val="21"/>
                <w:highlight w:val="none"/>
              </w:rPr>
            </w:pPr>
            <w:r>
              <w:rPr>
                <w:rFonts w:ascii="仿宋" w:hAnsi="仿宋" w:eastAsia="仿宋"/>
                <w:szCs w:val="21"/>
                <w:highlight w:val="none"/>
              </w:rPr>
              <w:t>2</w:t>
            </w:r>
          </w:p>
        </w:tc>
        <w:tc>
          <w:tcPr>
            <w:tcW w:w="4388" w:type="dxa"/>
            <w:vAlign w:val="center"/>
          </w:tcPr>
          <w:p w14:paraId="4FE28A47">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方案设计文件</w:t>
            </w:r>
          </w:p>
        </w:tc>
        <w:tc>
          <w:tcPr>
            <w:tcW w:w="992" w:type="dxa"/>
            <w:vAlign w:val="center"/>
          </w:tcPr>
          <w:p w14:paraId="40DFB476">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611AF792">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62987AAC">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3A3D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3809B08A">
            <w:pPr>
              <w:spacing w:line="240" w:lineRule="auto"/>
              <w:ind w:firstLine="0" w:firstLineChars="0"/>
              <w:rPr>
                <w:rFonts w:hint="eastAsia" w:ascii="仿宋" w:hAnsi="仿宋" w:eastAsia="仿宋"/>
                <w:szCs w:val="21"/>
                <w:highlight w:val="none"/>
              </w:rPr>
            </w:pPr>
            <w:r>
              <w:rPr>
                <w:rFonts w:ascii="仿宋" w:hAnsi="仿宋" w:eastAsia="仿宋"/>
                <w:szCs w:val="21"/>
                <w:highlight w:val="none"/>
              </w:rPr>
              <w:t>3</w:t>
            </w:r>
          </w:p>
        </w:tc>
        <w:tc>
          <w:tcPr>
            <w:tcW w:w="4388" w:type="dxa"/>
            <w:vAlign w:val="center"/>
          </w:tcPr>
          <w:p w14:paraId="66C65DF8">
            <w:pPr>
              <w:widowControl/>
              <w:spacing w:line="240" w:lineRule="auto"/>
              <w:ind w:firstLine="0" w:firstLineChars="0"/>
              <w:rPr>
                <w:rFonts w:hint="eastAsia" w:ascii="仿宋" w:hAnsi="仿宋" w:eastAsia="仿宋"/>
                <w:kern w:val="0"/>
                <w:szCs w:val="21"/>
                <w:highlight w:val="none"/>
              </w:rPr>
            </w:pPr>
            <w:r>
              <w:rPr>
                <w:rFonts w:ascii="仿宋" w:hAnsi="仿宋" w:eastAsia="仿宋"/>
                <w:kern w:val="0"/>
                <w:szCs w:val="21"/>
                <w:highlight w:val="none"/>
              </w:rPr>
              <w:t>初步设计文件</w:t>
            </w:r>
          </w:p>
        </w:tc>
        <w:tc>
          <w:tcPr>
            <w:tcW w:w="992" w:type="dxa"/>
            <w:vAlign w:val="center"/>
          </w:tcPr>
          <w:p w14:paraId="630FEA01">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74910C51">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7B92651A">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43A5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64D811EF">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4</w:t>
            </w:r>
          </w:p>
        </w:tc>
        <w:tc>
          <w:tcPr>
            <w:tcW w:w="4388" w:type="dxa"/>
            <w:vAlign w:val="center"/>
          </w:tcPr>
          <w:p w14:paraId="5034E3BA">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各专业报建图（消防、人防、卫生、环保等）</w:t>
            </w:r>
          </w:p>
        </w:tc>
        <w:tc>
          <w:tcPr>
            <w:tcW w:w="992" w:type="dxa"/>
            <w:vAlign w:val="center"/>
          </w:tcPr>
          <w:p w14:paraId="1811319C">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66A8FBBF">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7BCEB290">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25412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34848953">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5</w:t>
            </w:r>
          </w:p>
        </w:tc>
        <w:tc>
          <w:tcPr>
            <w:tcW w:w="4388" w:type="dxa"/>
            <w:vAlign w:val="center"/>
          </w:tcPr>
          <w:p w14:paraId="5B9510B7">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单体建筑施工报建图及电子报批文件</w:t>
            </w:r>
          </w:p>
        </w:tc>
        <w:tc>
          <w:tcPr>
            <w:tcW w:w="992" w:type="dxa"/>
            <w:vAlign w:val="center"/>
          </w:tcPr>
          <w:p w14:paraId="00AF14FA">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57C45BCA">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23022B3A">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77D5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4EE92D37">
            <w:pPr>
              <w:spacing w:line="240" w:lineRule="auto"/>
              <w:ind w:firstLine="0" w:firstLineChars="0"/>
              <w:rPr>
                <w:rFonts w:hint="eastAsia" w:ascii="仿宋" w:hAnsi="仿宋" w:eastAsia="仿宋"/>
                <w:szCs w:val="21"/>
                <w:highlight w:val="none"/>
              </w:rPr>
            </w:pPr>
            <w:r>
              <w:rPr>
                <w:rFonts w:ascii="仿宋" w:hAnsi="仿宋" w:eastAsia="仿宋"/>
                <w:szCs w:val="21"/>
                <w:highlight w:val="none"/>
              </w:rPr>
              <w:t>6</w:t>
            </w:r>
          </w:p>
        </w:tc>
        <w:tc>
          <w:tcPr>
            <w:tcW w:w="4388" w:type="dxa"/>
            <w:vAlign w:val="center"/>
          </w:tcPr>
          <w:p w14:paraId="62786BDF">
            <w:pPr>
              <w:widowControl/>
              <w:spacing w:line="240" w:lineRule="auto"/>
              <w:ind w:firstLine="0" w:firstLineChars="0"/>
              <w:rPr>
                <w:rFonts w:hint="eastAsia" w:ascii="仿宋" w:hAnsi="仿宋" w:eastAsia="仿宋"/>
                <w:kern w:val="0"/>
                <w:szCs w:val="21"/>
                <w:highlight w:val="none"/>
              </w:rPr>
            </w:pPr>
            <w:r>
              <w:rPr>
                <w:rFonts w:ascii="仿宋" w:hAnsi="仿宋" w:eastAsia="仿宋"/>
                <w:kern w:val="0"/>
                <w:szCs w:val="21"/>
                <w:highlight w:val="none"/>
              </w:rPr>
              <w:t>主</w:t>
            </w:r>
            <w:r>
              <w:rPr>
                <w:rFonts w:hint="eastAsia" w:ascii="仿宋" w:hAnsi="仿宋" w:eastAsia="仿宋"/>
                <w:kern w:val="0"/>
                <w:szCs w:val="21"/>
                <w:highlight w:val="none"/>
              </w:rPr>
              <w:t>项</w:t>
            </w:r>
            <w:r>
              <w:rPr>
                <w:rFonts w:ascii="仿宋" w:hAnsi="仿宋" w:eastAsia="仿宋"/>
                <w:kern w:val="0"/>
                <w:szCs w:val="21"/>
                <w:highlight w:val="none"/>
              </w:rPr>
              <w:t>设计的建筑</w:t>
            </w:r>
            <w:r>
              <w:rPr>
                <w:rFonts w:hint="eastAsia" w:ascii="仿宋" w:hAnsi="仿宋" w:eastAsia="仿宋"/>
                <w:kern w:val="0"/>
                <w:szCs w:val="21"/>
                <w:highlight w:val="none"/>
              </w:rPr>
              <w:t>、</w:t>
            </w:r>
            <w:r>
              <w:rPr>
                <w:rFonts w:ascii="仿宋" w:hAnsi="仿宋" w:eastAsia="仿宋"/>
                <w:kern w:val="0"/>
                <w:szCs w:val="21"/>
                <w:highlight w:val="none"/>
              </w:rPr>
              <w:t>结构</w:t>
            </w:r>
            <w:r>
              <w:rPr>
                <w:rFonts w:hint="eastAsia" w:ascii="仿宋" w:hAnsi="仿宋" w:eastAsia="仿宋"/>
                <w:kern w:val="0"/>
                <w:szCs w:val="21"/>
                <w:highlight w:val="none"/>
              </w:rPr>
              <w:t>、</w:t>
            </w:r>
            <w:r>
              <w:rPr>
                <w:rFonts w:ascii="仿宋" w:hAnsi="仿宋" w:eastAsia="仿宋"/>
                <w:kern w:val="0"/>
                <w:szCs w:val="21"/>
                <w:highlight w:val="none"/>
              </w:rPr>
              <w:t>给排水</w:t>
            </w:r>
            <w:r>
              <w:rPr>
                <w:rFonts w:hint="eastAsia" w:ascii="仿宋" w:hAnsi="仿宋" w:eastAsia="仿宋"/>
                <w:kern w:val="0"/>
                <w:szCs w:val="21"/>
                <w:highlight w:val="none"/>
              </w:rPr>
              <w:t>、</w:t>
            </w:r>
            <w:r>
              <w:rPr>
                <w:rFonts w:ascii="仿宋" w:hAnsi="仿宋" w:eastAsia="仿宋"/>
                <w:kern w:val="0"/>
                <w:szCs w:val="21"/>
                <w:highlight w:val="none"/>
              </w:rPr>
              <w:t>暖通</w:t>
            </w:r>
            <w:r>
              <w:rPr>
                <w:rFonts w:hint="eastAsia" w:ascii="仿宋" w:hAnsi="仿宋" w:eastAsia="仿宋"/>
                <w:kern w:val="0"/>
                <w:szCs w:val="21"/>
                <w:highlight w:val="none"/>
              </w:rPr>
              <w:t>、</w:t>
            </w:r>
            <w:r>
              <w:rPr>
                <w:rFonts w:ascii="仿宋" w:hAnsi="仿宋" w:eastAsia="仿宋"/>
                <w:kern w:val="0"/>
                <w:szCs w:val="21"/>
                <w:highlight w:val="none"/>
              </w:rPr>
              <w:t>电气</w:t>
            </w:r>
            <w:r>
              <w:rPr>
                <w:rFonts w:hint="eastAsia" w:ascii="仿宋" w:hAnsi="仿宋" w:eastAsia="仿宋"/>
                <w:kern w:val="0"/>
                <w:szCs w:val="21"/>
                <w:highlight w:val="none"/>
              </w:rPr>
              <w:t>、人防、基坑、海绵城市、绿建咨询、精装修机电、装配式</w:t>
            </w:r>
            <w:r>
              <w:rPr>
                <w:rFonts w:ascii="仿宋" w:hAnsi="仿宋" w:eastAsia="仿宋"/>
                <w:kern w:val="0"/>
                <w:szCs w:val="21"/>
                <w:highlight w:val="none"/>
              </w:rPr>
              <w:t>专业施工图</w:t>
            </w:r>
            <w:r>
              <w:rPr>
                <w:rFonts w:hint="eastAsia" w:ascii="仿宋" w:hAnsi="仿宋" w:eastAsia="仿宋"/>
                <w:kern w:val="0"/>
                <w:szCs w:val="21"/>
                <w:highlight w:val="none"/>
              </w:rPr>
              <w:t>、BIM模型</w:t>
            </w:r>
          </w:p>
        </w:tc>
        <w:tc>
          <w:tcPr>
            <w:tcW w:w="992" w:type="dxa"/>
            <w:vAlign w:val="center"/>
          </w:tcPr>
          <w:p w14:paraId="40CF427F">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6A36DEF8">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5614D251">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1293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50155F98">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7</w:t>
            </w:r>
          </w:p>
        </w:tc>
        <w:tc>
          <w:tcPr>
            <w:tcW w:w="4388" w:type="dxa"/>
            <w:vAlign w:val="center"/>
          </w:tcPr>
          <w:p w14:paraId="5F01228F">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初步设计概算文件</w:t>
            </w:r>
          </w:p>
        </w:tc>
        <w:tc>
          <w:tcPr>
            <w:tcW w:w="992" w:type="dxa"/>
            <w:vAlign w:val="center"/>
          </w:tcPr>
          <w:p w14:paraId="4997A7B5">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5A09A9D6">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3FC563D7">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7B3A5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511A20C3">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8</w:t>
            </w:r>
          </w:p>
        </w:tc>
        <w:tc>
          <w:tcPr>
            <w:tcW w:w="4388" w:type="dxa"/>
            <w:vAlign w:val="center"/>
          </w:tcPr>
          <w:p w14:paraId="7267BA9E">
            <w:pPr>
              <w:widowControl/>
              <w:spacing w:line="240" w:lineRule="auto"/>
              <w:ind w:firstLine="0" w:firstLineChars="0"/>
              <w:rPr>
                <w:rFonts w:hint="eastAsia" w:ascii="仿宋" w:hAnsi="仿宋" w:eastAsia="仿宋"/>
                <w:kern w:val="0"/>
                <w:szCs w:val="21"/>
                <w:highlight w:val="none"/>
              </w:rPr>
            </w:pPr>
            <w:r>
              <w:rPr>
                <w:rFonts w:ascii="仿宋" w:hAnsi="仿宋" w:eastAsia="仿宋"/>
                <w:kern w:val="0"/>
                <w:szCs w:val="21"/>
                <w:highlight w:val="none"/>
              </w:rPr>
              <w:t>设计变更或修改通知书</w:t>
            </w:r>
          </w:p>
        </w:tc>
        <w:tc>
          <w:tcPr>
            <w:tcW w:w="992" w:type="dxa"/>
            <w:vAlign w:val="center"/>
          </w:tcPr>
          <w:p w14:paraId="106F412D">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12</w:t>
            </w:r>
          </w:p>
        </w:tc>
        <w:tc>
          <w:tcPr>
            <w:tcW w:w="1558" w:type="dxa"/>
            <w:vAlign w:val="center"/>
          </w:tcPr>
          <w:p w14:paraId="172425E7">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电子文件</w:t>
            </w:r>
            <w:r>
              <w:rPr>
                <w:rFonts w:ascii="仿宋" w:hAnsi="仿宋" w:eastAsia="仿宋"/>
                <w:kern w:val="0"/>
                <w:szCs w:val="21"/>
                <w:highlight w:val="none"/>
              </w:rPr>
              <w:t>1</w:t>
            </w:r>
            <w:r>
              <w:rPr>
                <w:rFonts w:hint="eastAsia" w:ascii="仿宋" w:hAnsi="仿宋" w:eastAsia="仿宋"/>
                <w:kern w:val="0"/>
                <w:szCs w:val="21"/>
                <w:highlight w:val="none"/>
              </w:rPr>
              <w:t>份</w:t>
            </w:r>
          </w:p>
        </w:tc>
        <w:tc>
          <w:tcPr>
            <w:tcW w:w="1482" w:type="dxa"/>
            <w:vAlign w:val="center"/>
          </w:tcPr>
          <w:p w14:paraId="60CEDE7D">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双方另行协商</w:t>
            </w:r>
          </w:p>
        </w:tc>
      </w:tr>
      <w:tr w14:paraId="26FA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0" w:type="auto"/>
            <w:vAlign w:val="center"/>
          </w:tcPr>
          <w:p w14:paraId="092FDC2D">
            <w:pPr>
              <w:spacing w:line="240" w:lineRule="auto"/>
              <w:ind w:firstLine="0" w:firstLineChars="0"/>
              <w:rPr>
                <w:rFonts w:hint="eastAsia" w:ascii="仿宋" w:hAnsi="仿宋" w:eastAsia="仿宋"/>
                <w:szCs w:val="21"/>
                <w:highlight w:val="none"/>
              </w:rPr>
            </w:pPr>
            <w:r>
              <w:rPr>
                <w:rFonts w:hint="eastAsia" w:ascii="仿宋" w:hAnsi="仿宋" w:eastAsia="仿宋"/>
                <w:szCs w:val="21"/>
                <w:highlight w:val="none"/>
              </w:rPr>
              <w:t>9</w:t>
            </w:r>
          </w:p>
        </w:tc>
        <w:tc>
          <w:tcPr>
            <w:tcW w:w="4388" w:type="dxa"/>
            <w:vAlign w:val="center"/>
          </w:tcPr>
          <w:p w14:paraId="0C1E6B9D">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专项设计成果</w:t>
            </w:r>
          </w:p>
        </w:tc>
        <w:tc>
          <w:tcPr>
            <w:tcW w:w="4032" w:type="dxa"/>
            <w:gridSpan w:val="3"/>
            <w:vAlign w:val="center"/>
          </w:tcPr>
          <w:p w14:paraId="06132188">
            <w:pPr>
              <w:widowControl/>
              <w:spacing w:line="240" w:lineRule="auto"/>
              <w:ind w:firstLine="0" w:firstLineChars="0"/>
              <w:rPr>
                <w:rFonts w:hint="eastAsia" w:ascii="仿宋" w:hAnsi="仿宋" w:eastAsia="仿宋"/>
                <w:kern w:val="0"/>
                <w:szCs w:val="21"/>
                <w:highlight w:val="none"/>
              </w:rPr>
            </w:pPr>
            <w:r>
              <w:rPr>
                <w:rFonts w:hint="eastAsia" w:ascii="仿宋" w:hAnsi="仿宋" w:eastAsia="仿宋"/>
                <w:kern w:val="0"/>
                <w:szCs w:val="21"/>
                <w:highlight w:val="none"/>
              </w:rPr>
              <w:t>具体按照后续项目实施过程的不同专项分包情况确定</w:t>
            </w:r>
          </w:p>
        </w:tc>
      </w:tr>
    </w:tbl>
    <w:p w14:paraId="63D48E07">
      <w:pPr>
        <w:rPr>
          <w:rFonts w:hint="eastAsia"/>
          <w:color w:val="000000"/>
          <w:highlight w:val="none"/>
        </w:rPr>
      </w:pPr>
      <w:r>
        <w:rPr>
          <w:color w:val="000000"/>
          <w:highlight w:val="none"/>
        </w:rPr>
        <w:t>（备注：上述各阶段成果提交时间由建设单位控制，可根据实际情况调整。）</w:t>
      </w:r>
    </w:p>
    <w:p w14:paraId="6C5998DA">
      <w:pPr>
        <w:rPr>
          <w:rFonts w:hint="eastAsia"/>
          <w:color w:val="000000"/>
          <w:highlight w:val="none"/>
        </w:rPr>
      </w:pPr>
    </w:p>
    <w:p w14:paraId="4449DC21">
      <w:pPr>
        <w:rPr>
          <w:rFonts w:hint="eastAsia"/>
          <w:color w:val="000000"/>
          <w:highlight w:val="none"/>
        </w:rPr>
      </w:pPr>
    </w:p>
    <w:p w14:paraId="608EBE6B">
      <w:pPr>
        <w:rPr>
          <w:rFonts w:hint="eastAsia"/>
          <w:color w:val="000000"/>
          <w:highlight w:val="none"/>
        </w:rPr>
      </w:pPr>
    </w:p>
    <w:p w14:paraId="5F2C064E">
      <w:pPr>
        <w:pStyle w:val="35"/>
        <w:ind w:firstLine="758"/>
        <w:rPr>
          <w:color w:val="000000"/>
          <w:highlight w:val="none"/>
        </w:rPr>
      </w:pPr>
      <w:bookmarkStart w:id="33" w:name="_Toc185352746"/>
      <w:r>
        <w:rPr>
          <w:color w:val="000000"/>
          <w:highlight w:val="none"/>
        </w:rPr>
        <w:t>附件目录</w:t>
      </w:r>
      <w:bookmarkEnd w:id="33"/>
    </w:p>
    <w:p w14:paraId="36FACCB5">
      <w:pPr>
        <w:rPr>
          <w:rFonts w:hint="eastAsia"/>
          <w:color w:val="000000"/>
          <w:highlight w:val="none"/>
        </w:rPr>
      </w:pPr>
      <w:r>
        <w:rPr>
          <w:color w:val="000000"/>
          <w:highlight w:val="none"/>
        </w:rPr>
        <w:t>1. 用地红线图</w:t>
      </w:r>
    </w:p>
    <w:p w14:paraId="4E8C0495">
      <w:pPr>
        <w:rPr>
          <w:rFonts w:hint="eastAsia"/>
          <w:color w:val="000000"/>
          <w:highlight w:val="none"/>
        </w:rPr>
      </w:pPr>
      <w:r>
        <w:rPr>
          <w:color w:val="000000"/>
          <w:highlight w:val="none"/>
        </w:rPr>
        <w:t xml:space="preserve">2. </w:t>
      </w:r>
      <w:r>
        <w:rPr>
          <w:rFonts w:hint="eastAsia"/>
          <w:color w:val="000000"/>
          <w:highlight w:val="none"/>
        </w:rPr>
        <w:t>项目规划预条件</w:t>
      </w:r>
    </w:p>
    <w:p w14:paraId="6C98B73F">
      <w:pPr>
        <w:rPr>
          <w:rFonts w:hint="eastAsia"/>
          <w:color w:val="000000"/>
          <w:highlight w:val="none"/>
        </w:rPr>
      </w:pPr>
      <w:r>
        <w:rPr>
          <w:rFonts w:hint="eastAsia"/>
          <w:color w:val="000000"/>
          <w:highlight w:val="none"/>
        </w:rPr>
        <w:br w:type="page"/>
      </w:r>
    </w:p>
    <w:p w14:paraId="5B02D768">
      <w:pPr>
        <w:numPr>
          <w:ilvl w:val="0"/>
          <w:numId w:val="0"/>
        </w:numPr>
        <w:rPr>
          <w:rFonts w:hint="eastAsia"/>
          <w:color w:val="000000"/>
          <w:lang w:val="en-US" w:eastAsia="zh-CN"/>
        </w:rPr>
      </w:pPr>
      <w:r>
        <w:rPr>
          <w:rFonts w:hint="eastAsia"/>
          <w:color w:val="000000"/>
          <w:lang w:val="en-US" w:eastAsia="zh-CN"/>
        </w:rPr>
        <w:t>附件1</w:t>
      </w:r>
    </w:p>
    <w:p w14:paraId="745F1A07">
      <w:pPr>
        <w:numPr>
          <w:ilvl w:val="0"/>
          <w:numId w:val="0"/>
        </w:numPr>
        <w:jc w:val="center"/>
        <w:rPr>
          <w:rFonts w:hint="eastAsia"/>
          <w:color w:val="000000"/>
          <w:lang w:val="en-US" w:eastAsia="zh-CN"/>
        </w:rPr>
      </w:pPr>
      <w:r>
        <w:rPr>
          <w:rFonts w:hint="eastAsia"/>
          <w:color w:val="000000"/>
          <w:lang w:val="en-US" w:eastAsia="zh-CN"/>
        </w:rPr>
        <w:t>用地红线图（</w:t>
      </w:r>
      <w:r>
        <w:rPr>
          <w:rFonts w:ascii="Arial" w:hAnsi="Arial" w:eastAsia="宋体" w:cs="Arial"/>
          <w:i w:val="0"/>
          <w:iCs w:val="0"/>
          <w:caps w:val="0"/>
          <w:color w:val="111111"/>
          <w:spacing w:val="0"/>
          <w:sz w:val="21"/>
          <w:szCs w:val="21"/>
          <w:shd w:val="clear" w:fill="FFFFFF"/>
        </w:rPr>
        <w:t>后期工程规模最终以政府主管部门和规划建设管理部门批复为准</w:t>
      </w:r>
      <w:r>
        <w:rPr>
          <w:rFonts w:hint="eastAsia"/>
          <w:color w:val="000000"/>
          <w:lang w:val="en-US" w:eastAsia="zh-CN"/>
        </w:rPr>
        <w:t>）</w:t>
      </w:r>
    </w:p>
    <w:p w14:paraId="35EAFDFD">
      <w:pPr>
        <w:numPr>
          <w:ilvl w:val="0"/>
          <w:numId w:val="0"/>
        </w:numPr>
        <w:rPr>
          <w:rFonts w:hint="eastAsia"/>
          <w:color w:val="000000"/>
          <w:lang w:val="en-US" w:eastAsia="zh-CN"/>
        </w:rPr>
      </w:pPr>
      <w:r>
        <w:drawing>
          <wp:inline distT="0" distB="0" distL="114300" distR="114300">
            <wp:extent cx="5713730" cy="4042410"/>
            <wp:effectExtent l="0" t="0" r="1270" b="1143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6"/>
                    <a:stretch>
                      <a:fillRect/>
                    </a:stretch>
                  </pic:blipFill>
                  <pic:spPr>
                    <a:xfrm>
                      <a:off x="0" y="0"/>
                      <a:ext cx="5713730" cy="4042410"/>
                    </a:xfrm>
                    <a:prstGeom prst="rect">
                      <a:avLst/>
                    </a:prstGeom>
                    <a:noFill/>
                    <a:ln>
                      <a:noFill/>
                    </a:ln>
                  </pic:spPr>
                </pic:pic>
              </a:graphicData>
            </a:graphic>
          </wp:inline>
        </w:drawing>
      </w:r>
    </w:p>
    <w:p w14:paraId="0AD2903D">
      <w:pPr>
        <w:numPr>
          <w:ilvl w:val="0"/>
          <w:numId w:val="0"/>
        </w:numPr>
        <w:rPr>
          <w:rFonts w:hint="eastAsia"/>
          <w:color w:val="000000"/>
          <w:lang w:val="en-US" w:eastAsia="zh-CN"/>
        </w:rPr>
      </w:pPr>
    </w:p>
    <w:p w14:paraId="00F02653">
      <w:pPr>
        <w:rPr>
          <w:rFonts w:hint="eastAsia"/>
          <w:color w:val="000000"/>
          <w:lang w:val="en-US" w:eastAsia="zh-CN"/>
        </w:rPr>
      </w:pPr>
      <w:r>
        <w:rPr>
          <w:rFonts w:hint="eastAsia"/>
          <w:color w:val="000000"/>
          <w:lang w:val="en-US" w:eastAsia="zh-CN"/>
        </w:rPr>
        <w:br w:type="page"/>
      </w:r>
    </w:p>
    <w:p w14:paraId="61435FCC">
      <w:pPr>
        <w:numPr>
          <w:ilvl w:val="0"/>
          <w:numId w:val="0"/>
        </w:numPr>
        <w:rPr>
          <w:rFonts w:hint="eastAsia"/>
          <w:color w:val="000000"/>
          <w:lang w:val="en-US" w:eastAsia="zh-CN"/>
        </w:rPr>
      </w:pPr>
      <w:r>
        <w:rPr>
          <w:rFonts w:hint="eastAsia"/>
          <w:color w:val="000000"/>
          <w:lang w:val="en-US" w:eastAsia="zh-CN"/>
        </w:rPr>
        <w:t>附件2</w:t>
      </w:r>
    </w:p>
    <w:p w14:paraId="07EF7A73">
      <w:pPr>
        <w:numPr>
          <w:ilvl w:val="0"/>
          <w:numId w:val="0"/>
        </w:numPr>
        <w:jc w:val="center"/>
        <w:rPr>
          <w:rFonts w:hint="eastAsia"/>
          <w:color w:val="000000"/>
          <w:vertAlign w:val="baseline"/>
          <w:lang w:val="en-US" w:eastAsia="zh-CN"/>
        </w:rPr>
      </w:pPr>
      <w:r>
        <w:rPr>
          <w:rFonts w:hint="eastAsia"/>
          <w:color w:val="000000"/>
          <w:lang w:val="en-US" w:eastAsia="zh-CN"/>
        </w:rPr>
        <w:t>项目预规划条件（</w:t>
      </w:r>
      <w:r>
        <w:rPr>
          <w:rFonts w:ascii="Arial" w:hAnsi="Arial" w:eastAsia="宋体" w:cs="Arial"/>
          <w:i w:val="0"/>
          <w:iCs w:val="0"/>
          <w:caps w:val="0"/>
          <w:color w:val="111111"/>
          <w:spacing w:val="0"/>
          <w:sz w:val="21"/>
          <w:szCs w:val="21"/>
          <w:shd w:val="clear" w:fill="FFFFFF"/>
        </w:rPr>
        <w:t>后期工程规模最终以政府主管部门和规划建设管理部门批复为准</w:t>
      </w:r>
      <w:r>
        <w:rPr>
          <w:rFonts w:hint="eastAsia"/>
          <w:color w:val="000000"/>
          <w:lang w:val="en-US" w:eastAsia="zh-CN"/>
        </w:rPr>
        <w:t>）</w:t>
      </w:r>
    </w:p>
    <w:tbl>
      <w:tblPr>
        <w:tblStyle w:val="39"/>
        <w:tblW w:w="0" w:type="auto"/>
        <w:tblInd w:w="-6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901"/>
        <w:gridCol w:w="897"/>
        <w:gridCol w:w="1124"/>
        <w:gridCol w:w="1011"/>
        <w:gridCol w:w="1238"/>
        <w:gridCol w:w="1238"/>
        <w:gridCol w:w="1124"/>
        <w:gridCol w:w="1125"/>
      </w:tblGrid>
      <w:tr w14:paraId="58F9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14:paraId="3BBC5296">
            <w:pPr>
              <w:numPr>
                <w:ilvl w:val="0"/>
                <w:numId w:val="0"/>
              </w:numPr>
              <w:rPr>
                <w:rFonts w:hint="default"/>
                <w:color w:val="000000"/>
                <w:vertAlign w:val="baseline"/>
                <w:lang w:val="en-US" w:eastAsia="zh-CN"/>
              </w:rPr>
            </w:pPr>
            <w:r>
              <w:rPr>
                <w:rFonts w:hint="eastAsia"/>
                <w:color w:val="000000"/>
                <w:vertAlign w:val="baseline"/>
                <w:lang w:val="en-US" w:eastAsia="zh-CN"/>
              </w:rPr>
              <w:t>地块编号</w:t>
            </w:r>
          </w:p>
        </w:tc>
        <w:tc>
          <w:tcPr>
            <w:tcW w:w="901" w:type="dxa"/>
          </w:tcPr>
          <w:p w14:paraId="551897E8">
            <w:pPr>
              <w:numPr>
                <w:ilvl w:val="0"/>
                <w:numId w:val="0"/>
              </w:numPr>
              <w:rPr>
                <w:rFonts w:hint="default"/>
                <w:color w:val="000000"/>
                <w:vertAlign w:val="baseline"/>
                <w:lang w:val="en-US" w:eastAsia="zh-CN"/>
              </w:rPr>
            </w:pPr>
            <w:r>
              <w:rPr>
                <w:rFonts w:hint="eastAsia"/>
                <w:color w:val="000000"/>
                <w:vertAlign w:val="baseline"/>
                <w:lang w:val="en-US" w:eastAsia="zh-CN"/>
              </w:rPr>
              <w:t>用地性质</w:t>
            </w:r>
          </w:p>
        </w:tc>
        <w:tc>
          <w:tcPr>
            <w:tcW w:w="897" w:type="dxa"/>
          </w:tcPr>
          <w:p w14:paraId="0319DABE">
            <w:pPr>
              <w:numPr>
                <w:ilvl w:val="0"/>
                <w:numId w:val="0"/>
              </w:numPr>
              <w:rPr>
                <w:rFonts w:hint="default"/>
                <w:color w:val="000000"/>
                <w:vertAlign w:val="baseline"/>
                <w:lang w:val="en-US" w:eastAsia="zh-CN"/>
              </w:rPr>
            </w:pPr>
            <w:r>
              <w:rPr>
                <w:rFonts w:hint="eastAsia"/>
                <w:color w:val="000000"/>
                <w:vertAlign w:val="baseline"/>
                <w:lang w:val="en-US" w:eastAsia="zh-CN"/>
              </w:rPr>
              <w:t>用地处置</w:t>
            </w:r>
          </w:p>
        </w:tc>
        <w:tc>
          <w:tcPr>
            <w:tcW w:w="1124" w:type="dxa"/>
          </w:tcPr>
          <w:p w14:paraId="6859BC07">
            <w:pPr>
              <w:numPr>
                <w:ilvl w:val="0"/>
                <w:numId w:val="0"/>
              </w:numPr>
              <w:rPr>
                <w:rFonts w:hint="default"/>
                <w:color w:val="000000"/>
                <w:vertAlign w:val="baseline"/>
                <w:lang w:val="en-US" w:eastAsia="zh-CN"/>
              </w:rPr>
            </w:pPr>
            <w:r>
              <w:rPr>
                <w:rFonts w:hint="eastAsia"/>
                <w:color w:val="000000"/>
                <w:vertAlign w:val="baseline"/>
                <w:lang w:val="en-US" w:eastAsia="zh-CN"/>
              </w:rPr>
              <w:t>地块面积（平方米）</w:t>
            </w:r>
          </w:p>
        </w:tc>
        <w:tc>
          <w:tcPr>
            <w:tcW w:w="1011" w:type="dxa"/>
          </w:tcPr>
          <w:p w14:paraId="581F409A">
            <w:pPr>
              <w:numPr>
                <w:ilvl w:val="0"/>
                <w:numId w:val="0"/>
              </w:numPr>
              <w:rPr>
                <w:rFonts w:hint="default"/>
                <w:color w:val="000000"/>
                <w:vertAlign w:val="baseline"/>
                <w:lang w:val="en-US" w:eastAsia="zh-CN"/>
              </w:rPr>
            </w:pPr>
            <w:r>
              <w:rPr>
                <w:rFonts w:hint="eastAsia"/>
                <w:color w:val="000000"/>
                <w:vertAlign w:val="baseline"/>
                <w:lang w:val="en-US" w:eastAsia="zh-CN"/>
              </w:rPr>
              <w:t>容积率</w:t>
            </w:r>
          </w:p>
        </w:tc>
        <w:tc>
          <w:tcPr>
            <w:tcW w:w="1238" w:type="dxa"/>
          </w:tcPr>
          <w:p w14:paraId="19D921F4">
            <w:pPr>
              <w:numPr>
                <w:ilvl w:val="0"/>
                <w:numId w:val="0"/>
              </w:numPr>
              <w:rPr>
                <w:rFonts w:hint="default"/>
                <w:color w:val="000000"/>
                <w:vertAlign w:val="baseline"/>
                <w:lang w:val="en-US" w:eastAsia="zh-CN"/>
              </w:rPr>
            </w:pPr>
            <w:r>
              <w:rPr>
                <w:rFonts w:hint="eastAsia"/>
                <w:color w:val="000000"/>
                <w:vertAlign w:val="baseline"/>
                <w:lang w:val="en-US" w:eastAsia="zh-CN"/>
              </w:rPr>
              <w:t>建设量</w:t>
            </w:r>
          </w:p>
        </w:tc>
        <w:tc>
          <w:tcPr>
            <w:tcW w:w="1238" w:type="dxa"/>
          </w:tcPr>
          <w:p w14:paraId="4DFACBB2">
            <w:pPr>
              <w:numPr>
                <w:ilvl w:val="0"/>
                <w:numId w:val="0"/>
              </w:numPr>
              <w:rPr>
                <w:rFonts w:hint="default"/>
                <w:color w:val="000000"/>
                <w:vertAlign w:val="baseline"/>
                <w:lang w:val="en-US" w:eastAsia="zh-CN"/>
              </w:rPr>
            </w:pPr>
            <w:r>
              <w:rPr>
                <w:rFonts w:hint="eastAsia"/>
                <w:color w:val="000000"/>
                <w:vertAlign w:val="baseline"/>
                <w:lang w:val="en-US" w:eastAsia="zh-CN"/>
              </w:rPr>
              <w:t>净住宅</w:t>
            </w:r>
          </w:p>
        </w:tc>
        <w:tc>
          <w:tcPr>
            <w:tcW w:w="1124" w:type="dxa"/>
          </w:tcPr>
          <w:p w14:paraId="474A14E8">
            <w:pPr>
              <w:numPr>
                <w:ilvl w:val="0"/>
                <w:numId w:val="0"/>
              </w:numPr>
              <w:rPr>
                <w:rFonts w:hint="default"/>
                <w:color w:val="000000"/>
                <w:vertAlign w:val="baseline"/>
                <w:lang w:val="en-US" w:eastAsia="zh-CN"/>
              </w:rPr>
            </w:pPr>
            <w:r>
              <w:rPr>
                <w:rFonts w:hint="eastAsia"/>
                <w:color w:val="000000"/>
                <w:vertAlign w:val="baseline"/>
                <w:lang w:val="en-US" w:eastAsia="zh-CN"/>
              </w:rPr>
              <w:t>公服-非独立占地</w:t>
            </w:r>
          </w:p>
        </w:tc>
        <w:tc>
          <w:tcPr>
            <w:tcW w:w="1125" w:type="dxa"/>
          </w:tcPr>
          <w:p w14:paraId="0BA07910">
            <w:pPr>
              <w:numPr>
                <w:ilvl w:val="0"/>
                <w:numId w:val="0"/>
              </w:numPr>
              <w:rPr>
                <w:rFonts w:hint="default"/>
                <w:color w:val="000000"/>
                <w:vertAlign w:val="baseline"/>
                <w:lang w:val="en-US" w:eastAsia="zh-CN"/>
              </w:rPr>
            </w:pPr>
            <w:r>
              <w:rPr>
                <w:rFonts w:hint="eastAsia"/>
                <w:color w:val="000000"/>
                <w:vertAlign w:val="baseline"/>
                <w:lang w:val="en-US" w:eastAsia="zh-CN"/>
              </w:rPr>
              <w:t>商办</w:t>
            </w:r>
          </w:p>
        </w:tc>
      </w:tr>
      <w:tr w14:paraId="15D4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14:paraId="74052109">
            <w:pPr>
              <w:numPr>
                <w:ilvl w:val="0"/>
                <w:numId w:val="0"/>
              </w:numPr>
              <w:rPr>
                <w:rFonts w:hint="default"/>
                <w:color w:val="000000"/>
                <w:vertAlign w:val="baseline"/>
                <w:lang w:val="en-US" w:eastAsia="zh-CN"/>
              </w:rPr>
            </w:pPr>
            <w:r>
              <w:rPr>
                <w:rFonts w:hint="eastAsia"/>
                <w:color w:val="000000"/>
                <w:vertAlign w:val="baseline"/>
                <w:lang w:val="en-US" w:eastAsia="zh-CN"/>
              </w:rPr>
              <w:t>A41-1</w:t>
            </w:r>
          </w:p>
        </w:tc>
        <w:tc>
          <w:tcPr>
            <w:tcW w:w="901" w:type="dxa"/>
          </w:tcPr>
          <w:p w14:paraId="21FC5006">
            <w:pPr>
              <w:numPr>
                <w:ilvl w:val="0"/>
                <w:numId w:val="0"/>
              </w:numPr>
              <w:rPr>
                <w:rFonts w:hint="default"/>
                <w:color w:val="000000"/>
                <w:vertAlign w:val="baseline"/>
                <w:lang w:val="en-US" w:eastAsia="zh-CN"/>
              </w:rPr>
            </w:pPr>
            <w:r>
              <w:rPr>
                <w:rFonts w:hint="eastAsia"/>
                <w:color w:val="000000"/>
                <w:vertAlign w:val="baseline"/>
                <w:lang w:val="en-US" w:eastAsia="zh-CN"/>
              </w:rPr>
              <w:t>商住混合用地</w:t>
            </w:r>
          </w:p>
        </w:tc>
        <w:tc>
          <w:tcPr>
            <w:tcW w:w="897" w:type="dxa"/>
          </w:tcPr>
          <w:p w14:paraId="4DA811EC">
            <w:pPr>
              <w:numPr>
                <w:ilvl w:val="0"/>
                <w:numId w:val="0"/>
              </w:numPr>
              <w:rPr>
                <w:rFonts w:hint="default"/>
                <w:color w:val="000000"/>
                <w:vertAlign w:val="baseline"/>
                <w:lang w:val="en-US" w:eastAsia="zh-CN"/>
              </w:rPr>
            </w:pPr>
            <w:r>
              <w:rPr>
                <w:rFonts w:hint="eastAsia"/>
                <w:color w:val="000000"/>
                <w:vertAlign w:val="baseline"/>
                <w:lang w:val="en-US" w:eastAsia="zh-CN"/>
              </w:rPr>
              <w:t>安置</w:t>
            </w:r>
          </w:p>
        </w:tc>
        <w:tc>
          <w:tcPr>
            <w:tcW w:w="1124" w:type="dxa"/>
          </w:tcPr>
          <w:p w14:paraId="3A698EE8">
            <w:pPr>
              <w:numPr>
                <w:ilvl w:val="0"/>
                <w:numId w:val="0"/>
              </w:numPr>
              <w:rPr>
                <w:rFonts w:hint="default"/>
                <w:color w:val="000000"/>
                <w:vertAlign w:val="baseline"/>
                <w:lang w:val="en-US" w:eastAsia="zh-CN"/>
              </w:rPr>
            </w:pPr>
            <w:r>
              <w:rPr>
                <w:rFonts w:hint="eastAsia"/>
                <w:color w:val="000000"/>
                <w:vertAlign w:val="baseline"/>
                <w:lang w:val="en-US" w:eastAsia="zh-CN"/>
              </w:rPr>
              <w:t>8868</w:t>
            </w:r>
          </w:p>
        </w:tc>
        <w:tc>
          <w:tcPr>
            <w:tcW w:w="1011" w:type="dxa"/>
          </w:tcPr>
          <w:p w14:paraId="58956084">
            <w:pPr>
              <w:numPr>
                <w:ilvl w:val="0"/>
                <w:numId w:val="0"/>
              </w:numPr>
              <w:rPr>
                <w:rFonts w:hint="default"/>
                <w:color w:val="000000"/>
                <w:vertAlign w:val="baseline"/>
                <w:lang w:val="en-US" w:eastAsia="zh-CN"/>
              </w:rPr>
            </w:pPr>
            <w:r>
              <w:rPr>
                <w:rFonts w:hint="eastAsia"/>
                <w:color w:val="000000"/>
                <w:vertAlign w:val="baseline"/>
                <w:lang w:val="en-US" w:eastAsia="zh-CN"/>
              </w:rPr>
              <w:t>4.8</w:t>
            </w:r>
          </w:p>
        </w:tc>
        <w:tc>
          <w:tcPr>
            <w:tcW w:w="1238" w:type="dxa"/>
          </w:tcPr>
          <w:p w14:paraId="11852EA7">
            <w:pPr>
              <w:numPr>
                <w:ilvl w:val="0"/>
                <w:numId w:val="0"/>
              </w:numPr>
              <w:rPr>
                <w:rFonts w:hint="default"/>
                <w:color w:val="000000"/>
                <w:vertAlign w:val="baseline"/>
                <w:lang w:val="en-US" w:eastAsia="zh-CN"/>
              </w:rPr>
            </w:pPr>
            <w:r>
              <w:rPr>
                <w:rFonts w:hint="eastAsia"/>
                <w:color w:val="000000"/>
                <w:vertAlign w:val="baseline"/>
                <w:lang w:val="en-US" w:eastAsia="zh-CN"/>
              </w:rPr>
              <w:t>42567</w:t>
            </w:r>
          </w:p>
        </w:tc>
        <w:tc>
          <w:tcPr>
            <w:tcW w:w="1238" w:type="dxa"/>
          </w:tcPr>
          <w:p w14:paraId="727714CB">
            <w:pPr>
              <w:numPr>
                <w:ilvl w:val="0"/>
                <w:numId w:val="0"/>
              </w:numPr>
              <w:rPr>
                <w:rFonts w:hint="default"/>
                <w:color w:val="000000"/>
                <w:vertAlign w:val="baseline"/>
                <w:lang w:val="en-US" w:eastAsia="zh-CN"/>
              </w:rPr>
            </w:pPr>
            <w:r>
              <w:rPr>
                <w:rFonts w:hint="eastAsia"/>
                <w:color w:val="000000"/>
                <w:vertAlign w:val="baseline"/>
                <w:lang w:val="en-US" w:eastAsia="zh-CN"/>
              </w:rPr>
              <w:t>38865</w:t>
            </w:r>
          </w:p>
        </w:tc>
        <w:tc>
          <w:tcPr>
            <w:tcW w:w="1124" w:type="dxa"/>
          </w:tcPr>
          <w:p w14:paraId="75C95B56">
            <w:pPr>
              <w:numPr>
                <w:ilvl w:val="0"/>
                <w:numId w:val="0"/>
              </w:numPr>
              <w:rPr>
                <w:rFonts w:hint="default"/>
                <w:color w:val="000000"/>
                <w:vertAlign w:val="baseline"/>
                <w:lang w:val="en-US" w:eastAsia="zh-CN"/>
              </w:rPr>
            </w:pPr>
            <w:r>
              <w:rPr>
                <w:rFonts w:hint="eastAsia"/>
                <w:color w:val="000000"/>
                <w:vertAlign w:val="baseline"/>
                <w:lang w:val="en-US" w:eastAsia="zh-CN"/>
              </w:rPr>
              <w:t>1202</w:t>
            </w:r>
          </w:p>
        </w:tc>
        <w:tc>
          <w:tcPr>
            <w:tcW w:w="1125" w:type="dxa"/>
          </w:tcPr>
          <w:p w14:paraId="2FFF1182">
            <w:pPr>
              <w:numPr>
                <w:ilvl w:val="0"/>
                <w:numId w:val="0"/>
              </w:numPr>
              <w:rPr>
                <w:rFonts w:hint="default"/>
                <w:color w:val="000000"/>
                <w:vertAlign w:val="baseline"/>
                <w:lang w:val="en-US" w:eastAsia="zh-CN"/>
              </w:rPr>
            </w:pPr>
            <w:r>
              <w:rPr>
                <w:rFonts w:hint="eastAsia"/>
                <w:color w:val="000000"/>
                <w:vertAlign w:val="baseline"/>
                <w:lang w:val="en-US" w:eastAsia="zh-CN"/>
              </w:rPr>
              <w:t>2500</w:t>
            </w:r>
          </w:p>
        </w:tc>
      </w:tr>
      <w:tr w14:paraId="4D18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4" w:type="dxa"/>
          </w:tcPr>
          <w:p w14:paraId="1D96F365">
            <w:pPr>
              <w:numPr>
                <w:ilvl w:val="0"/>
                <w:numId w:val="0"/>
              </w:numPr>
              <w:rPr>
                <w:rFonts w:hint="default"/>
                <w:color w:val="000000"/>
                <w:vertAlign w:val="baseline"/>
                <w:lang w:val="en-US" w:eastAsia="zh-CN"/>
              </w:rPr>
            </w:pPr>
            <w:r>
              <w:rPr>
                <w:rFonts w:hint="eastAsia"/>
                <w:color w:val="000000"/>
                <w:vertAlign w:val="baseline"/>
                <w:lang w:val="en-US" w:eastAsia="zh-CN"/>
              </w:rPr>
              <w:t>A41-2</w:t>
            </w:r>
          </w:p>
        </w:tc>
        <w:tc>
          <w:tcPr>
            <w:tcW w:w="901" w:type="dxa"/>
          </w:tcPr>
          <w:p w14:paraId="78294F95">
            <w:pPr>
              <w:numPr>
                <w:ilvl w:val="0"/>
                <w:numId w:val="0"/>
              </w:numPr>
              <w:rPr>
                <w:rFonts w:hint="default"/>
                <w:color w:val="000000"/>
                <w:vertAlign w:val="baseline"/>
                <w:lang w:val="en-US" w:eastAsia="zh-CN"/>
              </w:rPr>
            </w:pPr>
            <w:r>
              <w:rPr>
                <w:rFonts w:hint="eastAsia"/>
                <w:color w:val="000000"/>
                <w:vertAlign w:val="baseline"/>
                <w:lang w:val="en-US" w:eastAsia="zh-CN"/>
              </w:rPr>
              <w:t>商住混合用地</w:t>
            </w:r>
          </w:p>
        </w:tc>
        <w:tc>
          <w:tcPr>
            <w:tcW w:w="897" w:type="dxa"/>
          </w:tcPr>
          <w:p w14:paraId="55F888B8">
            <w:pPr>
              <w:numPr>
                <w:ilvl w:val="0"/>
                <w:numId w:val="0"/>
              </w:numPr>
              <w:rPr>
                <w:rFonts w:hint="default"/>
                <w:color w:val="000000"/>
                <w:vertAlign w:val="baseline"/>
                <w:lang w:val="en-US" w:eastAsia="zh-CN"/>
              </w:rPr>
            </w:pPr>
            <w:r>
              <w:rPr>
                <w:rFonts w:hint="eastAsia"/>
                <w:color w:val="000000"/>
                <w:vertAlign w:val="baseline"/>
                <w:lang w:val="en-US" w:eastAsia="zh-CN"/>
              </w:rPr>
              <w:t>安置</w:t>
            </w:r>
          </w:p>
        </w:tc>
        <w:tc>
          <w:tcPr>
            <w:tcW w:w="1124" w:type="dxa"/>
          </w:tcPr>
          <w:p w14:paraId="1E98B439">
            <w:pPr>
              <w:numPr>
                <w:ilvl w:val="0"/>
                <w:numId w:val="0"/>
              </w:numPr>
              <w:rPr>
                <w:rFonts w:hint="default"/>
                <w:color w:val="000000"/>
                <w:vertAlign w:val="baseline"/>
                <w:lang w:val="en-US" w:eastAsia="zh-CN"/>
              </w:rPr>
            </w:pPr>
            <w:r>
              <w:rPr>
                <w:rFonts w:hint="eastAsia"/>
                <w:color w:val="000000"/>
                <w:vertAlign w:val="baseline"/>
                <w:lang w:val="en-US" w:eastAsia="zh-CN"/>
              </w:rPr>
              <w:t>9786</w:t>
            </w:r>
          </w:p>
        </w:tc>
        <w:tc>
          <w:tcPr>
            <w:tcW w:w="1011" w:type="dxa"/>
          </w:tcPr>
          <w:p w14:paraId="685C6575">
            <w:pPr>
              <w:numPr>
                <w:ilvl w:val="0"/>
                <w:numId w:val="0"/>
              </w:numPr>
              <w:rPr>
                <w:rFonts w:hint="default"/>
                <w:color w:val="000000"/>
                <w:vertAlign w:val="baseline"/>
                <w:lang w:val="en-US" w:eastAsia="zh-CN"/>
              </w:rPr>
            </w:pPr>
            <w:r>
              <w:rPr>
                <w:rFonts w:hint="eastAsia"/>
                <w:color w:val="000000"/>
                <w:vertAlign w:val="baseline"/>
                <w:lang w:val="en-US" w:eastAsia="zh-CN"/>
              </w:rPr>
              <w:t>4.8</w:t>
            </w:r>
          </w:p>
        </w:tc>
        <w:tc>
          <w:tcPr>
            <w:tcW w:w="1238" w:type="dxa"/>
          </w:tcPr>
          <w:p w14:paraId="6BC350E3">
            <w:pPr>
              <w:numPr>
                <w:ilvl w:val="0"/>
                <w:numId w:val="0"/>
              </w:numPr>
              <w:rPr>
                <w:rFonts w:hint="default"/>
                <w:color w:val="000000"/>
                <w:vertAlign w:val="baseline"/>
                <w:lang w:val="en-US" w:eastAsia="zh-CN"/>
              </w:rPr>
            </w:pPr>
            <w:r>
              <w:rPr>
                <w:rFonts w:hint="eastAsia"/>
                <w:color w:val="000000"/>
                <w:vertAlign w:val="baseline"/>
                <w:lang w:val="en-US" w:eastAsia="zh-CN"/>
              </w:rPr>
              <w:t>46971</w:t>
            </w:r>
          </w:p>
        </w:tc>
        <w:tc>
          <w:tcPr>
            <w:tcW w:w="1238" w:type="dxa"/>
          </w:tcPr>
          <w:p w14:paraId="6CE80216">
            <w:pPr>
              <w:numPr>
                <w:ilvl w:val="0"/>
                <w:numId w:val="0"/>
              </w:numPr>
              <w:rPr>
                <w:rFonts w:hint="default"/>
                <w:color w:val="000000"/>
                <w:vertAlign w:val="baseline"/>
                <w:lang w:val="en-US" w:eastAsia="zh-CN"/>
              </w:rPr>
            </w:pPr>
            <w:r>
              <w:rPr>
                <w:rFonts w:hint="eastAsia"/>
                <w:color w:val="000000"/>
                <w:vertAlign w:val="baseline"/>
                <w:lang w:val="en-US" w:eastAsia="zh-CN"/>
              </w:rPr>
              <w:t>43137</w:t>
            </w:r>
          </w:p>
        </w:tc>
        <w:tc>
          <w:tcPr>
            <w:tcW w:w="1124" w:type="dxa"/>
          </w:tcPr>
          <w:p w14:paraId="27AEEE30">
            <w:pPr>
              <w:numPr>
                <w:ilvl w:val="0"/>
                <w:numId w:val="0"/>
              </w:numPr>
              <w:rPr>
                <w:rFonts w:hint="default"/>
                <w:color w:val="000000"/>
                <w:vertAlign w:val="baseline"/>
                <w:lang w:val="en-US" w:eastAsia="zh-CN"/>
              </w:rPr>
            </w:pPr>
            <w:r>
              <w:rPr>
                <w:rFonts w:hint="eastAsia"/>
                <w:color w:val="000000"/>
                <w:vertAlign w:val="baseline"/>
                <w:lang w:val="en-US" w:eastAsia="zh-CN"/>
              </w:rPr>
              <w:t>1334</w:t>
            </w:r>
          </w:p>
        </w:tc>
        <w:tc>
          <w:tcPr>
            <w:tcW w:w="1125" w:type="dxa"/>
          </w:tcPr>
          <w:p w14:paraId="5DE02745">
            <w:pPr>
              <w:numPr>
                <w:ilvl w:val="0"/>
                <w:numId w:val="0"/>
              </w:numPr>
              <w:rPr>
                <w:rFonts w:hint="default"/>
                <w:color w:val="000000"/>
                <w:vertAlign w:val="baseline"/>
                <w:lang w:val="en-US" w:eastAsia="zh-CN"/>
              </w:rPr>
            </w:pPr>
            <w:r>
              <w:rPr>
                <w:rFonts w:hint="eastAsia"/>
                <w:color w:val="000000"/>
                <w:vertAlign w:val="baseline"/>
                <w:lang w:val="en-US" w:eastAsia="zh-CN"/>
              </w:rPr>
              <w:t>2500</w:t>
            </w:r>
          </w:p>
        </w:tc>
      </w:tr>
    </w:tbl>
    <w:p w14:paraId="47FE71BA">
      <w:pPr>
        <w:numPr>
          <w:ilvl w:val="0"/>
          <w:numId w:val="0"/>
        </w:numPr>
        <w:rPr>
          <w:rFonts w:hint="eastAsia"/>
          <w:color w:val="000000"/>
          <w:lang w:val="en-US" w:eastAsia="zh-CN"/>
        </w:rPr>
      </w:pPr>
    </w:p>
    <w:p w14:paraId="373DD8B8">
      <w:pPr>
        <w:rPr>
          <w:rFonts w:hint="default"/>
          <w:color w:val="000000"/>
          <w:lang w:val="en-US" w:eastAsia="zh-CN"/>
        </w:rPr>
      </w:pPr>
    </w:p>
    <w:p w14:paraId="44823311">
      <w:pPr>
        <w:rPr>
          <w:rFonts w:hint="eastAsia"/>
          <w:color w:val="000000"/>
          <w:highlight w:val="none"/>
        </w:rPr>
      </w:pPr>
    </w:p>
    <w:sectPr>
      <w:headerReference r:id="rId12" w:type="default"/>
      <w:footerReference r:id="rId13" w:type="default"/>
      <w:pgSz w:w="11906" w:h="16838"/>
      <w:pgMar w:top="1440" w:right="1106" w:bottom="1244"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6"/>
      </w:pPr>
      <w:r>
        <w:separator/>
      </w:r>
    </w:p>
  </w:endnote>
  <w:endnote w:type="continuationSeparator" w:id="1">
    <w:p>
      <w:pPr>
        <w:spacing w:line="240" w:lineRule="auto"/>
        <w:ind w:firstLine="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S UI 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E3A2F">
    <w:pPr>
      <w:pStyle w:val="25"/>
      <w:ind w:firstLine="42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0043">
    <w:pPr>
      <w:pStyle w:val="25"/>
      <w:ind w:firstLine="425"/>
      <w:rPr>
        <w:rFonts w:hint="eastAsia"/>
      </w:rPr>
    </w:pPr>
    <w:r>
      <w:fldChar w:fldCharType="begin"/>
    </w:r>
    <w:r>
      <w:rPr>
        <w:rStyle w:val="42"/>
      </w:rPr>
      <w:instrText xml:space="preserve">PAGE  </w:instrText>
    </w:r>
    <w:r>
      <w:fldChar w:fldCharType="separate"/>
    </w:r>
    <w:r>
      <w:rPr>
        <w:rStyle w:val="42"/>
      </w:rPr>
      <w:t>1</w:t>
    </w:r>
    <w:r>
      <w:fldChar w:fldCharType="end"/>
    </w:r>
  </w:p>
  <w:p w14:paraId="60A7D02C">
    <w:pPr>
      <w:pStyle w:val="25"/>
      <w:ind w:firstLine="42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477F">
    <w:pPr>
      <w:pStyle w:val="25"/>
      <w:ind w:firstLine="42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26955">
    <w:pPr>
      <w:pStyle w:val="25"/>
      <w:ind w:firstLine="425"/>
      <w:rPr>
        <w:rFonts w:hint="eastAsia"/>
      </w:rPr>
    </w:pPr>
    <w:r>
      <w:fldChar w:fldCharType="begin"/>
    </w:r>
    <w:r>
      <w:rPr>
        <w:rStyle w:val="42"/>
      </w:rPr>
      <w:instrText xml:space="preserve">PAGE  </w:instrText>
    </w:r>
    <w:r>
      <w:fldChar w:fldCharType="separate"/>
    </w:r>
    <w:r>
      <w:rPr>
        <w:rStyle w:val="42"/>
      </w:rPr>
      <w:t>1</w:t>
    </w:r>
    <w:r>
      <w:fldChar w:fldCharType="end"/>
    </w:r>
  </w:p>
  <w:p w14:paraId="57CFCC33">
    <w:pPr>
      <w:pStyle w:val="25"/>
      <w:ind w:firstLine="42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CAD19">
    <w:pPr>
      <w:pStyle w:val="25"/>
      <w:ind w:firstLine="425"/>
      <w:jc w:val="center"/>
      <w:rPr>
        <w:rFonts w:hint="eastAsia"/>
      </w:rPr>
    </w:pPr>
    <w:r>
      <w:fldChar w:fldCharType="begin"/>
    </w:r>
    <w:r>
      <w:rPr>
        <w:rStyle w:val="42"/>
      </w:rPr>
      <w:instrText xml:space="preserve">PAGE  </w:instrText>
    </w:r>
    <w:r>
      <w:fldChar w:fldCharType="separate"/>
    </w:r>
    <w:r>
      <w:rPr>
        <w:rStyle w:val="42"/>
      </w:rPr>
      <w:t>14</w:t>
    </w:r>
    <w:r>
      <w:fldChar w:fldCharType="end"/>
    </w:r>
  </w:p>
  <w:p w14:paraId="3D795DC4">
    <w:pPr>
      <w:pStyle w:val="25"/>
      <w:ind w:firstLine="425"/>
      <w:rPr>
        <w:rFonts w:hint="eastAsia"/>
      </w:rPr>
    </w:pPr>
  </w:p>
  <w:p w14:paraId="740EFF31">
    <w:pPr>
      <w:pStyle w:val="25"/>
      <w:ind w:firstLine="42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6"/>
      </w:pPr>
      <w:r>
        <w:separator/>
      </w:r>
    </w:p>
  </w:footnote>
  <w:footnote w:type="continuationSeparator" w:id="1">
    <w:p>
      <w:pPr>
        <w:spacing w:line="360" w:lineRule="auto"/>
        <w:ind w:firstLine="56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EA11">
    <w:pPr>
      <w:pStyle w:val="26"/>
      <w:pBdr>
        <w:bottom w:val="none" w:color="auto" w:sz="0" w:space="0"/>
      </w:pBdr>
      <w:ind w:firstLine="425"/>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45FC5">
    <w:pPr>
      <w:pStyle w:val="26"/>
      <w:ind w:firstLine="425"/>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7ABC">
    <w:pPr>
      <w:pStyle w:val="26"/>
      <w:ind w:firstLine="425"/>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0C84B">
    <w:pPr>
      <w:pStyle w:val="26"/>
      <w:ind w:firstLine="425"/>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F3E99"/>
    <w:multiLevelType w:val="singleLevel"/>
    <w:tmpl w:val="AFCF3E99"/>
    <w:lvl w:ilvl="0" w:tentative="0">
      <w:start w:val="1"/>
      <w:numFmt w:val="decimal"/>
      <w:lvlText w:val="%1."/>
      <w:lvlJc w:val="left"/>
      <w:pPr>
        <w:tabs>
          <w:tab w:val="left" w:pos="312"/>
        </w:tabs>
      </w:pPr>
    </w:lvl>
  </w:abstractNum>
  <w:abstractNum w:abstractNumId="1">
    <w:nsid w:val="013D3292"/>
    <w:multiLevelType w:val="multilevel"/>
    <w:tmpl w:val="013D3292"/>
    <w:lvl w:ilvl="0" w:tentative="0">
      <w:start w:val="1"/>
      <w:numFmt w:val="decimal"/>
      <w:lvlText w:val="%1．"/>
      <w:lvlJc w:val="left"/>
      <w:pPr>
        <w:ind w:left="926" w:hanging="36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
    <w:nsid w:val="06117BE3"/>
    <w:multiLevelType w:val="multilevel"/>
    <w:tmpl w:val="06117BE3"/>
    <w:lvl w:ilvl="0" w:tentative="0">
      <w:start w:val="1"/>
      <w:numFmt w:val="decimal"/>
      <w:lvlText w:val="（%1）"/>
      <w:lvlJc w:val="left"/>
      <w:pPr>
        <w:ind w:left="986" w:hanging="4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08875A58"/>
    <w:multiLevelType w:val="multilevel"/>
    <w:tmpl w:val="08875A58"/>
    <w:lvl w:ilvl="0" w:tentative="0">
      <w:start w:val="1"/>
      <w:numFmt w:val="upperLetter"/>
      <w:lvlText w:val="%1."/>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4">
    <w:nsid w:val="2BC96E26"/>
    <w:multiLevelType w:val="multilevel"/>
    <w:tmpl w:val="2BC96E26"/>
    <w:lvl w:ilvl="0" w:tentative="0">
      <w:start w:val="1"/>
      <w:numFmt w:val="upperLetter"/>
      <w:lvlText w:val="%1."/>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5">
    <w:nsid w:val="33521B68"/>
    <w:multiLevelType w:val="multilevel"/>
    <w:tmpl w:val="33521B68"/>
    <w:lvl w:ilvl="0" w:tentative="0">
      <w:start w:val="1"/>
      <w:numFmt w:val="decimal"/>
      <w:pStyle w:val="2"/>
      <w:lvlText w:val="第%1章"/>
      <w:lvlJc w:val="left"/>
      <w:pPr>
        <w:ind w:left="0" w:firstLine="0"/>
      </w:pPr>
      <w:rPr>
        <w:rFonts w:hint="eastAsia"/>
      </w:rPr>
    </w:lvl>
    <w:lvl w:ilvl="1" w:tentative="0">
      <w:start w:val="1"/>
      <w:numFmt w:val="decimal"/>
      <w:pStyle w:val="3"/>
      <w:lvlText w:val="%1.%2"/>
      <w:lvlJc w:val="left"/>
      <w:pPr>
        <w:ind w:left="0" w:firstLine="0"/>
      </w:pPr>
      <w:rPr>
        <w:rFonts w:hint="eastAsia" w:asciiTheme="minorEastAsia" w:hAnsiTheme="minorEastAsia" w:eastAsiaTheme="minorEastAsia"/>
      </w:rPr>
    </w:lvl>
    <w:lvl w:ilvl="2" w:tentative="0">
      <w:start w:val="1"/>
      <w:numFmt w:val="decimal"/>
      <w:pStyle w:val="4"/>
      <w:suff w:val="space"/>
      <w:lvlText w:val="%1.%2.%3"/>
      <w:lvlJc w:val="left"/>
      <w:pPr>
        <w:ind w:left="0" w:firstLine="0"/>
      </w:pPr>
      <w:rPr>
        <w:rFonts w:hint="eastAsia" w:asciiTheme="minorEastAsia" w:hAnsiTheme="minorEastAsia" w:eastAsiaTheme="minorEastAsia"/>
      </w:rPr>
    </w:lvl>
    <w:lvl w:ilvl="3" w:tentative="0">
      <w:start w:val="1"/>
      <w:numFmt w:val="decimal"/>
      <w:pStyle w:val="5"/>
      <w:lvlText w:val="%1.%2.%3.%4"/>
      <w:lvlJc w:val="left"/>
      <w:pPr>
        <w:ind w:left="4253" w:firstLine="0"/>
      </w:pPr>
      <w:rPr>
        <w:rFonts w:hint="eastAsia" w:asciiTheme="minorEastAsia" w:hAnsiTheme="minorEastAsia" w:eastAsiaTheme="minorEastAsia"/>
      </w:rPr>
    </w:lvl>
    <w:lvl w:ilvl="4" w:tentative="0">
      <w:start w:val="1"/>
      <w:numFmt w:val="decimal"/>
      <w:pStyle w:val="7"/>
      <w:lvlText w:val="%1.%2.%3.%4.%5"/>
      <w:lvlJc w:val="left"/>
      <w:pPr>
        <w:ind w:left="0" w:firstLine="0"/>
      </w:pPr>
      <w:rPr>
        <w:rFonts w:hint="eastAsia"/>
      </w:rPr>
    </w:lvl>
    <w:lvl w:ilvl="5" w:tentative="0">
      <w:start w:val="1"/>
      <w:numFmt w:val="decimal"/>
      <w:pStyle w:val="8"/>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pStyle w:val="10"/>
      <w:lvlText w:val="%1.%2.%3.%4.%5.%6.%7.%8"/>
      <w:lvlJc w:val="left"/>
      <w:pPr>
        <w:ind w:left="0" w:firstLine="0"/>
      </w:pPr>
      <w:rPr>
        <w:rFonts w:hint="eastAsia"/>
      </w:rPr>
    </w:lvl>
    <w:lvl w:ilvl="8" w:tentative="0">
      <w:start w:val="1"/>
      <w:numFmt w:val="decimal"/>
      <w:pStyle w:val="11"/>
      <w:lvlText w:val="%1.%2.%3.%4.%5.%6.%7.%8.%9"/>
      <w:lvlJc w:val="left"/>
      <w:pPr>
        <w:ind w:left="0" w:firstLine="0"/>
      </w:pPr>
      <w:rPr>
        <w:rFonts w:hint="eastAsia"/>
      </w:rPr>
    </w:lvl>
  </w:abstractNum>
  <w:abstractNum w:abstractNumId="6">
    <w:nsid w:val="39257ED6"/>
    <w:multiLevelType w:val="multilevel"/>
    <w:tmpl w:val="39257ED6"/>
    <w:lvl w:ilvl="0" w:tentative="0">
      <w:start w:val="1"/>
      <w:numFmt w:val="decimal"/>
      <w:lvlText w:val="%1、"/>
      <w:lvlJc w:val="left"/>
      <w:pPr>
        <w:ind w:left="420" w:hanging="420"/>
      </w:pPr>
      <w:rPr>
        <w:rFonts w:hint="default" w:ascii="宋体" w:hAnsi="宋体" w:eastAsia="宋体"/>
        <w:bC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E751976"/>
    <w:multiLevelType w:val="multilevel"/>
    <w:tmpl w:val="4E751976"/>
    <w:lvl w:ilvl="0" w:tentative="0">
      <w:start w:val="1"/>
      <w:numFmt w:val="decimal"/>
      <w:lvlText w:val="%1)"/>
      <w:lvlJc w:val="left"/>
      <w:pPr>
        <w:ind w:left="984" w:hanging="420"/>
      </w:pPr>
    </w:lvl>
    <w:lvl w:ilvl="1" w:tentative="0">
      <w:start w:val="1"/>
      <w:numFmt w:val="lowerLetter"/>
      <w:lvlText w:val="%2)"/>
      <w:lvlJc w:val="left"/>
      <w:pPr>
        <w:ind w:left="1404" w:hanging="420"/>
      </w:pPr>
    </w:lvl>
    <w:lvl w:ilvl="2" w:tentative="0">
      <w:start w:val="1"/>
      <w:numFmt w:val="lowerRoman"/>
      <w:lvlText w:val="%3."/>
      <w:lvlJc w:val="right"/>
      <w:pPr>
        <w:ind w:left="1824" w:hanging="420"/>
      </w:pPr>
    </w:lvl>
    <w:lvl w:ilvl="3" w:tentative="0">
      <w:start w:val="1"/>
      <w:numFmt w:val="decimal"/>
      <w:lvlText w:val="%4."/>
      <w:lvlJc w:val="left"/>
      <w:pPr>
        <w:ind w:left="2244" w:hanging="420"/>
      </w:pPr>
    </w:lvl>
    <w:lvl w:ilvl="4" w:tentative="0">
      <w:start w:val="1"/>
      <w:numFmt w:val="lowerLetter"/>
      <w:lvlText w:val="%5)"/>
      <w:lvlJc w:val="left"/>
      <w:pPr>
        <w:ind w:left="2664" w:hanging="420"/>
      </w:pPr>
    </w:lvl>
    <w:lvl w:ilvl="5" w:tentative="0">
      <w:start w:val="1"/>
      <w:numFmt w:val="lowerRoman"/>
      <w:lvlText w:val="%6."/>
      <w:lvlJc w:val="right"/>
      <w:pPr>
        <w:ind w:left="3084" w:hanging="420"/>
      </w:pPr>
    </w:lvl>
    <w:lvl w:ilvl="6" w:tentative="0">
      <w:start w:val="1"/>
      <w:numFmt w:val="decimal"/>
      <w:lvlText w:val="%7."/>
      <w:lvlJc w:val="left"/>
      <w:pPr>
        <w:ind w:left="3504" w:hanging="420"/>
      </w:pPr>
    </w:lvl>
    <w:lvl w:ilvl="7" w:tentative="0">
      <w:start w:val="1"/>
      <w:numFmt w:val="lowerLetter"/>
      <w:lvlText w:val="%8)"/>
      <w:lvlJc w:val="left"/>
      <w:pPr>
        <w:ind w:left="3924" w:hanging="420"/>
      </w:pPr>
    </w:lvl>
    <w:lvl w:ilvl="8" w:tentative="0">
      <w:start w:val="1"/>
      <w:numFmt w:val="lowerRoman"/>
      <w:lvlText w:val="%9."/>
      <w:lvlJc w:val="right"/>
      <w:pPr>
        <w:ind w:left="4344" w:hanging="420"/>
      </w:pPr>
    </w:lvl>
  </w:abstractNum>
  <w:abstractNum w:abstractNumId="8">
    <w:nsid w:val="50464267"/>
    <w:multiLevelType w:val="multilevel"/>
    <w:tmpl w:val="50464267"/>
    <w:lvl w:ilvl="0" w:tentative="0">
      <w:start w:val="1"/>
      <w:numFmt w:val="decimal"/>
      <w:pStyle w:val="101"/>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9">
    <w:nsid w:val="53B6C72C"/>
    <w:multiLevelType w:val="singleLevel"/>
    <w:tmpl w:val="53B6C72C"/>
    <w:lvl w:ilvl="0" w:tentative="0">
      <w:start w:val="1"/>
      <w:numFmt w:val="decimal"/>
      <w:suff w:val="nothing"/>
      <w:lvlText w:val="（%1）"/>
      <w:lvlJc w:val="left"/>
    </w:lvl>
  </w:abstractNum>
  <w:abstractNum w:abstractNumId="10">
    <w:nsid w:val="70F90E0D"/>
    <w:multiLevelType w:val="singleLevel"/>
    <w:tmpl w:val="70F90E0D"/>
    <w:lvl w:ilvl="0" w:tentative="0">
      <w:start w:val="1"/>
      <w:numFmt w:val="decimal"/>
      <w:lvlText w:val="%1."/>
      <w:lvlJc w:val="left"/>
      <w:pPr>
        <w:tabs>
          <w:tab w:val="left" w:pos="312"/>
        </w:tabs>
      </w:pPr>
    </w:lvl>
  </w:abstractNum>
  <w:abstractNum w:abstractNumId="11">
    <w:nsid w:val="74D313B8"/>
    <w:multiLevelType w:val="multilevel"/>
    <w:tmpl w:val="74D313B8"/>
    <w:lvl w:ilvl="0" w:tentative="0">
      <w:start w:val="1"/>
      <w:numFmt w:val="upperLetter"/>
      <w:lvlText w:val="%1."/>
      <w:lvlJc w:val="left"/>
      <w:pPr>
        <w:ind w:left="420" w:hanging="420"/>
      </w:pPr>
      <w:rPr>
        <w:rFonts w:hint="default" w:ascii="宋体" w:hAnsi="宋体" w:eastAsia="宋体"/>
        <w:bCs/>
      </w:rPr>
    </w:lvl>
    <w:lvl w:ilvl="1" w:tentative="0">
      <w:start w:val="1"/>
      <w:numFmt w:val="lowerLetter"/>
      <w:lvlText w:val="%2)"/>
      <w:lvlJc w:val="left"/>
      <w:pPr>
        <w:ind w:left="840" w:hanging="420"/>
      </w:pPr>
      <w:rPr>
        <w:rFonts w:hint="default" w:ascii="宋体" w:hAnsi="宋体" w:eastAsia="宋体"/>
        <w:bCs/>
      </w:rPr>
    </w:lvl>
    <w:lvl w:ilvl="2" w:tentative="0">
      <w:start w:val="1"/>
      <w:numFmt w:val="lowerRoman"/>
      <w:lvlText w:val="%3."/>
      <w:lvlJc w:val="left"/>
      <w:pPr>
        <w:ind w:left="1260" w:hanging="420"/>
      </w:pPr>
      <w:rPr>
        <w:rFonts w:hint="default" w:ascii="宋体" w:hAnsi="宋体" w:eastAsia="宋体"/>
        <w:bCs/>
      </w:rPr>
    </w:lvl>
    <w:lvl w:ilvl="3" w:tentative="0">
      <w:start w:val="1"/>
      <w:numFmt w:val="decimal"/>
      <w:lvlText w:val="%4."/>
      <w:lvlJc w:val="left"/>
      <w:pPr>
        <w:ind w:left="1680" w:hanging="420"/>
      </w:pPr>
      <w:rPr>
        <w:rFonts w:hint="default" w:ascii="宋体" w:hAnsi="宋体" w:eastAsia="宋体"/>
        <w:bCs/>
      </w:rPr>
    </w:lvl>
    <w:lvl w:ilvl="4" w:tentative="0">
      <w:start w:val="1"/>
      <w:numFmt w:val="lowerLetter"/>
      <w:lvlText w:val="%5)"/>
      <w:lvlJc w:val="left"/>
      <w:pPr>
        <w:ind w:left="2100" w:hanging="420"/>
      </w:pPr>
      <w:rPr>
        <w:rFonts w:hint="default" w:ascii="宋体" w:hAnsi="宋体" w:eastAsia="宋体"/>
        <w:bCs/>
      </w:rPr>
    </w:lvl>
    <w:lvl w:ilvl="5" w:tentative="0">
      <w:start w:val="1"/>
      <w:numFmt w:val="lowerRoman"/>
      <w:lvlText w:val="%6."/>
      <w:lvlJc w:val="left"/>
      <w:pPr>
        <w:ind w:left="2520" w:hanging="420"/>
      </w:pPr>
      <w:rPr>
        <w:rFonts w:hint="default" w:ascii="宋体" w:hAnsi="宋体" w:eastAsia="宋体"/>
        <w:bCs/>
      </w:rPr>
    </w:lvl>
    <w:lvl w:ilvl="6" w:tentative="0">
      <w:start w:val="1"/>
      <w:numFmt w:val="decimal"/>
      <w:lvlText w:val="%7."/>
      <w:lvlJc w:val="left"/>
      <w:pPr>
        <w:ind w:left="2940" w:hanging="420"/>
      </w:pPr>
      <w:rPr>
        <w:rFonts w:hint="default" w:ascii="宋体" w:hAnsi="宋体" w:eastAsia="宋体"/>
        <w:bCs/>
      </w:rPr>
    </w:lvl>
    <w:lvl w:ilvl="7" w:tentative="0">
      <w:start w:val="1"/>
      <w:numFmt w:val="lowerLetter"/>
      <w:lvlText w:val="%8)"/>
      <w:lvlJc w:val="left"/>
      <w:pPr>
        <w:ind w:left="3360" w:hanging="420"/>
      </w:pPr>
      <w:rPr>
        <w:rFonts w:hint="default" w:ascii="宋体" w:hAnsi="宋体" w:eastAsia="宋体"/>
        <w:bCs/>
      </w:rPr>
    </w:lvl>
    <w:lvl w:ilvl="8" w:tentative="0">
      <w:start w:val="1"/>
      <w:numFmt w:val="lowerRoman"/>
      <w:lvlText w:val="%9."/>
      <w:lvlJc w:val="left"/>
      <w:pPr>
        <w:ind w:left="3780" w:hanging="420"/>
      </w:pPr>
      <w:rPr>
        <w:rFonts w:hint="default" w:ascii="宋体" w:hAnsi="宋体" w:eastAsia="宋体"/>
        <w:bCs/>
      </w:rPr>
    </w:lvl>
  </w:abstractNum>
  <w:abstractNum w:abstractNumId="12">
    <w:nsid w:val="7B6772FC"/>
    <w:multiLevelType w:val="multilevel"/>
    <w:tmpl w:val="7B6772FC"/>
    <w:lvl w:ilvl="0" w:tentative="0">
      <w:start w:val="1"/>
      <w:numFmt w:val="decimal"/>
      <w:lvlText w:val="（%1）"/>
      <w:lvlJc w:val="left"/>
      <w:pPr>
        <w:ind w:left="986" w:hanging="420"/>
      </w:pPr>
      <w:rPr>
        <w:rFonts w:hint="default" w:asciiTheme="minorEastAsia" w:hAnsiTheme="minorEastAsia" w:eastAsiaTheme="minorEastAsia"/>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5"/>
  </w:num>
  <w:num w:numId="2">
    <w:abstractNumId w:val="8"/>
  </w:num>
  <w:num w:numId="3">
    <w:abstractNumId w:val="1"/>
  </w:num>
  <w:num w:numId="4">
    <w:abstractNumId w:val="12"/>
  </w:num>
  <w:num w:numId="5">
    <w:abstractNumId w:val="7"/>
  </w:num>
  <w:num w:numId="6">
    <w:abstractNumId w:val="9"/>
  </w:num>
  <w:num w:numId="7">
    <w:abstractNumId w:val="2"/>
  </w:num>
  <w:num w:numId="8">
    <w:abstractNumId w:val="10"/>
  </w:num>
  <w:num w:numId="9">
    <w:abstractNumId w:val="0"/>
  </w:num>
  <w:num w:numId="10">
    <w:abstractNumId w:val="6"/>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hideSpellingErrors/>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1YzBiYjc3YTRlZTU3Yjg2NjgxOWE1NWJlNDRkZjEifQ=="/>
  </w:docVars>
  <w:rsids>
    <w:rsidRoot w:val="00172A27"/>
    <w:rsid w:val="0000625F"/>
    <w:rsid w:val="0000771C"/>
    <w:rsid w:val="00012ED1"/>
    <w:rsid w:val="000145DD"/>
    <w:rsid w:val="00015B43"/>
    <w:rsid w:val="00015E1F"/>
    <w:rsid w:val="0001735F"/>
    <w:rsid w:val="0002068A"/>
    <w:rsid w:val="00022869"/>
    <w:rsid w:val="00022908"/>
    <w:rsid w:val="00023AC5"/>
    <w:rsid w:val="00023B01"/>
    <w:rsid w:val="0002463A"/>
    <w:rsid w:val="00025CFA"/>
    <w:rsid w:val="00026834"/>
    <w:rsid w:val="000272C3"/>
    <w:rsid w:val="00031D59"/>
    <w:rsid w:val="00033037"/>
    <w:rsid w:val="000406F3"/>
    <w:rsid w:val="00040B5C"/>
    <w:rsid w:val="00041C5C"/>
    <w:rsid w:val="00044003"/>
    <w:rsid w:val="00050B72"/>
    <w:rsid w:val="00050C9F"/>
    <w:rsid w:val="000526AB"/>
    <w:rsid w:val="000533B2"/>
    <w:rsid w:val="00053FF6"/>
    <w:rsid w:val="00054EA9"/>
    <w:rsid w:val="00054EFF"/>
    <w:rsid w:val="00062FFE"/>
    <w:rsid w:val="00063F73"/>
    <w:rsid w:val="00064673"/>
    <w:rsid w:val="00065433"/>
    <w:rsid w:val="000661CB"/>
    <w:rsid w:val="00070326"/>
    <w:rsid w:val="00070635"/>
    <w:rsid w:val="00070C65"/>
    <w:rsid w:val="000741A9"/>
    <w:rsid w:val="00074E3E"/>
    <w:rsid w:val="00076FBB"/>
    <w:rsid w:val="00077460"/>
    <w:rsid w:val="0008006F"/>
    <w:rsid w:val="00080F2B"/>
    <w:rsid w:val="000824D4"/>
    <w:rsid w:val="000845DB"/>
    <w:rsid w:val="00087826"/>
    <w:rsid w:val="00090AD1"/>
    <w:rsid w:val="00091226"/>
    <w:rsid w:val="00092BA0"/>
    <w:rsid w:val="000941C4"/>
    <w:rsid w:val="0009430D"/>
    <w:rsid w:val="00094F6F"/>
    <w:rsid w:val="000A0C01"/>
    <w:rsid w:val="000A13F3"/>
    <w:rsid w:val="000A611E"/>
    <w:rsid w:val="000A7B00"/>
    <w:rsid w:val="000B0311"/>
    <w:rsid w:val="000B168D"/>
    <w:rsid w:val="000B22B5"/>
    <w:rsid w:val="000B3CE5"/>
    <w:rsid w:val="000B44C0"/>
    <w:rsid w:val="000B4888"/>
    <w:rsid w:val="000B4AFC"/>
    <w:rsid w:val="000B528A"/>
    <w:rsid w:val="000B60B1"/>
    <w:rsid w:val="000C38A7"/>
    <w:rsid w:val="000D30AF"/>
    <w:rsid w:val="000D3ACA"/>
    <w:rsid w:val="000D3F94"/>
    <w:rsid w:val="000D4A30"/>
    <w:rsid w:val="000D6F66"/>
    <w:rsid w:val="000D7A39"/>
    <w:rsid w:val="000E0CFA"/>
    <w:rsid w:val="000E1DE6"/>
    <w:rsid w:val="000E3D44"/>
    <w:rsid w:val="000E49DB"/>
    <w:rsid w:val="000E4F22"/>
    <w:rsid w:val="000F15E6"/>
    <w:rsid w:val="000F496D"/>
    <w:rsid w:val="000F7CFE"/>
    <w:rsid w:val="000F7F23"/>
    <w:rsid w:val="00101F31"/>
    <w:rsid w:val="00104D08"/>
    <w:rsid w:val="001115D8"/>
    <w:rsid w:val="001137C0"/>
    <w:rsid w:val="0011517F"/>
    <w:rsid w:val="0011563A"/>
    <w:rsid w:val="001158D4"/>
    <w:rsid w:val="0012242E"/>
    <w:rsid w:val="00122F31"/>
    <w:rsid w:val="001233E2"/>
    <w:rsid w:val="0012644F"/>
    <w:rsid w:val="00126C9F"/>
    <w:rsid w:val="00126E55"/>
    <w:rsid w:val="0013171D"/>
    <w:rsid w:val="00140C0A"/>
    <w:rsid w:val="00142DE1"/>
    <w:rsid w:val="00143E94"/>
    <w:rsid w:val="0014645E"/>
    <w:rsid w:val="0014648D"/>
    <w:rsid w:val="00146CC1"/>
    <w:rsid w:val="00150145"/>
    <w:rsid w:val="00150B87"/>
    <w:rsid w:val="00152E17"/>
    <w:rsid w:val="00155418"/>
    <w:rsid w:val="00160976"/>
    <w:rsid w:val="0016300F"/>
    <w:rsid w:val="001631C6"/>
    <w:rsid w:val="0016368A"/>
    <w:rsid w:val="00166AE5"/>
    <w:rsid w:val="00172358"/>
    <w:rsid w:val="00172A27"/>
    <w:rsid w:val="00177FF3"/>
    <w:rsid w:val="001805F4"/>
    <w:rsid w:val="001901BC"/>
    <w:rsid w:val="001918DC"/>
    <w:rsid w:val="001962AC"/>
    <w:rsid w:val="00197AE6"/>
    <w:rsid w:val="001A0727"/>
    <w:rsid w:val="001A195A"/>
    <w:rsid w:val="001A2A19"/>
    <w:rsid w:val="001A457F"/>
    <w:rsid w:val="001A492A"/>
    <w:rsid w:val="001A516F"/>
    <w:rsid w:val="001B1495"/>
    <w:rsid w:val="001B4C51"/>
    <w:rsid w:val="001B74FA"/>
    <w:rsid w:val="001C1E0B"/>
    <w:rsid w:val="001C2C83"/>
    <w:rsid w:val="001D00CB"/>
    <w:rsid w:val="001D4F3A"/>
    <w:rsid w:val="001D605C"/>
    <w:rsid w:val="001E1752"/>
    <w:rsid w:val="001E4D3A"/>
    <w:rsid w:val="001E6AC6"/>
    <w:rsid w:val="001F53D6"/>
    <w:rsid w:val="001F5ED3"/>
    <w:rsid w:val="002017F9"/>
    <w:rsid w:val="002028CC"/>
    <w:rsid w:val="00207C42"/>
    <w:rsid w:val="00210B94"/>
    <w:rsid w:val="00212611"/>
    <w:rsid w:val="002127CD"/>
    <w:rsid w:val="00212A5B"/>
    <w:rsid w:val="0021346C"/>
    <w:rsid w:val="00213ED6"/>
    <w:rsid w:val="002210C9"/>
    <w:rsid w:val="00223EC4"/>
    <w:rsid w:val="0023020E"/>
    <w:rsid w:val="0023174E"/>
    <w:rsid w:val="00233BEE"/>
    <w:rsid w:val="0023522E"/>
    <w:rsid w:val="0024563E"/>
    <w:rsid w:val="00250B14"/>
    <w:rsid w:val="00253CDC"/>
    <w:rsid w:val="00256278"/>
    <w:rsid w:val="00260BA7"/>
    <w:rsid w:val="00261A6D"/>
    <w:rsid w:val="00263B37"/>
    <w:rsid w:val="002640D8"/>
    <w:rsid w:val="0026636E"/>
    <w:rsid w:val="0026648D"/>
    <w:rsid w:val="00266DE1"/>
    <w:rsid w:val="002722C7"/>
    <w:rsid w:val="00273799"/>
    <w:rsid w:val="00275A22"/>
    <w:rsid w:val="002774FD"/>
    <w:rsid w:val="002777E1"/>
    <w:rsid w:val="002779AB"/>
    <w:rsid w:val="002860A7"/>
    <w:rsid w:val="00290799"/>
    <w:rsid w:val="0029371F"/>
    <w:rsid w:val="002938B5"/>
    <w:rsid w:val="00293BA9"/>
    <w:rsid w:val="00293C94"/>
    <w:rsid w:val="002951A8"/>
    <w:rsid w:val="00297B4E"/>
    <w:rsid w:val="002A2983"/>
    <w:rsid w:val="002A35DB"/>
    <w:rsid w:val="002A530B"/>
    <w:rsid w:val="002A56A0"/>
    <w:rsid w:val="002A5A1A"/>
    <w:rsid w:val="002A6A1F"/>
    <w:rsid w:val="002B005D"/>
    <w:rsid w:val="002B2BF2"/>
    <w:rsid w:val="002C0BA2"/>
    <w:rsid w:val="002C338E"/>
    <w:rsid w:val="002C5CB4"/>
    <w:rsid w:val="002C778F"/>
    <w:rsid w:val="002D0056"/>
    <w:rsid w:val="002D0CB1"/>
    <w:rsid w:val="002D1869"/>
    <w:rsid w:val="002D24A9"/>
    <w:rsid w:val="002D2908"/>
    <w:rsid w:val="002D3F61"/>
    <w:rsid w:val="002D41D4"/>
    <w:rsid w:val="002D4551"/>
    <w:rsid w:val="002D45EF"/>
    <w:rsid w:val="002D6200"/>
    <w:rsid w:val="002E03F2"/>
    <w:rsid w:val="002E047F"/>
    <w:rsid w:val="002E24ED"/>
    <w:rsid w:val="002E74E6"/>
    <w:rsid w:val="002F0D7E"/>
    <w:rsid w:val="002F24A8"/>
    <w:rsid w:val="002F45B9"/>
    <w:rsid w:val="002F6288"/>
    <w:rsid w:val="002F76E0"/>
    <w:rsid w:val="0030394D"/>
    <w:rsid w:val="00305544"/>
    <w:rsid w:val="003060C1"/>
    <w:rsid w:val="0031343B"/>
    <w:rsid w:val="00313EF8"/>
    <w:rsid w:val="003142EA"/>
    <w:rsid w:val="00315C07"/>
    <w:rsid w:val="00315D92"/>
    <w:rsid w:val="00320DB3"/>
    <w:rsid w:val="00322D88"/>
    <w:rsid w:val="003234B3"/>
    <w:rsid w:val="0032460F"/>
    <w:rsid w:val="003303FB"/>
    <w:rsid w:val="003306FE"/>
    <w:rsid w:val="00331D3F"/>
    <w:rsid w:val="00334877"/>
    <w:rsid w:val="00337187"/>
    <w:rsid w:val="00341563"/>
    <w:rsid w:val="00341D3D"/>
    <w:rsid w:val="00345F0B"/>
    <w:rsid w:val="00355A3C"/>
    <w:rsid w:val="00360425"/>
    <w:rsid w:val="00360673"/>
    <w:rsid w:val="003708CD"/>
    <w:rsid w:val="00374968"/>
    <w:rsid w:val="00374C2C"/>
    <w:rsid w:val="0037570A"/>
    <w:rsid w:val="003776A1"/>
    <w:rsid w:val="003816C9"/>
    <w:rsid w:val="003819BC"/>
    <w:rsid w:val="0038327F"/>
    <w:rsid w:val="00383B1D"/>
    <w:rsid w:val="00385E39"/>
    <w:rsid w:val="00386B9B"/>
    <w:rsid w:val="00387581"/>
    <w:rsid w:val="00390A36"/>
    <w:rsid w:val="00390ECB"/>
    <w:rsid w:val="003920D6"/>
    <w:rsid w:val="003939B9"/>
    <w:rsid w:val="00393CFC"/>
    <w:rsid w:val="00394FE7"/>
    <w:rsid w:val="0039605C"/>
    <w:rsid w:val="003A05A0"/>
    <w:rsid w:val="003A2E17"/>
    <w:rsid w:val="003A5282"/>
    <w:rsid w:val="003A65AB"/>
    <w:rsid w:val="003B33E9"/>
    <w:rsid w:val="003B3C9D"/>
    <w:rsid w:val="003B3D0F"/>
    <w:rsid w:val="003B567A"/>
    <w:rsid w:val="003B79BD"/>
    <w:rsid w:val="003C1414"/>
    <w:rsid w:val="003C4F81"/>
    <w:rsid w:val="003C67F8"/>
    <w:rsid w:val="003C68B0"/>
    <w:rsid w:val="003D0722"/>
    <w:rsid w:val="003D164F"/>
    <w:rsid w:val="003D7B71"/>
    <w:rsid w:val="003E1C2F"/>
    <w:rsid w:val="003E1F93"/>
    <w:rsid w:val="003E2052"/>
    <w:rsid w:val="003E597F"/>
    <w:rsid w:val="003E658D"/>
    <w:rsid w:val="003E797F"/>
    <w:rsid w:val="003F08B2"/>
    <w:rsid w:val="003F6E14"/>
    <w:rsid w:val="003F7A43"/>
    <w:rsid w:val="003F7F10"/>
    <w:rsid w:val="00403018"/>
    <w:rsid w:val="00404F3C"/>
    <w:rsid w:val="00405683"/>
    <w:rsid w:val="0040602C"/>
    <w:rsid w:val="00411B0D"/>
    <w:rsid w:val="0041290E"/>
    <w:rsid w:val="00420683"/>
    <w:rsid w:val="004218A7"/>
    <w:rsid w:val="00422BF6"/>
    <w:rsid w:val="0042422D"/>
    <w:rsid w:val="004242D6"/>
    <w:rsid w:val="00425251"/>
    <w:rsid w:val="004255F2"/>
    <w:rsid w:val="00430051"/>
    <w:rsid w:val="00433237"/>
    <w:rsid w:val="004332FF"/>
    <w:rsid w:val="00435C0F"/>
    <w:rsid w:val="00437877"/>
    <w:rsid w:val="00437AF6"/>
    <w:rsid w:val="00446DE5"/>
    <w:rsid w:val="00447D82"/>
    <w:rsid w:val="0045297C"/>
    <w:rsid w:val="00452C63"/>
    <w:rsid w:val="00452E45"/>
    <w:rsid w:val="00453E28"/>
    <w:rsid w:val="00454FDA"/>
    <w:rsid w:val="00460166"/>
    <w:rsid w:val="00463DCB"/>
    <w:rsid w:val="0046442C"/>
    <w:rsid w:val="00464954"/>
    <w:rsid w:val="00471B51"/>
    <w:rsid w:val="0047304A"/>
    <w:rsid w:val="00475440"/>
    <w:rsid w:val="004808A1"/>
    <w:rsid w:val="00483427"/>
    <w:rsid w:val="0048631C"/>
    <w:rsid w:val="00493837"/>
    <w:rsid w:val="00496138"/>
    <w:rsid w:val="004976FE"/>
    <w:rsid w:val="004A31A9"/>
    <w:rsid w:val="004A6C11"/>
    <w:rsid w:val="004A79FE"/>
    <w:rsid w:val="004B0381"/>
    <w:rsid w:val="004B0BF7"/>
    <w:rsid w:val="004B4534"/>
    <w:rsid w:val="004B5CBD"/>
    <w:rsid w:val="004C41FB"/>
    <w:rsid w:val="004C48ED"/>
    <w:rsid w:val="004C7568"/>
    <w:rsid w:val="004D01F6"/>
    <w:rsid w:val="004D5421"/>
    <w:rsid w:val="004D7EA9"/>
    <w:rsid w:val="004D7F7B"/>
    <w:rsid w:val="004E09C7"/>
    <w:rsid w:val="004E7797"/>
    <w:rsid w:val="004F1B39"/>
    <w:rsid w:val="004F1D81"/>
    <w:rsid w:val="004F23BC"/>
    <w:rsid w:val="004F23F5"/>
    <w:rsid w:val="004F2D40"/>
    <w:rsid w:val="0050145C"/>
    <w:rsid w:val="00504D6C"/>
    <w:rsid w:val="00510EC1"/>
    <w:rsid w:val="00512CCC"/>
    <w:rsid w:val="00515FF9"/>
    <w:rsid w:val="00521579"/>
    <w:rsid w:val="00521A09"/>
    <w:rsid w:val="00522F03"/>
    <w:rsid w:val="00523198"/>
    <w:rsid w:val="0052641D"/>
    <w:rsid w:val="005332F8"/>
    <w:rsid w:val="005348C1"/>
    <w:rsid w:val="005351A7"/>
    <w:rsid w:val="005357C6"/>
    <w:rsid w:val="00536880"/>
    <w:rsid w:val="00540558"/>
    <w:rsid w:val="00541F39"/>
    <w:rsid w:val="00541F3B"/>
    <w:rsid w:val="00541FC4"/>
    <w:rsid w:val="00543FA8"/>
    <w:rsid w:val="00545513"/>
    <w:rsid w:val="0054791E"/>
    <w:rsid w:val="005550ED"/>
    <w:rsid w:val="00555623"/>
    <w:rsid w:val="005569EF"/>
    <w:rsid w:val="0055760F"/>
    <w:rsid w:val="00557A16"/>
    <w:rsid w:val="00560B6D"/>
    <w:rsid w:val="00565D07"/>
    <w:rsid w:val="00566F49"/>
    <w:rsid w:val="00572E4F"/>
    <w:rsid w:val="00574D1A"/>
    <w:rsid w:val="00576E3C"/>
    <w:rsid w:val="005779EB"/>
    <w:rsid w:val="00581DE4"/>
    <w:rsid w:val="00581E3E"/>
    <w:rsid w:val="00585A28"/>
    <w:rsid w:val="00586A5E"/>
    <w:rsid w:val="005904FD"/>
    <w:rsid w:val="00592301"/>
    <w:rsid w:val="005935C4"/>
    <w:rsid w:val="005937EA"/>
    <w:rsid w:val="00593E6D"/>
    <w:rsid w:val="0059785D"/>
    <w:rsid w:val="005A2FE4"/>
    <w:rsid w:val="005A59DD"/>
    <w:rsid w:val="005A73E3"/>
    <w:rsid w:val="005A78A0"/>
    <w:rsid w:val="005B30E9"/>
    <w:rsid w:val="005C363F"/>
    <w:rsid w:val="005C3FB3"/>
    <w:rsid w:val="005D0924"/>
    <w:rsid w:val="005D3B45"/>
    <w:rsid w:val="005D5CBB"/>
    <w:rsid w:val="005D6784"/>
    <w:rsid w:val="005E0FFF"/>
    <w:rsid w:val="005E1125"/>
    <w:rsid w:val="005E4D06"/>
    <w:rsid w:val="005F0706"/>
    <w:rsid w:val="005F2C44"/>
    <w:rsid w:val="005F7CEF"/>
    <w:rsid w:val="00600682"/>
    <w:rsid w:val="006036F8"/>
    <w:rsid w:val="0060550C"/>
    <w:rsid w:val="00610252"/>
    <w:rsid w:val="00610F2A"/>
    <w:rsid w:val="0061208F"/>
    <w:rsid w:val="00613001"/>
    <w:rsid w:val="00614D05"/>
    <w:rsid w:val="00617145"/>
    <w:rsid w:val="00620875"/>
    <w:rsid w:val="006222A9"/>
    <w:rsid w:val="00625DE2"/>
    <w:rsid w:val="00626BAA"/>
    <w:rsid w:val="00626EF3"/>
    <w:rsid w:val="0063140E"/>
    <w:rsid w:val="0063341A"/>
    <w:rsid w:val="00633FB5"/>
    <w:rsid w:val="006375D3"/>
    <w:rsid w:val="006376DA"/>
    <w:rsid w:val="006403F6"/>
    <w:rsid w:val="0064180E"/>
    <w:rsid w:val="00641927"/>
    <w:rsid w:val="0064296F"/>
    <w:rsid w:val="0064628C"/>
    <w:rsid w:val="00650346"/>
    <w:rsid w:val="006521AC"/>
    <w:rsid w:val="0065555D"/>
    <w:rsid w:val="00656CD4"/>
    <w:rsid w:val="00661609"/>
    <w:rsid w:val="0066452E"/>
    <w:rsid w:val="00664824"/>
    <w:rsid w:val="00665432"/>
    <w:rsid w:val="00667AE6"/>
    <w:rsid w:val="00667BD2"/>
    <w:rsid w:val="00673EA9"/>
    <w:rsid w:val="0067493F"/>
    <w:rsid w:val="00675A44"/>
    <w:rsid w:val="00676DF0"/>
    <w:rsid w:val="00677AE3"/>
    <w:rsid w:val="006806B6"/>
    <w:rsid w:val="00680AA7"/>
    <w:rsid w:val="00682487"/>
    <w:rsid w:val="00684363"/>
    <w:rsid w:val="00686630"/>
    <w:rsid w:val="00687574"/>
    <w:rsid w:val="006951E8"/>
    <w:rsid w:val="006964AC"/>
    <w:rsid w:val="00697B80"/>
    <w:rsid w:val="006A0256"/>
    <w:rsid w:val="006A2795"/>
    <w:rsid w:val="006A7C17"/>
    <w:rsid w:val="006B1E4F"/>
    <w:rsid w:val="006B4418"/>
    <w:rsid w:val="006B65A3"/>
    <w:rsid w:val="006B7D25"/>
    <w:rsid w:val="006C1A9B"/>
    <w:rsid w:val="006C414C"/>
    <w:rsid w:val="006C5208"/>
    <w:rsid w:val="006C5867"/>
    <w:rsid w:val="006C6DAC"/>
    <w:rsid w:val="006D012A"/>
    <w:rsid w:val="006D0D30"/>
    <w:rsid w:val="006E0705"/>
    <w:rsid w:val="006E1280"/>
    <w:rsid w:val="006E1A8B"/>
    <w:rsid w:val="006E1D2E"/>
    <w:rsid w:val="006E3466"/>
    <w:rsid w:val="006E4638"/>
    <w:rsid w:val="006E60BF"/>
    <w:rsid w:val="006E7F1D"/>
    <w:rsid w:val="006F05D9"/>
    <w:rsid w:val="006F1415"/>
    <w:rsid w:val="006F1AE6"/>
    <w:rsid w:val="006F20C5"/>
    <w:rsid w:val="006F3293"/>
    <w:rsid w:val="006F39DD"/>
    <w:rsid w:val="006F4336"/>
    <w:rsid w:val="006F5AFA"/>
    <w:rsid w:val="006F6D06"/>
    <w:rsid w:val="00700890"/>
    <w:rsid w:val="00700C70"/>
    <w:rsid w:val="00700C7D"/>
    <w:rsid w:val="007030F2"/>
    <w:rsid w:val="007051C9"/>
    <w:rsid w:val="00707269"/>
    <w:rsid w:val="00707B19"/>
    <w:rsid w:val="00712028"/>
    <w:rsid w:val="007127C8"/>
    <w:rsid w:val="007138D6"/>
    <w:rsid w:val="00714900"/>
    <w:rsid w:val="0071514B"/>
    <w:rsid w:val="007154C8"/>
    <w:rsid w:val="00715A35"/>
    <w:rsid w:val="0071650E"/>
    <w:rsid w:val="0071779F"/>
    <w:rsid w:val="0072373C"/>
    <w:rsid w:val="00724212"/>
    <w:rsid w:val="00732030"/>
    <w:rsid w:val="0073651E"/>
    <w:rsid w:val="00737A5F"/>
    <w:rsid w:val="00741CE9"/>
    <w:rsid w:val="00741F60"/>
    <w:rsid w:val="007443AF"/>
    <w:rsid w:val="007457C4"/>
    <w:rsid w:val="007457D2"/>
    <w:rsid w:val="007461FC"/>
    <w:rsid w:val="0074674C"/>
    <w:rsid w:val="00747E77"/>
    <w:rsid w:val="00747F12"/>
    <w:rsid w:val="00757B44"/>
    <w:rsid w:val="00762B45"/>
    <w:rsid w:val="00765060"/>
    <w:rsid w:val="007703BF"/>
    <w:rsid w:val="0077051F"/>
    <w:rsid w:val="00773C69"/>
    <w:rsid w:val="007771B8"/>
    <w:rsid w:val="00780E0F"/>
    <w:rsid w:val="00781222"/>
    <w:rsid w:val="00781A27"/>
    <w:rsid w:val="007842EE"/>
    <w:rsid w:val="00784A84"/>
    <w:rsid w:val="007858F4"/>
    <w:rsid w:val="00785CB0"/>
    <w:rsid w:val="0079503E"/>
    <w:rsid w:val="007951A1"/>
    <w:rsid w:val="00795CD9"/>
    <w:rsid w:val="0079657D"/>
    <w:rsid w:val="007967D1"/>
    <w:rsid w:val="007975C8"/>
    <w:rsid w:val="007A651F"/>
    <w:rsid w:val="007A783B"/>
    <w:rsid w:val="007B0E1D"/>
    <w:rsid w:val="007B1E8D"/>
    <w:rsid w:val="007C256C"/>
    <w:rsid w:val="007C43AB"/>
    <w:rsid w:val="007C58A5"/>
    <w:rsid w:val="007C6F81"/>
    <w:rsid w:val="007C73D5"/>
    <w:rsid w:val="007D009C"/>
    <w:rsid w:val="007D3308"/>
    <w:rsid w:val="007D40A4"/>
    <w:rsid w:val="007D45E1"/>
    <w:rsid w:val="007D6500"/>
    <w:rsid w:val="007E05EC"/>
    <w:rsid w:val="007E23DA"/>
    <w:rsid w:val="007E2D66"/>
    <w:rsid w:val="007E37B3"/>
    <w:rsid w:val="007E3834"/>
    <w:rsid w:val="007E488D"/>
    <w:rsid w:val="007E49F4"/>
    <w:rsid w:val="007E5A15"/>
    <w:rsid w:val="007E7F3B"/>
    <w:rsid w:val="007F16F7"/>
    <w:rsid w:val="007F1D94"/>
    <w:rsid w:val="007F256F"/>
    <w:rsid w:val="007F4E2A"/>
    <w:rsid w:val="007F609F"/>
    <w:rsid w:val="007F65C2"/>
    <w:rsid w:val="00800AF8"/>
    <w:rsid w:val="0080303D"/>
    <w:rsid w:val="0080354C"/>
    <w:rsid w:val="00804FDB"/>
    <w:rsid w:val="00805B8C"/>
    <w:rsid w:val="008069E9"/>
    <w:rsid w:val="00810716"/>
    <w:rsid w:val="00810F85"/>
    <w:rsid w:val="00811024"/>
    <w:rsid w:val="0081410C"/>
    <w:rsid w:val="008153EE"/>
    <w:rsid w:val="008211B1"/>
    <w:rsid w:val="00823FDF"/>
    <w:rsid w:val="00825ABB"/>
    <w:rsid w:val="00826D9D"/>
    <w:rsid w:val="008278BB"/>
    <w:rsid w:val="008301A4"/>
    <w:rsid w:val="00835C30"/>
    <w:rsid w:val="008366A2"/>
    <w:rsid w:val="008366A7"/>
    <w:rsid w:val="00836BD1"/>
    <w:rsid w:val="00836DFD"/>
    <w:rsid w:val="008417CA"/>
    <w:rsid w:val="00841E2A"/>
    <w:rsid w:val="00846148"/>
    <w:rsid w:val="008463F8"/>
    <w:rsid w:val="008526F7"/>
    <w:rsid w:val="00853D00"/>
    <w:rsid w:val="00856D38"/>
    <w:rsid w:val="00861281"/>
    <w:rsid w:val="00864A9E"/>
    <w:rsid w:val="00866360"/>
    <w:rsid w:val="008664AC"/>
    <w:rsid w:val="00871970"/>
    <w:rsid w:val="008749F2"/>
    <w:rsid w:val="008757E7"/>
    <w:rsid w:val="008767CF"/>
    <w:rsid w:val="00876ECA"/>
    <w:rsid w:val="008837F7"/>
    <w:rsid w:val="00883854"/>
    <w:rsid w:val="0088451F"/>
    <w:rsid w:val="008868DE"/>
    <w:rsid w:val="00886DF2"/>
    <w:rsid w:val="00893029"/>
    <w:rsid w:val="008931ED"/>
    <w:rsid w:val="008936AC"/>
    <w:rsid w:val="00896358"/>
    <w:rsid w:val="00896F93"/>
    <w:rsid w:val="008971CC"/>
    <w:rsid w:val="00897289"/>
    <w:rsid w:val="008A07C7"/>
    <w:rsid w:val="008A1094"/>
    <w:rsid w:val="008A30FA"/>
    <w:rsid w:val="008A62C3"/>
    <w:rsid w:val="008B2165"/>
    <w:rsid w:val="008B436E"/>
    <w:rsid w:val="008B4FE1"/>
    <w:rsid w:val="008B50BF"/>
    <w:rsid w:val="008B661B"/>
    <w:rsid w:val="008B70F2"/>
    <w:rsid w:val="008C0786"/>
    <w:rsid w:val="008C0BF2"/>
    <w:rsid w:val="008C2D74"/>
    <w:rsid w:val="008C4C9E"/>
    <w:rsid w:val="008C5E11"/>
    <w:rsid w:val="008C7D3F"/>
    <w:rsid w:val="008D00D7"/>
    <w:rsid w:val="008D230A"/>
    <w:rsid w:val="008D2A8C"/>
    <w:rsid w:val="008D5BE2"/>
    <w:rsid w:val="008D693B"/>
    <w:rsid w:val="008E4E41"/>
    <w:rsid w:val="008E5759"/>
    <w:rsid w:val="008E5F48"/>
    <w:rsid w:val="008E6979"/>
    <w:rsid w:val="008F4657"/>
    <w:rsid w:val="0090279B"/>
    <w:rsid w:val="009049D9"/>
    <w:rsid w:val="00905322"/>
    <w:rsid w:val="00910FD3"/>
    <w:rsid w:val="009134AC"/>
    <w:rsid w:val="00913F1B"/>
    <w:rsid w:val="0092086A"/>
    <w:rsid w:val="00921B73"/>
    <w:rsid w:val="0092204A"/>
    <w:rsid w:val="00922792"/>
    <w:rsid w:val="009230AF"/>
    <w:rsid w:val="0092440E"/>
    <w:rsid w:val="009257E0"/>
    <w:rsid w:val="00932185"/>
    <w:rsid w:val="00933750"/>
    <w:rsid w:val="00935770"/>
    <w:rsid w:val="00936642"/>
    <w:rsid w:val="009413BB"/>
    <w:rsid w:val="00941515"/>
    <w:rsid w:val="00941EF0"/>
    <w:rsid w:val="00942B34"/>
    <w:rsid w:val="0094370F"/>
    <w:rsid w:val="00943E7E"/>
    <w:rsid w:val="009504D9"/>
    <w:rsid w:val="009520FE"/>
    <w:rsid w:val="009528BB"/>
    <w:rsid w:val="00954AE7"/>
    <w:rsid w:val="00966959"/>
    <w:rsid w:val="00972157"/>
    <w:rsid w:val="00972CA7"/>
    <w:rsid w:val="00975F59"/>
    <w:rsid w:val="009768A3"/>
    <w:rsid w:val="009768B7"/>
    <w:rsid w:val="0097767E"/>
    <w:rsid w:val="00980DF6"/>
    <w:rsid w:val="00982860"/>
    <w:rsid w:val="00984700"/>
    <w:rsid w:val="00986816"/>
    <w:rsid w:val="00992722"/>
    <w:rsid w:val="00993391"/>
    <w:rsid w:val="00993F14"/>
    <w:rsid w:val="00994CB7"/>
    <w:rsid w:val="00996AC5"/>
    <w:rsid w:val="009976EC"/>
    <w:rsid w:val="009A78AE"/>
    <w:rsid w:val="009B081C"/>
    <w:rsid w:val="009B2531"/>
    <w:rsid w:val="009B3EA6"/>
    <w:rsid w:val="009B43E6"/>
    <w:rsid w:val="009B4C1B"/>
    <w:rsid w:val="009B4E4C"/>
    <w:rsid w:val="009B7CD2"/>
    <w:rsid w:val="009C3124"/>
    <w:rsid w:val="009C3415"/>
    <w:rsid w:val="009C5B5C"/>
    <w:rsid w:val="009C6454"/>
    <w:rsid w:val="009C6675"/>
    <w:rsid w:val="009D3E70"/>
    <w:rsid w:val="009D5943"/>
    <w:rsid w:val="009D6708"/>
    <w:rsid w:val="009E0EED"/>
    <w:rsid w:val="009E6BFF"/>
    <w:rsid w:val="009F1BB0"/>
    <w:rsid w:val="009F2955"/>
    <w:rsid w:val="009F2E4C"/>
    <w:rsid w:val="009F4167"/>
    <w:rsid w:val="009F6D93"/>
    <w:rsid w:val="00A01FFE"/>
    <w:rsid w:val="00A028AD"/>
    <w:rsid w:val="00A02CA0"/>
    <w:rsid w:val="00A04596"/>
    <w:rsid w:val="00A04605"/>
    <w:rsid w:val="00A04F48"/>
    <w:rsid w:val="00A06E84"/>
    <w:rsid w:val="00A107C9"/>
    <w:rsid w:val="00A12F97"/>
    <w:rsid w:val="00A1444B"/>
    <w:rsid w:val="00A14715"/>
    <w:rsid w:val="00A14959"/>
    <w:rsid w:val="00A15A20"/>
    <w:rsid w:val="00A1617B"/>
    <w:rsid w:val="00A23427"/>
    <w:rsid w:val="00A2345B"/>
    <w:rsid w:val="00A27B4F"/>
    <w:rsid w:val="00A3100C"/>
    <w:rsid w:val="00A32130"/>
    <w:rsid w:val="00A3229A"/>
    <w:rsid w:val="00A33180"/>
    <w:rsid w:val="00A37844"/>
    <w:rsid w:val="00A456C2"/>
    <w:rsid w:val="00A50DB1"/>
    <w:rsid w:val="00A51C7F"/>
    <w:rsid w:val="00A52535"/>
    <w:rsid w:val="00A543AF"/>
    <w:rsid w:val="00A543CA"/>
    <w:rsid w:val="00A605F4"/>
    <w:rsid w:val="00A60804"/>
    <w:rsid w:val="00A62EEB"/>
    <w:rsid w:val="00A6324D"/>
    <w:rsid w:val="00A6371F"/>
    <w:rsid w:val="00A65A96"/>
    <w:rsid w:val="00A66952"/>
    <w:rsid w:val="00A71123"/>
    <w:rsid w:val="00A722DC"/>
    <w:rsid w:val="00A726FF"/>
    <w:rsid w:val="00A7539F"/>
    <w:rsid w:val="00A77778"/>
    <w:rsid w:val="00A81BC5"/>
    <w:rsid w:val="00A8217D"/>
    <w:rsid w:val="00A84009"/>
    <w:rsid w:val="00A8630C"/>
    <w:rsid w:val="00A865F7"/>
    <w:rsid w:val="00A94DEE"/>
    <w:rsid w:val="00A95AED"/>
    <w:rsid w:val="00AA1862"/>
    <w:rsid w:val="00AA319A"/>
    <w:rsid w:val="00AA57B4"/>
    <w:rsid w:val="00AA5A4B"/>
    <w:rsid w:val="00AA649E"/>
    <w:rsid w:val="00AA694C"/>
    <w:rsid w:val="00AA6C4F"/>
    <w:rsid w:val="00AB2C6F"/>
    <w:rsid w:val="00AC6573"/>
    <w:rsid w:val="00AC7A4A"/>
    <w:rsid w:val="00AC7E40"/>
    <w:rsid w:val="00AE0EE5"/>
    <w:rsid w:val="00AE2C0F"/>
    <w:rsid w:val="00AE6437"/>
    <w:rsid w:val="00AE7BE6"/>
    <w:rsid w:val="00AF2F0D"/>
    <w:rsid w:val="00AF4054"/>
    <w:rsid w:val="00AF45E9"/>
    <w:rsid w:val="00AF479F"/>
    <w:rsid w:val="00AF77E8"/>
    <w:rsid w:val="00B02B1D"/>
    <w:rsid w:val="00B03DD4"/>
    <w:rsid w:val="00B03E90"/>
    <w:rsid w:val="00B0453B"/>
    <w:rsid w:val="00B0682E"/>
    <w:rsid w:val="00B1049A"/>
    <w:rsid w:val="00B12D91"/>
    <w:rsid w:val="00B156A8"/>
    <w:rsid w:val="00B17330"/>
    <w:rsid w:val="00B205A4"/>
    <w:rsid w:val="00B2388A"/>
    <w:rsid w:val="00B2504B"/>
    <w:rsid w:val="00B2586A"/>
    <w:rsid w:val="00B26684"/>
    <w:rsid w:val="00B26A9B"/>
    <w:rsid w:val="00B40B8F"/>
    <w:rsid w:val="00B41E80"/>
    <w:rsid w:val="00B44B63"/>
    <w:rsid w:val="00B45728"/>
    <w:rsid w:val="00B45860"/>
    <w:rsid w:val="00B460AE"/>
    <w:rsid w:val="00B47BC3"/>
    <w:rsid w:val="00B52256"/>
    <w:rsid w:val="00B5257A"/>
    <w:rsid w:val="00B530A5"/>
    <w:rsid w:val="00B54182"/>
    <w:rsid w:val="00B54A1D"/>
    <w:rsid w:val="00B60904"/>
    <w:rsid w:val="00B60B75"/>
    <w:rsid w:val="00B62C72"/>
    <w:rsid w:val="00B640F9"/>
    <w:rsid w:val="00B64470"/>
    <w:rsid w:val="00B667B5"/>
    <w:rsid w:val="00B72DF1"/>
    <w:rsid w:val="00B739C3"/>
    <w:rsid w:val="00B73ED4"/>
    <w:rsid w:val="00B7495B"/>
    <w:rsid w:val="00B768C6"/>
    <w:rsid w:val="00B779E1"/>
    <w:rsid w:val="00B832C9"/>
    <w:rsid w:val="00B84135"/>
    <w:rsid w:val="00B86AF2"/>
    <w:rsid w:val="00B8751F"/>
    <w:rsid w:val="00B9069C"/>
    <w:rsid w:val="00B92475"/>
    <w:rsid w:val="00B936CA"/>
    <w:rsid w:val="00BA1EDE"/>
    <w:rsid w:val="00BA5712"/>
    <w:rsid w:val="00BA67B5"/>
    <w:rsid w:val="00BA7B16"/>
    <w:rsid w:val="00BB0930"/>
    <w:rsid w:val="00BB59E8"/>
    <w:rsid w:val="00BB6ACA"/>
    <w:rsid w:val="00BC1595"/>
    <w:rsid w:val="00BC20F8"/>
    <w:rsid w:val="00BC23D4"/>
    <w:rsid w:val="00BC51F8"/>
    <w:rsid w:val="00BC6493"/>
    <w:rsid w:val="00BD16B3"/>
    <w:rsid w:val="00BD2A9A"/>
    <w:rsid w:val="00BD3DAD"/>
    <w:rsid w:val="00BD70B0"/>
    <w:rsid w:val="00BE45D4"/>
    <w:rsid w:val="00BF0397"/>
    <w:rsid w:val="00BF0632"/>
    <w:rsid w:val="00BF6B9A"/>
    <w:rsid w:val="00C0157B"/>
    <w:rsid w:val="00C04270"/>
    <w:rsid w:val="00C07E32"/>
    <w:rsid w:val="00C13E16"/>
    <w:rsid w:val="00C15887"/>
    <w:rsid w:val="00C15D24"/>
    <w:rsid w:val="00C21132"/>
    <w:rsid w:val="00C213E2"/>
    <w:rsid w:val="00C21795"/>
    <w:rsid w:val="00C25305"/>
    <w:rsid w:val="00C25D75"/>
    <w:rsid w:val="00C268E6"/>
    <w:rsid w:val="00C3149C"/>
    <w:rsid w:val="00C340A2"/>
    <w:rsid w:val="00C378EF"/>
    <w:rsid w:val="00C44923"/>
    <w:rsid w:val="00C464FE"/>
    <w:rsid w:val="00C47EC8"/>
    <w:rsid w:val="00C54006"/>
    <w:rsid w:val="00C54820"/>
    <w:rsid w:val="00C54B98"/>
    <w:rsid w:val="00C54D50"/>
    <w:rsid w:val="00C550ED"/>
    <w:rsid w:val="00C55547"/>
    <w:rsid w:val="00C55644"/>
    <w:rsid w:val="00C56BFB"/>
    <w:rsid w:val="00C625CC"/>
    <w:rsid w:val="00C656B8"/>
    <w:rsid w:val="00C67B8A"/>
    <w:rsid w:val="00C7357F"/>
    <w:rsid w:val="00C742A3"/>
    <w:rsid w:val="00C742DA"/>
    <w:rsid w:val="00C811A8"/>
    <w:rsid w:val="00C82388"/>
    <w:rsid w:val="00C838D5"/>
    <w:rsid w:val="00C84070"/>
    <w:rsid w:val="00C856AC"/>
    <w:rsid w:val="00C87C7A"/>
    <w:rsid w:val="00C96609"/>
    <w:rsid w:val="00CA576C"/>
    <w:rsid w:val="00CA6E48"/>
    <w:rsid w:val="00CA7D41"/>
    <w:rsid w:val="00CB6661"/>
    <w:rsid w:val="00CC0452"/>
    <w:rsid w:val="00CC3E42"/>
    <w:rsid w:val="00CD3F48"/>
    <w:rsid w:val="00CD79D0"/>
    <w:rsid w:val="00CE03C3"/>
    <w:rsid w:val="00CE09C2"/>
    <w:rsid w:val="00CE2F6A"/>
    <w:rsid w:val="00CE3B36"/>
    <w:rsid w:val="00CE4C03"/>
    <w:rsid w:val="00CE55CA"/>
    <w:rsid w:val="00CF17CA"/>
    <w:rsid w:val="00CF4581"/>
    <w:rsid w:val="00CF69A1"/>
    <w:rsid w:val="00CF71F6"/>
    <w:rsid w:val="00D059A3"/>
    <w:rsid w:val="00D06079"/>
    <w:rsid w:val="00D07F89"/>
    <w:rsid w:val="00D15E34"/>
    <w:rsid w:val="00D16C85"/>
    <w:rsid w:val="00D215C6"/>
    <w:rsid w:val="00D21696"/>
    <w:rsid w:val="00D221DA"/>
    <w:rsid w:val="00D2387E"/>
    <w:rsid w:val="00D26866"/>
    <w:rsid w:val="00D27837"/>
    <w:rsid w:val="00D31934"/>
    <w:rsid w:val="00D31BCE"/>
    <w:rsid w:val="00D37C2C"/>
    <w:rsid w:val="00D42A56"/>
    <w:rsid w:val="00D4347B"/>
    <w:rsid w:val="00D43DC8"/>
    <w:rsid w:val="00D442C5"/>
    <w:rsid w:val="00D456A3"/>
    <w:rsid w:val="00D45B91"/>
    <w:rsid w:val="00D51286"/>
    <w:rsid w:val="00D616E9"/>
    <w:rsid w:val="00D61A4B"/>
    <w:rsid w:val="00D63E9E"/>
    <w:rsid w:val="00D657FF"/>
    <w:rsid w:val="00D66689"/>
    <w:rsid w:val="00D71014"/>
    <w:rsid w:val="00D712D1"/>
    <w:rsid w:val="00D72EC1"/>
    <w:rsid w:val="00D8061B"/>
    <w:rsid w:val="00D80845"/>
    <w:rsid w:val="00D839D0"/>
    <w:rsid w:val="00D86DFE"/>
    <w:rsid w:val="00D876CF"/>
    <w:rsid w:val="00D91F9D"/>
    <w:rsid w:val="00D941CC"/>
    <w:rsid w:val="00D95D01"/>
    <w:rsid w:val="00D96E37"/>
    <w:rsid w:val="00DA0EBD"/>
    <w:rsid w:val="00DA173A"/>
    <w:rsid w:val="00DA41D9"/>
    <w:rsid w:val="00DA4C80"/>
    <w:rsid w:val="00DB2A69"/>
    <w:rsid w:val="00DB4204"/>
    <w:rsid w:val="00DB5156"/>
    <w:rsid w:val="00DB69A8"/>
    <w:rsid w:val="00DB7D86"/>
    <w:rsid w:val="00DC0015"/>
    <w:rsid w:val="00DC00E1"/>
    <w:rsid w:val="00DC130C"/>
    <w:rsid w:val="00DC7D0C"/>
    <w:rsid w:val="00DD1B64"/>
    <w:rsid w:val="00DD2A27"/>
    <w:rsid w:val="00DD422F"/>
    <w:rsid w:val="00DE288C"/>
    <w:rsid w:val="00DE6176"/>
    <w:rsid w:val="00DE74BA"/>
    <w:rsid w:val="00DF1196"/>
    <w:rsid w:val="00DF6D35"/>
    <w:rsid w:val="00E0206A"/>
    <w:rsid w:val="00E05907"/>
    <w:rsid w:val="00E173CA"/>
    <w:rsid w:val="00E17577"/>
    <w:rsid w:val="00E2289F"/>
    <w:rsid w:val="00E2474B"/>
    <w:rsid w:val="00E24765"/>
    <w:rsid w:val="00E32860"/>
    <w:rsid w:val="00E33C85"/>
    <w:rsid w:val="00E36E59"/>
    <w:rsid w:val="00E44D0C"/>
    <w:rsid w:val="00E457F6"/>
    <w:rsid w:val="00E45B7F"/>
    <w:rsid w:val="00E47267"/>
    <w:rsid w:val="00E512C7"/>
    <w:rsid w:val="00E51B05"/>
    <w:rsid w:val="00E520D6"/>
    <w:rsid w:val="00E52B5E"/>
    <w:rsid w:val="00E532D0"/>
    <w:rsid w:val="00E5481E"/>
    <w:rsid w:val="00E5573F"/>
    <w:rsid w:val="00E55864"/>
    <w:rsid w:val="00E5627F"/>
    <w:rsid w:val="00E6124C"/>
    <w:rsid w:val="00E61419"/>
    <w:rsid w:val="00E6209D"/>
    <w:rsid w:val="00E6286B"/>
    <w:rsid w:val="00E632B0"/>
    <w:rsid w:val="00E64F74"/>
    <w:rsid w:val="00E667C1"/>
    <w:rsid w:val="00E678F2"/>
    <w:rsid w:val="00E71A31"/>
    <w:rsid w:val="00E7283E"/>
    <w:rsid w:val="00E73207"/>
    <w:rsid w:val="00E737D8"/>
    <w:rsid w:val="00E80915"/>
    <w:rsid w:val="00E80EBD"/>
    <w:rsid w:val="00E80FC0"/>
    <w:rsid w:val="00E81A93"/>
    <w:rsid w:val="00E82716"/>
    <w:rsid w:val="00E829AE"/>
    <w:rsid w:val="00E8313F"/>
    <w:rsid w:val="00E83BDF"/>
    <w:rsid w:val="00E84FDA"/>
    <w:rsid w:val="00E85684"/>
    <w:rsid w:val="00E86CED"/>
    <w:rsid w:val="00E92D92"/>
    <w:rsid w:val="00E977F8"/>
    <w:rsid w:val="00EA2B28"/>
    <w:rsid w:val="00EA5148"/>
    <w:rsid w:val="00EB02F0"/>
    <w:rsid w:val="00EB17D5"/>
    <w:rsid w:val="00EB6654"/>
    <w:rsid w:val="00EB7877"/>
    <w:rsid w:val="00EC379F"/>
    <w:rsid w:val="00EC488B"/>
    <w:rsid w:val="00EC6F98"/>
    <w:rsid w:val="00ED2977"/>
    <w:rsid w:val="00ED3428"/>
    <w:rsid w:val="00ED41C6"/>
    <w:rsid w:val="00ED4D2C"/>
    <w:rsid w:val="00ED75C3"/>
    <w:rsid w:val="00EE5E73"/>
    <w:rsid w:val="00EE7063"/>
    <w:rsid w:val="00EF0072"/>
    <w:rsid w:val="00EF1B77"/>
    <w:rsid w:val="00EF2603"/>
    <w:rsid w:val="00EF3CC0"/>
    <w:rsid w:val="00EF65BC"/>
    <w:rsid w:val="00EF6679"/>
    <w:rsid w:val="00EF79FF"/>
    <w:rsid w:val="00F00979"/>
    <w:rsid w:val="00F00F50"/>
    <w:rsid w:val="00F02208"/>
    <w:rsid w:val="00F05223"/>
    <w:rsid w:val="00F077AD"/>
    <w:rsid w:val="00F101BE"/>
    <w:rsid w:val="00F1065B"/>
    <w:rsid w:val="00F11144"/>
    <w:rsid w:val="00F122B9"/>
    <w:rsid w:val="00F14335"/>
    <w:rsid w:val="00F14745"/>
    <w:rsid w:val="00F14F6F"/>
    <w:rsid w:val="00F15CC9"/>
    <w:rsid w:val="00F17694"/>
    <w:rsid w:val="00F21AFB"/>
    <w:rsid w:val="00F25033"/>
    <w:rsid w:val="00F30E13"/>
    <w:rsid w:val="00F30FC1"/>
    <w:rsid w:val="00F34AD8"/>
    <w:rsid w:val="00F36FCD"/>
    <w:rsid w:val="00F41B5C"/>
    <w:rsid w:val="00F423F6"/>
    <w:rsid w:val="00F42678"/>
    <w:rsid w:val="00F438AB"/>
    <w:rsid w:val="00F50A19"/>
    <w:rsid w:val="00F51A97"/>
    <w:rsid w:val="00F55CA1"/>
    <w:rsid w:val="00F57AE3"/>
    <w:rsid w:val="00F60788"/>
    <w:rsid w:val="00F62BE4"/>
    <w:rsid w:val="00F62E45"/>
    <w:rsid w:val="00F64853"/>
    <w:rsid w:val="00F654FE"/>
    <w:rsid w:val="00F70704"/>
    <w:rsid w:val="00F72732"/>
    <w:rsid w:val="00F75BA9"/>
    <w:rsid w:val="00F7678F"/>
    <w:rsid w:val="00F770F0"/>
    <w:rsid w:val="00F77171"/>
    <w:rsid w:val="00F817BE"/>
    <w:rsid w:val="00F83A98"/>
    <w:rsid w:val="00F843AC"/>
    <w:rsid w:val="00F92978"/>
    <w:rsid w:val="00F957F5"/>
    <w:rsid w:val="00FA1EAC"/>
    <w:rsid w:val="00FA336C"/>
    <w:rsid w:val="00FA58AA"/>
    <w:rsid w:val="00FA68B6"/>
    <w:rsid w:val="00FA7593"/>
    <w:rsid w:val="00FB58CA"/>
    <w:rsid w:val="00FB5C72"/>
    <w:rsid w:val="00FC06FB"/>
    <w:rsid w:val="00FC1665"/>
    <w:rsid w:val="00FC2808"/>
    <w:rsid w:val="00FC3DAC"/>
    <w:rsid w:val="00FC455F"/>
    <w:rsid w:val="00FC492F"/>
    <w:rsid w:val="00FC7DC1"/>
    <w:rsid w:val="00FD474C"/>
    <w:rsid w:val="00FD6D5C"/>
    <w:rsid w:val="00FD6DF6"/>
    <w:rsid w:val="00FD71B1"/>
    <w:rsid w:val="00FD7DC5"/>
    <w:rsid w:val="00FE3A73"/>
    <w:rsid w:val="00FE5B35"/>
    <w:rsid w:val="00FF0F32"/>
    <w:rsid w:val="00FF3892"/>
    <w:rsid w:val="00FF3A63"/>
    <w:rsid w:val="00FF6660"/>
    <w:rsid w:val="016261B5"/>
    <w:rsid w:val="023A007E"/>
    <w:rsid w:val="045C47F2"/>
    <w:rsid w:val="05706C17"/>
    <w:rsid w:val="057276DA"/>
    <w:rsid w:val="05A97997"/>
    <w:rsid w:val="061055E2"/>
    <w:rsid w:val="06C96D3A"/>
    <w:rsid w:val="09732517"/>
    <w:rsid w:val="0AE44154"/>
    <w:rsid w:val="0B3642AB"/>
    <w:rsid w:val="0BE562AA"/>
    <w:rsid w:val="0D533015"/>
    <w:rsid w:val="0D5C2A8C"/>
    <w:rsid w:val="0DDE1186"/>
    <w:rsid w:val="0EBE1C58"/>
    <w:rsid w:val="0ED7229C"/>
    <w:rsid w:val="0F713C26"/>
    <w:rsid w:val="101E71A3"/>
    <w:rsid w:val="119875D6"/>
    <w:rsid w:val="13550D0C"/>
    <w:rsid w:val="17FE3980"/>
    <w:rsid w:val="195C2DC2"/>
    <w:rsid w:val="1AD70069"/>
    <w:rsid w:val="1BF105C9"/>
    <w:rsid w:val="1E8FE582"/>
    <w:rsid w:val="1F7C947E"/>
    <w:rsid w:val="1FF35E26"/>
    <w:rsid w:val="203570B7"/>
    <w:rsid w:val="204B0952"/>
    <w:rsid w:val="21D17D4A"/>
    <w:rsid w:val="247301F1"/>
    <w:rsid w:val="258E6009"/>
    <w:rsid w:val="259E5E14"/>
    <w:rsid w:val="268F7B68"/>
    <w:rsid w:val="27472AF0"/>
    <w:rsid w:val="29C56BF1"/>
    <w:rsid w:val="29F7F20B"/>
    <w:rsid w:val="2A705993"/>
    <w:rsid w:val="2BF74F6E"/>
    <w:rsid w:val="2C60185F"/>
    <w:rsid w:val="2F6E05AA"/>
    <w:rsid w:val="2FA95F24"/>
    <w:rsid w:val="30A01A7C"/>
    <w:rsid w:val="32B96EB0"/>
    <w:rsid w:val="32E12E85"/>
    <w:rsid w:val="32F6606D"/>
    <w:rsid w:val="33FD7206"/>
    <w:rsid w:val="347D290D"/>
    <w:rsid w:val="34AA4909"/>
    <w:rsid w:val="34B7DDD1"/>
    <w:rsid w:val="34D97192"/>
    <w:rsid w:val="3584106F"/>
    <w:rsid w:val="3650013F"/>
    <w:rsid w:val="37417CBA"/>
    <w:rsid w:val="37EA137D"/>
    <w:rsid w:val="37F9067C"/>
    <w:rsid w:val="38E74F91"/>
    <w:rsid w:val="39456707"/>
    <w:rsid w:val="39E56B05"/>
    <w:rsid w:val="3C3718B0"/>
    <w:rsid w:val="3DDA4EEF"/>
    <w:rsid w:val="3E3305F8"/>
    <w:rsid w:val="3EFF30C6"/>
    <w:rsid w:val="3F6DF891"/>
    <w:rsid w:val="3FE068CB"/>
    <w:rsid w:val="3FFF0109"/>
    <w:rsid w:val="409A3052"/>
    <w:rsid w:val="43136904"/>
    <w:rsid w:val="443523C4"/>
    <w:rsid w:val="46080139"/>
    <w:rsid w:val="470073B7"/>
    <w:rsid w:val="487562FF"/>
    <w:rsid w:val="494C15FF"/>
    <w:rsid w:val="49F70D92"/>
    <w:rsid w:val="4C0637FE"/>
    <w:rsid w:val="4DD12E39"/>
    <w:rsid w:val="4DDB0D6C"/>
    <w:rsid w:val="4EEE1C35"/>
    <w:rsid w:val="4EEE27B2"/>
    <w:rsid w:val="4F62AB33"/>
    <w:rsid w:val="533A04A0"/>
    <w:rsid w:val="557F8205"/>
    <w:rsid w:val="57566F57"/>
    <w:rsid w:val="575F4F69"/>
    <w:rsid w:val="58E8087E"/>
    <w:rsid w:val="59C77C98"/>
    <w:rsid w:val="5A232020"/>
    <w:rsid w:val="5A255C5B"/>
    <w:rsid w:val="5A8738CB"/>
    <w:rsid w:val="5CB90D1A"/>
    <w:rsid w:val="5D6B3F86"/>
    <w:rsid w:val="5DA05277"/>
    <w:rsid w:val="5DC42740"/>
    <w:rsid w:val="5FA82319"/>
    <w:rsid w:val="5FB962D5"/>
    <w:rsid w:val="5FCFD035"/>
    <w:rsid w:val="5FDADF98"/>
    <w:rsid w:val="5FEF0E7A"/>
    <w:rsid w:val="606D29DE"/>
    <w:rsid w:val="607544ED"/>
    <w:rsid w:val="60956D42"/>
    <w:rsid w:val="60CA3B5B"/>
    <w:rsid w:val="611E1168"/>
    <w:rsid w:val="622632A3"/>
    <w:rsid w:val="64890E3B"/>
    <w:rsid w:val="649317EA"/>
    <w:rsid w:val="64C761FA"/>
    <w:rsid w:val="65605E1C"/>
    <w:rsid w:val="67AC13E1"/>
    <w:rsid w:val="67C93C71"/>
    <w:rsid w:val="6903087C"/>
    <w:rsid w:val="69940937"/>
    <w:rsid w:val="6A567916"/>
    <w:rsid w:val="6ADD05F0"/>
    <w:rsid w:val="6C467BA2"/>
    <w:rsid w:val="6CE30C8D"/>
    <w:rsid w:val="6E4D0CCA"/>
    <w:rsid w:val="6E7F6715"/>
    <w:rsid w:val="6F25C683"/>
    <w:rsid w:val="6F6935B5"/>
    <w:rsid w:val="6FFFC934"/>
    <w:rsid w:val="71F746D6"/>
    <w:rsid w:val="73613864"/>
    <w:rsid w:val="73DE4CFF"/>
    <w:rsid w:val="73F63162"/>
    <w:rsid w:val="74AB66DC"/>
    <w:rsid w:val="75EB135C"/>
    <w:rsid w:val="779A63ED"/>
    <w:rsid w:val="784921C2"/>
    <w:rsid w:val="78992031"/>
    <w:rsid w:val="79A427A0"/>
    <w:rsid w:val="7AA4408E"/>
    <w:rsid w:val="7BF6F0E2"/>
    <w:rsid w:val="7BF96FB8"/>
    <w:rsid w:val="7CDF95A7"/>
    <w:rsid w:val="7D7B24E0"/>
    <w:rsid w:val="7E2FF0BD"/>
    <w:rsid w:val="7E6A2EBD"/>
    <w:rsid w:val="7EFFC40D"/>
    <w:rsid w:val="7F35582C"/>
    <w:rsid w:val="7F7D5576"/>
    <w:rsid w:val="7F8F142A"/>
    <w:rsid w:val="7FBB3871"/>
    <w:rsid w:val="7FFF1283"/>
    <w:rsid w:val="9BBF2166"/>
    <w:rsid w:val="A66E9A4F"/>
    <w:rsid w:val="AF4786B8"/>
    <w:rsid w:val="AFF9568B"/>
    <w:rsid w:val="B57F9A43"/>
    <w:rsid w:val="B75A86AD"/>
    <w:rsid w:val="BBFC6C8D"/>
    <w:rsid w:val="BF6F08F6"/>
    <w:rsid w:val="BFB9BAF6"/>
    <w:rsid w:val="C337EE02"/>
    <w:rsid w:val="C7BF8F36"/>
    <w:rsid w:val="CFE6AB04"/>
    <w:rsid w:val="D6EF4C9C"/>
    <w:rsid w:val="D9EE67D0"/>
    <w:rsid w:val="DB7F9CE3"/>
    <w:rsid w:val="DDCF8AB7"/>
    <w:rsid w:val="DE973CD8"/>
    <w:rsid w:val="DEFDCB92"/>
    <w:rsid w:val="DF5E3019"/>
    <w:rsid w:val="DF7E0E47"/>
    <w:rsid w:val="DFBF048A"/>
    <w:rsid w:val="E49D65BA"/>
    <w:rsid w:val="E7ED4F2D"/>
    <w:rsid w:val="E7FF3C34"/>
    <w:rsid w:val="EEBF808B"/>
    <w:rsid w:val="F3F7AB85"/>
    <w:rsid w:val="F639A224"/>
    <w:rsid w:val="F67D9211"/>
    <w:rsid w:val="F77FC6E9"/>
    <w:rsid w:val="FD3FEFC5"/>
    <w:rsid w:val="FDE39731"/>
    <w:rsid w:val="FDFB88A9"/>
    <w:rsid w:val="FF454ED3"/>
    <w:rsid w:val="FF6FD279"/>
    <w:rsid w:val="FF7D88EC"/>
    <w:rsid w:val="FF9FBC88"/>
    <w:rsid w:val="FFD7569D"/>
    <w:rsid w:val="FFDA9F99"/>
    <w:rsid w:val="FFDACA98"/>
    <w:rsid w:val="FFF7C988"/>
    <w:rsid w:val="FFFE98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ind w:firstLine="566" w:firstLineChars="236"/>
      <w:jc w:val="both"/>
    </w:pPr>
    <w:rPr>
      <w:rFonts w:ascii="宋体" w:hAnsi="宋体" w:eastAsia="宋体" w:cstheme="minorBidi"/>
      <w:kern w:val="2"/>
      <w:sz w:val="24"/>
      <w:szCs w:val="24"/>
      <w:lang w:val="en-US" w:eastAsia="zh-CN" w:bidi="ar-SA"/>
    </w:rPr>
  </w:style>
  <w:style w:type="paragraph" w:styleId="2">
    <w:name w:val="heading 1"/>
    <w:basedOn w:val="1"/>
    <w:next w:val="1"/>
    <w:link w:val="105"/>
    <w:qFormat/>
    <w:uiPriority w:val="9"/>
    <w:pPr>
      <w:keepNext/>
      <w:keepLines/>
      <w:numPr>
        <w:ilvl w:val="0"/>
        <w:numId w:val="1"/>
      </w:numPr>
      <w:tabs>
        <w:tab w:val="left" w:pos="0"/>
      </w:tabs>
      <w:ind w:firstLineChars="0"/>
      <w:jc w:val="center"/>
      <w:outlineLvl w:val="0"/>
    </w:pPr>
    <w:rPr>
      <w:b/>
      <w:kern w:val="44"/>
      <w:sz w:val="32"/>
    </w:rPr>
  </w:style>
  <w:style w:type="paragraph" w:styleId="3">
    <w:name w:val="heading 2"/>
    <w:basedOn w:val="1"/>
    <w:next w:val="1"/>
    <w:link w:val="95"/>
    <w:qFormat/>
    <w:uiPriority w:val="9"/>
    <w:pPr>
      <w:keepNext/>
      <w:keepLines/>
      <w:numPr>
        <w:ilvl w:val="1"/>
        <w:numId w:val="1"/>
      </w:numPr>
      <w:tabs>
        <w:tab w:val="left" w:pos="0"/>
      </w:tabs>
      <w:spacing w:before="260" w:after="260" w:line="415" w:lineRule="auto"/>
      <w:ind w:firstLineChars="0"/>
      <w:jc w:val="left"/>
      <w:outlineLvl w:val="1"/>
    </w:pPr>
    <w:rPr>
      <w:rFonts w:asciiTheme="majorEastAsia" w:hAnsiTheme="majorEastAsia" w:eastAsiaTheme="majorEastAsia"/>
      <w:b/>
      <w:sz w:val="28"/>
      <w:szCs w:val="22"/>
    </w:rPr>
  </w:style>
  <w:style w:type="paragraph" w:styleId="4">
    <w:name w:val="heading 3"/>
    <w:basedOn w:val="1"/>
    <w:next w:val="1"/>
    <w:link w:val="53"/>
    <w:qFormat/>
    <w:uiPriority w:val="0"/>
    <w:pPr>
      <w:keepNext/>
      <w:keepLines/>
      <w:numPr>
        <w:ilvl w:val="2"/>
        <w:numId w:val="1"/>
      </w:numPr>
      <w:tabs>
        <w:tab w:val="left" w:pos="284"/>
      </w:tabs>
      <w:spacing w:before="100" w:beforeAutospacing="1" w:after="100" w:afterAutospacing="1"/>
      <w:ind w:firstLineChars="0"/>
      <w:outlineLvl w:val="2"/>
    </w:pPr>
    <w:rPr>
      <w:b/>
      <w:sz w:val="28"/>
    </w:rPr>
  </w:style>
  <w:style w:type="paragraph" w:styleId="5">
    <w:name w:val="heading 4"/>
    <w:basedOn w:val="6"/>
    <w:next w:val="1"/>
    <w:qFormat/>
    <w:uiPriority w:val="0"/>
    <w:pPr>
      <w:numPr>
        <w:ilvl w:val="3"/>
        <w:numId w:val="1"/>
      </w:numPr>
      <w:ind w:left="0" w:firstLineChars="0"/>
      <w:outlineLvl w:val="3"/>
    </w:pPr>
    <w:rPr>
      <w:b/>
      <w:sz w:val="28"/>
    </w:rPr>
  </w:style>
  <w:style w:type="paragraph" w:styleId="7">
    <w:name w:val="heading 5"/>
    <w:basedOn w:val="1"/>
    <w:next w:val="1"/>
    <w:qFormat/>
    <w:uiPriority w:val="0"/>
    <w:pPr>
      <w:keepNext/>
      <w:keepLines/>
      <w:numPr>
        <w:ilvl w:val="4"/>
        <w:numId w:val="1"/>
      </w:numPr>
      <w:spacing w:before="280" w:after="290" w:line="374" w:lineRule="auto"/>
      <w:ind w:firstLineChars="0"/>
      <w:outlineLvl w:val="4"/>
    </w:pPr>
    <w:rPr>
      <w:b/>
      <w:sz w:val="28"/>
    </w:rPr>
  </w:style>
  <w:style w:type="paragraph" w:styleId="8">
    <w:name w:val="heading 6"/>
    <w:basedOn w:val="1"/>
    <w:next w:val="1"/>
    <w:qFormat/>
    <w:uiPriority w:val="0"/>
    <w:pPr>
      <w:keepNext/>
      <w:keepLines/>
      <w:numPr>
        <w:ilvl w:val="5"/>
        <w:numId w:val="1"/>
      </w:numPr>
      <w:tabs>
        <w:tab w:val="left" w:pos="1152"/>
      </w:tabs>
      <w:spacing w:before="240" w:after="64" w:line="319" w:lineRule="auto"/>
      <w:ind w:firstLineChars="0"/>
      <w:outlineLvl w:val="5"/>
    </w:pPr>
    <w:rPr>
      <w:rFonts w:ascii="Arial" w:hAnsi="Arial" w:eastAsia="黑体"/>
      <w:b/>
    </w:rPr>
  </w:style>
  <w:style w:type="paragraph" w:styleId="9">
    <w:name w:val="heading 7"/>
    <w:basedOn w:val="1"/>
    <w:next w:val="1"/>
    <w:qFormat/>
    <w:uiPriority w:val="9"/>
    <w:pPr>
      <w:keepNext/>
      <w:keepLines/>
      <w:numPr>
        <w:ilvl w:val="6"/>
        <w:numId w:val="1"/>
      </w:numPr>
      <w:tabs>
        <w:tab w:val="left" w:pos="1296"/>
      </w:tabs>
      <w:spacing w:before="240" w:after="64" w:line="319" w:lineRule="auto"/>
      <w:ind w:firstLineChars="0"/>
      <w:outlineLvl w:val="6"/>
    </w:pPr>
    <w:rPr>
      <w:b/>
    </w:rPr>
  </w:style>
  <w:style w:type="paragraph" w:styleId="10">
    <w:name w:val="heading 8"/>
    <w:basedOn w:val="1"/>
    <w:next w:val="1"/>
    <w:qFormat/>
    <w:uiPriority w:val="9"/>
    <w:pPr>
      <w:keepNext/>
      <w:keepLines/>
      <w:numPr>
        <w:ilvl w:val="7"/>
        <w:numId w:val="1"/>
      </w:numPr>
      <w:tabs>
        <w:tab w:val="left" w:pos="1440"/>
      </w:tabs>
      <w:spacing w:before="240" w:after="64" w:line="319" w:lineRule="auto"/>
      <w:ind w:firstLineChars="0"/>
      <w:outlineLvl w:val="7"/>
    </w:pPr>
    <w:rPr>
      <w:rFonts w:ascii="Arial" w:hAnsi="Arial" w:eastAsia="黑体"/>
    </w:rPr>
  </w:style>
  <w:style w:type="paragraph" w:styleId="11">
    <w:name w:val="heading 9"/>
    <w:basedOn w:val="1"/>
    <w:next w:val="1"/>
    <w:qFormat/>
    <w:uiPriority w:val="0"/>
    <w:pPr>
      <w:keepNext/>
      <w:keepLines/>
      <w:numPr>
        <w:ilvl w:val="8"/>
        <w:numId w:val="1"/>
      </w:numPr>
      <w:tabs>
        <w:tab w:val="left" w:pos="1584"/>
      </w:tabs>
      <w:spacing w:before="240" w:after="64" w:line="319" w:lineRule="auto"/>
      <w:ind w:firstLineChars="0"/>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 w:type="paragraph" w:styleId="12">
    <w:name w:val="toc 7"/>
    <w:basedOn w:val="1"/>
    <w:next w:val="1"/>
    <w:qFormat/>
    <w:uiPriority w:val="39"/>
    <w:pPr>
      <w:ind w:left="1050"/>
      <w:jc w:val="left"/>
    </w:pPr>
    <w:rPr>
      <w:sz w:val="20"/>
    </w:rPr>
  </w:style>
  <w:style w:type="paragraph" w:styleId="13">
    <w:name w:val="Normal Indent"/>
    <w:basedOn w:val="1"/>
    <w:qFormat/>
    <w:uiPriority w:val="0"/>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link w:val="55"/>
    <w:qFormat/>
    <w:uiPriority w:val="0"/>
    <w:pPr>
      <w:jc w:val="left"/>
    </w:pPr>
  </w:style>
  <w:style w:type="paragraph" w:styleId="16">
    <w:name w:val="Body Text 3"/>
    <w:basedOn w:val="1"/>
    <w:qFormat/>
    <w:uiPriority w:val="0"/>
    <w:pPr>
      <w:jc w:val="center"/>
    </w:pPr>
  </w:style>
  <w:style w:type="paragraph" w:styleId="17">
    <w:name w:val="Body Text"/>
    <w:basedOn w:val="1"/>
    <w:link w:val="67"/>
    <w:qFormat/>
    <w:uiPriority w:val="99"/>
    <w:pPr>
      <w:spacing w:after="120"/>
      <w:ind w:firstLine="758"/>
      <w:jc w:val="center"/>
    </w:pPr>
    <w:rPr>
      <w:rFonts w:ascii="黑体" w:hAnsi="黑体" w:eastAsia="黑体"/>
      <w:sz w:val="32"/>
      <w:szCs w:val="32"/>
    </w:rPr>
  </w:style>
  <w:style w:type="paragraph" w:styleId="18">
    <w:name w:val="Body Text Indent"/>
    <w:basedOn w:val="1"/>
    <w:qFormat/>
    <w:uiPriority w:val="0"/>
    <w:pPr>
      <w:spacing w:line="500" w:lineRule="exact"/>
      <w:ind w:firstLine="403" w:firstLineChars="168"/>
    </w:pPr>
    <w:rPr>
      <w:color w:val="000000"/>
    </w:rPr>
  </w:style>
  <w:style w:type="paragraph" w:styleId="19">
    <w:name w:val="toc 5"/>
    <w:basedOn w:val="1"/>
    <w:next w:val="1"/>
    <w:qFormat/>
    <w:uiPriority w:val="39"/>
    <w:pPr>
      <w:ind w:left="630"/>
      <w:jc w:val="left"/>
    </w:pPr>
    <w:rPr>
      <w:sz w:val="20"/>
    </w:rPr>
  </w:style>
  <w:style w:type="paragraph" w:styleId="20">
    <w:name w:val="toc 3"/>
    <w:basedOn w:val="1"/>
    <w:next w:val="1"/>
    <w:qFormat/>
    <w:uiPriority w:val="39"/>
    <w:pPr>
      <w:adjustRightInd w:val="0"/>
      <w:ind w:left="400" w:leftChars="400"/>
    </w:pPr>
  </w:style>
  <w:style w:type="paragraph" w:styleId="21">
    <w:name w:val="Plain Text"/>
    <w:basedOn w:val="1"/>
    <w:link w:val="91"/>
    <w:qFormat/>
    <w:uiPriority w:val="0"/>
    <w:rPr>
      <w:rFonts w:hAnsi="Courier New"/>
    </w:rPr>
  </w:style>
  <w:style w:type="paragraph" w:styleId="22">
    <w:name w:val="toc 8"/>
    <w:basedOn w:val="1"/>
    <w:next w:val="1"/>
    <w:qFormat/>
    <w:uiPriority w:val="39"/>
    <w:pPr>
      <w:ind w:left="1260"/>
      <w:jc w:val="left"/>
    </w:pPr>
    <w:rPr>
      <w:sz w:val="20"/>
    </w:rPr>
  </w:style>
  <w:style w:type="paragraph" w:styleId="23">
    <w:name w:val="Body Text Indent 2"/>
    <w:basedOn w:val="1"/>
    <w:qFormat/>
    <w:uiPriority w:val="0"/>
    <w:pPr>
      <w:spacing w:line="500" w:lineRule="exact"/>
      <w:ind w:firstLine="480" w:firstLineChars="200"/>
    </w:pPr>
  </w:style>
  <w:style w:type="paragraph" w:styleId="24">
    <w:name w:val="Balloon Text"/>
    <w:basedOn w:val="1"/>
    <w:qFormat/>
    <w:uiPriority w:val="0"/>
    <w:rPr>
      <w:sz w:val="18"/>
      <w:szCs w:val="18"/>
    </w:rPr>
  </w:style>
  <w:style w:type="paragraph" w:styleId="25">
    <w:name w:val="footer"/>
    <w:basedOn w:val="1"/>
    <w:link w:val="93"/>
    <w:qFormat/>
    <w:uiPriority w:val="99"/>
    <w:pPr>
      <w:tabs>
        <w:tab w:val="center" w:pos="4153"/>
        <w:tab w:val="right" w:pos="8306"/>
      </w:tabs>
      <w:jc w:val="left"/>
    </w:pPr>
    <w:rPr>
      <w:sz w:val="18"/>
    </w:rPr>
  </w:style>
  <w:style w:type="paragraph" w:styleId="26">
    <w:name w:val="header"/>
    <w:basedOn w:val="1"/>
    <w:link w:val="81"/>
    <w:qFormat/>
    <w:uiPriority w:val="99"/>
    <w:pPr>
      <w:pBdr>
        <w:bottom w:val="single" w:color="auto" w:sz="6" w:space="1"/>
      </w:pBdr>
      <w:tabs>
        <w:tab w:val="center" w:pos="4153"/>
        <w:tab w:val="right" w:pos="8306"/>
      </w:tabs>
      <w:jc w:val="center"/>
    </w:pPr>
    <w:rPr>
      <w:sz w:val="18"/>
    </w:rPr>
  </w:style>
  <w:style w:type="paragraph" w:styleId="27">
    <w:name w:val="toc 1"/>
    <w:basedOn w:val="1"/>
    <w:next w:val="1"/>
    <w:qFormat/>
    <w:uiPriority w:val="39"/>
    <w:pPr>
      <w:adjustRightInd w:val="0"/>
    </w:pPr>
    <w:rPr>
      <w:rFonts w:eastAsia="黑体"/>
      <w:sz w:val="30"/>
    </w:rPr>
  </w:style>
  <w:style w:type="paragraph" w:styleId="28">
    <w:name w:val="toc 4"/>
    <w:basedOn w:val="1"/>
    <w:next w:val="1"/>
    <w:qFormat/>
    <w:uiPriority w:val="39"/>
    <w:pPr>
      <w:ind w:left="420"/>
      <w:jc w:val="left"/>
    </w:pPr>
    <w:rPr>
      <w:sz w:val="20"/>
    </w:rPr>
  </w:style>
  <w:style w:type="paragraph" w:styleId="29">
    <w:name w:val="footnote text"/>
    <w:basedOn w:val="1"/>
    <w:qFormat/>
    <w:uiPriority w:val="0"/>
    <w:pPr>
      <w:jc w:val="left"/>
    </w:pPr>
    <w:rPr>
      <w:sz w:val="18"/>
    </w:rPr>
  </w:style>
  <w:style w:type="paragraph" w:styleId="30">
    <w:name w:val="toc 6"/>
    <w:basedOn w:val="1"/>
    <w:next w:val="1"/>
    <w:qFormat/>
    <w:uiPriority w:val="39"/>
    <w:pPr>
      <w:ind w:left="840"/>
      <w:jc w:val="left"/>
    </w:pPr>
    <w:rPr>
      <w:sz w:val="20"/>
    </w:rPr>
  </w:style>
  <w:style w:type="paragraph" w:styleId="31">
    <w:name w:val="toc 2"/>
    <w:basedOn w:val="1"/>
    <w:next w:val="1"/>
    <w:qFormat/>
    <w:uiPriority w:val="39"/>
    <w:pPr>
      <w:tabs>
        <w:tab w:val="left" w:pos="1260"/>
        <w:tab w:val="right" w:leader="dot" w:pos="8296"/>
      </w:tabs>
      <w:adjustRightInd w:val="0"/>
      <w:ind w:firstLine="280" w:firstLineChars="100"/>
    </w:pPr>
    <w:rPr>
      <w:color w:val="000000"/>
      <w:sz w:val="28"/>
    </w:rPr>
  </w:style>
  <w:style w:type="paragraph" w:styleId="32">
    <w:name w:val="toc 9"/>
    <w:basedOn w:val="1"/>
    <w:next w:val="1"/>
    <w:qFormat/>
    <w:uiPriority w:val="39"/>
    <w:pPr>
      <w:ind w:left="1470"/>
      <w:jc w:val="left"/>
    </w:pPr>
    <w:rPr>
      <w:sz w:val="20"/>
    </w:rPr>
  </w:style>
  <w:style w:type="paragraph" w:styleId="33">
    <w:name w:val="Body Text 2"/>
    <w:basedOn w:val="1"/>
    <w:qFormat/>
    <w:uiPriority w:val="0"/>
  </w:style>
  <w:style w:type="paragraph" w:styleId="34">
    <w:name w:val="Normal (Web)"/>
    <w:basedOn w:val="1"/>
    <w:qFormat/>
    <w:uiPriority w:val="0"/>
    <w:pPr>
      <w:widowControl/>
      <w:spacing w:before="100" w:beforeAutospacing="1" w:after="100" w:afterAutospacing="1"/>
      <w:jc w:val="left"/>
    </w:pPr>
    <w:rPr>
      <w:kern w:val="0"/>
    </w:rPr>
  </w:style>
  <w:style w:type="paragraph" w:styleId="35">
    <w:name w:val="Title"/>
    <w:basedOn w:val="1"/>
    <w:next w:val="1"/>
    <w:link w:val="110"/>
    <w:qFormat/>
    <w:uiPriority w:val="0"/>
    <w:pPr>
      <w:spacing w:before="240" w:after="60"/>
      <w:jc w:val="center"/>
      <w:outlineLvl w:val="0"/>
    </w:pPr>
    <w:rPr>
      <w:rFonts w:asciiTheme="majorHAnsi" w:hAnsiTheme="majorHAnsi" w:eastAsiaTheme="majorEastAsia" w:cstheme="majorBidi"/>
      <w:b/>
      <w:bCs/>
      <w:sz w:val="32"/>
      <w:szCs w:val="32"/>
    </w:rPr>
  </w:style>
  <w:style w:type="paragraph" w:styleId="36">
    <w:name w:val="annotation subject"/>
    <w:basedOn w:val="15"/>
    <w:next w:val="15"/>
    <w:link w:val="90"/>
    <w:semiHidden/>
    <w:unhideWhenUsed/>
    <w:qFormat/>
    <w:uiPriority w:val="0"/>
    <w:rPr>
      <w:b/>
      <w:bCs/>
    </w:rPr>
  </w:style>
  <w:style w:type="paragraph" w:styleId="37">
    <w:name w:val="Body Text First Indent"/>
    <w:basedOn w:val="17"/>
    <w:link w:val="118"/>
    <w:qFormat/>
    <w:uiPriority w:val="0"/>
    <w:pPr>
      <w:ind w:firstLine="420" w:firstLineChars="100"/>
    </w:p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qFormat/>
    <w:uiPriority w:val="22"/>
    <w:rPr>
      <w:b/>
      <w:bCs/>
    </w:rPr>
  </w:style>
  <w:style w:type="character" w:styleId="42">
    <w:name w:val="page number"/>
    <w:basedOn w:val="40"/>
    <w:qFormat/>
    <w:uiPriority w:val="0"/>
  </w:style>
  <w:style w:type="character" w:styleId="43">
    <w:name w:val="FollowedHyperlink"/>
    <w:basedOn w:val="40"/>
    <w:qFormat/>
    <w:uiPriority w:val="0"/>
    <w:rPr>
      <w:color w:val="800080"/>
      <w:u w:val="single"/>
    </w:rPr>
  </w:style>
  <w:style w:type="character" w:styleId="44">
    <w:name w:val="Emphasis"/>
    <w:basedOn w:val="40"/>
    <w:qFormat/>
    <w:uiPriority w:val="0"/>
    <w:rPr>
      <w:i/>
      <w:iCs/>
    </w:rPr>
  </w:style>
  <w:style w:type="character" w:styleId="45">
    <w:name w:val="Hyperlink"/>
    <w:basedOn w:val="40"/>
    <w:qFormat/>
    <w:uiPriority w:val="99"/>
    <w:rPr>
      <w:color w:val="0000FF"/>
      <w:u w:val="single"/>
    </w:rPr>
  </w:style>
  <w:style w:type="character" w:styleId="46">
    <w:name w:val="annotation reference"/>
    <w:basedOn w:val="40"/>
    <w:qFormat/>
    <w:uiPriority w:val="0"/>
    <w:rPr>
      <w:sz w:val="21"/>
    </w:rPr>
  </w:style>
  <w:style w:type="character" w:styleId="47">
    <w:name w:val="footnote reference"/>
    <w:basedOn w:val="40"/>
    <w:qFormat/>
    <w:uiPriority w:val="0"/>
    <w:rPr>
      <w:vertAlign w:val="superscript"/>
    </w:rPr>
  </w:style>
  <w:style w:type="paragraph" w:customStyle="1" w:styleId="48">
    <w:name w:val="标题 40"/>
    <w:basedOn w:val="5"/>
    <w:qFormat/>
    <w:uiPriority w:val="0"/>
  </w:style>
  <w:style w:type="paragraph" w:customStyle="1" w:styleId="49">
    <w:name w:val="CM26"/>
    <w:basedOn w:val="50"/>
    <w:next w:val="50"/>
    <w:qFormat/>
    <w:uiPriority w:val="99"/>
    <w:pPr>
      <w:spacing w:line="316" w:lineRule="atLeast"/>
    </w:pPr>
    <w:rPr>
      <w:rFonts w:ascii="宋体" w:hAnsiTheme="minorHAnsi" w:cstheme="minorBidi"/>
      <w:color w:val="auto"/>
    </w:rPr>
  </w:style>
  <w:style w:type="paragraph" w:customStyle="1" w:styleId="50">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51">
    <w:name w:val="CM22"/>
    <w:basedOn w:val="50"/>
    <w:next w:val="50"/>
    <w:qFormat/>
    <w:uiPriority w:val="99"/>
    <w:pPr>
      <w:spacing w:line="318" w:lineRule="atLeast"/>
    </w:pPr>
    <w:rPr>
      <w:rFonts w:ascii="宋体" w:hAnsiTheme="minorHAnsi" w:cstheme="minorBidi"/>
      <w:color w:val="auto"/>
    </w:rPr>
  </w:style>
  <w:style w:type="paragraph" w:customStyle="1" w:styleId="52">
    <w:name w:val="CM29"/>
    <w:basedOn w:val="50"/>
    <w:next w:val="50"/>
    <w:qFormat/>
    <w:uiPriority w:val="99"/>
    <w:pPr>
      <w:spacing w:line="318" w:lineRule="atLeast"/>
    </w:pPr>
    <w:rPr>
      <w:rFonts w:ascii="宋体" w:hAnsiTheme="minorHAnsi" w:cstheme="minorBidi"/>
      <w:color w:val="auto"/>
    </w:rPr>
  </w:style>
  <w:style w:type="character" w:customStyle="1" w:styleId="53">
    <w:name w:val="标题 3 字符"/>
    <w:basedOn w:val="40"/>
    <w:link w:val="4"/>
    <w:qFormat/>
    <w:uiPriority w:val="0"/>
    <w:rPr>
      <w:rFonts w:ascii="宋体" w:hAnsi="宋体" w:cstheme="minorBidi"/>
      <w:b/>
      <w:kern w:val="2"/>
      <w:sz w:val="28"/>
      <w:szCs w:val="24"/>
    </w:rPr>
  </w:style>
  <w:style w:type="table" w:customStyle="1" w:styleId="54">
    <w:name w:val="网格型1"/>
    <w:basedOn w:val="38"/>
    <w:qFormat/>
    <w:uiPriority w:val="5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批注文字 字符"/>
    <w:basedOn w:val="40"/>
    <w:link w:val="15"/>
    <w:qFormat/>
    <w:uiPriority w:val="0"/>
    <w:rPr>
      <w:kern w:val="2"/>
      <w:sz w:val="21"/>
    </w:rPr>
  </w:style>
  <w:style w:type="paragraph" w:customStyle="1" w:styleId="56">
    <w:name w:val="CM27"/>
    <w:basedOn w:val="50"/>
    <w:next w:val="50"/>
    <w:qFormat/>
    <w:uiPriority w:val="99"/>
    <w:pPr>
      <w:spacing w:line="320" w:lineRule="atLeast"/>
    </w:pPr>
    <w:rPr>
      <w:rFonts w:ascii="宋体" w:hAnsiTheme="minorHAnsi" w:cstheme="minorBidi"/>
      <w:color w:val="auto"/>
    </w:rPr>
  </w:style>
  <w:style w:type="paragraph" w:customStyle="1" w:styleId="57">
    <w:name w:val="A正文"/>
    <w:basedOn w:val="1"/>
    <w:link w:val="85"/>
    <w:qFormat/>
    <w:uiPriority w:val="0"/>
    <w:pPr>
      <w:ind w:firstLine="200" w:firstLineChars="200"/>
    </w:pPr>
    <w:rPr>
      <w:lang w:val="zh-CN"/>
    </w:rPr>
  </w:style>
  <w:style w:type="paragraph" w:customStyle="1" w:styleId="58">
    <w:name w:val="Table Paragraph"/>
    <w:basedOn w:val="1"/>
    <w:qFormat/>
    <w:uiPriority w:val="1"/>
    <w:pPr>
      <w:autoSpaceDE w:val="0"/>
      <w:autoSpaceDN w:val="0"/>
      <w:spacing w:before="16"/>
      <w:ind w:left="95"/>
      <w:jc w:val="center"/>
    </w:pPr>
    <w:rPr>
      <w:rFonts w:ascii="仿宋_GB2312" w:hAnsi="仿宋_GB2312" w:eastAsia="仿宋_GB2312" w:cs="仿宋_GB2312"/>
      <w:kern w:val="0"/>
      <w:sz w:val="22"/>
      <w:szCs w:val="22"/>
      <w:lang w:eastAsia="en-US"/>
    </w:rPr>
  </w:style>
  <w:style w:type="paragraph" w:customStyle="1" w:styleId="59">
    <w:name w:val="修订3"/>
    <w:hidden/>
    <w:unhideWhenUsed/>
    <w:qFormat/>
    <w:uiPriority w:val="99"/>
    <w:rPr>
      <w:rFonts w:ascii="宋体" w:hAnsi="宋体" w:eastAsia="宋体" w:cstheme="minorBidi"/>
      <w:kern w:val="2"/>
      <w:sz w:val="24"/>
      <w:szCs w:val="24"/>
      <w:lang w:val="en-US" w:eastAsia="zh-CN" w:bidi="ar-SA"/>
    </w:rPr>
  </w:style>
  <w:style w:type="character" w:customStyle="1" w:styleId="60">
    <w:name w:val="样式1 字符"/>
    <w:basedOn w:val="40"/>
    <w:link w:val="61"/>
    <w:qFormat/>
    <w:uiPriority w:val="0"/>
    <w:rPr>
      <w:rFonts w:ascii="宋体" w:hAnsi="宋体" w:cstheme="minorBidi"/>
      <w:color w:val="ED41FD"/>
      <w:kern w:val="2"/>
      <w:sz w:val="24"/>
      <w:szCs w:val="24"/>
    </w:rPr>
  </w:style>
  <w:style w:type="paragraph" w:customStyle="1" w:styleId="61">
    <w:name w:val="样式1"/>
    <w:basedOn w:val="1"/>
    <w:link w:val="60"/>
    <w:qFormat/>
    <w:uiPriority w:val="0"/>
    <w:rPr>
      <w:color w:val="ED41FD"/>
    </w:rPr>
  </w:style>
  <w:style w:type="paragraph" w:customStyle="1" w:styleId="62">
    <w:name w:val="CM65"/>
    <w:basedOn w:val="50"/>
    <w:next w:val="50"/>
    <w:qFormat/>
    <w:uiPriority w:val="99"/>
    <w:rPr>
      <w:rFonts w:ascii="宋体" w:hAnsiTheme="minorHAnsi" w:cstheme="minorBidi"/>
      <w:color w:val="auto"/>
    </w:rPr>
  </w:style>
  <w:style w:type="paragraph" w:customStyle="1" w:styleId="63">
    <w:name w:val="CM61"/>
    <w:basedOn w:val="50"/>
    <w:next w:val="50"/>
    <w:qFormat/>
    <w:uiPriority w:val="99"/>
    <w:rPr>
      <w:rFonts w:ascii="宋体" w:hAnsiTheme="minorHAnsi" w:cstheme="minorBidi"/>
      <w:color w:val="auto"/>
    </w:rPr>
  </w:style>
  <w:style w:type="paragraph" w:customStyle="1" w:styleId="64">
    <w:name w:val="CM12"/>
    <w:basedOn w:val="50"/>
    <w:next w:val="50"/>
    <w:qFormat/>
    <w:uiPriority w:val="99"/>
    <w:pPr>
      <w:spacing w:line="318" w:lineRule="atLeast"/>
    </w:pPr>
    <w:rPr>
      <w:rFonts w:ascii="宋体" w:hAnsiTheme="minorHAnsi" w:cstheme="minorBidi"/>
      <w:color w:val="auto"/>
    </w:rPr>
  </w:style>
  <w:style w:type="paragraph" w:customStyle="1" w:styleId="65">
    <w:name w:val="CM62"/>
    <w:basedOn w:val="50"/>
    <w:next w:val="50"/>
    <w:qFormat/>
    <w:uiPriority w:val="99"/>
    <w:rPr>
      <w:rFonts w:ascii="宋体" w:hAnsiTheme="minorHAnsi" w:cstheme="minorBidi"/>
      <w:color w:val="auto"/>
    </w:rPr>
  </w:style>
  <w:style w:type="paragraph" w:customStyle="1" w:styleId="66">
    <w:name w:val="样式 标题 2 + 宋体"/>
    <w:basedOn w:val="3"/>
    <w:qFormat/>
    <w:uiPriority w:val="0"/>
    <w:pPr>
      <w:spacing w:before="100" w:beforeAutospacing="1" w:after="100" w:afterAutospacing="1" w:line="360" w:lineRule="auto"/>
    </w:pPr>
    <w:rPr>
      <w:rFonts w:ascii="宋体" w:hAnsi="宋体" w:eastAsia="宋体"/>
      <w:sz w:val="30"/>
    </w:rPr>
  </w:style>
  <w:style w:type="character" w:customStyle="1" w:styleId="67">
    <w:name w:val="正文文本 字符1"/>
    <w:basedOn w:val="40"/>
    <w:link w:val="17"/>
    <w:qFormat/>
    <w:uiPriority w:val="99"/>
    <w:rPr>
      <w:rFonts w:ascii="黑体" w:hAnsi="黑体" w:eastAsia="黑体" w:cstheme="minorBidi"/>
      <w:kern w:val="2"/>
      <w:sz w:val="32"/>
      <w:szCs w:val="32"/>
    </w:rPr>
  </w:style>
  <w:style w:type="paragraph" w:customStyle="1" w:styleId="68">
    <w:name w:val="CM3"/>
    <w:basedOn w:val="50"/>
    <w:next w:val="50"/>
    <w:qFormat/>
    <w:uiPriority w:val="99"/>
    <w:pPr>
      <w:spacing w:line="318" w:lineRule="atLeast"/>
    </w:pPr>
    <w:rPr>
      <w:rFonts w:ascii="宋体" w:hAnsiTheme="minorHAnsi" w:cstheme="minorBidi"/>
      <w:color w:val="auto"/>
    </w:rPr>
  </w:style>
  <w:style w:type="paragraph" w:customStyle="1" w:styleId="69">
    <w:name w:val="CM41"/>
    <w:basedOn w:val="50"/>
    <w:next w:val="50"/>
    <w:qFormat/>
    <w:uiPriority w:val="99"/>
    <w:pPr>
      <w:spacing w:line="313" w:lineRule="atLeast"/>
    </w:pPr>
    <w:rPr>
      <w:rFonts w:ascii="宋体" w:hAnsiTheme="minorHAnsi" w:cstheme="minorBidi"/>
      <w:color w:val="auto"/>
    </w:rPr>
  </w:style>
  <w:style w:type="paragraph" w:customStyle="1" w:styleId="70">
    <w:name w:val="CM19"/>
    <w:basedOn w:val="50"/>
    <w:next w:val="50"/>
    <w:qFormat/>
    <w:uiPriority w:val="99"/>
    <w:pPr>
      <w:spacing w:line="318" w:lineRule="atLeast"/>
    </w:pPr>
    <w:rPr>
      <w:rFonts w:ascii="宋体" w:hAnsiTheme="minorHAnsi" w:cstheme="minorBidi"/>
      <w:color w:val="auto"/>
    </w:rPr>
  </w:style>
  <w:style w:type="paragraph" w:customStyle="1" w:styleId="71">
    <w:name w:val="2"/>
    <w:basedOn w:val="1"/>
    <w:next w:val="72"/>
    <w:qFormat/>
    <w:uiPriority w:val="0"/>
    <w:rPr>
      <w:rFonts w:hAnsi="Courier New"/>
    </w:rPr>
  </w:style>
  <w:style w:type="paragraph" w:customStyle="1" w:styleId="72">
    <w:name w:val="纯文本1"/>
    <w:basedOn w:val="1"/>
    <w:qFormat/>
    <w:uiPriority w:val="0"/>
    <w:pPr>
      <w:spacing w:line="440" w:lineRule="exact"/>
      <w:ind w:right="340" w:firstLine="515" w:firstLineChars="250"/>
    </w:pPr>
    <w:rPr>
      <w:rFonts w:hAnsi="Courier New"/>
    </w:rPr>
  </w:style>
  <w:style w:type="paragraph" w:customStyle="1" w:styleId="73">
    <w:name w:val="Char Char Char Char Char Char1 Char"/>
    <w:basedOn w:val="1"/>
    <w:qFormat/>
    <w:uiPriority w:val="0"/>
    <w:pPr>
      <w:widowControl/>
      <w:spacing w:after="160" w:line="240" w:lineRule="exact"/>
      <w:jc w:val="left"/>
    </w:pPr>
    <w:rPr>
      <w:rFonts w:ascii="Verdana" w:hAnsi="Verdana" w:eastAsia="仿宋_GB2312"/>
      <w:kern w:val="0"/>
      <w:lang w:eastAsia="en-US"/>
    </w:rPr>
  </w:style>
  <w:style w:type="character" w:customStyle="1" w:styleId="74">
    <w:name w:val="未处理的提及11"/>
    <w:basedOn w:val="40"/>
    <w:semiHidden/>
    <w:unhideWhenUsed/>
    <w:qFormat/>
    <w:uiPriority w:val="99"/>
    <w:rPr>
      <w:color w:val="605E5C"/>
      <w:shd w:val="clear" w:color="auto" w:fill="E1DFDD"/>
    </w:rPr>
  </w:style>
  <w:style w:type="paragraph" w:customStyle="1" w:styleId="75">
    <w:name w:val="CM44"/>
    <w:basedOn w:val="50"/>
    <w:next w:val="50"/>
    <w:qFormat/>
    <w:uiPriority w:val="99"/>
    <w:pPr>
      <w:spacing w:line="313" w:lineRule="atLeast"/>
    </w:pPr>
    <w:rPr>
      <w:rFonts w:ascii="宋体" w:hAnsiTheme="minorHAnsi" w:cstheme="minorBidi"/>
      <w:color w:val="auto"/>
    </w:rPr>
  </w:style>
  <w:style w:type="paragraph" w:customStyle="1" w:styleId="76">
    <w:name w:val="标题4"/>
    <w:basedOn w:val="5"/>
    <w:qFormat/>
    <w:uiPriority w:val="0"/>
  </w:style>
  <w:style w:type="paragraph" w:customStyle="1" w:styleId="77">
    <w:name w:val="TOC 标题1"/>
    <w:basedOn w:val="2"/>
    <w:next w:val="1"/>
    <w:unhideWhenUsed/>
    <w:qFormat/>
    <w:uiPriority w:val="39"/>
    <w:pPr>
      <w:widowControl/>
      <w:numPr>
        <w:numId w:val="0"/>
      </w:numPr>
      <w:tabs>
        <w:tab w:val="clear" w:pos="0"/>
      </w:tabs>
      <w:snapToGrid/>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paragraph" w:customStyle="1" w:styleId="78">
    <w:name w:val="CM42"/>
    <w:basedOn w:val="50"/>
    <w:next w:val="50"/>
    <w:qFormat/>
    <w:uiPriority w:val="99"/>
    <w:pPr>
      <w:spacing w:line="316" w:lineRule="atLeast"/>
    </w:pPr>
    <w:rPr>
      <w:rFonts w:ascii="宋体" w:hAnsiTheme="minorHAnsi" w:cstheme="minorBidi"/>
      <w:color w:val="auto"/>
    </w:rPr>
  </w:style>
  <w:style w:type="paragraph" w:customStyle="1" w:styleId="79">
    <w:name w:val="正文2"/>
    <w:basedOn w:val="1"/>
    <w:qFormat/>
    <w:uiPriority w:val="0"/>
    <w:pPr>
      <w:ind w:firstLine="200" w:firstLineChars="200"/>
    </w:pPr>
    <w:rPr>
      <w:rFonts w:ascii="Times New Roman" w:hAnsi="Times New Roman"/>
    </w:rPr>
  </w:style>
  <w:style w:type="paragraph" w:customStyle="1" w:styleId="80">
    <w:name w:val="CM21"/>
    <w:basedOn w:val="50"/>
    <w:next w:val="50"/>
    <w:qFormat/>
    <w:uiPriority w:val="99"/>
    <w:pPr>
      <w:spacing w:line="320" w:lineRule="atLeast"/>
    </w:pPr>
    <w:rPr>
      <w:rFonts w:ascii="宋体" w:hAnsiTheme="minorHAnsi" w:cstheme="minorBidi"/>
      <w:color w:val="auto"/>
    </w:rPr>
  </w:style>
  <w:style w:type="character" w:customStyle="1" w:styleId="81">
    <w:name w:val="页眉 字符"/>
    <w:basedOn w:val="40"/>
    <w:link w:val="26"/>
    <w:qFormat/>
    <w:uiPriority w:val="99"/>
    <w:rPr>
      <w:rFonts w:eastAsia="宋体"/>
      <w:kern w:val="2"/>
      <w:sz w:val="18"/>
      <w:lang w:val="en-US" w:eastAsia="zh-CN" w:bidi="ar-SA"/>
    </w:rPr>
  </w:style>
  <w:style w:type="character" w:customStyle="1" w:styleId="82">
    <w:name w:val="lefter2"/>
    <w:basedOn w:val="40"/>
    <w:qFormat/>
    <w:uiPriority w:val="0"/>
  </w:style>
  <w:style w:type="paragraph" w:customStyle="1" w:styleId="83">
    <w:name w:val="投标正文"/>
    <w:basedOn w:val="1"/>
    <w:link w:val="97"/>
    <w:qFormat/>
    <w:uiPriority w:val="0"/>
    <w:pPr>
      <w:ind w:firstLine="200" w:firstLineChars="200"/>
    </w:pPr>
  </w:style>
  <w:style w:type="paragraph" w:customStyle="1" w:styleId="84">
    <w:name w:val="CM10"/>
    <w:basedOn w:val="50"/>
    <w:next w:val="50"/>
    <w:qFormat/>
    <w:uiPriority w:val="99"/>
    <w:pPr>
      <w:spacing w:line="320" w:lineRule="atLeast"/>
    </w:pPr>
    <w:rPr>
      <w:rFonts w:ascii="宋体" w:hAnsiTheme="minorHAnsi" w:cstheme="minorBidi"/>
      <w:color w:val="auto"/>
    </w:rPr>
  </w:style>
  <w:style w:type="character" w:customStyle="1" w:styleId="85">
    <w:name w:val="A正文 Char Char"/>
    <w:link w:val="57"/>
    <w:qFormat/>
    <w:uiPriority w:val="0"/>
    <w:rPr>
      <w:kern w:val="2"/>
      <w:sz w:val="24"/>
      <w:szCs w:val="24"/>
      <w:lang w:val="zh-CN"/>
    </w:rPr>
  </w:style>
  <w:style w:type="paragraph" w:customStyle="1" w:styleId="86">
    <w:name w:val="Char"/>
    <w:basedOn w:val="1"/>
    <w:qFormat/>
    <w:uiPriority w:val="0"/>
    <w:rPr>
      <w:sz w:val="30"/>
    </w:rPr>
  </w:style>
  <w:style w:type="paragraph" w:customStyle="1" w:styleId="87">
    <w:name w:val="默认段落字体 Para Char"/>
    <w:basedOn w:val="1"/>
    <w:qFormat/>
    <w:uiPriority w:val="0"/>
  </w:style>
  <w:style w:type="paragraph" w:customStyle="1" w:styleId="88">
    <w:name w:val="CM39"/>
    <w:basedOn w:val="50"/>
    <w:next w:val="50"/>
    <w:qFormat/>
    <w:uiPriority w:val="99"/>
    <w:pPr>
      <w:spacing w:line="316" w:lineRule="atLeast"/>
    </w:pPr>
    <w:rPr>
      <w:rFonts w:ascii="宋体" w:hAnsiTheme="minorHAnsi" w:cstheme="minorBidi"/>
      <w:color w:val="auto"/>
    </w:rPr>
  </w:style>
  <w:style w:type="paragraph" w:customStyle="1" w:styleId="89">
    <w:name w:val="CM43"/>
    <w:basedOn w:val="50"/>
    <w:next w:val="50"/>
    <w:qFormat/>
    <w:uiPriority w:val="99"/>
    <w:pPr>
      <w:spacing w:line="313" w:lineRule="atLeast"/>
    </w:pPr>
    <w:rPr>
      <w:rFonts w:ascii="宋体" w:hAnsiTheme="minorHAnsi" w:cstheme="minorBidi"/>
      <w:color w:val="auto"/>
    </w:rPr>
  </w:style>
  <w:style w:type="character" w:customStyle="1" w:styleId="90">
    <w:name w:val="批注主题 字符"/>
    <w:basedOn w:val="55"/>
    <w:link w:val="36"/>
    <w:semiHidden/>
    <w:qFormat/>
    <w:uiPriority w:val="0"/>
    <w:rPr>
      <w:b/>
      <w:bCs/>
      <w:kern w:val="2"/>
      <w:sz w:val="21"/>
    </w:rPr>
  </w:style>
  <w:style w:type="character" w:customStyle="1" w:styleId="91">
    <w:name w:val="纯文本 字符"/>
    <w:basedOn w:val="40"/>
    <w:link w:val="21"/>
    <w:qFormat/>
    <w:uiPriority w:val="0"/>
    <w:rPr>
      <w:rFonts w:ascii="宋体" w:hAnsi="Courier New" w:eastAsia="宋体"/>
      <w:kern w:val="2"/>
      <w:sz w:val="21"/>
      <w:lang w:val="en-US" w:eastAsia="zh-CN" w:bidi="ar-SA"/>
    </w:rPr>
  </w:style>
  <w:style w:type="character" w:customStyle="1" w:styleId="92">
    <w:name w:val="正文文本 字符"/>
    <w:basedOn w:val="40"/>
    <w:semiHidden/>
    <w:qFormat/>
    <w:uiPriority w:val="99"/>
    <w:rPr>
      <w:kern w:val="2"/>
      <w:sz w:val="21"/>
      <w:szCs w:val="22"/>
    </w:rPr>
  </w:style>
  <w:style w:type="character" w:customStyle="1" w:styleId="93">
    <w:name w:val="页脚 字符"/>
    <w:basedOn w:val="40"/>
    <w:link w:val="25"/>
    <w:qFormat/>
    <w:uiPriority w:val="99"/>
    <w:rPr>
      <w:kern w:val="2"/>
      <w:sz w:val="18"/>
    </w:rPr>
  </w:style>
  <w:style w:type="paragraph" w:customStyle="1" w:styleId="94">
    <w:name w:val="CM31"/>
    <w:basedOn w:val="50"/>
    <w:next w:val="50"/>
    <w:qFormat/>
    <w:uiPriority w:val="99"/>
    <w:pPr>
      <w:spacing w:line="318" w:lineRule="atLeast"/>
    </w:pPr>
    <w:rPr>
      <w:rFonts w:ascii="宋体" w:hAnsiTheme="minorHAnsi" w:cstheme="minorBidi"/>
      <w:color w:val="auto"/>
    </w:rPr>
  </w:style>
  <w:style w:type="character" w:customStyle="1" w:styleId="95">
    <w:name w:val="标题 2 字符"/>
    <w:basedOn w:val="40"/>
    <w:link w:val="3"/>
    <w:qFormat/>
    <w:uiPriority w:val="9"/>
    <w:rPr>
      <w:rFonts w:asciiTheme="majorEastAsia" w:hAnsiTheme="majorEastAsia" w:eastAsiaTheme="majorEastAsia" w:cstheme="minorBidi"/>
      <w:b/>
      <w:kern w:val="2"/>
      <w:sz w:val="28"/>
      <w:szCs w:val="22"/>
    </w:rPr>
  </w:style>
  <w:style w:type="paragraph" w:customStyle="1" w:styleId="96">
    <w:name w:val="Char1"/>
    <w:basedOn w:val="1"/>
    <w:qFormat/>
    <w:uiPriority w:val="0"/>
    <w:rPr>
      <w:sz w:val="30"/>
    </w:rPr>
  </w:style>
  <w:style w:type="character" w:customStyle="1" w:styleId="97">
    <w:name w:val="投标正文 Char"/>
    <w:basedOn w:val="40"/>
    <w:link w:val="83"/>
    <w:qFormat/>
    <w:uiPriority w:val="0"/>
    <w:rPr>
      <w:kern w:val="2"/>
      <w:sz w:val="24"/>
      <w:szCs w:val="24"/>
    </w:rPr>
  </w:style>
  <w:style w:type="paragraph" w:customStyle="1" w:styleId="98">
    <w:name w:val="标题5"/>
    <w:basedOn w:val="7"/>
    <w:qFormat/>
    <w:uiPriority w:val="0"/>
    <w:pPr>
      <w:spacing w:line="360" w:lineRule="auto"/>
    </w:pPr>
  </w:style>
  <w:style w:type="character" w:customStyle="1" w:styleId="99">
    <w:name w:val="未处理的提及1"/>
    <w:basedOn w:val="40"/>
    <w:semiHidden/>
    <w:unhideWhenUsed/>
    <w:qFormat/>
    <w:uiPriority w:val="99"/>
    <w:rPr>
      <w:color w:val="605E5C"/>
      <w:shd w:val="clear" w:color="auto" w:fill="E1DFDD"/>
    </w:rPr>
  </w:style>
  <w:style w:type="paragraph" w:customStyle="1" w:styleId="100">
    <w:name w:val="CM60"/>
    <w:basedOn w:val="50"/>
    <w:next w:val="50"/>
    <w:qFormat/>
    <w:uiPriority w:val="99"/>
    <w:rPr>
      <w:rFonts w:ascii="宋体" w:hAnsiTheme="minorHAnsi" w:cstheme="minorBidi"/>
      <w:color w:val="auto"/>
    </w:rPr>
  </w:style>
  <w:style w:type="paragraph" w:customStyle="1" w:styleId="101">
    <w:name w:val="条文1"/>
    <w:basedOn w:val="1"/>
    <w:qFormat/>
    <w:uiPriority w:val="0"/>
    <w:pPr>
      <w:numPr>
        <w:ilvl w:val="0"/>
        <w:numId w:val="2"/>
      </w:numPr>
    </w:pPr>
    <w:rPr>
      <w:rFonts w:ascii="MS UI Gothic" w:hAnsi="MS UI Gothic"/>
      <w:kern w:val="44"/>
    </w:rPr>
  </w:style>
  <w:style w:type="paragraph" w:customStyle="1" w:styleId="102">
    <w:name w:val="CM11"/>
    <w:basedOn w:val="50"/>
    <w:next w:val="50"/>
    <w:qFormat/>
    <w:uiPriority w:val="99"/>
    <w:pPr>
      <w:spacing w:line="320" w:lineRule="atLeast"/>
    </w:pPr>
    <w:rPr>
      <w:rFonts w:ascii="宋体" w:hAnsiTheme="minorHAnsi" w:cstheme="minorBidi"/>
      <w:color w:val="auto"/>
    </w:rPr>
  </w:style>
  <w:style w:type="paragraph" w:customStyle="1" w:styleId="103">
    <w:name w:val="CM64"/>
    <w:basedOn w:val="50"/>
    <w:next w:val="50"/>
    <w:qFormat/>
    <w:uiPriority w:val="99"/>
    <w:rPr>
      <w:rFonts w:ascii="宋体" w:hAnsiTheme="minorHAnsi" w:cstheme="minorBidi"/>
      <w:color w:val="auto"/>
    </w:rPr>
  </w:style>
  <w:style w:type="paragraph" w:customStyle="1" w:styleId="104">
    <w:name w:val="CM4"/>
    <w:basedOn w:val="50"/>
    <w:next w:val="50"/>
    <w:qFormat/>
    <w:uiPriority w:val="99"/>
    <w:pPr>
      <w:spacing w:line="318" w:lineRule="atLeast"/>
    </w:pPr>
    <w:rPr>
      <w:rFonts w:ascii="宋体" w:hAnsiTheme="minorHAnsi" w:cstheme="minorBidi"/>
      <w:color w:val="auto"/>
    </w:rPr>
  </w:style>
  <w:style w:type="character" w:customStyle="1" w:styleId="105">
    <w:name w:val="标题 1 字符"/>
    <w:basedOn w:val="40"/>
    <w:link w:val="2"/>
    <w:qFormat/>
    <w:uiPriority w:val="9"/>
    <w:rPr>
      <w:rFonts w:ascii="宋体" w:hAnsi="宋体" w:cstheme="minorBidi"/>
      <w:b/>
      <w:kern w:val="44"/>
      <w:sz w:val="32"/>
      <w:szCs w:val="24"/>
    </w:rPr>
  </w:style>
  <w:style w:type="paragraph" w:customStyle="1" w:styleId="106">
    <w:name w:val="CM1"/>
    <w:basedOn w:val="1"/>
    <w:next w:val="1"/>
    <w:qFormat/>
    <w:uiPriority w:val="99"/>
    <w:pPr>
      <w:autoSpaceDE w:val="0"/>
      <w:autoSpaceDN w:val="0"/>
      <w:adjustRightInd w:val="0"/>
      <w:jc w:val="left"/>
    </w:pPr>
    <w:rPr>
      <w:rFonts w:hAnsiTheme="minorHAnsi"/>
      <w:kern w:val="0"/>
    </w:rPr>
  </w:style>
  <w:style w:type="paragraph" w:customStyle="1" w:styleId="107">
    <w:name w:val="CM20"/>
    <w:basedOn w:val="50"/>
    <w:next w:val="50"/>
    <w:qFormat/>
    <w:uiPriority w:val="99"/>
    <w:pPr>
      <w:spacing w:line="318" w:lineRule="atLeast"/>
    </w:pPr>
    <w:rPr>
      <w:rFonts w:ascii="宋体" w:hAnsiTheme="minorHAnsi" w:cstheme="minorBidi"/>
      <w:color w:val="auto"/>
    </w:rPr>
  </w:style>
  <w:style w:type="paragraph" w:customStyle="1" w:styleId="108">
    <w:name w:val="Normal_2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9">
    <w:name w:val="CM13"/>
    <w:basedOn w:val="50"/>
    <w:next w:val="50"/>
    <w:qFormat/>
    <w:uiPriority w:val="99"/>
    <w:pPr>
      <w:spacing w:line="320" w:lineRule="atLeast"/>
    </w:pPr>
    <w:rPr>
      <w:rFonts w:ascii="宋体" w:hAnsiTheme="minorHAnsi" w:cstheme="minorBidi"/>
      <w:color w:val="auto"/>
    </w:rPr>
  </w:style>
  <w:style w:type="character" w:customStyle="1" w:styleId="110">
    <w:name w:val="标题 字符"/>
    <w:basedOn w:val="40"/>
    <w:link w:val="35"/>
    <w:qFormat/>
    <w:uiPriority w:val="0"/>
    <w:rPr>
      <w:rFonts w:asciiTheme="majorHAnsi" w:hAnsiTheme="majorHAnsi" w:eastAsiaTheme="majorEastAsia" w:cstheme="majorBidi"/>
      <w:b/>
      <w:bCs/>
      <w:kern w:val="2"/>
      <w:sz w:val="32"/>
      <w:szCs w:val="32"/>
    </w:rPr>
  </w:style>
  <w:style w:type="paragraph" w:customStyle="1" w:styleId="111">
    <w:name w:val="CM16"/>
    <w:basedOn w:val="50"/>
    <w:next w:val="50"/>
    <w:qFormat/>
    <w:uiPriority w:val="99"/>
    <w:pPr>
      <w:spacing w:line="316" w:lineRule="atLeast"/>
    </w:pPr>
    <w:rPr>
      <w:rFonts w:ascii="宋体" w:hAnsiTheme="minorHAnsi" w:cstheme="minorBidi"/>
      <w:color w:val="auto"/>
    </w:rPr>
  </w:style>
  <w:style w:type="paragraph" w:customStyle="1" w:styleId="112">
    <w:name w:val="CM32"/>
    <w:basedOn w:val="50"/>
    <w:next w:val="50"/>
    <w:qFormat/>
    <w:uiPriority w:val="99"/>
    <w:pPr>
      <w:spacing w:line="320" w:lineRule="atLeast"/>
    </w:pPr>
    <w:rPr>
      <w:rFonts w:ascii="宋体" w:hAnsiTheme="minorHAnsi" w:cstheme="minorBidi"/>
      <w:color w:val="auto"/>
    </w:rPr>
  </w:style>
  <w:style w:type="paragraph" w:customStyle="1" w:styleId="113">
    <w:name w:val="TOC 标题11"/>
    <w:basedOn w:val="2"/>
    <w:next w:val="1"/>
    <w:unhideWhenUsed/>
    <w:qFormat/>
    <w:uiPriority w:val="39"/>
    <w:pPr>
      <w:widowControl/>
      <w:numPr>
        <w:numId w:val="0"/>
      </w:numPr>
      <w:tabs>
        <w:tab w:val="clear" w:pos="0"/>
      </w:tabs>
      <w:snapToGrid/>
      <w:spacing w:before="240" w:line="259" w:lineRule="auto"/>
      <w:jc w:val="left"/>
      <w:outlineLvl w:val="9"/>
    </w:pPr>
    <w:rPr>
      <w:rFonts w:asciiTheme="majorHAnsi" w:hAnsiTheme="majorHAnsi" w:eastAsiaTheme="majorEastAsia" w:cstheme="majorBidi"/>
      <w:b w:val="0"/>
      <w:color w:val="376092" w:themeColor="accent1" w:themeShade="BF"/>
      <w:kern w:val="0"/>
      <w:szCs w:val="32"/>
    </w:rPr>
  </w:style>
  <w:style w:type="paragraph" w:customStyle="1" w:styleId="114">
    <w:name w:val="修订1"/>
    <w:hidden/>
    <w:semiHidden/>
    <w:qFormat/>
    <w:uiPriority w:val="99"/>
    <w:rPr>
      <w:rFonts w:ascii="Times New Roman" w:hAnsi="Times New Roman" w:eastAsia="宋体" w:cs="Times New Roman"/>
      <w:kern w:val="2"/>
      <w:sz w:val="21"/>
      <w:lang w:val="en-US" w:eastAsia="zh-CN" w:bidi="ar-SA"/>
    </w:rPr>
  </w:style>
  <w:style w:type="paragraph" w:customStyle="1" w:styleId="115">
    <w:name w:val="CM59"/>
    <w:basedOn w:val="1"/>
    <w:next w:val="1"/>
    <w:qFormat/>
    <w:uiPriority w:val="99"/>
    <w:pPr>
      <w:autoSpaceDE w:val="0"/>
      <w:autoSpaceDN w:val="0"/>
      <w:adjustRightInd w:val="0"/>
      <w:jc w:val="left"/>
    </w:pPr>
    <w:rPr>
      <w:rFonts w:hAnsiTheme="minorHAnsi"/>
      <w:kern w:val="0"/>
    </w:rPr>
  </w:style>
  <w:style w:type="paragraph" w:customStyle="1" w:styleId="116">
    <w:name w:val="CM2"/>
    <w:basedOn w:val="1"/>
    <w:next w:val="1"/>
    <w:qFormat/>
    <w:uiPriority w:val="99"/>
    <w:pPr>
      <w:autoSpaceDE w:val="0"/>
      <w:autoSpaceDN w:val="0"/>
      <w:adjustRightInd w:val="0"/>
      <w:spacing w:line="320" w:lineRule="atLeast"/>
      <w:jc w:val="left"/>
    </w:pPr>
    <w:rPr>
      <w:rFonts w:hAnsiTheme="minorHAnsi"/>
      <w:kern w:val="0"/>
    </w:rPr>
  </w:style>
  <w:style w:type="table" w:customStyle="1" w:styleId="117">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18">
    <w:name w:val="正文文本首行缩进 字符"/>
    <w:basedOn w:val="67"/>
    <w:link w:val="37"/>
    <w:qFormat/>
    <w:uiPriority w:val="0"/>
    <w:rPr>
      <w:rFonts w:ascii="黑体" w:hAnsi="黑体" w:eastAsia="黑体" w:cstheme="minorBidi"/>
      <w:kern w:val="2"/>
      <w:sz w:val="21"/>
      <w:szCs w:val="32"/>
    </w:rPr>
  </w:style>
  <w:style w:type="paragraph" w:customStyle="1" w:styleId="119">
    <w:name w:val="修订2"/>
    <w:hidden/>
    <w:unhideWhenUsed/>
    <w:qFormat/>
    <w:uiPriority w:val="99"/>
    <w:rPr>
      <w:rFonts w:ascii="宋体" w:hAnsi="宋体" w:eastAsia="宋体" w:cstheme="minorBidi"/>
      <w:kern w:val="2"/>
      <w:sz w:val="24"/>
      <w:szCs w:val="24"/>
      <w:lang w:val="en-US" w:eastAsia="zh-CN" w:bidi="ar-SA"/>
    </w:rPr>
  </w:style>
  <w:style w:type="paragraph" w:customStyle="1" w:styleId="120">
    <w:name w:val="CM63"/>
    <w:basedOn w:val="50"/>
    <w:next w:val="50"/>
    <w:qFormat/>
    <w:uiPriority w:val="99"/>
    <w:rPr>
      <w:rFonts w:ascii="宋体" w:hAnsiTheme="minorHAnsi" w:cstheme="minorBidi"/>
      <w:color w:val="auto"/>
    </w:rPr>
  </w:style>
  <w:style w:type="paragraph" w:customStyle="1" w:styleId="121">
    <w:name w:val="CM30"/>
    <w:basedOn w:val="50"/>
    <w:next w:val="50"/>
    <w:qFormat/>
    <w:uiPriority w:val="99"/>
    <w:pPr>
      <w:spacing w:line="320" w:lineRule="atLeast"/>
    </w:pPr>
    <w:rPr>
      <w:rFonts w:ascii="宋体" w:hAnsiTheme="minorHAnsi" w:cstheme="minorBidi"/>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17718</Words>
  <Characters>19485</Characters>
  <Lines>31</Lines>
  <Paragraphs>43</Paragraphs>
  <TotalTime>1</TotalTime>
  <ScaleCrop>false</ScaleCrop>
  <LinksUpToDate>false</LinksUpToDate>
  <CharactersWithSpaces>19883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2025-02-20T08:53:00Z</dcterms:created>
  <dc:creator>zhct</dc:creator>
  <cp:lastModifiedBy>周艳云</cp:lastModifiedBy>
  <dcterms:modified xsi:type="dcterms:W3CDTF">2025-03-07T02:47:48Z</dcterms:modified>
  <cp:revision>4</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2052-12.1.0.20305</vt:lpwstr>
  </op:property>
  <op:property fmtid="{D5CDD505-2E9C-101B-9397-08002B2CF9AE}" pid="3" name="ICV">
    <vt:lpwstr>9624FBC2D0644194A61431A3B7D23ADF_13</vt:lpwstr>
  </op:property>
  <op:property fmtid="{D5CDD505-2E9C-101B-9397-08002B2CF9AE}" pid="4" name="KSOTemplateDocerSaveRecord">
    <vt:lpwstr>eyJoZGlkIjoiYWY3OTViMjMxNWJmZWI1YzEyNDVlMjEwODMyODAzMjIiLCJ1c2VySWQiOiIzMDMyODk4NDAifQ==</vt:lpwstr>
  </op:property>
  <op:property fmtid="{D5CDD505-2E9C-101B-9397-08002B2CF9AE}" pid="5" name="_IPGFID">
    <vt:lpwstr>[DocID]=3A4E4D4D-83E4-4598-BD34-1D92E618E990</vt:lpwstr>
  </op:property>
  <op:property fmtid="{D5CDD505-2E9C-101B-9397-08002B2CF9AE}" pid="6" name="_IPGFLOW_P-B8DB_E-1_FP-1_SP-1_CV-F567107F_CN-8F02C2E7">
    <vt:lpwstr>nG1xaZRDnvnjVtkIvo92f7dqRV6WBk/yBneRcBfFYWGxldxlxzNYxJtkrYRcR6kSvDuzBrcLeYpHXcNzYAl5jIuna5IPiLfpPblY48k0dnPpnJPGk95O6WCcbbSRpuLdOO9lWsOvOhv2BOdudefkrLaWJ3aQx1HkElJRL1QfYerGISLH4HjZQqzcUbIWh0DPNGn4wy7Gu82cvV7u1VoOSR9tkEMbC94bNtraguC4bxVP1bATiGDIF/0rU0q4uxy</vt:lpwstr>
  </op:property>
  <op:property fmtid="{D5CDD505-2E9C-101B-9397-08002B2CF9AE}" pid="7" name="_IPGFLOW_P-B8DB_E-1_FP-1_SP-2_CV-806E59AA_CN-3D8A5688">
    <vt:lpwstr>1d8NiAwdLAAdXJltuRn/pKUHNSu5sgxyhtSa7Uq2LoA1rSyb6CDXf1BU/6NpI4KV+GYwPV7gDebfCzmyOcr/IxQ6BnjOqao0/I/7qXfBuDTLLqK4Qx/WHg4JafrWjPdzgmZM886f5Uke3+JgBXDNTFKgFNSlJtQ/Bi2QrxRInU61szyEE+dvBHiehNi5t0e8H</vt:lpwstr>
  </op:property>
  <op:property fmtid="{D5CDD505-2E9C-101B-9397-08002B2CF9AE}" pid="8" name="_IPGFLOW_P-B8DB_E-0_FP-1_CV-60DDE677_CN-92D76F79">
    <vt:lpwstr>DPSPMK|3|448|2|0</vt:lpwstr>
  </op:property>
  <op:property fmtid="{D5CDD505-2E9C-101B-9397-08002B2CF9AE}" pid="9" name="_IPGFLOW_P-B8DB_E-1_FP-2_SP-1_CV-A7EC6C38_CN-618B495A">
    <vt:lpwstr>kLYtVjS35KK8V2vb3f6do39+rvt32SqJqMFSwUPZejegfm+kM2zAOhiniXxdKqmO50KxO9uj3YncNCRFGvHTwpj8uuUUI0p+2lz8glj0NIB23Ifc6y9jkt+c/OWdCNyddrrZ0ugXPGLmTsQdV/xHDYTzDVsyu+DItgsMDb1FnFJiVyMx4Jz6fXkyDALa6NKVQ7XyKunkVHEzVC0ACYH1rLO/XZ0C9RP++q2ylPygM0P5HI4QE4KLtwrWTxTpu9o</vt:lpwstr>
  </op:property>
  <op:property fmtid="{D5CDD505-2E9C-101B-9397-08002B2CF9AE}" pid="10" name="_IPGFLOW_P-B8DB_E-1_FP-2_SP-2_CV-809FBAC6_CN-31A7643F">
    <vt:lpwstr>pjFyZNE+XIN8YVM7NQsDq4KKUTHijsFatJCM/jOyrapu9J53TSyV18mb3pqjKja18trvOf4xANcv+Se1V5b9X3YwxcZJXPQ/wesbExhOrhIE=</vt:lpwstr>
  </op:property>
  <op:property fmtid="{D5CDD505-2E9C-101B-9397-08002B2CF9AE}" pid="11" name="_IPGFLOW_P-B8DB_E-0_FP-2_CV-2D4294F3_CN-DDE4A63F">
    <vt:lpwstr>DPSPMK|3|364|2|0</vt:lpwstr>
  </op:property>
  <op:property fmtid="{D5CDD505-2E9C-101B-9397-08002B2CF9AE}" pid="12" name="_IPGFLOW_P-B8DB_E-1_FP-3_SP-1_CV-B033702B_CN-A698D0CA">
    <vt:lpwstr>kLYtVjS35KK8V2vb3f6do0sZ0qqyIUFF9L6Kgg9y8QW/0vkdXVIZ8ZJ103DQGOSACNInTqCZquTp9WY7GEWvQVaG091Vp8gk6zW5QzBdQ8R8XOIfs1ilzXLW7OhKi3NQ4ksy667IxNQWH3+0i0DIiY0vWQ4VigEsZROaq94ppl+q+pykbtF6vF8NOuvNd2y+zkXXl0UFe0UjctCd4UjjxTHvDxbM4fvijW0Hjhu6r3DIxEVKvbp2dukssjur8Ih</vt:lpwstr>
  </op:property>
  <op:property fmtid="{D5CDD505-2E9C-101B-9397-08002B2CF9AE}" pid="13" name="_IPGFLOW_P-B8DB_E-1_FP-3_SP-2_CV-6B24E05B_CN-BFB41309">
    <vt:lpwstr>NQmxMVqdtWC7fp1olGm9iVgub3fm1Ji2LcBjjJkiq3p0gC/nSWKgSMhCUeA2l9E4KXESFnGfonVghBGyxsDCkpYJMN0kerDakcoYbsoc1Ve8=</vt:lpwstr>
  </op:property>
  <op:property fmtid="{D5CDD505-2E9C-101B-9397-08002B2CF9AE}" pid="14" name="_IPGFLOW_P-B8DB_E-0_FP-3_CV-2D4294F3_CN-727FBA">
    <vt:lpwstr>DPSPMK|3|364|2|0</vt:lpwstr>
  </op:property>
  <op:property fmtid="{D5CDD505-2E9C-101B-9397-08002B2CF9AE}" pid="15" name="_IPGFLOW_P-B8DB_E-1_FP-4_SP-1_CV-7EA03E94_CN-9BD65CE2">
    <vt:lpwstr>kLYtVjS35KK8V2vb3f6do5XFYMXnG0tLZjp5QYjXXujN54MHv3LQuZ+JXBEE9L0aPk9hMVnwLJ4CdNRjUXDgSYblrDTN9rZhGzct/VXx7pRnQYn3zpp1gHHnINdPPNQUKnSz6MYkr6urMf5wrqfI4awMDe9Ze5F8wMOV1FumK7q0wvRuOsvBkxASw0pDV7fKIInCqaENl66tqO77spaMt2YjKZUPLy7cmnpzvDMPxHMzQFuXe/evkZPiJakXYYh</vt:lpwstr>
  </op:property>
  <op:property fmtid="{D5CDD505-2E9C-101B-9397-08002B2CF9AE}" pid="16" name="_IPGFLOW_P-B8DB_E-1_FP-4_SP-2_CV-47CF245B_CN-1062BCAE">
    <vt:lpwstr>gWHbiZBb4ckkyjHCsi4WN8eD7dgqkUWmILf2FGyE98yRMZDZjcMCay8bUuboiwkN1e1vcq/SpTNgFm0hSbBZPs+CrGxE7/glsdU96PsSenB4=</vt:lpwstr>
  </op:property>
  <op:property fmtid="{D5CDD505-2E9C-101B-9397-08002B2CF9AE}" pid="17" name="_IPGFLOW_P-B8DB_E-0_FP-4_CV-2D4294F3_CN-7D0179E2">
    <vt:lpwstr>DPSPMK|3|364|2|0</vt:lpwstr>
  </op:property>
  <op:property fmtid="{D5CDD505-2E9C-101B-9397-08002B2CF9AE}" pid="18" name="_IPGFLOW_P-B8DB_E-1_FP-5_SP-1_CV-7B340D4B_CN-1DF6B11A">
    <vt:lpwstr>kLYtVjS35KK8V2vb3f6doysZz+INEM6hlFWIpYTURfqQSrxBTmAUMf7fFIAEwBtpuaE70nckvgKAQMQRc7nQYbjhf8nOa9N7uzBS4x0fjUI6nOq78oyNaZbuF6soVXGnIKJmOTvJtALpQJfVjYM+q60JYtk3xsdiOGwWE+VFZ40FJPD7ru3b1ji3pk+vUXufHlmPuSrnrw3Npx0t0ut6c2IuAUZHftuIIxDdEp7FqygaRtP7XYaD/HJs6xmszCM</vt:lpwstr>
  </op:property>
  <op:property fmtid="{D5CDD505-2E9C-101B-9397-08002B2CF9AE}" pid="19" name="_IPGFLOW_P-B8DB_E-1_FP-5_SP-2_CV-3A7F9B52_CN-3D864B4F">
    <vt:lpwstr>8drYn0wQLONSuW9OwbB8+22XqlrAa4aBfOHLMwXCXvdz016mMgHxADHlK4ut4ST+IxAUH4aK1mhkYXyas5kIfo8MBUw6gf55EFfl09zQ/rjk=</vt:lpwstr>
  </op:property>
  <op:property fmtid="{D5CDD505-2E9C-101B-9397-08002B2CF9AE}" pid="20" name="_IPGFLOW_P-B8DB_E-0_FP-5_CV-2D4294F3_CN-A097A067">
    <vt:lpwstr>DPSPMK|3|364|2|0</vt:lpwstr>
  </op:property>
  <op:property fmtid="{D5CDD505-2E9C-101B-9397-08002B2CF9AE}" pid="21" name="_IPGFLOW_P-B8DB_E-0_CV-8D1D1A69_CN-7C5B037A">
    <vt:lpwstr>DPFPMK|3|50|6|0</vt:lpwstr>
  </op:property>
  <op:property fmtid="{D5CDD505-2E9C-101B-9397-08002B2CF9AE}" pid="22" name="_IPGFLOW_P-B8DB_E-1_FP-6_SP-1_CV-9C1E7D8A_CN-659C3B85">
    <vt:lpwstr>kLYtVjS35KK8V2vb3f6do/7Uyb510zmWb2i6eBt6dEzbyKbI5TNt92/JXDbT35uih0xTLEpRHAjSPJu4NRqoqs51WcVHrXodojcwbUjSnqm45ofdJYlygdAAU/WDhPWATYqWRv0UamM62jKxAB7VlCRmxtVGreOwrsMlmSovIu42C1fpwLNQ8EoHRWlDm3VIW+u5paDCvTaPANLOEoh30lfcbr3eNg3VOZ6XnlSjJDcC12CDqnmUAUllbGJDqeQ</vt:lpwstr>
  </op:property>
  <op:property fmtid="{D5CDD505-2E9C-101B-9397-08002B2CF9AE}" pid="23" name="_IPGFLOW_P-B8DB_E-1_FP-6_SP-2_CV-EAFC529E_CN-C9522355">
    <vt:lpwstr>c4KZxmIsbfbCJmlQwcw5P36iXkmRQiyapfwy1gnrP1EYEEUpuWNLymWUT1JF9Cb5tEQcY38v3JVfG0m7LH+zyOab6+Rzl4MyYybBoym7pRXs=</vt:lpwstr>
  </op:property>
  <op:property fmtid="{D5CDD505-2E9C-101B-9397-08002B2CF9AE}" pid="24" name="_IPGFLOW_P-B8DB_E-0_FP-6_CV-2D4294F3_CN-1D5DCCA9">
    <vt:lpwstr>DPSPMK|3|364|2|0</vt:lpwstr>
  </op:property>
</op:Properties>
</file>