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b/>
          <w:bCs/>
          <w:sz w:val="30"/>
          <w:szCs w:val="30"/>
        </w:rPr>
      </w:pPr>
      <w:r>
        <w:rPr>
          <w:rFonts w:hint="eastAsia"/>
          <w:b/>
          <w:bCs/>
          <w:sz w:val="30"/>
          <w:szCs w:val="30"/>
        </w:rPr>
        <w:t>石丰路二期保障性住房项目全过程造价咨询服务</w:t>
      </w:r>
    </w:p>
    <w:p>
      <w:pPr>
        <w:pStyle w:val="6"/>
        <w:jc w:val="center"/>
        <w:rPr>
          <w:b/>
          <w:bCs/>
          <w:sz w:val="30"/>
          <w:szCs w:val="30"/>
        </w:rPr>
      </w:pPr>
      <w:r>
        <w:rPr>
          <w:rFonts w:hint="eastAsia"/>
          <w:b/>
          <w:bCs/>
          <w:sz w:val="30"/>
          <w:szCs w:val="30"/>
        </w:rPr>
        <w:t>招标公告</w:t>
      </w:r>
    </w:p>
    <w:p>
      <w:pPr>
        <w:pStyle w:val="3"/>
        <w:spacing w:before="0" w:after="0"/>
      </w:pPr>
      <w:bookmarkStart w:id="0" w:name="_Toc106890383"/>
      <w:bookmarkStart w:id="1" w:name="_Toc101774976"/>
      <w:bookmarkStart w:id="2" w:name="_Toc82"/>
      <w:bookmarkStart w:id="3" w:name="_Toc101775037"/>
      <w:bookmarkStart w:id="4" w:name="_Toc12469"/>
      <w:r>
        <w:t>1. 招标条件</w:t>
      </w:r>
      <w:bookmarkEnd w:id="0"/>
      <w:bookmarkEnd w:id="1"/>
      <w:bookmarkEnd w:id="2"/>
      <w:bookmarkEnd w:id="3"/>
      <w:bookmarkEnd w:id="4"/>
    </w:p>
    <w:p>
      <w:pPr>
        <w:spacing w:line="360" w:lineRule="auto"/>
        <w:ind w:firstLine="480" w:firstLineChars="200"/>
        <w:rPr>
          <w:rFonts w:ascii="宋体" w:hAnsi="宋体" w:cs="宋体"/>
          <w:sz w:val="24"/>
        </w:rPr>
      </w:pPr>
      <w:r>
        <w:rPr>
          <w:rFonts w:hint="eastAsia" w:ascii="宋体" w:hAnsi="宋体" w:cs="宋体"/>
          <w:sz w:val="24"/>
        </w:rPr>
        <w:t>本招标项目</w:t>
      </w:r>
      <w:r>
        <w:rPr>
          <w:rFonts w:hint="eastAsia" w:ascii="宋体" w:hAnsi="宋体" w:cs="宋体"/>
          <w:sz w:val="24"/>
          <w:u w:val="single"/>
        </w:rPr>
        <w:t>石丰路二期保障性住房项目</w:t>
      </w:r>
      <w:r>
        <w:rPr>
          <w:sz w:val="24"/>
          <w:szCs w:val="24"/>
        </w:rPr>
        <w:t>已由</w:t>
      </w:r>
      <w:r>
        <w:rPr>
          <w:rFonts w:hint="eastAsia" w:ascii="宋体" w:hAnsi="宋体"/>
          <w:sz w:val="24"/>
          <w:u w:val="single"/>
        </w:rPr>
        <w:t>穗发改</w:t>
      </w:r>
      <w:r>
        <w:rPr>
          <w:rFonts w:ascii="宋体"/>
          <w:sz w:val="24"/>
          <w:u w:val="single"/>
        </w:rPr>
        <w:t>{</w:t>
      </w:r>
      <w:r>
        <w:rPr>
          <w:rFonts w:ascii="宋体" w:hAnsi="宋体"/>
          <w:sz w:val="24"/>
          <w:u w:val="single"/>
        </w:rPr>
        <w:t>2019}38</w:t>
      </w:r>
      <w:r>
        <w:rPr>
          <w:rFonts w:hint="eastAsia" w:ascii="宋体" w:hAnsi="宋体"/>
          <w:sz w:val="24"/>
          <w:u w:val="single"/>
        </w:rPr>
        <w:t>号</w:t>
      </w:r>
      <w:r>
        <w:rPr>
          <w:spacing w:val="-3"/>
          <w:sz w:val="24"/>
          <w:szCs w:val="24"/>
        </w:rPr>
        <w:t>批</w:t>
      </w:r>
      <w:r>
        <w:rPr>
          <w:sz w:val="24"/>
          <w:szCs w:val="24"/>
        </w:rPr>
        <w:t>准建</w:t>
      </w:r>
      <w:r>
        <w:rPr>
          <w:spacing w:val="-3"/>
          <w:sz w:val="24"/>
          <w:szCs w:val="24"/>
        </w:rPr>
        <w:t>设</w:t>
      </w:r>
      <w:r>
        <w:rPr>
          <w:spacing w:val="-17"/>
          <w:sz w:val="24"/>
          <w:szCs w:val="24"/>
        </w:rPr>
        <w:t>，</w:t>
      </w:r>
      <w:r>
        <w:rPr>
          <w:sz w:val="24"/>
          <w:szCs w:val="24"/>
        </w:rPr>
        <w:t>项</w:t>
      </w:r>
      <w:r>
        <w:rPr>
          <w:spacing w:val="-3"/>
          <w:sz w:val="24"/>
          <w:szCs w:val="24"/>
        </w:rPr>
        <w:t>目</w:t>
      </w:r>
      <w:r>
        <w:rPr>
          <w:sz w:val="24"/>
          <w:szCs w:val="24"/>
        </w:rPr>
        <w:t>业</w:t>
      </w:r>
      <w:r>
        <w:rPr>
          <w:spacing w:val="-3"/>
          <w:sz w:val="24"/>
          <w:szCs w:val="24"/>
        </w:rPr>
        <w:t>主</w:t>
      </w:r>
      <w:r>
        <w:rPr>
          <w:sz w:val="24"/>
          <w:szCs w:val="24"/>
        </w:rPr>
        <w:t>为</w:t>
      </w:r>
      <w:r>
        <w:rPr>
          <w:sz w:val="24"/>
          <w:szCs w:val="24"/>
          <w:u w:val="single"/>
        </w:rPr>
        <w:t xml:space="preserve"> </w:t>
      </w:r>
      <w:r>
        <w:rPr>
          <w:rFonts w:hint="eastAsia"/>
          <w:sz w:val="24"/>
          <w:szCs w:val="24"/>
          <w:u w:val="single"/>
        </w:rPr>
        <w:t>广州珠江住房租赁发展投资有限公司</w:t>
      </w:r>
      <w:r>
        <w:rPr>
          <w:spacing w:val="-17"/>
          <w:sz w:val="24"/>
          <w:szCs w:val="24"/>
        </w:rPr>
        <w:t>，</w:t>
      </w:r>
      <w:r>
        <w:rPr>
          <w:sz w:val="24"/>
          <w:szCs w:val="24"/>
        </w:rPr>
        <w:t>建</w:t>
      </w:r>
      <w:r>
        <w:rPr>
          <w:spacing w:val="-3"/>
          <w:sz w:val="24"/>
          <w:szCs w:val="24"/>
        </w:rPr>
        <w:t>设</w:t>
      </w:r>
      <w:r>
        <w:rPr>
          <w:sz w:val="24"/>
          <w:szCs w:val="24"/>
        </w:rPr>
        <w:t>资</w:t>
      </w:r>
      <w:r>
        <w:rPr>
          <w:spacing w:val="-3"/>
          <w:sz w:val="24"/>
          <w:szCs w:val="24"/>
        </w:rPr>
        <w:t>金</w:t>
      </w:r>
      <w:r>
        <w:rPr>
          <w:sz w:val="24"/>
          <w:szCs w:val="24"/>
        </w:rPr>
        <w:t>来</w:t>
      </w:r>
      <w:r>
        <w:rPr>
          <w:spacing w:val="-1"/>
          <w:sz w:val="24"/>
          <w:szCs w:val="24"/>
        </w:rPr>
        <w:t>自</w:t>
      </w:r>
      <w:r>
        <w:rPr>
          <w:sz w:val="24"/>
          <w:szCs w:val="24"/>
          <w:u w:val="single"/>
        </w:rPr>
        <w:t xml:space="preserve"> </w:t>
      </w:r>
      <w:r>
        <w:rPr>
          <w:rFonts w:hint="eastAsia"/>
          <w:sz w:val="24"/>
          <w:szCs w:val="24"/>
          <w:u w:val="single"/>
        </w:rPr>
        <w:t>企业自筹</w:t>
      </w:r>
      <w:r>
        <w:rPr>
          <w:spacing w:val="-3"/>
          <w:sz w:val="24"/>
          <w:szCs w:val="24"/>
        </w:rPr>
        <w:t>（</w:t>
      </w:r>
      <w:r>
        <w:rPr>
          <w:sz w:val="24"/>
          <w:szCs w:val="24"/>
        </w:rPr>
        <w:t>资</w:t>
      </w:r>
      <w:r>
        <w:rPr>
          <w:spacing w:val="-3"/>
          <w:sz w:val="24"/>
          <w:szCs w:val="24"/>
        </w:rPr>
        <w:t>金</w:t>
      </w:r>
      <w:r>
        <w:rPr>
          <w:sz w:val="24"/>
          <w:szCs w:val="24"/>
        </w:rPr>
        <w:t>来源</w:t>
      </w:r>
      <w:r>
        <w:rPr>
          <w:spacing w:val="-108"/>
          <w:sz w:val="24"/>
          <w:szCs w:val="24"/>
        </w:rPr>
        <w:t>）</w:t>
      </w:r>
      <w:r>
        <w:rPr>
          <w:spacing w:val="-20"/>
          <w:sz w:val="24"/>
          <w:szCs w:val="24"/>
        </w:rPr>
        <w:t>，</w:t>
      </w:r>
      <w:r>
        <w:rPr>
          <w:sz w:val="24"/>
          <w:szCs w:val="24"/>
        </w:rPr>
        <w:t>出</w:t>
      </w:r>
      <w:r>
        <w:rPr>
          <w:spacing w:val="-3"/>
          <w:sz w:val="24"/>
          <w:szCs w:val="24"/>
        </w:rPr>
        <w:t>资</w:t>
      </w:r>
      <w:r>
        <w:rPr>
          <w:sz w:val="24"/>
          <w:szCs w:val="24"/>
        </w:rPr>
        <w:t>比</w:t>
      </w:r>
      <w:r>
        <w:rPr>
          <w:spacing w:val="-3"/>
          <w:sz w:val="24"/>
          <w:szCs w:val="24"/>
        </w:rPr>
        <w:t>例</w:t>
      </w:r>
      <w:r>
        <w:rPr>
          <w:sz w:val="24"/>
          <w:szCs w:val="24"/>
        </w:rPr>
        <w:t>为</w:t>
      </w:r>
      <w:r>
        <w:rPr>
          <w:sz w:val="24"/>
          <w:szCs w:val="24"/>
          <w:u w:val="single"/>
        </w:rPr>
        <w:t xml:space="preserve"> 100%</w:t>
      </w:r>
      <w:r>
        <w:rPr>
          <w:spacing w:val="-20"/>
          <w:sz w:val="24"/>
          <w:szCs w:val="24"/>
        </w:rPr>
        <w:t>，</w:t>
      </w:r>
      <w:r>
        <w:rPr>
          <w:sz w:val="24"/>
          <w:szCs w:val="24"/>
        </w:rPr>
        <w:t>招</w:t>
      </w:r>
      <w:r>
        <w:rPr>
          <w:spacing w:val="-3"/>
          <w:sz w:val="24"/>
          <w:szCs w:val="24"/>
        </w:rPr>
        <w:t>标</w:t>
      </w:r>
      <w:r>
        <w:rPr>
          <w:sz w:val="24"/>
          <w:szCs w:val="24"/>
        </w:rPr>
        <w:t>人</w:t>
      </w:r>
      <w:r>
        <w:rPr>
          <w:spacing w:val="-3"/>
          <w:sz w:val="24"/>
          <w:szCs w:val="24"/>
        </w:rPr>
        <w:t>为</w:t>
      </w:r>
      <w:r>
        <w:rPr>
          <w:sz w:val="24"/>
          <w:szCs w:val="24"/>
          <w:u w:val="single"/>
        </w:rPr>
        <w:t xml:space="preserve">  </w:t>
      </w:r>
      <w:r>
        <w:rPr>
          <w:rFonts w:hint="eastAsia"/>
          <w:sz w:val="24"/>
          <w:szCs w:val="24"/>
          <w:u w:val="single"/>
        </w:rPr>
        <w:t>广州珠江住房租赁发展投资有限公司</w:t>
      </w:r>
      <w:r>
        <w:rPr>
          <w:spacing w:val="-22"/>
          <w:sz w:val="24"/>
          <w:szCs w:val="24"/>
        </w:rPr>
        <w:t>。</w:t>
      </w:r>
      <w:r>
        <w:rPr>
          <w:rFonts w:hint="eastAsia" w:ascii="宋体" w:hAnsi="宋体" w:cs="宋体"/>
          <w:sz w:val="24"/>
        </w:rPr>
        <w:t>项目已具备招标条件，现对上述项目的</w:t>
      </w:r>
      <w:r>
        <w:rPr>
          <w:rFonts w:hint="eastAsia" w:ascii="宋体" w:hAnsi="宋体" w:cs="宋体"/>
          <w:sz w:val="24"/>
          <w:u w:val="single"/>
        </w:rPr>
        <w:t>全过程</w:t>
      </w:r>
      <w:r>
        <w:rPr>
          <w:rFonts w:hint="eastAsia" w:ascii="宋体" w:hAnsi="宋体" w:cs="宋体"/>
          <w:spacing w:val="-3"/>
          <w:sz w:val="24"/>
          <w:szCs w:val="24"/>
          <w:u w:val="single"/>
        </w:rPr>
        <w:t>造价咨询服务</w:t>
      </w:r>
      <w:r>
        <w:rPr>
          <w:rFonts w:hint="eastAsia" w:ascii="宋体" w:hAnsi="宋体" w:cs="宋体"/>
          <w:sz w:val="24"/>
        </w:rPr>
        <w:t xml:space="preserve">进行公开招标。 </w:t>
      </w:r>
    </w:p>
    <w:p>
      <w:pPr>
        <w:spacing w:line="360" w:lineRule="auto"/>
        <w:ind w:firstLine="480" w:firstLineChars="200"/>
        <w:rPr>
          <w:rFonts w:hint="eastAsia" w:ascii="宋体" w:hAnsi="宋体" w:cs="宋体"/>
          <w:sz w:val="24"/>
        </w:rPr>
      </w:pPr>
    </w:p>
    <w:p>
      <w:pPr>
        <w:pStyle w:val="3"/>
        <w:spacing w:before="0" w:after="0"/>
      </w:pPr>
      <w:bookmarkStart w:id="5" w:name="_Toc101775038"/>
      <w:bookmarkStart w:id="6" w:name="_Toc101774977"/>
      <w:bookmarkStart w:id="7" w:name="_Toc106890384"/>
      <w:bookmarkStart w:id="8" w:name="_Toc20478"/>
      <w:bookmarkStart w:id="9" w:name="_Toc12657"/>
      <w:r>
        <w:t>2. 项目概况与招标范围</w:t>
      </w:r>
      <w:bookmarkEnd w:id="5"/>
      <w:bookmarkEnd w:id="6"/>
      <w:bookmarkEnd w:id="7"/>
      <w:bookmarkEnd w:id="8"/>
      <w:bookmarkEnd w:id="9"/>
    </w:p>
    <w:p>
      <w:pPr>
        <w:tabs>
          <w:tab w:val="left" w:pos="7513"/>
        </w:tabs>
        <w:spacing w:line="360" w:lineRule="auto"/>
        <w:ind w:firstLine="480" w:firstLineChars="200"/>
        <w:rPr>
          <w:rFonts w:ascii="宋体" w:hAnsi="宋体"/>
          <w:sz w:val="24"/>
        </w:rPr>
      </w:pPr>
      <w:r>
        <w:rPr>
          <w:rFonts w:hint="eastAsia" w:ascii="宋体" w:hAnsi="宋体"/>
          <w:sz w:val="24"/>
        </w:rPr>
        <w:t>2.1招标项目概况</w:t>
      </w:r>
    </w:p>
    <w:p>
      <w:pPr>
        <w:tabs>
          <w:tab w:val="left" w:pos="7513"/>
        </w:tabs>
        <w:spacing w:line="360" w:lineRule="auto"/>
        <w:ind w:firstLine="480" w:firstLineChars="200"/>
        <w:rPr>
          <w:rFonts w:hint="eastAsia" w:ascii="宋体" w:hAnsi="宋体"/>
          <w:sz w:val="24"/>
          <w:u w:val="single"/>
        </w:rPr>
      </w:pPr>
      <w:r>
        <w:rPr>
          <w:rFonts w:hint="eastAsia" w:ascii="宋体" w:hAnsi="宋体"/>
          <w:sz w:val="24"/>
        </w:rPr>
        <w:t>2.1.1招标项目名称：</w:t>
      </w:r>
      <w:r>
        <w:rPr>
          <w:rFonts w:hint="eastAsia" w:ascii="宋体" w:hAnsi="宋体"/>
          <w:sz w:val="24"/>
          <w:u w:val="single"/>
        </w:rPr>
        <w:t>石丰路二期保障性住房项目全过程造价咨询服务</w:t>
      </w:r>
    </w:p>
    <w:p>
      <w:pPr>
        <w:tabs>
          <w:tab w:val="left" w:pos="7513"/>
        </w:tabs>
        <w:spacing w:line="360" w:lineRule="auto"/>
        <w:ind w:firstLine="480" w:firstLineChars="200"/>
        <w:rPr>
          <w:rFonts w:ascii="宋体" w:hAnsi="宋体" w:cs="宋体"/>
          <w:sz w:val="24"/>
          <w:u w:val="single"/>
        </w:rPr>
      </w:pPr>
      <w:r>
        <w:rPr>
          <w:rFonts w:ascii="宋体" w:hAnsi="宋体"/>
          <w:sz w:val="24"/>
        </w:rPr>
        <w:t>2.</w:t>
      </w:r>
      <w:r>
        <w:rPr>
          <w:rFonts w:hint="eastAsia" w:ascii="宋体" w:hAnsi="宋体"/>
          <w:sz w:val="24"/>
        </w:rPr>
        <w:t>1.2工程建设地点：</w:t>
      </w:r>
      <w:r>
        <w:rPr>
          <w:rFonts w:hint="eastAsia" w:ascii="宋体" w:hAnsi="宋体"/>
          <w:sz w:val="24"/>
          <w:u w:val="single"/>
        </w:rPr>
        <w:t>广州市白云区石丰大道与红星路交汇处</w:t>
      </w:r>
    </w:p>
    <w:p>
      <w:pPr>
        <w:pStyle w:val="7"/>
        <w:spacing w:line="360" w:lineRule="auto"/>
        <w:ind w:firstLine="480" w:firstLineChars="200"/>
        <w:rPr>
          <w:rFonts w:hint="eastAsia" w:ascii="宋体" w:hAnsi="宋体"/>
          <w:kern w:val="2"/>
          <w:sz w:val="24"/>
          <w:szCs w:val="22"/>
          <w:u w:val="single"/>
        </w:rPr>
      </w:pPr>
      <w:r>
        <w:rPr>
          <w:rFonts w:ascii="宋体" w:hAnsi="宋体"/>
          <w:sz w:val="24"/>
        </w:rPr>
        <w:t>2.</w:t>
      </w:r>
      <w:r>
        <w:rPr>
          <w:rFonts w:hint="eastAsia" w:ascii="宋体" w:hAnsi="宋体"/>
          <w:sz w:val="24"/>
        </w:rPr>
        <w:t>1.3工程建设规模：</w:t>
      </w:r>
      <w:r>
        <w:rPr>
          <w:rFonts w:hint="eastAsia" w:ascii="宋体" w:hAnsi="宋体"/>
          <w:kern w:val="2"/>
          <w:sz w:val="24"/>
          <w:szCs w:val="22"/>
          <w:u w:val="single"/>
        </w:rPr>
        <w:t>石丰路二期保障性住房项目为建筑产业化项目，总用地面积约42821㎡，总建筑面积约为151078㎡。包括公共租赁房、共有产权房、安置房及幼儿园、社区服务中心等配套公建及道路、绿化、供配电、给排水等配套工程。项目总投资约17.61亿元，其中工程费用约8.34亿元。</w:t>
      </w:r>
    </w:p>
    <w:p>
      <w:pPr>
        <w:tabs>
          <w:tab w:val="left" w:pos="7513"/>
          <w:tab w:val="left" w:pos="8505"/>
        </w:tabs>
        <w:spacing w:line="360" w:lineRule="auto"/>
        <w:ind w:firstLine="480" w:firstLineChars="200"/>
        <w:rPr>
          <w:rFonts w:ascii="宋体" w:hAnsi="宋体"/>
          <w:sz w:val="24"/>
        </w:rPr>
      </w:pPr>
      <w:r>
        <w:rPr>
          <w:rFonts w:ascii="宋体" w:hAnsi="宋体"/>
          <w:sz w:val="24"/>
        </w:rPr>
        <w:t>2.</w:t>
      </w:r>
      <w:r>
        <w:rPr>
          <w:rFonts w:hint="eastAsia" w:ascii="宋体" w:hAnsi="宋体"/>
          <w:sz w:val="24"/>
        </w:rPr>
        <w:t>2招标范围：</w:t>
      </w:r>
    </w:p>
    <w:p>
      <w:pPr>
        <w:tabs>
          <w:tab w:val="left" w:pos="7513"/>
          <w:tab w:val="left" w:pos="8505"/>
        </w:tabs>
        <w:spacing w:line="360" w:lineRule="auto"/>
        <w:ind w:firstLine="480" w:firstLineChars="200"/>
        <w:rPr>
          <w:rFonts w:ascii="宋体" w:hAnsi="宋体"/>
          <w:sz w:val="24"/>
          <w:u w:val="single"/>
        </w:rPr>
      </w:pPr>
      <w:r>
        <w:rPr>
          <w:rFonts w:hint="eastAsia" w:ascii="宋体" w:hAnsi="宋体"/>
          <w:sz w:val="24"/>
        </w:rPr>
        <w:t>2.2.1标段划分：</w:t>
      </w:r>
      <w:r>
        <w:rPr>
          <w:rFonts w:hint="eastAsia" w:ascii="宋体" w:hAnsi="宋体"/>
          <w:sz w:val="24"/>
          <w:u w:val="single"/>
        </w:rPr>
        <w:t>本工程划分为1个标段。</w:t>
      </w:r>
    </w:p>
    <w:p>
      <w:pPr>
        <w:widowControl/>
        <w:snapToGrid w:val="0"/>
        <w:spacing w:line="360" w:lineRule="auto"/>
        <w:ind w:firstLine="480" w:firstLineChars="200"/>
        <w:jc w:val="left"/>
        <w:rPr>
          <w:rFonts w:ascii="宋体" w:hAnsi="宋体"/>
          <w:sz w:val="24"/>
        </w:rPr>
      </w:pPr>
      <w:r>
        <w:rPr>
          <w:rFonts w:hint="eastAsia" w:ascii="宋体" w:hAnsi="宋体"/>
          <w:sz w:val="24"/>
        </w:rPr>
        <w:t>2.2.2服务范围：</w:t>
      </w:r>
    </w:p>
    <w:p>
      <w:pPr>
        <w:widowControl/>
        <w:snapToGrid w:val="0"/>
        <w:spacing w:line="360" w:lineRule="auto"/>
        <w:ind w:firstLine="480" w:firstLineChars="200"/>
        <w:jc w:val="left"/>
        <w:rPr>
          <w:rFonts w:hint="eastAsia" w:ascii="宋体" w:hAnsi="宋体"/>
          <w:sz w:val="24"/>
          <w:u w:val="single"/>
        </w:rPr>
      </w:pPr>
      <w:r>
        <w:rPr>
          <w:rFonts w:hint="eastAsia" w:ascii="宋体" w:hAnsi="宋体"/>
          <w:sz w:val="24"/>
          <w:u w:val="single"/>
        </w:rPr>
        <w:t>包括但不限于设计阶段、招标阶段、施工阶段、竣工结（决）算阶段、审计阶段等</w:t>
      </w:r>
      <w:r>
        <w:rPr>
          <w:rFonts w:hint="eastAsia" w:ascii="宋体" w:hAnsi="宋体" w:cs="宋体"/>
          <w:sz w:val="24"/>
          <w:u w:val="single"/>
        </w:rPr>
        <w:t>全过程</w:t>
      </w:r>
      <w:r>
        <w:rPr>
          <w:rFonts w:hint="eastAsia" w:ascii="宋体" w:hAnsi="宋体"/>
          <w:sz w:val="24"/>
          <w:u w:val="single"/>
        </w:rPr>
        <w:t>工程造价控制咨询服务、投资控制工作（招标人可根据项目实际情况有权调整招标范围和内容），每个阶段具体的工作内容详见下表：</w:t>
      </w:r>
    </w:p>
    <w:tbl>
      <w:tblPr>
        <w:tblStyle w:val="4"/>
        <w:tblW w:w="882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20"/>
        <w:gridCol w:w="951"/>
        <w:gridCol w:w="744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bottom"/>
          </w:tcPr>
          <w:p>
            <w:pPr>
              <w:widowControl/>
              <w:shd w:val="solid" w:color="FFFFFF" w:fill="auto"/>
              <w:autoSpaceDN w:val="0"/>
              <w:adjustRightInd w:val="0"/>
              <w:snapToGrid w:val="0"/>
              <w:jc w:val="center"/>
              <w:rPr>
                <w:rFonts w:ascii="宋体" w:hAnsi="宋体" w:cs="宋体"/>
                <w:sz w:val="24"/>
                <w:szCs w:val="24"/>
                <w:shd w:val="clear" w:color="auto" w:fill="FFFFFF"/>
              </w:rPr>
            </w:pPr>
            <w:r>
              <w:rPr>
                <w:rFonts w:hint="eastAsia" w:ascii="宋体" w:hAnsi="宋体" w:cs="宋体"/>
                <w:kern w:val="0"/>
                <w:sz w:val="24"/>
                <w:szCs w:val="24"/>
                <w:shd w:val="clear" w:color="auto" w:fill="FFFFFF"/>
              </w:rPr>
              <w:t>序号</w:t>
            </w:r>
          </w:p>
        </w:tc>
        <w:tc>
          <w:tcPr>
            <w:tcW w:w="9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adjustRightInd w:val="0"/>
              <w:snapToGrid w:val="0"/>
              <w:jc w:val="center"/>
              <w:rPr>
                <w:rFonts w:ascii="宋体" w:hAnsi="宋体" w:cs="宋体"/>
                <w:sz w:val="24"/>
                <w:szCs w:val="24"/>
                <w:shd w:val="clear" w:color="auto" w:fill="FFFFFF"/>
              </w:rPr>
            </w:pPr>
            <w:r>
              <w:rPr>
                <w:rFonts w:hint="eastAsia" w:ascii="宋体" w:hAnsi="宋体" w:cs="宋体"/>
                <w:kern w:val="0"/>
                <w:sz w:val="24"/>
                <w:szCs w:val="24"/>
                <w:shd w:val="clear" w:color="auto" w:fill="FFFFFF"/>
              </w:rPr>
              <w:t>阶段</w:t>
            </w:r>
          </w:p>
        </w:tc>
        <w:tc>
          <w:tcPr>
            <w:tcW w:w="7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adjustRightInd w:val="0"/>
              <w:snapToGrid w:val="0"/>
              <w:ind w:firstLine="420"/>
              <w:jc w:val="center"/>
              <w:rPr>
                <w:rFonts w:ascii="宋体" w:hAnsi="宋体" w:cs="宋体"/>
                <w:sz w:val="24"/>
                <w:szCs w:val="24"/>
                <w:shd w:val="clear" w:color="auto" w:fill="FFFFFF"/>
              </w:rPr>
            </w:pPr>
            <w:r>
              <w:rPr>
                <w:rFonts w:hint="eastAsia" w:ascii="宋体" w:hAnsi="宋体" w:cs="宋体"/>
                <w:kern w:val="0"/>
                <w:sz w:val="24"/>
                <w:szCs w:val="24"/>
                <w:shd w:val="clear" w:color="auto" w:fill="FFFFFF"/>
              </w:rPr>
              <w:t>工作内容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adjustRightInd w:val="0"/>
              <w:snapToGrid w:val="0"/>
              <w:rPr>
                <w:rFonts w:ascii="宋体" w:hAnsi="宋体" w:cs="宋体"/>
                <w:sz w:val="24"/>
                <w:szCs w:val="24"/>
                <w:shd w:val="clear" w:color="auto" w:fill="FFFFFF"/>
              </w:rPr>
            </w:pPr>
            <w:r>
              <w:rPr>
                <w:rFonts w:hint="eastAsia" w:ascii="宋体" w:hAnsi="宋体" w:cs="宋体"/>
                <w:sz w:val="24"/>
                <w:szCs w:val="24"/>
                <w:shd w:val="clear" w:color="auto" w:fill="FFFFFF"/>
              </w:rPr>
              <w:t>1</w:t>
            </w:r>
          </w:p>
        </w:tc>
        <w:tc>
          <w:tcPr>
            <w:tcW w:w="9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adjustRightInd w:val="0"/>
              <w:snapToGrid w:val="0"/>
              <w:rPr>
                <w:rFonts w:ascii="宋体" w:hAnsi="宋体" w:cs="宋体"/>
                <w:sz w:val="24"/>
                <w:szCs w:val="24"/>
                <w:shd w:val="clear" w:color="auto" w:fill="FFFFFF"/>
              </w:rPr>
            </w:pPr>
            <w:r>
              <w:rPr>
                <w:rFonts w:hint="eastAsia" w:ascii="宋体" w:hAnsi="宋体" w:cs="宋体"/>
                <w:kern w:val="0"/>
                <w:sz w:val="24"/>
                <w:szCs w:val="24"/>
              </w:rPr>
              <w:t>前期阶段和设计阶段</w:t>
            </w:r>
          </w:p>
        </w:tc>
        <w:tc>
          <w:tcPr>
            <w:tcW w:w="7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ind w:left="27" w:leftChars="13" w:firstLine="240" w:firstLineChars="100"/>
              <w:rPr>
                <w:rFonts w:ascii="宋体" w:hAnsi="宋体" w:cs="宋体"/>
                <w:kern w:val="0"/>
                <w:sz w:val="24"/>
                <w:szCs w:val="24"/>
              </w:rPr>
            </w:pPr>
            <w:r>
              <w:rPr>
                <w:rFonts w:hint="eastAsia" w:ascii="宋体" w:hAnsi="宋体" w:cs="宋体"/>
                <w:kern w:val="0"/>
                <w:sz w:val="24"/>
                <w:szCs w:val="24"/>
              </w:rPr>
              <w:t>（1）根据委托方提供的资料审核初步设计概算，给出专业意见及合理化建议。</w:t>
            </w:r>
          </w:p>
          <w:p>
            <w:pPr>
              <w:widowControl/>
              <w:ind w:left="27" w:leftChars="13" w:firstLine="240" w:firstLineChars="100"/>
              <w:rPr>
                <w:rFonts w:ascii="宋体" w:hAnsi="宋体" w:cs="宋体"/>
                <w:kern w:val="0"/>
                <w:sz w:val="24"/>
                <w:szCs w:val="24"/>
              </w:rPr>
            </w:pPr>
            <w:r>
              <w:rPr>
                <w:rFonts w:hint="eastAsia" w:ascii="宋体" w:hAnsi="宋体" w:cs="宋体"/>
                <w:kern w:val="0"/>
                <w:sz w:val="24"/>
                <w:szCs w:val="24"/>
              </w:rPr>
              <w:t>（2）负责对设计中采用的主材、设备等提供市场信息，进行方案比较，提出优化建议。</w:t>
            </w:r>
          </w:p>
          <w:p>
            <w:pPr>
              <w:widowControl/>
              <w:ind w:left="27" w:leftChars="13" w:firstLine="240" w:firstLineChars="100"/>
              <w:rPr>
                <w:rFonts w:ascii="宋体" w:hAnsi="宋体" w:cs="宋体"/>
                <w:kern w:val="0"/>
                <w:sz w:val="24"/>
                <w:szCs w:val="24"/>
              </w:rPr>
            </w:pPr>
            <w:r>
              <w:rPr>
                <w:rFonts w:hint="eastAsia" w:ascii="宋体" w:hAnsi="宋体" w:cs="宋体"/>
                <w:kern w:val="0"/>
                <w:sz w:val="24"/>
                <w:szCs w:val="24"/>
              </w:rPr>
              <w:t>（3）负责参加设计方案论证会议、工程图纸会审、变更论证等专题会，提出造价专业意见。</w:t>
            </w:r>
          </w:p>
          <w:p>
            <w:pPr>
              <w:widowControl/>
              <w:ind w:left="27" w:leftChars="13" w:firstLine="240" w:firstLineChars="100"/>
              <w:rPr>
                <w:rFonts w:ascii="宋体" w:hAnsi="宋体" w:cs="宋体"/>
                <w:kern w:val="0"/>
                <w:sz w:val="24"/>
                <w:szCs w:val="24"/>
              </w:rPr>
            </w:pPr>
            <w:r>
              <w:rPr>
                <w:rFonts w:hint="eastAsia" w:ascii="宋体" w:hAnsi="宋体" w:cs="宋体"/>
                <w:kern w:val="0"/>
                <w:sz w:val="24"/>
                <w:szCs w:val="24"/>
              </w:rPr>
              <w:t>（4）根据确定的设计方案编制详细的工程成本预测和资金流量预测分析，以作为进度和成本控制的目标；随设计的深入定期分析修正工程成本和资金流量预测。</w:t>
            </w:r>
          </w:p>
          <w:p>
            <w:pPr>
              <w:widowControl/>
              <w:ind w:left="27" w:leftChars="13" w:firstLine="240" w:firstLineChars="100"/>
              <w:rPr>
                <w:rFonts w:ascii="宋体" w:hAnsi="宋体" w:cs="宋体"/>
                <w:kern w:val="0"/>
                <w:sz w:val="24"/>
                <w:szCs w:val="24"/>
              </w:rPr>
            </w:pPr>
            <w:r>
              <w:rPr>
                <w:rFonts w:hint="eastAsia" w:ascii="宋体" w:hAnsi="宋体" w:cs="宋体"/>
                <w:kern w:val="0"/>
                <w:sz w:val="24"/>
                <w:szCs w:val="24"/>
              </w:rPr>
              <w:t>（5）负责按委托方要求编制各类造价管理文件。</w:t>
            </w:r>
          </w:p>
          <w:p>
            <w:pPr>
              <w:widowControl/>
              <w:ind w:left="27" w:leftChars="13" w:firstLine="240" w:firstLineChars="100"/>
              <w:rPr>
                <w:rFonts w:ascii="宋体" w:hAnsi="宋体" w:cs="宋体"/>
                <w:kern w:val="0"/>
                <w:sz w:val="24"/>
                <w:szCs w:val="24"/>
              </w:rPr>
            </w:pPr>
            <w:r>
              <w:rPr>
                <w:rFonts w:hint="eastAsia" w:ascii="宋体" w:hAnsi="宋体" w:cs="宋体"/>
                <w:kern w:val="0"/>
                <w:sz w:val="24"/>
                <w:szCs w:val="24"/>
              </w:rPr>
              <w:t>（6）负责为BIM信息模型提供造价信息数据。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adjustRightInd w:val="0"/>
              <w:snapToGrid w:val="0"/>
              <w:rPr>
                <w:rFonts w:ascii="宋体" w:hAnsi="宋体" w:cs="宋体"/>
                <w:kern w:val="0"/>
                <w:sz w:val="24"/>
                <w:szCs w:val="24"/>
                <w:shd w:val="clear" w:color="auto" w:fill="FFFFFF"/>
              </w:rPr>
            </w:pPr>
            <w:r>
              <w:rPr>
                <w:rFonts w:hint="eastAsia" w:ascii="宋体" w:hAnsi="宋体" w:cs="宋体"/>
                <w:kern w:val="0"/>
                <w:sz w:val="24"/>
                <w:szCs w:val="24"/>
                <w:shd w:val="clear" w:color="auto" w:fill="FFFFFF"/>
              </w:rPr>
              <w:t>2</w:t>
            </w:r>
          </w:p>
        </w:tc>
        <w:tc>
          <w:tcPr>
            <w:tcW w:w="9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adjustRightInd w:val="0"/>
              <w:snapToGrid w:val="0"/>
              <w:rPr>
                <w:rFonts w:ascii="宋体" w:hAnsi="宋体" w:cs="宋体"/>
                <w:kern w:val="0"/>
                <w:sz w:val="24"/>
                <w:szCs w:val="24"/>
              </w:rPr>
            </w:pPr>
            <w:r>
              <w:rPr>
                <w:rFonts w:hint="eastAsia" w:ascii="宋体" w:hAnsi="宋体" w:cs="宋体"/>
                <w:kern w:val="0"/>
                <w:sz w:val="24"/>
                <w:szCs w:val="24"/>
              </w:rPr>
              <w:t>招标阶段和施工图预算阶段</w:t>
            </w:r>
          </w:p>
        </w:tc>
        <w:tc>
          <w:tcPr>
            <w:tcW w:w="7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ind w:firstLine="240" w:firstLineChars="100"/>
              <w:rPr>
                <w:rFonts w:ascii="宋体" w:hAnsi="宋体" w:cs="宋体"/>
                <w:kern w:val="0"/>
                <w:sz w:val="24"/>
                <w:szCs w:val="24"/>
              </w:rPr>
            </w:pPr>
            <w:r>
              <w:rPr>
                <w:rFonts w:hint="eastAsia" w:ascii="宋体" w:hAnsi="宋体" w:cs="宋体"/>
                <w:kern w:val="0"/>
                <w:sz w:val="24"/>
                <w:szCs w:val="24"/>
              </w:rPr>
              <w:t>（1）负责按委托方要求编制招标工程量清单及招标控制价；负责进行市场调查、询价，在委托方指定地点进行工程量、定额、主材的对数等。</w:t>
            </w:r>
          </w:p>
          <w:p>
            <w:pPr>
              <w:widowControl/>
              <w:ind w:firstLine="240" w:firstLineChars="100"/>
              <w:rPr>
                <w:rFonts w:ascii="宋体" w:hAnsi="宋体" w:cs="宋体"/>
                <w:kern w:val="0"/>
                <w:sz w:val="24"/>
                <w:szCs w:val="24"/>
              </w:rPr>
            </w:pPr>
            <w:r>
              <w:rPr>
                <w:rFonts w:hint="eastAsia" w:ascii="宋体" w:hAnsi="宋体" w:cs="宋体"/>
                <w:kern w:val="0"/>
                <w:sz w:val="24"/>
                <w:szCs w:val="24"/>
              </w:rPr>
              <w:t>（2）负责根据设计单位的图纸及技术规范、用户需求书，编制设备、材料询价或采购清单。</w:t>
            </w:r>
          </w:p>
          <w:p>
            <w:pPr>
              <w:widowControl/>
              <w:ind w:firstLine="240" w:firstLineChars="100"/>
              <w:rPr>
                <w:rFonts w:ascii="宋体" w:hAnsi="宋体" w:cs="宋体"/>
                <w:kern w:val="0"/>
                <w:sz w:val="24"/>
                <w:szCs w:val="24"/>
              </w:rPr>
            </w:pPr>
            <w:r>
              <w:rPr>
                <w:rFonts w:hint="eastAsia" w:ascii="宋体" w:hAnsi="宋体" w:cs="宋体"/>
                <w:kern w:val="0"/>
                <w:sz w:val="24"/>
                <w:szCs w:val="24"/>
              </w:rPr>
              <w:t>（3）负责答疑阶段造价问题的解答。按广州市建设工程造价管理站招标控制价备案要求提供造价文件（含编制说明、招标控制价公布函、招标控制价软件版、EXCEL版、XML版、指标分析表等），负责对投标人提出的工程量清单问题进行回复，并会同招标代理完成招标控制价备案工作。</w:t>
            </w:r>
          </w:p>
          <w:p>
            <w:pPr>
              <w:widowControl/>
              <w:ind w:firstLine="240" w:firstLineChars="100"/>
              <w:rPr>
                <w:rFonts w:ascii="宋体" w:hAnsi="宋体" w:cs="宋体"/>
                <w:kern w:val="0"/>
                <w:sz w:val="24"/>
                <w:szCs w:val="24"/>
              </w:rPr>
            </w:pPr>
            <w:r>
              <w:rPr>
                <w:rFonts w:hint="eastAsia" w:ascii="宋体" w:hAnsi="宋体" w:cs="宋体"/>
                <w:kern w:val="0"/>
                <w:sz w:val="24"/>
                <w:szCs w:val="24"/>
              </w:rPr>
              <w:t>（4）负责对中标人的经济标文件或报价书等进行分析和汇总，提出造价控制建议，并形成清标报告。</w:t>
            </w:r>
          </w:p>
          <w:p>
            <w:pPr>
              <w:widowControl/>
              <w:ind w:firstLine="240" w:firstLineChars="100"/>
              <w:rPr>
                <w:rFonts w:ascii="宋体" w:hAnsi="宋体" w:cs="宋体"/>
                <w:kern w:val="0"/>
                <w:sz w:val="24"/>
                <w:szCs w:val="24"/>
              </w:rPr>
            </w:pPr>
            <w:r>
              <w:rPr>
                <w:rFonts w:hint="eastAsia" w:ascii="宋体" w:hAnsi="宋体" w:cs="宋体"/>
                <w:kern w:val="0"/>
                <w:sz w:val="24"/>
                <w:szCs w:val="24"/>
              </w:rPr>
              <w:t>（5）负责对合同方式和可能存在的风险因素及解决办法等提出合理化建议，以供委托方参考。</w:t>
            </w:r>
          </w:p>
          <w:p>
            <w:pPr>
              <w:widowControl/>
              <w:ind w:firstLine="240" w:firstLineChars="100"/>
              <w:rPr>
                <w:rFonts w:ascii="宋体" w:hAnsi="宋体" w:cs="宋体"/>
                <w:kern w:val="0"/>
                <w:sz w:val="24"/>
                <w:szCs w:val="24"/>
              </w:rPr>
            </w:pPr>
            <w:r>
              <w:rPr>
                <w:rFonts w:hint="eastAsia" w:ascii="宋体" w:hAnsi="宋体" w:cs="宋体"/>
                <w:kern w:val="0"/>
                <w:sz w:val="24"/>
                <w:szCs w:val="24"/>
              </w:rPr>
              <w:t>（6）负责审核施工图预算（含设计图纸修改后调整相应预算）并与承包商完成对数，按委托方要求提交审核报告，协助完成EPC项目补充合同的签订工作。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adjustRightInd w:val="0"/>
              <w:snapToGrid w:val="0"/>
              <w:rPr>
                <w:rFonts w:ascii="宋体" w:hAnsi="宋体" w:cs="宋体"/>
                <w:sz w:val="24"/>
                <w:szCs w:val="24"/>
                <w:shd w:val="clear" w:color="auto" w:fill="FFFFFF"/>
              </w:rPr>
            </w:pPr>
            <w:r>
              <w:rPr>
                <w:rFonts w:hint="eastAsia" w:ascii="宋体" w:hAnsi="宋体" w:cs="宋体"/>
                <w:kern w:val="0"/>
                <w:sz w:val="24"/>
                <w:szCs w:val="24"/>
                <w:shd w:val="clear" w:color="auto" w:fill="FFFFFF"/>
              </w:rPr>
              <w:t>3</w:t>
            </w:r>
          </w:p>
        </w:tc>
        <w:tc>
          <w:tcPr>
            <w:tcW w:w="9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adjustRightInd w:val="0"/>
              <w:snapToGrid w:val="0"/>
              <w:rPr>
                <w:rFonts w:ascii="宋体" w:hAnsi="宋体" w:cs="宋体"/>
                <w:sz w:val="24"/>
                <w:szCs w:val="24"/>
                <w:shd w:val="clear" w:color="auto" w:fill="FFFFFF"/>
              </w:rPr>
            </w:pPr>
            <w:r>
              <w:rPr>
                <w:rFonts w:hint="eastAsia" w:ascii="宋体" w:hAnsi="宋体" w:cs="宋体"/>
                <w:kern w:val="0"/>
                <w:sz w:val="24"/>
                <w:szCs w:val="24"/>
                <w:shd w:val="clear" w:color="auto" w:fill="FFFFFF"/>
              </w:rPr>
              <w:t>施工阶段</w:t>
            </w:r>
          </w:p>
        </w:tc>
        <w:tc>
          <w:tcPr>
            <w:tcW w:w="7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ind w:firstLine="240" w:firstLineChars="100"/>
              <w:rPr>
                <w:rFonts w:ascii="宋体" w:hAnsi="宋体" w:cs="宋体"/>
                <w:kern w:val="0"/>
                <w:sz w:val="24"/>
                <w:szCs w:val="24"/>
              </w:rPr>
            </w:pPr>
            <w:r>
              <w:rPr>
                <w:rFonts w:hint="eastAsia" w:ascii="宋体" w:hAnsi="宋体" w:cs="宋体"/>
                <w:kern w:val="0"/>
                <w:sz w:val="24"/>
                <w:szCs w:val="24"/>
              </w:rPr>
              <w:t>（1）负责主材单价、综合单价、变更签证和合同变更等费用的编制或审核；检测监测费用编制或审核；图纸设计变更会签、材料设备看样定板会签。</w:t>
            </w:r>
          </w:p>
          <w:p>
            <w:pPr>
              <w:widowControl/>
              <w:ind w:firstLine="240" w:firstLineChars="100"/>
              <w:rPr>
                <w:rFonts w:ascii="宋体" w:hAnsi="宋体" w:cs="宋体"/>
                <w:kern w:val="0"/>
                <w:sz w:val="24"/>
                <w:szCs w:val="24"/>
              </w:rPr>
            </w:pPr>
            <w:r>
              <w:rPr>
                <w:rFonts w:hint="eastAsia" w:ascii="宋体" w:hAnsi="宋体" w:cs="宋体"/>
                <w:kern w:val="0"/>
                <w:sz w:val="24"/>
                <w:szCs w:val="24"/>
              </w:rPr>
              <w:t>（2）负责施工过程造价控制（含编制方案及实施计划），审核工程量与进度款，向委托方发出付款建议（避免超付），由委托方审定后付款。</w:t>
            </w:r>
          </w:p>
          <w:p>
            <w:pPr>
              <w:widowControl/>
              <w:ind w:firstLine="240" w:firstLineChars="100"/>
              <w:rPr>
                <w:rFonts w:ascii="宋体" w:hAnsi="宋体" w:cs="宋体"/>
                <w:kern w:val="0"/>
                <w:sz w:val="24"/>
                <w:szCs w:val="24"/>
              </w:rPr>
            </w:pPr>
            <w:r>
              <w:rPr>
                <w:rFonts w:hint="eastAsia" w:ascii="宋体" w:hAnsi="宋体" w:cs="宋体"/>
                <w:kern w:val="0"/>
                <w:sz w:val="24"/>
                <w:szCs w:val="24"/>
              </w:rPr>
              <w:t>（3）制定项目总体投资资金计划，对每月实际投资和计划投资作分析比较，分析差异的原因。</w:t>
            </w:r>
          </w:p>
          <w:p>
            <w:pPr>
              <w:widowControl/>
              <w:ind w:firstLine="240" w:firstLineChars="100"/>
              <w:rPr>
                <w:rFonts w:ascii="宋体" w:hAnsi="宋体" w:cs="宋体"/>
                <w:kern w:val="0"/>
                <w:sz w:val="24"/>
                <w:szCs w:val="24"/>
              </w:rPr>
            </w:pPr>
            <w:r>
              <w:rPr>
                <w:rFonts w:hint="eastAsia" w:ascii="宋体" w:hAnsi="宋体" w:cs="宋体"/>
                <w:kern w:val="0"/>
                <w:sz w:val="24"/>
                <w:szCs w:val="24"/>
              </w:rPr>
              <w:t>（4）负责建立合同台账、支付台账、变更台账（按变更原因分类）、签证台账、动态投资台账；负责每个月月底前提交投资控制报告，含项目整体结算价预估分析、动态成本（须与目标成本对比分析偏差原因及解决方案建议）等。</w:t>
            </w:r>
          </w:p>
          <w:p>
            <w:pPr>
              <w:widowControl/>
              <w:ind w:firstLine="240" w:firstLineChars="100"/>
              <w:rPr>
                <w:rFonts w:ascii="宋体" w:hAnsi="宋体" w:cs="宋体"/>
                <w:kern w:val="0"/>
                <w:sz w:val="24"/>
                <w:szCs w:val="24"/>
              </w:rPr>
            </w:pPr>
            <w:r>
              <w:rPr>
                <w:rFonts w:hint="eastAsia" w:ascii="宋体" w:hAnsi="宋体" w:cs="宋体"/>
                <w:kern w:val="0"/>
                <w:sz w:val="24"/>
                <w:szCs w:val="24"/>
              </w:rPr>
              <w:t>（5）负责定期召开造价控制会议，负责每月底提交投资控制报告，含项目整体结算价预估分析、动态成本（须与目标成本对比分析偏差原因及解决方案建议）等。</w:t>
            </w:r>
          </w:p>
          <w:p>
            <w:pPr>
              <w:widowControl/>
              <w:ind w:firstLine="240" w:firstLineChars="100"/>
              <w:rPr>
                <w:rFonts w:ascii="宋体" w:hAnsi="宋体" w:cs="宋体"/>
                <w:kern w:val="0"/>
                <w:sz w:val="24"/>
                <w:szCs w:val="24"/>
              </w:rPr>
            </w:pPr>
            <w:r>
              <w:rPr>
                <w:rFonts w:hint="eastAsia" w:ascii="宋体" w:hAnsi="宋体" w:cs="宋体"/>
                <w:kern w:val="0"/>
                <w:sz w:val="24"/>
                <w:szCs w:val="24"/>
              </w:rPr>
              <w:t>（6）负责定期收集和整理有关设备材料的市场价格动态信息，对施工方案、材料选用提供成本控制建议。每月底提交人工机械主材设备价格造价影响分析。</w:t>
            </w:r>
          </w:p>
          <w:p>
            <w:pPr>
              <w:widowControl/>
              <w:ind w:firstLine="240" w:firstLineChars="100"/>
              <w:rPr>
                <w:rFonts w:ascii="宋体" w:hAnsi="宋体" w:cs="宋体"/>
                <w:kern w:val="0"/>
                <w:sz w:val="24"/>
                <w:szCs w:val="24"/>
              </w:rPr>
            </w:pPr>
            <w:r>
              <w:rPr>
                <w:rFonts w:hint="eastAsia" w:ascii="宋体" w:hAnsi="宋体" w:cs="宋体"/>
                <w:kern w:val="0"/>
                <w:sz w:val="24"/>
                <w:szCs w:val="24"/>
              </w:rPr>
              <w:t>（7）负责协助第三方的合同索赔处理，参加合同变更谈判、处理合同变更，维护委托方的合法权益。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adjustRightInd w:val="0"/>
              <w:snapToGrid w:val="0"/>
              <w:rPr>
                <w:rFonts w:ascii="宋体" w:hAnsi="宋体" w:cs="宋体"/>
                <w:sz w:val="24"/>
                <w:szCs w:val="24"/>
                <w:shd w:val="clear" w:color="auto" w:fill="FFFFFF"/>
              </w:rPr>
            </w:pPr>
            <w:r>
              <w:rPr>
                <w:rFonts w:hint="eastAsia" w:ascii="宋体" w:hAnsi="宋体" w:cs="宋体"/>
                <w:sz w:val="24"/>
                <w:szCs w:val="24"/>
                <w:shd w:val="clear" w:color="auto" w:fill="FFFFFF"/>
              </w:rPr>
              <w:t>4</w:t>
            </w:r>
          </w:p>
        </w:tc>
        <w:tc>
          <w:tcPr>
            <w:tcW w:w="9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adjustRightInd w:val="0"/>
              <w:snapToGrid w:val="0"/>
              <w:rPr>
                <w:rFonts w:ascii="宋体" w:hAnsi="宋体" w:cs="宋体"/>
                <w:sz w:val="24"/>
                <w:szCs w:val="24"/>
                <w:shd w:val="clear" w:color="auto" w:fill="FFFFFF"/>
              </w:rPr>
            </w:pPr>
            <w:r>
              <w:rPr>
                <w:rFonts w:hint="eastAsia" w:ascii="宋体" w:hAnsi="宋体" w:cs="宋体"/>
                <w:kern w:val="0"/>
                <w:sz w:val="24"/>
                <w:szCs w:val="24"/>
                <w:shd w:val="clear" w:color="auto" w:fill="FFFFFF"/>
              </w:rPr>
              <w:t>结（决）算阶段</w:t>
            </w:r>
          </w:p>
        </w:tc>
        <w:tc>
          <w:tcPr>
            <w:tcW w:w="7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numPr>
                <w:ilvl w:val="0"/>
                <w:numId w:val="1"/>
              </w:numPr>
              <w:ind w:firstLine="240" w:firstLineChars="100"/>
              <w:rPr>
                <w:rFonts w:ascii="宋体" w:hAnsi="宋体" w:cs="宋体"/>
                <w:kern w:val="0"/>
                <w:sz w:val="24"/>
                <w:szCs w:val="24"/>
              </w:rPr>
            </w:pPr>
            <w:r>
              <w:rPr>
                <w:rFonts w:hint="eastAsia" w:ascii="宋体" w:hAnsi="宋体" w:cs="宋体"/>
                <w:kern w:val="0"/>
                <w:sz w:val="24"/>
                <w:szCs w:val="24"/>
              </w:rPr>
              <w:t>负责编制结算计划，建立结算台账。</w:t>
            </w:r>
          </w:p>
          <w:p>
            <w:pPr>
              <w:widowControl/>
              <w:numPr>
                <w:ilvl w:val="0"/>
                <w:numId w:val="1"/>
              </w:numPr>
              <w:ind w:firstLine="240" w:firstLineChars="100"/>
              <w:rPr>
                <w:rFonts w:ascii="宋体" w:hAnsi="宋体" w:cs="宋体"/>
                <w:kern w:val="0"/>
                <w:sz w:val="24"/>
                <w:szCs w:val="24"/>
              </w:rPr>
            </w:pPr>
            <w:r>
              <w:rPr>
                <w:rFonts w:hint="eastAsia" w:ascii="宋体" w:hAnsi="宋体" w:cs="宋体"/>
                <w:kern w:val="0"/>
                <w:sz w:val="24"/>
                <w:szCs w:val="24"/>
              </w:rPr>
              <w:t>根据委托方的要求对施工图纸及竣工图纸进行核对。</w:t>
            </w:r>
          </w:p>
          <w:p>
            <w:pPr>
              <w:widowControl/>
              <w:numPr>
                <w:ilvl w:val="0"/>
                <w:numId w:val="1"/>
              </w:numPr>
              <w:ind w:firstLine="240" w:firstLineChars="100"/>
              <w:rPr>
                <w:rFonts w:ascii="宋体" w:hAnsi="宋体" w:cs="宋体"/>
                <w:kern w:val="0"/>
                <w:sz w:val="24"/>
                <w:szCs w:val="24"/>
              </w:rPr>
            </w:pPr>
            <w:r>
              <w:rPr>
                <w:rFonts w:hint="eastAsia" w:ascii="宋体" w:hAnsi="宋体" w:cs="宋体"/>
                <w:kern w:val="0"/>
                <w:sz w:val="24"/>
                <w:szCs w:val="24"/>
              </w:rPr>
              <w:t>竣工结算时，根据委托方的结算程序及相关规定审核总包、各分包工程及材料设备的竣工结算书并提供审核报告，审核报告的结果必须以委托方书面确认为准。</w:t>
            </w:r>
          </w:p>
          <w:p>
            <w:pPr>
              <w:widowControl/>
              <w:numPr>
                <w:ilvl w:val="0"/>
                <w:numId w:val="1"/>
              </w:numPr>
              <w:ind w:firstLine="240" w:firstLineChars="100"/>
              <w:rPr>
                <w:rFonts w:ascii="宋体" w:hAnsi="宋体" w:cs="宋体"/>
                <w:kern w:val="0"/>
                <w:sz w:val="24"/>
                <w:szCs w:val="24"/>
              </w:rPr>
            </w:pPr>
            <w:r>
              <w:rPr>
                <w:rFonts w:hint="eastAsia" w:ascii="宋体" w:hAnsi="宋体" w:cs="宋体"/>
                <w:kern w:val="0"/>
                <w:sz w:val="24"/>
                <w:szCs w:val="24"/>
              </w:rPr>
              <w:t>收集项目整体造价资料，配合委托方编制建安总成本分析，并与当地同类项目各类经济指标进行对比分析。</w:t>
            </w:r>
          </w:p>
          <w:p>
            <w:pPr>
              <w:widowControl/>
              <w:ind w:firstLine="240" w:firstLineChars="100"/>
              <w:rPr>
                <w:rFonts w:ascii="宋体" w:hAnsi="宋体" w:cs="宋体"/>
                <w:kern w:val="0"/>
                <w:sz w:val="24"/>
                <w:szCs w:val="24"/>
              </w:rPr>
            </w:pPr>
            <w:r>
              <w:rPr>
                <w:rFonts w:hint="eastAsia" w:ascii="宋体" w:hAnsi="宋体" w:cs="宋体"/>
                <w:kern w:val="0"/>
                <w:sz w:val="24"/>
                <w:szCs w:val="24"/>
              </w:rPr>
              <w:t>（5）配合委托方决算工作。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adjustRightInd w:val="0"/>
              <w:snapToGrid w:val="0"/>
              <w:rPr>
                <w:rFonts w:ascii="宋体" w:hAnsi="宋体" w:cs="宋体"/>
                <w:sz w:val="24"/>
                <w:szCs w:val="24"/>
                <w:shd w:val="clear" w:color="auto" w:fill="FFFFFF"/>
              </w:rPr>
            </w:pPr>
            <w:r>
              <w:rPr>
                <w:rFonts w:hint="eastAsia" w:ascii="宋体" w:hAnsi="宋体" w:cs="宋体"/>
                <w:sz w:val="24"/>
                <w:szCs w:val="24"/>
                <w:shd w:val="clear" w:color="auto" w:fill="FFFFFF"/>
              </w:rPr>
              <w:t>5</w:t>
            </w:r>
          </w:p>
        </w:tc>
        <w:tc>
          <w:tcPr>
            <w:tcW w:w="9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adjustRightInd w:val="0"/>
              <w:snapToGrid w:val="0"/>
              <w:ind w:firstLine="228" w:firstLineChars="95"/>
              <w:rPr>
                <w:rFonts w:ascii="宋体" w:hAnsi="宋体" w:cs="宋体"/>
                <w:sz w:val="24"/>
                <w:szCs w:val="24"/>
                <w:shd w:val="clear" w:color="auto" w:fill="FFFFFF"/>
              </w:rPr>
            </w:pPr>
            <w:r>
              <w:rPr>
                <w:rFonts w:hint="eastAsia" w:ascii="宋体" w:hAnsi="宋体" w:cs="宋体"/>
                <w:kern w:val="0"/>
                <w:sz w:val="24"/>
                <w:szCs w:val="24"/>
                <w:shd w:val="clear" w:color="auto" w:fill="FFFFFF"/>
              </w:rPr>
              <w:t>其他</w:t>
            </w:r>
          </w:p>
        </w:tc>
        <w:tc>
          <w:tcPr>
            <w:tcW w:w="7443"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rPr>
                <w:rFonts w:ascii="宋体" w:hAnsi="宋体" w:cs="宋体"/>
                <w:kern w:val="0"/>
                <w:sz w:val="24"/>
                <w:szCs w:val="24"/>
              </w:rPr>
            </w:pPr>
            <w:r>
              <w:rPr>
                <w:rFonts w:hint="eastAsia" w:ascii="宋体" w:hAnsi="宋体" w:cs="宋体"/>
                <w:kern w:val="0"/>
                <w:sz w:val="24"/>
                <w:szCs w:val="24"/>
              </w:rPr>
              <w:t>（1）负责按委托方要求编制各类造价管理文件。</w:t>
            </w:r>
          </w:p>
          <w:p>
            <w:pPr>
              <w:widowControl/>
              <w:rPr>
                <w:rFonts w:ascii="宋体" w:hAnsi="宋体" w:cs="宋体"/>
                <w:kern w:val="0"/>
                <w:sz w:val="24"/>
                <w:szCs w:val="24"/>
              </w:rPr>
            </w:pPr>
            <w:r>
              <w:rPr>
                <w:rFonts w:hint="eastAsia" w:ascii="宋体" w:hAnsi="宋体" w:cs="宋体"/>
                <w:kern w:val="0"/>
                <w:sz w:val="24"/>
                <w:szCs w:val="24"/>
              </w:rPr>
              <w:t>（2）负责非招标委托合同的价格审核。</w:t>
            </w:r>
          </w:p>
          <w:p>
            <w:pPr>
              <w:widowControl/>
              <w:rPr>
                <w:rFonts w:ascii="宋体" w:hAnsi="宋体" w:cs="宋体"/>
                <w:kern w:val="0"/>
                <w:sz w:val="24"/>
                <w:szCs w:val="24"/>
              </w:rPr>
            </w:pPr>
            <w:r>
              <w:rPr>
                <w:rFonts w:hint="eastAsia" w:ascii="宋体" w:hAnsi="宋体" w:cs="宋体"/>
                <w:kern w:val="0"/>
                <w:sz w:val="24"/>
                <w:szCs w:val="24"/>
              </w:rPr>
              <w:t>（3）参与设计方案论证会议、技术经济方案比选、变更论证等专题会，提出造价专业意见；督促落实各阶段、各专业工程造价限额设计量化指标。</w:t>
            </w:r>
          </w:p>
          <w:p>
            <w:pPr>
              <w:widowControl/>
              <w:rPr>
                <w:rFonts w:ascii="宋体" w:hAnsi="宋体" w:cs="宋体"/>
                <w:kern w:val="0"/>
                <w:sz w:val="24"/>
                <w:szCs w:val="24"/>
              </w:rPr>
            </w:pPr>
            <w:r>
              <w:rPr>
                <w:rFonts w:hint="eastAsia" w:ascii="宋体" w:hAnsi="宋体" w:cs="宋体"/>
                <w:kern w:val="0"/>
                <w:sz w:val="24"/>
                <w:szCs w:val="24"/>
              </w:rPr>
              <w:t>（4）负责组织相关造价控制评审会议，包括邀请相应的经济专家，视情况邀请高级经济顾问对造价问题进行咨询把关。</w:t>
            </w:r>
          </w:p>
          <w:p>
            <w:pPr>
              <w:widowControl/>
              <w:rPr>
                <w:rFonts w:ascii="宋体" w:hAnsi="宋体" w:cs="宋体"/>
                <w:kern w:val="0"/>
                <w:sz w:val="24"/>
                <w:szCs w:val="24"/>
              </w:rPr>
            </w:pPr>
            <w:r>
              <w:rPr>
                <w:rFonts w:hint="eastAsia" w:ascii="宋体" w:hAnsi="宋体" w:cs="宋体"/>
                <w:kern w:val="0"/>
                <w:sz w:val="24"/>
                <w:szCs w:val="24"/>
              </w:rPr>
              <w:t>（5）配合委托方编制详细的工程成本预测和资金流量预测分析，以作为进度和成本控制的目标；随设计的深入定期分析工程成本、定期修正资金流量预测。</w:t>
            </w:r>
          </w:p>
          <w:p>
            <w:pPr>
              <w:widowControl/>
              <w:rPr>
                <w:rFonts w:ascii="宋体" w:hAnsi="宋体" w:cs="宋体"/>
                <w:kern w:val="0"/>
                <w:sz w:val="24"/>
                <w:szCs w:val="24"/>
              </w:rPr>
            </w:pPr>
            <w:r>
              <w:rPr>
                <w:rFonts w:hint="eastAsia" w:ascii="宋体" w:hAnsi="宋体" w:cs="宋体"/>
                <w:kern w:val="0"/>
                <w:sz w:val="24"/>
                <w:szCs w:val="24"/>
              </w:rPr>
              <w:t>（6）委托方安排的其他造价管理工作。</w:t>
            </w:r>
          </w:p>
        </w:tc>
      </w:tr>
    </w:tbl>
    <w:p>
      <w:pPr>
        <w:rPr>
          <w:sz w:val="24"/>
          <w:szCs w:val="24"/>
        </w:rPr>
      </w:pPr>
      <w:r>
        <w:rPr>
          <w:rFonts w:hint="eastAsia" w:ascii="Cambria" w:hAnsi="Cambria"/>
          <w:b/>
          <w:bCs/>
          <w:sz w:val="24"/>
          <w:szCs w:val="24"/>
        </w:rPr>
        <w:t xml:space="preserve">   </w:t>
      </w:r>
      <w:r>
        <w:rPr>
          <w:rFonts w:hint="eastAsia" w:ascii="宋体" w:hAnsi="宋体" w:cs="宋体"/>
          <w:kern w:val="0"/>
          <w:sz w:val="24"/>
          <w:szCs w:val="24"/>
        </w:rPr>
        <w:t>注：各阶段工作内容不具备先后顺序，根据项目实际需要实施。</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2.3最高投标限价：￥</w:t>
      </w:r>
      <w:r>
        <w:rPr>
          <w:rFonts w:hint="eastAsia" w:ascii="宋体" w:hAnsi="宋体"/>
          <w:sz w:val="24"/>
          <w:u w:val="single"/>
        </w:rPr>
        <w:t>3,601,812.00</w:t>
      </w:r>
      <w:r>
        <w:rPr>
          <w:rFonts w:hint="eastAsia" w:ascii="宋体" w:hAnsi="宋体"/>
          <w:sz w:val="24"/>
        </w:rPr>
        <w:t>元。</w:t>
      </w:r>
    </w:p>
    <w:p>
      <w:pPr>
        <w:spacing w:line="360" w:lineRule="auto"/>
        <w:ind w:firstLine="480" w:firstLineChars="200"/>
        <w:rPr>
          <w:rFonts w:hint="eastAsia" w:ascii="宋体" w:hAnsi="宋体"/>
          <w:sz w:val="24"/>
          <w:u w:val="single"/>
        </w:rPr>
      </w:pPr>
      <w:r>
        <w:rPr>
          <w:rFonts w:hint="eastAsia" w:ascii="宋体" w:hAnsi="宋体"/>
          <w:sz w:val="24"/>
        </w:rPr>
        <w:t>2.2.</w:t>
      </w:r>
      <w:r>
        <w:rPr>
          <w:rFonts w:ascii="宋体" w:hAnsi="宋体"/>
          <w:sz w:val="24"/>
        </w:rPr>
        <w:t>4</w:t>
      </w:r>
      <w:r>
        <w:rPr>
          <w:rFonts w:hint="eastAsia" w:ascii="宋体" w:hAnsi="宋体"/>
          <w:sz w:val="24"/>
        </w:rPr>
        <w:t>服务期限：</w:t>
      </w:r>
      <w:r>
        <w:rPr>
          <w:rFonts w:hint="eastAsia" w:ascii="宋体" w:hAnsi="宋体"/>
          <w:sz w:val="24"/>
          <w:u w:val="single"/>
        </w:rPr>
        <w:t>自本项目合同签订之日起至履约完毕。甲方根据实际情况，有权对本合同服务期限进行适当调整（具体详见项目需求书）。</w:t>
      </w:r>
    </w:p>
    <w:p>
      <w:pPr>
        <w:topLinePunct/>
        <w:spacing w:line="360" w:lineRule="auto"/>
        <w:ind w:firstLine="480" w:firstLineChars="200"/>
        <w:rPr>
          <w:rFonts w:ascii="宋体" w:hAnsi="宋体" w:cs="宋体"/>
          <w:sz w:val="24"/>
        </w:rPr>
      </w:pPr>
    </w:p>
    <w:p>
      <w:pPr>
        <w:pStyle w:val="3"/>
        <w:spacing w:before="0" w:after="0"/>
      </w:pPr>
      <w:bookmarkStart w:id="10" w:name="_Toc14642"/>
      <w:bookmarkStart w:id="11" w:name="_Toc101774978"/>
      <w:bookmarkStart w:id="12" w:name="_Toc101775039"/>
      <w:bookmarkStart w:id="13" w:name="_Toc13071"/>
      <w:bookmarkStart w:id="14" w:name="_Toc106890385"/>
      <w:r>
        <w:rPr>
          <w:rFonts w:hint="eastAsia"/>
          <w:lang w:eastAsia="zh-CN"/>
        </w:rPr>
        <w:t>3</w:t>
      </w:r>
      <w:r>
        <w:t>. 投标人资格要求</w:t>
      </w:r>
      <w:bookmarkEnd w:id="10"/>
      <w:bookmarkEnd w:id="11"/>
      <w:bookmarkEnd w:id="12"/>
      <w:bookmarkEnd w:id="13"/>
      <w:bookmarkEnd w:id="14"/>
    </w:p>
    <w:p>
      <w:pPr>
        <w:widowControl/>
        <w:spacing w:line="360" w:lineRule="auto"/>
        <w:ind w:firstLine="480" w:firstLineChars="200"/>
        <w:rPr>
          <w:rFonts w:hint="eastAsia" w:ascii="宋体" w:hAnsi="宋体"/>
          <w:sz w:val="24"/>
          <w:szCs w:val="24"/>
        </w:rPr>
      </w:pPr>
      <w:r>
        <w:rPr>
          <w:rFonts w:ascii="宋体" w:hAnsi="宋体" w:cs="宋体"/>
          <w:sz w:val="24"/>
        </w:rPr>
        <w:t>3.1</w:t>
      </w:r>
      <w:r>
        <w:rPr>
          <w:rFonts w:ascii="宋体" w:hAnsi="宋体"/>
          <w:sz w:val="24"/>
          <w:szCs w:val="24"/>
        </w:rPr>
        <w:t xml:space="preserve"> </w:t>
      </w:r>
      <w:r>
        <w:rPr>
          <w:rFonts w:hint="eastAsia" w:ascii="宋体" w:hAnsi="宋体"/>
          <w:sz w:val="24"/>
          <w:szCs w:val="24"/>
        </w:rPr>
        <w:t>投标人具有独立法人资格，持有工商行政管理部门核发的法人营业执照或事业单位登记管理部门核发的事业单位法人证书且在有效期内，按国家法律经营；香港企业参加投标的，须在广东省住房和城乡建设主管部门备案且备案的业务范围满足本项目招标文件要求。</w:t>
      </w:r>
    </w:p>
    <w:p>
      <w:pPr>
        <w:tabs>
          <w:tab w:val="left" w:pos="7513"/>
        </w:tabs>
        <w:spacing w:line="360" w:lineRule="auto"/>
        <w:ind w:firstLine="480" w:firstLineChars="200"/>
        <w:jc w:val="left"/>
        <w:rPr>
          <w:rFonts w:hint="eastAsia" w:ascii="宋体" w:hAnsi="宋体"/>
          <w:sz w:val="24"/>
          <w:szCs w:val="24"/>
        </w:rPr>
      </w:pPr>
      <w:r>
        <w:rPr>
          <w:rFonts w:hint="eastAsia" w:ascii="宋体" w:hAnsi="宋体"/>
          <w:sz w:val="24"/>
          <w:u w:val="single"/>
        </w:rPr>
        <w:t>注：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pPr>
        <w:widowControl/>
        <w:spacing w:line="360" w:lineRule="auto"/>
        <w:ind w:firstLine="480" w:firstLineChars="200"/>
        <w:rPr>
          <w:rFonts w:ascii="宋体" w:hAnsi="宋体" w:cs="宋体"/>
          <w:sz w:val="24"/>
        </w:rPr>
      </w:pPr>
      <w:r>
        <w:rPr>
          <w:rFonts w:ascii="宋体" w:hAnsi="宋体" w:cs="宋体"/>
          <w:sz w:val="24"/>
        </w:rPr>
        <w:t>3.2本次招标不接受联合体投标。</w:t>
      </w:r>
    </w:p>
    <w:p>
      <w:pPr>
        <w:widowControl/>
        <w:spacing w:line="360" w:lineRule="auto"/>
        <w:ind w:firstLine="480" w:firstLineChars="200"/>
        <w:rPr>
          <w:rFonts w:hint="eastAsia" w:ascii="宋体" w:hAnsi="宋体" w:cs="宋体"/>
          <w:sz w:val="24"/>
        </w:rPr>
      </w:pPr>
      <w:r>
        <w:rPr>
          <w:rFonts w:hint="eastAsia" w:ascii="宋体" w:hAnsi="宋体" w:cs="宋体"/>
          <w:sz w:val="24"/>
        </w:rPr>
        <w:t>3.3拟委派的项目负责人须具备有效的注册造价工程师或注册一级造价工程师（土木建筑工程专业或安装工程专业）注册证，且在本单位注册，</w:t>
      </w:r>
      <w:r>
        <w:rPr>
          <w:rFonts w:hint="eastAsia" w:ascii="宋体" w:hAnsi="宋体" w:cs="宋体"/>
          <w:kern w:val="0"/>
          <w:sz w:val="24"/>
          <w:szCs w:val="24"/>
        </w:rPr>
        <w:t>具有土建类（含工程造价、建筑经济）相关专业高级或以上技术职称；</w:t>
      </w:r>
      <w:r>
        <w:rPr>
          <w:rFonts w:hint="eastAsia" w:ascii="宋体" w:hAnsi="宋体" w:cs="宋体"/>
          <w:sz w:val="24"/>
        </w:rPr>
        <w:t>若拟委派的项目负责人为香港专业人士，则需已在广东省住房和城乡建设主管部门备案且备案的业务范围相当于注册造价工程师或注册一级造价工程师的香港专业人士。</w:t>
      </w:r>
    </w:p>
    <w:p>
      <w:pPr>
        <w:spacing w:line="360" w:lineRule="auto"/>
        <w:ind w:firstLine="437"/>
        <w:jc w:val="left"/>
        <w:rPr>
          <w:rFonts w:ascii="宋体" w:hAnsi="宋体" w:cs="宋体"/>
          <w:sz w:val="24"/>
          <w:szCs w:val="24"/>
          <w:u w:val="single"/>
        </w:rPr>
      </w:pPr>
      <w:r>
        <w:rPr>
          <w:rFonts w:hint="eastAsia" w:ascii="宋体" w:hAnsi="宋体" w:cs="宋体"/>
          <w:sz w:val="24"/>
          <w:szCs w:val="24"/>
          <w:u w:val="single"/>
        </w:rPr>
        <w:t>注：香港专业人士的备案业务范围依据《广东省住房和城乡建设厅关于印发香港工程建设咨询企业和专业人士在粤港澳大湾区内地城市开业执业试点管理暂行办法的通知》（粤建规范〔2020〕1号）确定。</w:t>
      </w:r>
    </w:p>
    <w:p>
      <w:pPr>
        <w:widowControl/>
        <w:spacing w:line="360" w:lineRule="auto"/>
        <w:ind w:firstLine="480" w:firstLineChars="200"/>
        <w:rPr>
          <w:rFonts w:ascii="宋体" w:hAnsi="宋体" w:cs="宋体"/>
          <w:sz w:val="24"/>
        </w:rPr>
      </w:pPr>
      <w:r>
        <w:rPr>
          <w:rFonts w:hint="eastAsia" w:ascii="宋体" w:hAnsi="宋体" w:cs="宋体"/>
          <w:sz w:val="24"/>
        </w:rPr>
        <w:t>3.4其他资格要求：</w:t>
      </w:r>
    </w:p>
    <w:p>
      <w:pPr>
        <w:widowControl/>
        <w:spacing w:line="360" w:lineRule="auto"/>
        <w:ind w:firstLine="480" w:firstLineChars="200"/>
        <w:rPr>
          <w:rFonts w:ascii="宋体" w:hAnsi="宋体" w:cs="宋体"/>
          <w:sz w:val="24"/>
          <w:u w:val="single"/>
        </w:rPr>
      </w:pPr>
      <w:r>
        <w:rPr>
          <w:rFonts w:hint="eastAsia" w:ascii="宋体" w:hAnsi="宋体" w:cs="宋体"/>
          <w:sz w:val="24"/>
          <w:u w:val="single"/>
        </w:rPr>
        <w:t>①投标人已按规定格式签名盖章《投标人声明》（格式见招标公告附件一）；</w:t>
      </w:r>
    </w:p>
    <w:p>
      <w:pPr>
        <w:widowControl/>
        <w:spacing w:line="360" w:lineRule="auto"/>
        <w:ind w:firstLine="480" w:firstLineChars="200"/>
        <w:rPr>
          <w:rFonts w:hint="eastAsia" w:ascii="宋体" w:hAnsi="宋体" w:cs="宋体"/>
          <w:sz w:val="24"/>
          <w:u w:val="single"/>
        </w:rPr>
      </w:pPr>
      <w:r>
        <w:rPr>
          <w:rFonts w:hint="eastAsia" w:ascii="宋体" w:hAnsi="宋体" w:cs="宋体"/>
          <w:sz w:val="24"/>
          <w:u w:val="single"/>
        </w:rPr>
        <w:t>②资格审查前，投标人在广州市住房和城乡建设局建立了企业信用档案（提供网页截图）（信用档案办理详见《广州市住建行业信用管理平台工程造价咨询企业信息录入指引》</w:t>
      </w:r>
    </w:p>
    <w:p>
      <w:pPr>
        <w:widowControl/>
        <w:spacing w:line="360" w:lineRule="auto"/>
        <w:ind w:firstLine="480" w:firstLineChars="200"/>
        <w:rPr>
          <w:rFonts w:ascii="宋体" w:hAnsi="宋体" w:cs="宋体"/>
          <w:sz w:val="24"/>
          <w:u w:val="single"/>
        </w:rPr>
      </w:pPr>
      <w:r>
        <w:rPr>
          <w:rFonts w:ascii="宋体" w:hAnsi="宋体" w:cs="宋体"/>
          <w:sz w:val="24"/>
          <w:u w:val="single"/>
        </w:rPr>
        <w:t>http://zfcj.gz.gov.cn/zwgk/zsdwxxgkzl/gzsjzyglfwzx/bszy/content/post_8073925.html</w:t>
      </w:r>
      <w:r>
        <w:rPr>
          <w:rFonts w:hint="eastAsia" w:ascii="宋体" w:hAnsi="宋体" w:cs="宋体"/>
          <w:sz w:val="24"/>
          <w:u w:val="single"/>
        </w:rPr>
        <w:t>）；</w:t>
      </w:r>
    </w:p>
    <w:p>
      <w:pPr>
        <w:tabs>
          <w:tab w:val="left" w:pos="7513"/>
        </w:tabs>
        <w:spacing w:line="360" w:lineRule="auto"/>
        <w:ind w:firstLine="480" w:firstLineChars="200"/>
        <w:rPr>
          <w:rFonts w:ascii="宋体" w:hAnsi="宋体" w:cs="宋体"/>
          <w:sz w:val="24"/>
          <w:u w:val="single"/>
        </w:rPr>
      </w:pPr>
      <w:r>
        <w:rPr>
          <w:rFonts w:hint="eastAsia" w:ascii="宋体" w:hAnsi="宋体" w:cs="宋体"/>
          <w:sz w:val="24"/>
          <w:u w:val="single"/>
        </w:rPr>
        <w:t>③投标人参加投标的意思表达清楚，投标人代表被授权有效。</w:t>
      </w:r>
    </w:p>
    <w:p>
      <w:pPr>
        <w:tabs>
          <w:tab w:val="left" w:pos="7513"/>
        </w:tabs>
        <w:spacing w:line="360" w:lineRule="auto"/>
        <w:ind w:firstLine="480" w:firstLineChars="200"/>
        <w:rPr>
          <w:rFonts w:ascii="宋体" w:hAnsi="宋体"/>
          <w:sz w:val="24"/>
          <w:u w:val="single"/>
        </w:rPr>
      </w:pPr>
      <w:r>
        <w:rPr>
          <w:rFonts w:hint="eastAsia" w:ascii="宋体" w:hAnsi="宋体" w:cs="宋体"/>
          <w:sz w:val="24"/>
          <w:u w:val="single"/>
        </w:rPr>
        <w:t>④</w:t>
      </w:r>
      <w:bookmarkStart w:id="15" w:name="_Hlk66197067"/>
      <w:r>
        <w:rPr>
          <w:rFonts w:hint="eastAsia" w:ascii="宋体" w:hAnsi="宋体"/>
          <w:sz w:val="24"/>
          <w:u w:val="single"/>
        </w:rPr>
        <w:t>未被纳入失信联合惩戒名单或被限制参加建设工程投标的（具体名单以递交投标文件截止时间“信用广州”https://credit1.gz.gov.cn/sgs/sgsXkNew公布的“失信黑名单”为准。不包含限制参加财政投资工程或政府投资工程的投标）。【注：因联合惩戒措施表述存在细微差别，惩戒措施与上文不完全一致但措施内容相同的，也应属于被限制参与相关项目的投标。】</w:t>
      </w:r>
      <w:bookmarkEnd w:id="15"/>
    </w:p>
    <w:p>
      <w:pPr>
        <w:topLinePunct/>
        <w:spacing w:line="360" w:lineRule="auto"/>
        <w:ind w:firstLine="482" w:firstLineChars="200"/>
        <w:rPr>
          <w:rFonts w:ascii="宋体" w:hAnsi="宋体" w:cs="宋体"/>
          <w:sz w:val="24"/>
        </w:rPr>
      </w:pPr>
      <w:r>
        <w:rPr>
          <w:rFonts w:hint="eastAsia" w:ascii="宋体" w:hAnsi="宋体" w:cs="宋体"/>
          <w:b/>
          <w:sz w:val="24"/>
        </w:rPr>
        <w:t>注：</w:t>
      </w:r>
      <w:r>
        <w:rPr>
          <w:rFonts w:hint="eastAsia" w:ascii="宋体" w:hAnsi="宋体" w:cs="宋体"/>
          <w:sz w:val="24"/>
        </w:rPr>
        <w:t>未在招标公告第3条单列的资审合格条件，不作为资审不合格的依据。</w:t>
      </w:r>
    </w:p>
    <w:p>
      <w:pPr>
        <w:topLinePunct/>
        <w:spacing w:line="360" w:lineRule="auto"/>
        <w:ind w:firstLine="480" w:firstLineChars="200"/>
        <w:rPr>
          <w:rFonts w:ascii="宋体" w:hAnsi="宋体" w:cs="宋体"/>
          <w:sz w:val="24"/>
        </w:rPr>
      </w:pPr>
    </w:p>
    <w:p>
      <w:pPr>
        <w:pStyle w:val="3"/>
        <w:spacing w:before="0" w:after="0"/>
      </w:pPr>
      <w:bookmarkStart w:id="16" w:name="_Toc8785"/>
      <w:bookmarkStart w:id="17" w:name="_Toc106890386"/>
      <w:bookmarkStart w:id="18" w:name="_Toc101775040"/>
      <w:bookmarkStart w:id="19" w:name="_Toc18823"/>
      <w:bookmarkStart w:id="20" w:name="_Toc101774979"/>
      <w:r>
        <w:t xml:space="preserve">4. </w:t>
      </w:r>
      <w:r>
        <w:rPr>
          <w:rFonts w:hint="eastAsia"/>
        </w:rPr>
        <w:t>招标文件的获取</w:t>
      </w:r>
      <w:bookmarkEnd w:id="16"/>
      <w:bookmarkEnd w:id="17"/>
      <w:bookmarkEnd w:id="18"/>
      <w:bookmarkEnd w:id="19"/>
      <w:bookmarkEnd w:id="20"/>
    </w:p>
    <w:p>
      <w:pPr>
        <w:spacing w:line="360" w:lineRule="auto"/>
        <w:ind w:left="239" w:leftChars="114" w:firstLine="240" w:firstLineChars="100"/>
        <w:jc w:val="left"/>
        <w:rPr>
          <w:rFonts w:ascii="宋体" w:hAnsi="宋体"/>
          <w:sz w:val="24"/>
        </w:rPr>
      </w:pPr>
      <w:r>
        <w:rPr>
          <w:rFonts w:hint="eastAsia" w:ascii="宋体" w:hAnsi="宋体"/>
          <w:sz w:val="24"/>
        </w:rPr>
        <w:t>4.1发布招标公告时间（含本日）：</w:t>
      </w:r>
      <w:r>
        <w:rPr>
          <w:rFonts w:hint="eastAsia" w:ascii="宋体" w:hAnsi="宋体"/>
          <w:sz w:val="24"/>
          <w:u w:val="single"/>
        </w:rPr>
        <w:t>2022</w:t>
      </w:r>
      <w:r>
        <w:rPr>
          <w:rFonts w:hint="eastAsia" w:ascii="宋体" w:hAnsi="宋体"/>
          <w:sz w:val="24"/>
        </w:rPr>
        <w:t>年</w:t>
      </w:r>
      <w:r>
        <w:rPr>
          <w:rFonts w:hint="eastAsia" w:ascii="宋体" w:hAnsi="宋体"/>
          <w:sz w:val="24"/>
          <w:u w:val="single"/>
          <w:lang w:val="en-US" w:eastAsia="zh-CN"/>
        </w:rPr>
        <w:t>9</w:t>
      </w:r>
      <w:r>
        <w:rPr>
          <w:rFonts w:hint="eastAsia" w:ascii="宋体" w:hAnsi="宋体"/>
          <w:sz w:val="24"/>
        </w:rPr>
        <w:t>月</w:t>
      </w:r>
      <w:r>
        <w:rPr>
          <w:rFonts w:hint="eastAsia" w:ascii="宋体" w:hAnsi="宋体"/>
          <w:sz w:val="24"/>
          <w:u w:val="single"/>
          <w:lang w:val="en-US" w:eastAsia="zh-CN"/>
        </w:rPr>
        <w:t>24</w:t>
      </w:r>
      <w:r>
        <w:rPr>
          <w:rFonts w:hint="eastAsia" w:ascii="宋体" w:hAnsi="宋体"/>
          <w:sz w:val="24"/>
        </w:rPr>
        <w:t>日</w:t>
      </w:r>
      <w:r>
        <w:rPr>
          <w:rFonts w:hint="eastAsia" w:ascii="宋体" w:hAnsi="宋体"/>
          <w:sz w:val="24"/>
          <w:u w:val="single"/>
        </w:rPr>
        <w:t>00</w:t>
      </w:r>
      <w:r>
        <w:rPr>
          <w:rFonts w:hint="eastAsia" w:ascii="宋体" w:hAnsi="宋体"/>
          <w:sz w:val="24"/>
        </w:rPr>
        <w:t>时</w:t>
      </w:r>
      <w:r>
        <w:rPr>
          <w:rFonts w:hint="eastAsia" w:ascii="宋体" w:hAnsi="宋体"/>
          <w:sz w:val="24"/>
          <w:u w:val="single"/>
        </w:rPr>
        <w:t>00</w:t>
      </w:r>
      <w:r>
        <w:rPr>
          <w:rFonts w:hint="eastAsia" w:ascii="宋体" w:hAnsi="宋体"/>
          <w:sz w:val="24"/>
        </w:rPr>
        <w:t>分至</w:t>
      </w:r>
      <w:r>
        <w:rPr>
          <w:rFonts w:hint="eastAsia" w:ascii="宋体" w:hAnsi="宋体"/>
          <w:sz w:val="24"/>
          <w:u w:val="single"/>
        </w:rPr>
        <w:t>2022</w:t>
      </w:r>
      <w:r>
        <w:rPr>
          <w:rFonts w:hint="eastAsia" w:ascii="宋体" w:hAnsi="宋体"/>
          <w:sz w:val="24"/>
        </w:rPr>
        <w:t>年</w:t>
      </w:r>
      <w:r>
        <w:rPr>
          <w:rFonts w:hint="eastAsia" w:ascii="宋体" w:hAnsi="宋体"/>
          <w:sz w:val="24"/>
          <w:u w:val="single"/>
          <w:lang w:val="en-US" w:eastAsia="zh-CN"/>
        </w:rPr>
        <w:t>10</w:t>
      </w:r>
      <w:r>
        <w:rPr>
          <w:rFonts w:hint="eastAsia" w:ascii="宋体" w:hAnsi="宋体"/>
          <w:sz w:val="24"/>
        </w:rPr>
        <w:t>月</w:t>
      </w:r>
      <w:r>
        <w:rPr>
          <w:rFonts w:hint="eastAsia" w:ascii="宋体" w:hAnsi="宋体"/>
          <w:sz w:val="24"/>
          <w:u w:val="single"/>
          <w:lang w:val="en-US" w:eastAsia="zh-CN"/>
        </w:rPr>
        <w:t>17</w:t>
      </w:r>
      <w:r>
        <w:rPr>
          <w:rFonts w:hint="eastAsia" w:ascii="宋体" w:hAnsi="宋体"/>
          <w:sz w:val="24"/>
        </w:rPr>
        <w:t>日</w:t>
      </w:r>
      <w:r>
        <w:rPr>
          <w:rFonts w:hint="eastAsia" w:ascii="宋体" w:hAnsi="宋体"/>
          <w:sz w:val="24"/>
          <w:u w:val="single"/>
          <w:lang w:val="en-US" w:eastAsia="zh-CN"/>
        </w:rPr>
        <w:t>14</w:t>
      </w:r>
      <w:r>
        <w:rPr>
          <w:rFonts w:hint="eastAsia" w:ascii="宋体" w:hAnsi="宋体"/>
          <w:sz w:val="24"/>
        </w:rPr>
        <w:t>时</w:t>
      </w:r>
      <w:r>
        <w:rPr>
          <w:rFonts w:hint="eastAsia" w:ascii="宋体" w:hAnsi="宋体"/>
          <w:sz w:val="24"/>
          <w:u w:val="single"/>
        </w:rPr>
        <w:t>30</w:t>
      </w:r>
      <w:r>
        <w:rPr>
          <w:rFonts w:hint="eastAsia" w:ascii="宋体" w:hAnsi="宋体"/>
          <w:sz w:val="24"/>
        </w:rPr>
        <w:t>分。</w:t>
      </w:r>
    </w:p>
    <w:p>
      <w:pPr>
        <w:spacing w:line="360" w:lineRule="auto"/>
        <w:ind w:firstLine="480" w:firstLineChars="200"/>
        <w:jc w:val="left"/>
        <w:rPr>
          <w:rFonts w:ascii="宋体" w:hAnsi="宋体"/>
          <w:sz w:val="24"/>
        </w:rPr>
      </w:pPr>
      <w:r>
        <w:rPr>
          <w:rFonts w:hint="eastAsia" w:ascii="宋体" w:hAnsi="宋体"/>
          <w:sz w:val="24"/>
        </w:rPr>
        <w:t>(注：发布招标公告的时间为招标公告发出之日起至递交投标文件截止时间止。)</w:t>
      </w:r>
    </w:p>
    <w:p>
      <w:pPr>
        <w:spacing w:line="360" w:lineRule="auto"/>
        <w:ind w:firstLine="480" w:firstLineChars="200"/>
        <w:jc w:val="left"/>
        <w:rPr>
          <w:rFonts w:ascii="宋体" w:hAnsi="宋体"/>
          <w:sz w:val="24"/>
        </w:rPr>
      </w:pPr>
      <w:r>
        <w:rPr>
          <w:rFonts w:hint="eastAsia" w:ascii="宋体" w:hAnsi="宋体"/>
          <w:sz w:val="24"/>
        </w:rPr>
        <w:t>4.2凡有意参加投标者，请登录</w:t>
      </w:r>
      <w:r>
        <w:rPr>
          <w:rFonts w:hint="eastAsia" w:ascii="宋体" w:hAnsi="宋体"/>
          <w:sz w:val="24"/>
          <w:u w:val="single"/>
        </w:rPr>
        <w:t>广州公共资源交易中心（http://www.gzggzy.cn/）</w:t>
      </w:r>
      <w:r>
        <w:rPr>
          <w:rFonts w:hint="eastAsia" w:ascii="宋体" w:hAnsi="宋体"/>
          <w:sz w:val="24"/>
        </w:rPr>
        <w:t>下载电子招标文件。</w:t>
      </w:r>
    </w:p>
    <w:p>
      <w:pPr>
        <w:spacing w:line="360" w:lineRule="auto"/>
        <w:ind w:firstLine="480" w:firstLineChars="200"/>
        <w:rPr>
          <w:rFonts w:ascii="宋体" w:hAnsi="宋体"/>
          <w:sz w:val="24"/>
          <w:u w:val="single"/>
        </w:rPr>
      </w:pPr>
      <w:r>
        <w:rPr>
          <w:rFonts w:hint="eastAsia" w:ascii="宋体" w:hAnsi="宋体"/>
          <w:sz w:val="24"/>
        </w:rPr>
        <w:t xml:space="preserve">4.3 </w:t>
      </w:r>
      <w:r>
        <w:rPr>
          <w:rFonts w:hint="eastAsia" w:ascii="宋体" w:hAnsi="宋体"/>
          <w:sz w:val="24"/>
          <w:u w:val="single"/>
        </w:rPr>
        <w:t>本项目采用资格后审方式，投标申请人不足3名或通过形式评审、资格评审、响应性评审的投标申请人不足3名时为招标失败。招标人分析招标失败原因，修正招标方案，报有关管理部门核准后，重新组织招标。</w:t>
      </w:r>
    </w:p>
    <w:p>
      <w:pPr>
        <w:tabs>
          <w:tab w:val="left" w:pos="7513"/>
        </w:tabs>
        <w:spacing w:line="360" w:lineRule="auto"/>
        <w:ind w:firstLine="480" w:firstLineChars="200"/>
        <w:rPr>
          <w:rFonts w:ascii="宋体" w:hAnsi="宋体"/>
          <w:sz w:val="24"/>
          <w:u w:val="single"/>
        </w:rPr>
      </w:pPr>
      <w:r>
        <w:rPr>
          <w:rFonts w:hint="eastAsia" w:ascii="宋体" w:hAnsi="宋体"/>
          <w:sz w:val="24"/>
          <w:u w:val="single"/>
        </w:rPr>
        <w:t>注：（</w:t>
      </w:r>
      <w:r>
        <w:rPr>
          <w:rFonts w:ascii="宋体" w:hAnsi="宋体"/>
          <w:sz w:val="24"/>
          <w:u w:val="single"/>
        </w:rPr>
        <w:t>1</w:t>
      </w:r>
      <w:r>
        <w:rPr>
          <w:rFonts w:hint="eastAsia" w:ascii="宋体" w:hAnsi="宋体"/>
          <w:sz w:val="24"/>
          <w:u w:val="single"/>
        </w:rPr>
        <w:t>）电子招投标操作流程详见广州公共资源交易中心网站发布的《房屋建筑和市政基础设施工程全流程电子化项目专章》。</w:t>
      </w:r>
    </w:p>
    <w:p>
      <w:pPr>
        <w:spacing w:line="360" w:lineRule="auto"/>
        <w:ind w:firstLine="480" w:firstLineChars="200"/>
        <w:rPr>
          <w:rFonts w:ascii="宋体" w:hAnsi="宋体"/>
          <w:sz w:val="24"/>
          <w:u w:val="single"/>
        </w:rPr>
      </w:pPr>
      <w:r>
        <w:rPr>
          <w:rFonts w:hint="eastAsia" w:ascii="宋体" w:hAnsi="宋体"/>
          <w:sz w:val="24"/>
          <w:u w:val="single"/>
        </w:rPr>
        <w:t>（</w:t>
      </w:r>
      <w:r>
        <w:rPr>
          <w:rFonts w:ascii="宋体" w:hAnsi="宋体"/>
          <w:sz w:val="24"/>
          <w:u w:val="single"/>
        </w:rPr>
        <w:t>2</w:t>
      </w:r>
      <w:r>
        <w:rPr>
          <w:rFonts w:hint="eastAsia" w:ascii="宋体" w:hAnsi="宋体"/>
          <w:sz w:val="24"/>
          <w:u w:val="single"/>
        </w:rPr>
        <w:t>）本公告发布之日起开始发布招标文件，发布招标公告的时间为招标公告发出</w:t>
      </w:r>
      <w:bookmarkStart w:id="41" w:name="_GoBack"/>
      <w:bookmarkEnd w:id="41"/>
      <w:r>
        <w:rPr>
          <w:rFonts w:hint="eastAsia" w:ascii="宋体" w:hAnsi="宋体"/>
          <w:sz w:val="24"/>
          <w:u w:val="single"/>
        </w:rPr>
        <w:t>之日起至递交投标文件截止时间止,并从招标公告发布之日起开始计算备标时间。</w:t>
      </w:r>
    </w:p>
    <w:p>
      <w:pPr>
        <w:pStyle w:val="7"/>
      </w:pPr>
    </w:p>
    <w:p>
      <w:pPr>
        <w:pStyle w:val="3"/>
        <w:spacing w:before="0" w:after="0"/>
      </w:pPr>
      <w:bookmarkStart w:id="21" w:name="_Toc4462"/>
      <w:bookmarkStart w:id="22" w:name="_Toc7966"/>
      <w:bookmarkStart w:id="23" w:name="_Toc106890387"/>
      <w:bookmarkStart w:id="24" w:name="_Toc101774980"/>
      <w:bookmarkStart w:id="25" w:name="_Toc101775041"/>
      <w:r>
        <w:t xml:space="preserve">5. </w:t>
      </w:r>
      <w:r>
        <w:rPr>
          <w:rFonts w:hint="eastAsia"/>
        </w:rPr>
        <w:t>投标文件的递交</w:t>
      </w:r>
      <w:bookmarkEnd w:id="21"/>
      <w:bookmarkEnd w:id="22"/>
      <w:bookmarkEnd w:id="23"/>
      <w:bookmarkEnd w:id="24"/>
      <w:bookmarkEnd w:id="25"/>
    </w:p>
    <w:p>
      <w:pPr>
        <w:spacing w:line="360" w:lineRule="auto"/>
        <w:ind w:firstLine="480" w:firstLineChars="200"/>
        <w:jc w:val="left"/>
        <w:rPr>
          <w:rFonts w:ascii="宋体" w:hAnsi="宋体"/>
          <w:sz w:val="24"/>
          <w:u w:val="single"/>
        </w:rPr>
      </w:pPr>
      <w:r>
        <w:rPr>
          <w:rFonts w:ascii="宋体" w:hAnsi="宋体"/>
          <w:sz w:val="24"/>
        </w:rPr>
        <w:t>5.1投标文件递交的截止时间（投标截止时间，下同）为</w:t>
      </w:r>
      <w:r>
        <w:rPr>
          <w:rFonts w:hint="eastAsia" w:ascii="宋体" w:hAnsi="宋体"/>
          <w:sz w:val="24"/>
          <w:u w:val="single"/>
        </w:rPr>
        <w:t>2022</w:t>
      </w:r>
      <w:r>
        <w:rPr>
          <w:rFonts w:ascii="宋体" w:hAnsi="宋体"/>
          <w:sz w:val="24"/>
        </w:rPr>
        <w:t>年</w:t>
      </w:r>
      <w:r>
        <w:rPr>
          <w:rFonts w:hint="eastAsia" w:ascii="宋体" w:hAnsi="宋体"/>
          <w:sz w:val="24"/>
          <w:u w:val="single"/>
          <w:lang w:val="en-US" w:eastAsia="zh-CN"/>
        </w:rPr>
        <w:t>10</w:t>
      </w:r>
      <w:r>
        <w:rPr>
          <w:rFonts w:ascii="宋体" w:hAnsi="宋体"/>
          <w:sz w:val="24"/>
        </w:rPr>
        <w:t>月</w:t>
      </w:r>
      <w:r>
        <w:rPr>
          <w:rFonts w:hint="eastAsia" w:ascii="宋体" w:hAnsi="宋体"/>
          <w:sz w:val="24"/>
          <w:u w:val="single"/>
          <w:lang w:val="en-US" w:eastAsia="zh-CN"/>
        </w:rPr>
        <w:t>17</w:t>
      </w:r>
      <w:r>
        <w:rPr>
          <w:rFonts w:ascii="宋体" w:hAnsi="宋体"/>
          <w:sz w:val="24"/>
        </w:rPr>
        <w:t>日</w:t>
      </w:r>
      <w:r>
        <w:rPr>
          <w:rFonts w:hint="eastAsia" w:ascii="宋体" w:hAnsi="宋体"/>
          <w:sz w:val="24"/>
          <w:u w:val="single"/>
          <w:lang w:val="en-US" w:eastAsia="zh-CN"/>
        </w:rPr>
        <w:t>14</w:t>
      </w:r>
      <w:r>
        <w:rPr>
          <w:rFonts w:ascii="宋体" w:hAnsi="宋体"/>
          <w:sz w:val="24"/>
        </w:rPr>
        <w:t>时</w:t>
      </w:r>
      <w:r>
        <w:rPr>
          <w:rFonts w:hint="eastAsia" w:ascii="宋体" w:hAnsi="宋体"/>
          <w:sz w:val="24"/>
          <w:u w:val="single"/>
        </w:rPr>
        <w:t>30</w:t>
      </w:r>
      <w:r>
        <w:rPr>
          <w:rFonts w:ascii="宋体" w:hAnsi="宋体"/>
          <w:sz w:val="24"/>
        </w:rPr>
        <w:t>分，投标人应在截止时间前通过</w:t>
      </w:r>
      <w:r>
        <w:rPr>
          <w:rFonts w:hint="eastAsia" w:ascii="宋体" w:hAnsi="宋体"/>
          <w:sz w:val="24"/>
          <w:u w:val="single"/>
        </w:rPr>
        <w:t>广州公共资源交易中心数字交易平台（网址：</w:t>
      </w:r>
      <w:r>
        <w:rPr>
          <w:rFonts w:ascii="宋体" w:hAnsi="宋体"/>
          <w:sz w:val="24"/>
          <w:u w:val="single"/>
        </w:rPr>
        <w:t>http://www.gzggzy.cn/</w:t>
      </w:r>
      <w:r>
        <w:rPr>
          <w:rFonts w:hint="eastAsia" w:ascii="宋体" w:hAnsi="宋体"/>
          <w:sz w:val="24"/>
          <w:u w:val="single"/>
        </w:rPr>
        <w:t>）</w:t>
      </w:r>
      <w:r>
        <w:rPr>
          <w:rFonts w:ascii="宋体" w:hAnsi="宋体"/>
          <w:sz w:val="24"/>
        </w:rPr>
        <w:t>递交电子投标文件。</w:t>
      </w:r>
      <w:r>
        <w:rPr>
          <w:rFonts w:hint="eastAsia" w:ascii="宋体" w:hAnsi="宋体"/>
          <w:sz w:val="24"/>
          <w:u w:val="single"/>
        </w:rPr>
        <w:t>投标人应在递交投标文件截止前，登陆广州公共资源交易中心数字交易平台网站办理网上投标登记手续。按照交易平台关于全流程电子化项目的相关指南进行操作，详见：广州公共资源交易中心网站。</w:t>
      </w:r>
    </w:p>
    <w:p>
      <w:pPr>
        <w:spacing w:line="360" w:lineRule="auto"/>
        <w:ind w:firstLine="480" w:firstLineChars="200"/>
        <w:jc w:val="left"/>
        <w:rPr>
          <w:rFonts w:ascii="宋体" w:hAnsi="宋体"/>
          <w:sz w:val="24"/>
        </w:rPr>
      </w:pPr>
      <w:r>
        <w:rPr>
          <w:rFonts w:hint="eastAsia" w:ascii="宋体" w:hAnsi="宋体"/>
          <w:sz w:val="24"/>
        </w:rPr>
        <w:t>递交备用</w:t>
      </w:r>
      <w:r>
        <w:rPr>
          <w:rFonts w:ascii="宋体" w:hAnsi="宋体"/>
          <w:sz w:val="24"/>
        </w:rPr>
        <w:t>投标文件</w:t>
      </w:r>
      <w:r>
        <w:rPr>
          <w:rFonts w:hint="eastAsia" w:ascii="宋体" w:hAnsi="宋体"/>
          <w:sz w:val="24"/>
        </w:rPr>
        <w:t>电子</w:t>
      </w:r>
      <w:r>
        <w:rPr>
          <w:rFonts w:ascii="宋体" w:hAnsi="宋体"/>
          <w:sz w:val="24"/>
        </w:rPr>
        <w:t>光盘</w:t>
      </w:r>
      <w:r>
        <w:rPr>
          <w:rFonts w:hint="eastAsia" w:ascii="宋体" w:hAnsi="宋体"/>
          <w:sz w:val="24"/>
        </w:rPr>
        <w:t>的</w:t>
      </w:r>
      <w:r>
        <w:rPr>
          <w:rFonts w:ascii="宋体" w:hAnsi="宋体"/>
          <w:sz w:val="24"/>
        </w:rPr>
        <w:t>规定时间</w:t>
      </w:r>
      <w:r>
        <w:rPr>
          <w:rFonts w:hint="eastAsia" w:ascii="宋体" w:hAnsi="宋体"/>
          <w:sz w:val="24"/>
        </w:rPr>
        <w:t>为</w:t>
      </w:r>
      <w:r>
        <w:rPr>
          <w:rFonts w:ascii="宋体" w:hAnsi="宋体"/>
          <w:sz w:val="24"/>
        </w:rPr>
        <w:t>：</w:t>
      </w:r>
      <w:r>
        <w:rPr>
          <w:rFonts w:hint="eastAsia" w:ascii="宋体" w:hAnsi="宋体"/>
          <w:sz w:val="24"/>
          <w:u w:val="single"/>
        </w:rPr>
        <w:t>2022</w:t>
      </w:r>
      <w:r>
        <w:rPr>
          <w:rFonts w:ascii="宋体" w:hAnsi="宋体"/>
          <w:sz w:val="24"/>
        </w:rPr>
        <w:t>年</w:t>
      </w:r>
      <w:r>
        <w:rPr>
          <w:rFonts w:hint="eastAsia" w:ascii="宋体" w:hAnsi="宋体"/>
          <w:sz w:val="24"/>
          <w:u w:val="single"/>
          <w:lang w:val="en-US" w:eastAsia="zh-CN"/>
        </w:rPr>
        <w:t>10</w:t>
      </w:r>
      <w:r>
        <w:rPr>
          <w:rFonts w:ascii="宋体" w:hAnsi="宋体"/>
          <w:sz w:val="24"/>
        </w:rPr>
        <w:t>月</w:t>
      </w:r>
      <w:r>
        <w:rPr>
          <w:rFonts w:hint="eastAsia" w:ascii="宋体" w:hAnsi="宋体"/>
          <w:sz w:val="24"/>
          <w:u w:val="single"/>
          <w:lang w:val="en-US" w:eastAsia="zh-CN"/>
        </w:rPr>
        <w:t>17</w:t>
      </w:r>
      <w:r>
        <w:rPr>
          <w:rFonts w:ascii="宋体" w:hAnsi="宋体"/>
          <w:sz w:val="24"/>
        </w:rPr>
        <w:t>日</w:t>
      </w:r>
      <w:r>
        <w:rPr>
          <w:rFonts w:hint="eastAsia" w:ascii="宋体" w:hAnsi="宋体"/>
          <w:sz w:val="24"/>
          <w:u w:val="single"/>
          <w:lang w:val="en-US" w:eastAsia="zh-CN"/>
        </w:rPr>
        <w:t>14</w:t>
      </w:r>
      <w:r>
        <w:rPr>
          <w:rFonts w:ascii="宋体" w:hAnsi="宋体"/>
          <w:sz w:val="24"/>
        </w:rPr>
        <w:t>时</w:t>
      </w:r>
      <w:r>
        <w:rPr>
          <w:rFonts w:hint="eastAsia" w:ascii="宋体" w:hAnsi="宋体"/>
          <w:sz w:val="24"/>
          <w:u w:val="single"/>
          <w:lang w:val="en-US" w:eastAsia="zh-CN"/>
        </w:rPr>
        <w:t>15</w:t>
      </w:r>
      <w:r>
        <w:rPr>
          <w:rFonts w:ascii="宋体" w:hAnsi="宋体"/>
          <w:sz w:val="24"/>
        </w:rPr>
        <w:t>分</w:t>
      </w:r>
      <w:r>
        <w:rPr>
          <w:rFonts w:hint="eastAsia" w:ascii="宋体" w:hAnsi="宋体"/>
          <w:sz w:val="24"/>
        </w:rPr>
        <w:t>至</w:t>
      </w:r>
      <w:r>
        <w:rPr>
          <w:rFonts w:hint="eastAsia" w:ascii="宋体" w:hAnsi="宋体"/>
          <w:sz w:val="24"/>
          <w:u w:val="single"/>
        </w:rPr>
        <w:t>2022</w:t>
      </w:r>
      <w:r>
        <w:rPr>
          <w:rFonts w:ascii="宋体" w:hAnsi="宋体"/>
          <w:sz w:val="24"/>
        </w:rPr>
        <w:t>年</w:t>
      </w:r>
      <w:r>
        <w:rPr>
          <w:rFonts w:hint="eastAsia" w:ascii="宋体" w:hAnsi="宋体"/>
          <w:sz w:val="24"/>
          <w:u w:val="single"/>
          <w:lang w:val="en-US" w:eastAsia="zh-CN"/>
        </w:rPr>
        <w:t>10</w:t>
      </w:r>
      <w:r>
        <w:rPr>
          <w:rFonts w:ascii="宋体" w:hAnsi="宋体"/>
          <w:sz w:val="24"/>
        </w:rPr>
        <w:t>月</w:t>
      </w:r>
      <w:r>
        <w:rPr>
          <w:rFonts w:hint="eastAsia" w:ascii="宋体" w:hAnsi="宋体"/>
          <w:sz w:val="24"/>
          <w:u w:val="single"/>
          <w:lang w:val="en-US" w:eastAsia="zh-CN"/>
        </w:rPr>
        <w:t>17</w:t>
      </w:r>
      <w:r>
        <w:rPr>
          <w:rFonts w:ascii="宋体" w:hAnsi="宋体"/>
          <w:sz w:val="24"/>
        </w:rPr>
        <w:t>日</w:t>
      </w:r>
      <w:r>
        <w:rPr>
          <w:rFonts w:hint="eastAsia" w:ascii="宋体" w:hAnsi="宋体"/>
          <w:sz w:val="24"/>
          <w:u w:val="single"/>
          <w:lang w:val="en-US" w:eastAsia="zh-CN"/>
        </w:rPr>
        <w:t>14</w:t>
      </w:r>
      <w:r>
        <w:rPr>
          <w:rFonts w:ascii="宋体" w:hAnsi="宋体"/>
          <w:sz w:val="24"/>
        </w:rPr>
        <w:t>时</w:t>
      </w:r>
      <w:r>
        <w:rPr>
          <w:rFonts w:hint="eastAsia" w:ascii="宋体" w:hAnsi="宋体"/>
          <w:sz w:val="24"/>
          <w:u w:val="single"/>
        </w:rPr>
        <w:t>30</w:t>
      </w:r>
      <w:r>
        <w:rPr>
          <w:rFonts w:ascii="宋体" w:hAnsi="宋体"/>
          <w:sz w:val="24"/>
        </w:rPr>
        <w:t>分</w:t>
      </w:r>
      <w:r>
        <w:rPr>
          <w:rFonts w:hint="eastAsia" w:ascii="宋体" w:hAnsi="宋体"/>
          <w:sz w:val="24"/>
        </w:rPr>
        <w:t>；地点</w:t>
      </w:r>
      <w:r>
        <w:rPr>
          <w:rFonts w:ascii="宋体" w:hAnsi="宋体"/>
          <w:sz w:val="24"/>
        </w:rPr>
        <w:t>：</w:t>
      </w:r>
      <w:r>
        <w:rPr>
          <w:rFonts w:hint="eastAsia" w:ascii="宋体" w:hAnsi="宋体"/>
          <w:sz w:val="24"/>
        </w:rPr>
        <w:t>广州公共资源交易中心（广州市天河区天润路</w:t>
      </w:r>
      <w:r>
        <w:rPr>
          <w:rFonts w:hint="eastAsia" w:ascii="宋体" w:hAnsi="宋体"/>
          <w:sz w:val="24"/>
          <w:highlight w:val="none"/>
        </w:rPr>
        <w:t>333号）第</w:t>
      </w:r>
      <w:r>
        <w:rPr>
          <w:rFonts w:ascii="宋体" w:hAnsi="宋体"/>
          <w:sz w:val="24"/>
          <w:highlight w:val="none"/>
          <w:u w:val="single"/>
        </w:rPr>
        <w:t xml:space="preserve">  </w:t>
      </w:r>
      <w:r>
        <w:rPr>
          <w:rFonts w:hint="eastAsia" w:ascii="宋体" w:hAnsi="宋体"/>
          <w:sz w:val="24"/>
          <w:highlight w:val="none"/>
        </w:rPr>
        <w:t>开标</w:t>
      </w:r>
      <w:r>
        <w:rPr>
          <w:rFonts w:hint="eastAsia" w:ascii="宋体" w:hAnsi="宋体"/>
          <w:sz w:val="24"/>
        </w:rPr>
        <w:t>室。（备用电子光盘需按规定封装。投标人将数据刻录到光盘之后，请于投标前自行检查文件是否可以读取）。</w:t>
      </w:r>
    </w:p>
    <w:p>
      <w:pPr>
        <w:spacing w:line="360" w:lineRule="auto"/>
        <w:ind w:firstLine="480" w:firstLineChars="200"/>
        <w:jc w:val="left"/>
        <w:rPr>
          <w:rFonts w:ascii="宋体" w:hAnsi="宋体"/>
          <w:sz w:val="24"/>
        </w:rPr>
      </w:pPr>
      <w:r>
        <w:rPr>
          <w:rFonts w:ascii="宋体" w:hAnsi="宋体"/>
          <w:sz w:val="24"/>
        </w:rPr>
        <w:t>5.2</w:t>
      </w:r>
      <w:r>
        <w:rPr>
          <w:rFonts w:hint="eastAsia" w:ascii="宋体" w:hAnsi="宋体"/>
          <w:sz w:val="24"/>
        </w:rPr>
        <w:t>投标人完成电子投标上传后，电子招标投标交易平台即时向投标人发出递交回执通知。递交时间以递交回执通知载明的传输时间为准。</w:t>
      </w:r>
    </w:p>
    <w:p>
      <w:pPr>
        <w:spacing w:line="360" w:lineRule="auto"/>
        <w:ind w:firstLine="480" w:firstLineChars="200"/>
        <w:jc w:val="left"/>
        <w:rPr>
          <w:rFonts w:ascii="宋体" w:hAnsi="宋体"/>
          <w:sz w:val="24"/>
        </w:rPr>
      </w:pPr>
      <w:r>
        <w:rPr>
          <w:rFonts w:hint="eastAsia" w:ascii="宋体" w:hAnsi="宋体"/>
          <w:sz w:val="24"/>
        </w:rPr>
        <w:t>5.3逾期送达的投标文件，电子招标投标交易平台将予以拒收。</w:t>
      </w:r>
    </w:p>
    <w:p>
      <w:pPr>
        <w:spacing w:line="360" w:lineRule="auto"/>
        <w:ind w:left="210" w:leftChars="100" w:firstLine="480" w:firstLineChars="200"/>
        <w:jc w:val="left"/>
        <w:rPr>
          <w:rFonts w:ascii="宋体" w:hAnsi="宋体"/>
          <w:sz w:val="24"/>
        </w:rPr>
      </w:pPr>
    </w:p>
    <w:p>
      <w:pPr>
        <w:pStyle w:val="3"/>
        <w:spacing w:before="0" w:after="0"/>
      </w:pPr>
      <w:bookmarkStart w:id="26" w:name="_Toc106890388"/>
      <w:bookmarkStart w:id="27" w:name="_Toc101775042"/>
      <w:bookmarkStart w:id="28" w:name="_Toc19757"/>
      <w:bookmarkStart w:id="29" w:name="_Toc16372"/>
      <w:bookmarkStart w:id="30" w:name="_Toc101774981"/>
      <w:r>
        <w:rPr>
          <w:rFonts w:hint="eastAsia"/>
        </w:rPr>
        <w:t>6</w:t>
      </w:r>
      <w:r>
        <w:t>. 发布公告的媒介</w:t>
      </w:r>
      <w:bookmarkEnd w:id="26"/>
      <w:bookmarkEnd w:id="27"/>
      <w:bookmarkEnd w:id="28"/>
      <w:bookmarkEnd w:id="29"/>
      <w:bookmarkEnd w:id="30"/>
    </w:p>
    <w:p>
      <w:pPr>
        <w:spacing w:line="360" w:lineRule="auto"/>
        <w:ind w:firstLine="480" w:firstLineChars="200"/>
        <w:rPr>
          <w:rFonts w:ascii="宋体" w:hAnsi="宋体" w:cs="宋体"/>
          <w:sz w:val="24"/>
        </w:rPr>
      </w:pPr>
      <w:r>
        <w:rPr>
          <w:rFonts w:hint="eastAsia" w:ascii="宋体" w:hAnsi="宋体" w:cs="宋体"/>
          <w:sz w:val="24"/>
        </w:rPr>
        <w:t>本次招标公告同时在</w:t>
      </w:r>
      <w:r>
        <w:rPr>
          <w:rFonts w:hint="eastAsia" w:ascii="宋体" w:hAnsi="宋体" w:cs="宋体"/>
          <w:sz w:val="24"/>
          <w:u w:val="single"/>
        </w:rPr>
        <w:t>广州公共资源交易中心网站（网址：http://www.gzggzy.cn/）、中国招标投标公共服务平台（网址：http://www.cebpubservice.com/）、广东省招标投标监管网(网址：</w:t>
      </w:r>
      <w:r>
        <w:rPr>
          <w:rFonts w:ascii="宋体" w:hAnsi="宋体" w:cs="宋体"/>
          <w:sz w:val="24"/>
          <w:u w:val="single"/>
        </w:rPr>
        <w:t>http://zbtb.gd.gov.cn/login</w:t>
      </w:r>
      <w:r>
        <w:rPr>
          <w:rFonts w:hint="eastAsia" w:ascii="宋体" w:hAnsi="宋体" w:cs="宋体"/>
          <w:sz w:val="24"/>
          <w:u w:val="single"/>
        </w:rPr>
        <w:t>)、阳光采购信息发布平台（网址：</w:t>
      </w:r>
      <w:r>
        <w:rPr>
          <w:rFonts w:ascii="宋体" w:hAnsi="宋体" w:cs="宋体"/>
          <w:sz w:val="24"/>
          <w:u w:val="single"/>
        </w:rPr>
        <w:fldChar w:fldCharType="begin"/>
      </w:r>
      <w:r>
        <w:rPr>
          <w:rFonts w:ascii="宋体" w:hAnsi="宋体" w:cs="宋体"/>
          <w:sz w:val="24"/>
          <w:u w:val="single"/>
        </w:rPr>
        <w:instrText xml:space="preserve">HYPERLINK "http://ygcg.gzggzy.cn/ssgqcggg/index.jhtml" \t "_blank"</w:instrText>
      </w:r>
      <w:r>
        <w:rPr>
          <w:rFonts w:ascii="宋体" w:hAnsi="宋体" w:cs="宋体"/>
          <w:sz w:val="24"/>
          <w:u w:val="single"/>
        </w:rPr>
        <w:fldChar w:fldCharType="separate"/>
      </w:r>
      <w:r>
        <w:rPr>
          <w:rFonts w:ascii="宋体" w:hAnsi="宋体" w:cs="宋体"/>
          <w:sz w:val="24"/>
          <w:u w:val="single"/>
        </w:rPr>
        <w:t>http://ygcg.gzggzy.cn/ssgqcggg/index.jhtml</w:t>
      </w:r>
      <w:r>
        <w:rPr>
          <w:rFonts w:ascii="宋体" w:hAnsi="宋体" w:cs="宋体"/>
          <w:sz w:val="24"/>
          <w:u w:val="single"/>
        </w:rPr>
        <w:fldChar w:fldCharType="end"/>
      </w:r>
      <w:r>
        <w:rPr>
          <w:rFonts w:hint="eastAsia" w:ascii="宋体" w:hAnsi="宋体" w:cs="宋体"/>
          <w:sz w:val="24"/>
          <w:u w:val="single"/>
        </w:rPr>
        <w:t>）</w:t>
      </w:r>
      <w:r>
        <w:rPr>
          <w:rFonts w:hint="eastAsia" w:ascii="宋体" w:hAnsi="宋体" w:cs="宋体"/>
          <w:sz w:val="24"/>
        </w:rPr>
        <w:t>发布，本公告的修改、补充，在广州公共资源交易中心网发布。</w:t>
      </w:r>
    </w:p>
    <w:p>
      <w:pPr>
        <w:spacing w:line="360" w:lineRule="auto"/>
        <w:ind w:firstLine="480" w:firstLineChars="200"/>
        <w:rPr>
          <w:rFonts w:ascii="宋体" w:hAnsi="宋体" w:cs="宋体"/>
          <w:sz w:val="24"/>
        </w:rPr>
      </w:pPr>
    </w:p>
    <w:p>
      <w:pPr>
        <w:pStyle w:val="3"/>
        <w:spacing w:before="0" w:after="0"/>
      </w:pPr>
      <w:bookmarkStart w:id="31" w:name="_Toc2318"/>
      <w:bookmarkStart w:id="32" w:name="_Toc3812"/>
      <w:bookmarkStart w:id="33" w:name="_Toc106890389"/>
      <w:bookmarkStart w:id="34" w:name="_Toc101774982"/>
      <w:bookmarkStart w:id="35" w:name="_Toc101775043"/>
      <w:r>
        <w:rPr>
          <w:rFonts w:hint="eastAsia"/>
        </w:rPr>
        <w:t>7.</w:t>
      </w:r>
      <w:r>
        <w:t xml:space="preserve"> 联系方式</w:t>
      </w:r>
      <w:bookmarkEnd w:id="31"/>
      <w:bookmarkEnd w:id="32"/>
      <w:bookmarkEnd w:id="33"/>
      <w:bookmarkEnd w:id="34"/>
      <w:bookmarkEnd w:id="35"/>
    </w:p>
    <w:p>
      <w:pPr>
        <w:snapToGrid w:val="0"/>
        <w:spacing w:line="360" w:lineRule="auto"/>
        <w:ind w:firstLine="480" w:firstLineChars="200"/>
        <w:rPr>
          <w:rFonts w:hint="eastAsia" w:ascii="宋体" w:hAnsi="宋体" w:cs="宋体"/>
          <w:sz w:val="24"/>
          <w:u w:val="single"/>
        </w:rPr>
      </w:pPr>
      <w:r>
        <w:rPr>
          <w:rFonts w:hint="eastAsia" w:ascii="宋体" w:hAnsi="宋体" w:cs="宋体"/>
          <w:sz w:val="24"/>
        </w:rPr>
        <w:t>招</w:t>
      </w:r>
      <w:r>
        <w:rPr>
          <w:rFonts w:ascii="宋体" w:hAnsi="宋体" w:cs="宋体"/>
          <w:sz w:val="24"/>
        </w:rPr>
        <w:t xml:space="preserve"> </w:t>
      </w:r>
      <w:r>
        <w:rPr>
          <w:rFonts w:hint="eastAsia" w:ascii="宋体" w:hAnsi="宋体" w:cs="宋体"/>
          <w:sz w:val="24"/>
        </w:rPr>
        <w:t xml:space="preserve">  标</w:t>
      </w:r>
      <w:r>
        <w:rPr>
          <w:rFonts w:ascii="宋体" w:hAnsi="宋体" w:cs="宋体"/>
          <w:sz w:val="24"/>
        </w:rPr>
        <w:t xml:space="preserve"> </w:t>
      </w:r>
      <w:r>
        <w:rPr>
          <w:rFonts w:hint="eastAsia" w:ascii="宋体" w:hAnsi="宋体" w:cs="宋体"/>
          <w:sz w:val="24"/>
        </w:rPr>
        <w:t xml:space="preserve">  </w:t>
      </w:r>
      <w:r>
        <w:rPr>
          <w:rFonts w:ascii="宋体" w:hAnsi="宋体" w:cs="宋体"/>
          <w:sz w:val="24"/>
        </w:rPr>
        <w:t>人：</w:t>
      </w:r>
      <w:r>
        <w:rPr>
          <w:rFonts w:hint="eastAsia" w:ascii="宋体" w:hAnsi="宋体" w:cs="宋体"/>
          <w:sz w:val="24"/>
          <w:u w:val="single"/>
        </w:rPr>
        <w:t>广州珠江住房租赁发展投资有限公司</w:t>
      </w:r>
    </w:p>
    <w:p>
      <w:pPr>
        <w:snapToGrid w:val="0"/>
        <w:spacing w:line="360" w:lineRule="auto"/>
        <w:ind w:firstLine="480" w:firstLineChars="200"/>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single"/>
        </w:rPr>
        <w:t>广州市天河区天河北路366号</w:t>
      </w:r>
    </w:p>
    <w:p>
      <w:pPr>
        <w:snapToGrid w:val="0"/>
        <w:spacing w:line="360" w:lineRule="auto"/>
        <w:ind w:firstLine="480" w:firstLineChars="200"/>
        <w:rPr>
          <w:rFonts w:ascii="宋体" w:hAnsi="宋体" w:cs="宋体"/>
          <w:sz w:val="24"/>
          <w:u w:val="single"/>
        </w:rPr>
      </w:pPr>
      <w:r>
        <w:rPr>
          <w:rFonts w:hint="eastAsia" w:ascii="宋体" w:hAnsi="宋体" w:cs="宋体"/>
          <w:sz w:val="24"/>
        </w:rPr>
        <w:t>联   系   人：</w:t>
      </w:r>
      <w:r>
        <w:rPr>
          <w:rFonts w:hint="eastAsia" w:ascii="宋体" w:hAnsi="宋体" w:cs="宋体"/>
          <w:sz w:val="24"/>
          <w:u w:val="single"/>
        </w:rPr>
        <w:t xml:space="preserve">董工    </w:t>
      </w:r>
      <w:r>
        <w:rPr>
          <w:rFonts w:hint="eastAsia" w:ascii="宋体" w:hAnsi="宋体" w:cs="宋体"/>
          <w:sz w:val="24"/>
        </w:rPr>
        <w:t>联系电话：</w:t>
      </w:r>
      <w:r>
        <w:rPr>
          <w:rFonts w:hint="eastAsia" w:ascii="宋体" w:hAnsi="宋体" w:cs="宋体"/>
          <w:sz w:val="24"/>
          <w:u w:val="single"/>
        </w:rPr>
        <w:t>020-83620379</w:t>
      </w:r>
    </w:p>
    <w:p>
      <w:pPr>
        <w:snapToGrid w:val="0"/>
        <w:spacing w:line="360" w:lineRule="auto"/>
        <w:ind w:firstLine="480" w:firstLineChars="200"/>
        <w:rPr>
          <w:rFonts w:ascii="宋体" w:hAnsi="宋体" w:cs="宋体"/>
          <w:sz w:val="24"/>
          <w:u w:val="single"/>
        </w:rPr>
      </w:pPr>
    </w:p>
    <w:p>
      <w:pPr>
        <w:snapToGrid w:val="0"/>
        <w:spacing w:line="360" w:lineRule="auto"/>
        <w:ind w:firstLine="480" w:firstLineChars="200"/>
        <w:rPr>
          <w:rFonts w:hint="eastAsia" w:ascii="宋体" w:hAnsi="宋体" w:cs="宋体"/>
          <w:sz w:val="24"/>
          <w:u w:val="single"/>
        </w:rPr>
      </w:pPr>
      <w:r>
        <w:rPr>
          <w:rFonts w:hint="eastAsia" w:ascii="宋体" w:hAnsi="宋体" w:cs="宋体"/>
          <w:sz w:val="24"/>
        </w:rPr>
        <w:t>招标代理机构：</w:t>
      </w:r>
      <w:r>
        <w:rPr>
          <w:rFonts w:hint="eastAsia" w:ascii="宋体" w:hAnsi="宋体" w:cs="宋体"/>
          <w:sz w:val="24"/>
          <w:u w:val="single"/>
        </w:rPr>
        <w:t>建成工程咨询股份有限公司</w:t>
      </w:r>
    </w:p>
    <w:p>
      <w:pPr>
        <w:snapToGrid w:val="0"/>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sz w:val="24"/>
          <w:u w:val="single"/>
        </w:rPr>
        <w:t>广州市越秀区东风中路318号嘉业大厦22楼</w:t>
      </w:r>
    </w:p>
    <w:p>
      <w:pPr>
        <w:snapToGrid w:val="0"/>
        <w:spacing w:line="360" w:lineRule="auto"/>
        <w:ind w:firstLine="480" w:firstLineChars="200"/>
        <w:rPr>
          <w:rFonts w:ascii="宋体" w:hAnsi="宋体" w:cs="宋体"/>
          <w:kern w:val="0"/>
          <w:sz w:val="24"/>
          <w:u w:val="single"/>
        </w:rPr>
      </w:pPr>
      <w:r>
        <w:rPr>
          <w:rFonts w:hint="eastAsia" w:ascii="宋体" w:hAnsi="宋体" w:cs="宋体"/>
          <w:sz w:val="24"/>
        </w:rPr>
        <w:t>联   系   人：</w:t>
      </w:r>
      <w:r>
        <w:rPr>
          <w:rFonts w:hint="eastAsia" w:ascii="宋体" w:hAnsi="宋体" w:cs="宋体"/>
          <w:sz w:val="24"/>
          <w:u w:val="single"/>
        </w:rPr>
        <w:t>麦工</w:t>
      </w:r>
      <w:r>
        <w:rPr>
          <w:rFonts w:hint="eastAsia" w:ascii="宋体" w:hAnsi="宋体" w:cs="宋体"/>
          <w:sz w:val="24"/>
        </w:rPr>
        <w:t xml:space="preserve">        联系电话：</w:t>
      </w:r>
      <w:r>
        <w:rPr>
          <w:rFonts w:hint="eastAsia" w:ascii="宋体" w:hAnsi="宋体" w:cs="宋体"/>
          <w:sz w:val="24"/>
          <w:u w:val="single"/>
        </w:rPr>
        <w:t>020-83293649</w:t>
      </w:r>
    </w:p>
    <w:p>
      <w:pPr>
        <w:snapToGrid w:val="0"/>
        <w:spacing w:line="360" w:lineRule="auto"/>
        <w:ind w:firstLine="480" w:firstLineChars="200"/>
        <w:rPr>
          <w:rFonts w:ascii="宋体" w:hAnsi="宋体" w:cs="宋体"/>
          <w:sz w:val="24"/>
          <w:u w:val="single"/>
        </w:rPr>
      </w:pPr>
    </w:p>
    <w:p>
      <w:pPr>
        <w:snapToGrid w:val="0"/>
        <w:spacing w:line="360" w:lineRule="auto"/>
        <w:ind w:firstLine="480" w:firstLineChars="200"/>
        <w:rPr>
          <w:rFonts w:hint="eastAsia" w:ascii="宋体" w:hAnsi="宋体" w:cs="宋体"/>
          <w:sz w:val="24"/>
          <w:u w:val="single"/>
        </w:rPr>
      </w:pPr>
      <w:r>
        <w:rPr>
          <w:rFonts w:hint="eastAsia" w:ascii="宋体" w:hAnsi="宋体" w:cs="宋体"/>
          <w:sz w:val="24"/>
        </w:rPr>
        <w:t>异议受理部门：</w:t>
      </w:r>
      <w:r>
        <w:rPr>
          <w:rFonts w:hint="eastAsia" w:ascii="宋体" w:hAnsi="宋体" w:cs="宋体"/>
          <w:sz w:val="24"/>
          <w:u w:val="single"/>
        </w:rPr>
        <w:t>广州珠江住房租赁发展投资有限公司</w:t>
      </w:r>
    </w:p>
    <w:p>
      <w:pPr>
        <w:snapToGrid w:val="0"/>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广州市天河区天河北路366号</w:t>
      </w:r>
    </w:p>
    <w:p>
      <w:pPr>
        <w:snapToGrid w:val="0"/>
        <w:spacing w:line="360" w:lineRule="auto"/>
        <w:ind w:firstLine="480" w:firstLineChars="200"/>
        <w:rPr>
          <w:rFonts w:ascii="宋体" w:hAnsi="宋体" w:cs="宋体"/>
          <w:sz w:val="24"/>
          <w:u w:val="single"/>
        </w:rPr>
      </w:pPr>
      <w:r>
        <w:rPr>
          <w:rFonts w:hint="eastAsia" w:ascii="宋体" w:hAnsi="宋体" w:cs="宋体"/>
          <w:sz w:val="24"/>
        </w:rPr>
        <w:t>联   系   人：</w:t>
      </w:r>
      <w:r>
        <w:rPr>
          <w:rFonts w:hint="eastAsia" w:ascii="宋体" w:hAnsi="宋体" w:cs="宋体"/>
          <w:sz w:val="24"/>
          <w:u w:val="single"/>
        </w:rPr>
        <w:t xml:space="preserve">董工    </w:t>
      </w:r>
      <w:r>
        <w:rPr>
          <w:rFonts w:hint="eastAsia" w:ascii="宋体" w:hAnsi="宋体" w:cs="宋体"/>
          <w:sz w:val="24"/>
        </w:rPr>
        <w:t>联系电话：020-</w:t>
      </w:r>
      <w:r>
        <w:rPr>
          <w:rFonts w:hint="eastAsia" w:ascii="宋体" w:hAnsi="宋体" w:cs="宋体"/>
          <w:sz w:val="24"/>
          <w:u w:val="single"/>
        </w:rPr>
        <w:t>83620379</w:t>
      </w:r>
    </w:p>
    <w:p>
      <w:pPr>
        <w:snapToGrid w:val="0"/>
        <w:spacing w:line="360" w:lineRule="auto"/>
        <w:ind w:firstLine="480" w:firstLineChars="200"/>
        <w:rPr>
          <w:rFonts w:ascii="宋体" w:hAnsi="宋体"/>
          <w:sz w:val="24"/>
          <w:u w:val="single"/>
        </w:rPr>
      </w:pPr>
    </w:p>
    <w:p>
      <w:pPr>
        <w:snapToGrid w:val="0"/>
        <w:spacing w:line="360" w:lineRule="auto"/>
        <w:ind w:firstLine="480" w:firstLineChars="200"/>
        <w:rPr>
          <w:rFonts w:ascii="宋体" w:hAnsi="宋体" w:cs="宋体"/>
          <w:sz w:val="24"/>
          <w:u w:val="single"/>
        </w:rPr>
      </w:pPr>
      <w:r>
        <w:rPr>
          <w:rFonts w:hint="eastAsia" w:ascii="宋体" w:hAnsi="宋体" w:cs="宋体"/>
          <w:sz w:val="24"/>
        </w:rPr>
        <w:t>招标监督机构：</w:t>
      </w:r>
      <w:r>
        <w:rPr>
          <w:rFonts w:hint="eastAsia" w:ascii="宋体" w:hAnsi="宋体" w:cs="宋体"/>
          <w:sz w:val="24"/>
          <w:u w:val="single"/>
        </w:rPr>
        <w:t>广州珠江住房租赁发展投资有限公司</w:t>
      </w:r>
    </w:p>
    <w:p>
      <w:pPr>
        <w:snapToGrid w:val="0"/>
        <w:spacing w:line="360" w:lineRule="auto"/>
        <w:ind w:firstLine="480" w:firstLineChars="200"/>
        <w:rPr>
          <w:rFonts w:ascii="宋体" w:hAnsi="宋体" w:cs="宋体"/>
          <w:sz w:val="24"/>
          <w:u w:val="single"/>
        </w:rPr>
      </w:pPr>
      <w:r>
        <w:rPr>
          <w:rFonts w:hint="eastAsia" w:ascii="宋体" w:hAnsi="宋体" w:cs="宋体"/>
          <w:sz w:val="24"/>
        </w:rPr>
        <w:t>监  督 电 话：020-</w:t>
      </w:r>
      <w:r>
        <w:rPr>
          <w:rFonts w:hint="eastAsia" w:ascii="宋体" w:hAnsi="宋体" w:cs="宋体"/>
          <w:sz w:val="24"/>
          <w:u w:val="single"/>
        </w:rPr>
        <w:t>38824615</w:t>
      </w:r>
    </w:p>
    <w:p>
      <w:pPr>
        <w:snapToGrid w:val="0"/>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广州市天河区天河北路366号</w:t>
      </w:r>
    </w:p>
    <w:p>
      <w:pPr>
        <w:pStyle w:val="3"/>
        <w:spacing w:before="0" w:after="0"/>
      </w:pPr>
      <w:r>
        <w:br w:type="page"/>
      </w:r>
      <w:bookmarkStart w:id="36" w:name="_Toc106890390"/>
      <w:bookmarkStart w:id="37" w:name="_Toc101775044"/>
      <w:bookmarkStart w:id="38" w:name="_Toc101774983"/>
      <w:bookmarkStart w:id="39" w:name="_Toc10482"/>
      <w:bookmarkStart w:id="40" w:name="_Toc2812"/>
      <w:r>
        <w:rPr>
          <w:rFonts w:hint="eastAsia"/>
        </w:rPr>
        <w:t>附件一：</w:t>
      </w:r>
      <w:bookmarkEnd w:id="36"/>
      <w:bookmarkEnd w:id="37"/>
      <w:bookmarkEnd w:id="38"/>
      <w:bookmarkEnd w:id="39"/>
      <w:bookmarkEnd w:id="40"/>
    </w:p>
    <w:p>
      <w:pPr>
        <w:widowControl/>
        <w:snapToGrid w:val="0"/>
        <w:spacing w:line="360" w:lineRule="auto"/>
        <w:ind w:right="384"/>
        <w:jc w:val="center"/>
        <w:rPr>
          <w:rFonts w:ascii="宋体" w:hAnsi="宋体" w:cs="宋体"/>
          <w:b/>
          <w:bCs/>
          <w:kern w:val="0"/>
          <w:sz w:val="32"/>
          <w:szCs w:val="32"/>
        </w:rPr>
      </w:pPr>
      <w:r>
        <w:rPr>
          <w:rFonts w:hint="eastAsia" w:ascii="宋体" w:hAnsi="宋体" w:cs="宋体"/>
          <w:b/>
          <w:bCs/>
          <w:kern w:val="0"/>
          <w:sz w:val="32"/>
          <w:szCs w:val="32"/>
        </w:rPr>
        <w:t>投标人声明</w:t>
      </w:r>
    </w:p>
    <w:p>
      <w:pPr>
        <w:snapToGrid w:val="0"/>
        <w:spacing w:line="360" w:lineRule="auto"/>
        <w:jc w:val="left"/>
        <w:rPr>
          <w:rFonts w:hint="eastAsia" w:ascii="宋体" w:hAnsi="宋体" w:cs="宋体"/>
          <w:kern w:val="0"/>
          <w:sz w:val="24"/>
        </w:rPr>
      </w:pPr>
      <w:r>
        <w:rPr>
          <w:rFonts w:hint="eastAsia" w:ascii="宋体" w:hAnsi="宋体" w:cs="宋体"/>
          <w:sz w:val="24"/>
          <w:u w:val="single"/>
        </w:rPr>
        <w:t>广州珠江住房租赁发展投资有限公司</w:t>
      </w:r>
      <w:r>
        <w:rPr>
          <w:rFonts w:hint="eastAsia" w:ascii="宋体" w:hAnsi="宋体" w:cs="宋体"/>
          <w:kern w:val="0"/>
          <w:sz w:val="24"/>
        </w:rPr>
        <w:t>：</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本公司就参加</w:t>
      </w:r>
      <w:r>
        <w:rPr>
          <w:rFonts w:hint="eastAsia" w:ascii="宋体" w:hAnsi="宋体" w:cs="宋体"/>
          <w:b/>
          <w:bCs/>
          <w:kern w:val="0"/>
          <w:sz w:val="24"/>
          <w:u w:val="single"/>
        </w:rPr>
        <w:t>石丰路二期保障性住房项目全过程造价咨询服务</w:t>
      </w:r>
      <w:r>
        <w:rPr>
          <w:rFonts w:ascii="宋体" w:hAnsi="宋体" w:cs="宋体"/>
          <w:kern w:val="0"/>
          <w:sz w:val="24"/>
        </w:rPr>
        <w:t>投标工作，作出郑</w:t>
      </w:r>
      <w:r>
        <w:rPr>
          <w:rFonts w:hint="eastAsia" w:ascii="宋体" w:hAnsi="宋体" w:cs="宋体"/>
          <w:kern w:val="0"/>
          <w:sz w:val="24"/>
        </w:rPr>
        <w:t>重声明：</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一、本公司保证投标资格审查材料及其后提供的一切材料都是真实的，如我司成为本项目中标候选人，我司同意并授权招标人将我司投标文件商务部分文件的所有内容（包括报价清单、人员、业绩、奖项等资料）进行公开。</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二、本公司保证在本项目投标中不与其他单位围标、串标，不出让投标资格，不向招标人或评标委员会成员行贿。</w:t>
      </w:r>
    </w:p>
    <w:p>
      <w:pPr>
        <w:snapToGrid w:val="0"/>
        <w:spacing w:line="360" w:lineRule="auto"/>
        <w:ind w:left="479" w:leftChars="228"/>
        <w:jc w:val="left"/>
        <w:rPr>
          <w:rFonts w:hint="eastAsia" w:ascii="宋体" w:hAnsi="宋体" w:cs="宋体"/>
          <w:kern w:val="0"/>
          <w:sz w:val="24"/>
        </w:rPr>
      </w:pPr>
      <w:r>
        <w:rPr>
          <w:rFonts w:hint="eastAsia" w:ascii="宋体" w:hAnsi="宋体" w:cs="宋体"/>
          <w:kern w:val="0"/>
          <w:sz w:val="24"/>
        </w:rPr>
        <w:t>三、本公司不存在招标文件第二章投标人须知第1.4.3项所规定的任何一种情形。</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四、本公司与本次招标的招标代理机构没有隶属关系或其他利害关系。</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五、本公司承诺，中标后严格按照合同和招投标文件规定履行义务，并同意招标人将其履行合同、招投标文件义务的履约情况和不诚信行为（包括但不限于由招标人做出的违约责任处理决定等）在招标人网站及其他媒体上公开披露，由此造成的一切损失和不利后果均由本公司自行承担。</w:t>
      </w:r>
    </w:p>
    <w:p>
      <w:pPr>
        <w:snapToGrid w:val="0"/>
        <w:spacing w:line="360" w:lineRule="auto"/>
        <w:ind w:firstLine="480" w:firstLineChars="200"/>
        <w:jc w:val="left"/>
        <w:rPr>
          <w:rFonts w:ascii="宋体" w:hAnsi="宋体" w:cs="宋体"/>
          <w:kern w:val="0"/>
          <w:sz w:val="24"/>
        </w:rPr>
      </w:pPr>
      <w:r>
        <w:rPr>
          <w:rFonts w:ascii="宋体" w:hAnsi="宋体" w:cs="宋体"/>
          <w:kern w:val="0"/>
          <w:sz w:val="24"/>
        </w:rPr>
        <w:t>本公司违反上述保证，或本声明陈述与事实不符，经查实，本公司愿意接受公开通报，承担由此带来的法律后果，并自愿停止参加广州市行政辖区内的招标投标活动三个月。</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特此声明。</w:t>
      </w:r>
    </w:p>
    <w:p>
      <w:pPr>
        <w:snapToGrid w:val="0"/>
        <w:spacing w:line="360" w:lineRule="auto"/>
        <w:ind w:firstLine="4320" w:firstLineChars="1800"/>
        <w:jc w:val="left"/>
        <w:rPr>
          <w:rFonts w:ascii="宋体" w:hAnsi="宋体" w:cs="宋体"/>
          <w:kern w:val="0"/>
          <w:sz w:val="24"/>
        </w:rPr>
      </w:pPr>
    </w:p>
    <w:p>
      <w:pPr>
        <w:snapToGrid w:val="0"/>
        <w:spacing w:line="360" w:lineRule="auto"/>
        <w:ind w:firstLine="4320" w:firstLineChars="1800"/>
        <w:jc w:val="left"/>
        <w:rPr>
          <w:rFonts w:ascii="宋体" w:hAnsi="宋体" w:cs="宋体"/>
          <w:kern w:val="0"/>
          <w:sz w:val="24"/>
        </w:rPr>
      </w:pPr>
    </w:p>
    <w:p>
      <w:pPr>
        <w:snapToGrid w:val="0"/>
        <w:spacing w:line="360" w:lineRule="auto"/>
        <w:ind w:firstLine="4320" w:firstLineChars="1800"/>
        <w:jc w:val="left"/>
        <w:rPr>
          <w:rFonts w:ascii="宋体" w:hAnsi="宋体" w:cs="宋体"/>
          <w:kern w:val="0"/>
          <w:sz w:val="24"/>
        </w:rPr>
      </w:pPr>
    </w:p>
    <w:p>
      <w:pPr>
        <w:snapToGrid w:val="0"/>
        <w:spacing w:line="360" w:lineRule="auto"/>
        <w:ind w:firstLine="4560" w:firstLineChars="1900"/>
        <w:jc w:val="left"/>
        <w:rPr>
          <w:rFonts w:ascii="宋体" w:hAnsi="宋体" w:cs="宋体"/>
          <w:kern w:val="0"/>
          <w:sz w:val="24"/>
        </w:rPr>
      </w:pPr>
      <w:r>
        <w:rPr>
          <w:rFonts w:hint="eastAsia" w:ascii="宋体" w:hAnsi="宋体" w:cs="宋体"/>
          <w:kern w:val="0"/>
          <w:sz w:val="24"/>
        </w:rPr>
        <w:t>声明企业：            (企业公章)</w:t>
      </w:r>
    </w:p>
    <w:p>
      <w:pPr>
        <w:snapToGrid w:val="0"/>
        <w:spacing w:line="360" w:lineRule="auto"/>
        <w:ind w:firstLine="4492" w:firstLineChars="1872"/>
        <w:rPr>
          <w:rFonts w:ascii="宋体" w:hAnsi="宋体" w:cs="宋体"/>
          <w:kern w:val="0"/>
          <w:sz w:val="24"/>
        </w:rPr>
      </w:pPr>
      <w:r>
        <w:rPr>
          <w:rFonts w:hint="eastAsia" w:ascii="宋体" w:hAnsi="宋体" w:cs="宋体"/>
          <w:kern w:val="0"/>
          <w:sz w:val="24"/>
        </w:rPr>
        <w:t>法定代表人（签字或盖章）：</w:t>
      </w:r>
    </w:p>
    <w:p>
      <w:pPr>
        <w:snapToGrid w:val="0"/>
        <w:spacing w:line="360" w:lineRule="auto"/>
        <w:ind w:firstLine="5092" w:firstLineChars="2122"/>
        <w:rPr>
          <w:rFonts w:hint="eastAsia"/>
        </w:rPr>
      </w:pPr>
      <w:r>
        <w:rPr>
          <w:rFonts w:hint="eastAsia" w:ascii="宋体" w:hAnsi="宋体" w:cs="宋体"/>
          <w:kern w:val="0"/>
          <w:sz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53A89"/>
    <w:multiLevelType w:val="singleLevel"/>
    <w:tmpl w:val="1C353A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TE2ZTg3OTliZGM2NDI3ZjJhMzkwOWNmNmIxZGIifQ=="/>
  </w:docVars>
  <w:rsids>
    <w:rsidRoot w:val="110C5F50"/>
    <w:rsid w:val="055C3642"/>
    <w:rsid w:val="110C5F50"/>
    <w:rsid w:val="27E36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0"/>
      <w:szCs w:val="32"/>
    </w:rPr>
  </w:style>
  <w:style w:type="paragraph" w:styleId="2">
    <w:name w:val="heading 4"/>
    <w:basedOn w:val="1"/>
    <w:next w:val="1"/>
    <w:qFormat/>
    <w:uiPriority w:val="0"/>
    <w:pPr>
      <w:keepNext/>
      <w:keepLines/>
      <w:spacing w:before="280" w:after="290" w:line="376" w:lineRule="auto"/>
      <w:outlineLvl w:val="3"/>
    </w:pPr>
    <w:rPr>
      <w:rFonts w:ascii="Cambria" w:hAnsi="Cambria"/>
      <w:b/>
      <w:bCs/>
      <w:sz w:val="24"/>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Table Paragraph"/>
    <w:basedOn w:val="1"/>
    <w:qFormat/>
    <w:uiPriority w:val="0"/>
    <w:rPr>
      <w:szCs w:val="20"/>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4470</Words>
  <Characters>5007</Characters>
  <Lines>0</Lines>
  <Paragraphs>0</Paragraphs>
  <TotalTime>0</TotalTime>
  <ScaleCrop>false</ScaleCrop>
  <LinksUpToDate>false</LinksUpToDate>
  <CharactersWithSpaces>5121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2022-09-22T01:35:00Z</dcterms:created>
  <dc:creator>JC</dc:creator>
  <cp:lastModifiedBy>JC</cp:lastModifiedBy>
  <dcterms:modified xsi:type="dcterms:W3CDTF">2022-09-23T02:48:35Z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4811EBA0F5F1454A88B3C4569E139641</vt:lpwstr>
  </property>
</Properties>
</file>